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宋体"/>
          <w:color w:val="auto"/>
          <w:highlight w:val="none"/>
          <w:lang w:eastAsia="zh-CN"/>
        </w:rPr>
      </w:pPr>
    </w:p>
    <w:p>
      <w:pPr>
        <w:rPr>
          <w:color w:val="auto"/>
        </w:rPr>
      </w:pPr>
    </w:p>
    <w:p>
      <w:pPr>
        <w:spacing w:line="480" w:lineRule="auto"/>
        <w:jc w:val="center"/>
        <w:rPr>
          <w:rFonts w:hint="eastAsia" w:eastAsia="宋体"/>
          <w:caps/>
          <w:color w:val="auto"/>
          <w:sz w:val="36"/>
          <w:szCs w:val="36"/>
          <w:highlight w:val="none"/>
          <w:lang w:eastAsia="zh-CN"/>
        </w:rPr>
        <w:sectPr>
          <w:footerReference r:id="rId5" w:type="first"/>
          <w:headerReference r:id="rId3" w:type="default"/>
          <w:footerReference r:id="rId4" w:type="default"/>
          <w:pgSz w:w="11906" w:h="16838"/>
          <w:pgMar w:top="1247" w:right="1247" w:bottom="1134" w:left="1644" w:header="851" w:footer="851" w:gutter="0"/>
          <w:pgNumType w:fmt="decimal" w:start="1"/>
          <w:cols w:space="720" w:num="1"/>
          <w:docGrid w:type="lines" w:linePitch="312" w:charSpace="0"/>
        </w:sectPr>
      </w:pPr>
      <w:r>
        <w:rPr>
          <w:rFonts w:hint="eastAsia" w:eastAsia="宋体"/>
          <w:caps/>
          <w:color w:val="auto"/>
          <w:sz w:val="36"/>
          <w:szCs w:val="36"/>
          <w:highlight w:val="none"/>
          <w:lang w:eastAsia="zh-CN"/>
        </w:rPr>
        <w:drawing>
          <wp:inline distT="0" distB="0" distL="114300" distR="114300">
            <wp:extent cx="5721350" cy="8091805"/>
            <wp:effectExtent l="0" t="0" r="12700" b="4445"/>
            <wp:docPr id="2" name="图片 42" descr="封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2" descr="封面_00"/>
                    <pic:cNvPicPr>
                      <a:picLocks noChangeAspect="1"/>
                    </pic:cNvPicPr>
                  </pic:nvPicPr>
                  <pic:blipFill>
                    <a:blip r:embed="rId24"/>
                    <a:stretch>
                      <a:fillRect/>
                    </a:stretch>
                  </pic:blipFill>
                  <pic:spPr>
                    <a:xfrm>
                      <a:off x="0" y="0"/>
                      <a:ext cx="5721350" cy="8091805"/>
                    </a:xfrm>
                    <a:prstGeom prst="rect">
                      <a:avLst/>
                    </a:prstGeom>
                    <a:noFill/>
                    <a:ln>
                      <a:noFill/>
                    </a:ln>
                  </pic:spPr>
                </pic:pic>
              </a:graphicData>
            </a:graphic>
          </wp:inline>
        </w:drawing>
      </w:r>
    </w:p>
    <w:p>
      <w:pPr>
        <w:pStyle w:val="20"/>
        <w:pageBreakBefore/>
        <w:spacing w:before="100" w:after="100" w:line="360" w:lineRule="auto"/>
        <w:ind w:left="420" w:leftChars="0" w:firstLine="420" w:firstLineChars="0"/>
        <w:jc w:val="center"/>
        <w:outlineLvl w:val="0"/>
        <w:rPr>
          <w:rFonts w:ascii="宋体" w:hAnsi="宋体" w:eastAsia="宋体" w:cs="宋体"/>
          <w:b/>
          <w:bCs/>
          <w:caps/>
          <w:color w:val="auto"/>
          <w:sz w:val="20"/>
          <w:szCs w:val="21"/>
          <w:highlight w:val="none"/>
          <w:lang w:val="zh-CN" w:eastAsia="zh-CN" w:bidi="zh-CN"/>
        </w:rPr>
      </w:pPr>
      <w:bookmarkStart w:id="0" w:name="_Toc30497"/>
      <w:bookmarkStart w:id="1" w:name="_Toc29441"/>
      <w:bookmarkStart w:id="2" w:name="_Toc12635"/>
      <w:bookmarkStart w:id="3" w:name="_Toc21723"/>
      <w:bookmarkStart w:id="4" w:name="_Toc5321"/>
      <w:r>
        <w:rPr>
          <w:rFonts w:hint="eastAsia"/>
          <w:color w:val="auto"/>
          <w:sz w:val="36"/>
          <w:szCs w:val="36"/>
          <w:highlight w:val="none"/>
        </w:rPr>
        <w:t>目录</w:t>
      </w:r>
      <w:bookmarkEnd w:id="0"/>
      <w:bookmarkEnd w:id="1"/>
      <w:r>
        <w:rPr>
          <w:color w:val="auto"/>
          <w:sz w:val="21"/>
          <w:szCs w:val="21"/>
          <w:highlight w:val="none"/>
        </w:rPr>
        <w:fldChar w:fldCharType="begin"/>
      </w:r>
      <w:r>
        <w:rPr>
          <w:color w:val="auto"/>
          <w:sz w:val="21"/>
          <w:szCs w:val="21"/>
          <w:highlight w:val="none"/>
        </w:rPr>
        <w:instrText xml:space="preserve">TOC \o "1-3" \h \u </w:instrText>
      </w:r>
      <w:r>
        <w:rPr>
          <w:color w:val="auto"/>
          <w:sz w:val="21"/>
          <w:szCs w:val="21"/>
          <w:highlight w:val="none"/>
        </w:rPr>
        <w:fldChar w:fldCharType="separate"/>
      </w:r>
      <w:bookmarkEnd w:id="2"/>
      <w:bookmarkEnd w:id="3"/>
      <w:bookmarkEnd w:id="4"/>
      <w:bookmarkStart w:id="5" w:name="_Toc15128"/>
      <w:bookmarkStart w:id="6" w:name="_Toc13069"/>
    </w:p>
    <w:p>
      <w:pPr>
        <w:pStyle w:val="20"/>
        <w:tabs>
          <w:tab w:val="right" w:leader="dot" w:pos="8820"/>
        </w:tabs>
      </w:pPr>
      <w:r>
        <w:rPr>
          <w:color w:val="auto"/>
          <w:szCs w:val="21"/>
          <w:highlight w:val="none"/>
        </w:rPr>
        <w:fldChar w:fldCharType="begin"/>
      </w:r>
      <w:r>
        <w:rPr>
          <w:szCs w:val="21"/>
          <w:highlight w:val="none"/>
        </w:rPr>
        <w:instrText xml:space="preserve"> HYPERLINK \l _Toc30303 </w:instrText>
      </w:r>
      <w:r>
        <w:rPr>
          <w:szCs w:val="21"/>
          <w:highlight w:val="none"/>
        </w:rPr>
        <w:fldChar w:fldCharType="separate"/>
      </w:r>
      <w:r>
        <w:rPr>
          <w:rFonts w:hint="eastAsia"/>
          <w:szCs w:val="44"/>
          <w:highlight w:val="none"/>
        </w:rPr>
        <w:t>第一部分采购邀请</w:t>
      </w:r>
      <w:r>
        <w:tab/>
      </w:r>
      <w:r>
        <w:fldChar w:fldCharType="begin"/>
      </w:r>
      <w:r>
        <w:instrText xml:space="preserve"> PAGEREF _Toc30303 \h </w:instrText>
      </w:r>
      <w:r>
        <w:fldChar w:fldCharType="separate"/>
      </w:r>
      <w:r>
        <w:t>3</w:t>
      </w:r>
      <w:r>
        <w:fldChar w:fldCharType="end"/>
      </w:r>
      <w:r>
        <w:rPr>
          <w:color w:val="auto"/>
          <w:szCs w:val="21"/>
          <w:highlight w:val="none"/>
        </w:rPr>
        <w:fldChar w:fldCharType="end"/>
      </w:r>
    </w:p>
    <w:p>
      <w:pPr>
        <w:pStyle w:val="20"/>
        <w:tabs>
          <w:tab w:val="right" w:leader="dot" w:pos="8820"/>
        </w:tabs>
      </w:pPr>
      <w:r>
        <w:rPr>
          <w:color w:val="auto"/>
          <w:szCs w:val="21"/>
          <w:highlight w:val="none"/>
        </w:rPr>
        <w:fldChar w:fldCharType="begin"/>
      </w:r>
      <w:r>
        <w:rPr>
          <w:szCs w:val="21"/>
          <w:highlight w:val="none"/>
        </w:rPr>
        <w:instrText xml:space="preserve"> HYPERLINK \l _Toc9090 </w:instrText>
      </w:r>
      <w:r>
        <w:rPr>
          <w:szCs w:val="21"/>
          <w:highlight w:val="none"/>
        </w:rPr>
        <w:fldChar w:fldCharType="separate"/>
      </w:r>
      <w:r>
        <w:rPr>
          <w:rFonts w:hint="eastAsia"/>
          <w:bCs/>
          <w:szCs w:val="44"/>
          <w:highlight w:val="none"/>
        </w:rPr>
        <w:t>第二部分供应商须知</w:t>
      </w:r>
      <w:r>
        <w:tab/>
      </w:r>
      <w:r>
        <w:fldChar w:fldCharType="begin"/>
      </w:r>
      <w:r>
        <w:instrText xml:space="preserve"> PAGEREF _Toc9090 \h </w:instrText>
      </w:r>
      <w:r>
        <w:fldChar w:fldCharType="separate"/>
      </w:r>
      <w:r>
        <w:t>6</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_Toc31123 </w:instrText>
      </w:r>
      <w:r>
        <w:rPr>
          <w:szCs w:val="21"/>
          <w:highlight w:val="none"/>
        </w:rPr>
        <w:fldChar w:fldCharType="separate"/>
      </w:r>
      <w:r>
        <w:rPr>
          <w:rFonts w:hint="eastAsia"/>
          <w:bCs/>
          <w:szCs w:val="32"/>
          <w:highlight w:val="none"/>
        </w:rPr>
        <w:t>供应商须知前附表</w:t>
      </w:r>
      <w:r>
        <w:tab/>
      </w:r>
      <w:r>
        <w:fldChar w:fldCharType="begin"/>
      </w:r>
      <w:r>
        <w:instrText xml:space="preserve"> PAGEREF _Toc31123 \h </w:instrText>
      </w:r>
      <w:r>
        <w:fldChar w:fldCharType="separate"/>
      </w:r>
      <w:r>
        <w:t>6</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_Toc28736 </w:instrText>
      </w:r>
      <w:r>
        <w:rPr>
          <w:szCs w:val="21"/>
          <w:highlight w:val="none"/>
        </w:rPr>
        <w:fldChar w:fldCharType="separate"/>
      </w:r>
      <w:r>
        <w:rPr>
          <w:rFonts w:cs="Times New Roman"/>
          <w:bCs/>
          <w:szCs w:val="36"/>
        </w:rPr>
        <w:t xml:space="preserve">A. </w:t>
      </w:r>
      <w:r>
        <w:rPr>
          <w:rFonts w:hint="eastAsia"/>
          <w:bCs/>
          <w:szCs w:val="36"/>
          <w:highlight w:val="none"/>
        </w:rPr>
        <w:t>说明和释义</w:t>
      </w:r>
      <w:r>
        <w:tab/>
      </w:r>
      <w:r>
        <w:fldChar w:fldCharType="begin"/>
      </w:r>
      <w:r>
        <w:instrText xml:space="preserve"> PAGEREF _Toc28736 \h </w:instrText>
      </w:r>
      <w:r>
        <w:fldChar w:fldCharType="separate"/>
      </w:r>
      <w:r>
        <w:t>8</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_Toc25294 </w:instrText>
      </w:r>
      <w:r>
        <w:rPr>
          <w:szCs w:val="21"/>
          <w:highlight w:val="none"/>
        </w:rPr>
        <w:fldChar w:fldCharType="separate"/>
      </w:r>
      <w:r>
        <w:rPr>
          <w:rFonts w:cs="Times New Roman"/>
          <w:bCs/>
          <w:szCs w:val="36"/>
        </w:rPr>
        <w:t xml:space="preserve">B. </w:t>
      </w:r>
      <w:r>
        <w:rPr>
          <w:rFonts w:hint="eastAsia"/>
          <w:bCs/>
          <w:szCs w:val="36"/>
          <w:highlight w:val="none"/>
        </w:rPr>
        <w:t>磋商文件</w:t>
      </w:r>
      <w:r>
        <w:tab/>
      </w:r>
      <w:r>
        <w:fldChar w:fldCharType="begin"/>
      </w:r>
      <w:r>
        <w:instrText xml:space="preserve"> PAGEREF _Toc25294 \h </w:instrText>
      </w:r>
      <w:r>
        <w:fldChar w:fldCharType="separate"/>
      </w:r>
      <w:r>
        <w:t>8</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_Toc981 </w:instrText>
      </w:r>
      <w:r>
        <w:rPr>
          <w:szCs w:val="21"/>
          <w:highlight w:val="none"/>
        </w:rPr>
        <w:fldChar w:fldCharType="separate"/>
      </w:r>
      <w:r>
        <w:rPr>
          <w:rFonts w:cs="Times New Roman"/>
          <w:bCs/>
          <w:szCs w:val="36"/>
        </w:rPr>
        <w:t xml:space="preserve">C. </w:t>
      </w:r>
      <w:r>
        <w:rPr>
          <w:rFonts w:hint="eastAsia"/>
          <w:bCs/>
          <w:szCs w:val="36"/>
          <w:highlight w:val="none"/>
        </w:rPr>
        <w:t>响应文件</w:t>
      </w:r>
      <w:r>
        <w:tab/>
      </w:r>
      <w:r>
        <w:fldChar w:fldCharType="begin"/>
      </w:r>
      <w:r>
        <w:instrText xml:space="preserve"> PAGEREF _Toc981 \h </w:instrText>
      </w:r>
      <w:r>
        <w:fldChar w:fldCharType="separate"/>
      </w:r>
      <w:r>
        <w:t>9</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_Toc345 </w:instrText>
      </w:r>
      <w:r>
        <w:rPr>
          <w:szCs w:val="21"/>
          <w:highlight w:val="none"/>
        </w:rPr>
        <w:fldChar w:fldCharType="separate"/>
      </w:r>
      <w:r>
        <w:rPr>
          <w:rFonts w:cs="Times New Roman"/>
          <w:bCs/>
          <w:szCs w:val="36"/>
        </w:rPr>
        <w:t xml:space="preserve">D. </w:t>
      </w:r>
      <w:r>
        <w:rPr>
          <w:rFonts w:hint="eastAsia"/>
          <w:bCs/>
          <w:szCs w:val="36"/>
          <w:highlight w:val="none"/>
        </w:rPr>
        <w:t>响应文件的递交</w:t>
      </w:r>
      <w:r>
        <w:tab/>
      </w:r>
      <w:r>
        <w:fldChar w:fldCharType="begin"/>
      </w:r>
      <w:r>
        <w:instrText xml:space="preserve"> PAGEREF _Toc345 \h </w:instrText>
      </w:r>
      <w:r>
        <w:fldChar w:fldCharType="separate"/>
      </w:r>
      <w:r>
        <w:t>11</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_Toc18167 </w:instrText>
      </w:r>
      <w:r>
        <w:rPr>
          <w:szCs w:val="21"/>
          <w:highlight w:val="none"/>
        </w:rPr>
        <w:fldChar w:fldCharType="separate"/>
      </w:r>
      <w:r>
        <w:rPr>
          <w:rFonts w:cs="Times New Roman"/>
          <w:bCs/>
          <w:szCs w:val="36"/>
        </w:rPr>
        <w:t xml:space="preserve">E. </w:t>
      </w:r>
      <w:r>
        <w:rPr>
          <w:rFonts w:hint="eastAsia"/>
          <w:bCs/>
          <w:szCs w:val="36"/>
          <w:highlight w:val="none"/>
        </w:rPr>
        <w:t>磋商程序</w:t>
      </w:r>
      <w:r>
        <w:tab/>
      </w:r>
      <w:r>
        <w:fldChar w:fldCharType="begin"/>
      </w:r>
      <w:r>
        <w:instrText xml:space="preserve"> PAGEREF _Toc18167 \h </w:instrText>
      </w:r>
      <w:r>
        <w:fldChar w:fldCharType="separate"/>
      </w:r>
      <w:r>
        <w:t>12</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_Toc23502 </w:instrText>
      </w:r>
      <w:r>
        <w:rPr>
          <w:szCs w:val="21"/>
          <w:highlight w:val="none"/>
        </w:rPr>
        <w:fldChar w:fldCharType="separate"/>
      </w:r>
      <w:r>
        <w:rPr>
          <w:rFonts w:cs="Times New Roman"/>
          <w:bCs/>
          <w:szCs w:val="36"/>
        </w:rPr>
        <w:t xml:space="preserve">F. </w:t>
      </w:r>
      <w:r>
        <w:rPr>
          <w:rFonts w:hint="eastAsia"/>
          <w:bCs/>
          <w:szCs w:val="36"/>
          <w:highlight w:val="none"/>
        </w:rPr>
        <w:t>授予合同</w:t>
      </w:r>
      <w:r>
        <w:tab/>
      </w:r>
      <w:r>
        <w:fldChar w:fldCharType="begin"/>
      </w:r>
      <w:r>
        <w:instrText xml:space="preserve"> PAGEREF _Toc23502 \h </w:instrText>
      </w:r>
      <w:r>
        <w:fldChar w:fldCharType="separate"/>
      </w:r>
      <w:r>
        <w:t>13</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_Toc19366 </w:instrText>
      </w:r>
      <w:r>
        <w:rPr>
          <w:szCs w:val="21"/>
          <w:highlight w:val="none"/>
        </w:rPr>
        <w:fldChar w:fldCharType="separate"/>
      </w:r>
      <w:r>
        <w:rPr>
          <w:rFonts w:cs="Times New Roman"/>
          <w:bCs/>
          <w:szCs w:val="36"/>
        </w:rPr>
        <w:t xml:space="preserve">G. </w:t>
      </w:r>
      <w:r>
        <w:rPr>
          <w:rFonts w:hint="eastAsia"/>
          <w:bCs/>
          <w:szCs w:val="36"/>
          <w:highlight w:val="none"/>
        </w:rPr>
        <w:t>询问、质疑和投诉</w:t>
      </w:r>
      <w:r>
        <w:tab/>
      </w:r>
      <w:r>
        <w:fldChar w:fldCharType="begin"/>
      </w:r>
      <w:r>
        <w:instrText xml:space="preserve"> PAGEREF _Toc19366 \h </w:instrText>
      </w:r>
      <w:r>
        <w:fldChar w:fldCharType="separate"/>
      </w:r>
      <w:r>
        <w:t>14</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_Toc4791 </w:instrText>
      </w:r>
      <w:r>
        <w:rPr>
          <w:szCs w:val="21"/>
          <w:highlight w:val="none"/>
        </w:rPr>
        <w:fldChar w:fldCharType="separate"/>
      </w:r>
      <w:r>
        <w:rPr>
          <w:rFonts w:cs="Times New Roman"/>
          <w:bCs/>
          <w:szCs w:val="36"/>
        </w:rPr>
        <w:t xml:space="preserve">H. </w:t>
      </w:r>
      <w:r>
        <w:rPr>
          <w:rFonts w:hint="eastAsia"/>
          <w:bCs/>
          <w:szCs w:val="36"/>
          <w:highlight w:val="none"/>
        </w:rPr>
        <w:t>纪律和监督</w:t>
      </w:r>
      <w:r>
        <w:tab/>
      </w:r>
      <w:r>
        <w:fldChar w:fldCharType="begin"/>
      </w:r>
      <w:r>
        <w:instrText xml:space="preserve"> PAGEREF _Toc4791 \h </w:instrText>
      </w:r>
      <w:r>
        <w:fldChar w:fldCharType="separate"/>
      </w:r>
      <w:r>
        <w:t>15</w:t>
      </w:r>
      <w:r>
        <w:fldChar w:fldCharType="end"/>
      </w:r>
      <w:r>
        <w:rPr>
          <w:color w:val="auto"/>
          <w:szCs w:val="21"/>
          <w:highlight w:val="none"/>
        </w:rPr>
        <w:fldChar w:fldCharType="end"/>
      </w:r>
    </w:p>
    <w:p>
      <w:pPr>
        <w:pStyle w:val="20"/>
        <w:tabs>
          <w:tab w:val="right" w:leader="dot" w:pos="8820"/>
        </w:tabs>
      </w:pPr>
      <w:r>
        <w:rPr>
          <w:color w:val="auto"/>
          <w:szCs w:val="21"/>
          <w:highlight w:val="none"/>
        </w:rPr>
        <w:fldChar w:fldCharType="begin"/>
      </w:r>
      <w:r>
        <w:rPr>
          <w:szCs w:val="21"/>
          <w:highlight w:val="none"/>
        </w:rPr>
        <w:instrText xml:space="preserve"> HYPERLINK \l _Toc21671 </w:instrText>
      </w:r>
      <w:r>
        <w:rPr>
          <w:szCs w:val="21"/>
          <w:highlight w:val="none"/>
        </w:rPr>
        <w:fldChar w:fldCharType="separate"/>
      </w:r>
      <w:r>
        <w:rPr>
          <w:rFonts w:hint="eastAsia"/>
          <w:bCs/>
          <w:szCs w:val="48"/>
        </w:rPr>
        <w:t xml:space="preserve">第三部分 </w:t>
      </w:r>
      <w:r>
        <w:rPr>
          <w:rFonts w:hint="eastAsia"/>
          <w:bCs/>
          <w:szCs w:val="48"/>
          <w:highlight w:val="none"/>
        </w:rPr>
        <w:t>采购需求</w:t>
      </w:r>
      <w:r>
        <w:tab/>
      </w:r>
      <w:r>
        <w:fldChar w:fldCharType="begin"/>
      </w:r>
      <w:r>
        <w:instrText xml:space="preserve"> PAGEREF _Toc21671 \h </w:instrText>
      </w:r>
      <w:r>
        <w:fldChar w:fldCharType="separate"/>
      </w:r>
      <w:r>
        <w:t>17</w:t>
      </w:r>
      <w:r>
        <w:fldChar w:fldCharType="end"/>
      </w:r>
      <w:r>
        <w:rPr>
          <w:color w:val="auto"/>
          <w:szCs w:val="21"/>
          <w:highlight w:val="none"/>
        </w:rPr>
        <w:fldChar w:fldCharType="end"/>
      </w:r>
    </w:p>
    <w:p>
      <w:pPr>
        <w:pStyle w:val="20"/>
        <w:tabs>
          <w:tab w:val="right" w:leader="dot" w:pos="8820"/>
        </w:tabs>
      </w:pPr>
      <w:r>
        <w:rPr>
          <w:color w:val="auto"/>
          <w:szCs w:val="21"/>
          <w:highlight w:val="none"/>
        </w:rPr>
        <w:fldChar w:fldCharType="begin"/>
      </w:r>
      <w:r>
        <w:rPr>
          <w:szCs w:val="21"/>
          <w:highlight w:val="none"/>
        </w:rPr>
        <w:instrText xml:space="preserve"> HYPERLINK \l _Toc30879 </w:instrText>
      </w:r>
      <w:r>
        <w:rPr>
          <w:szCs w:val="21"/>
          <w:highlight w:val="none"/>
        </w:rPr>
        <w:fldChar w:fldCharType="separate"/>
      </w:r>
      <w:r>
        <w:rPr>
          <w:rFonts w:hint="eastAsia"/>
          <w:bCs/>
          <w:szCs w:val="44"/>
          <w:highlight w:val="none"/>
        </w:rPr>
        <w:t>第</w:t>
      </w:r>
      <w:r>
        <w:rPr>
          <w:rFonts w:hint="eastAsia"/>
          <w:bCs/>
          <w:szCs w:val="44"/>
          <w:highlight w:val="none"/>
          <w:lang w:val="en-US" w:eastAsia="zh-CN"/>
        </w:rPr>
        <w:t>四</w:t>
      </w:r>
      <w:r>
        <w:rPr>
          <w:rFonts w:hint="eastAsia"/>
          <w:bCs/>
          <w:szCs w:val="44"/>
          <w:highlight w:val="none"/>
        </w:rPr>
        <w:t>部分合同文本（仅供参考）</w:t>
      </w:r>
      <w:r>
        <w:tab/>
      </w:r>
      <w:r>
        <w:fldChar w:fldCharType="begin"/>
      </w:r>
      <w:r>
        <w:instrText xml:space="preserve"> PAGEREF _Toc30879 \h </w:instrText>
      </w:r>
      <w:r>
        <w:fldChar w:fldCharType="separate"/>
      </w:r>
      <w:r>
        <w:t>48</w:t>
      </w:r>
      <w:r>
        <w:fldChar w:fldCharType="end"/>
      </w:r>
      <w:r>
        <w:rPr>
          <w:color w:val="auto"/>
          <w:szCs w:val="21"/>
          <w:highlight w:val="none"/>
        </w:rPr>
        <w:fldChar w:fldCharType="end"/>
      </w:r>
    </w:p>
    <w:p>
      <w:pPr>
        <w:pStyle w:val="20"/>
        <w:tabs>
          <w:tab w:val="right" w:leader="dot" w:pos="8820"/>
        </w:tabs>
      </w:pPr>
      <w:r>
        <w:rPr>
          <w:color w:val="auto"/>
          <w:szCs w:val="21"/>
          <w:highlight w:val="none"/>
        </w:rPr>
        <w:fldChar w:fldCharType="begin"/>
      </w:r>
      <w:r>
        <w:rPr>
          <w:szCs w:val="21"/>
          <w:highlight w:val="none"/>
        </w:rPr>
        <w:instrText xml:space="preserve"> HYPERLINK \l _Toc22210 </w:instrText>
      </w:r>
      <w:r>
        <w:rPr>
          <w:szCs w:val="21"/>
          <w:highlight w:val="none"/>
        </w:rPr>
        <w:fldChar w:fldCharType="separate"/>
      </w:r>
      <w:r>
        <w:rPr>
          <w:rFonts w:hint="eastAsia"/>
          <w:bCs/>
          <w:szCs w:val="48"/>
          <w:highlight w:val="none"/>
        </w:rPr>
        <w:t>第五部分评审程序、方法和标准</w:t>
      </w:r>
      <w:r>
        <w:rPr>
          <w:rFonts w:hint="eastAsia"/>
          <w:bCs/>
          <w:szCs w:val="48"/>
          <w:highlight w:val="none"/>
          <w:lang w:val="en-US" w:eastAsia="zh-CN"/>
        </w:rPr>
        <w:t>(A包)</w:t>
      </w:r>
      <w:r>
        <w:tab/>
      </w:r>
      <w:r>
        <w:fldChar w:fldCharType="begin"/>
      </w:r>
      <w:r>
        <w:instrText xml:space="preserve"> PAGEREF _Toc22210 \h </w:instrText>
      </w:r>
      <w:r>
        <w:fldChar w:fldCharType="separate"/>
      </w:r>
      <w:r>
        <w:t>207</w:t>
      </w:r>
      <w:r>
        <w:fldChar w:fldCharType="end"/>
      </w:r>
      <w:r>
        <w:rPr>
          <w:color w:val="auto"/>
          <w:szCs w:val="21"/>
          <w:highlight w:val="none"/>
        </w:rPr>
        <w:fldChar w:fldCharType="end"/>
      </w:r>
    </w:p>
    <w:p>
      <w:pPr>
        <w:pStyle w:val="20"/>
        <w:tabs>
          <w:tab w:val="right" w:leader="dot" w:pos="8820"/>
        </w:tabs>
      </w:pPr>
      <w:r>
        <w:rPr>
          <w:color w:val="auto"/>
          <w:szCs w:val="21"/>
          <w:highlight w:val="none"/>
        </w:rPr>
        <w:fldChar w:fldCharType="begin"/>
      </w:r>
      <w:r>
        <w:rPr>
          <w:szCs w:val="21"/>
          <w:highlight w:val="none"/>
        </w:rPr>
        <w:instrText xml:space="preserve"> HYPERLINK \l _Toc25085 </w:instrText>
      </w:r>
      <w:r>
        <w:rPr>
          <w:szCs w:val="21"/>
          <w:highlight w:val="none"/>
        </w:rPr>
        <w:fldChar w:fldCharType="separate"/>
      </w:r>
      <w:r>
        <w:rPr>
          <w:rFonts w:hint="eastAsia"/>
          <w:bCs/>
          <w:szCs w:val="48"/>
          <w:highlight w:val="none"/>
        </w:rPr>
        <w:t>第五部分评审程序、方法和标准</w:t>
      </w:r>
      <w:r>
        <w:rPr>
          <w:rFonts w:hint="eastAsia"/>
          <w:bCs/>
          <w:szCs w:val="48"/>
          <w:highlight w:val="none"/>
          <w:lang w:val="en-US" w:eastAsia="zh-CN"/>
        </w:rPr>
        <w:t>(B包)</w:t>
      </w:r>
      <w:r>
        <w:tab/>
      </w:r>
      <w:r>
        <w:fldChar w:fldCharType="begin"/>
      </w:r>
      <w:r>
        <w:instrText xml:space="preserve"> PAGEREF _Toc25085 \h </w:instrText>
      </w:r>
      <w:r>
        <w:fldChar w:fldCharType="separate"/>
      </w:r>
      <w:r>
        <w:t>215</w:t>
      </w:r>
      <w:r>
        <w:fldChar w:fldCharType="end"/>
      </w:r>
      <w:r>
        <w:rPr>
          <w:color w:val="auto"/>
          <w:szCs w:val="21"/>
          <w:highlight w:val="none"/>
        </w:rPr>
        <w:fldChar w:fldCharType="end"/>
      </w:r>
    </w:p>
    <w:p>
      <w:pPr>
        <w:pStyle w:val="20"/>
        <w:tabs>
          <w:tab w:val="right" w:leader="dot" w:pos="8820"/>
        </w:tabs>
      </w:pPr>
      <w:r>
        <w:rPr>
          <w:color w:val="auto"/>
          <w:szCs w:val="21"/>
          <w:highlight w:val="none"/>
        </w:rPr>
        <w:fldChar w:fldCharType="begin"/>
      </w:r>
      <w:r>
        <w:rPr>
          <w:szCs w:val="21"/>
          <w:highlight w:val="none"/>
        </w:rPr>
        <w:instrText xml:space="preserve"> HYPERLINK \l _Toc2417 </w:instrText>
      </w:r>
      <w:r>
        <w:rPr>
          <w:szCs w:val="21"/>
          <w:highlight w:val="none"/>
        </w:rPr>
        <w:fldChar w:fldCharType="separate"/>
      </w:r>
      <w:r>
        <w:rPr>
          <w:rFonts w:hint="eastAsia"/>
          <w:bCs/>
          <w:szCs w:val="48"/>
          <w:highlight w:val="none"/>
        </w:rPr>
        <w:t>第六部分响应文件格式</w:t>
      </w:r>
      <w:r>
        <w:rPr>
          <w:rFonts w:hint="eastAsia"/>
          <w:bCs/>
          <w:szCs w:val="48"/>
          <w:highlight w:val="none"/>
          <w:lang w:eastAsia="zh-CN"/>
        </w:rPr>
        <w:t>（</w:t>
      </w:r>
      <w:r>
        <w:rPr>
          <w:rFonts w:hint="eastAsia"/>
          <w:bCs/>
          <w:szCs w:val="48"/>
          <w:highlight w:val="none"/>
          <w:lang w:val="en-US" w:eastAsia="zh-CN"/>
        </w:rPr>
        <w:t>A包</w:t>
      </w:r>
      <w:r>
        <w:rPr>
          <w:rFonts w:hint="eastAsia"/>
          <w:bCs/>
          <w:szCs w:val="48"/>
          <w:highlight w:val="none"/>
          <w:lang w:eastAsia="zh-CN"/>
        </w:rPr>
        <w:t>）</w:t>
      </w:r>
      <w:r>
        <w:tab/>
      </w:r>
      <w:r>
        <w:fldChar w:fldCharType="begin"/>
      </w:r>
      <w:r>
        <w:instrText xml:space="preserve"> PAGEREF _Toc2417 \h </w:instrText>
      </w:r>
      <w:r>
        <w:fldChar w:fldCharType="separate"/>
      </w:r>
      <w:r>
        <w:t>225</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_Toc5813 </w:instrText>
      </w:r>
      <w:r>
        <w:rPr>
          <w:szCs w:val="21"/>
          <w:highlight w:val="none"/>
        </w:rPr>
        <w:fldChar w:fldCharType="separate"/>
      </w:r>
      <w:r>
        <w:rPr>
          <w:rFonts w:hint="eastAsia" w:ascii="宋体" w:hAnsi="宋体" w:eastAsia="宋体" w:cs="宋体"/>
          <w:highlight w:val="none"/>
        </w:rPr>
        <w:t>一、报价文件格式</w:t>
      </w:r>
      <w:r>
        <w:tab/>
      </w:r>
      <w:r>
        <w:fldChar w:fldCharType="begin"/>
      </w:r>
      <w:r>
        <w:instrText xml:space="preserve"> PAGEREF _Toc5813 \h </w:instrText>
      </w:r>
      <w:r>
        <w:fldChar w:fldCharType="separate"/>
      </w:r>
      <w:r>
        <w:t>226</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_Toc3537 </w:instrText>
      </w:r>
      <w:r>
        <w:rPr>
          <w:szCs w:val="21"/>
          <w:highlight w:val="none"/>
        </w:rPr>
        <w:fldChar w:fldCharType="separate"/>
      </w:r>
      <w:r>
        <w:rPr>
          <w:rFonts w:hint="eastAsia" w:ascii="宋体" w:hAnsi="宋体" w:eastAsia="宋体" w:cs="宋体"/>
          <w:highlight w:val="none"/>
        </w:rPr>
        <w:t>1、报价函格式</w:t>
      </w:r>
      <w:r>
        <w:tab/>
      </w:r>
      <w:r>
        <w:fldChar w:fldCharType="begin"/>
      </w:r>
      <w:r>
        <w:instrText xml:space="preserve"> PAGEREF _Toc3537 \h </w:instrText>
      </w:r>
      <w:r>
        <w:fldChar w:fldCharType="separate"/>
      </w:r>
      <w:r>
        <w:t>226</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_Toc1522 </w:instrText>
      </w:r>
      <w:r>
        <w:rPr>
          <w:szCs w:val="21"/>
          <w:highlight w:val="none"/>
        </w:rPr>
        <w:fldChar w:fldCharType="separate"/>
      </w:r>
      <w:r>
        <w:rPr>
          <w:rFonts w:hint="eastAsia" w:ascii="宋体" w:hAnsi="宋体" w:eastAsia="宋体" w:cs="宋体"/>
          <w:highlight w:val="none"/>
        </w:rPr>
        <w:t>2、报价一览表格式</w:t>
      </w:r>
      <w:r>
        <w:tab/>
      </w:r>
      <w:r>
        <w:fldChar w:fldCharType="begin"/>
      </w:r>
      <w:r>
        <w:instrText xml:space="preserve"> PAGEREF _Toc1522 \h </w:instrText>
      </w:r>
      <w:r>
        <w:fldChar w:fldCharType="separate"/>
      </w:r>
      <w:r>
        <w:t>227</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_Toc5791 </w:instrText>
      </w:r>
      <w:r>
        <w:rPr>
          <w:szCs w:val="21"/>
          <w:highlight w:val="none"/>
        </w:rPr>
        <w:fldChar w:fldCharType="separate"/>
      </w:r>
      <w:r>
        <w:rPr>
          <w:rFonts w:hint="eastAsia" w:ascii="宋体" w:hAnsi="宋体" w:eastAsia="宋体" w:cs="宋体"/>
          <w:highlight w:val="none"/>
          <w:lang w:val="en-US" w:eastAsia="zh-CN"/>
        </w:rPr>
        <w:t>3</w:t>
      </w:r>
      <w:r>
        <w:rPr>
          <w:rFonts w:hint="eastAsia" w:ascii="宋体" w:hAnsi="宋体" w:eastAsia="宋体" w:cs="宋体"/>
          <w:highlight w:val="none"/>
        </w:rPr>
        <w:t>、 中小企业声明函</w:t>
      </w:r>
      <w:r>
        <w:tab/>
      </w:r>
      <w:r>
        <w:fldChar w:fldCharType="begin"/>
      </w:r>
      <w:r>
        <w:instrText xml:space="preserve"> PAGEREF _Toc5791 \h </w:instrText>
      </w:r>
      <w:r>
        <w:fldChar w:fldCharType="separate"/>
      </w:r>
      <w:r>
        <w:t>229</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_Toc1307 </w:instrText>
      </w:r>
      <w:r>
        <w:rPr>
          <w:szCs w:val="21"/>
          <w:highlight w:val="none"/>
        </w:rPr>
        <w:fldChar w:fldCharType="separate"/>
      </w:r>
      <w:r>
        <w:rPr>
          <w:rFonts w:hint="eastAsia" w:ascii="宋体" w:hAnsi="宋体" w:eastAsia="宋体" w:cs="宋体"/>
          <w:highlight w:val="none"/>
          <w:lang w:val="en-US" w:eastAsia="zh-CN"/>
        </w:rPr>
        <w:t>4</w:t>
      </w:r>
      <w:r>
        <w:rPr>
          <w:rFonts w:hint="eastAsia" w:ascii="宋体" w:hAnsi="宋体" w:eastAsia="宋体" w:cs="宋体"/>
          <w:highlight w:val="none"/>
        </w:rPr>
        <w:t>、 监狱企业证明文件</w:t>
      </w:r>
      <w:r>
        <w:tab/>
      </w:r>
      <w:r>
        <w:fldChar w:fldCharType="begin"/>
      </w:r>
      <w:r>
        <w:instrText xml:space="preserve"> PAGEREF _Toc1307 \h </w:instrText>
      </w:r>
      <w:r>
        <w:fldChar w:fldCharType="separate"/>
      </w:r>
      <w:r>
        <w:t>230</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_Toc29968 </w:instrText>
      </w:r>
      <w:r>
        <w:rPr>
          <w:szCs w:val="21"/>
          <w:highlight w:val="none"/>
        </w:rPr>
        <w:fldChar w:fldCharType="separate"/>
      </w:r>
      <w:r>
        <w:rPr>
          <w:rFonts w:hint="eastAsia" w:ascii="宋体" w:hAnsi="宋体" w:eastAsia="宋体" w:cs="宋体"/>
          <w:highlight w:val="none"/>
          <w:lang w:val="en-US" w:eastAsia="zh-CN"/>
        </w:rPr>
        <w:t>5</w:t>
      </w:r>
      <w:r>
        <w:rPr>
          <w:rFonts w:hint="eastAsia" w:ascii="宋体" w:hAnsi="宋体" w:eastAsia="宋体" w:cs="宋体"/>
          <w:highlight w:val="none"/>
        </w:rPr>
        <w:t>、 残疾人福利性单位声明函</w:t>
      </w:r>
      <w:r>
        <w:tab/>
      </w:r>
      <w:r>
        <w:fldChar w:fldCharType="begin"/>
      </w:r>
      <w:r>
        <w:instrText xml:space="preserve"> PAGEREF _Toc29968 \h </w:instrText>
      </w:r>
      <w:r>
        <w:fldChar w:fldCharType="separate"/>
      </w:r>
      <w:r>
        <w:t>231</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_Toc23591 </w:instrText>
      </w:r>
      <w:r>
        <w:rPr>
          <w:szCs w:val="21"/>
          <w:highlight w:val="none"/>
        </w:rPr>
        <w:fldChar w:fldCharType="separate"/>
      </w:r>
      <w:r>
        <w:rPr>
          <w:rFonts w:hint="eastAsia" w:ascii="宋体" w:hAnsi="宋体" w:eastAsia="宋体" w:cs="宋体"/>
          <w:highlight w:val="none"/>
        </w:rPr>
        <w:t>二、商务响应文件</w:t>
      </w:r>
      <w:r>
        <w:tab/>
      </w:r>
      <w:r>
        <w:fldChar w:fldCharType="begin"/>
      </w:r>
      <w:r>
        <w:instrText xml:space="preserve"> PAGEREF _Toc23591 \h </w:instrText>
      </w:r>
      <w:r>
        <w:fldChar w:fldCharType="separate"/>
      </w:r>
      <w:r>
        <w:t>232</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_Toc1647 </w:instrText>
      </w:r>
      <w:r>
        <w:rPr>
          <w:szCs w:val="21"/>
          <w:highlight w:val="none"/>
        </w:rPr>
        <w:fldChar w:fldCharType="separate"/>
      </w:r>
      <w:r>
        <w:rPr>
          <w:rFonts w:hint="default" w:ascii="宋体" w:hAnsi="宋体" w:eastAsia="宋体" w:cs="Times New Roman"/>
        </w:rPr>
        <w:t xml:space="preserve">1、 </w:t>
      </w:r>
      <w:r>
        <w:rPr>
          <w:rFonts w:hint="eastAsia" w:ascii="宋体" w:hAnsi="宋体" w:eastAsia="宋体" w:cs="宋体"/>
          <w:highlight w:val="none"/>
        </w:rPr>
        <w:t>法人代表身份证明和法定代表人授权委托书格式</w:t>
      </w:r>
      <w:r>
        <w:tab/>
      </w:r>
      <w:r>
        <w:fldChar w:fldCharType="begin"/>
      </w:r>
      <w:r>
        <w:instrText xml:space="preserve"> PAGEREF _Toc1647 \h </w:instrText>
      </w:r>
      <w:r>
        <w:fldChar w:fldCharType="separate"/>
      </w:r>
      <w:r>
        <w:t>232</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_Toc18405 </w:instrText>
      </w:r>
      <w:r>
        <w:rPr>
          <w:szCs w:val="21"/>
          <w:highlight w:val="none"/>
        </w:rPr>
        <w:fldChar w:fldCharType="separate"/>
      </w:r>
      <w:r>
        <w:rPr>
          <w:rFonts w:hint="default" w:ascii="宋体" w:hAnsi="宋体" w:eastAsia="宋体" w:cs="Times New Roman"/>
        </w:rPr>
        <w:t xml:space="preserve">2、 </w:t>
      </w:r>
      <w:r>
        <w:rPr>
          <w:rFonts w:hint="eastAsia" w:ascii="宋体" w:hAnsi="宋体" w:eastAsia="宋体" w:cs="宋体"/>
          <w:highlight w:val="none"/>
        </w:rPr>
        <w:t>商务条款偏离表格式</w:t>
      </w:r>
      <w:r>
        <w:tab/>
      </w:r>
      <w:r>
        <w:fldChar w:fldCharType="begin"/>
      </w:r>
      <w:r>
        <w:instrText xml:space="preserve"> PAGEREF _Toc18405 \h </w:instrText>
      </w:r>
      <w:r>
        <w:fldChar w:fldCharType="separate"/>
      </w:r>
      <w:r>
        <w:t>234</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_Toc18374 </w:instrText>
      </w:r>
      <w:r>
        <w:rPr>
          <w:szCs w:val="21"/>
          <w:highlight w:val="none"/>
        </w:rPr>
        <w:fldChar w:fldCharType="separate"/>
      </w:r>
      <w:r>
        <w:rPr>
          <w:rFonts w:hint="default" w:ascii="宋体" w:hAnsi="宋体" w:eastAsia="宋体" w:cs="Times New Roman"/>
          <w:szCs w:val="28"/>
        </w:rPr>
        <w:t xml:space="preserve">3、 </w:t>
      </w:r>
      <w:r>
        <w:rPr>
          <w:rFonts w:hint="eastAsia" w:ascii="宋体" w:hAnsi="宋体" w:eastAsia="宋体" w:cs="宋体"/>
          <w:highlight w:val="none"/>
        </w:rPr>
        <w:t>供应商基本情况表</w:t>
      </w:r>
      <w:r>
        <w:tab/>
      </w:r>
      <w:r>
        <w:fldChar w:fldCharType="begin"/>
      </w:r>
      <w:r>
        <w:instrText xml:space="preserve"> PAGEREF _Toc18374 \h </w:instrText>
      </w:r>
      <w:r>
        <w:fldChar w:fldCharType="separate"/>
      </w:r>
      <w:r>
        <w:t>235</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_Toc8569 </w:instrText>
      </w:r>
      <w:r>
        <w:rPr>
          <w:szCs w:val="21"/>
          <w:highlight w:val="none"/>
        </w:rPr>
        <w:fldChar w:fldCharType="separate"/>
      </w:r>
      <w:r>
        <w:rPr>
          <w:rFonts w:hint="default" w:cs="Times New Roman"/>
        </w:rPr>
        <w:t xml:space="preserve">4、 </w:t>
      </w:r>
      <w:r>
        <w:rPr>
          <w:rFonts w:hint="eastAsia" w:ascii="宋体" w:hAnsi="宋体" w:eastAsia="宋体" w:cs="宋体"/>
          <w:highlight w:val="none"/>
        </w:rPr>
        <w:t>资格证明文件</w:t>
      </w:r>
      <w:r>
        <w:tab/>
      </w:r>
      <w:r>
        <w:fldChar w:fldCharType="begin"/>
      </w:r>
      <w:r>
        <w:instrText xml:space="preserve"> PAGEREF _Toc8569 \h </w:instrText>
      </w:r>
      <w:r>
        <w:fldChar w:fldCharType="separate"/>
      </w:r>
      <w:r>
        <w:t>236</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_Toc4620 </w:instrText>
      </w:r>
      <w:r>
        <w:rPr>
          <w:szCs w:val="21"/>
          <w:highlight w:val="none"/>
        </w:rPr>
        <w:fldChar w:fldCharType="separate"/>
      </w:r>
      <w:r>
        <w:rPr>
          <w:rFonts w:hint="eastAsia" w:ascii="宋体" w:hAnsi="宋体" w:eastAsia="宋体" w:cs="宋体"/>
          <w:szCs w:val="32"/>
          <w:highlight w:val="none"/>
          <w:lang w:val="en-US" w:eastAsia="zh-CN"/>
        </w:rPr>
        <w:t>5</w:t>
      </w:r>
      <w:r>
        <w:rPr>
          <w:rFonts w:hint="eastAsia" w:ascii="宋体" w:hAnsi="宋体" w:eastAsia="宋体" w:cs="宋体"/>
          <w:szCs w:val="32"/>
          <w:highlight w:val="none"/>
        </w:rPr>
        <w:t>、供应商类似项目业绩一览表</w:t>
      </w:r>
      <w:r>
        <w:tab/>
      </w:r>
      <w:r>
        <w:fldChar w:fldCharType="begin"/>
      </w:r>
      <w:r>
        <w:instrText xml:space="preserve"> PAGEREF _Toc4620 \h </w:instrText>
      </w:r>
      <w:r>
        <w:fldChar w:fldCharType="separate"/>
      </w:r>
      <w:r>
        <w:t>244</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_Toc27200 </w:instrText>
      </w:r>
      <w:r>
        <w:rPr>
          <w:szCs w:val="21"/>
          <w:highlight w:val="none"/>
        </w:rPr>
        <w:fldChar w:fldCharType="separate"/>
      </w:r>
      <w:r>
        <w:rPr>
          <w:rFonts w:hint="eastAsia" w:ascii="宋体" w:hAnsi="宋体" w:eastAsia="宋体" w:cs="宋体"/>
          <w:highlight w:val="none"/>
          <w:lang w:val="en-US" w:eastAsia="zh-CN"/>
        </w:rPr>
        <w:t>6</w:t>
      </w:r>
      <w:r>
        <w:rPr>
          <w:rFonts w:hint="eastAsia" w:ascii="宋体" w:hAnsi="宋体" w:eastAsia="宋体" w:cs="宋体"/>
          <w:highlight w:val="none"/>
        </w:rPr>
        <w:t>、反商业贿赂承诺书</w:t>
      </w:r>
      <w:r>
        <w:tab/>
      </w:r>
      <w:r>
        <w:fldChar w:fldCharType="begin"/>
      </w:r>
      <w:r>
        <w:instrText xml:space="preserve"> PAGEREF _Toc27200 \h </w:instrText>
      </w:r>
      <w:r>
        <w:fldChar w:fldCharType="separate"/>
      </w:r>
      <w:r>
        <w:t>245</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_Toc15119 </w:instrText>
      </w:r>
      <w:r>
        <w:rPr>
          <w:szCs w:val="21"/>
          <w:highlight w:val="none"/>
        </w:rPr>
        <w:fldChar w:fldCharType="separate"/>
      </w:r>
      <w:r>
        <w:rPr>
          <w:rFonts w:hint="eastAsia" w:ascii="宋体" w:hAnsi="宋体" w:eastAsia="宋体" w:cs="宋体"/>
          <w:highlight w:val="none"/>
          <w:lang w:val="en-US" w:eastAsia="zh-CN"/>
        </w:rPr>
        <w:t>7</w:t>
      </w:r>
      <w:r>
        <w:rPr>
          <w:rFonts w:hint="eastAsia" w:ascii="宋体" w:hAnsi="宋体" w:eastAsia="宋体" w:cs="宋体"/>
          <w:highlight w:val="none"/>
        </w:rPr>
        <w:t>、</w:t>
      </w:r>
      <w:r>
        <w:rPr>
          <w:rFonts w:hint="eastAsia" w:eastAsia="宋体" w:cs="宋体"/>
          <w:szCs w:val="32"/>
          <w:highlight w:val="none"/>
        </w:rPr>
        <w:t>诚信投标、诚信履约承诺书</w:t>
      </w:r>
      <w:r>
        <w:tab/>
      </w:r>
      <w:r>
        <w:fldChar w:fldCharType="begin"/>
      </w:r>
      <w:r>
        <w:instrText xml:space="preserve"> PAGEREF _Toc15119 \h </w:instrText>
      </w:r>
      <w:r>
        <w:fldChar w:fldCharType="separate"/>
      </w:r>
      <w:r>
        <w:t>246</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_Toc30415 </w:instrText>
      </w:r>
      <w:r>
        <w:rPr>
          <w:szCs w:val="21"/>
          <w:highlight w:val="none"/>
        </w:rPr>
        <w:fldChar w:fldCharType="separate"/>
      </w:r>
      <w:r>
        <w:rPr>
          <w:rFonts w:hint="eastAsia" w:ascii="宋体" w:hAnsi="宋体" w:eastAsia="宋体" w:cs="宋体"/>
          <w:highlight w:val="none"/>
        </w:rPr>
        <w:t>三、技术响应文件</w:t>
      </w:r>
      <w:r>
        <w:tab/>
      </w:r>
      <w:r>
        <w:fldChar w:fldCharType="begin"/>
      </w:r>
      <w:r>
        <w:instrText xml:space="preserve"> PAGEREF _Toc30415 \h </w:instrText>
      </w:r>
      <w:r>
        <w:fldChar w:fldCharType="separate"/>
      </w:r>
      <w:r>
        <w:t>247</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_Toc18874 </w:instrText>
      </w:r>
      <w:r>
        <w:rPr>
          <w:szCs w:val="21"/>
          <w:highlight w:val="none"/>
        </w:rPr>
        <w:fldChar w:fldCharType="separate"/>
      </w:r>
      <w:r>
        <w:rPr>
          <w:rFonts w:hint="eastAsia" w:ascii="宋体" w:hAnsi="宋体" w:cs="宋体"/>
          <w:lang w:val="en-US" w:eastAsia="zh-CN"/>
        </w:rPr>
        <w:t>1、技术标偏离表</w:t>
      </w:r>
      <w:r>
        <w:tab/>
      </w:r>
      <w:r>
        <w:fldChar w:fldCharType="begin"/>
      </w:r>
      <w:r>
        <w:instrText xml:space="preserve"> PAGEREF _Toc18874 \h </w:instrText>
      </w:r>
      <w:r>
        <w:fldChar w:fldCharType="separate"/>
      </w:r>
      <w:r>
        <w:t>247</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_Toc19559 </w:instrText>
      </w:r>
      <w:r>
        <w:rPr>
          <w:szCs w:val="21"/>
          <w:highlight w:val="none"/>
        </w:rPr>
        <w:fldChar w:fldCharType="separate"/>
      </w:r>
      <w:r>
        <w:rPr>
          <w:rFonts w:hint="eastAsia" w:ascii="宋体" w:hAnsi="宋体" w:eastAsia="宋体" w:cs="宋体"/>
          <w:highlight w:val="none"/>
          <w:lang w:val="en-US" w:eastAsia="zh-CN"/>
        </w:rPr>
        <w:t>2、</w:t>
      </w:r>
      <w:r>
        <w:rPr>
          <w:rFonts w:hint="eastAsia" w:ascii="宋体" w:hAnsi="宋体" w:cs="宋体"/>
          <w:lang w:val="en-US" w:eastAsia="zh-CN"/>
        </w:rPr>
        <w:t>技术方案</w:t>
      </w:r>
      <w:r>
        <w:tab/>
      </w:r>
      <w:r>
        <w:fldChar w:fldCharType="begin"/>
      </w:r>
      <w:r>
        <w:instrText xml:space="preserve"> PAGEREF _Toc19559 \h </w:instrText>
      </w:r>
      <w:r>
        <w:fldChar w:fldCharType="separate"/>
      </w:r>
      <w:r>
        <w:t>248</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_Toc26689 </w:instrText>
      </w:r>
      <w:r>
        <w:rPr>
          <w:szCs w:val="21"/>
          <w:highlight w:val="none"/>
        </w:rPr>
        <w:fldChar w:fldCharType="separate"/>
      </w:r>
      <w:r>
        <w:rPr>
          <w:rFonts w:hint="eastAsia" w:ascii="宋体" w:hAnsi="宋体" w:eastAsia="宋体" w:cs="宋体"/>
          <w:highlight w:val="none"/>
          <w:lang w:val="zh-CN" w:eastAsia="zh-CN"/>
        </w:rPr>
        <w:t>四、供应商认为需要提供的其它文件</w:t>
      </w:r>
      <w:r>
        <w:tab/>
      </w:r>
      <w:r>
        <w:fldChar w:fldCharType="begin"/>
      </w:r>
      <w:r>
        <w:instrText xml:space="preserve"> PAGEREF _Toc26689 \h </w:instrText>
      </w:r>
      <w:r>
        <w:fldChar w:fldCharType="separate"/>
      </w:r>
      <w:r>
        <w:t>249</w:t>
      </w:r>
      <w:r>
        <w:fldChar w:fldCharType="end"/>
      </w:r>
      <w:r>
        <w:rPr>
          <w:color w:val="auto"/>
          <w:szCs w:val="21"/>
          <w:highlight w:val="none"/>
        </w:rPr>
        <w:fldChar w:fldCharType="end"/>
      </w:r>
    </w:p>
    <w:p>
      <w:pPr>
        <w:pStyle w:val="20"/>
        <w:tabs>
          <w:tab w:val="right" w:leader="dot" w:pos="8820"/>
        </w:tabs>
      </w:pPr>
      <w:r>
        <w:rPr>
          <w:color w:val="auto"/>
          <w:szCs w:val="21"/>
          <w:highlight w:val="none"/>
        </w:rPr>
        <w:fldChar w:fldCharType="begin"/>
      </w:r>
      <w:r>
        <w:rPr>
          <w:szCs w:val="21"/>
          <w:highlight w:val="none"/>
        </w:rPr>
        <w:instrText xml:space="preserve"> HYPERLINK \l _Toc9857 </w:instrText>
      </w:r>
      <w:r>
        <w:rPr>
          <w:szCs w:val="21"/>
          <w:highlight w:val="none"/>
        </w:rPr>
        <w:fldChar w:fldCharType="separate"/>
      </w:r>
      <w:r>
        <w:rPr>
          <w:rFonts w:hint="eastAsia" w:cs="宋体"/>
          <w:bCs/>
          <w:szCs w:val="48"/>
          <w:highlight w:val="none"/>
        </w:rPr>
        <w:t>第六部分响应文件格式</w:t>
      </w:r>
      <w:r>
        <w:rPr>
          <w:rFonts w:hint="eastAsia" w:cs="宋体"/>
          <w:bCs/>
          <w:szCs w:val="48"/>
          <w:highlight w:val="none"/>
          <w:lang w:val="en-US" w:eastAsia="zh-CN"/>
        </w:rPr>
        <w:t>(B包)</w:t>
      </w:r>
      <w:r>
        <w:tab/>
      </w:r>
      <w:r>
        <w:fldChar w:fldCharType="begin"/>
      </w:r>
      <w:r>
        <w:instrText xml:space="preserve"> PAGEREF _Toc9857 \h </w:instrText>
      </w:r>
      <w:r>
        <w:fldChar w:fldCharType="separate"/>
      </w:r>
      <w:r>
        <w:t>250</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_Toc32262 </w:instrText>
      </w:r>
      <w:r>
        <w:rPr>
          <w:szCs w:val="21"/>
          <w:highlight w:val="none"/>
        </w:rPr>
        <w:fldChar w:fldCharType="separate"/>
      </w:r>
      <w:r>
        <w:rPr>
          <w:rFonts w:hint="eastAsia" w:ascii="宋体" w:hAnsi="宋体" w:eastAsia="宋体" w:cs="宋体"/>
          <w:highlight w:val="none"/>
        </w:rPr>
        <w:t>一、报价文件格式</w:t>
      </w:r>
      <w:r>
        <w:tab/>
      </w:r>
      <w:r>
        <w:fldChar w:fldCharType="begin"/>
      </w:r>
      <w:r>
        <w:instrText xml:space="preserve"> PAGEREF _Toc32262 \h </w:instrText>
      </w:r>
      <w:r>
        <w:fldChar w:fldCharType="separate"/>
      </w:r>
      <w:r>
        <w:t>251</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_Toc10649 </w:instrText>
      </w:r>
      <w:r>
        <w:rPr>
          <w:szCs w:val="21"/>
          <w:highlight w:val="none"/>
        </w:rPr>
        <w:fldChar w:fldCharType="separate"/>
      </w:r>
      <w:r>
        <w:rPr>
          <w:rFonts w:hint="eastAsia" w:ascii="宋体" w:hAnsi="宋体" w:eastAsia="宋体" w:cs="宋体"/>
          <w:highlight w:val="none"/>
        </w:rPr>
        <w:t>1、报价函格式</w:t>
      </w:r>
      <w:r>
        <w:tab/>
      </w:r>
      <w:r>
        <w:fldChar w:fldCharType="begin"/>
      </w:r>
      <w:r>
        <w:instrText xml:space="preserve"> PAGEREF _Toc10649 \h </w:instrText>
      </w:r>
      <w:r>
        <w:fldChar w:fldCharType="separate"/>
      </w:r>
      <w:r>
        <w:t>251</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_Toc5552 </w:instrText>
      </w:r>
      <w:r>
        <w:rPr>
          <w:szCs w:val="21"/>
          <w:highlight w:val="none"/>
        </w:rPr>
        <w:fldChar w:fldCharType="separate"/>
      </w:r>
      <w:r>
        <w:rPr>
          <w:rFonts w:hint="eastAsia" w:ascii="宋体" w:hAnsi="宋体" w:eastAsia="宋体" w:cs="宋体"/>
          <w:highlight w:val="none"/>
        </w:rPr>
        <w:t>2、报价一览表格式</w:t>
      </w:r>
      <w:r>
        <w:tab/>
      </w:r>
      <w:r>
        <w:fldChar w:fldCharType="begin"/>
      </w:r>
      <w:r>
        <w:instrText xml:space="preserve"> PAGEREF _Toc5552 \h </w:instrText>
      </w:r>
      <w:r>
        <w:fldChar w:fldCharType="separate"/>
      </w:r>
      <w:r>
        <w:t>253</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_Toc22783 </w:instrText>
      </w:r>
      <w:r>
        <w:rPr>
          <w:szCs w:val="21"/>
          <w:highlight w:val="none"/>
        </w:rPr>
        <w:fldChar w:fldCharType="separate"/>
      </w:r>
      <w:r>
        <w:rPr>
          <w:rFonts w:hint="eastAsia" w:ascii="宋体" w:hAnsi="宋体" w:eastAsia="宋体" w:cs="宋体"/>
          <w:szCs w:val="21"/>
          <w:highlight w:val="none"/>
          <w:lang w:val="en-US" w:eastAsia="zh-CN"/>
        </w:rPr>
        <w:t>3</w:t>
      </w:r>
      <w:r>
        <w:rPr>
          <w:rFonts w:hint="eastAsia" w:ascii="宋体" w:hAnsi="宋体" w:eastAsia="宋体" w:cs="宋体"/>
          <w:highlight w:val="none"/>
        </w:rPr>
        <w:t>、 中小企业声明函</w:t>
      </w:r>
      <w:r>
        <w:tab/>
      </w:r>
      <w:r>
        <w:fldChar w:fldCharType="begin"/>
      </w:r>
      <w:r>
        <w:instrText xml:space="preserve"> PAGEREF _Toc22783 \h </w:instrText>
      </w:r>
      <w:r>
        <w:fldChar w:fldCharType="separate"/>
      </w:r>
      <w:r>
        <w:t>254</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_Toc6641 </w:instrText>
      </w:r>
      <w:r>
        <w:rPr>
          <w:szCs w:val="21"/>
          <w:highlight w:val="none"/>
        </w:rPr>
        <w:fldChar w:fldCharType="separate"/>
      </w:r>
      <w:r>
        <w:rPr>
          <w:rFonts w:hint="eastAsia" w:ascii="宋体" w:hAnsi="宋体" w:cs="宋体"/>
          <w:highlight w:val="none"/>
          <w:lang w:val="en-US" w:eastAsia="zh-CN"/>
        </w:rPr>
        <w:t>4</w:t>
      </w:r>
      <w:r>
        <w:rPr>
          <w:rFonts w:hint="eastAsia" w:ascii="宋体" w:hAnsi="宋体" w:eastAsia="宋体" w:cs="宋体"/>
          <w:highlight w:val="none"/>
        </w:rPr>
        <w:t>、 监狱企业证明文件</w:t>
      </w:r>
      <w:r>
        <w:tab/>
      </w:r>
      <w:r>
        <w:fldChar w:fldCharType="begin"/>
      </w:r>
      <w:r>
        <w:instrText xml:space="preserve"> PAGEREF _Toc6641 \h </w:instrText>
      </w:r>
      <w:r>
        <w:fldChar w:fldCharType="separate"/>
      </w:r>
      <w:r>
        <w:t>256</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_Toc30744 </w:instrText>
      </w:r>
      <w:r>
        <w:rPr>
          <w:szCs w:val="21"/>
          <w:highlight w:val="none"/>
        </w:rPr>
        <w:fldChar w:fldCharType="separate"/>
      </w:r>
      <w:r>
        <w:rPr>
          <w:rFonts w:hint="eastAsia" w:ascii="宋体" w:hAnsi="宋体" w:cs="宋体"/>
          <w:highlight w:val="none"/>
          <w:lang w:val="en-US" w:eastAsia="zh-CN"/>
        </w:rPr>
        <w:t>5</w:t>
      </w:r>
      <w:r>
        <w:rPr>
          <w:rFonts w:hint="eastAsia" w:ascii="宋体" w:hAnsi="宋体" w:eastAsia="宋体" w:cs="宋体"/>
          <w:highlight w:val="none"/>
        </w:rPr>
        <w:t>、 残疾人福利性单位声明函</w:t>
      </w:r>
      <w:r>
        <w:tab/>
      </w:r>
      <w:r>
        <w:fldChar w:fldCharType="begin"/>
      </w:r>
      <w:r>
        <w:instrText xml:space="preserve"> PAGEREF _Toc30744 \h </w:instrText>
      </w:r>
      <w:r>
        <w:fldChar w:fldCharType="separate"/>
      </w:r>
      <w:r>
        <w:t>257</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_Toc19994 </w:instrText>
      </w:r>
      <w:r>
        <w:rPr>
          <w:szCs w:val="21"/>
          <w:highlight w:val="none"/>
        </w:rPr>
        <w:fldChar w:fldCharType="separate"/>
      </w:r>
      <w:r>
        <w:rPr>
          <w:rFonts w:hint="eastAsia" w:ascii="宋体" w:hAnsi="宋体" w:eastAsia="宋体" w:cs="宋体"/>
          <w:highlight w:val="none"/>
        </w:rPr>
        <w:t>二、商务响应文件</w:t>
      </w:r>
      <w:r>
        <w:tab/>
      </w:r>
      <w:r>
        <w:fldChar w:fldCharType="begin"/>
      </w:r>
      <w:r>
        <w:instrText xml:space="preserve"> PAGEREF _Toc19994 \h </w:instrText>
      </w:r>
      <w:r>
        <w:fldChar w:fldCharType="separate"/>
      </w:r>
      <w:r>
        <w:t>258</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_Toc16482 </w:instrText>
      </w:r>
      <w:r>
        <w:rPr>
          <w:szCs w:val="21"/>
          <w:highlight w:val="none"/>
        </w:rPr>
        <w:fldChar w:fldCharType="separate"/>
      </w:r>
      <w:r>
        <w:rPr>
          <w:rFonts w:hint="eastAsia" w:ascii="宋体" w:hAnsi="宋体" w:eastAsia="宋体" w:cs="宋体"/>
          <w:highlight w:val="none"/>
          <w:lang w:val="en-US" w:eastAsia="zh-CN"/>
        </w:rPr>
        <w:t>1、</w:t>
      </w:r>
      <w:r>
        <w:rPr>
          <w:rFonts w:hint="eastAsia" w:ascii="宋体" w:hAnsi="宋体" w:eastAsia="宋体" w:cs="宋体"/>
          <w:highlight w:val="none"/>
        </w:rPr>
        <w:t>法人代表身份证明和法定代表人授权委托书格式</w:t>
      </w:r>
      <w:r>
        <w:tab/>
      </w:r>
      <w:r>
        <w:fldChar w:fldCharType="begin"/>
      </w:r>
      <w:r>
        <w:instrText xml:space="preserve"> PAGEREF _Toc16482 \h </w:instrText>
      </w:r>
      <w:r>
        <w:fldChar w:fldCharType="separate"/>
      </w:r>
      <w:r>
        <w:t>258</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_Toc31630 </w:instrText>
      </w:r>
      <w:r>
        <w:rPr>
          <w:szCs w:val="21"/>
          <w:highlight w:val="none"/>
        </w:rPr>
        <w:fldChar w:fldCharType="separate"/>
      </w:r>
      <w:r>
        <w:rPr>
          <w:rFonts w:hint="eastAsia" w:ascii="宋体" w:hAnsi="宋体" w:eastAsia="宋体" w:cs="宋体"/>
          <w:highlight w:val="none"/>
          <w:lang w:val="en-US" w:eastAsia="zh-CN"/>
        </w:rPr>
        <w:t>2、</w:t>
      </w:r>
      <w:r>
        <w:rPr>
          <w:rFonts w:hint="eastAsia" w:ascii="宋体" w:hAnsi="宋体" w:eastAsia="宋体" w:cs="宋体"/>
          <w:highlight w:val="none"/>
        </w:rPr>
        <w:t>商务条款偏离表格式</w:t>
      </w:r>
      <w:r>
        <w:tab/>
      </w:r>
      <w:r>
        <w:fldChar w:fldCharType="begin"/>
      </w:r>
      <w:r>
        <w:instrText xml:space="preserve"> PAGEREF _Toc31630 \h </w:instrText>
      </w:r>
      <w:r>
        <w:fldChar w:fldCharType="separate"/>
      </w:r>
      <w:r>
        <w:t>260</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_Toc1841 </w:instrText>
      </w:r>
      <w:r>
        <w:rPr>
          <w:szCs w:val="21"/>
          <w:highlight w:val="none"/>
        </w:rPr>
        <w:fldChar w:fldCharType="separate"/>
      </w:r>
      <w:r>
        <w:rPr>
          <w:rFonts w:hint="eastAsia" w:ascii="宋体" w:hAnsi="宋体" w:eastAsia="宋体" w:cs="宋体"/>
          <w:highlight w:val="none"/>
          <w:lang w:val="en-US" w:eastAsia="zh-CN"/>
        </w:rPr>
        <w:t>3、</w:t>
      </w:r>
      <w:r>
        <w:rPr>
          <w:rFonts w:hint="eastAsia" w:ascii="宋体" w:hAnsi="宋体" w:eastAsia="宋体" w:cs="宋体"/>
          <w:highlight w:val="none"/>
        </w:rPr>
        <w:t>项目管理机构</w:t>
      </w:r>
      <w:r>
        <w:tab/>
      </w:r>
      <w:r>
        <w:fldChar w:fldCharType="begin"/>
      </w:r>
      <w:r>
        <w:instrText xml:space="preserve"> PAGEREF _Toc1841 \h </w:instrText>
      </w:r>
      <w:r>
        <w:fldChar w:fldCharType="separate"/>
      </w:r>
      <w:r>
        <w:t>261</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_Toc4932 </w:instrText>
      </w:r>
      <w:r>
        <w:rPr>
          <w:szCs w:val="21"/>
          <w:highlight w:val="none"/>
        </w:rPr>
        <w:fldChar w:fldCharType="separate"/>
      </w:r>
      <w:r>
        <w:rPr>
          <w:rFonts w:hint="eastAsia" w:ascii="宋体" w:hAnsi="宋体" w:eastAsia="宋体" w:cs="宋体"/>
          <w:highlight w:val="none"/>
          <w:lang w:val="en-US" w:eastAsia="zh-CN"/>
        </w:rPr>
        <w:t>4、</w:t>
      </w:r>
      <w:r>
        <w:rPr>
          <w:rFonts w:hint="eastAsia" w:ascii="宋体" w:hAnsi="宋体" w:eastAsia="宋体" w:cs="宋体"/>
          <w:highlight w:val="none"/>
        </w:rPr>
        <w:t>供应商基本情况表</w:t>
      </w:r>
      <w:r>
        <w:tab/>
      </w:r>
      <w:r>
        <w:fldChar w:fldCharType="begin"/>
      </w:r>
      <w:r>
        <w:instrText xml:space="preserve"> PAGEREF _Toc4932 \h </w:instrText>
      </w:r>
      <w:r>
        <w:fldChar w:fldCharType="separate"/>
      </w:r>
      <w:r>
        <w:t>263</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_Toc28361 </w:instrText>
      </w:r>
      <w:r>
        <w:rPr>
          <w:szCs w:val="21"/>
          <w:highlight w:val="none"/>
        </w:rPr>
        <w:fldChar w:fldCharType="separate"/>
      </w:r>
      <w:r>
        <w:rPr>
          <w:rFonts w:hint="default" w:cs="Times New Roman"/>
        </w:rPr>
        <w:t xml:space="preserve">5、 </w:t>
      </w:r>
      <w:r>
        <w:rPr>
          <w:rFonts w:hint="eastAsia" w:ascii="宋体" w:hAnsi="宋体" w:eastAsia="宋体" w:cs="宋体"/>
          <w:highlight w:val="none"/>
        </w:rPr>
        <w:t>资格证明文件</w:t>
      </w:r>
      <w:r>
        <w:tab/>
      </w:r>
      <w:r>
        <w:fldChar w:fldCharType="begin"/>
      </w:r>
      <w:r>
        <w:instrText xml:space="preserve"> PAGEREF _Toc28361 \h </w:instrText>
      </w:r>
      <w:r>
        <w:fldChar w:fldCharType="separate"/>
      </w:r>
      <w:r>
        <w:t>264</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_Toc30449 </w:instrText>
      </w:r>
      <w:r>
        <w:rPr>
          <w:szCs w:val="21"/>
          <w:highlight w:val="none"/>
        </w:rPr>
        <w:fldChar w:fldCharType="separate"/>
      </w:r>
      <w:r>
        <w:rPr>
          <w:rFonts w:hint="eastAsia" w:ascii="Times New Roman" w:hAnsi="Times New Roman" w:cs="Times New Roman"/>
          <w:szCs w:val="28"/>
          <w:highlight w:val="none"/>
          <w:lang w:val="en-US" w:eastAsia="zh-CN"/>
        </w:rPr>
        <w:t>6、</w:t>
      </w:r>
      <w:r>
        <w:rPr>
          <w:rFonts w:hint="eastAsia" w:ascii="宋体" w:hAnsi="宋体" w:eastAsia="宋体" w:cs="宋体"/>
          <w:szCs w:val="32"/>
          <w:highlight w:val="none"/>
        </w:rPr>
        <w:t>供应商类似项目业绩一览表</w:t>
      </w:r>
      <w:r>
        <w:tab/>
      </w:r>
      <w:r>
        <w:fldChar w:fldCharType="begin"/>
      </w:r>
      <w:r>
        <w:instrText xml:space="preserve"> PAGEREF _Toc30449 \h </w:instrText>
      </w:r>
      <w:r>
        <w:fldChar w:fldCharType="separate"/>
      </w:r>
      <w:r>
        <w:t>272</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_Toc131 </w:instrText>
      </w:r>
      <w:r>
        <w:rPr>
          <w:szCs w:val="21"/>
          <w:highlight w:val="none"/>
        </w:rPr>
        <w:fldChar w:fldCharType="separate"/>
      </w:r>
      <w:r>
        <w:rPr>
          <w:rFonts w:hint="eastAsia" w:ascii="宋体" w:hAnsi="宋体" w:eastAsia="宋体" w:cs="宋体"/>
          <w:highlight w:val="none"/>
          <w:lang w:val="en-US" w:eastAsia="zh-CN"/>
        </w:rPr>
        <w:t>7、</w:t>
      </w:r>
      <w:r>
        <w:rPr>
          <w:rFonts w:hint="eastAsia" w:ascii="宋体" w:hAnsi="宋体" w:eastAsia="宋体" w:cs="宋体"/>
          <w:highlight w:val="none"/>
        </w:rPr>
        <w:t>反商业贿赂承诺书</w:t>
      </w:r>
      <w:r>
        <w:tab/>
      </w:r>
      <w:r>
        <w:fldChar w:fldCharType="begin"/>
      </w:r>
      <w:r>
        <w:instrText xml:space="preserve"> PAGEREF _Toc131 \h </w:instrText>
      </w:r>
      <w:r>
        <w:fldChar w:fldCharType="separate"/>
      </w:r>
      <w:r>
        <w:t>273</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_Toc26394 </w:instrText>
      </w:r>
      <w:r>
        <w:rPr>
          <w:szCs w:val="21"/>
          <w:highlight w:val="none"/>
        </w:rPr>
        <w:fldChar w:fldCharType="separate"/>
      </w:r>
      <w:r>
        <w:rPr>
          <w:rFonts w:hint="eastAsia"/>
          <w:szCs w:val="32"/>
          <w:highlight w:val="none"/>
          <w:lang w:val="en-US" w:eastAsia="zh-CN"/>
        </w:rPr>
        <w:t>8、</w:t>
      </w:r>
      <w:r>
        <w:rPr>
          <w:rFonts w:hint="eastAsia" w:ascii="宋体" w:hAnsi="宋体" w:eastAsia="宋体" w:cs="宋体"/>
          <w:highlight w:val="none"/>
        </w:rPr>
        <w:t>承诺书</w:t>
      </w:r>
      <w:r>
        <w:tab/>
      </w:r>
      <w:r>
        <w:fldChar w:fldCharType="begin"/>
      </w:r>
      <w:r>
        <w:instrText xml:space="preserve"> PAGEREF _Toc26394 \h </w:instrText>
      </w:r>
      <w:r>
        <w:fldChar w:fldCharType="separate"/>
      </w:r>
      <w:r>
        <w:t>274</w:t>
      </w:r>
      <w:r>
        <w:fldChar w:fldCharType="end"/>
      </w:r>
      <w:r>
        <w:rPr>
          <w:color w:val="auto"/>
          <w:szCs w:val="21"/>
          <w:highlight w:val="none"/>
        </w:rPr>
        <w:fldChar w:fldCharType="end"/>
      </w:r>
    </w:p>
    <w:p>
      <w:pPr>
        <w:pStyle w:val="22"/>
        <w:tabs>
          <w:tab w:val="right" w:leader="dot" w:pos="8820"/>
        </w:tabs>
        <w:rPr>
          <w:rFonts w:hint="eastAsia" w:eastAsia="宋体"/>
          <w:lang w:val="en-US" w:eastAsia="zh-CN"/>
        </w:rPr>
      </w:pPr>
      <w:r>
        <w:rPr>
          <w:color w:val="auto"/>
          <w:szCs w:val="21"/>
          <w:highlight w:val="none"/>
        </w:rPr>
        <w:fldChar w:fldCharType="begin"/>
      </w:r>
      <w:r>
        <w:rPr>
          <w:szCs w:val="21"/>
          <w:highlight w:val="none"/>
        </w:rPr>
        <w:instrText xml:space="preserve"> HYPERLINK \l _Toc11551 </w:instrText>
      </w:r>
      <w:r>
        <w:rPr>
          <w:szCs w:val="21"/>
          <w:highlight w:val="none"/>
        </w:rPr>
        <w:fldChar w:fldCharType="separate"/>
      </w:r>
      <w:r>
        <w:rPr>
          <w:rFonts w:hint="eastAsia" w:eastAsia="宋体" w:cs="宋体"/>
          <w:szCs w:val="32"/>
          <w:highlight w:val="none"/>
          <w:lang w:val="en-US" w:eastAsia="zh-CN"/>
        </w:rPr>
        <w:t>9、</w:t>
      </w:r>
      <w:r>
        <w:rPr>
          <w:rFonts w:hint="eastAsia" w:eastAsia="宋体" w:cs="宋体"/>
          <w:szCs w:val="32"/>
          <w:highlight w:val="none"/>
        </w:rPr>
        <w:t>诚信投标、诚信履约承诺书</w:t>
      </w:r>
      <w:r>
        <w:tab/>
      </w:r>
      <w:r>
        <w:fldChar w:fldCharType="begin"/>
      </w:r>
      <w:r>
        <w:instrText xml:space="preserve"> PAGEREF _Toc11551 \h </w:instrText>
      </w:r>
      <w:r>
        <w:fldChar w:fldCharType="separate"/>
      </w:r>
      <w:r>
        <w:t>275</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_Toc8870 </w:instrText>
      </w:r>
      <w:r>
        <w:rPr>
          <w:szCs w:val="21"/>
          <w:highlight w:val="none"/>
        </w:rPr>
        <w:fldChar w:fldCharType="separate"/>
      </w:r>
      <w:r>
        <w:rPr>
          <w:rFonts w:hint="eastAsia" w:ascii="宋体" w:hAnsi="宋体" w:eastAsia="宋体" w:cs="宋体"/>
          <w:highlight w:val="none"/>
        </w:rPr>
        <w:t>三、技术响应文件</w:t>
      </w:r>
      <w:r>
        <w:tab/>
      </w:r>
      <w:r>
        <w:fldChar w:fldCharType="begin"/>
      </w:r>
      <w:r>
        <w:instrText xml:space="preserve"> PAGEREF _Toc8870 \h </w:instrText>
      </w:r>
      <w:r>
        <w:fldChar w:fldCharType="separate"/>
      </w:r>
      <w:r>
        <w:t>276</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_Toc3196 </w:instrText>
      </w:r>
      <w:r>
        <w:rPr>
          <w:szCs w:val="21"/>
          <w:highlight w:val="none"/>
        </w:rPr>
        <w:fldChar w:fldCharType="separate"/>
      </w:r>
      <w:r>
        <w:rPr>
          <w:rFonts w:hint="eastAsia" w:ascii="宋体" w:hAnsi="宋体" w:eastAsia="宋体" w:cs="宋体"/>
          <w:highlight w:val="none"/>
        </w:rPr>
        <w:t>1、</w:t>
      </w:r>
      <w:r>
        <w:rPr>
          <w:rFonts w:hint="eastAsia" w:ascii="宋体" w:hAnsi="宋体" w:cs="宋体"/>
          <w:lang w:eastAsia="zh-CN"/>
        </w:rPr>
        <w:t>施工组织设计</w:t>
      </w:r>
      <w:r>
        <w:tab/>
      </w:r>
      <w:r>
        <w:fldChar w:fldCharType="begin"/>
      </w:r>
      <w:r>
        <w:instrText xml:space="preserve"> PAGEREF _Toc3196 \h </w:instrText>
      </w:r>
      <w:r>
        <w:fldChar w:fldCharType="separate"/>
      </w:r>
      <w:r>
        <w:t>276</w:t>
      </w:r>
      <w:r>
        <w:fldChar w:fldCharType="end"/>
      </w:r>
      <w:r>
        <w:rPr>
          <w:color w:val="auto"/>
          <w:szCs w:val="21"/>
          <w:highlight w:val="none"/>
        </w:rPr>
        <w:fldChar w:fldCharType="end"/>
      </w:r>
    </w:p>
    <w:p>
      <w:pPr>
        <w:pStyle w:val="22"/>
        <w:tabs>
          <w:tab w:val="right" w:leader="dot" w:pos="8820"/>
        </w:tabs>
      </w:pPr>
      <w:r>
        <w:rPr>
          <w:color w:val="auto"/>
          <w:szCs w:val="21"/>
          <w:highlight w:val="none"/>
        </w:rPr>
        <w:fldChar w:fldCharType="begin"/>
      </w:r>
      <w:r>
        <w:rPr>
          <w:szCs w:val="21"/>
          <w:highlight w:val="none"/>
        </w:rPr>
        <w:instrText xml:space="preserve"> HYPERLINK \l _Toc19494 </w:instrText>
      </w:r>
      <w:r>
        <w:rPr>
          <w:szCs w:val="21"/>
          <w:highlight w:val="none"/>
        </w:rPr>
        <w:fldChar w:fldCharType="separate"/>
      </w:r>
      <w:r>
        <w:rPr>
          <w:rFonts w:hint="eastAsia" w:ascii="宋体" w:hAnsi="宋体" w:eastAsia="宋体" w:cs="宋体"/>
          <w:highlight w:val="none"/>
        </w:rPr>
        <w:t>四、供应商认为需要提供的其它文件</w:t>
      </w:r>
      <w:r>
        <w:tab/>
      </w:r>
      <w:r>
        <w:fldChar w:fldCharType="begin"/>
      </w:r>
      <w:r>
        <w:instrText xml:space="preserve"> PAGEREF _Toc19494 \h </w:instrText>
      </w:r>
      <w:r>
        <w:fldChar w:fldCharType="separate"/>
      </w:r>
      <w:r>
        <w:t>277</w:t>
      </w:r>
      <w:r>
        <w:fldChar w:fldCharType="end"/>
      </w:r>
      <w:r>
        <w:rPr>
          <w:color w:val="auto"/>
          <w:szCs w:val="21"/>
          <w:highlight w:val="none"/>
        </w:rPr>
        <w:fldChar w:fldCharType="end"/>
      </w:r>
    </w:p>
    <w:p>
      <w:pPr>
        <w:pageBreakBefore/>
        <w:spacing w:before="100" w:after="100" w:line="360" w:lineRule="auto"/>
        <w:ind w:left="420" w:leftChars="0" w:firstLine="420" w:firstLineChars="0"/>
        <w:jc w:val="center"/>
        <w:outlineLvl w:val="0"/>
        <w:rPr>
          <w:color w:val="auto"/>
          <w:sz w:val="48"/>
          <w:szCs w:val="48"/>
          <w:highlight w:val="none"/>
        </w:rPr>
      </w:pPr>
      <w:bookmarkStart w:id="7" w:name="_Toc30037"/>
      <w:r>
        <w:rPr>
          <w:color w:val="auto"/>
          <w:szCs w:val="21"/>
          <w:highlight w:val="none"/>
        </w:rPr>
        <w:fldChar w:fldCharType="end"/>
      </w:r>
      <w:bookmarkStart w:id="8" w:name="_Toc30303"/>
      <w:bookmarkStart w:id="9" w:name="_Toc317237597"/>
      <w:bookmarkStart w:id="10" w:name="_Toc477188628"/>
      <w:r>
        <w:rPr>
          <w:rFonts w:hint="eastAsia"/>
          <w:color w:val="auto"/>
          <w:sz w:val="44"/>
          <w:szCs w:val="44"/>
          <w:highlight w:val="none"/>
        </w:rPr>
        <w:t>第一部分采购邀请</w:t>
      </w:r>
      <w:bookmarkEnd w:id="5"/>
      <w:bookmarkEnd w:id="6"/>
      <w:bookmarkEnd w:id="7"/>
      <w:bookmarkEnd w:id="8"/>
    </w:p>
    <w:bookmarkEnd w:id="9"/>
    <w:bookmarkEnd w:id="10"/>
    <w:p>
      <w:pPr>
        <w:spacing w:line="400" w:lineRule="exact"/>
        <w:ind w:firstLine="480" w:firstLineChars="200"/>
        <w:jc w:val="right"/>
        <w:rPr>
          <w:rFonts w:hint="eastAsia"/>
          <w:color w:val="auto"/>
          <w:sz w:val="24"/>
          <w:highlight w:val="none"/>
        </w:rPr>
      </w:pPr>
    </w:p>
    <w:p>
      <w:pPr>
        <w:spacing w:line="400" w:lineRule="exact"/>
        <w:ind w:firstLine="480" w:firstLineChars="200"/>
        <w:rPr>
          <w:rFonts w:hint="eastAsia"/>
          <w:color w:val="auto"/>
          <w:sz w:val="24"/>
          <w:highlight w:val="none"/>
        </w:rPr>
      </w:pPr>
      <w:r>
        <w:rPr>
          <w:rFonts w:hint="eastAsia"/>
          <w:color w:val="auto"/>
          <w:sz w:val="24"/>
          <w:highlight w:val="none"/>
        </w:rPr>
        <w:t>项目概况</w:t>
      </w:r>
    </w:p>
    <w:p>
      <w:pPr>
        <w:spacing w:line="400" w:lineRule="exact"/>
        <w:ind w:firstLine="480" w:firstLineChars="200"/>
        <w:rPr>
          <w:rFonts w:hint="eastAsia"/>
          <w:color w:val="auto"/>
          <w:sz w:val="24"/>
          <w:highlight w:val="none"/>
        </w:rPr>
      </w:pPr>
      <w:r>
        <w:rPr>
          <w:rFonts w:hint="eastAsia"/>
          <w:color w:val="auto"/>
          <w:sz w:val="24"/>
          <w:highlight w:val="none"/>
          <w:lang w:val="en-US" w:eastAsia="zh-CN"/>
        </w:rPr>
        <w:t>港门海岸派出所建设综合勤务指挥室及营区修缮项目</w:t>
      </w:r>
      <w:r>
        <w:rPr>
          <w:rFonts w:hint="eastAsia"/>
          <w:color w:val="auto"/>
          <w:sz w:val="24"/>
          <w:highlight w:val="none"/>
        </w:rPr>
        <w:t>采购项目的潜在供应商应在全国公共资源交易平台（海南省）（http://zw.hainan.gov.cn/ggzy/）获取采购文件，并于 202</w:t>
      </w:r>
      <w:r>
        <w:rPr>
          <w:rFonts w:hint="eastAsia"/>
          <w:color w:val="auto"/>
          <w:sz w:val="24"/>
          <w:highlight w:val="none"/>
          <w:lang w:val="en-US" w:eastAsia="zh-CN"/>
        </w:rPr>
        <w:t>2</w:t>
      </w:r>
      <w:r>
        <w:rPr>
          <w:rFonts w:hint="eastAsia"/>
          <w:color w:val="auto"/>
          <w:sz w:val="24"/>
          <w:highlight w:val="none"/>
        </w:rPr>
        <w:t>年</w:t>
      </w:r>
      <w:r>
        <w:rPr>
          <w:rFonts w:hint="eastAsia"/>
          <w:color w:val="auto"/>
          <w:sz w:val="24"/>
          <w:highlight w:val="none"/>
          <w:lang w:val="en-US" w:eastAsia="zh-CN"/>
        </w:rPr>
        <w:t>2</w:t>
      </w:r>
      <w:r>
        <w:rPr>
          <w:rFonts w:hint="eastAsia"/>
          <w:color w:val="auto"/>
          <w:sz w:val="24"/>
          <w:highlight w:val="none"/>
        </w:rPr>
        <w:t>月</w:t>
      </w:r>
      <w:r>
        <w:rPr>
          <w:rFonts w:hint="eastAsia"/>
          <w:color w:val="auto"/>
          <w:sz w:val="24"/>
          <w:highlight w:val="none"/>
          <w:lang w:val="en-US" w:eastAsia="zh-CN"/>
        </w:rPr>
        <w:t>14</w:t>
      </w:r>
      <w:r>
        <w:rPr>
          <w:rFonts w:hint="eastAsia"/>
          <w:color w:val="auto"/>
          <w:sz w:val="24"/>
          <w:highlight w:val="none"/>
        </w:rPr>
        <w:t>日</w:t>
      </w:r>
      <w:r>
        <w:rPr>
          <w:rFonts w:hint="eastAsia"/>
          <w:color w:val="auto"/>
          <w:sz w:val="24"/>
          <w:highlight w:val="none"/>
          <w:lang w:val="en-US" w:eastAsia="zh-CN"/>
        </w:rPr>
        <w:t>9</w:t>
      </w:r>
      <w:r>
        <w:rPr>
          <w:rFonts w:hint="eastAsia"/>
          <w:color w:val="auto"/>
          <w:sz w:val="24"/>
          <w:highlight w:val="none"/>
        </w:rPr>
        <w:t>时</w:t>
      </w:r>
      <w:r>
        <w:rPr>
          <w:rFonts w:hint="eastAsia"/>
          <w:color w:val="auto"/>
          <w:sz w:val="24"/>
          <w:highlight w:val="none"/>
          <w:lang w:val="en-US" w:eastAsia="zh-CN"/>
        </w:rPr>
        <w:t>00</w:t>
      </w:r>
      <w:r>
        <w:rPr>
          <w:rFonts w:hint="eastAsia"/>
          <w:color w:val="auto"/>
          <w:sz w:val="24"/>
          <w:highlight w:val="none"/>
        </w:rPr>
        <w:t>分（北京时间）前提交响应文件。</w:t>
      </w:r>
    </w:p>
    <w:p>
      <w:pPr>
        <w:spacing w:line="400" w:lineRule="exact"/>
        <w:ind w:firstLine="482" w:firstLineChars="200"/>
        <w:rPr>
          <w:rFonts w:hint="eastAsia"/>
          <w:color w:val="auto"/>
          <w:sz w:val="24"/>
          <w:highlight w:val="none"/>
        </w:rPr>
      </w:pPr>
      <w:r>
        <w:rPr>
          <w:rFonts w:hint="eastAsia"/>
          <w:b/>
          <w:bCs/>
          <w:color w:val="auto"/>
          <w:sz w:val="24"/>
          <w:highlight w:val="none"/>
        </w:rPr>
        <w:t>一、项目基本情况</w:t>
      </w:r>
    </w:p>
    <w:p>
      <w:pPr>
        <w:spacing w:line="400" w:lineRule="exact"/>
        <w:ind w:firstLine="480" w:firstLineChars="200"/>
        <w:rPr>
          <w:rFonts w:hint="eastAsia" w:eastAsia="宋体"/>
          <w:color w:val="auto"/>
          <w:sz w:val="24"/>
          <w:highlight w:val="none"/>
          <w:lang w:eastAsia="zh-CN"/>
        </w:rPr>
      </w:pPr>
      <w:r>
        <w:rPr>
          <w:rFonts w:hint="eastAsia"/>
          <w:color w:val="auto"/>
          <w:sz w:val="24"/>
          <w:highlight w:val="none"/>
        </w:rPr>
        <w:t>项目编号：</w:t>
      </w:r>
      <w:r>
        <w:rPr>
          <w:rFonts w:hint="eastAsia"/>
          <w:color w:val="auto"/>
          <w:sz w:val="24"/>
          <w:highlight w:val="none"/>
          <w:lang w:eastAsia="zh-CN"/>
        </w:rPr>
        <w:t>HNZN-SYC2021015</w:t>
      </w:r>
    </w:p>
    <w:p>
      <w:pPr>
        <w:spacing w:line="400" w:lineRule="exact"/>
        <w:ind w:firstLine="480" w:firstLineChars="200"/>
        <w:rPr>
          <w:rFonts w:hint="eastAsia"/>
          <w:color w:val="auto"/>
          <w:sz w:val="24"/>
          <w:highlight w:val="none"/>
        </w:rPr>
      </w:pPr>
      <w:r>
        <w:rPr>
          <w:rFonts w:hint="eastAsia"/>
          <w:color w:val="auto"/>
          <w:sz w:val="24"/>
          <w:highlight w:val="none"/>
        </w:rPr>
        <w:t>招标编号：</w:t>
      </w:r>
    </w:p>
    <w:p>
      <w:pPr>
        <w:spacing w:line="400" w:lineRule="exact"/>
        <w:ind w:firstLine="480" w:firstLineChars="200"/>
        <w:rPr>
          <w:rFonts w:hint="eastAsia"/>
          <w:color w:val="auto"/>
          <w:sz w:val="24"/>
          <w:highlight w:val="none"/>
        </w:rPr>
      </w:pPr>
      <w:r>
        <w:rPr>
          <w:rFonts w:hint="eastAsia"/>
          <w:color w:val="auto"/>
          <w:sz w:val="24"/>
          <w:highlight w:val="none"/>
        </w:rPr>
        <w:t xml:space="preserve">政府采购计划编号： </w:t>
      </w:r>
    </w:p>
    <w:p>
      <w:pPr>
        <w:spacing w:line="400" w:lineRule="exact"/>
        <w:ind w:firstLine="480" w:firstLineChars="200"/>
        <w:rPr>
          <w:rFonts w:hint="eastAsia"/>
          <w:color w:val="auto"/>
          <w:sz w:val="24"/>
          <w:highlight w:val="none"/>
        </w:rPr>
      </w:pPr>
      <w:r>
        <w:rPr>
          <w:rFonts w:hint="eastAsia"/>
          <w:color w:val="auto"/>
          <w:sz w:val="24"/>
          <w:highlight w:val="none"/>
        </w:rPr>
        <w:t xml:space="preserve">采购计划备案文号： </w:t>
      </w:r>
    </w:p>
    <w:p>
      <w:pPr>
        <w:spacing w:line="400" w:lineRule="exact"/>
        <w:ind w:firstLine="480" w:firstLineChars="200"/>
        <w:rPr>
          <w:rFonts w:hint="eastAsia"/>
          <w:color w:val="auto"/>
          <w:sz w:val="24"/>
          <w:highlight w:val="none"/>
        </w:rPr>
      </w:pPr>
      <w:r>
        <w:rPr>
          <w:rFonts w:hint="eastAsia"/>
          <w:color w:val="auto"/>
          <w:sz w:val="24"/>
          <w:highlight w:val="none"/>
        </w:rPr>
        <w:t>采购方式：竞争性磋商</w:t>
      </w:r>
    </w:p>
    <w:p>
      <w:pPr>
        <w:spacing w:line="400" w:lineRule="exact"/>
        <w:ind w:firstLine="480" w:firstLineChars="200"/>
        <w:rPr>
          <w:rFonts w:hint="eastAsia" w:eastAsia="宋体"/>
          <w:color w:val="auto"/>
          <w:sz w:val="24"/>
          <w:highlight w:val="none"/>
          <w:lang w:eastAsia="zh-CN"/>
        </w:rPr>
      </w:pPr>
      <w:r>
        <w:rPr>
          <w:rFonts w:hint="eastAsia"/>
          <w:color w:val="auto"/>
          <w:sz w:val="24"/>
          <w:highlight w:val="none"/>
        </w:rPr>
        <w:t>项目名称：</w:t>
      </w:r>
      <w:r>
        <w:rPr>
          <w:rFonts w:hint="eastAsia"/>
          <w:color w:val="auto"/>
          <w:sz w:val="24"/>
          <w:highlight w:val="none"/>
          <w:lang w:val="en-US" w:eastAsia="zh-CN"/>
        </w:rPr>
        <w:t>港门海岸派出所建设综合勤务指挥室及营区修缮项目</w:t>
      </w:r>
    </w:p>
    <w:p>
      <w:pPr>
        <w:spacing w:line="400" w:lineRule="exact"/>
        <w:ind w:firstLine="480" w:firstLineChars="200"/>
        <w:rPr>
          <w:rFonts w:hint="default" w:eastAsia="宋体"/>
          <w:color w:val="auto"/>
          <w:sz w:val="24"/>
          <w:highlight w:val="none"/>
          <w:lang w:val="en-US" w:eastAsia="zh-CN"/>
        </w:rPr>
      </w:pPr>
      <w:r>
        <w:rPr>
          <w:rFonts w:hint="eastAsia"/>
          <w:color w:val="auto"/>
          <w:sz w:val="24"/>
          <w:highlight w:val="none"/>
        </w:rPr>
        <w:t>预算金额：</w:t>
      </w:r>
      <w:r>
        <w:rPr>
          <w:rFonts w:hint="eastAsia"/>
          <w:color w:val="auto"/>
          <w:sz w:val="24"/>
          <w:highlight w:val="none"/>
          <w:lang w:val="en-US" w:eastAsia="zh-CN"/>
        </w:rPr>
        <w:t>3035907.76元</w:t>
      </w:r>
    </w:p>
    <w:p>
      <w:pPr>
        <w:spacing w:line="400" w:lineRule="exact"/>
        <w:ind w:firstLine="480" w:firstLineChars="200"/>
        <w:rPr>
          <w:rFonts w:hint="default"/>
          <w:color w:val="auto"/>
          <w:sz w:val="24"/>
          <w:highlight w:val="none"/>
          <w:lang w:val="en-US"/>
        </w:rPr>
      </w:pPr>
      <w:r>
        <w:rPr>
          <w:rFonts w:hint="eastAsia"/>
          <w:color w:val="auto"/>
          <w:sz w:val="24"/>
          <w:highlight w:val="none"/>
          <w:lang w:val="en-US" w:eastAsia="zh-CN"/>
        </w:rPr>
        <w:t>A包：1937826.26元，B包：1098081.5元</w:t>
      </w:r>
    </w:p>
    <w:p>
      <w:pPr>
        <w:spacing w:line="400" w:lineRule="exact"/>
        <w:ind w:left="480" w:leftChars="218" w:firstLine="0" w:firstLineChars="0"/>
        <w:rPr>
          <w:rFonts w:hint="eastAsia"/>
          <w:color w:val="auto"/>
          <w:sz w:val="24"/>
          <w:highlight w:val="none"/>
          <w:lang w:val="en-US" w:eastAsia="zh-CN"/>
        </w:rPr>
      </w:pPr>
      <w:r>
        <w:rPr>
          <w:rFonts w:hint="eastAsia"/>
          <w:color w:val="auto"/>
          <w:sz w:val="24"/>
          <w:highlight w:val="none"/>
        </w:rPr>
        <w:t>最高限价：</w:t>
      </w:r>
      <w:r>
        <w:rPr>
          <w:rFonts w:hint="eastAsia"/>
          <w:color w:val="auto"/>
          <w:sz w:val="24"/>
          <w:highlight w:val="none"/>
          <w:lang w:val="en-US" w:eastAsia="zh-CN"/>
        </w:rPr>
        <w:t>3035907.76元</w:t>
      </w:r>
    </w:p>
    <w:p>
      <w:pPr>
        <w:spacing w:line="400" w:lineRule="exact"/>
        <w:ind w:left="480" w:leftChars="218" w:firstLine="0" w:firstLineChars="0"/>
        <w:rPr>
          <w:rFonts w:hint="default"/>
          <w:color w:val="auto"/>
          <w:sz w:val="24"/>
          <w:highlight w:val="none"/>
          <w:lang w:val="en-US" w:eastAsia="zh-CN"/>
        </w:rPr>
      </w:pPr>
      <w:r>
        <w:rPr>
          <w:rFonts w:hint="eastAsia"/>
          <w:color w:val="auto"/>
          <w:sz w:val="24"/>
          <w:highlight w:val="none"/>
          <w:lang w:val="en-US" w:eastAsia="zh-CN"/>
        </w:rPr>
        <w:t>A包：1937826.26元，B包：1098081.5元</w:t>
      </w:r>
    </w:p>
    <w:p>
      <w:pPr>
        <w:spacing w:line="400" w:lineRule="exact"/>
        <w:ind w:firstLine="480" w:firstLineChars="200"/>
        <w:rPr>
          <w:rFonts w:hint="eastAsia"/>
          <w:color w:val="auto"/>
          <w:sz w:val="24"/>
          <w:highlight w:val="none"/>
        </w:rPr>
      </w:pPr>
      <w:r>
        <w:rPr>
          <w:rFonts w:hint="eastAsia"/>
          <w:color w:val="auto"/>
          <w:sz w:val="24"/>
          <w:highlight w:val="none"/>
        </w:rPr>
        <w:t>采购需求：A包：文化场所广告设计及安装，营区监控设备采购及完善监控系统</w:t>
      </w:r>
    </w:p>
    <w:p>
      <w:pPr>
        <w:spacing w:line="400" w:lineRule="exact"/>
        <w:ind w:firstLine="480" w:firstLineChars="200"/>
        <w:rPr>
          <w:rFonts w:hint="eastAsia" w:eastAsia="宋体"/>
          <w:color w:val="auto"/>
          <w:sz w:val="24"/>
          <w:highlight w:val="none"/>
          <w:lang w:val="en-US" w:eastAsia="zh-CN"/>
        </w:rPr>
      </w:pPr>
      <w:r>
        <w:rPr>
          <w:rFonts w:hint="eastAsia"/>
          <w:color w:val="auto"/>
          <w:sz w:val="24"/>
          <w:highlight w:val="none"/>
        </w:rPr>
        <w:t>B包：改造院内园林及道路、营区房屋修缮</w:t>
      </w:r>
      <w:r>
        <w:rPr>
          <w:rFonts w:hint="eastAsia"/>
          <w:color w:val="auto"/>
          <w:sz w:val="24"/>
          <w:highlight w:val="none"/>
          <w:lang w:eastAsia="zh-CN"/>
        </w:rPr>
        <w:t>，</w:t>
      </w:r>
      <w:r>
        <w:rPr>
          <w:rFonts w:hint="eastAsia"/>
          <w:color w:val="auto"/>
          <w:sz w:val="24"/>
          <w:highlight w:val="none"/>
          <w:lang w:val="en-US"/>
        </w:rPr>
        <w:t>详见磋商文件第三部分</w:t>
      </w:r>
      <w:r>
        <w:rPr>
          <w:rFonts w:hint="eastAsia"/>
          <w:color w:val="auto"/>
          <w:sz w:val="24"/>
          <w:highlight w:val="none"/>
          <w:lang w:val="en-US" w:eastAsia="zh-CN"/>
        </w:rPr>
        <w:t>。</w:t>
      </w:r>
    </w:p>
    <w:p>
      <w:pPr>
        <w:spacing w:line="400" w:lineRule="exact"/>
        <w:ind w:firstLine="480" w:firstLineChars="200"/>
        <w:rPr>
          <w:rFonts w:hint="default" w:eastAsia="宋体"/>
          <w:color w:val="auto"/>
          <w:sz w:val="24"/>
          <w:highlight w:val="none"/>
          <w:lang w:val="en-US" w:eastAsia="zh-CN"/>
        </w:rPr>
      </w:pPr>
      <w:r>
        <w:rPr>
          <w:rFonts w:hint="eastAsia"/>
          <w:color w:val="auto"/>
          <w:sz w:val="24"/>
          <w:highlight w:val="none"/>
        </w:rPr>
        <w:t>合同履行期限：</w:t>
      </w:r>
      <w:r>
        <w:rPr>
          <w:rFonts w:hint="eastAsia"/>
          <w:color w:val="auto"/>
          <w:sz w:val="24"/>
          <w:highlight w:val="none"/>
          <w:lang w:val="en-US" w:eastAsia="zh-CN"/>
        </w:rPr>
        <w:t>A包：90日历天，B包：90日历天。</w:t>
      </w:r>
    </w:p>
    <w:p>
      <w:pPr>
        <w:spacing w:line="400" w:lineRule="exact"/>
        <w:ind w:firstLine="480" w:firstLineChars="200"/>
        <w:rPr>
          <w:rFonts w:hint="eastAsia"/>
          <w:color w:val="auto"/>
          <w:sz w:val="24"/>
          <w:highlight w:val="none"/>
        </w:rPr>
      </w:pPr>
      <w:r>
        <w:rPr>
          <w:rFonts w:hint="eastAsia"/>
          <w:color w:val="auto"/>
          <w:sz w:val="24"/>
          <w:highlight w:val="none"/>
        </w:rPr>
        <w:t>是否允许联合体投标：</w:t>
      </w:r>
    </w:p>
    <w:p>
      <w:pPr>
        <w:spacing w:line="400" w:lineRule="exact"/>
        <w:ind w:firstLine="480" w:firstLineChars="200"/>
        <w:rPr>
          <w:rFonts w:hint="eastAsia"/>
          <w:color w:val="auto"/>
          <w:sz w:val="24"/>
          <w:highlight w:val="none"/>
        </w:rPr>
      </w:pPr>
      <w:r>
        <w:rPr>
          <w:rFonts w:hint="eastAsia"/>
          <w:color w:val="auto"/>
          <w:sz w:val="24"/>
          <w:highlight w:val="none"/>
          <w:lang w:val="en-US" w:eastAsia="zh-CN"/>
        </w:rPr>
        <w:t>港门海岸派出所建设综合勤务指挥室及营区修缮项目</w:t>
      </w:r>
      <w:r>
        <w:rPr>
          <w:rFonts w:hint="eastAsia"/>
          <w:color w:val="auto"/>
          <w:sz w:val="24"/>
          <w:highlight w:val="none"/>
        </w:rPr>
        <w:t>（</w:t>
      </w:r>
      <w:r>
        <w:rPr>
          <w:rFonts w:hint="eastAsia"/>
          <w:color w:val="auto"/>
          <w:sz w:val="24"/>
          <w:highlight w:val="none"/>
          <w:lang w:eastAsia="zh-CN"/>
        </w:rPr>
        <w:t>HNZN-SYC2021015</w:t>
      </w:r>
      <w:r>
        <w:rPr>
          <w:rFonts w:hint="eastAsia"/>
          <w:color w:val="auto"/>
          <w:sz w:val="24"/>
          <w:highlight w:val="none"/>
        </w:rPr>
        <w:t>）：否</w:t>
      </w:r>
    </w:p>
    <w:p>
      <w:pPr>
        <w:spacing w:line="400" w:lineRule="exact"/>
        <w:ind w:firstLine="482" w:firstLineChars="200"/>
        <w:rPr>
          <w:rFonts w:hint="default" w:eastAsia="宋体"/>
          <w:color w:val="auto"/>
          <w:sz w:val="24"/>
          <w:highlight w:val="none"/>
          <w:lang w:val="en-US" w:eastAsia="zh-CN"/>
        </w:rPr>
      </w:pPr>
      <w:r>
        <w:rPr>
          <w:rFonts w:hint="eastAsia"/>
          <w:b/>
          <w:bCs/>
          <w:color w:val="auto"/>
          <w:sz w:val="24"/>
          <w:highlight w:val="none"/>
        </w:rPr>
        <w:t>二、申请人的资格要求</w:t>
      </w:r>
      <w:r>
        <w:rPr>
          <w:rFonts w:hint="eastAsia" w:ascii="宋体" w:hAnsi="宋体" w:eastAsia="宋体" w:cs="宋体"/>
          <w:b/>
          <w:bCs/>
          <w:color w:val="auto"/>
          <w:sz w:val="24"/>
          <w:highlight w:val="none"/>
        </w:rPr>
        <w:t>：</w:t>
      </w:r>
      <w:r>
        <w:rPr>
          <w:rFonts w:hint="eastAsia" w:cs="宋体"/>
          <w:b/>
          <w:bCs/>
          <w:color w:val="auto"/>
          <w:sz w:val="24"/>
          <w:highlight w:val="none"/>
          <w:lang w:val="en-US" w:eastAsia="zh-CN"/>
        </w:rPr>
        <w:t xml:space="preserve"> </w:t>
      </w:r>
    </w:p>
    <w:p>
      <w:pPr>
        <w:spacing w:line="400" w:lineRule="exact"/>
        <w:ind w:firstLine="480" w:firstLineChars="200"/>
        <w:rPr>
          <w:rFonts w:hint="eastAsia"/>
          <w:color w:val="auto"/>
          <w:sz w:val="24"/>
          <w:highlight w:val="none"/>
        </w:rPr>
      </w:pPr>
      <w:r>
        <w:rPr>
          <w:rFonts w:hint="eastAsia"/>
          <w:color w:val="auto"/>
          <w:sz w:val="24"/>
          <w:highlight w:val="none"/>
        </w:rPr>
        <w:t>1.满足《中华人民共和国政府采购法》第二十二条规定；</w:t>
      </w:r>
    </w:p>
    <w:p>
      <w:pPr>
        <w:spacing w:line="400" w:lineRule="exact"/>
        <w:ind w:firstLine="480" w:firstLineChars="200"/>
        <w:rPr>
          <w:rFonts w:hint="eastAsia"/>
          <w:color w:val="auto"/>
          <w:sz w:val="24"/>
          <w:highlight w:val="none"/>
        </w:rPr>
      </w:pPr>
      <w:r>
        <w:rPr>
          <w:rFonts w:hint="eastAsia"/>
          <w:color w:val="auto"/>
          <w:sz w:val="24"/>
          <w:highlight w:val="none"/>
        </w:rPr>
        <w:t>2.落实政府采购政策需满足的资格要求：2.1、</w:t>
      </w:r>
      <w:r>
        <w:rPr>
          <w:rFonts w:hint="eastAsia" w:ascii="宋体" w:hAnsi="宋体" w:cs="宋体"/>
          <w:color w:val="auto"/>
          <w:sz w:val="24"/>
          <w:lang w:val="en-US" w:eastAsia="zh-CN"/>
        </w:rPr>
        <w:t>采购人或采购代理机构将在响应文件递交截止后查询供应商的信用记录，供应商存在不良信用记录的，其文件将被作为无效响应被否决。不良信用记录指：供应商在“信用中国”网站（www.creditchina.gov.cn）被列入失信被执行人、重大税收违法案件当事人名单、政府采购严重违法失信名单或在中国政府采购网（www.ccgp.gov.cn）被列入政府采购严重违法失信行为记录名单（需提供承诺书，并由采购人和代理机构于开标现场实时查询核实）；</w:t>
      </w:r>
    </w:p>
    <w:p>
      <w:pPr>
        <w:spacing w:line="400" w:lineRule="exact"/>
        <w:ind w:firstLine="480" w:firstLineChars="200"/>
        <w:rPr>
          <w:rFonts w:hint="eastAsia"/>
          <w:color w:val="auto"/>
          <w:sz w:val="24"/>
          <w:highlight w:val="none"/>
        </w:rPr>
      </w:pPr>
      <w:r>
        <w:rPr>
          <w:rFonts w:hint="eastAsia"/>
          <w:color w:val="auto"/>
          <w:sz w:val="24"/>
          <w:highlight w:val="none"/>
        </w:rPr>
        <w:t>2.2、提供政府采购供应商信用承诺书，在采购 文件中附带格式文本，按照信用承诺内容进行承诺，一式两份加盖公章，单独携带一份（三亚市财政局存一份开标现场需要审查），一份放置投标文件里；</w:t>
      </w:r>
    </w:p>
    <w:p>
      <w:pPr>
        <w:spacing w:line="400" w:lineRule="exact"/>
        <w:ind w:firstLine="480" w:firstLineChars="200"/>
        <w:rPr>
          <w:rFonts w:hint="eastAsia"/>
          <w:color w:val="auto"/>
          <w:sz w:val="24"/>
          <w:highlight w:val="none"/>
        </w:rPr>
      </w:pPr>
      <w:r>
        <w:rPr>
          <w:rFonts w:hint="eastAsia"/>
          <w:color w:val="auto"/>
          <w:sz w:val="24"/>
          <w:highlight w:val="none"/>
        </w:rPr>
        <w:t>2.</w:t>
      </w:r>
      <w:r>
        <w:rPr>
          <w:rFonts w:hint="eastAsia"/>
          <w:color w:val="auto"/>
          <w:sz w:val="24"/>
          <w:highlight w:val="none"/>
          <w:lang w:val="en-US" w:eastAsia="zh-CN"/>
        </w:rPr>
        <w:t>3</w:t>
      </w:r>
      <w:r>
        <w:rPr>
          <w:rFonts w:hint="eastAsia"/>
          <w:color w:val="auto"/>
          <w:sz w:val="24"/>
          <w:highlight w:val="none"/>
        </w:rPr>
        <w:t>、 单位负责人为同一人或者存在直接控股、管理关系的不同供应商，不得参加同一合同项下的政府采购活动；</w:t>
      </w:r>
    </w:p>
    <w:p>
      <w:pPr>
        <w:spacing w:line="400" w:lineRule="exact"/>
        <w:ind w:firstLine="480" w:firstLineChars="200"/>
        <w:rPr>
          <w:rFonts w:hint="eastAsia"/>
          <w:color w:val="auto"/>
          <w:sz w:val="24"/>
          <w:highlight w:val="none"/>
        </w:rPr>
      </w:pPr>
      <w:r>
        <w:rPr>
          <w:rFonts w:hint="eastAsia"/>
          <w:color w:val="auto"/>
          <w:sz w:val="24"/>
          <w:highlight w:val="none"/>
          <w:lang w:val="en-US" w:eastAsia="zh-CN"/>
        </w:rPr>
        <w:t>3.本项目的特定资格要求：A包：无</w:t>
      </w:r>
    </w:p>
    <w:p>
      <w:pPr>
        <w:spacing w:line="400" w:lineRule="exact"/>
        <w:ind w:firstLine="480" w:firstLineChars="200"/>
        <w:rPr>
          <w:rFonts w:hint="eastAsia"/>
          <w:color w:val="auto"/>
          <w:sz w:val="24"/>
          <w:highlight w:val="none"/>
          <w:lang w:val="en-US" w:eastAsia="zh-CN"/>
        </w:rPr>
      </w:pPr>
      <w:r>
        <w:rPr>
          <w:rFonts w:hint="eastAsia"/>
          <w:color w:val="auto"/>
          <w:sz w:val="24"/>
          <w:highlight w:val="none"/>
          <w:lang w:val="en-US" w:eastAsia="zh-CN"/>
        </w:rPr>
        <w:t>B包：3.1、具备建筑装修装饰工程专业承包二级（含）以上资质和有效的安全生产许可证，并在人员、设备、资金等方面具有相应的施工能力；</w:t>
      </w:r>
    </w:p>
    <w:p>
      <w:pPr>
        <w:spacing w:line="400" w:lineRule="exact"/>
        <w:ind w:firstLine="480" w:firstLineChars="200"/>
        <w:rPr>
          <w:rFonts w:hint="default"/>
          <w:color w:val="auto"/>
          <w:sz w:val="24"/>
          <w:highlight w:val="none"/>
          <w:lang w:val="en-US"/>
        </w:rPr>
      </w:pPr>
      <w:r>
        <w:rPr>
          <w:rFonts w:hint="eastAsia"/>
          <w:color w:val="auto"/>
          <w:sz w:val="24"/>
          <w:highlight w:val="none"/>
          <w:lang w:val="en-US" w:eastAsia="zh-CN"/>
        </w:rPr>
        <w:t>3.2、拟派项目负责人（项目经理）具备建筑工程专业二级（含）以上注册建造师执业资格，并注册在本单位同时未担任其他在施建设工程项目的项目经理（以全国建筑市场监管公共服务平台查询为准）；</w:t>
      </w:r>
    </w:p>
    <w:p>
      <w:pPr>
        <w:spacing w:line="400" w:lineRule="exact"/>
        <w:ind w:firstLine="480" w:firstLineChars="200"/>
        <w:rPr>
          <w:rFonts w:hint="eastAsia"/>
          <w:color w:val="auto"/>
          <w:sz w:val="24"/>
          <w:highlight w:val="none"/>
        </w:rPr>
      </w:pPr>
    </w:p>
    <w:p>
      <w:pPr>
        <w:spacing w:line="400" w:lineRule="exact"/>
        <w:ind w:firstLine="482" w:firstLineChars="200"/>
        <w:rPr>
          <w:rFonts w:hint="eastAsia" w:eastAsia="宋体"/>
          <w:color w:val="auto"/>
          <w:sz w:val="24"/>
          <w:highlight w:val="none"/>
          <w:lang w:eastAsia="zh-CN"/>
        </w:rPr>
      </w:pPr>
      <w:r>
        <w:rPr>
          <w:rFonts w:hint="eastAsia"/>
          <w:b/>
          <w:bCs/>
          <w:color w:val="auto"/>
          <w:sz w:val="24"/>
          <w:highlight w:val="none"/>
        </w:rPr>
        <w:t>三、获取采购文件</w:t>
      </w:r>
      <w:r>
        <w:rPr>
          <w:rFonts w:hint="eastAsia"/>
          <w:b/>
          <w:bCs/>
          <w:color w:val="auto"/>
          <w:sz w:val="24"/>
          <w:highlight w:val="none"/>
          <w:lang w:eastAsia="zh-CN"/>
        </w:rPr>
        <w:t>（</w:t>
      </w:r>
      <w:r>
        <w:rPr>
          <w:rFonts w:hint="eastAsia"/>
          <w:b/>
          <w:bCs/>
          <w:color w:val="auto"/>
          <w:sz w:val="24"/>
          <w:highlight w:val="none"/>
          <w:lang w:val="en-US" w:eastAsia="zh-CN"/>
        </w:rPr>
        <w:t>A、B包</w:t>
      </w:r>
      <w:r>
        <w:rPr>
          <w:rFonts w:hint="eastAsia"/>
          <w:b/>
          <w:bCs/>
          <w:color w:val="auto"/>
          <w:sz w:val="24"/>
          <w:highlight w:val="none"/>
          <w:lang w:eastAsia="zh-CN"/>
        </w:rPr>
        <w:t>）</w:t>
      </w:r>
    </w:p>
    <w:p>
      <w:pPr>
        <w:spacing w:line="400" w:lineRule="exact"/>
        <w:ind w:firstLine="480" w:firstLineChars="200"/>
        <w:rPr>
          <w:rFonts w:hint="eastAsia"/>
          <w:color w:val="auto"/>
          <w:sz w:val="24"/>
          <w:highlight w:val="none"/>
        </w:rPr>
      </w:pPr>
      <w:r>
        <w:rPr>
          <w:rFonts w:hint="eastAsia"/>
          <w:color w:val="auto"/>
          <w:sz w:val="24"/>
          <w:highlight w:val="none"/>
        </w:rPr>
        <w:t>时间：202</w:t>
      </w:r>
      <w:r>
        <w:rPr>
          <w:rFonts w:hint="eastAsia"/>
          <w:color w:val="auto"/>
          <w:sz w:val="24"/>
          <w:highlight w:val="none"/>
          <w:lang w:val="en-US" w:eastAsia="zh-CN"/>
        </w:rPr>
        <w:t>2</w:t>
      </w:r>
      <w:r>
        <w:rPr>
          <w:rFonts w:hint="eastAsia"/>
          <w:color w:val="auto"/>
          <w:sz w:val="24"/>
          <w:highlight w:val="none"/>
        </w:rPr>
        <w:t>年</w:t>
      </w:r>
      <w:r>
        <w:rPr>
          <w:rFonts w:hint="eastAsia"/>
          <w:color w:val="auto"/>
          <w:sz w:val="24"/>
          <w:highlight w:val="none"/>
          <w:lang w:val="en-US" w:eastAsia="zh-CN"/>
        </w:rPr>
        <w:t>2</w:t>
      </w:r>
      <w:r>
        <w:rPr>
          <w:rFonts w:hint="eastAsia"/>
          <w:color w:val="auto"/>
          <w:sz w:val="24"/>
          <w:highlight w:val="none"/>
        </w:rPr>
        <w:t>月</w:t>
      </w:r>
      <w:r>
        <w:rPr>
          <w:rFonts w:hint="eastAsia"/>
          <w:color w:val="auto"/>
          <w:sz w:val="24"/>
          <w:highlight w:val="none"/>
          <w:lang w:val="en-US" w:eastAsia="zh-CN"/>
        </w:rPr>
        <w:t>7</w:t>
      </w:r>
      <w:r>
        <w:rPr>
          <w:rFonts w:hint="eastAsia"/>
          <w:color w:val="auto"/>
          <w:sz w:val="24"/>
          <w:highlight w:val="none"/>
        </w:rPr>
        <w:t>日00时00分至202</w:t>
      </w:r>
      <w:r>
        <w:rPr>
          <w:rFonts w:hint="eastAsia"/>
          <w:color w:val="auto"/>
          <w:sz w:val="24"/>
          <w:highlight w:val="none"/>
          <w:lang w:val="en-US" w:eastAsia="zh-CN"/>
        </w:rPr>
        <w:t>2</w:t>
      </w:r>
      <w:r>
        <w:rPr>
          <w:rFonts w:hint="eastAsia"/>
          <w:color w:val="auto"/>
          <w:sz w:val="24"/>
          <w:highlight w:val="none"/>
        </w:rPr>
        <w:t>年</w:t>
      </w:r>
      <w:r>
        <w:rPr>
          <w:rFonts w:hint="eastAsia"/>
          <w:color w:val="auto"/>
          <w:sz w:val="24"/>
          <w:highlight w:val="none"/>
          <w:lang w:val="en-US" w:eastAsia="zh-CN"/>
        </w:rPr>
        <w:t>2</w:t>
      </w:r>
      <w:r>
        <w:rPr>
          <w:rFonts w:hint="eastAsia"/>
          <w:color w:val="auto"/>
          <w:sz w:val="24"/>
          <w:highlight w:val="none"/>
        </w:rPr>
        <w:t>月</w:t>
      </w:r>
      <w:r>
        <w:rPr>
          <w:rFonts w:hint="eastAsia"/>
          <w:color w:val="auto"/>
          <w:sz w:val="24"/>
          <w:highlight w:val="none"/>
          <w:lang w:val="en-US" w:eastAsia="zh-CN"/>
        </w:rPr>
        <w:t>12</w:t>
      </w:r>
      <w:r>
        <w:rPr>
          <w:rFonts w:hint="eastAsia"/>
          <w:color w:val="auto"/>
          <w:sz w:val="24"/>
          <w:highlight w:val="none"/>
        </w:rPr>
        <w:t>日00时00分（北京时间，法定节假日除外）</w:t>
      </w:r>
    </w:p>
    <w:p>
      <w:pPr>
        <w:spacing w:line="400" w:lineRule="exact"/>
        <w:ind w:firstLine="480" w:firstLineChars="200"/>
        <w:rPr>
          <w:rFonts w:hint="eastAsia"/>
          <w:color w:val="auto"/>
          <w:sz w:val="24"/>
          <w:highlight w:val="none"/>
        </w:rPr>
      </w:pPr>
      <w:r>
        <w:rPr>
          <w:rFonts w:hint="eastAsia"/>
          <w:color w:val="auto"/>
          <w:sz w:val="24"/>
          <w:highlight w:val="none"/>
        </w:rPr>
        <w:t xml:space="preserve">地点：全国公共资源交易平台（海南省）（http://zw.hainan.gov.cn/ggzy/） </w:t>
      </w:r>
    </w:p>
    <w:p>
      <w:pPr>
        <w:spacing w:line="400" w:lineRule="exact"/>
        <w:ind w:firstLine="480" w:firstLineChars="200"/>
        <w:rPr>
          <w:rFonts w:hint="eastAsia"/>
          <w:color w:val="auto"/>
          <w:sz w:val="24"/>
          <w:highlight w:val="none"/>
        </w:rPr>
      </w:pPr>
      <w:r>
        <w:rPr>
          <w:rFonts w:hint="eastAsia"/>
          <w:color w:val="auto"/>
          <w:sz w:val="24"/>
          <w:highlight w:val="none"/>
        </w:rPr>
        <w:t>方式：网上报名</w:t>
      </w:r>
    </w:p>
    <w:p>
      <w:pPr>
        <w:spacing w:line="400" w:lineRule="exact"/>
        <w:ind w:firstLine="480" w:firstLineChars="200"/>
        <w:rPr>
          <w:rFonts w:hint="eastAsia"/>
          <w:color w:val="auto"/>
          <w:sz w:val="24"/>
          <w:highlight w:val="none"/>
        </w:rPr>
      </w:pPr>
      <w:r>
        <w:rPr>
          <w:rFonts w:hint="eastAsia"/>
          <w:color w:val="auto"/>
          <w:sz w:val="24"/>
          <w:highlight w:val="none"/>
        </w:rPr>
        <w:t xml:space="preserve">售价：100（元） </w:t>
      </w:r>
    </w:p>
    <w:p>
      <w:pPr>
        <w:spacing w:line="400" w:lineRule="exact"/>
        <w:ind w:firstLine="482" w:firstLineChars="200"/>
        <w:rPr>
          <w:rFonts w:hint="eastAsia"/>
          <w:color w:val="auto"/>
          <w:sz w:val="24"/>
          <w:highlight w:val="none"/>
        </w:rPr>
      </w:pPr>
      <w:r>
        <w:rPr>
          <w:rFonts w:hint="eastAsia"/>
          <w:b/>
          <w:bCs/>
          <w:color w:val="auto"/>
          <w:sz w:val="24"/>
          <w:highlight w:val="none"/>
        </w:rPr>
        <w:t>四、响应文件提交</w:t>
      </w:r>
      <w:r>
        <w:rPr>
          <w:rFonts w:hint="eastAsia"/>
          <w:b/>
          <w:bCs/>
          <w:color w:val="auto"/>
          <w:sz w:val="24"/>
          <w:highlight w:val="none"/>
          <w:lang w:eastAsia="zh-CN"/>
        </w:rPr>
        <w:t>（</w:t>
      </w:r>
      <w:r>
        <w:rPr>
          <w:rFonts w:hint="eastAsia"/>
          <w:b/>
          <w:bCs/>
          <w:color w:val="auto"/>
          <w:sz w:val="24"/>
          <w:highlight w:val="none"/>
          <w:lang w:val="en-US" w:eastAsia="zh-CN"/>
        </w:rPr>
        <w:t>A、B包</w:t>
      </w:r>
      <w:r>
        <w:rPr>
          <w:rFonts w:hint="eastAsia"/>
          <w:b/>
          <w:bCs/>
          <w:color w:val="auto"/>
          <w:sz w:val="24"/>
          <w:highlight w:val="none"/>
          <w:lang w:eastAsia="zh-CN"/>
        </w:rPr>
        <w:t>）</w:t>
      </w:r>
    </w:p>
    <w:p>
      <w:pPr>
        <w:spacing w:line="400" w:lineRule="exact"/>
        <w:ind w:firstLine="480" w:firstLineChars="200"/>
        <w:rPr>
          <w:rFonts w:hint="eastAsia"/>
          <w:color w:val="auto"/>
          <w:sz w:val="24"/>
          <w:highlight w:val="none"/>
        </w:rPr>
      </w:pPr>
      <w:r>
        <w:rPr>
          <w:rFonts w:hint="eastAsia"/>
          <w:color w:val="auto"/>
          <w:sz w:val="24"/>
          <w:highlight w:val="none"/>
        </w:rPr>
        <w:t>截止时间：</w:t>
      </w:r>
      <w:r>
        <w:rPr>
          <w:rFonts w:hint="eastAsia"/>
          <w:color w:val="auto"/>
          <w:sz w:val="24"/>
          <w:highlight w:val="none"/>
          <w:lang w:eastAsia="zh-CN"/>
        </w:rPr>
        <w:t>2022年2月14日9时00分</w:t>
      </w:r>
      <w:r>
        <w:rPr>
          <w:rFonts w:hint="eastAsia"/>
          <w:color w:val="auto"/>
          <w:sz w:val="24"/>
          <w:highlight w:val="none"/>
        </w:rPr>
        <w:t>（北京时间）</w:t>
      </w:r>
    </w:p>
    <w:p>
      <w:pPr>
        <w:spacing w:line="400" w:lineRule="exact"/>
        <w:ind w:firstLine="480" w:firstLineChars="200"/>
        <w:rPr>
          <w:rFonts w:hint="eastAsia" w:eastAsia="宋体"/>
          <w:color w:val="auto"/>
          <w:sz w:val="24"/>
          <w:highlight w:val="none"/>
          <w:lang w:val="en-US" w:eastAsia="zh-CN"/>
        </w:rPr>
      </w:pPr>
      <w:r>
        <w:rPr>
          <w:rFonts w:hint="eastAsia"/>
          <w:color w:val="auto"/>
          <w:sz w:val="24"/>
          <w:highlight w:val="none"/>
        </w:rPr>
        <w:t>地点：三亚市公共资源交易中心（三亚市吉阳区新风街259号）三亚开标室</w:t>
      </w:r>
      <w:r>
        <w:rPr>
          <w:rFonts w:hint="eastAsia"/>
          <w:color w:val="auto"/>
          <w:sz w:val="24"/>
          <w:highlight w:val="none"/>
          <w:lang w:val="en-US" w:eastAsia="zh-CN"/>
        </w:rPr>
        <w:t>3</w:t>
      </w:r>
    </w:p>
    <w:p>
      <w:pPr>
        <w:spacing w:line="400" w:lineRule="exact"/>
        <w:ind w:firstLine="482" w:firstLineChars="200"/>
        <w:rPr>
          <w:rFonts w:hint="eastAsia"/>
          <w:color w:val="auto"/>
          <w:sz w:val="24"/>
          <w:highlight w:val="none"/>
        </w:rPr>
      </w:pPr>
      <w:r>
        <w:rPr>
          <w:rFonts w:hint="eastAsia"/>
          <w:b/>
          <w:bCs/>
          <w:color w:val="auto"/>
          <w:sz w:val="24"/>
          <w:highlight w:val="none"/>
        </w:rPr>
        <w:t>五、开启</w:t>
      </w:r>
      <w:r>
        <w:rPr>
          <w:rFonts w:hint="eastAsia"/>
          <w:b/>
          <w:bCs/>
          <w:color w:val="auto"/>
          <w:sz w:val="24"/>
          <w:highlight w:val="none"/>
          <w:lang w:eastAsia="zh-CN"/>
        </w:rPr>
        <w:t>（</w:t>
      </w:r>
      <w:r>
        <w:rPr>
          <w:rFonts w:hint="eastAsia"/>
          <w:b/>
          <w:bCs/>
          <w:color w:val="auto"/>
          <w:sz w:val="24"/>
          <w:highlight w:val="none"/>
          <w:lang w:val="en-US" w:eastAsia="zh-CN"/>
        </w:rPr>
        <w:t>A、B包</w:t>
      </w:r>
      <w:r>
        <w:rPr>
          <w:rFonts w:hint="eastAsia"/>
          <w:b/>
          <w:bCs/>
          <w:color w:val="auto"/>
          <w:sz w:val="24"/>
          <w:highlight w:val="none"/>
          <w:lang w:eastAsia="zh-CN"/>
        </w:rPr>
        <w:t>）</w:t>
      </w:r>
    </w:p>
    <w:p>
      <w:pPr>
        <w:spacing w:line="400" w:lineRule="exact"/>
        <w:ind w:firstLine="480" w:firstLineChars="200"/>
        <w:rPr>
          <w:rFonts w:hint="eastAsia"/>
          <w:color w:val="auto"/>
          <w:sz w:val="24"/>
          <w:highlight w:val="none"/>
        </w:rPr>
      </w:pPr>
      <w:r>
        <w:rPr>
          <w:rFonts w:hint="eastAsia"/>
          <w:color w:val="auto"/>
          <w:sz w:val="24"/>
          <w:highlight w:val="none"/>
        </w:rPr>
        <w:t>时间：</w:t>
      </w:r>
      <w:r>
        <w:rPr>
          <w:rFonts w:hint="eastAsia"/>
          <w:color w:val="auto"/>
          <w:sz w:val="24"/>
          <w:highlight w:val="none"/>
          <w:lang w:val="en-US" w:eastAsia="zh-CN"/>
        </w:rPr>
        <w:t>2022年2月14日9时00分</w:t>
      </w:r>
      <w:r>
        <w:rPr>
          <w:rFonts w:hint="eastAsia"/>
          <w:color w:val="auto"/>
          <w:sz w:val="24"/>
          <w:highlight w:val="none"/>
        </w:rPr>
        <w:t>（北京时间）</w:t>
      </w:r>
    </w:p>
    <w:p>
      <w:pPr>
        <w:spacing w:line="400" w:lineRule="exact"/>
        <w:ind w:firstLine="480" w:firstLineChars="200"/>
        <w:rPr>
          <w:rFonts w:hint="eastAsia" w:eastAsia="宋体"/>
          <w:color w:val="auto"/>
          <w:sz w:val="24"/>
          <w:highlight w:val="none"/>
          <w:lang w:val="en-US" w:eastAsia="zh-CN"/>
        </w:rPr>
      </w:pPr>
      <w:r>
        <w:rPr>
          <w:rFonts w:hint="eastAsia"/>
          <w:color w:val="auto"/>
          <w:sz w:val="24"/>
          <w:highlight w:val="none"/>
        </w:rPr>
        <w:t>地点：三亚市公共资源交易中心（三亚市吉阳区新风街259号）三亚开标室</w:t>
      </w:r>
      <w:r>
        <w:rPr>
          <w:rFonts w:hint="eastAsia"/>
          <w:color w:val="auto"/>
          <w:sz w:val="24"/>
          <w:highlight w:val="none"/>
          <w:lang w:val="en-US" w:eastAsia="zh-CN"/>
        </w:rPr>
        <w:t>3</w:t>
      </w:r>
    </w:p>
    <w:p>
      <w:pPr>
        <w:spacing w:line="400" w:lineRule="exact"/>
        <w:ind w:firstLine="482" w:firstLineChars="200"/>
        <w:rPr>
          <w:rFonts w:hint="eastAsia"/>
          <w:color w:val="auto"/>
          <w:sz w:val="24"/>
          <w:highlight w:val="none"/>
        </w:rPr>
      </w:pPr>
      <w:r>
        <w:rPr>
          <w:rFonts w:hint="eastAsia"/>
          <w:b/>
          <w:bCs/>
          <w:color w:val="auto"/>
          <w:sz w:val="24"/>
          <w:highlight w:val="none"/>
        </w:rPr>
        <w:t>六、公告期限</w:t>
      </w:r>
    </w:p>
    <w:p>
      <w:pPr>
        <w:spacing w:line="400" w:lineRule="exact"/>
        <w:ind w:firstLine="480" w:firstLineChars="200"/>
        <w:rPr>
          <w:rFonts w:hint="eastAsia"/>
          <w:color w:val="auto"/>
          <w:sz w:val="24"/>
          <w:highlight w:val="none"/>
        </w:rPr>
      </w:pPr>
      <w:r>
        <w:rPr>
          <w:rFonts w:hint="eastAsia"/>
          <w:color w:val="auto"/>
          <w:sz w:val="24"/>
          <w:highlight w:val="none"/>
        </w:rPr>
        <w:t>自本公告发布之日起</w:t>
      </w:r>
      <w:r>
        <w:rPr>
          <w:rFonts w:hint="eastAsia"/>
          <w:color w:val="auto"/>
          <w:sz w:val="24"/>
          <w:highlight w:val="none"/>
          <w:lang w:val="en-US"/>
        </w:rPr>
        <w:t>3</w:t>
      </w:r>
      <w:r>
        <w:rPr>
          <w:rFonts w:hint="eastAsia"/>
          <w:color w:val="auto"/>
          <w:sz w:val="24"/>
          <w:highlight w:val="none"/>
        </w:rPr>
        <w:t>个工作日。</w:t>
      </w:r>
    </w:p>
    <w:p>
      <w:pPr>
        <w:spacing w:line="400" w:lineRule="exact"/>
        <w:ind w:firstLine="482" w:firstLineChars="200"/>
        <w:rPr>
          <w:rFonts w:hint="eastAsia"/>
          <w:color w:val="auto"/>
          <w:sz w:val="24"/>
          <w:highlight w:val="none"/>
        </w:rPr>
      </w:pPr>
      <w:r>
        <w:rPr>
          <w:rFonts w:hint="eastAsia"/>
          <w:b/>
          <w:bCs/>
          <w:color w:val="auto"/>
          <w:sz w:val="24"/>
          <w:highlight w:val="none"/>
        </w:rPr>
        <w:t>七、其他补充事宜</w:t>
      </w:r>
    </w:p>
    <w:p>
      <w:pPr>
        <w:spacing w:line="400" w:lineRule="exact"/>
        <w:ind w:firstLine="480" w:firstLineChars="200"/>
        <w:rPr>
          <w:rFonts w:hint="eastAsia"/>
          <w:color w:val="auto"/>
          <w:sz w:val="24"/>
          <w:highlight w:val="none"/>
        </w:rPr>
      </w:pPr>
      <w:r>
        <w:rPr>
          <w:rFonts w:hint="eastAsia"/>
          <w:color w:val="auto"/>
          <w:sz w:val="24"/>
          <w:highlight w:val="none"/>
        </w:rPr>
        <w:t>1、供应商须在全国公共资源交易平台（海南省）企业信息管理系统(http://zw.hainan.gov.cn /ggzy/) 中登记企业信息， 然后登陆招标投标交易平台(http://zw.hainan.gov.cn/ggzy/)下载，查看电子版的招标文件及其他文件；</w:t>
      </w:r>
    </w:p>
    <w:p>
      <w:pPr>
        <w:spacing w:line="400" w:lineRule="exact"/>
        <w:ind w:firstLine="480" w:firstLineChars="200"/>
        <w:rPr>
          <w:rFonts w:hint="eastAsia"/>
          <w:color w:val="auto"/>
          <w:sz w:val="24"/>
          <w:highlight w:val="none"/>
        </w:rPr>
      </w:pPr>
      <w:r>
        <w:rPr>
          <w:rFonts w:hint="eastAsia"/>
          <w:color w:val="auto"/>
          <w:sz w:val="24"/>
          <w:highlight w:val="none"/>
        </w:rPr>
        <w:t>2 、非电子标（招标文件后缀名不是.GPZ）：必须使用电子签章工具（ 在 http://zw.hainan.gov.cn/ggzy/ggzy/xgrjxz/index.jhtml 下载签章工具）对 PDF 格式的电子投标文件进行盖章(使用 WinRAR 对 PDF 格式的标书加密压缩)；</w:t>
      </w:r>
    </w:p>
    <w:p>
      <w:pPr>
        <w:spacing w:line="400" w:lineRule="exact"/>
        <w:ind w:firstLine="480" w:firstLineChars="200"/>
        <w:rPr>
          <w:rFonts w:hint="eastAsia"/>
          <w:color w:val="auto"/>
          <w:sz w:val="24"/>
          <w:highlight w:val="none"/>
        </w:rPr>
      </w:pPr>
      <w:r>
        <w:rPr>
          <w:rFonts w:hint="eastAsia"/>
          <w:color w:val="auto"/>
          <w:sz w:val="24"/>
          <w:highlight w:val="none"/>
        </w:rPr>
        <w:t>3、投标截止时间前，必须在网上上传电子投标书——（非电子标：投标书需上传 PDF 加密压缩的 rar 格式）；</w:t>
      </w:r>
    </w:p>
    <w:p>
      <w:pPr>
        <w:spacing w:line="400" w:lineRule="exact"/>
        <w:ind w:firstLine="480" w:firstLineChars="200"/>
        <w:rPr>
          <w:rFonts w:hint="eastAsia"/>
          <w:color w:val="auto"/>
          <w:sz w:val="24"/>
          <w:highlight w:val="none"/>
        </w:rPr>
      </w:pPr>
      <w:r>
        <w:rPr>
          <w:rFonts w:hint="eastAsia"/>
          <w:color w:val="auto"/>
          <w:sz w:val="24"/>
          <w:highlight w:val="none"/>
        </w:rPr>
        <w:t>4、开标的时候必须携带U盘或光盘拷贝的电子版投标书；</w:t>
      </w:r>
    </w:p>
    <w:p>
      <w:pPr>
        <w:spacing w:line="360" w:lineRule="auto"/>
        <w:ind w:firstLine="480" w:firstLineChars="200"/>
        <w:jc w:val="left"/>
        <w:rPr>
          <w:rFonts w:hint="eastAsia"/>
          <w:color w:val="auto"/>
          <w:sz w:val="24"/>
          <w:highlight w:val="none"/>
        </w:rPr>
      </w:pPr>
      <w:r>
        <w:rPr>
          <w:rFonts w:hint="eastAsia"/>
          <w:color w:val="auto"/>
          <w:sz w:val="24"/>
          <w:highlight w:val="none"/>
        </w:rPr>
        <w:t>5、本项目采购信息发布媒体为：全国公共资源交易平台（海南省）·三亚市</w:t>
      </w:r>
    </w:p>
    <w:p>
      <w:pPr>
        <w:spacing w:line="360" w:lineRule="auto"/>
        <w:jc w:val="left"/>
        <w:rPr>
          <w:rFonts w:hint="eastAsia"/>
          <w:color w:val="auto"/>
          <w:sz w:val="24"/>
          <w:highlight w:val="none"/>
          <w:lang w:val="en-US" w:eastAsia="zh-CN"/>
        </w:rPr>
      </w:pPr>
      <w:r>
        <w:rPr>
          <w:rFonts w:hint="eastAsia"/>
          <w:color w:val="auto"/>
          <w:sz w:val="24"/>
          <w:highlight w:val="none"/>
        </w:rPr>
        <w:t>http</w:t>
      </w:r>
      <w:r>
        <w:rPr>
          <w:rFonts w:hint="eastAsia"/>
          <w:color w:val="auto"/>
          <w:sz w:val="24"/>
          <w:highlight w:val="none"/>
          <w:lang w:eastAsia="zh-CN"/>
        </w:rPr>
        <w:t>：</w:t>
      </w:r>
      <w:r>
        <w:rPr>
          <w:rFonts w:hint="eastAsia"/>
          <w:color w:val="auto"/>
          <w:sz w:val="24"/>
          <w:highlight w:val="none"/>
        </w:rPr>
        <w:t xml:space="preserve">//zw.hainan.gov.cn/ggzy/syggzy 和 </w:t>
      </w:r>
      <w:r>
        <w:rPr>
          <w:rFonts w:hint="eastAsia"/>
          <w:color w:val="auto"/>
          <w:sz w:val="24"/>
          <w:highlight w:val="none"/>
          <w:lang w:val="en-US" w:eastAsia="zh-CN"/>
        </w:rPr>
        <w:t>海南省政府采购网</w:t>
      </w:r>
    </w:p>
    <w:p>
      <w:pPr>
        <w:spacing w:line="360" w:lineRule="auto"/>
        <w:jc w:val="left"/>
        <w:rPr>
          <w:rFonts w:hint="eastAsia"/>
          <w:color w:val="auto"/>
          <w:sz w:val="24"/>
          <w:highlight w:val="none"/>
        </w:rPr>
      </w:pPr>
      <w:r>
        <w:rPr>
          <w:rFonts w:hint="eastAsia"/>
          <w:color w:val="auto"/>
          <w:sz w:val="24"/>
          <w:highlight w:val="none"/>
          <w:lang w:val="en-US" w:eastAsia="zh-CN"/>
        </w:rPr>
        <w:t>https：//www.ccgp-hainan.gov.cn/zhuzhan/</w:t>
      </w:r>
      <w:r>
        <w:rPr>
          <w:rFonts w:hint="eastAsia"/>
          <w:color w:val="auto"/>
          <w:sz w:val="24"/>
          <w:highlight w:val="none"/>
        </w:rPr>
        <w:t>。</w:t>
      </w:r>
    </w:p>
    <w:p>
      <w:pPr>
        <w:spacing w:line="480" w:lineRule="exact"/>
        <w:ind w:firstLine="480" w:firstLineChars="200"/>
        <w:rPr>
          <w:rFonts w:hint="eastAsia"/>
          <w:color w:val="auto"/>
          <w:sz w:val="24"/>
          <w:highlight w:val="none"/>
        </w:rPr>
      </w:pPr>
      <w:r>
        <w:rPr>
          <w:rFonts w:hint="eastAsia"/>
          <w:color w:val="auto"/>
          <w:sz w:val="24"/>
          <w:highlight w:val="none"/>
        </w:rPr>
        <w:t>6 、有关本项目采购文件的补遗、澄清及变更信息以上述网站公告与下载为准，采购代理机构不再另行通知，采购文件与更正公告的内容相互矛盾时，以最后发出的更正公告内容为准。代理机构不再另行通知，采购文件与更正公告的内容相互矛盾时，以最后发出的更正公告内容为准。</w:t>
      </w:r>
    </w:p>
    <w:p>
      <w:pPr>
        <w:numPr>
          <w:ilvl w:val="0"/>
          <w:numId w:val="1"/>
        </w:numPr>
        <w:spacing w:line="480" w:lineRule="exact"/>
        <w:ind w:firstLine="480" w:firstLineChars="200"/>
        <w:rPr>
          <w:rFonts w:hint="eastAsia"/>
          <w:color w:val="auto"/>
          <w:sz w:val="24"/>
          <w:highlight w:val="none"/>
          <w:lang w:val="en-US" w:eastAsia="zh-CN"/>
        </w:rPr>
      </w:pPr>
      <w:r>
        <w:rPr>
          <w:rFonts w:hint="eastAsia"/>
          <w:color w:val="auto"/>
          <w:sz w:val="24"/>
          <w:highlight w:val="none"/>
          <w:lang w:val="en-US" w:eastAsia="zh-CN"/>
        </w:rPr>
        <w:t>根据《三亚市人民政府办公室关于印发&lt;三亚市创建一流营商环境2021年实施方案&gt;的通知》（三府办〔2021〕44号）和《三亚市金融发展局关于印发&lt;创建一流营商环境“获得信贷”指标2021年专项行动方案&gt;的通知》，三亚市在探索开展“政采贷”业务，中标或成交供应商可凭借与采购单位签订的政府采购合同向开展政府采购合同融资业务的3家银行（中信银行三亚分行、兴业银行三亚分行和浦发银行三亚分行）的公司业务部申请信用贷款。</w:t>
      </w:r>
    </w:p>
    <w:p>
      <w:pPr>
        <w:numPr>
          <w:ilvl w:val="0"/>
          <w:numId w:val="1"/>
        </w:numPr>
        <w:spacing w:line="480" w:lineRule="exact"/>
        <w:ind w:firstLine="480" w:firstLineChars="200"/>
        <w:rPr>
          <w:rFonts w:hint="eastAsia"/>
          <w:color w:val="auto"/>
          <w:sz w:val="24"/>
          <w:highlight w:val="none"/>
          <w:lang w:val="en-US" w:eastAsia="zh-CN"/>
        </w:rPr>
      </w:pPr>
      <w:r>
        <w:rPr>
          <w:rFonts w:hint="eastAsia"/>
          <w:color w:val="auto"/>
          <w:sz w:val="24"/>
          <w:highlight w:val="none"/>
          <w:lang w:val="en-US" w:eastAsia="zh-CN"/>
        </w:rPr>
        <w:t xml:space="preserve">报名费于开标现场缴纳； </w:t>
      </w:r>
    </w:p>
    <w:p>
      <w:pPr>
        <w:numPr>
          <w:ilvl w:val="0"/>
          <w:numId w:val="1"/>
        </w:numPr>
        <w:spacing w:line="480" w:lineRule="exact"/>
        <w:ind w:left="0" w:leftChars="0" w:firstLine="480" w:firstLineChars="200"/>
        <w:rPr>
          <w:rFonts w:hint="eastAsia"/>
          <w:color w:val="auto"/>
          <w:sz w:val="24"/>
          <w:highlight w:val="none"/>
          <w:lang w:val="en-US" w:eastAsia="zh-CN"/>
        </w:rPr>
      </w:pPr>
      <w:r>
        <w:rPr>
          <w:rFonts w:hint="eastAsia"/>
          <w:color w:val="auto"/>
          <w:sz w:val="24"/>
          <w:highlight w:val="none"/>
          <w:lang w:val="en-US" w:eastAsia="zh-CN"/>
        </w:rPr>
        <w:t>因竞争性磋商公告系统格式原因，显示无最高限价，现特此说明本项目的最高限价为3035907.76元</w:t>
      </w:r>
    </w:p>
    <w:p>
      <w:pPr>
        <w:numPr>
          <w:ilvl w:val="0"/>
          <w:numId w:val="0"/>
        </w:numPr>
        <w:spacing w:line="480" w:lineRule="exact"/>
        <w:ind w:leftChars="200"/>
        <w:rPr>
          <w:rFonts w:hint="eastAsia"/>
        </w:rPr>
      </w:pPr>
      <w:r>
        <w:rPr>
          <w:rFonts w:hint="eastAsia"/>
          <w:color w:val="auto"/>
          <w:sz w:val="24"/>
          <w:highlight w:val="none"/>
          <w:lang w:val="en-US" w:eastAsia="zh-CN"/>
        </w:rPr>
        <w:t>A包：1937826.26元，B包：1098081.5元。</w:t>
      </w:r>
    </w:p>
    <w:p>
      <w:pPr>
        <w:spacing w:line="400" w:lineRule="exact"/>
        <w:ind w:firstLine="482" w:firstLineChars="200"/>
        <w:rPr>
          <w:rFonts w:hint="eastAsia"/>
          <w:color w:val="auto"/>
          <w:sz w:val="24"/>
          <w:highlight w:val="none"/>
        </w:rPr>
      </w:pPr>
      <w:r>
        <w:rPr>
          <w:rFonts w:hint="eastAsia"/>
          <w:b/>
          <w:bCs/>
          <w:color w:val="auto"/>
          <w:sz w:val="24"/>
          <w:highlight w:val="none"/>
        </w:rPr>
        <w:t>八、凡对本次采购提出询问，请按以下方式联系</w:t>
      </w:r>
    </w:p>
    <w:p>
      <w:pPr>
        <w:spacing w:line="400" w:lineRule="exact"/>
        <w:ind w:firstLine="480" w:firstLineChars="200"/>
        <w:rPr>
          <w:rFonts w:hint="eastAsia"/>
          <w:color w:val="auto"/>
          <w:sz w:val="24"/>
          <w:highlight w:val="none"/>
        </w:rPr>
      </w:pPr>
      <w:r>
        <w:rPr>
          <w:rFonts w:hint="eastAsia"/>
          <w:color w:val="auto"/>
          <w:sz w:val="24"/>
          <w:highlight w:val="none"/>
        </w:rPr>
        <w:t>1.采购人信息</w:t>
      </w:r>
    </w:p>
    <w:p>
      <w:pPr>
        <w:spacing w:line="400" w:lineRule="exact"/>
        <w:ind w:firstLine="480" w:firstLineChars="200"/>
        <w:rPr>
          <w:rFonts w:hint="eastAsia"/>
          <w:color w:val="auto"/>
          <w:sz w:val="24"/>
          <w:highlight w:val="none"/>
          <w:lang w:val="en-US" w:eastAsia="zh-CN"/>
        </w:rPr>
      </w:pPr>
      <w:r>
        <w:rPr>
          <w:rFonts w:hint="eastAsia"/>
          <w:color w:val="auto"/>
          <w:sz w:val="24"/>
          <w:highlight w:val="none"/>
        </w:rPr>
        <w:t>名称：</w:t>
      </w:r>
      <w:r>
        <w:rPr>
          <w:rFonts w:hint="eastAsia"/>
          <w:color w:val="auto"/>
          <w:sz w:val="24"/>
          <w:highlight w:val="none"/>
          <w:lang w:val="en-US" w:eastAsia="zh-CN"/>
        </w:rPr>
        <w:t>中共三亚市崖州区委政法委员会</w:t>
      </w:r>
    </w:p>
    <w:p>
      <w:pPr>
        <w:spacing w:line="400" w:lineRule="exact"/>
        <w:ind w:firstLine="480" w:firstLineChars="200"/>
        <w:rPr>
          <w:rFonts w:hint="eastAsia" w:eastAsia="宋体"/>
          <w:color w:val="auto"/>
          <w:sz w:val="24"/>
          <w:highlight w:val="none"/>
          <w:lang w:eastAsia="zh-CN"/>
        </w:rPr>
      </w:pPr>
      <w:r>
        <w:rPr>
          <w:rFonts w:hint="eastAsia"/>
          <w:color w:val="auto"/>
          <w:sz w:val="24"/>
          <w:highlight w:val="none"/>
        </w:rPr>
        <w:t>地址：</w:t>
      </w:r>
      <w:r>
        <w:rPr>
          <w:rFonts w:hint="eastAsia"/>
          <w:color w:val="auto"/>
          <w:sz w:val="24"/>
          <w:highlight w:val="none"/>
          <w:lang w:val="en-US" w:eastAsia="zh-CN"/>
        </w:rPr>
        <w:t xml:space="preserve"> 三亚市崖州区人民政府崖州大道1号 </w:t>
      </w:r>
    </w:p>
    <w:p>
      <w:pPr>
        <w:spacing w:line="400" w:lineRule="exact"/>
        <w:ind w:firstLine="480" w:firstLineChars="200"/>
        <w:rPr>
          <w:rFonts w:hint="eastAsia"/>
          <w:color w:val="auto"/>
          <w:sz w:val="24"/>
          <w:highlight w:val="none"/>
          <w:lang w:val="en-US"/>
        </w:rPr>
      </w:pPr>
      <w:r>
        <w:rPr>
          <w:rFonts w:hint="eastAsia"/>
          <w:color w:val="auto"/>
          <w:sz w:val="24"/>
          <w:highlight w:val="none"/>
        </w:rPr>
        <w:t>联系方式</w:t>
      </w:r>
      <w:r>
        <w:rPr>
          <w:rFonts w:hint="eastAsia"/>
          <w:color w:val="auto"/>
          <w:sz w:val="24"/>
          <w:highlight w:val="none"/>
          <w:lang w:eastAsia="zh-CN"/>
        </w:rPr>
        <w:t>：</w:t>
      </w:r>
      <w:r>
        <w:rPr>
          <w:rFonts w:hint="eastAsia"/>
          <w:color w:val="auto"/>
          <w:sz w:val="24"/>
          <w:highlight w:val="none"/>
          <w:lang w:val="en-US" w:eastAsia="zh-CN"/>
        </w:rPr>
        <w:t xml:space="preserve">88759518 </w:t>
      </w:r>
    </w:p>
    <w:p>
      <w:pPr>
        <w:spacing w:line="400" w:lineRule="exact"/>
        <w:ind w:firstLine="480" w:firstLineChars="200"/>
        <w:rPr>
          <w:rFonts w:hint="eastAsia"/>
          <w:color w:val="auto"/>
          <w:sz w:val="24"/>
          <w:highlight w:val="none"/>
        </w:rPr>
      </w:pPr>
      <w:r>
        <w:rPr>
          <w:rFonts w:hint="eastAsia"/>
          <w:color w:val="auto"/>
          <w:sz w:val="24"/>
          <w:highlight w:val="none"/>
        </w:rPr>
        <w:t>2.采购代理机构信息</w:t>
      </w:r>
    </w:p>
    <w:p>
      <w:pPr>
        <w:spacing w:line="400" w:lineRule="exact"/>
        <w:ind w:firstLine="480" w:firstLineChars="200"/>
        <w:rPr>
          <w:rFonts w:hint="eastAsia" w:eastAsia="宋体"/>
          <w:color w:val="auto"/>
          <w:sz w:val="24"/>
          <w:highlight w:val="none"/>
          <w:lang w:eastAsia="zh-CN"/>
        </w:rPr>
      </w:pPr>
      <w:r>
        <w:rPr>
          <w:rFonts w:hint="eastAsia"/>
          <w:color w:val="auto"/>
          <w:sz w:val="24"/>
          <w:highlight w:val="none"/>
        </w:rPr>
        <w:t>名称：</w:t>
      </w:r>
      <w:r>
        <w:rPr>
          <w:rFonts w:hint="eastAsia"/>
          <w:color w:val="auto"/>
          <w:sz w:val="24"/>
          <w:highlight w:val="none"/>
          <w:lang w:eastAsia="zh-CN"/>
        </w:rPr>
        <w:t>海南卓能工程管理有限公司</w:t>
      </w:r>
    </w:p>
    <w:p>
      <w:pPr>
        <w:spacing w:line="400" w:lineRule="exact"/>
        <w:ind w:firstLine="480" w:firstLineChars="200"/>
        <w:rPr>
          <w:rFonts w:hint="eastAsia" w:eastAsia="宋体"/>
          <w:color w:val="auto"/>
          <w:sz w:val="24"/>
          <w:highlight w:val="none"/>
          <w:lang w:eastAsia="zh-CN"/>
        </w:rPr>
      </w:pPr>
      <w:r>
        <w:rPr>
          <w:rFonts w:hint="eastAsia"/>
          <w:color w:val="auto"/>
          <w:sz w:val="24"/>
          <w:highlight w:val="none"/>
        </w:rPr>
        <w:t>地址：</w:t>
      </w:r>
      <w:r>
        <w:rPr>
          <w:rFonts w:hint="eastAsia" w:ascii="宋体" w:hAnsi="宋体" w:eastAsia="宋体" w:cs="宋体"/>
          <w:color w:val="auto"/>
          <w:kern w:val="0"/>
          <w:sz w:val="24"/>
        </w:rPr>
        <w:t>海南省三亚市</w:t>
      </w:r>
      <w:r>
        <w:rPr>
          <w:rFonts w:hint="eastAsia" w:cs="宋体"/>
          <w:color w:val="auto"/>
          <w:kern w:val="0"/>
          <w:sz w:val="24"/>
          <w:lang w:val="en-US" w:eastAsia="zh-CN"/>
        </w:rPr>
        <w:t>吉阳区</w:t>
      </w:r>
      <w:r>
        <w:rPr>
          <w:rFonts w:hint="eastAsia" w:ascii="宋体" w:hAnsi="宋体" w:eastAsia="宋体" w:cs="宋体"/>
          <w:color w:val="auto"/>
          <w:kern w:val="0"/>
          <w:sz w:val="24"/>
        </w:rPr>
        <w:t>商品街12巷3号6楼</w:t>
      </w:r>
    </w:p>
    <w:p>
      <w:pPr>
        <w:spacing w:line="400" w:lineRule="exact"/>
        <w:ind w:firstLine="480" w:firstLineChars="200"/>
        <w:rPr>
          <w:rFonts w:hint="eastAsia" w:eastAsia="宋体"/>
          <w:color w:val="auto"/>
          <w:sz w:val="24"/>
          <w:highlight w:val="none"/>
          <w:lang w:eastAsia="zh-CN"/>
        </w:rPr>
      </w:pPr>
      <w:r>
        <w:rPr>
          <w:rFonts w:hint="eastAsia"/>
          <w:color w:val="auto"/>
          <w:sz w:val="24"/>
          <w:highlight w:val="none"/>
        </w:rPr>
        <w:t>联系方式：</w:t>
      </w:r>
      <w:r>
        <w:rPr>
          <w:rFonts w:hint="eastAsia" w:ascii="宋体" w:hAnsi="宋体" w:eastAsia="宋体" w:cs="宋体"/>
          <w:color w:val="auto"/>
          <w:kern w:val="0"/>
          <w:sz w:val="24"/>
        </w:rPr>
        <w:t>0898-88205620</w:t>
      </w:r>
    </w:p>
    <w:p>
      <w:pPr>
        <w:spacing w:line="400" w:lineRule="exact"/>
        <w:ind w:firstLine="480" w:firstLineChars="200"/>
        <w:rPr>
          <w:rFonts w:hint="eastAsia"/>
          <w:color w:val="auto"/>
          <w:sz w:val="24"/>
          <w:highlight w:val="none"/>
        </w:rPr>
      </w:pPr>
      <w:r>
        <w:rPr>
          <w:rFonts w:hint="eastAsia"/>
          <w:color w:val="auto"/>
          <w:sz w:val="24"/>
          <w:highlight w:val="none"/>
        </w:rPr>
        <w:t>3.项目联系方式</w:t>
      </w:r>
    </w:p>
    <w:p>
      <w:pPr>
        <w:spacing w:line="400" w:lineRule="exact"/>
        <w:ind w:firstLine="480" w:firstLineChars="200"/>
        <w:rPr>
          <w:rFonts w:hint="eastAsia"/>
          <w:color w:val="auto"/>
          <w:sz w:val="24"/>
          <w:highlight w:val="none"/>
        </w:rPr>
      </w:pPr>
      <w:r>
        <w:rPr>
          <w:rFonts w:hint="eastAsia"/>
          <w:color w:val="auto"/>
          <w:sz w:val="24"/>
          <w:highlight w:val="none"/>
        </w:rPr>
        <w:t>项目联系人：孙工</w:t>
      </w:r>
      <w:r>
        <w:rPr>
          <w:rFonts w:hint="eastAsia"/>
          <w:color w:val="auto"/>
          <w:sz w:val="24"/>
          <w:highlight w:val="none"/>
          <w:lang w:val="en-US" w:eastAsia="zh-CN"/>
        </w:rPr>
        <w:t xml:space="preserve"> </w:t>
      </w:r>
      <w:r>
        <w:rPr>
          <w:rFonts w:hint="eastAsia"/>
          <w:color w:val="auto"/>
          <w:sz w:val="24"/>
          <w:highlight w:val="none"/>
          <w:lang w:val="en-US"/>
        </w:rPr>
        <w:t xml:space="preserve">  </w:t>
      </w:r>
    </w:p>
    <w:p>
      <w:pPr>
        <w:spacing w:line="400" w:lineRule="exact"/>
        <w:ind w:firstLine="480" w:firstLineChars="200"/>
        <w:rPr>
          <w:rFonts w:hint="eastAsia" w:eastAsia="宋体"/>
          <w:color w:val="auto"/>
          <w:sz w:val="24"/>
          <w:highlight w:val="none"/>
          <w:lang w:eastAsia="zh-CN"/>
        </w:rPr>
      </w:pPr>
      <w:r>
        <w:rPr>
          <w:rFonts w:hint="eastAsia"/>
          <w:color w:val="auto"/>
          <w:sz w:val="24"/>
          <w:highlight w:val="none"/>
        </w:rPr>
        <w:t>电话：</w:t>
      </w:r>
      <w:r>
        <w:rPr>
          <w:rFonts w:hint="eastAsia" w:ascii="宋体" w:hAnsi="宋体" w:eastAsia="宋体" w:cs="宋体"/>
          <w:color w:val="auto"/>
          <w:kern w:val="0"/>
          <w:sz w:val="24"/>
        </w:rPr>
        <w:t>0898-88205620</w:t>
      </w:r>
      <w:r>
        <w:rPr>
          <w:rFonts w:hint="eastAsia"/>
          <w:color w:val="auto"/>
          <w:sz w:val="24"/>
          <w:highlight w:val="none"/>
          <w:lang w:val="en-US" w:eastAsia="zh-CN"/>
        </w:rPr>
        <w:t xml:space="preserve"> </w:t>
      </w:r>
    </w:p>
    <w:p>
      <w:pPr>
        <w:rPr>
          <w:b/>
          <w:bCs/>
          <w:color w:val="auto"/>
          <w:sz w:val="24"/>
          <w:szCs w:val="24"/>
          <w:highlight w:val="none"/>
        </w:rPr>
      </w:pPr>
    </w:p>
    <w:p>
      <w:pPr>
        <w:spacing w:line="440" w:lineRule="exact"/>
        <w:rPr>
          <w:b/>
          <w:bCs/>
          <w:color w:val="auto"/>
          <w:sz w:val="44"/>
          <w:szCs w:val="44"/>
          <w:highlight w:val="none"/>
        </w:rPr>
      </w:pPr>
      <w:bookmarkStart w:id="11" w:name="_Toc4312"/>
      <w:bookmarkStart w:id="12" w:name="_Toc317237598"/>
      <w:bookmarkStart w:id="13" w:name="_Toc477188629"/>
    </w:p>
    <w:p>
      <w:pPr>
        <w:pageBreakBefore/>
        <w:spacing w:line="360" w:lineRule="auto"/>
        <w:jc w:val="center"/>
        <w:outlineLvl w:val="0"/>
        <w:rPr>
          <w:b/>
          <w:bCs/>
          <w:color w:val="auto"/>
          <w:sz w:val="48"/>
          <w:szCs w:val="48"/>
          <w:highlight w:val="none"/>
        </w:rPr>
      </w:pPr>
      <w:bookmarkStart w:id="14" w:name="_Toc1332"/>
      <w:bookmarkStart w:id="15" w:name="_Toc5370"/>
      <w:bookmarkStart w:id="16" w:name="_Toc14269"/>
      <w:bookmarkStart w:id="17" w:name="_Toc9090"/>
      <w:r>
        <w:rPr>
          <w:rFonts w:hint="eastAsia"/>
          <w:b/>
          <w:bCs/>
          <w:color w:val="auto"/>
          <w:sz w:val="44"/>
          <w:szCs w:val="44"/>
          <w:highlight w:val="none"/>
        </w:rPr>
        <w:t>第二部分供应商须知</w:t>
      </w:r>
      <w:bookmarkEnd w:id="11"/>
      <w:bookmarkEnd w:id="12"/>
      <w:bookmarkEnd w:id="13"/>
      <w:bookmarkEnd w:id="14"/>
      <w:bookmarkEnd w:id="15"/>
      <w:bookmarkEnd w:id="16"/>
      <w:bookmarkEnd w:id="17"/>
    </w:p>
    <w:p>
      <w:pPr>
        <w:tabs>
          <w:tab w:val="left" w:pos="540"/>
          <w:tab w:val="left" w:pos="720"/>
        </w:tabs>
        <w:spacing w:line="360" w:lineRule="auto"/>
        <w:jc w:val="center"/>
        <w:outlineLvl w:val="1"/>
        <w:rPr>
          <w:b/>
          <w:bCs/>
          <w:color w:val="auto"/>
          <w:sz w:val="32"/>
          <w:szCs w:val="32"/>
          <w:highlight w:val="none"/>
        </w:rPr>
      </w:pPr>
      <w:bookmarkStart w:id="18" w:name="_Toc31123"/>
      <w:bookmarkStart w:id="19" w:name="_Toc2739"/>
      <w:bookmarkStart w:id="20" w:name="_Toc23602"/>
      <w:bookmarkStart w:id="21" w:name="_Toc477188630"/>
      <w:bookmarkStart w:id="22" w:name="_Toc5143"/>
      <w:r>
        <w:rPr>
          <w:rFonts w:hint="eastAsia"/>
          <w:b/>
          <w:bCs/>
          <w:color w:val="auto"/>
          <w:sz w:val="32"/>
          <w:szCs w:val="32"/>
          <w:highlight w:val="none"/>
        </w:rPr>
        <w:t>供应商须知前附表</w:t>
      </w:r>
      <w:bookmarkEnd w:id="18"/>
      <w:bookmarkEnd w:id="19"/>
      <w:bookmarkEnd w:id="20"/>
      <w:bookmarkEnd w:id="21"/>
      <w:bookmarkEnd w:id="22"/>
    </w:p>
    <w:tbl>
      <w:tblPr>
        <w:tblStyle w:val="25"/>
        <w:tblW w:w="91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852"/>
        <w:gridCol w:w="6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10" w:type="dxa"/>
            <w:noWrap w:val="0"/>
            <w:vAlign w:val="center"/>
          </w:tcPr>
          <w:p>
            <w:pPr>
              <w:pStyle w:val="43"/>
              <w:spacing w:line="360" w:lineRule="auto"/>
              <w:ind w:left="-110" w:leftChars="-50" w:right="-110" w:rightChars="-50"/>
              <w:jc w:val="center"/>
              <w:rPr>
                <w:b/>
                <w:bCs/>
                <w:color w:val="auto"/>
                <w:highlight w:val="none"/>
              </w:rPr>
            </w:pPr>
            <w:r>
              <w:rPr>
                <w:rFonts w:hint="eastAsia"/>
                <w:b/>
                <w:bCs/>
                <w:color w:val="auto"/>
                <w:highlight w:val="none"/>
                <w:lang w:eastAsia="zh-CN"/>
              </w:rPr>
              <w:t>序</w:t>
            </w:r>
            <w:r>
              <w:rPr>
                <w:rFonts w:hint="eastAsia"/>
                <w:b/>
                <w:bCs/>
                <w:color w:val="auto"/>
                <w:highlight w:val="none"/>
              </w:rPr>
              <w:t>号</w:t>
            </w:r>
          </w:p>
        </w:tc>
        <w:tc>
          <w:tcPr>
            <w:tcW w:w="1852" w:type="dxa"/>
            <w:noWrap w:val="0"/>
            <w:vAlign w:val="center"/>
          </w:tcPr>
          <w:p>
            <w:pPr>
              <w:pStyle w:val="43"/>
              <w:spacing w:line="360" w:lineRule="auto"/>
              <w:jc w:val="center"/>
              <w:rPr>
                <w:b/>
                <w:bCs/>
                <w:color w:val="auto"/>
                <w:highlight w:val="none"/>
                <w:lang w:eastAsia="zh-CN"/>
              </w:rPr>
            </w:pPr>
            <w:r>
              <w:rPr>
                <w:rFonts w:hint="eastAsia"/>
                <w:b/>
                <w:bCs/>
                <w:color w:val="auto"/>
                <w:highlight w:val="none"/>
                <w:lang w:eastAsia="zh-CN"/>
              </w:rPr>
              <w:t>条款名称</w:t>
            </w:r>
          </w:p>
        </w:tc>
        <w:tc>
          <w:tcPr>
            <w:tcW w:w="6559" w:type="dxa"/>
            <w:noWrap w:val="0"/>
            <w:vAlign w:val="center"/>
          </w:tcPr>
          <w:p>
            <w:pPr>
              <w:pStyle w:val="43"/>
              <w:spacing w:line="360" w:lineRule="auto"/>
              <w:jc w:val="center"/>
              <w:rPr>
                <w:b/>
                <w:bCs/>
                <w:color w:val="auto"/>
                <w:highlight w:val="none"/>
              </w:rPr>
            </w:pPr>
            <w:r>
              <w:rPr>
                <w:rFonts w:hint="eastAsia"/>
                <w:b/>
                <w:bCs/>
                <w:color w:val="auto"/>
                <w:highlight w:val="none"/>
                <w:lang w:eastAsia="zh-CN"/>
              </w:rPr>
              <w:t>编列</w:t>
            </w:r>
            <w:r>
              <w:rPr>
                <w:rFonts w:hint="eastAsia"/>
                <w:b/>
                <w:bCs/>
                <w:color w:val="auto"/>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10" w:type="dxa"/>
            <w:noWrap w:val="0"/>
            <w:vAlign w:val="center"/>
          </w:tcPr>
          <w:p>
            <w:pPr>
              <w:adjustRightInd w:val="0"/>
              <w:spacing w:line="300" w:lineRule="auto"/>
              <w:jc w:val="center"/>
              <w:rPr>
                <w:rFonts w:hint="eastAsia"/>
                <w:color w:val="auto"/>
                <w:sz w:val="18"/>
                <w:szCs w:val="18"/>
                <w:highlight w:val="none"/>
              </w:rPr>
            </w:pPr>
            <w:r>
              <w:rPr>
                <w:rFonts w:hint="eastAsia"/>
                <w:color w:val="auto"/>
                <w:sz w:val="18"/>
                <w:szCs w:val="18"/>
                <w:highlight w:val="none"/>
              </w:rPr>
              <w:t>2.1</w:t>
            </w:r>
          </w:p>
        </w:tc>
        <w:tc>
          <w:tcPr>
            <w:tcW w:w="1852" w:type="dxa"/>
            <w:noWrap w:val="0"/>
            <w:vAlign w:val="center"/>
          </w:tcPr>
          <w:p>
            <w:pPr>
              <w:pStyle w:val="43"/>
              <w:jc w:val="center"/>
              <w:rPr>
                <w:color w:val="auto"/>
                <w:sz w:val="18"/>
                <w:szCs w:val="18"/>
                <w:highlight w:val="none"/>
                <w:lang w:eastAsia="zh-CN"/>
              </w:rPr>
            </w:pPr>
            <w:r>
              <w:rPr>
                <w:rFonts w:hint="eastAsia"/>
                <w:color w:val="auto"/>
                <w:sz w:val="18"/>
                <w:szCs w:val="18"/>
                <w:highlight w:val="none"/>
              </w:rPr>
              <w:t>项目名称</w:t>
            </w:r>
          </w:p>
        </w:tc>
        <w:tc>
          <w:tcPr>
            <w:tcW w:w="6559" w:type="dxa"/>
            <w:noWrap w:val="0"/>
            <w:vAlign w:val="center"/>
          </w:tcPr>
          <w:p>
            <w:pPr>
              <w:pStyle w:val="43"/>
              <w:rPr>
                <w:color w:val="auto"/>
                <w:sz w:val="18"/>
                <w:szCs w:val="18"/>
                <w:highlight w:val="none"/>
                <w:lang w:eastAsia="zh-CN"/>
              </w:rPr>
            </w:pPr>
            <w:r>
              <w:rPr>
                <w:rFonts w:hint="eastAsia"/>
                <w:color w:val="auto"/>
                <w:sz w:val="18"/>
                <w:szCs w:val="18"/>
                <w:highlight w:val="none"/>
                <w:lang w:val="en-US" w:eastAsia="zh-CN"/>
              </w:rPr>
              <w:t>港门海岸派出所建设综合勤务指挥室及营区修缮项目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noWrap w:val="0"/>
            <w:vAlign w:val="center"/>
          </w:tcPr>
          <w:p>
            <w:pPr>
              <w:adjustRightInd w:val="0"/>
              <w:spacing w:line="300" w:lineRule="auto"/>
              <w:jc w:val="center"/>
              <w:rPr>
                <w:rFonts w:hint="eastAsia"/>
                <w:color w:val="auto"/>
                <w:sz w:val="18"/>
                <w:szCs w:val="18"/>
                <w:highlight w:val="none"/>
              </w:rPr>
            </w:pPr>
            <w:r>
              <w:rPr>
                <w:rFonts w:hint="eastAsia"/>
                <w:color w:val="auto"/>
                <w:sz w:val="18"/>
                <w:szCs w:val="18"/>
                <w:highlight w:val="none"/>
              </w:rPr>
              <w:t>2.2</w:t>
            </w:r>
          </w:p>
        </w:tc>
        <w:tc>
          <w:tcPr>
            <w:tcW w:w="1852" w:type="dxa"/>
            <w:noWrap w:val="0"/>
            <w:vAlign w:val="center"/>
          </w:tcPr>
          <w:p>
            <w:pPr>
              <w:pStyle w:val="43"/>
              <w:spacing w:line="360" w:lineRule="auto"/>
              <w:jc w:val="center"/>
              <w:rPr>
                <w:color w:val="auto"/>
                <w:sz w:val="18"/>
                <w:szCs w:val="18"/>
                <w:highlight w:val="none"/>
              </w:rPr>
            </w:pPr>
            <w:r>
              <w:rPr>
                <w:rFonts w:hint="eastAsia"/>
                <w:color w:val="auto"/>
                <w:sz w:val="18"/>
                <w:szCs w:val="18"/>
                <w:highlight w:val="none"/>
                <w:lang w:eastAsia="zh-CN"/>
              </w:rPr>
              <w:t>项目</w:t>
            </w:r>
            <w:r>
              <w:rPr>
                <w:rFonts w:hint="eastAsia"/>
                <w:color w:val="auto"/>
                <w:sz w:val="18"/>
                <w:szCs w:val="18"/>
                <w:highlight w:val="none"/>
              </w:rPr>
              <w:t>编号</w:t>
            </w:r>
          </w:p>
        </w:tc>
        <w:tc>
          <w:tcPr>
            <w:tcW w:w="6559" w:type="dxa"/>
            <w:noWrap w:val="0"/>
            <w:vAlign w:val="center"/>
          </w:tcPr>
          <w:p>
            <w:pPr>
              <w:pStyle w:val="43"/>
              <w:spacing w:line="360" w:lineRule="auto"/>
              <w:rPr>
                <w:color w:val="auto"/>
                <w:sz w:val="18"/>
                <w:szCs w:val="18"/>
                <w:highlight w:val="none"/>
                <w:lang w:eastAsia="zh-CN"/>
              </w:rPr>
            </w:pPr>
            <w:r>
              <w:rPr>
                <w:rFonts w:hint="eastAsia"/>
                <w:color w:val="auto"/>
                <w:sz w:val="18"/>
                <w:szCs w:val="18"/>
                <w:highlight w:val="none"/>
                <w:lang w:eastAsia="zh-CN"/>
              </w:rPr>
              <w:t>HNZN-SYC2021015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0"/>
            <w:vAlign w:val="center"/>
          </w:tcPr>
          <w:p>
            <w:pPr>
              <w:adjustRightInd w:val="0"/>
              <w:spacing w:line="300" w:lineRule="auto"/>
              <w:jc w:val="center"/>
              <w:rPr>
                <w:rFonts w:hint="eastAsia"/>
                <w:color w:val="auto"/>
                <w:sz w:val="18"/>
                <w:szCs w:val="18"/>
                <w:highlight w:val="none"/>
              </w:rPr>
            </w:pPr>
            <w:r>
              <w:rPr>
                <w:rFonts w:hint="eastAsia"/>
                <w:color w:val="auto"/>
                <w:sz w:val="18"/>
                <w:szCs w:val="18"/>
                <w:highlight w:val="none"/>
              </w:rPr>
              <w:t>2.3</w:t>
            </w:r>
          </w:p>
        </w:tc>
        <w:tc>
          <w:tcPr>
            <w:tcW w:w="1852" w:type="dxa"/>
            <w:noWrap w:val="0"/>
            <w:vAlign w:val="center"/>
          </w:tcPr>
          <w:p>
            <w:pPr>
              <w:pStyle w:val="43"/>
              <w:jc w:val="center"/>
              <w:rPr>
                <w:color w:val="auto"/>
                <w:sz w:val="18"/>
                <w:szCs w:val="18"/>
                <w:highlight w:val="none"/>
              </w:rPr>
            </w:pPr>
            <w:r>
              <w:rPr>
                <w:rFonts w:hint="eastAsia"/>
                <w:color w:val="auto"/>
                <w:sz w:val="18"/>
                <w:szCs w:val="18"/>
                <w:highlight w:val="none"/>
              </w:rPr>
              <w:t>采购人</w:t>
            </w:r>
          </w:p>
        </w:tc>
        <w:tc>
          <w:tcPr>
            <w:tcW w:w="6559" w:type="dxa"/>
            <w:noWrap w:val="0"/>
            <w:vAlign w:val="center"/>
          </w:tcPr>
          <w:p>
            <w:pPr>
              <w:pStyle w:val="42"/>
              <w:spacing w:line="300" w:lineRule="auto"/>
              <w:rPr>
                <w:rFonts w:ascii="宋体" w:hAnsi="宋体" w:eastAsia="宋体" w:cs="Times New Roman"/>
                <w:color w:val="auto"/>
                <w:sz w:val="18"/>
                <w:szCs w:val="18"/>
                <w:highlight w:val="none"/>
              </w:rPr>
            </w:pPr>
            <w:r>
              <w:rPr>
                <w:rFonts w:hint="eastAsia" w:ascii="宋体" w:hAnsi="宋体" w:eastAsia="宋体" w:cs="宋体"/>
                <w:color w:val="auto"/>
                <w:sz w:val="18"/>
                <w:szCs w:val="18"/>
                <w:highlight w:val="none"/>
              </w:rPr>
              <w:t>名称：</w:t>
            </w:r>
            <w:r>
              <w:rPr>
                <w:rFonts w:hint="eastAsia" w:ascii="宋体" w:hAnsi="宋体" w:eastAsia="宋体" w:cs="宋体"/>
                <w:color w:val="auto"/>
                <w:sz w:val="18"/>
                <w:szCs w:val="18"/>
                <w:highlight w:val="none"/>
                <w:lang w:eastAsia="zh-CN"/>
              </w:rPr>
              <w:t>中共三亚市崖州区委政法委员会</w:t>
            </w:r>
            <w:r>
              <w:rPr>
                <w:rFonts w:hint="eastAsia" w:ascii="宋体" w:hAnsi="宋体" w:eastAsia="宋体" w:cs="宋体"/>
                <w:color w:val="auto"/>
                <w:sz w:val="18"/>
                <w:szCs w:val="18"/>
                <w:highlight w:val="none"/>
              </w:rPr>
              <w:t xml:space="preserve"> </w:t>
            </w:r>
          </w:p>
          <w:p>
            <w:pPr>
              <w:pStyle w:val="42"/>
              <w:spacing w:line="300" w:lineRule="auto"/>
              <w:jc w:val="both"/>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联系人：</w:t>
            </w:r>
            <w:r>
              <w:rPr>
                <w:rFonts w:hint="eastAsia" w:ascii="宋体" w:hAnsi="宋体" w:eastAsia="宋体" w:cs="宋体"/>
                <w:color w:val="auto"/>
                <w:sz w:val="18"/>
                <w:szCs w:val="18"/>
                <w:highlight w:val="none"/>
                <w:lang w:val="en-US" w:eastAsia="zh-CN"/>
              </w:rPr>
              <w:t>吴工</w:t>
            </w:r>
            <w:r>
              <w:rPr>
                <w:rFonts w:hint="eastAsia" w:ascii="宋体" w:hAnsi="宋体" w:eastAsia="宋体" w:cs="宋体"/>
                <w:color w:val="auto"/>
                <w:sz w:val="18"/>
                <w:szCs w:val="18"/>
                <w:highlight w:val="none"/>
              </w:rPr>
              <w:t xml:space="preserve">  电话</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88759518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0"/>
            <w:vAlign w:val="center"/>
          </w:tcPr>
          <w:p>
            <w:pPr>
              <w:adjustRightInd w:val="0"/>
              <w:spacing w:line="300" w:lineRule="auto"/>
              <w:jc w:val="center"/>
              <w:rPr>
                <w:rFonts w:hint="eastAsia"/>
                <w:color w:val="auto"/>
                <w:sz w:val="18"/>
                <w:szCs w:val="18"/>
                <w:highlight w:val="none"/>
              </w:rPr>
            </w:pPr>
            <w:r>
              <w:rPr>
                <w:rFonts w:hint="eastAsia"/>
                <w:color w:val="auto"/>
                <w:sz w:val="18"/>
                <w:szCs w:val="18"/>
                <w:highlight w:val="none"/>
              </w:rPr>
              <w:t>2.4</w:t>
            </w:r>
          </w:p>
        </w:tc>
        <w:tc>
          <w:tcPr>
            <w:tcW w:w="1852" w:type="dxa"/>
            <w:noWrap w:val="0"/>
            <w:vAlign w:val="center"/>
          </w:tcPr>
          <w:p>
            <w:pPr>
              <w:pStyle w:val="43"/>
              <w:jc w:val="center"/>
              <w:rPr>
                <w:color w:val="auto"/>
                <w:sz w:val="18"/>
                <w:szCs w:val="18"/>
                <w:highlight w:val="none"/>
              </w:rPr>
            </w:pPr>
            <w:r>
              <w:rPr>
                <w:rFonts w:hint="eastAsia"/>
                <w:color w:val="auto"/>
                <w:sz w:val="18"/>
                <w:szCs w:val="18"/>
                <w:highlight w:val="none"/>
              </w:rPr>
              <w:t>代理机构</w:t>
            </w:r>
          </w:p>
        </w:tc>
        <w:tc>
          <w:tcPr>
            <w:tcW w:w="6559" w:type="dxa"/>
            <w:noWrap w:val="0"/>
            <w:vAlign w:val="center"/>
          </w:tcPr>
          <w:p>
            <w:pPr>
              <w:pStyle w:val="42"/>
              <w:spacing w:line="300" w:lineRule="exact"/>
              <w:jc w:val="both"/>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名称：</w:t>
            </w:r>
            <w:r>
              <w:rPr>
                <w:rFonts w:hint="eastAsia" w:ascii="宋体" w:hAnsi="宋体" w:eastAsia="宋体" w:cs="宋体"/>
                <w:color w:val="auto"/>
                <w:sz w:val="18"/>
                <w:szCs w:val="18"/>
                <w:highlight w:val="none"/>
                <w:lang w:eastAsia="zh-CN"/>
              </w:rPr>
              <w:t>海南卓能工程管理有限公司</w:t>
            </w:r>
          </w:p>
          <w:p>
            <w:pPr>
              <w:pStyle w:val="42"/>
              <w:spacing w:line="300" w:lineRule="exact"/>
              <w:jc w:val="both"/>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联系人：</w:t>
            </w:r>
            <w:r>
              <w:rPr>
                <w:rFonts w:hint="eastAsia" w:ascii="宋体" w:hAnsi="宋体" w:eastAsia="宋体" w:cs="宋体"/>
                <w:color w:val="auto"/>
                <w:sz w:val="18"/>
                <w:szCs w:val="18"/>
                <w:highlight w:val="none"/>
                <w:lang w:eastAsia="zh-CN"/>
              </w:rPr>
              <w:t>孙工</w:t>
            </w:r>
            <w:r>
              <w:rPr>
                <w:rFonts w:hint="eastAsia" w:ascii="宋体" w:hAnsi="宋体" w:eastAsia="宋体" w:cs="宋体"/>
                <w:color w:val="auto"/>
                <w:sz w:val="18"/>
                <w:szCs w:val="18"/>
                <w:highlight w:val="none"/>
                <w:lang w:val="en-US" w:eastAsia="zh-CN"/>
              </w:rPr>
              <w:t xml:space="preserve"> </w:t>
            </w:r>
            <w:r>
              <w:rPr>
                <w:rFonts w:hint="eastAsia" w:ascii="宋体" w:hAnsi="宋体" w:eastAsia="宋体" w:cs="宋体"/>
                <w:color w:val="auto"/>
                <w:sz w:val="18"/>
                <w:szCs w:val="18"/>
                <w:highlight w:val="none"/>
              </w:rPr>
              <w:t xml:space="preserve">    电话：</w:t>
            </w:r>
            <w:r>
              <w:rPr>
                <w:rFonts w:hint="eastAsia" w:ascii="宋体" w:hAnsi="宋体" w:eastAsia="宋体" w:cs="宋体"/>
                <w:color w:val="auto"/>
                <w:sz w:val="18"/>
                <w:szCs w:val="18"/>
                <w:highlight w:val="none"/>
                <w:lang w:val="en-US" w:eastAsia="zh-CN"/>
              </w:rPr>
              <w:t>0898-88205620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noWrap w:val="0"/>
            <w:vAlign w:val="center"/>
          </w:tcPr>
          <w:p>
            <w:pPr>
              <w:adjustRightInd w:val="0"/>
              <w:spacing w:line="300" w:lineRule="auto"/>
              <w:jc w:val="center"/>
              <w:rPr>
                <w:rFonts w:hint="eastAsia"/>
                <w:color w:val="auto"/>
                <w:sz w:val="18"/>
                <w:szCs w:val="18"/>
                <w:highlight w:val="none"/>
              </w:rPr>
            </w:pPr>
            <w:r>
              <w:rPr>
                <w:rFonts w:hint="eastAsia"/>
                <w:color w:val="auto"/>
                <w:sz w:val="18"/>
                <w:szCs w:val="18"/>
                <w:highlight w:val="none"/>
              </w:rPr>
              <w:t>2.5</w:t>
            </w:r>
          </w:p>
        </w:tc>
        <w:tc>
          <w:tcPr>
            <w:tcW w:w="1852" w:type="dxa"/>
            <w:noWrap w:val="0"/>
            <w:vAlign w:val="center"/>
          </w:tcPr>
          <w:p>
            <w:pPr>
              <w:pStyle w:val="43"/>
              <w:jc w:val="center"/>
              <w:rPr>
                <w:color w:val="auto"/>
                <w:sz w:val="18"/>
                <w:szCs w:val="18"/>
                <w:highlight w:val="none"/>
              </w:rPr>
            </w:pPr>
            <w:r>
              <w:rPr>
                <w:rFonts w:hint="eastAsia"/>
                <w:color w:val="auto"/>
                <w:sz w:val="18"/>
                <w:szCs w:val="18"/>
                <w:highlight w:val="none"/>
              </w:rPr>
              <w:t>采购预算</w:t>
            </w:r>
          </w:p>
        </w:tc>
        <w:tc>
          <w:tcPr>
            <w:tcW w:w="6559" w:type="dxa"/>
            <w:noWrap w:val="0"/>
            <w:vAlign w:val="center"/>
          </w:tcPr>
          <w:p>
            <w:pPr>
              <w:pStyle w:val="43"/>
              <w:rPr>
                <w:rFonts w:hint="eastAsia"/>
                <w:color w:val="auto"/>
                <w:sz w:val="18"/>
                <w:szCs w:val="18"/>
                <w:highlight w:val="none"/>
                <w:lang w:eastAsia="zh-CN"/>
              </w:rPr>
            </w:pPr>
            <w:r>
              <w:rPr>
                <w:rFonts w:hint="eastAsia"/>
                <w:color w:val="auto"/>
                <w:sz w:val="18"/>
                <w:szCs w:val="18"/>
                <w:highlight w:val="none"/>
                <w:lang w:eastAsia="zh-CN"/>
              </w:rPr>
              <w:t>采购预算金额：</w:t>
            </w:r>
            <w:r>
              <w:rPr>
                <w:rFonts w:hint="eastAsia"/>
                <w:color w:val="auto"/>
                <w:sz w:val="18"/>
                <w:szCs w:val="18"/>
                <w:highlight w:val="none"/>
                <w:lang w:val="en-US" w:eastAsia="zh-CN"/>
              </w:rPr>
              <w:t>3035907.76元</w:t>
            </w:r>
          </w:p>
          <w:p>
            <w:pPr>
              <w:pStyle w:val="43"/>
              <w:rPr>
                <w:rFonts w:hint="eastAsia"/>
                <w:color w:val="auto"/>
                <w:sz w:val="18"/>
                <w:szCs w:val="18"/>
                <w:highlight w:val="none"/>
                <w:lang w:eastAsia="zh-CN"/>
              </w:rPr>
            </w:pPr>
            <w:r>
              <w:rPr>
                <w:rFonts w:hint="eastAsia"/>
                <w:color w:val="auto"/>
                <w:sz w:val="18"/>
                <w:szCs w:val="18"/>
                <w:highlight w:val="none"/>
                <w:lang w:eastAsia="zh-CN"/>
              </w:rPr>
              <w:t>A包：1937826.26元 ，B包：1098081.5元，</w:t>
            </w:r>
          </w:p>
          <w:p>
            <w:pPr>
              <w:pStyle w:val="43"/>
              <w:rPr>
                <w:rFonts w:hint="eastAsia"/>
                <w:color w:val="auto"/>
                <w:sz w:val="18"/>
                <w:szCs w:val="18"/>
                <w:highlight w:val="none"/>
                <w:lang w:eastAsia="zh-CN"/>
              </w:rPr>
            </w:pPr>
            <w:r>
              <w:rPr>
                <w:rFonts w:hint="eastAsia"/>
                <w:color w:val="auto"/>
                <w:sz w:val="18"/>
                <w:szCs w:val="18"/>
                <w:highlight w:val="none"/>
                <w:lang w:eastAsia="zh-CN"/>
              </w:rPr>
              <w:t>最高限价为：</w:t>
            </w:r>
            <w:r>
              <w:rPr>
                <w:rFonts w:hint="eastAsia"/>
                <w:color w:val="auto"/>
                <w:sz w:val="18"/>
                <w:szCs w:val="18"/>
                <w:highlight w:val="none"/>
                <w:lang w:val="en-US" w:eastAsia="zh-CN"/>
              </w:rPr>
              <w:t>3035907.76元</w:t>
            </w:r>
          </w:p>
          <w:p>
            <w:pPr>
              <w:pStyle w:val="43"/>
              <w:rPr>
                <w:rFonts w:hint="eastAsia"/>
                <w:color w:val="auto"/>
                <w:sz w:val="18"/>
                <w:szCs w:val="18"/>
                <w:highlight w:val="none"/>
                <w:lang w:eastAsia="zh-CN"/>
              </w:rPr>
            </w:pPr>
            <w:r>
              <w:rPr>
                <w:rFonts w:hint="eastAsia"/>
                <w:color w:val="auto"/>
                <w:sz w:val="18"/>
                <w:szCs w:val="18"/>
                <w:highlight w:val="none"/>
                <w:lang w:eastAsia="zh-CN"/>
              </w:rPr>
              <w:t>A包：1937826.26元 ，B包：1098081.5元；</w:t>
            </w:r>
          </w:p>
          <w:p>
            <w:pPr>
              <w:pStyle w:val="43"/>
              <w:rPr>
                <w:rFonts w:hint="eastAsia"/>
                <w:color w:val="auto"/>
                <w:sz w:val="18"/>
                <w:szCs w:val="18"/>
                <w:highlight w:val="none"/>
                <w:lang w:eastAsia="zh-CN"/>
              </w:rPr>
            </w:pPr>
            <w:r>
              <w:rPr>
                <w:rFonts w:hint="eastAsia"/>
                <w:color w:val="auto"/>
                <w:sz w:val="18"/>
                <w:szCs w:val="18"/>
                <w:highlight w:val="none"/>
                <w:lang w:eastAsia="zh-CN"/>
              </w:rPr>
              <w:t>注：1、超出总预算金额（最高限价）的报价，按无效投标处理。</w:t>
            </w:r>
          </w:p>
          <w:p>
            <w:pPr>
              <w:pStyle w:val="43"/>
              <w:rPr>
                <w:rFonts w:hint="eastAsia"/>
                <w:color w:val="auto"/>
                <w:sz w:val="18"/>
                <w:szCs w:val="18"/>
                <w:highlight w:val="none"/>
                <w:lang w:eastAsia="zh-CN"/>
              </w:rPr>
            </w:pPr>
            <w:r>
              <w:rPr>
                <w:rFonts w:hint="eastAsia"/>
                <w:color w:val="auto"/>
                <w:sz w:val="18"/>
                <w:szCs w:val="18"/>
                <w:highlight w:val="none"/>
                <w:lang w:eastAsia="zh-CN"/>
              </w:rPr>
              <w:t>2、投标报价应包括招标文件所规定的采购范围的全部内容；</w:t>
            </w:r>
          </w:p>
          <w:p>
            <w:pPr>
              <w:pStyle w:val="43"/>
              <w:rPr>
                <w:color w:val="auto"/>
                <w:sz w:val="18"/>
                <w:szCs w:val="18"/>
                <w:highlight w:val="none"/>
                <w:lang w:eastAsia="zh-CN"/>
              </w:rPr>
            </w:pPr>
            <w:r>
              <w:rPr>
                <w:rFonts w:hint="eastAsia"/>
                <w:color w:val="auto"/>
                <w:sz w:val="18"/>
                <w:szCs w:val="18"/>
                <w:highlight w:val="none"/>
                <w:lang w:eastAsia="zh-CN"/>
              </w:rPr>
              <w:t>3、为防止恶意竞标导致采购人权益无法保障，评标委员会认为投标人的报价明显低于其他通过符合性审查投标人的报价，有可能影响服务质量或者不能诚信履约的，应当要求该投标人作出书面说明并提供证明材料。投标人不能合理说明或者不能提供相关证明材料。由评标委员会认定该投标人低于成本报价竞标，其投标应作废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0"/>
            <w:vAlign w:val="center"/>
          </w:tcPr>
          <w:p>
            <w:pPr>
              <w:adjustRightInd w:val="0"/>
              <w:spacing w:line="300" w:lineRule="auto"/>
              <w:jc w:val="center"/>
              <w:rPr>
                <w:rFonts w:hint="eastAsia"/>
                <w:color w:val="auto"/>
                <w:sz w:val="18"/>
                <w:szCs w:val="18"/>
                <w:highlight w:val="none"/>
              </w:rPr>
            </w:pPr>
            <w:r>
              <w:rPr>
                <w:rFonts w:hint="eastAsia"/>
                <w:color w:val="auto"/>
                <w:sz w:val="18"/>
                <w:szCs w:val="18"/>
                <w:highlight w:val="none"/>
              </w:rPr>
              <w:t>2.6</w:t>
            </w:r>
          </w:p>
        </w:tc>
        <w:tc>
          <w:tcPr>
            <w:tcW w:w="1852" w:type="dxa"/>
            <w:noWrap w:val="0"/>
            <w:vAlign w:val="center"/>
          </w:tcPr>
          <w:p>
            <w:pPr>
              <w:pStyle w:val="43"/>
              <w:jc w:val="center"/>
              <w:rPr>
                <w:color w:val="auto"/>
                <w:sz w:val="18"/>
                <w:szCs w:val="18"/>
                <w:highlight w:val="none"/>
                <w:lang w:eastAsia="zh-CN"/>
              </w:rPr>
            </w:pPr>
            <w:r>
              <w:rPr>
                <w:rFonts w:hint="eastAsia"/>
                <w:color w:val="auto"/>
                <w:sz w:val="18"/>
                <w:szCs w:val="18"/>
                <w:highlight w:val="none"/>
                <w:lang w:eastAsia="zh-CN"/>
              </w:rPr>
              <w:t>投资模式</w:t>
            </w:r>
          </w:p>
        </w:tc>
        <w:tc>
          <w:tcPr>
            <w:tcW w:w="6559" w:type="dxa"/>
            <w:noWrap w:val="0"/>
            <w:vAlign w:val="center"/>
          </w:tcPr>
          <w:p>
            <w:pPr>
              <w:pStyle w:val="43"/>
              <w:rPr>
                <w:color w:val="auto"/>
                <w:sz w:val="18"/>
                <w:szCs w:val="18"/>
                <w:highlight w:val="none"/>
                <w:lang w:eastAsia="zh-CN"/>
              </w:rPr>
            </w:pPr>
            <w:r>
              <w:rPr>
                <w:rFonts w:hint="eastAsia"/>
                <w:color w:val="auto"/>
                <w:sz w:val="18"/>
                <w:szCs w:val="18"/>
                <w:highlight w:val="none"/>
                <w:lang w:eastAsia="zh-CN"/>
              </w:rPr>
              <w:t>政府投资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0"/>
            <w:vAlign w:val="center"/>
          </w:tcPr>
          <w:p>
            <w:pPr>
              <w:adjustRightInd w:val="0"/>
              <w:spacing w:line="300" w:lineRule="auto"/>
              <w:jc w:val="center"/>
              <w:rPr>
                <w:rFonts w:hint="eastAsia"/>
                <w:color w:val="auto"/>
                <w:sz w:val="18"/>
                <w:szCs w:val="18"/>
                <w:highlight w:val="none"/>
              </w:rPr>
            </w:pPr>
            <w:r>
              <w:rPr>
                <w:rFonts w:hint="eastAsia"/>
                <w:color w:val="auto"/>
                <w:sz w:val="18"/>
                <w:szCs w:val="18"/>
                <w:highlight w:val="none"/>
              </w:rPr>
              <w:t>2.7</w:t>
            </w:r>
          </w:p>
        </w:tc>
        <w:tc>
          <w:tcPr>
            <w:tcW w:w="1852" w:type="dxa"/>
            <w:noWrap w:val="0"/>
            <w:vAlign w:val="center"/>
          </w:tcPr>
          <w:p>
            <w:pPr>
              <w:pStyle w:val="43"/>
              <w:jc w:val="center"/>
              <w:rPr>
                <w:color w:val="auto"/>
                <w:sz w:val="18"/>
                <w:szCs w:val="18"/>
                <w:highlight w:val="none"/>
                <w:lang w:eastAsia="zh-CN"/>
              </w:rPr>
            </w:pPr>
            <w:r>
              <w:rPr>
                <w:rFonts w:hint="eastAsia"/>
                <w:color w:val="auto"/>
                <w:sz w:val="18"/>
                <w:szCs w:val="18"/>
                <w:highlight w:val="none"/>
                <w:lang w:eastAsia="zh-CN"/>
              </w:rPr>
              <w:t>供应商资格要求</w:t>
            </w:r>
          </w:p>
        </w:tc>
        <w:tc>
          <w:tcPr>
            <w:tcW w:w="6559" w:type="dxa"/>
            <w:noWrap w:val="0"/>
            <w:vAlign w:val="center"/>
          </w:tcPr>
          <w:p>
            <w:pPr>
              <w:pStyle w:val="43"/>
              <w:rPr>
                <w:color w:val="auto"/>
                <w:sz w:val="18"/>
                <w:szCs w:val="18"/>
                <w:highlight w:val="none"/>
                <w:lang w:eastAsia="zh-CN"/>
              </w:rPr>
            </w:pPr>
            <w:r>
              <w:rPr>
                <w:color w:val="auto"/>
                <w:sz w:val="18"/>
                <w:szCs w:val="18"/>
                <w:highlight w:val="none"/>
                <w:lang w:eastAsia="zh-CN"/>
              </w:rPr>
              <w:t>见第一部分采购邀请“二、申请人的资格要求”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0"/>
            <w:vAlign w:val="center"/>
          </w:tcPr>
          <w:p>
            <w:pPr>
              <w:adjustRightInd w:val="0"/>
              <w:spacing w:line="300" w:lineRule="auto"/>
              <w:jc w:val="center"/>
              <w:rPr>
                <w:rFonts w:hint="eastAsia"/>
                <w:color w:val="auto"/>
                <w:sz w:val="18"/>
                <w:szCs w:val="18"/>
                <w:highlight w:val="none"/>
              </w:rPr>
            </w:pPr>
            <w:r>
              <w:rPr>
                <w:rFonts w:hint="eastAsia"/>
                <w:color w:val="auto"/>
                <w:sz w:val="18"/>
                <w:szCs w:val="18"/>
                <w:highlight w:val="none"/>
              </w:rPr>
              <w:t>2.8</w:t>
            </w:r>
          </w:p>
        </w:tc>
        <w:tc>
          <w:tcPr>
            <w:tcW w:w="1852" w:type="dxa"/>
            <w:noWrap w:val="0"/>
            <w:vAlign w:val="center"/>
          </w:tcPr>
          <w:p>
            <w:pPr>
              <w:pStyle w:val="43"/>
              <w:jc w:val="center"/>
              <w:rPr>
                <w:color w:val="auto"/>
                <w:sz w:val="18"/>
                <w:szCs w:val="18"/>
                <w:highlight w:val="none"/>
                <w:lang w:eastAsia="zh-CN"/>
              </w:rPr>
            </w:pPr>
            <w:r>
              <w:rPr>
                <w:rFonts w:hint="eastAsia"/>
                <w:color w:val="auto"/>
                <w:sz w:val="18"/>
                <w:szCs w:val="18"/>
                <w:highlight w:val="none"/>
                <w:lang w:val="en-US" w:eastAsia="zh-CN"/>
              </w:rPr>
              <w:t>供货期（工期）</w:t>
            </w:r>
          </w:p>
        </w:tc>
        <w:tc>
          <w:tcPr>
            <w:tcW w:w="6559" w:type="dxa"/>
            <w:noWrap w:val="0"/>
            <w:vAlign w:val="center"/>
          </w:tcPr>
          <w:p>
            <w:pPr>
              <w:pStyle w:val="42"/>
              <w:spacing w:line="300" w:lineRule="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A包：90日历天</w:t>
            </w:r>
          </w:p>
          <w:p>
            <w:pPr>
              <w:pStyle w:val="42"/>
              <w:spacing w:line="300" w:lineRule="auto"/>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B包：90日历天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0"/>
            <w:vAlign w:val="center"/>
          </w:tcPr>
          <w:p>
            <w:pPr>
              <w:adjustRightInd w:val="0"/>
              <w:spacing w:line="300" w:lineRule="auto"/>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2.9</w:t>
            </w:r>
          </w:p>
        </w:tc>
        <w:tc>
          <w:tcPr>
            <w:tcW w:w="1852" w:type="dxa"/>
            <w:noWrap w:val="0"/>
            <w:vAlign w:val="center"/>
          </w:tcPr>
          <w:p>
            <w:pPr>
              <w:pStyle w:val="43"/>
              <w:jc w:val="center"/>
              <w:rPr>
                <w:rFonts w:hint="eastAsia"/>
                <w:color w:val="auto"/>
                <w:sz w:val="18"/>
                <w:szCs w:val="18"/>
                <w:highlight w:val="none"/>
                <w:lang w:val="en-US" w:eastAsia="zh-CN"/>
              </w:rPr>
            </w:pPr>
            <w:r>
              <w:rPr>
                <w:rFonts w:hint="eastAsia"/>
                <w:color w:val="auto"/>
                <w:sz w:val="18"/>
                <w:szCs w:val="18"/>
                <w:highlight w:val="none"/>
                <w:lang w:val="en-US" w:eastAsia="zh-CN"/>
              </w:rPr>
              <w:t>质量要求（B包）</w:t>
            </w:r>
          </w:p>
        </w:tc>
        <w:tc>
          <w:tcPr>
            <w:tcW w:w="6559" w:type="dxa"/>
            <w:noWrap w:val="0"/>
            <w:vAlign w:val="center"/>
          </w:tcPr>
          <w:p>
            <w:pPr>
              <w:pStyle w:val="42"/>
              <w:spacing w:line="300" w:lineRule="auto"/>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710" w:type="dxa"/>
            <w:noWrap w:val="0"/>
            <w:vAlign w:val="center"/>
          </w:tcPr>
          <w:p>
            <w:pPr>
              <w:adjustRightInd w:val="0"/>
              <w:spacing w:line="300" w:lineRule="auto"/>
              <w:jc w:val="center"/>
              <w:rPr>
                <w:rFonts w:hint="eastAsia"/>
                <w:color w:val="auto"/>
                <w:sz w:val="18"/>
                <w:szCs w:val="18"/>
                <w:highlight w:val="none"/>
              </w:rPr>
            </w:pPr>
            <w:r>
              <w:rPr>
                <w:rFonts w:hint="eastAsia"/>
                <w:color w:val="auto"/>
                <w:sz w:val="18"/>
                <w:szCs w:val="18"/>
                <w:highlight w:val="none"/>
              </w:rPr>
              <w:t>3.2</w:t>
            </w:r>
          </w:p>
        </w:tc>
        <w:tc>
          <w:tcPr>
            <w:tcW w:w="1852" w:type="dxa"/>
            <w:noWrap w:val="0"/>
            <w:vAlign w:val="center"/>
          </w:tcPr>
          <w:p>
            <w:pPr>
              <w:pStyle w:val="43"/>
              <w:spacing w:line="240" w:lineRule="auto"/>
              <w:jc w:val="center"/>
              <w:rPr>
                <w:color w:val="auto"/>
                <w:sz w:val="18"/>
                <w:szCs w:val="18"/>
                <w:highlight w:val="none"/>
                <w:lang w:eastAsia="zh-CN"/>
              </w:rPr>
            </w:pPr>
            <w:r>
              <w:rPr>
                <w:color w:val="auto"/>
                <w:sz w:val="18"/>
                <w:szCs w:val="18"/>
                <w:highlight w:val="none"/>
                <w:lang w:eastAsia="zh-CN"/>
              </w:rPr>
              <w:t>委托代表人的资格条件</w:t>
            </w:r>
          </w:p>
        </w:tc>
        <w:tc>
          <w:tcPr>
            <w:tcW w:w="6559" w:type="dxa"/>
            <w:noWrap w:val="0"/>
            <w:vAlign w:val="center"/>
          </w:tcPr>
          <w:p>
            <w:pPr>
              <w:pStyle w:val="43"/>
              <w:spacing w:line="240" w:lineRule="auto"/>
              <w:rPr>
                <w:rFonts w:hint="eastAsia"/>
                <w:color w:val="auto"/>
                <w:sz w:val="18"/>
                <w:szCs w:val="18"/>
                <w:highlight w:val="none"/>
                <w:u w:val="single"/>
                <w:lang w:eastAsia="zh-CN"/>
              </w:rPr>
            </w:pPr>
            <w:r>
              <w:rPr>
                <w:rFonts w:hint="eastAsia"/>
                <w:b/>
                <w:bCs/>
                <w:color w:val="auto"/>
                <w:sz w:val="18"/>
                <w:szCs w:val="18"/>
                <w:highlight w:val="none"/>
                <w:u w:val="single"/>
                <w:lang w:val="en-US" w:eastAsia="zh-CN"/>
              </w:rPr>
              <w:t>投标供应商在开标现场须出示法人授权委托书及受托人身份证，均须原件。（如法定代表人到会须携带本人身份证及法定代表人身份证明，均须原件。）以供核验，未携带者将不能出席开标会议。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10" w:type="dxa"/>
            <w:noWrap w:val="0"/>
            <w:vAlign w:val="center"/>
          </w:tcPr>
          <w:p>
            <w:pPr>
              <w:adjustRightInd w:val="0"/>
              <w:spacing w:line="300" w:lineRule="auto"/>
              <w:jc w:val="center"/>
              <w:rPr>
                <w:rFonts w:hint="eastAsia"/>
                <w:color w:val="auto"/>
                <w:sz w:val="18"/>
                <w:szCs w:val="18"/>
                <w:highlight w:val="none"/>
              </w:rPr>
            </w:pPr>
            <w:r>
              <w:rPr>
                <w:rFonts w:hint="eastAsia"/>
                <w:color w:val="auto"/>
                <w:sz w:val="18"/>
                <w:szCs w:val="18"/>
                <w:highlight w:val="none"/>
              </w:rPr>
              <w:t>3.3</w:t>
            </w:r>
          </w:p>
        </w:tc>
        <w:tc>
          <w:tcPr>
            <w:tcW w:w="1852" w:type="dxa"/>
            <w:noWrap w:val="0"/>
            <w:vAlign w:val="center"/>
          </w:tcPr>
          <w:p>
            <w:pPr>
              <w:pStyle w:val="43"/>
              <w:spacing w:line="240" w:lineRule="auto"/>
              <w:jc w:val="center"/>
              <w:rPr>
                <w:color w:val="auto"/>
                <w:sz w:val="18"/>
                <w:szCs w:val="18"/>
                <w:highlight w:val="none"/>
                <w:lang w:eastAsia="zh-CN"/>
              </w:rPr>
            </w:pPr>
            <w:r>
              <w:rPr>
                <w:rFonts w:hint="eastAsia"/>
                <w:color w:val="auto"/>
                <w:sz w:val="18"/>
                <w:szCs w:val="18"/>
                <w:highlight w:val="none"/>
                <w:lang w:eastAsia="zh-CN"/>
              </w:rPr>
              <w:t>委托代表人</w:t>
            </w:r>
          </w:p>
          <w:p>
            <w:pPr>
              <w:pStyle w:val="43"/>
              <w:spacing w:line="240" w:lineRule="auto"/>
              <w:jc w:val="center"/>
              <w:rPr>
                <w:color w:val="auto"/>
                <w:sz w:val="18"/>
                <w:szCs w:val="18"/>
                <w:highlight w:val="none"/>
                <w:lang w:eastAsia="zh-CN"/>
              </w:rPr>
            </w:pPr>
            <w:r>
              <w:rPr>
                <w:rFonts w:hint="eastAsia"/>
                <w:color w:val="auto"/>
                <w:sz w:val="18"/>
                <w:szCs w:val="18"/>
                <w:highlight w:val="none"/>
                <w:lang w:eastAsia="zh-CN"/>
              </w:rPr>
              <w:t>的代理权限</w:t>
            </w:r>
          </w:p>
        </w:tc>
        <w:tc>
          <w:tcPr>
            <w:tcW w:w="6559" w:type="dxa"/>
            <w:noWrap w:val="0"/>
            <w:vAlign w:val="center"/>
          </w:tcPr>
          <w:p>
            <w:pPr>
              <w:pStyle w:val="43"/>
              <w:spacing w:line="240" w:lineRule="auto"/>
              <w:rPr>
                <w:color w:val="auto"/>
                <w:sz w:val="18"/>
                <w:szCs w:val="18"/>
                <w:highlight w:val="none"/>
                <w:lang w:eastAsia="zh-CN"/>
              </w:rPr>
            </w:pPr>
            <w:r>
              <w:rPr>
                <w:rFonts w:hint="eastAsia"/>
                <w:color w:val="auto"/>
                <w:sz w:val="18"/>
                <w:szCs w:val="18"/>
                <w:highlight w:val="none"/>
                <w:lang w:eastAsia="zh-CN"/>
              </w:rPr>
              <w:t>委托代表人只能代表委托人处置磋商活动中的一般事务。提出询问、质疑、投诉等特殊事项，必须经法定代表人特别授权。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10" w:type="dxa"/>
            <w:noWrap w:val="0"/>
            <w:vAlign w:val="center"/>
          </w:tcPr>
          <w:p>
            <w:pPr>
              <w:adjustRightInd w:val="0"/>
              <w:spacing w:line="300" w:lineRule="auto"/>
              <w:jc w:val="center"/>
              <w:rPr>
                <w:rFonts w:hint="eastAsia"/>
                <w:color w:val="auto"/>
                <w:sz w:val="18"/>
                <w:szCs w:val="18"/>
                <w:highlight w:val="none"/>
              </w:rPr>
            </w:pPr>
            <w:r>
              <w:rPr>
                <w:rFonts w:hint="eastAsia"/>
                <w:color w:val="auto"/>
                <w:sz w:val="18"/>
                <w:szCs w:val="18"/>
                <w:highlight w:val="none"/>
              </w:rPr>
              <w:t>7.1</w:t>
            </w:r>
          </w:p>
        </w:tc>
        <w:tc>
          <w:tcPr>
            <w:tcW w:w="1852" w:type="dxa"/>
            <w:noWrap w:val="0"/>
            <w:vAlign w:val="center"/>
          </w:tcPr>
          <w:p>
            <w:pPr>
              <w:pStyle w:val="43"/>
              <w:spacing w:line="240" w:lineRule="auto"/>
              <w:jc w:val="center"/>
              <w:rPr>
                <w:color w:val="auto"/>
                <w:sz w:val="18"/>
                <w:szCs w:val="18"/>
                <w:highlight w:val="none"/>
                <w:lang w:eastAsia="zh-CN"/>
              </w:rPr>
            </w:pPr>
            <w:r>
              <w:rPr>
                <w:rFonts w:hint="eastAsia"/>
                <w:color w:val="auto"/>
                <w:sz w:val="18"/>
                <w:szCs w:val="18"/>
                <w:highlight w:val="none"/>
                <w:lang w:eastAsia="zh-CN"/>
              </w:rPr>
              <w:t>现场考察和答疑会</w:t>
            </w:r>
          </w:p>
        </w:tc>
        <w:tc>
          <w:tcPr>
            <w:tcW w:w="6559" w:type="dxa"/>
            <w:noWrap w:val="0"/>
            <w:vAlign w:val="center"/>
          </w:tcPr>
          <w:p>
            <w:pPr>
              <w:pStyle w:val="43"/>
              <w:spacing w:line="240" w:lineRule="auto"/>
              <w:rPr>
                <w:color w:val="auto"/>
                <w:sz w:val="18"/>
                <w:szCs w:val="18"/>
                <w:highlight w:val="none"/>
                <w:lang w:eastAsia="zh-CN"/>
              </w:rPr>
            </w:pPr>
            <w:r>
              <w:rPr>
                <w:rFonts w:hint="eastAsia"/>
                <w:color w:val="auto"/>
                <w:sz w:val="18"/>
                <w:szCs w:val="18"/>
                <w:highlight w:val="none"/>
                <w:lang w:eastAsia="zh-CN"/>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10" w:type="dxa"/>
            <w:noWrap w:val="0"/>
            <w:vAlign w:val="center"/>
          </w:tcPr>
          <w:p>
            <w:pPr>
              <w:adjustRightInd w:val="0"/>
              <w:spacing w:line="300" w:lineRule="auto"/>
              <w:jc w:val="center"/>
              <w:rPr>
                <w:rFonts w:hint="eastAsia"/>
                <w:color w:val="auto"/>
                <w:sz w:val="18"/>
                <w:szCs w:val="18"/>
                <w:highlight w:val="none"/>
              </w:rPr>
            </w:pPr>
            <w:r>
              <w:rPr>
                <w:rFonts w:hint="eastAsia"/>
                <w:color w:val="auto"/>
                <w:sz w:val="18"/>
                <w:szCs w:val="18"/>
                <w:highlight w:val="none"/>
              </w:rPr>
              <w:t>1</w:t>
            </w:r>
            <w:r>
              <w:rPr>
                <w:rFonts w:hint="eastAsia"/>
                <w:color w:val="auto"/>
                <w:sz w:val="18"/>
                <w:szCs w:val="18"/>
                <w:highlight w:val="none"/>
                <w:lang w:val="en-US"/>
              </w:rPr>
              <w:t>2</w:t>
            </w:r>
            <w:r>
              <w:rPr>
                <w:rFonts w:hint="eastAsia"/>
                <w:color w:val="auto"/>
                <w:sz w:val="18"/>
                <w:szCs w:val="18"/>
                <w:highlight w:val="none"/>
              </w:rPr>
              <w:t>.2</w:t>
            </w:r>
          </w:p>
        </w:tc>
        <w:tc>
          <w:tcPr>
            <w:tcW w:w="1852" w:type="dxa"/>
            <w:noWrap w:val="0"/>
            <w:vAlign w:val="center"/>
          </w:tcPr>
          <w:p>
            <w:pPr>
              <w:adjustRightInd w:val="0"/>
              <w:spacing w:line="300" w:lineRule="auto"/>
              <w:jc w:val="center"/>
              <w:rPr>
                <w:rFonts w:hint="eastAsia"/>
                <w:color w:val="auto"/>
                <w:sz w:val="18"/>
                <w:szCs w:val="18"/>
                <w:highlight w:val="none"/>
              </w:rPr>
            </w:pPr>
            <w:r>
              <w:rPr>
                <w:rFonts w:hint="eastAsia"/>
                <w:color w:val="auto"/>
                <w:sz w:val="18"/>
                <w:szCs w:val="18"/>
                <w:highlight w:val="none"/>
              </w:rPr>
              <w:t>供应商报价应包括的费用</w:t>
            </w:r>
          </w:p>
        </w:tc>
        <w:tc>
          <w:tcPr>
            <w:tcW w:w="6559" w:type="dxa"/>
            <w:noWrap w:val="0"/>
            <w:vAlign w:val="center"/>
          </w:tcPr>
          <w:p>
            <w:pPr>
              <w:adjustRightInd w:val="0"/>
              <w:spacing w:line="300" w:lineRule="auto"/>
              <w:rPr>
                <w:rFonts w:hint="eastAsia"/>
                <w:color w:val="auto"/>
                <w:sz w:val="18"/>
                <w:szCs w:val="18"/>
                <w:highlight w:val="none"/>
              </w:rPr>
            </w:pPr>
            <w:r>
              <w:rPr>
                <w:rFonts w:hint="eastAsia"/>
                <w:color w:val="auto"/>
                <w:sz w:val="18"/>
                <w:szCs w:val="18"/>
                <w:highlight w:val="none"/>
              </w:rPr>
              <w:t>含材料、安装、人工、机械、保险、劳保、各种税费以及质保等完成该项目全部内容的一切费用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0"/>
            <w:vAlign w:val="center"/>
          </w:tcPr>
          <w:p>
            <w:pPr>
              <w:adjustRightInd w:val="0"/>
              <w:spacing w:line="300" w:lineRule="auto"/>
              <w:jc w:val="center"/>
              <w:rPr>
                <w:rFonts w:hint="eastAsia"/>
                <w:color w:val="auto"/>
                <w:sz w:val="18"/>
                <w:szCs w:val="18"/>
                <w:highlight w:val="none"/>
              </w:rPr>
            </w:pPr>
            <w:r>
              <w:rPr>
                <w:rFonts w:hint="eastAsia"/>
                <w:color w:val="auto"/>
                <w:sz w:val="18"/>
                <w:szCs w:val="18"/>
                <w:highlight w:val="none"/>
              </w:rPr>
              <w:t>12.3</w:t>
            </w:r>
          </w:p>
        </w:tc>
        <w:tc>
          <w:tcPr>
            <w:tcW w:w="1852" w:type="dxa"/>
            <w:noWrap w:val="0"/>
            <w:vAlign w:val="center"/>
          </w:tcPr>
          <w:p>
            <w:pPr>
              <w:pStyle w:val="43"/>
              <w:spacing w:line="240" w:lineRule="auto"/>
              <w:jc w:val="center"/>
              <w:rPr>
                <w:color w:val="auto"/>
                <w:sz w:val="18"/>
                <w:szCs w:val="18"/>
                <w:highlight w:val="none"/>
                <w:lang w:eastAsia="zh-CN"/>
              </w:rPr>
            </w:pPr>
            <w:r>
              <w:rPr>
                <w:rFonts w:hint="eastAsia"/>
                <w:color w:val="auto"/>
                <w:sz w:val="18"/>
                <w:szCs w:val="18"/>
                <w:highlight w:val="none"/>
                <w:lang w:eastAsia="zh-CN"/>
              </w:rPr>
              <w:t>是否允许</w:t>
            </w:r>
          </w:p>
          <w:p>
            <w:pPr>
              <w:pStyle w:val="43"/>
              <w:spacing w:line="240" w:lineRule="auto"/>
              <w:jc w:val="center"/>
              <w:rPr>
                <w:color w:val="auto"/>
                <w:sz w:val="18"/>
                <w:szCs w:val="18"/>
                <w:highlight w:val="none"/>
                <w:lang w:eastAsia="zh-CN"/>
              </w:rPr>
            </w:pPr>
            <w:r>
              <w:rPr>
                <w:rFonts w:hint="eastAsia"/>
                <w:color w:val="auto"/>
                <w:sz w:val="18"/>
                <w:szCs w:val="18"/>
                <w:highlight w:val="none"/>
                <w:lang w:eastAsia="zh-CN"/>
              </w:rPr>
              <w:t>选择性报价</w:t>
            </w:r>
          </w:p>
        </w:tc>
        <w:tc>
          <w:tcPr>
            <w:tcW w:w="6559" w:type="dxa"/>
            <w:noWrap w:val="0"/>
            <w:vAlign w:val="center"/>
          </w:tcPr>
          <w:p>
            <w:pPr>
              <w:adjustRightInd w:val="0"/>
              <w:spacing w:line="300" w:lineRule="auto"/>
              <w:rPr>
                <w:color w:val="auto"/>
                <w:sz w:val="18"/>
                <w:szCs w:val="18"/>
                <w:highlight w:val="none"/>
              </w:rPr>
            </w:pPr>
            <w:r>
              <w:rPr>
                <w:rFonts w:hint="eastAsia"/>
                <w:color w:val="auto"/>
                <w:sz w:val="18"/>
                <w:szCs w:val="18"/>
                <w:highlight w:val="none"/>
              </w:rPr>
              <w:t>不接受选择性报价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0"/>
            <w:vAlign w:val="center"/>
          </w:tcPr>
          <w:p>
            <w:pPr>
              <w:adjustRightInd w:val="0"/>
              <w:spacing w:line="300" w:lineRule="auto"/>
              <w:jc w:val="center"/>
              <w:rPr>
                <w:rFonts w:hint="eastAsia"/>
                <w:color w:val="auto"/>
                <w:sz w:val="18"/>
                <w:szCs w:val="18"/>
                <w:highlight w:val="none"/>
              </w:rPr>
            </w:pPr>
            <w:r>
              <w:rPr>
                <w:rFonts w:hint="eastAsia"/>
                <w:color w:val="auto"/>
                <w:sz w:val="18"/>
                <w:szCs w:val="18"/>
                <w:highlight w:val="none"/>
              </w:rPr>
              <w:t>1</w:t>
            </w:r>
            <w:r>
              <w:rPr>
                <w:rFonts w:hint="eastAsia"/>
                <w:color w:val="auto"/>
                <w:sz w:val="18"/>
                <w:szCs w:val="18"/>
                <w:highlight w:val="none"/>
                <w:lang w:val="en-US"/>
              </w:rPr>
              <w:t>3</w:t>
            </w:r>
            <w:r>
              <w:rPr>
                <w:rFonts w:hint="eastAsia"/>
                <w:color w:val="auto"/>
                <w:sz w:val="18"/>
                <w:szCs w:val="18"/>
                <w:highlight w:val="none"/>
              </w:rPr>
              <w:t>.1</w:t>
            </w:r>
          </w:p>
        </w:tc>
        <w:tc>
          <w:tcPr>
            <w:tcW w:w="1852" w:type="dxa"/>
            <w:noWrap w:val="0"/>
            <w:vAlign w:val="center"/>
          </w:tcPr>
          <w:p>
            <w:pPr>
              <w:pStyle w:val="43"/>
              <w:jc w:val="center"/>
              <w:rPr>
                <w:color w:val="auto"/>
                <w:sz w:val="18"/>
                <w:szCs w:val="18"/>
                <w:highlight w:val="none"/>
              </w:rPr>
            </w:pPr>
            <w:r>
              <w:rPr>
                <w:rFonts w:hint="eastAsia"/>
                <w:color w:val="auto"/>
                <w:sz w:val="18"/>
                <w:szCs w:val="18"/>
                <w:highlight w:val="none"/>
                <w:lang w:eastAsia="zh-CN"/>
              </w:rPr>
              <w:t>响应文件</w:t>
            </w:r>
            <w:r>
              <w:rPr>
                <w:rFonts w:hint="eastAsia"/>
                <w:color w:val="auto"/>
                <w:sz w:val="18"/>
                <w:szCs w:val="18"/>
                <w:highlight w:val="none"/>
              </w:rPr>
              <w:t>有效期</w:t>
            </w:r>
          </w:p>
        </w:tc>
        <w:tc>
          <w:tcPr>
            <w:tcW w:w="6559" w:type="dxa"/>
            <w:noWrap w:val="0"/>
            <w:vAlign w:val="center"/>
          </w:tcPr>
          <w:p>
            <w:pPr>
              <w:pStyle w:val="43"/>
              <w:rPr>
                <w:color w:val="auto"/>
                <w:sz w:val="18"/>
                <w:szCs w:val="18"/>
                <w:highlight w:val="none"/>
                <w:lang w:eastAsia="zh-CN"/>
              </w:rPr>
            </w:pPr>
            <w:r>
              <w:rPr>
                <w:rFonts w:hint="eastAsia"/>
                <w:color w:val="auto"/>
                <w:sz w:val="18"/>
                <w:szCs w:val="18"/>
                <w:highlight w:val="none"/>
              </w:rPr>
              <w:t>自</w:t>
            </w:r>
            <w:r>
              <w:rPr>
                <w:rFonts w:hint="eastAsia"/>
                <w:color w:val="auto"/>
                <w:sz w:val="18"/>
                <w:szCs w:val="18"/>
                <w:highlight w:val="none"/>
                <w:lang w:eastAsia="zh-CN"/>
              </w:rPr>
              <w:t>响应文件开启之</w:t>
            </w:r>
            <w:r>
              <w:rPr>
                <w:rFonts w:hint="eastAsia"/>
                <w:color w:val="auto"/>
                <w:sz w:val="18"/>
                <w:szCs w:val="18"/>
                <w:highlight w:val="none"/>
              </w:rPr>
              <w:t>日起</w:t>
            </w:r>
            <w:r>
              <w:rPr>
                <w:rFonts w:hint="eastAsia"/>
                <w:color w:val="auto"/>
                <w:sz w:val="18"/>
                <w:szCs w:val="18"/>
                <w:highlight w:val="none"/>
                <w:lang w:eastAsia="zh-CN"/>
              </w:rPr>
              <w:t>9</w:t>
            </w:r>
            <w:r>
              <w:rPr>
                <w:color w:val="auto"/>
                <w:sz w:val="18"/>
                <w:szCs w:val="18"/>
                <w:highlight w:val="none"/>
              </w:rPr>
              <w:t>0</w:t>
            </w:r>
            <w:r>
              <w:rPr>
                <w:rFonts w:hint="eastAsia"/>
                <w:color w:val="auto"/>
                <w:sz w:val="18"/>
                <w:szCs w:val="18"/>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0"/>
            <w:vAlign w:val="center"/>
          </w:tcPr>
          <w:p>
            <w:pPr>
              <w:adjustRightInd w:val="0"/>
              <w:spacing w:line="300" w:lineRule="auto"/>
              <w:jc w:val="center"/>
              <w:rPr>
                <w:rFonts w:hint="eastAsia"/>
                <w:color w:val="auto"/>
                <w:sz w:val="18"/>
                <w:szCs w:val="18"/>
                <w:highlight w:val="none"/>
              </w:rPr>
            </w:pPr>
            <w:r>
              <w:rPr>
                <w:rFonts w:hint="eastAsia"/>
                <w:color w:val="auto"/>
                <w:sz w:val="18"/>
                <w:szCs w:val="18"/>
                <w:highlight w:val="none"/>
              </w:rPr>
              <w:t>1</w:t>
            </w:r>
            <w:r>
              <w:rPr>
                <w:rFonts w:hint="eastAsia"/>
                <w:color w:val="auto"/>
                <w:sz w:val="18"/>
                <w:szCs w:val="18"/>
                <w:highlight w:val="none"/>
                <w:lang w:val="en-US"/>
              </w:rPr>
              <w:t>4</w:t>
            </w:r>
            <w:r>
              <w:rPr>
                <w:rFonts w:hint="eastAsia"/>
                <w:color w:val="auto"/>
                <w:sz w:val="18"/>
                <w:szCs w:val="18"/>
                <w:highlight w:val="none"/>
              </w:rPr>
              <w:t>.1</w:t>
            </w:r>
          </w:p>
        </w:tc>
        <w:tc>
          <w:tcPr>
            <w:tcW w:w="1852" w:type="dxa"/>
            <w:noWrap w:val="0"/>
            <w:vAlign w:val="center"/>
          </w:tcPr>
          <w:p>
            <w:pPr>
              <w:pStyle w:val="43"/>
              <w:spacing w:line="360" w:lineRule="auto"/>
              <w:jc w:val="center"/>
              <w:rPr>
                <w:color w:val="auto"/>
                <w:sz w:val="18"/>
                <w:szCs w:val="18"/>
                <w:highlight w:val="none"/>
                <w:lang w:eastAsia="zh-CN"/>
              </w:rPr>
            </w:pPr>
            <w:r>
              <w:rPr>
                <w:rFonts w:hint="eastAsia"/>
                <w:color w:val="auto"/>
                <w:sz w:val="18"/>
                <w:szCs w:val="18"/>
                <w:highlight w:val="none"/>
                <w:lang w:eastAsia="zh-CN"/>
              </w:rPr>
              <w:t>响应文件份数</w:t>
            </w:r>
          </w:p>
        </w:tc>
        <w:tc>
          <w:tcPr>
            <w:tcW w:w="6559" w:type="dxa"/>
            <w:noWrap w:val="0"/>
            <w:vAlign w:val="center"/>
          </w:tcPr>
          <w:p>
            <w:pPr>
              <w:pStyle w:val="43"/>
              <w:spacing w:line="360" w:lineRule="auto"/>
              <w:rPr>
                <w:color w:val="auto"/>
                <w:sz w:val="18"/>
                <w:szCs w:val="18"/>
                <w:highlight w:val="none"/>
              </w:rPr>
            </w:pPr>
            <w:r>
              <w:rPr>
                <w:rFonts w:hint="eastAsia"/>
                <w:color w:val="auto"/>
                <w:sz w:val="18"/>
                <w:szCs w:val="18"/>
                <w:highlight w:val="none"/>
              </w:rPr>
              <w:t>正本</w:t>
            </w:r>
            <w:r>
              <w:rPr>
                <w:color w:val="auto"/>
                <w:sz w:val="18"/>
                <w:szCs w:val="18"/>
                <w:highlight w:val="none"/>
              </w:rPr>
              <w:t>1</w:t>
            </w:r>
            <w:r>
              <w:rPr>
                <w:rFonts w:hint="eastAsia"/>
                <w:color w:val="auto"/>
                <w:sz w:val="18"/>
                <w:szCs w:val="18"/>
                <w:highlight w:val="none"/>
              </w:rPr>
              <w:t>份、副本</w:t>
            </w:r>
            <w:r>
              <w:rPr>
                <w:rFonts w:hint="eastAsia"/>
                <w:color w:val="auto"/>
                <w:sz w:val="18"/>
                <w:szCs w:val="18"/>
                <w:highlight w:val="none"/>
                <w:lang w:val="en-US" w:eastAsia="zh-CN"/>
              </w:rPr>
              <w:t>2</w:t>
            </w:r>
            <w:r>
              <w:rPr>
                <w:rFonts w:hint="eastAsia"/>
                <w:color w:val="auto"/>
                <w:sz w:val="18"/>
                <w:szCs w:val="18"/>
                <w:highlight w:val="none"/>
              </w:rPr>
              <w:t>份</w:t>
            </w:r>
            <w:r>
              <w:rPr>
                <w:rFonts w:hint="eastAsia"/>
                <w:color w:val="auto"/>
                <w:sz w:val="18"/>
                <w:szCs w:val="18"/>
                <w:highlight w:val="none"/>
                <w:lang w:eastAsia="zh-CN"/>
              </w:rPr>
              <w:t>、</w:t>
            </w:r>
            <w:r>
              <w:rPr>
                <w:rFonts w:hint="eastAsia"/>
                <w:color w:val="auto"/>
                <w:sz w:val="18"/>
                <w:szCs w:val="18"/>
                <w:highlight w:val="none"/>
              </w:rPr>
              <w:t>电子版</w:t>
            </w:r>
            <w:r>
              <w:rPr>
                <w:rFonts w:hint="eastAsia"/>
                <w:color w:val="auto"/>
                <w:sz w:val="18"/>
                <w:szCs w:val="18"/>
                <w:highlight w:val="none"/>
                <w:lang w:eastAsia="zh-CN"/>
              </w:rPr>
              <w:t>响应文件</w:t>
            </w:r>
            <w:r>
              <w:rPr>
                <w:color w:val="auto"/>
                <w:sz w:val="18"/>
                <w:szCs w:val="18"/>
                <w:highlight w:val="none"/>
              </w:rPr>
              <w:t>1</w:t>
            </w:r>
            <w:r>
              <w:rPr>
                <w:rFonts w:hint="eastAsia"/>
                <w:color w:val="auto"/>
                <w:sz w:val="18"/>
                <w:szCs w:val="18"/>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0"/>
            <w:vAlign w:val="center"/>
          </w:tcPr>
          <w:p>
            <w:pPr>
              <w:adjustRightInd w:val="0"/>
              <w:spacing w:line="300" w:lineRule="auto"/>
              <w:jc w:val="center"/>
              <w:rPr>
                <w:rFonts w:hint="eastAsia"/>
                <w:color w:val="auto"/>
                <w:sz w:val="18"/>
                <w:szCs w:val="18"/>
                <w:highlight w:val="none"/>
              </w:rPr>
            </w:pPr>
            <w:r>
              <w:rPr>
                <w:rFonts w:hint="eastAsia"/>
                <w:color w:val="auto"/>
                <w:sz w:val="18"/>
                <w:szCs w:val="18"/>
                <w:highlight w:val="none"/>
              </w:rPr>
              <w:t>1</w:t>
            </w:r>
            <w:r>
              <w:rPr>
                <w:rFonts w:hint="eastAsia"/>
                <w:color w:val="auto"/>
                <w:sz w:val="18"/>
                <w:szCs w:val="18"/>
                <w:highlight w:val="none"/>
                <w:lang w:val="en-US"/>
              </w:rPr>
              <w:t>7</w:t>
            </w:r>
            <w:r>
              <w:rPr>
                <w:rFonts w:hint="eastAsia"/>
                <w:color w:val="auto"/>
                <w:sz w:val="18"/>
                <w:szCs w:val="18"/>
                <w:highlight w:val="none"/>
              </w:rPr>
              <w:t>.2</w:t>
            </w:r>
          </w:p>
        </w:tc>
        <w:tc>
          <w:tcPr>
            <w:tcW w:w="1852" w:type="dxa"/>
            <w:noWrap w:val="0"/>
            <w:vAlign w:val="center"/>
          </w:tcPr>
          <w:p>
            <w:pPr>
              <w:pStyle w:val="43"/>
              <w:spacing w:line="240" w:lineRule="auto"/>
              <w:jc w:val="center"/>
              <w:rPr>
                <w:color w:val="auto"/>
                <w:sz w:val="18"/>
                <w:szCs w:val="18"/>
                <w:highlight w:val="none"/>
                <w:lang w:eastAsia="zh-CN"/>
              </w:rPr>
            </w:pPr>
            <w:r>
              <w:rPr>
                <w:rFonts w:hint="eastAsia"/>
                <w:color w:val="auto"/>
                <w:sz w:val="18"/>
                <w:szCs w:val="18"/>
                <w:highlight w:val="none"/>
              </w:rPr>
              <w:t>是否退还</w:t>
            </w:r>
            <w:r>
              <w:rPr>
                <w:rFonts w:hint="eastAsia"/>
                <w:color w:val="auto"/>
                <w:sz w:val="18"/>
                <w:szCs w:val="18"/>
                <w:highlight w:val="none"/>
                <w:lang w:eastAsia="zh-CN"/>
              </w:rPr>
              <w:t>响应文件</w:t>
            </w:r>
          </w:p>
        </w:tc>
        <w:tc>
          <w:tcPr>
            <w:tcW w:w="6559" w:type="dxa"/>
            <w:noWrap w:val="0"/>
            <w:vAlign w:val="center"/>
          </w:tcPr>
          <w:p>
            <w:pPr>
              <w:pStyle w:val="43"/>
              <w:rPr>
                <w:color w:val="auto"/>
                <w:sz w:val="18"/>
                <w:szCs w:val="18"/>
                <w:highlight w:val="none"/>
              </w:rPr>
            </w:pPr>
            <w:r>
              <w:rPr>
                <w:rFonts w:hint="eastAsia"/>
                <w:color w:val="auto"/>
                <w:sz w:val="18"/>
                <w:szCs w:val="18"/>
                <w:highlight w:val="none"/>
              </w:rPr>
              <w:t>不退还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0"/>
            <w:vAlign w:val="center"/>
          </w:tcPr>
          <w:p>
            <w:pPr>
              <w:adjustRightInd w:val="0"/>
              <w:spacing w:line="300" w:lineRule="auto"/>
              <w:jc w:val="center"/>
              <w:rPr>
                <w:rFonts w:hint="eastAsia"/>
                <w:color w:val="auto"/>
                <w:sz w:val="18"/>
                <w:szCs w:val="18"/>
                <w:highlight w:val="none"/>
              </w:rPr>
            </w:pPr>
            <w:r>
              <w:rPr>
                <w:rFonts w:hint="eastAsia"/>
                <w:color w:val="auto"/>
                <w:sz w:val="18"/>
                <w:szCs w:val="18"/>
                <w:highlight w:val="none"/>
                <w:lang w:val="en-US"/>
              </w:rPr>
              <w:t>19</w:t>
            </w:r>
            <w:r>
              <w:rPr>
                <w:rFonts w:hint="eastAsia"/>
                <w:color w:val="auto"/>
                <w:sz w:val="18"/>
                <w:szCs w:val="18"/>
                <w:highlight w:val="none"/>
              </w:rPr>
              <w:t>.1</w:t>
            </w:r>
          </w:p>
        </w:tc>
        <w:tc>
          <w:tcPr>
            <w:tcW w:w="1852" w:type="dxa"/>
            <w:noWrap w:val="0"/>
            <w:vAlign w:val="center"/>
          </w:tcPr>
          <w:p>
            <w:pPr>
              <w:pStyle w:val="43"/>
              <w:jc w:val="center"/>
              <w:rPr>
                <w:color w:val="auto"/>
                <w:sz w:val="18"/>
                <w:szCs w:val="18"/>
                <w:highlight w:val="none"/>
                <w:lang w:eastAsia="zh-CN"/>
              </w:rPr>
            </w:pPr>
            <w:r>
              <w:rPr>
                <w:rFonts w:hint="eastAsia"/>
                <w:color w:val="auto"/>
                <w:sz w:val="18"/>
                <w:szCs w:val="18"/>
                <w:highlight w:val="none"/>
                <w:lang w:eastAsia="zh-CN"/>
              </w:rPr>
              <w:t>磋商小组的组成</w:t>
            </w:r>
          </w:p>
        </w:tc>
        <w:tc>
          <w:tcPr>
            <w:tcW w:w="6559" w:type="dxa"/>
            <w:noWrap w:val="0"/>
            <w:vAlign w:val="center"/>
          </w:tcPr>
          <w:p>
            <w:pPr>
              <w:pStyle w:val="43"/>
              <w:rPr>
                <w:color w:val="auto"/>
                <w:sz w:val="18"/>
                <w:szCs w:val="18"/>
                <w:highlight w:val="none"/>
              </w:rPr>
            </w:pPr>
            <w:r>
              <w:rPr>
                <w:rFonts w:hint="eastAsia"/>
                <w:color w:val="auto"/>
                <w:sz w:val="18"/>
                <w:szCs w:val="18"/>
                <w:highlight w:val="none"/>
                <w:lang w:eastAsia="zh-CN"/>
              </w:rPr>
              <w:t>磋商小组由</w:t>
            </w:r>
            <w:r>
              <w:rPr>
                <w:rFonts w:hint="eastAsia"/>
                <w:color w:val="auto"/>
                <w:sz w:val="18"/>
                <w:szCs w:val="18"/>
                <w:highlight w:val="none"/>
                <w:lang w:val="en-US" w:eastAsia="zh-CN"/>
              </w:rPr>
              <w:t>3</w:t>
            </w:r>
            <w:r>
              <w:rPr>
                <w:rFonts w:hint="eastAsia"/>
                <w:color w:val="auto"/>
                <w:sz w:val="18"/>
                <w:szCs w:val="18"/>
                <w:highlight w:val="none"/>
                <w:lang w:eastAsia="zh-CN"/>
              </w:rPr>
              <w:t>人组成，</w:t>
            </w:r>
            <w:r>
              <w:rPr>
                <w:rFonts w:hint="eastAsia"/>
                <w:color w:val="auto"/>
                <w:sz w:val="18"/>
                <w:szCs w:val="18"/>
                <w:highlight w:val="none"/>
              </w:rPr>
              <w:t>其中</w:t>
            </w:r>
            <w:r>
              <w:rPr>
                <w:rFonts w:hint="eastAsia"/>
                <w:color w:val="auto"/>
                <w:sz w:val="18"/>
                <w:szCs w:val="18"/>
                <w:highlight w:val="none"/>
                <w:lang w:eastAsia="zh-CN"/>
              </w:rPr>
              <w:t>采购</w:t>
            </w:r>
            <w:r>
              <w:rPr>
                <w:rFonts w:hint="eastAsia"/>
                <w:color w:val="auto"/>
                <w:sz w:val="18"/>
                <w:szCs w:val="18"/>
                <w:highlight w:val="none"/>
              </w:rPr>
              <w:t>人代表</w:t>
            </w:r>
            <w:r>
              <w:rPr>
                <w:rFonts w:hint="eastAsia"/>
                <w:color w:val="auto"/>
                <w:sz w:val="18"/>
                <w:szCs w:val="18"/>
                <w:highlight w:val="none"/>
                <w:lang w:val="en-US" w:eastAsia="zh-CN"/>
              </w:rPr>
              <w:t>0</w:t>
            </w:r>
            <w:r>
              <w:rPr>
                <w:rFonts w:hint="eastAsia"/>
                <w:color w:val="auto"/>
                <w:sz w:val="18"/>
                <w:szCs w:val="18"/>
                <w:highlight w:val="none"/>
              </w:rPr>
              <w:t>人，专</w:t>
            </w:r>
            <w:r>
              <w:rPr>
                <w:rFonts w:hint="eastAsia"/>
                <w:color w:val="auto"/>
                <w:sz w:val="18"/>
                <w:szCs w:val="18"/>
                <w:highlight w:val="none"/>
                <w:lang w:eastAsia="zh-CN"/>
              </w:rPr>
              <w:t>家</w:t>
            </w:r>
            <w:r>
              <w:rPr>
                <w:rFonts w:hint="eastAsia"/>
                <w:color w:val="auto"/>
                <w:sz w:val="18"/>
                <w:szCs w:val="18"/>
                <w:highlight w:val="none"/>
                <w:lang w:val="en-US" w:eastAsia="zh-CN"/>
              </w:rPr>
              <w:t>3</w:t>
            </w:r>
            <w:r>
              <w:rPr>
                <w:rFonts w:hint="eastAsia"/>
                <w:color w:val="auto"/>
                <w:sz w:val="18"/>
                <w:szCs w:val="18"/>
                <w:highlight w:val="none"/>
              </w:rPr>
              <w:t>人。</w:t>
            </w:r>
          </w:p>
          <w:p>
            <w:pPr>
              <w:pStyle w:val="43"/>
              <w:rPr>
                <w:color w:val="auto"/>
                <w:sz w:val="18"/>
                <w:szCs w:val="18"/>
                <w:highlight w:val="none"/>
              </w:rPr>
            </w:pPr>
            <w:r>
              <w:rPr>
                <w:rFonts w:hint="eastAsia"/>
                <w:color w:val="auto"/>
                <w:sz w:val="18"/>
                <w:szCs w:val="18"/>
                <w:highlight w:val="none"/>
              </w:rPr>
              <w:t>评审专家从</w:t>
            </w:r>
            <w:r>
              <w:rPr>
                <w:rFonts w:hint="eastAsia"/>
                <w:color w:val="auto"/>
                <w:sz w:val="18"/>
                <w:szCs w:val="18"/>
                <w:highlight w:val="none"/>
                <w:lang w:eastAsia="zh-CN"/>
              </w:rPr>
              <w:t>海南省综合</w:t>
            </w:r>
            <w:r>
              <w:rPr>
                <w:rFonts w:hint="eastAsia"/>
                <w:color w:val="auto"/>
                <w:sz w:val="18"/>
                <w:szCs w:val="18"/>
                <w:highlight w:val="none"/>
              </w:rPr>
              <w:t>评标专家库</w:t>
            </w:r>
            <w:r>
              <w:rPr>
                <w:rFonts w:hint="eastAsia"/>
                <w:color w:val="auto"/>
                <w:sz w:val="18"/>
                <w:szCs w:val="18"/>
                <w:highlight w:val="none"/>
                <w:lang w:eastAsia="zh-CN"/>
              </w:rPr>
              <w:t>三亚区域中</w:t>
            </w:r>
            <w:r>
              <w:rPr>
                <w:rFonts w:hint="eastAsia"/>
                <w:color w:val="auto"/>
                <w:sz w:val="18"/>
                <w:szCs w:val="18"/>
                <w:highlight w:val="none"/>
              </w:rPr>
              <w:t>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0"/>
            <w:vAlign w:val="center"/>
          </w:tcPr>
          <w:p>
            <w:pPr>
              <w:adjustRightInd w:val="0"/>
              <w:spacing w:line="300" w:lineRule="auto"/>
              <w:jc w:val="center"/>
              <w:rPr>
                <w:rFonts w:hint="eastAsia"/>
                <w:color w:val="auto"/>
                <w:sz w:val="18"/>
                <w:szCs w:val="18"/>
                <w:highlight w:val="none"/>
              </w:rPr>
            </w:pPr>
            <w:r>
              <w:rPr>
                <w:rFonts w:hint="eastAsia"/>
                <w:color w:val="auto"/>
                <w:sz w:val="18"/>
                <w:szCs w:val="18"/>
                <w:highlight w:val="none"/>
                <w:lang w:val="en-US"/>
              </w:rPr>
              <w:t>19</w:t>
            </w:r>
            <w:r>
              <w:rPr>
                <w:rFonts w:hint="eastAsia"/>
                <w:color w:val="auto"/>
                <w:sz w:val="18"/>
                <w:szCs w:val="18"/>
                <w:highlight w:val="none"/>
              </w:rPr>
              <w:t>.2</w:t>
            </w:r>
          </w:p>
        </w:tc>
        <w:tc>
          <w:tcPr>
            <w:tcW w:w="1852" w:type="dxa"/>
            <w:noWrap w:val="0"/>
            <w:vAlign w:val="center"/>
          </w:tcPr>
          <w:p>
            <w:pPr>
              <w:pStyle w:val="43"/>
              <w:jc w:val="center"/>
              <w:rPr>
                <w:color w:val="auto"/>
                <w:sz w:val="18"/>
                <w:szCs w:val="18"/>
                <w:highlight w:val="none"/>
                <w:lang w:eastAsia="zh-CN"/>
              </w:rPr>
            </w:pPr>
            <w:r>
              <w:rPr>
                <w:rFonts w:hint="eastAsia"/>
                <w:color w:val="auto"/>
                <w:sz w:val="18"/>
                <w:szCs w:val="18"/>
                <w:highlight w:val="none"/>
              </w:rPr>
              <w:t>评</w:t>
            </w:r>
            <w:r>
              <w:rPr>
                <w:rFonts w:hint="eastAsia"/>
                <w:color w:val="auto"/>
                <w:sz w:val="18"/>
                <w:szCs w:val="18"/>
                <w:highlight w:val="none"/>
                <w:lang w:eastAsia="zh-CN"/>
              </w:rPr>
              <w:t>审</w:t>
            </w:r>
            <w:r>
              <w:rPr>
                <w:rFonts w:hint="eastAsia"/>
                <w:color w:val="auto"/>
                <w:sz w:val="18"/>
                <w:szCs w:val="18"/>
                <w:highlight w:val="none"/>
              </w:rPr>
              <w:t>方法</w:t>
            </w:r>
          </w:p>
        </w:tc>
        <w:tc>
          <w:tcPr>
            <w:tcW w:w="6559" w:type="dxa"/>
            <w:noWrap w:val="0"/>
            <w:vAlign w:val="center"/>
          </w:tcPr>
          <w:p>
            <w:pPr>
              <w:pStyle w:val="42"/>
              <w:spacing w:line="300" w:lineRule="auto"/>
              <w:jc w:val="both"/>
              <w:rPr>
                <w:rFonts w:ascii="宋体" w:hAnsi="宋体" w:eastAsia="宋体" w:cs="Times New Roman"/>
                <w:color w:val="auto"/>
                <w:sz w:val="18"/>
                <w:szCs w:val="18"/>
                <w:highlight w:val="none"/>
              </w:rPr>
            </w:pPr>
            <w:r>
              <w:rPr>
                <w:rFonts w:hint="eastAsia" w:ascii="宋体" w:hAnsi="宋体" w:eastAsia="宋体" w:cs="宋体"/>
                <w:color w:val="auto"/>
                <w:sz w:val="18"/>
                <w:szCs w:val="18"/>
                <w:highlight w:val="none"/>
              </w:rPr>
              <w:t>经磋商确定最终采购需求和提交最后报价的供应商后，由磋商小组采用综合评分法对提交最后报价的供应商的响应文件和最后报价进行综合评分。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0"/>
            <w:vAlign w:val="center"/>
          </w:tcPr>
          <w:p>
            <w:pPr>
              <w:adjustRightInd w:val="0"/>
              <w:spacing w:line="300" w:lineRule="auto"/>
              <w:jc w:val="center"/>
              <w:rPr>
                <w:rFonts w:hint="eastAsia"/>
                <w:color w:val="auto"/>
                <w:sz w:val="18"/>
                <w:szCs w:val="18"/>
                <w:highlight w:val="none"/>
              </w:rPr>
            </w:pPr>
            <w:r>
              <w:rPr>
                <w:rFonts w:hint="eastAsia"/>
                <w:color w:val="auto"/>
                <w:sz w:val="18"/>
                <w:szCs w:val="18"/>
                <w:highlight w:val="none"/>
              </w:rPr>
              <w:t>2</w:t>
            </w:r>
            <w:r>
              <w:rPr>
                <w:rFonts w:hint="eastAsia"/>
                <w:color w:val="auto"/>
                <w:sz w:val="18"/>
                <w:szCs w:val="18"/>
                <w:highlight w:val="none"/>
                <w:lang w:val="en-US"/>
              </w:rPr>
              <w:t>4</w:t>
            </w:r>
            <w:r>
              <w:rPr>
                <w:rFonts w:hint="eastAsia"/>
                <w:color w:val="auto"/>
                <w:sz w:val="18"/>
                <w:szCs w:val="18"/>
                <w:highlight w:val="none"/>
              </w:rPr>
              <w:t>.3</w:t>
            </w:r>
          </w:p>
        </w:tc>
        <w:tc>
          <w:tcPr>
            <w:tcW w:w="1852" w:type="dxa"/>
            <w:noWrap w:val="0"/>
            <w:vAlign w:val="center"/>
          </w:tcPr>
          <w:p>
            <w:pPr>
              <w:pStyle w:val="43"/>
              <w:jc w:val="center"/>
              <w:rPr>
                <w:color w:val="auto"/>
                <w:sz w:val="18"/>
                <w:szCs w:val="18"/>
                <w:highlight w:val="none"/>
              </w:rPr>
            </w:pPr>
            <w:r>
              <w:rPr>
                <w:rFonts w:hint="eastAsia"/>
                <w:color w:val="auto"/>
                <w:sz w:val="18"/>
                <w:szCs w:val="18"/>
                <w:highlight w:val="none"/>
                <w:lang w:eastAsia="zh-CN"/>
              </w:rPr>
              <w:t>成交候选人数量</w:t>
            </w:r>
          </w:p>
        </w:tc>
        <w:tc>
          <w:tcPr>
            <w:tcW w:w="6559" w:type="dxa"/>
            <w:noWrap w:val="0"/>
            <w:vAlign w:val="center"/>
          </w:tcPr>
          <w:p>
            <w:pPr>
              <w:pStyle w:val="43"/>
              <w:rPr>
                <w:color w:val="auto"/>
                <w:sz w:val="18"/>
                <w:szCs w:val="18"/>
                <w:highlight w:val="none"/>
                <w:lang w:eastAsia="zh-CN"/>
              </w:rPr>
            </w:pPr>
            <w:r>
              <w:rPr>
                <w:rFonts w:hint="eastAsia"/>
                <w:color w:val="auto"/>
                <w:sz w:val="18"/>
                <w:szCs w:val="18"/>
                <w:highlight w:val="none"/>
                <w:lang w:eastAsia="zh-CN"/>
              </w:rPr>
              <w:t>推荐</w:t>
            </w:r>
            <w:r>
              <w:rPr>
                <w:color w:val="auto"/>
                <w:sz w:val="18"/>
                <w:szCs w:val="18"/>
                <w:highlight w:val="none"/>
                <w:lang w:eastAsia="zh-CN"/>
              </w:rPr>
              <w:t>3</w:t>
            </w:r>
            <w:r>
              <w:rPr>
                <w:rFonts w:hint="eastAsia"/>
                <w:color w:val="auto"/>
                <w:sz w:val="18"/>
                <w:szCs w:val="18"/>
                <w:highlight w:val="none"/>
                <w:lang w:eastAsia="zh-CN"/>
              </w:rPr>
              <w:t>名成交候选供应商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710" w:type="dxa"/>
            <w:noWrap w:val="0"/>
            <w:vAlign w:val="center"/>
          </w:tcPr>
          <w:p>
            <w:pPr>
              <w:adjustRightInd w:val="0"/>
              <w:spacing w:line="300" w:lineRule="auto"/>
              <w:jc w:val="center"/>
              <w:rPr>
                <w:rFonts w:hint="eastAsia"/>
                <w:color w:val="auto"/>
                <w:sz w:val="18"/>
                <w:szCs w:val="18"/>
                <w:highlight w:val="none"/>
              </w:rPr>
            </w:pPr>
          </w:p>
        </w:tc>
        <w:tc>
          <w:tcPr>
            <w:tcW w:w="1852" w:type="dxa"/>
            <w:noWrap w:val="0"/>
            <w:vAlign w:val="center"/>
          </w:tcPr>
          <w:p>
            <w:pPr>
              <w:pStyle w:val="43"/>
              <w:jc w:val="center"/>
              <w:rPr>
                <w:color w:val="auto"/>
                <w:sz w:val="18"/>
                <w:szCs w:val="18"/>
                <w:highlight w:val="none"/>
                <w:lang w:eastAsia="zh-CN"/>
              </w:rPr>
            </w:pPr>
            <w:r>
              <w:rPr>
                <w:rFonts w:hint="eastAsia"/>
                <w:color w:val="auto"/>
                <w:sz w:val="18"/>
                <w:szCs w:val="18"/>
                <w:highlight w:val="none"/>
                <w:lang w:eastAsia="zh-CN"/>
              </w:rPr>
              <w:t>其他</w:t>
            </w:r>
          </w:p>
        </w:tc>
        <w:tc>
          <w:tcPr>
            <w:tcW w:w="6559" w:type="dxa"/>
            <w:noWrap w:val="0"/>
            <w:vAlign w:val="center"/>
          </w:tcPr>
          <w:p>
            <w:pPr>
              <w:pStyle w:val="43"/>
              <w:numPr>
                <w:ilvl w:val="0"/>
                <w:numId w:val="2"/>
              </w:numPr>
              <w:rPr>
                <w:color w:val="auto"/>
                <w:sz w:val="18"/>
                <w:szCs w:val="18"/>
                <w:highlight w:val="none"/>
                <w:lang w:eastAsia="zh-CN"/>
              </w:rPr>
            </w:pPr>
            <w:r>
              <w:rPr>
                <w:rFonts w:hint="eastAsia"/>
                <w:color w:val="auto"/>
                <w:sz w:val="18"/>
                <w:szCs w:val="18"/>
                <w:highlight w:val="none"/>
                <w:lang w:eastAsia="zh-CN"/>
              </w:rPr>
              <w:t>招标代理服务费、专家评审劳务费由成交供应商支付。</w:t>
            </w:r>
            <w:r>
              <w:rPr>
                <w:rFonts w:hint="eastAsia"/>
                <w:color w:val="auto"/>
                <w:sz w:val="18"/>
                <w:szCs w:val="18"/>
                <w:highlight w:val="none"/>
                <w:lang w:val="en-US" w:eastAsia="zh-CN"/>
              </w:rPr>
              <w:t xml:space="preserve">招标代理服务费A包为：4000元（肆仟元整），B包为4000元（肆仟元整）。 </w:t>
            </w:r>
          </w:p>
          <w:p>
            <w:pPr>
              <w:pStyle w:val="43"/>
              <w:numPr>
                <w:ilvl w:val="0"/>
                <w:numId w:val="2"/>
              </w:numPr>
              <w:rPr>
                <w:rFonts w:hint="eastAsia"/>
                <w:color w:val="auto"/>
                <w:sz w:val="18"/>
                <w:szCs w:val="18"/>
                <w:highlight w:val="none"/>
                <w:lang w:val="en-US" w:eastAsia="zh-CN"/>
              </w:rPr>
            </w:pPr>
            <w:r>
              <w:rPr>
                <w:rFonts w:hint="eastAsia"/>
                <w:color w:val="auto"/>
                <w:sz w:val="18"/>
                <w:szCs w:val="18"/>
                <w:highlight w:val="none"/>
                <w:lang w:eastAsia="zh-CN"/>
              </w:rPr>
              <w:t>单位负责人为同一人或者存在直接控股、管理关系的不同供应商，不得参加同一合同项下的政府采购活动；</w:t>
            </w:r>
          </w:p>
          <w:p>
            <w:pPr>
              <w:pStyle w:val="43"/>
              <w:numPr>
                <w:ilvl w:val="0"/>
                <w:numId w:val="2"/>
              </w:numP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供应商在法定质疑期内一次性提出针对同一采购程序环节的质疑。</w:t>
            </w:r>
          </w:p>
          <w:p>
            <w:pPr>
              <w:pStyle w:val="43"/>
              <w:numPr>
                <w:ilvl w:val="0"/>
                <w:numId w:val="2"/>
              </w:numPr>
              <w:rPr>
                <w:color w:val="auto"/>
                <w:sz w:val="18"/>
                <w:szCs w:val="18"/>
                <w:highlight w:val="none"/>
                <w:lang w:eastAsia="zh-CN"/>
              </w:rPr>
            </w:pPr>
            <w:r>
              <w:rPr>
                <w:rFonts w:hint="eastAsia"/>
                <w:color w:val="auto"/>
                <w:sz w:val="18"/>
                <w:szCs w:val="18"/>
                <w:highlight w:val="none"/>
                <w:lang w:eastAsia="zh-CN"/>
              </w:rPr>
              <w:t>解释顺序：构成本采购文件的各个组成文件应互为解释，互为说明；如有不明确或不一致，构成合同文件组成内容的，以合同文件约定内容为准，且以专用合同条款约定的合同文件优先顺序解释；除采购文件中有特别规定外，仅适用于招标投标阶段的规定，按招标公告（投标邀请书）、采购需求、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0"/>
            <w:vAlign w:val="center"/>
          </w:tcPr>
          <w:p>
            <w:pPr>
              <w:spacing w:line="300" w:lineRule="auto"/>
              <w:jc w:val="center"/>
              <w:rPr>
                <w:color w:val="auto"/>
                <w:highlight w:val="none"/>
              </w:rPr>
            </w:pPr>
          </w:p>
        </w:tc>
        <w:tc>
          <w:tcPr>
            <w:tcW w:w="1852" w:type="dxa"/>
            <w:noWrap w:val="0"/>
            <w:vAlign w:val="center"/>
          </w:tcPr>
          <w:p>
            <w:pPr>
              <w:pStyle w:val="40"/>
              <w:ind w:left="80" w:right="74"/>
              <w:jc w:val="center"/>
              <w:rPr>
                <w:rFonts w:hint="eastAsia"/>
                <w:color w:val="auto"/>
                <w:sz w:val="18"/>
                <w:szCs w:val="18"/>
                <w:highlight w:val="none"/>
                <w:lang w:val="en-US" w:bidi="ar-SA"/>
              </w:rPr>
            </w:pPr>
            <w:r>
              <w:rPr>
                <w:rFonts w:hint="eastAsia"/>
                <w:color w:val="auto"/>
                <w:sz w:val="18"/>
                <w:szCs w:val="18"/>
                <w:highlight w:val="none"/>
                <w:lang w:val="en-US" w:bidi="ar-SA"/>
              </w:rPr>
              <w:t>政府采购政策</w:t>
            </w:r>
          </w:p>
          <w:p>
            <w:pPr>
              <w:pStyle w:val="43"/>
              <w:jc w:val="center"/>
              <w:rPr>
                <w:rFonts w:hint="eastAsia"/>
                <w:color w:val="auto"/>
                <w:sz w:val="18"/>
                <w:szCs w:val="18"/>
                <w:highlight w:val="none"/>
                <w:lang w:eastAsia="zh-CN"/>
              </w:rPr>
            </w:pPr>
            <w:r>
              <w:rPr>
                <w:rFonts w:hint="eastAsia"/>
                <w:color w:val="auto"/>
                <w:sz w:val="18"/>
                <w:szCs w:val="18"/>
                <w:highlight w:val="none"/>
                <w:lang w:val="en-US" w:eastAsia="zh-CN" w:bidi="ar-SA"/>
              </w:rPr>
              <w:t>（中小企业、监狱企业及残疾人福利性单位）</w:t>
            </w:r>
          </w:p>
        </w:tc>
        <w:tc>
          <w:tcPr>
            <w:tcW w:w="6559" w:type="dxa"/>
            <w:noWrap w:val="0"/>
            <w:vAlign w:val="center"/>
          </w:tcPr>
          <w:p>
            <w:pPr>
              <w:pStyle w:val="40"/>
              <w:spacing w:line="326" w:lineRule="auto"/>
              <w:ind w:right="91"/>
              <w:jc w:val="both"/>
              <w:rPr>
                <w:color w:val="auto"/>
                <w:sz w:val="18"/>
                <w:szCs w:val="18"/>
                <w:highlight w:val="none"/>
              </w:rPr>
            </w:pPr>
            <w:r>
              <w:rPr>
                <w:rFonts w:ascii="Times New Roman" w:eastAsia="Times New Roman"/>
                <w:b/>
                <w:color w:val="auto"/>
                <w:w w:val="95"/>
                <w:sz w:val="18"/>
                <w:szCs w:val="18"/>
                <w:highlight w:val="none"/>
              </w:rPr>
              <w:t>1</w:t>
            </w:r>
            <w:r>
              <w:rPr>
                <w:b/>
                <w:color w:val="auto"/>
                <w:w w:val="95"/>
                <w:sz w:val="18"/>
                <w:szCs w:val="18"/>
                <w:highlight w:val="none"/>
              </w:rPr>
              <w:t>、中小企业：</w:t>
            </w:r>
            <w:r>
              <w:rPr>
                <w:color w:val="auto"/>
                <w:sz w:val="18"/>
                <w:szCs w:val="18"/>
                <w:highlight w:val="none"/>
              </w:rPr>
              <w:t>中小企业须提供《中小企业声明函》，小微企业 报价给予</w:t>
            </w:r>
            <w:r>
              <w:rPr>
                <w:rFonts w:hint="eastAsia"/>
                <w:color w:val="auto"/>
                <w:sz w:val="18"/>
                <w:szCs w:val="18"/>
                <w:highlight w:val="none"/>
                <w:lang w:eastAsia="zh-CN"/>
              </w:rPr>
              <w:t>（</w:t>
            </w:r>
            <w:r>
              <w:rPr>
                <w:rFonts w:hint="eastAsia"/>
                <w:color w:val="auto"/>
                <w:sz w:val="18"/>
                <w:szCs w:val="18"/>
                <w:highlight w:val="none"/>
                <w:lang w:val="en-US" w:eastAsia="zh-CN"/>
              </w:rPr>
              <w:t>A包6</w:t>
            </w:r>
            <w:r>
              <w:rPr>
                <w:color w:val="auto"/>
                <w:sz w:val="18"/>
                <w:szCs w:val="18"/>
                <w:highlight w:val="none"/>
              </w:rPr>
              <w:t>%</w:t>
            </w:r>
            <w:r>
              <w:rPr>
                <w:rFonts w:hint="eastAsia"/>
                <w:color w:val="auto"/>
                <w:sz w:val="18"/>
                <w:szCs w:val="18"/>
                <w:highlight w:val="none"/>
                <w:lang w:eastAsia="zh-CN"/>
              </w:rPr>
              <w:t>，</w:t>
            </w:r>
            <w:r>
              <w:rPr>
                <w:rFonts w:hint="eastAsia"/>
                <w:color w:val="auto"/>
                <w:sz w:val="18"/>
                <w:szCs w:val="18"/>
                <w:highlight w:val="none"/>
                <w:lang w:val="en-US" w:eastAsia="zh-CN"/>
              </w:rPr>
              <w:t>B包5%</w:t>
            </w:r>
            <w:r>
              <w:rPr>
                <w:rFonts w:hint="eastAsia"/>
                <w:color w:val="auto"/>
                <w:sz w:val="18"/>
                <w:szCs w:val="18"/>
                <w:highlight w:val="none"/>
                <w:lang w:eastAsia="zh-CN"/>
              </w:rPr>
              <w:t>）</w:t>
            </w:r>
            <w:r>
              <w:rPr>
                <w:color w:val="auto"/>
                <w:sz w:val="18"/>
                <w:szCs w:val="18"/>
                <w:highlight w:val="none"/>
              </w:rPr>
              <w:t>的扣除，中型企业不享受价格扣除。</w:t>
            </w:r>
          </w:p>
          <w:p>
            <w:pPr>
              <w:pStyle w:val="40"/>
              <w:spacing w:before="5" w:line="328" w:lineRule="auto"/>
              <w:ind w:right="91"/>
              <w:jc w:val="both"/>
              <w:rPr>
                <w:color w:val="auto"/>
                <w:sz w:val="18"/>
                <w:szCs w:val="18"/>
                <w:highlight w:val="none"/>
              </w:rPr>
            </w:pPr>
            <w:r>
              <w:rPr>
                <w:rFonts w:ascii="Times New Roman" w:eastAsia="Times New Roman"/>
                <w:b/>
                <w:color w:val="auto"/>
                <w:sz w:val="18"/>
                <w:szCs w:val="18"/>
                <w:highlight w:val="none"/>
              </w:rPr>
              <w:t>2</w:t>
            </w:r>
            <w:r>
              <w:rPr>
                <w:b/>
                <w:color w:val="auto"/>
                <w:sz w:val="18"/>
                <w:szCs w:val="18"/>
                <w:highlight w:val="none"/>
              </w:rPr>
              <w:t>、监狱企业：</w:t>
            </w:r>
            <w:r>
              <w:rPr>
                <w:color w:val="auto"/>
                <w:sz w:val="18"/>
                <w:szCs w:val="18"/>
                <w:highlight w:val="none"/>
              </w:rPr>
              <w:t>根据《财政部司法部关于政府采购支持监狱企业发展有关问题的通知》（财库</w:t>
            </w:r>
            <w:r>
              <w:rPr>
                <w:rFonts w:ascii="Times New Roman" w:eastAsia="Times New Roman"/>
                <w:color w:val="auto"/>
                <w:sz w:val="18"/>
                <w:szCs w:val="18"/>
                <w:highlight w:val="none"/>
              </w:rPr>
              <w:t xml:space="preserve">[2014]68 </w:t>
            </w:r>
            <w:r>
              <w:rPr>
                <w:color w:val="auto"/>
                <w:sz w:val="18"/>
                <w:szCs w:val="18"/>
                <w:highlight w:val="none"/>
              </w:rPr>
              <w:t>号）文件规定，监狱企业参加政府采购活动时，应当提供由省级以上监狱管理局、戒毒管理局（含新疆生产建设兵团）出具的属于监狱企业的证明文件。监狱企业视同小型、微型企业，享受预留份额、评审中价格扣除等政府采购促进中小企业发展的政府采购政策。</w:t>
            </w:r>
          </w:p>
          <w:p>
            <w:pPr>
              <w:pStyle w:val="40"/>
              <w:spacing w:line="328" w:lineRule="auto"/>
              <w:ind w:right="89"/>
              <w:jc w:val="both"/>
              <w:rPr>
                <w:color w:val="auto"/>
                <w:sz w:val="18"/>
                <w:szCs w:val="18"/>
                <w:highlight w:val="none"/>
              </w:rPr>
            </w:pPr>
            <w:r>
              <w:rPr>
                <w:rFonts w:ascii="Times New Roman" w:eastAsia="Times New Roman"/>
                <w:b/>
                <w:color w:val="auto"/>
                <w:spacing w:val="3"/>
                <w:sz w:val="18"/>
                <w:szCs w:val="18"/>
                <w:highlight w:val="none"/>
              </w:rPr>
              <w:t>3</w:t>
            </w:r>
            <w:r>
              <w:rPr>
                <w:b/>
                <w:color w:val="auto"/>
                <w:spacing w:val="4"/>
                <w:sz w:val="18"/>
                <w:szCs w:val="18"/>
                <w:highlight w:val="none"/>
              </w:rPr>
              <w:t>、残疾人福利性单位：</w:t>
            </w:r>
            <w:r>
              <w:rPr>
                <w:color w:val="auto"/>
                <w:spacing w:val="-1"/>
                <w:sz w:val="18"/>
                <w:szCs w:val="18"/>
                <w:highlight w:val="none"/>
              </w:rPr>
              <w:t>根据《财政部民政部中国残疾人联合</w:t>
            </w:r>
            <w:r>
              <w:rPr>
                <w:color w:val="auto"/>
                <w:spacing w:val="-7"/>
                <w:sz w:val="18"/>
                <w:szCs w:val="18"/>
                <w:highlight w:val="none"/>
              </w:rPr>
              <w:t>会关于促进残疾人就业政府采购政策的通知》</w:t>
            </w:r>
            <w:r>
              <w:rPr>
                <w:color w:val="auto"/>
                <w:sz w:val="18"/>
                <w:szCs w:val="18"/>
                <w:highlight w:val="none"/>
              </w:rPr>
              <w:t>（</w:t>
            </w:r>
            <w:r>
              <w:rPr>
                <w:color w:val="auto"/>
                <w:spacing w:val="-18"/>
                <w:sz w:val="18"/>
                <w:szCs w:val="18"/>
                <w:highlight w:val="none"/>
              </w:rPr>
              <w:t>财库〔</w:t>
            </w:r>
            <w:r>
              <w:rPr>
                <w:rFonts w:ascii="Times New Roman" w:eastAsia="Times New Roman"/>
                <w:color w:val="auto"/>
                <w:sz w:val="18"/>
                <w:szCs w:val="18"/>
                <w:highlight w:val="none"/>
              </w:rPr>
              <w:t>2017</w:t>
            </w:r>
            <w:r>
              <w:rPr>
                <w:color w:val="auto"/>
                <w:spacing w:val="-29"/>
                <w:sz w:val="18"/>
                <w:szCs w:val="18"/>
                <w:highlight w:val="none"/>
              </w:rPr>
              <w:t xml:space="preserve">〕 </w:t>
            </w:r>
            <w:r>
              <w:rPr>
                <w:rFonts w:ascii="Times New Roman" w:eastAsia="Times New Roman"/>
                <w:color w:val="auto"/>
                <w:sz w:val="18"/>
                <w:szCs w:val="18"/>
                <w:highlight w:val="none"/>
              </w:rPr>
              <w:t xml:space="preserve">141 </w:t>
            </w:r>
            <w:r>
              <w:rPr>
                <w:color w:val="auto"/>
                <w:sz w:val="18"/>
                <w:szCs w:val="18"/>
                <w:highlight w:val="none"/>
              </w:rPr>
              <w:t>号）的规定，符合条件的残疾人福利性单位在参加政府采购活动时，须提供《残疾人福利性单位声明函》。残疾人福利性单位视同小型、微型企业，享受预留份额、评审中价格扣除等促进中小企业发展的政府采购政策。残疾人福利性单位属于小型、微型企业的，不重复享受政策。</w:t>
            </w:r>
          </w:p>
          <w:p>
            <w:pPr>
              <w:pStyle w:val="40"/>
              <w:spacing w:line="326" w:lineRule="auto"/>
              <w:ind w:right="75"/>
              <w:jc w:val="both"/>
              <w:rPr>
                <w:b/>
                <w:color w:val="auto"/>
                <w:sz w:val="18"/>
                <w:szCs w:val="18"/>
                <w:highlight w:val="none"/>
              </w:rPr>
            </w:pPr>
            <w:r>
              <w:rPr>
                <w:rFonts w:ascii="Times New Roman" w:eastAsia="Times New Roman"/>
                <w:b/>
                <w:color w:val="auto"/>
                <w:sz w:val="18"/>
                <w:szCs w:val="18"/>
                <w:highlight w:val="none"/>
              </w:rPr>
              <w:t>4</w:t>
            </w:r>
            <w:r>
              <w:rPr>
                <w:b/>
                <w:color w:val="auto"/>
                <w:spacing w:val="-11"/>
                <w:sz w:val="18"/>
                <w:szCs w:val="18"/>
                <w:highlight w:val="none"/>
              </w:rPr>
              <w:t>、价格扣除幅度：投标报价给予</w:t>
            </w:r>
            <w:r>
              <w:rPr>
                <w:rFonts w:hint="eastAsia"/>
                <w:b/>
                <w:color w:val="auto"/>
                <w:spacing w:val="-11"/>
                <w:sz w:val="18"/>
                <w:szCs w:val="18"/>
                <w:highlight w:val="none"/>
                <w:lang w:eastAsia="zh-CN"/>
              </w:rPr>
              <w:t>（</w:t>
            </w:r>
            <w:r>
              <w:rPr>
                <w:rFonts w:hint="eastAsia"/>
                <w:b/>
                <w:color w:val="auto"/>
                <w:spacing w:val="-11"/>
                <w:sz w:val="18"/>
                <w:szCs w:val="18"/>
                <w:highlight w:val="none"/>
                <w:lang w:val="en-US" w:eastAsia="zh-CN"/>
              </w:rPr>
              <w:t>A包6</w:t>
            </w:r>
            <w:r>
              <w:rPr>
                <w:b/>
                <w:color w:val="auto"/>
                <w:spacing w:val="-11"/>
                <w:sz w:val="18"/>
                <w:szCs w:val="18"/>
                <w:highlight w:val="none"/>
              </w:rPr>
              <w:t>%</w:t>
            </w:r>
            <w:r>
              <w:rPr>
                <w:rFonts w:hint="eastAsia"/>
                <w:b/>
                <w:color w:val="auto"/>
                <w:spacing w:val="-11"/>
                <w:sz w:val="18"/>
                <w:szCs w:val="18"/>
                <w:highlight w:val="none"/>
                <w:lang w:eastAsia="zh-CN"/>
              </w:rPr>
              <w:t>，</w:t>
            </w:r>
            <w:r>
              <w:rPr>
                <w:rFonts w:hint="eastAsia"/>
                <w:b/>
                <w:color w:val="auto"/>
                <w:spacing w:val="-11"/>
                <w:sz w:val="18"/>
                <w:szCs w:val="18"/>
                <w:highlight w:val="none"/>
                <w:lang w:val="en-US" w:eastAsia="zh-CN"/>
              </w:rPr>
              <w:t>B包5%</w:t>
            </w:r>
            <w:r>
              <w:rPr>
                <w:rFonts w:hint="eastAsia"/>
                <w:b/>
                <w:color w:val="auto"/>
                <w:spacing w:val="-11"/>
                <w:sz w:val="18"/>
                <w:szCs w:val="18"/>
                <w:highlight w:val="none"/>
                <w:lang w:eastAsia="zh-CN"/>
              </w:rPr>
              <w:t>）</w:t>
            </w:r>
            <w:r>
              <w:rPr>
                <w:b/>
                <w:color w:val="auto"/>
                <w:spacing w:val="-4"/>
                <w:sz w:val="18"/>
                <w:szCs w:val="18"/>
                <w:highlight w:val="none"/>
              </w:rPr>
              <w:t>的扣除。供应商同时为小微</w:t>
            </w:r>
            <w:r>
              <w:rPr>
                <w:b/>
                <w:color w:val="auto"/>
                <w:spacing w:val="-4"/>
                <w:w w:val="95"/>
                <w:sz w:val="18"/>
                <w:szCs w:val="18"/>
                <w:highlight w:val="none"/>
              </w:rPr>
              <w:t>企业、监狱企业或残疾人福利性单位的，评审中只享受一次价格</w:t>
            </w:r>
          </w:p>
          <w:p>
            <w:pPr>
              <w:pStyle w:val="43"/>
              <w:rPr>
                <w:rFonts w:hint="eastAsia"/>
                <w:b/>
                <w:color w:val="auto"/>
                <w:sz w:val="18"/>
                <w:szCs w:val="18"/>
                <w:highlight w:val="none"/>
                <w:lang w:val="en-US" w:eastAsia="zh-CN"/>
              </w:rPr>
            </w:pPr>
            <w:r>
              <w:rPr>
                <w:b/>
                <w:color w:val="auto"/>
                <w:sz w:val="18"/>
                <w:szCs w:val="18"/>
                <w:highlight w:val="none"/>
              </w:rPr>
              <w:t>扣除，不重复享受价格扣除。</w:t>
            </w:r>
          </w:p>
        </w:tc>
      </w:tr>
    </w:tbl>
    <w:p>
      <w:pPr>
        <w:rPr>
          <w:color w:val="auto"/>
          <w:sz w:val="24"/>
          <w:szCs w:val="24"/>
          <w:highlight w:val="none"/>
        </w:rPr>
      </w:pPr>
    </w:p>
    <w:p>
      <w:pPr>
        <w:numPr>
          <w:ilvl w:val="0"/>
          <w:numId w:val="3"/>
        </w:numPr>
        <w:tabs>
          <w:tab w:val="left" w:pos="540"/>
          <w:tab w:val="left" w:pos="720"/>
        </w:tabs>
        <w:spacing w:before="100" w:beforeAutospacing="1" w:after="100" w:afterAutospacing="1" w:line="360" w:lineRule="auto"/>
        <w:ind w:left="720" w:hanging="720"/>
        <w:outlineLvl w:val="1"/>
        <w:rPr>
          <w:b/>
          <w:bCs/>
          <w:color w:val="auto"/>
          <w:sz w:val="36"/>
          <w:szCs w:val="36"/>
          <w:highlight w:val="none"/>
        </w:rPr>
      </w:pPr>
      <w:bookmarkStart w:id="23" w:name="_Toc28736"/>
      <w:bookmarkStart w:id="24" w:name="_Toc477188631"/>
      <w:bookmarkStart w:id="25" w:name="_Toc317237599"/>
      <w:bookmarkStart w:id="26" w:name="_Toc10167"/>
      <w:bookmarkStart w:id="27" w:name="_Toc317237774"/>
      <w:bookmarkStart w:id="28" w:name="_Toc6339"/>
      <w:bookmarkStart w:id="29" w:name="_Toc15857"/>
      <w:r>
        <w:rPr>
          <w:rFonts w:hint="eastAsia"/>
          <w:b/>
          <w:bCs/>
          <w:color w:val="auto"/>
          <w:sz w:val="36"/>
          <w:szCs w:val="36"/>
          <w:highlight w:val="none"/>
        </w:rPr>
        <w:t>说明和释义</w:t>
      </w:r>
      <w:bookmarkEnd w:id="23"/>
      <w:bookmarkEnd w:id="24"/>
      <w:bookmarkEnd w:id="25"/>
      <w:bookmarkEnd w:id="26"/>
      <w:bookmarkEnd w:id="27"/>
      <w:bookmarkEnd w:id="28"/>
      <w:bookmarkEnd w:id="29"/>
    </w:p>
    <w:p>
      <w:pPr>
        <w:numPr>
          <w:ilvl w:val="0"/>
          <w:numId w:val="4"/>
        </w:numPr>
        <w:spacing w:line="360" w:lineRule="auto"/>
        <w:rPr>
          <w:b/>
          <w:bCs/>
          <w:color w:val="auto"/>
          <w:sz w:val="24"/>
          <w:szCs w:val="24"/>
          <w:highlight w:val="none"/>
        </w:rPr>
      </w:pPr>
      <w:r>
        <w:rPr>
          <w:rFonts w:hint="eastAsia"/>
          <w:b/>
          <w:bCs/>
          <w:color w:val="auto"/>
          <w:sz w:val="24"/>
          <w:szCs w:val="24"/>
          <w:highlight w:val="none"/>
        </w:rPr>
        <w:t>适用范围</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30" w:name="_Toc26281"/>
      <w:bookmarkStart w:id="31" w:name="_Toc19321"/>
      <w:r>
        <w:rPr>
          <w:rFonts w:hint="eastAsia" w:ascii="Times New Roman" w:hAnsi="Times New Roman" w:cs="宋体"/>
          <w:color w:val="auto"/>
          <w:highlight w:val="none"/>
        </w:rPr>
        <w:t>本磋商文件仅适用于本采购活动。</w:t>
      </w:r>
      <w:bookmarkEnd w:id="30"/>
      <w:bookmarkEnd w:id="31"/>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32" w:name="_Toc8387"/>
      <w:bookmarkStart w:id="33" w:name="_Toc5578"/>
      <w:r>
        <w:rPr>
          <w:rFonts w:hint="eastAsia" w:ascii="Times New Roman" w:hAnsi="Times New Roman" w:cs="宋体"/>
          <w:color w:val="auto"/>
          <w:highlight w:val="none"/>
        </w:rPr>
        <w:t>本采购活动及结果受中国法律的制约和保护。</w:t>
      </w:r>
      <w:bookmarkEnd w:id="32"/>
      <w:bookmarkEnd w:id="33"/>
    </w:p>
    <w:p>
      <w:pPr>
        <w:numPr>
          <w:ilvl w:val="0"/>
          <w:numId w:val="4"/>
        </w:numPr>
        <w:spacing w:line="360" w:lineRule="auto"/>
        <w:rPr>
          <w:b/>
          <w:bCs/>
          <w:color w:val="auto"/>
          <w:sz w:val="24"/>
          <w:szCs w:val="24"/>
          <w:highlight w:val="none"/>
        </w:rPr>
      </w:pPr>
      <w:r>
        <w:rPr>
          <w:rFonts w:hint="eastAsia"/>
          <w:b/>
          <w:bCs/>
          <w:color w:val="auto"/>
          <w:sz w:val="24"/>
          <w:szCs w:val="24"/>
          <w:highlight w:val="none"/>
        </w:rPr>
        <w:t>采购说明</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34" w:name="_Toc15189"/>
      <w:bookmarkStart w:id="35" w:name="_Toc25612"/>
      <w:r>
        <w:rPr>
          <w:rFonts w:hint="eastAsia" w:ascii="Times New Roman" w:hAnsi="Times New Roman" w:cs="宋体"/>
          <w:color w:val="auto"/>
          <w:highlight w:val="none"/>
        </w:rPr>
        <w:t>项目名称：见供应商须知前附表。</w:t>
      </w:r>
      <w:bookmarkEnd w:id="34"/>
      <w:bookmarkEnd w:id="35"/>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36" w:name="_Toc18413"/>
      <w:bookmarkStart w:id="37" w:name="_Toc8149"/>
      <w:r>
        <w:rPr>
          <w:rFonts w:hint="eastAsia" w:ascii="Times New Roman" w:hAnsi="Times New Roman" w:cs="宋体"/>
          <w:color w:val="auto"/>
          <w:highlight w:val="none"/>
        </w:rPr>
        <w:t>项目编号：见供应商须知前附表。</w:t>
      </w:r>
      <w:bookmarkEnd w:id="36"/>
      <w:bookmarkEnd w:id="37"/>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38" w:name="_Toc10350"/>
      <w:bookmarkStart w:id="39" w:name="_Toc11837"/>
      <w:r>
        <w:rPr>
          <w:rFonts w:hint="eastAsia" w:ascii="Times New Roman" w:hAnsi="Times New Roman" w:cs="宋体"/>
          <w:color w:val="auto"/>
          <w:highlight w:val="none"/>
        </w:rPr>
        <w:t>采购人：见供应商须知前附表。</w:t>
      </w:r>
      <w:bookmarkEnd w:id="38"/>
      <w:bookmarkEnd w:id="39"/>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40" w:name="_Toc23913"/>
      <w:bookmarkStart w:id="41" w:name="_Toc25216"/>
      <w:r>
        <w:rPr>
          <w:rFonts w:hint="eastAsia" w:ascii="Times New Roman" w:hAnsi="Times New Roman" w:cs="Times New Roman"/>
          <w:color w:val="auto"/>
          <w:highlight w:val="none"/>
        </w:rPr>
        <w:t>代理机构</w:t>
      </w:r>
      <w:r>
        <w:rPr>
          <w:rFonts w:hint="eastAsia" w:ascii="Times New Roman" w:hAnsi="Times New Roman" w:cs="宋体"/>
          <w:color w:val="auto"/>
          <w:highlight w:val="none"/>
        </w:rPr>
        <w:t>：见供应商须知前附表。</w:t>
      </w:r>
      <w:bookmarkEnd w:id="40"/>
      <w:bookmarkEnd w:id="41"/>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42" w:name="_Toc5690"/>
      <w:bookmarkStart w:id="43" w:name="_Toc8619"/>
      <w:r>
        <w:rPr>
          <w:rFonts w:hint="eastAsia" w:ascii="Times New Roman" w:hAnsi="Times New Roman" w:cs="宋体"/>
          <w:color w:val="auto"/>
          <w:highlight w:val="none"/>
        </w:rPr>
        <w:t>采购预算：见供应商须知前附表。</w:t>
      </w:r>
      <w:bookmarkEnd w:id="42"/>
      <w:bookmarkEnd w:id="43"/>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44" w:name="_Toc14124"/>
      <w:bookmarkStart w:id="45" w:name="_Toc31940"/>
      <w:r>
        <w:rPr>
          <w:rFonts w:hint="eastAsia" w:ascii="Times New Roman" w:hAnsi="Times New Roman" w:cs="宋体"/>
          <w:color w:val="auto"/>
          <w:highlight w:val="none"/>
        </w:rPr>
        <w:t>投资模式：见供应商须知前附表。</w:t>
      </w:r>
      <w:bookmarkEnd w:id="44"/>
      <w:bookmarkEnd w:id="45"/>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46" w:name="_Toc14883"/>
      <w:bookmarkStart w:id="47" w:name="_Toc23629"/>
      <w:r>
        <w:rPr>
          <w:rFonts w:hint="eastAsia" w:ascii="Times New Roman" w:hAnsi="Times New Roman" w:cs="宋体"/>
          <w:color w:val="auto"/>
          <w:highlight w:val="none"/>
        </w:rPr>
        <w:t>供应商资格要求：见供应商须知前附表。</w:t>
      </w:r>
      <w:bookmarkEnd w:id="46"/>
      <w:bookmarkEnd w:id="47"/>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48" w:name="_Toc28999"/>
      <w:bookmarkStart w:id="49" w:name="_Toc29164"/>
      <w:r>
        <w:rPr>
          <w:rFonts w:hint="eastAsia" w:ascii="Times New Roman" w:hAnsi="Times New Roman" w:cs="宋体"/>
          <w:color w:val="auto"/>
          <w:highlight w:val="none"/>
          <w:lang w:eastAsia="zh-CN"/>
        </w:rPr>
        <w:t>供货期（</w:t>
      </w:r>
      <w:r>
        <w:rPr>
          <w:rFonts w:hint="eastAsia" w:ascii="Times New Roman" w:hAnsi="Times New Roman" w:cs="宋体"/>
          <w:color w:val="auto"/>
          <w:highlight w:val="none"/>
        </w:rPr>
        <w:t>工期</w:t>
      </w:r>
      <w:r>
        <w:rPr>
          <w:rFonts w:hint="eastAsia" w:ascii="Times New Roman" w:hAnsi="Times New Roman" w:cs="宋体"/>
          <w:color w:val="auto"/>
          <w:highlight w:val="none"/>
          <w:lang w:eastAsia="zh-CN"/>
        </w:rPr>
        <w:t>）</w:t>
      </w:r>
      <w:r>
        <w:rPr>
          <w:rFonts w:hint="eastAsia" w:ascii="Times New Roman" w:hAnsi="Times New Roman" w:cs="宋体"/>
          <w:color w:val="auto"/>
          <w:highlight w:val="none"/>
        </w:rPr>
        <w:t>：见供应商须知前附表。</w:t>
      </w:r>
      <w:bookmarkEnd w:id="48"/>
      <w:bookmarkEnd w:id="49"/>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50" w:name="_Toc16463"/>
      <w:bookmarkStart w:id="51" w:name="_Toc30579"/>
      <w:r>
        <w:rPr>
          <w:rFonts w:hint="eastAsia" w:ascii="Times New Roman" w:hAnsi="Times New Roman" w:cs="宋体"/>
          <w:color w:val="auto"/>
          <w:highlight w:val="none"/>
          <w:lang w:eastAsia="zh-CN"/>
        </w:rPr>
        <w:t>质量要求</w:t>
      </w:r>
      <w:r>
        <w:rPr>
          <w:rFonts w:hint="eastAsia" w:ascii="Times New Roman" w:hAnsi="Times New Roman" w:cs="宋体"/>
          <w:color w:val="auto"/>
          <w:highlight w:val="none"/>
        </w:rPr>
        <w:t>：</w:t>
      </w:r>
      <w:r>
        <w:rPr>
          <w:rFonts w:hint="eastAsia" w:ascii="Times New Roman" w:hAnsi="Times New Roman" w:cs="宋体"/>
          <w:color w:val="auto"/>
          <w:highlight w:val="none"/>
          <w:lang w:eastAsia="zh-CN"/>
        </w:rPr>
        <w:t>合格</w:t>
      </w:r>
      <w:r>
        <w:rPr>
          <w:rFonts w:hint="eastAsia" w:ascii="Times New Roman" w:hAnsi="Times New Roman" w:cs="宋体"/>
          <w:color w:val="auto"/>
          <w:highlight w:val="none"/>
        </w:rPr>
        <w:t>。</w:t>
      </w:r>
      <w:bookmarkEnd w:id="50"/>
      <w:bookmarkEnd w:id="51"/>
    </w:p>
    <w:p>
      <w:pPr>
        <w:numPr>
          <w:ilvl w:val="1"/>
          <w:numId w:val="4"/>
        </w:numPr>
        <w:spacing w:line="360" w:lineRule="auto"/>
        <w:ind w:left="992" w:leftChars="0" w:hanging="567" w:firstLineChars="0"/>
        <w:rPr>
          <w:b/>
          <w:bCs/>
          <w:color w:val="auto"/>
          <w:sz w:val="24"/>
          <w:szCs w:val="24"/>
          <w:highlight w:val="none"/>
        </w:rPr>
      </w:pPr>
      <w:r>
        <w:rPr>
          <w:rFonts w:hint="eastAsia"/>
          <w:b/>
          <w:bCs/>
          <w:color w:val="auto"/>
          <w:sz w:val="24"/>
          <w:szCs w:val="24"/>
          <w:highlight w:val="none"/>
        </w:rPr>
        <w:t>磋商授权委托</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52" w:name="_Toc25490"/>
      <w:bookmarkStart w:id="53" w:name="_Toc24336"/>
      <w:r>
        <w:rPr>
          <w:rFonts w:hint="eastAsia" w:ascii="Times New Roman" w:hAnsi="Times New Roman" w:cs="宋体"/>
          <w:color w:val="auto"/>
          <w:highlight w:val="none"/>
        </w:rPr>
        <w:t>供应商的法定代表人可以委托代表人处理磋商事务。</w:t>
      </w:r>
      <w:bookmarkEnd w:id="52"/>
      <w:bookmarkEnd w:id="53"/>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54" w:name="_Toc23029"/>
      <w:bookmarkStart w:id="55" w:name="_Toc777"/>
      <w:r>
        <w:rPr>
          <w:color w:val="auto"/>
          <w:highlight w:val="none"/>
        </w:rPr>
        <w:t>委托代表人的资格条件</w:t>
      </w:r>
      <w:r>
        <w:rPr>
          <w:rFonts w:hint="eastAsia" w:ascii="Times New Roman" w:hAnsi="Times New Roman" w:cs="宋体"/>
          <w:color w:val="auto"/>
          <w:highlight w:val="none"/>
        </w:rPr>
        <w:t>：见供应商须知前附表。</w:t>
      </w:r>
      <w:bookmarkEnd w:id="54"/>
      <w:bookmarkEnd w:id="55"/>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56" w:name="_Toc29689"/>
      <w:bookmarkStart w:id="57" w:name="_Toc18810"/>
      <w:r>
        <w:rPr>
          <w:rFonts w:hint="eastAsia" w:ascii="Times New Roman" w:hAnsi="Times New Roman" w:cs="宋体"/>
          <w:color w:val="auto"/>
          <w:highlight w:val="none"/>
        </w:rPr>
        <w:t>委托代表人的代理权限：见供应商须知前附表。</w:t>
      </w:r>
      <w:bookmarkEnd w:id="56"/>
      <w:bookmarkEnd w:id="57"/>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58" w:name="_Toc5462"/>
      <w:bookmarkStart w:id="59" w:name="_Toc29310"/>
      <w:r>
        <w:rPr>
          <w:rFonts w:hint="eastAsia" w:ascii="Times New Roman" w:hAnsi="Times New Roman" w:cs="宋体"/>
          <w:color w:val="auto"/>
          <w:highlight w:val="none"/>
        </w:rPr>
        <w:t>委托代表人须持有法定代表人出具的符合格式要求的《授权委托书》（格式见附件）。</w:t>
      </w:r>
      <w:bookmarkEnd w:id="58"/>
      <w:bookmarkEnd w:id="59"/>
    </w:p>
    <w:p>
      <w:pPr>
        <w:numPr>
          <w:ilvl w:val="0"/>
          <w:numId w:val="4"/>
        </w:numPr>
        <w:spacing w:line="360" w:lineRule="auto"/>
        <w:rPr>
          <w:b/>
          <w:bCs/>
          <w:color w:val="auto"/>
          <w:sz w:val="24"/>
          <w:szCs w:val="24"/>
          <w:highlight w:val="none"/>
        </w:rPr>
      </w:pPr>
      <w:r>
        <w:rPr>
          <w:rFonts w:hint="eastAsia"/>
          <w:b/>
          <w:bCs/>
          <w:color w:val="auto"/>
          <w:sz w:val="24"/>
          <w:szCs w:val="24"/>
          <w:highlight w:val="none"/>
        </w:rPr>
        <w:t>磋商费用</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60" w:name="_Toc28210"/>
      <w:bookmarkStart w:id="61" w:name="_Toc21373"/>
      <w:r>
        <w:rPr>
          <w:rFonts w:hint="eastAsia" w:ascii="Times New Roman" w:hAnsi="Times New Roman" w:cs="宋体"/>
          <w:color w:val="auto"/>
          <w:highlight w:val="none"/>
        </w:rPr>
        <w:t>供应商自行承担参加磋商采购的全部费用。</w:t>
      </w:r>
      <w:bookmarkEnd w:id="60"/>
      <w:bookmarkEnd w:id="61"/>
    </w:p>
    <w:p>
      <w:pPr>
        <w:numPr>
          <w:ilvl w:val="0"/>
          <w:numId w:val="3"/>
        </w:numPr>
        <w:tabs>
          <w:tab w:val="left" w:pos="540"/>
          <w:tab w:val="left" w:pos="720"/>
        </w:tabs>
        <w:spacing w:before="100" w:beforeAutospacing="1" w:after="100" w:afterAutospacing="1" w:line="360" w:lineRule="auto"/>
        <w:ind w:left="720" w:hanging="720"/>
        <w:outlineLvl w:val="1"/>
        <w:rPr>
          <w:b/>
          <w:bCs/>
          <w:color w:val="auto"/>
          <w:sz w:val="36"/>
          <w:szCs w:val="36"/>
          <w:highlight w:val="none"/>
        </w:rPr>
      </w:pPr>
      <w:bookmarkStart w:id="62" w:name="_Toc29350"/>
      <w:bookmarkStart w:id="63" w:name="_Toc25550"/>
      <w:bookmarkStart w:id="64" w:name="_Toc25294"/>
      <w:bookmarkStart w:id="65" w:name="_Toc477188632"/>
      <w:bookmarkStart w:id="66" w:name="_Toc19248"/>
      <w:r>
        <w:rPr>
          <w:rFonts w:hint="eastAsia"/>
          <w:b/>
          <w:bCs/>
          <w:color w:val="auto"/>
          <w:sz w:val="36"/>
          <w:szCs w:val="36"/>
          <w:highlight w:val="none"/>
        </w:rPr>
        <w:t>磋商文件</w:t>
      </w:r>
      <w:bookmarkEnd w:id="62"/>
      <w:bookmarkEnd w:id="63"/>
      <w:bookmarkEnd w:id="64"/>
      <w:bookmarkEnd w:id="65"/>
      <w:bookmarkEnd w:id="66"/>
    </w:p>
    <w:p>
      <w:pPr>
        <w:numPr>
          <w:ilvl w:val="0"/>
          <w:numId w:val="4"/>
        </w:numPr>
        <w:spacing w:line="360" w:lineRule="auto"/>
        <w:rPr>
          <w:b/>
          <w:bCs/>
          <w:color w:val="auto"/>
          <w:sz w:val="24"/>
          <w:szCs w:val="24"/>
          <w:highlight w:val="none"/>
        </w:rPr>
      </w:pPr>
      <w:r>
        <w:rPr>
          <w:rFonts w:hint="eastAsia"/>
          <w:b/>
          <w:bCs/>
          <w:color w:val="auto"/>
          <w:sz w:val="24"/>
          <w:szCs w:val="24"/>
          <w:highlight w:val="none"/>
        </w:rPr>
        <w:t>磋商文件的构成</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67" w:name="_Toc25139"/>
      <w:bookmarkStart w:id="68" w:name="_Toc671"/>
      <w:r>
        <w:rPr>
          <w:rFonts w:hint="eastAsia" w:ascii="Times New Roman" w:hAnsi="Times New Roman" w:cs="宋体"/>
          <w:color w:val="auto"/>
          <w:highlight w:val="none"/>
        </w:rPr>
        <w:t>磋商文件包括以下内容：</w:t>
      </w:r>
      <w:bookmarkEnd w:id="67"/>
      <w:bookmarkEnd w:id="68"/>
    </w:p>
    <w:p>
      <w:pPr>
        <w:spacing w:line="360" w:lineRule="auto"/>
        <w:ind w:firstLine="480" w:firstLineChars="200"/>
        <w:rPr>
          <w:color w:val="auto"/>
          <w:sz w:val="24"/>
          <w:szCs w:val="24"/>
          <w:highlight w:val="none"/>
        </w:rPr>
      </w:pPr>
      <w:r>
        <w:rPr>
          <w:rFonts w:hint="eastAsia"/>
          <w:color w:val="auto"/>
          <w:sz w:val="24"/>
          <w:szCs w:val="24"/>
          <w:highlight w:val="none"/>
        </w:rPr>
        <w:t>（一）采购邀请；</w:t>
      </w:r>
    </w:p>
    <w:p>
      <w:pPr>
        <w:spacing w:line="360" w:lineRule="auto"/>
        <w:ind w:firstLine="480" w:firstLineChars="200"/>
        <w:rPr>
          <w:color w:val="auto"/>
          <w:sz w:val="24"/>
          <w:szCs w:val="24"/>
          <w:highlight w:val="none"/>
        </w:rPr>
      </w:pPr>
      <w:r>
        <w:rPr>
          <w:rFonts w:hint="eastAsia"/>
          <w:color w:val="auto"/>
          <w:sz w:val="24"/>
          <w:szCs w:val="24"/>
          <w:highlight w:val="none"/>
        </w:rPr>
        <w:t>（二）供应商须知；</w:t>
      </w:r>
    </w:p>
    <w:p>
      <w:pPr>
        <w:spacing w:line="360" w:lineRule="auto"/>
        <w:ind w:firstLine="480" w:firstLineChars="200"/>
        <w:rPr>
          <w:color w:val="auto"/>
          <w:sz w:val="24"/>
          <w:szCs w:val="24"/>
          <w:highlight w:val="none"/>
        </w:rPr>
      </w:pPr>
      <w:r>
        <w:rPr>
          <w:rFonts w:hint="eastAsia"/>
          <w:color w:val="auto"/>
          <w:sz w:val="24"/>
          <w:szCs w:val="24"/>
          <w:highlight w:val="none"/>
        </w:rPr>
        <w:t>（三）采购需求；</w:t>
      </w:r>
    </w:p>
    <w:p>
      <w:pPr>
        <w:spacing w:line="360" w:lineRule="auto"/>
        <w:ind w:firstLine="480" w:firstLineChars="200"/>
        <w:rPr>
          <w:color w:val="auto"/>
          <w:sz w:val="24"/>
          <w:szCs w:val="24"/>
          <w:highlight w:val="none"/>
        </w:rPr>
      </w:pPr>
      <w:r>
        <w:rPr>
          <w:rFonts w:hint="eastAsia"/>
          <w:color w:val="auto"/>
          <w:sz w:val="24"/>
          <w:szCs w:val="24"/>
          <w:highlight w:val="none"/>
        </w:rPr>
        <w:t>（四）采购合同；</w:t>
      </w:r>
    </w:p>
    <w:p>
      <w:pPr>
        <w:spacing w:line="360" w:lineRule="auto"/>
        <w:ind w:firstLine="480" w:firstLineChars="200"/>
        <w:rPr>
          <w:color w:val="auto"/>
          <w:sz w:val="24"/>
          <w:szCs w:val="24"/>
          <w:highlight w:val="none"/>
        </w:rPr>
      </w:pPr>
      <w:r>
        <w:rPr>
          <w:rFonts w:hint="eastAsia"/>
          <w:color w:val="auto"/>
          <w:sz w:val="24"/>
          <w:szCs w:val="24"/>
          <w:highlight w:val="none"/>
        </w:rPr>
        <w:t>（五）评审程序、方法和标准；</w:t>
      </w:r>
    </w:p>
    <w:p>
      <w:pPr>
        <w:spacing w:line="360" w:lineRule="auto"/>
        <w:ind w:firstLine="480" w:firstLineChars="200"/>
        <w:rPr>
          <w:color w:val="auto"/>
          <w:sz w:val="24"/>
          <w:szCs w:val="24"/>
          <w:highlight w:val="none"/>
        </w:rPr>
      </w:pPr>
      <w:r>
        <w:rPr>
          <w:rFonts w:hint="eastAsia"/>
          <w:color w:val="auto"/>
          <w:sz w:val="24"/>
          <w:szCs w:val="24"/>
          <w:highlight w:val="none"/>
        </w:rPr>
        <w:t>（六）响应文件格式。</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69" w:name="_Toc14799"/>
      <w:bookmarkStart w:id="70" w:name="_Toc9510"/>
      <w:r>
        <w:rPr>
          <w:rFonts w:hint="eastAsia" w:ascii="Times New Roman" w:hAnsi="Times New Roman" w:cs="宋体"/>
          <w:color w:val="auto"/>
          <w:highlight w:val="none"/>
        </w:rPr>
        <w:t>供应商应当仔细阅读和正确理解磋商文件中陈述的所有事项，遵循格式文件的规定和签署要求。</w:t>
      </w:r>
      <w:bookmarkEnd w:id="69"/>
      <w:bookmarkEnd w:id="70"/>
    </w:p>
    <w:p>
      <w:pPr>
        <w:numPr>
          <w:ilvl w:val="0"/>
          <w:numId w:val="4"/>
        </w:numPr>
        <w:spacing w:line="360" w:lineRule="auto"/>
        <w:rPr>
          <w:b/>
          <w:bCs/>
          <w:color w:val="auto"/>
          <w:sz w:val="24"/>
          <w:szCs w:val="24"/>
          <w:highlight w:val="none"/>
        </w:rPr>
      </w:pPr>
      <w:r>
        <w:rPr>
          <w:rFonts w:hint="eastAsia"/>
          <w:b/>
          <w:bCs/>
          <w:color w:val="auto"/>
          <w:sz w:val="24"/>
          <w:szCs w:val="24"/>
          <w:highlight w:val="none"/>
        </w:rPr>
        <w:t>磋商文件的澄清和修改</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71" w:name="_Toc4229"/>
      <w:bookmarkStart w:id="72" w:name="_Toc20103"/>
      <w:r>
        <w:rPr>
          <w:rFonts w:hint="eastAsia" w:ascii="Times New Roman" w:hAnsi="Times New Roman" w:cs="宋体"/>
          <w:color w:val="auto"/>
          <w:highlight w:val="none"/>
        </w:rPr>
        <w:t>提交首次响应文件截止之日前，采购人或者磋商小组可以对已发出的磋商文件进行必要的澄清或者修改，澄清或者修改的内容作为磋商文件的组成部分。澄清或者修改的内容可能影响响应文件编制的，采购人应当在提交首次响应文件截止时间至少</w:t>
      </w:r>
      <w:r>
        <w:rPr>
          <w:rFonts w:ascii="Times New Roman" w:hAnsi="Times New Roman" w:cs="Times New Roman"/>
          <w:color w:val="auto"/>
          <w:highlight w:val="none"/>
        </w:rPr>
        <w:t>5</w:t>
      </w:r>
      <w:r>
        <w:rPr>
          <w:rFonts w:hint="eastAsia" w:ascii="Times New Roman" w:hAnsi="Times New Roman" w:cs="宋体"/>
          <w:color w:val="auto"/>
          <w:highlight w:val="none"/>
        </w:rPr>
        <w:t>日前，以书面形式通知所有获取磋商文件的供应商；不足</w:t>
      </w:r>
      <w:r>
        <w:rPr>
          <w:rFonts w:ascii="Times New Roman" w:hAnsi="Times New Roman" w:cs="Times New Roman"/>
          <w:color w:val="auto"/>
          <w:highlight w:val="none"/>
        </w:rPr>
        <w:t>5</w:t>
      </w:r>
      <w:r>
        <w:rPr>
          <w:rFonts w:hint="eastAsia" w:ascii="Times New Roman" w:hAnsi="Times New Roman" w:cs="宋体"/>
          <w:color w:val="auto"/>
          <w:highlight w:val="none"/>
        </w:rPr>
        <w:t>日的，采购人应当顺延提交首次响应文件截止时间。</w:t>
      </w:r>
      <w:bookmarkEnd w:id="71"/>
      <w:bookmarkEnd w:id="72"/>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73" w:name="_Toc7462"/>
      <w:bookmarkStart w:id="74" w:name="_Toc12806"/>
      <w:r>
        <w:rPr>
          <w:rFonts w:hint="eastAsia" w:ascii="Times New Roman" w:hAnsi="Times New Roman" w:cs="宋体"/>
          <w:color w:val="auto"/>
          <w:highlight w:val="none"/>
        </w:rPr>
        <w:t>澄清或者修改是磋商文件的组成部分。澄清或者修改以公告的方式发布。</w:t>
      </w:r>
      <w:bookmarkEnd w:id="73"/>
      <w:bookmarkEnd w:id="74"/>
    </w:p>
    <w:p>
      <w:pPr>
        <w:numPr>
          <w:ilvl w:val="0"/>
          <w:numId w:val="4"/>
        </w:numPr>
        <w:spacing w:line="360" w:lineRule="auto"/>
        <w:rPr>
          <w:b/>
          <w:bCs/>
          <w:color w:val="auto"/>
          <w:sz w:val="24"/>
          <w:szCs w:val="24"/>
          <w:highlight w:val="none"/>
        </w:rPr>
      </w:pPr>
      <w:r>
        <w:rPr>
          <w:rFonts w:hint="eastAsia"/>
          <w:b/>
          <w:bCs/>
          <w:color w:val="auto"/>
          <w:sz w:val="24"/>
          <w:szCs w:val="24"/>
          <w:highlight w:val="none"/>
        </w:rPr>
        <w:t>现场考察和答疑会</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75" w:name="_Toc11441"/>
      <w:bookmarkStart w:id="76" w:name="_Toc19781"/>
      <w:r>
        <w:rPr>
          <w:rFonts w:hint="eastAsia" w:ascii="Times New Roman" w:hAnsi="Times New Roman" w:cs="宋体"/>
          <w:color w:val="auto"/>
          <w:highlight w:val="none"/>
        </w:rPr>
        <w:t>现场考察和答疑会：见供应商须知前附表。</w:t>
      </w:r>
      <w:bookmarkEnd w:id="75"/>
      <w:bookmarkEnd w:id="76"/>
    </w:p>
    <w:p>
      <w:pPr>
        <w:numPr>
          <w:ilvl w:val="0"/>
          <w:numId w:val="3"/>
        </w:numPr>
        <w:tabs>
          <w:tab w:val="left" w:pos="540"/>
          <w:tab w:val="left" w:pos="720"/>
        </w:tabs>
        <w:spacing w:before="100" w:beforeAutospacing="1" w:after="100" w:afterAutospacing="1" w:line="360" w:lineRule="auto"/>
        <w:ind w:left="720" w:hanging="720"/>
        <w:outlineLvl w:val="1"/>
        <w:rPr>
          <w:b/>
          <w:bCs/>
          <w:color w:val="auto"/>
          <w:sz w:val="36"/>
          <w:szCs w:val="36"/>
          <w:highlight w:val="none"/>
        </w:rPr>
      </w:pPr>
      <w:bookmarkStart w:id="77" w:name="_Toc477188633"/>
      <w:bookmarkStart w:id="78" w:name="_Toc14539"/>
      <w:bookmarkStart w:id="79" w:name="_Toc9079"/>
      <w:bookmarkStart w:id="80" w:name="_Toc981"/>
      <w:bookmarkStart w:id="81" w:name="_Toc27184"/>
      <w:r>
        <w:rPr>
          <w:rFonts w:hint="eastAsia"/>
          <w:b/>
          <w:bCs/>
          <w:color w:val="auto"/>
          <w:sz w:val="36"/>
          <w:szCs w:val="36"/>
          <w:highlight w:val="none"/>
        </w:rPr>
        <w:t>响应文件</w:t>
      </w:r>
      <w:bookmarkEnd w:id="77"/>
      <w:bookmarkEnd w:id="78"/>
      <w:bookmarkEnd w:id="79"/>
      <w:bookmarkEnd w:id="80"/>
      <w:bookmarkEnd w:id="81"/>
    </w:p>
    <w:p>
      <w:pPr>
        <w:numPr>
          <w:ilvl w:val="0"/>
          <w:numId w:val="4"/>
        </w:numPr>
        <w:spacing w:line="360" w:lineRule="auto"/>
        <w:rPr>
          <w:b/>
          <w:bCs/>
          <w:color w:val="auto"/>
          <w:sz w:val="24"/>
          <w:szCs w:val="24"/>
          <w:highlight w:val="none"/>
        </w:rPr>
      </w:pPr>
      <w:r>
        <w:rPr>
          <w:rFonts w:hint="eastAsia"/>
          <w:b/>
          <w:bCs/>
          <w:color w:val="auto"/>
          <w:sz w:val="24"/>
          <w:szCs w:val="24"/>
          <w:highlight w:val="none"/>
        </w:rPr>
        <w:t>响应文件计量单位和使用文字</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82" w:name="_Toc7544"/>
      <w:bookmarkStart w:id="83" w:name="_Toc15785"/>
      <w:r>
        <w:rPr>
          <w:rFonts w:hint="eastAsia" w:ascii="Times New Roman" w:hAnsi="Times New Roman" w:cs="宋体"/>
          <w:color w:val="auto"/>
          <w:highlight w:val="none"/>
        </w:rPr>
        <w:t>所有计量均采用中华人民共和国法定计量单位。</w:t>
      </w:r>
      <w:bookmarkEnd w:id="82"/>
      <w:bookmarkEnd w:id="83"/>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84" w:name="_Toc26867"/>
      <w:bookmarkStart w:id="85" w:name="_Toc8709"/>
      <w:r>
        <w:rPr>
          <w:rFonts w:hint="eastAsia" w:ascii="Times New Roman" w:hAnsi="Times New Roman" w:cs="宋体"/>
          <w:color w:val="auto"/>
          <w:highlight w:val="none"/>
        </w:rPr>
        <w:t>响应文件使用中文编制。响应文件部分内容必须使用其他文字的，应当附有该文字的中文译本。供应商承担未附中文译本或中文译本不准确而引起不利后果。</w:t>
      </w:r>
      <w:bookmarkEnd w:id="84"/>
      <w:bookmarkEnd w:id="85"/>
    </w:p>
    <w:p>
      <w:pPr>
        <w:numPr>
          <w:ilvl w:val="0"/>
          <w:numId w:val="4"/>
        </w:numPr>
        <w:spacing w:line="360" w:lineRule="auto"/>
        <w:rPr>
          <w:b/>
          <w:bCs/>
          <w:color w:val="auto"/>
          <w:sz w:val="24"/>
          <w:szCs w:val="24"/>
          <w:highlight w:val="none"/>
        </w:rPr>
      </w:pPr>
      <w:r>
        <w:rPr>
          <w:rFonts w:hint="eastAsia"/>
          <w:b/>
          <w:bCs/>
          <w:color w:val="auto"/>
          <w:sz w:val="24"/>
          <w:szCs w:val="24"/>
          <w:highlight w:val="none"/>
        </w:rPr>
        <w:t>联合体</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86" w:name="_Toc7344"/>
      <w:bookmarkStart w:id="87" w:name="_Toc78"/>
      <w:r>
        <w:rPr>
          <w:rFonts w:hint="eastAsia" w:ascii="Times New Roman" w:hAnsi="Times New Roman" w:cs="宋体"/>
          <w:color w:val="auto"/>
          <w:highlight w:val="none"/>
        </w:rPr>
        <w:t>不接受供应商组成联合体。</w:t>
      </w:r>
      <w:bookmarkEnd w:id="86"/>
      <w:bookmarkEnd w:id="87"/>
    </w:p>
    <w:p>
      <w:pPr>
        <w:numPr>
          <w:ilvl w:val="0"/>
          <w:numId w:val="4"/>
        </w:numPr>
        <w:spacing w:line="360" w:lineRule="auto"/>
        <w:rPr>
          <w:b/>
          <w:bCs/>
          <w:color w:val="auto"/>
          <w:sz w:val="24"/>
          <w:szCs w:val="24"/>
          <w:highlight w:val="none"/>
        </w:rPr>
      </w:pPr>
      <w:r>
        <w:rPr>
          <w:rFonts w:hint="eastAsia"/>
          <w:b/>
          <w:bCs/>
          <w:color w:val="auto"/>
          <w:sz w:val="24"/>
          <w:szCs w:val="24"/>
          <w:highlight w:val="none"/>
        </w:rPr>
        <w:t>响应文件的组成</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88" w:name="_Toc3144"/>
      <w:bookmarkStart w:id="89" w:name="_Toc30433"/>
      <w:r>
        <w:rPr>
          <w:rFonts w:hint="eastAsia" w:ascii="Times New Roman" w:hAnsi="Times New Roman" w:cs="宋体"/>
          <w:color w:val="auto"/>
          <w:highlight w:val="none"/>
        </w:rPr>
        <w:t>响应文件</w:t>
      </w:r>
      <w:bookmarkEnd w:id="88"/>
      <w:bookmarkEnd w:id="89"/>
    </w:p>
    <w:p>
      <w:pPr>
        <w:numPr>
          <w:ilvl w:val="2"/>
          <w:numId w:val="4"/>
        </w:numPr>
        <w:tabs>
          <w:tab w:val="left" w:pos="1365"/>
        </w:tabs>
        <w:spacing w:line="360" w:lineRule="auto"/>
        <w:ind w:left="0" w:firstLine="720" w:firstLineChars="300"/>
        <w:rPr>
          <w:color w:val="auto"/>
          <w:sz w:val="24"/>
          <w:szCs w:val="24"/>
          <w:highlight w:val="none"/>
        </w:rPr>
      </w:pPr>
      <w:r>
        <w:rPr>
          <w:rFonts w:hint="eastAsia"/>
          <w:color w:val="auto"/>
          <w:sz w:val="24"/>
          <w:szCs w:val="24"/>
          <w:highlight w:val="none"/>
        </w:rPr>
        <w:t>磋商报价</w:t>
      </w:r>
      <w:r>
        <w:rPr>
          <w:color w:val="auto"/>
          <w:sz w:val="24"/>
          <w:szCs w:val="24"/>
          <w:highlight w:val="none"/>
        </w:rPr>
        <w:t>(</w:t>
      </w:r>
      <w:r>
        <w:rPr>
          <w:rFonts w:hint="eastAsia"/>
          <w:color w:val="auto"/>
          <w:sz w:val="24"/>
          <w:szCs w:val="24"/>
          <w:highlight w:val="none"/>
        </w:rPr>
        <w:t>详见磋商文件第六部分响应文件格式</w:t>
      </w:r>
      <w:r>
        <w:rPr>
          <w:color w:val="auto"/>
          <w:sz w:val="24"/>
          <w:szCs w:val="24"/>
          <w:highlight w:val="none"/>
        </w:rPr>
        <w:t>)</w:t>
      </w:r>
      <w:r>
        <w:rPr>
          <w:rFonts w:hint="eastAsia"/>
          <w:color w:val="auto"/>
          <w:sz w:val="24"/>
          <w:szCs w:val="24"/>
          <w:highlight w:val="none"/>
        </w:rPr>
        <w:t>；</w:t>
      </w:r>
    </w:p>
    <w:p>
      <w:pPr>
        <w:numPr>
          <w:ilvl w:val="2"/>
          <w:numId w:val="4"/>
        </w:numPr>
        <w:tabs>
          <w:tab w:val="left" w:pos="1365"/>
        </w:tabs>
        <w:spacing w:line="360" w:lineRule="auto"/>
        <w:ind w:left="0" w:firstLine="720" w:firstLineChars="300"/>
        <w:rPr>
          <w:color w:val="auto"/>
          <w:sz w:val="24"/>
          <w:szCs w:val="24"/>
          <w:highlight w:val="none"/>
        </w:rPr>
      </w:pPr>
      <w:r>
        <w:rPr>
          <w:rFonts w:hint="eastAsia"/>
          <w:color w:val="auto"/>
          <w:sz w:val="24"/>
          <w:szCs w:val="24"/>
          <w:highlight w:val="none"/>
        </w:rPr>
        <w:t>商务响应文件</w:t>
      </w:r>
      <w:r>
        <w:rPr>
          <w:color w:val="auto"/>
          <w:sz w:val="24"/>
          <w:szCs w:val="24"/>
          <w:highlight w:val="none"/>
        </w:rPr>
        <w:t xml:space="preserve"> (</w:t>
      </w:r>
      <w:r>
        <w:rPr>
          <w:rFonts w:hint="eastAsia"/>
          <w:color w:val="auto"/>
          <w:sz w:val="24"/>
          <w:szCs w:val="24"/>
          <w:highlight w:val="none"/>
        </w:rPr>
        <w:t>详见磋商文件第六部分响应文件格式</w:t>
      </w:r>
      <w:r>
        <w:rPr>
          <w:color w:val="auto"/>
          <w:sz w:val="24"/>
          <w:szCs w:val="24"/>
          <w:highlight w:val="none"/>
        </w:rPr>
        <w:t>)</w:t>
      </w:r>
      <w:r>
        <w:rPr>
          <w:rFonts w:hint="eastAsia"/>
          <w:color w:val="auto"/>
          <w:sz w:val="24"/>
          <w:szCs w:val="24"/>
          <w:highlight w:val="none"/>
        </w:rPr>
        <w:t>；</w:t>
      </w:r>
    </w:p>
    <w:p>
      <w:pPr>
        <w:numPr>
          <w:ilvl w:val="2"/>
          <w:numId w:val="4"/>
        </w:numPr>
        <w:tabs>
          <w:tab w:val="left" w:pos="1365"/>
        </w:tabs>
        <w:spacing w:line="360" w:lineRule="auto"/>
        <w:ind w:left="0" w:firstLine="720" w:firstLineChars="300"/>
        <w:rPr>
          <w:color w:val="auto"/>
          <w:sz w:val="24"/>
          <w:szCs w:val="24"/>
          <w:highlight w:val="none"/>
        </w:rPr>
      </w:pPr>
      <w:r>
        <w:rPr>
          <w:rFonts w:hint="eastAsia"/>
          <w:color w:val="auto"/>
          <w:sz w:val="24"/>
          <w:szCs w:val="24"/>
          <w:highlight w:val="none"/>
        </w:rPr>
        <w:t>技术响应文件</w:t>
      </w:r>
      <w:r>
        <w:rPr>
          <w:color w:val="auto"/>
          <w:sz w:val="24"/>
          <w:szCs w:val="24"/>
          <w:highlight w:val="none"/>
        </w:rPr>
        <w:t xml:space="preserve"> (</w:t>
      </w:r>
      <w:r>
        <w:rPr>
          <w:rFonts w:hint="eastAsia"/>
          <w:color w:val="auto"/>
          <w:sz w:val="24"/>
          <w:szCs w:val="24"/>
          <w:highlight w:val="none"/>
        </w:rPr>
        <w:t>详见磋商文件第六部分响应文件格式</w:t>
      </w:r>
      <w:r>
        <w:rPr>
          <w:color w:val="auto"/>
          <w:sz w:val="24"/>
          <w:szCs w:val="24"/>
          <w:highlight w:val="none"/>
        </w:rPr>
        <w:t>)</w:t>
      </w:r>
      <w:r>
        <w:rPr>
          <w:rFonts w:hint="eastAsia"/>
          <w:color w:val="auto"/>
          <w:sz w:val="24"/>
          <w:szCs w:val="24"/>
          <w:highlight w:val="none"/>
        </w:rPr>
        <w:t>；</w:t>
      </w:r>
    </w:p>
    <w:p>
      <w:pPr>
        <w:numPr>
          <w:ilvl w:val="2"/>
          <w:numId w:val="4"/>
        </w:numPr>
        <w:tabs>
          <w:tab w:val="left" w:pos="1365"/>
        </w:tabs>
        <w:spacing w:line="360" w:lineRule="auto"/>
        <w:ind w:left="0" w:firstLine="720" w:firstLineChars="300"/>
        <w:rPr>
          <w:color w:val="auto"/>
          <w:sz w:val="24"/>
          <w:szCs w:val="24"/>
          <w:highlight w:val="none"/>
        </w:rPr>
      </w:pPr>
      <w:r>
        <w:rPr>
          <w:rFonts w:hint="eastAsia"/>
          <w:color w:val="auto"/>
          <w:sz w:val="24"/>
          <w:szCs w:val="24"/>
          <w:highlight w:val="none"/>
        </w:rPr>
        <w:t>供应商认为需加以说明的其他内容；</w:t>
      </w:r>
    </w:p>
    <w:p>
      <w:pPr>
        <w:numPr>
          <w:ilvl w:val="0"/>
          <w:numId w:val="4"/>
        </w:numPr>
        <w:spacing w:line="360" w:lineRule="auto"/>
        <w:rPr>
          <w:b/>
          <w:bCs/>
          <w:color w:val="auto"/>
          <w:sz w:val="24"/>
          <w:szCs w:val="24"/>
          <w:highlight w:val="none"/>
        </w:rPr>
      </w:pPr>
      <w:r>
        <w:rPr>
          <w:rFonts w:hint="eastAsia"/>
          <w:b/>
          <w:bCs/>
          <w:color w:val="auto"/>
          <w:sz w:val="24"/>
          <w:szCs w:val="24"/>
          <w:highlight w:val="none"/>
        </w:rPr>
        <w:t>响应文件编制说明</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90" w:name="_Toc8259"/>
      <w:bookmarkStart w:id="91" w:name="_Toc22788"/>
      <w:r>
        <w:rPr>
          <w:rFonts w:hint="eastAsia" w:ascii="Times New Roman" w:hAnsi="Times New Roman" w:cs="宋体"/>
          <w:color w:val="auto"/>
          <w:highlight w:val="none"/>
        </w:rPr>
        <w:t>响应文件必须按照磋商文件要求的统一格式顺序编写</w:t>
      </w:r>
      <w:r>
        <w:rPr>
          <w:rFonts w:hint="eastAsia" w:ascii="Times New Roman" w:hAnsi="Times New Roman" w:cs="宋体"/>
          <w:b/>
          <w:bCs/>
          <w:color w:val="auto"/>
          <w:highlight w:val="none"/>
        </w:rPr>
        <w:t>。要求响应文件全部内容制作详细的目录（包括页码的编制），为评审时查询作索引。</w:t>
      </w:r>
      <w:bookmarkEnd w:id="90"/>
      <w:bookmarkEnd w:id="91"/>
    </w:p>
    <w:p>
      <w:pPr>
        <w:numPr>
          <w:ilvl w:val="0"/>
          <w:numId w:val="4"/>
        </w:numPr>
        <w:spacing w:line="360" w:lineRule="auto"/>
        <w:rPr>
          <w:b/>
          <w:bCs/>
          <w:color w:val="auto"/>
          <w:sz w:val="24"/>
          <w:szCs w:val="24"/>
          <w:highlight w:val="none"/>
        </w:rPr>
      </w:pPr>
      <w:r>
        <w:rPr>
          <w:rFonts w:hint="eastAsia"/>
          <w:b/>
          <w:bCs/>
          <w:color w:val="auto"/>
          <w:sz w:val="24"/>
          <w:szCs w:val="24"/>
          <w:highlight w:val="none"/>
        </w:rPr>
        <w:t>磋商报价</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92" w:name="_Toc12614"/>
      <w:bookmarkStart w:id="93" w:name="_Toc29610"/>
      <w:r>
        <w:rPr>
          <w:rFonts w:hint="eastAsia" w:ascii="Times New Roman" w:hAnsi="Times New Roman" w:cs="宋体"/>
          <w:color w:val="auto"/>
          <w:highlight w:val="none"/>
        </w:rPr>
        <w:t>磋商报价可参照国家现行的有关规定，供应商应自行承担风险并考虑市场的综合因素及自身的优势和能力，采取竞争性报价。</w:t>
      </w:r>
      <w:bookmarkEnd w:id="92"/>
      <w:bookmarkEnd w:id="93"/>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94" w:name="_Toc25732"/>
      <w:bookmarkStart w:id="95" w:name="_Toc31700"/>
      <w:r>
        <w:rPr>
          <w:rFonts w:hint="eastAsia" w:ascii="宋体" w:hAnsi="宋体" w:cs="宋体"/>
          <w:bCs/>
          <w:color w:val="auto"/>
          <w:highlight w:val="none"/>
        </w:rPr>
        <w:t>供应商报价应包括的费用：见供应商须知前附表</w:t>
      </w:r>
      <w:r>
        <w:rPr>
          <w:rFonts w:hint="eastAsia" w:ascii="Times New Roman" w:hAnsi="Times New Roman" w:cs="宋体"/>
          <w:color w:val="auto"/>
          <w:highlight w:val="none"/>
        </w:rPr>
        <w:t>。</w:t>
      </w:r>
      <w:bookmarkEnd w:id="94"/>
      <w:bookmarkEnd w:id="95"/>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96" w:name="_Toc13852"/>
      <w:bookmarkStart w:id="97" w:name="_Toc949"/>
      <w:r>
        <w:rPr>
          <w:rFonts w:hint="eastAsia" w:ascii="Times New Roman" w:hAnsi="Times New Roman" w:cs="宋体"/>
          <w:color w:val="auto"/>
          <w:highlight w:val="none"/>
        </w:rPr>
        <w:t>除了项目特殊要求，投标人每种服务只允许有一个报价，并且在合同履行过程中是固定不变的，任何有选择或可调整的报价将不予接受，并按无效投标处理（实质性要求）。</w:t>
      </w:r>
      <w:bookmarkEnd w:id="96"/>
      <w:bookmarkEnd w:id="97"/>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98" w:name="_Toc15770"/>
      <w:bookmarkStart w:id="99" w:name="_Toc30739"/>
      <w:r>
        <w:rPr>
          <w:rFonts w:hint="eastAsia" w:ascii="Times New Roman" w:hAnsi="Times New Roman" w:cs="宋体"/>
          <w:color w:val="auto"/>
          <w:highlight w:val="none"/>
        </w:rPr>
        <w:t>响应性文件中的报价一览表为第一轮报价；谈判结束时的第二轮报价为最后报价。</w:t>
      </w:r>
      <w:bookmarkEnd w:id="98"/>
      <w:bookmarkEnd w:id="99"/>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00" w:name="_Toc28569"/>
      <w:bookmarkStart w:id="101" w:name="_Toc14222"/>
      <w:r>
        <w:rPr>
          <w:rFonts w:hint="eastAsia" w:ascii="Times New Roman" w:hAnsi="Times New Roman" w:cs="宋体"/>
          <w:color w:val="auto"/>
          <w:highlight w:val="none"/>
        </w:rPr>
        <w:t>报价全部采用人民币表示。</w:t>
      </w:r>
      <w:bookmarkEnd w:id="100"/>
      <w:bookmarkEnd w:id="101"/>
    </w:p>
    <w:p>
      <w:pPr>
        <w:pStyle w:val="5"/>
        <w:numPr>
          <w:ilvl w:val="1"/>
          <w:numId w:val="4"/>
        </w:numPr>
        <w:tabs>
          <w:tab w:val="left" w:pos="1050"/>
          <w:tab w:val="clear" w:pos="992"/>
        </w:tabs>
        <w:ind w:left="0" w:firstLine="482" w:firstLineChars="200"/>
        <w:rPr>
          <w:rFonts w:ascii="Times New Roman" w:hAnsi="Times New Roman" w:cs="Times New Roman"/>
          <w:b/>
          <w:bCs/>
          <w:color w:val="auto"/>
          <w:highlight w:val="none"/>
        </w:rPr>
      </w:pPr>
      <w:bookmarkStart w:id="102" w:name="_Toc15898"/>
      <w:bookmarkStart w:id="103" w:name="_Toc27605"/>
      <w:r>
        <w:rPr>
          <w:rFonts w:hint="eastAsia" w:ascii="Times New Roman" w:hAnsi="Times New Roman" w:cs="宋体"/>
          <w:b/>
          <w:bCs/>
          <w:color w:val="auto"/>
          <w:highlight w:val="none"/>
        </w:rPr>
        <w:t>超出采购预算（最高限价）的报价为无效报价。</w:t>
      </w:r>
      <w:bookmarkEnd w:id="102"/>
      <w:bookmarkEnd w:id="103"/>
    </w:p>
    <w:p>
      <w:pPr>
        <w:numPr>
          <w:ilvl w:val="0"/>
          <w:numId w:val="4"/>
        </w:numPr>
        <w:spacing w:line="360" w:lineRule="auto"/>
        <w:rPr>
          <w:b/>
          <w:bCs/>
          <w:color w:val="auto"/>
          <w:sz w:val="24"/>
          <w:szCs w:val="24"/>
          <w:highlight w:val="none"/>
        </w:rPr>
      </w:pPr>
      <w:r>
        <w:rPr>
          <w:rFonts w:hint="eastAsia"/>
          <w:b/>
          <w:bCs/>
          <w:color w:val="auto"/>
          <w:sz w:val="24"/>
          <w:szCs w:val="24"/>
          <w:highlight w:val="none"/>
        </w:rPr>
        <w:t>响应文件的有效期</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04" w:name="_Toc27815"/>
      <w:bookmarkStart w:id="105" w:name="_Toc7216"/>
      <w:r>
        <w:rPr>
          <w:rFonts w:hint="eastAsia" w:ascii="Times New Roman" w:hAnsi="Times New Roman" w:cs="宋体"/>
          <w:color w:val="auto"/>
          <w:highlight w:val="none"/>
        </w:rPr>
        <w:t>自响应文件开启之日起</w:t>
      </w:r>
      <w:r>
        <w:rPr>
          <w:rFonts w:hint="eastAsia" w:ascii="Times New Roman" w:hAnsi="Times New Roman" w:cs="宋体"/>
          <w:b/>
          <w:bCs/>
          <w:color w:val="auto"/>
          <w:highlight w:val="none"/>
        </w:rPr>
        <w:t>90天</w:t>
      </w:r>
      <w:r>
        <w:rPr>
          <w:rFonts w:hint="eastAsia" w:ascii="Times New Roman" w:hAnsi="Times New Roman" w:cs="宋体"/>
          <w:color w:val="auto"/>
          <w:highlight w:val="none"/>
        </w:rPr>
        <w:t>，响应文件应保持有效。有效期短于规定期限的，将被拒绝。</w:t>
      </w:r>
      <w:bookmarkEnd w:id="104"/>
      <w:bookmarkEnd w:id="105"/>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06" w:name="_Toc32748"/>
      <w:bookmarkStart w:id="107" w:name="_Toc28628"/>
      <w:r>
        <w:rPr>
          <w:rFonts w:hint="eastAsia" w:ascii="Times New Roman" w:hAnsi="Times New Roman" w:cs="宋体"/>
          <w:color w:val="auto"/>
          <w:highlight w:val="none"/>
        </w:rPr>
        <w:t>在特殊情况下，采购人可与供应商协商延长响应文件的有效期。协商应当以信函、传真或电子邮件的形式进行。同意延长有效期的供应商，不能修改响应文件。拒绝接受延长有效期要求的供应商，其磋商将被拒绝。</w:t>
      </w:r>
      <w:bookmarkEnd w:id="106"/>
      <w:bookmarkEnd w:id="107"/>
    </w:p>
    <w:p>
      <w:pPr>
        <w:numPr>
          <w:ilvl w:val="0"/>
          <w:numId w:val="4"/>
        </w:numPr>
        <w:spacing w:line="360" w:lineRule="auto"/>
        <w:rPr>
          <w:b/>
          <w:bCs/>
          <w:color w:val="auto"/>
          <w:sz w:val="24"/>
          <w:szCs w:val="24"/>
          <w:highlight w:val="none"/>
        </w:rPr>
      </w:pPr>
      <w:r>
        <w:rPr>
          <w:rFonts w:hint="eastAsia"/>
          <w:b/>
          <w:bCs/>
          <w:color w:val="auto"/>
          <w:sz w:val="24"/>
          <w:szCs w:val="24"/>
          <w:highlight w:val="none"/>
        </w:rPr>
        <w:t>响应文件的份数和签署</w:t>
      </w:r>
    </w:p>
    <w:p>
      <w:pPr>
        <w:pStyle w:val="5"/>
        <w:numPr>
          <w:ilvl w:val="1"/>
          <w:numId w:val="4"/>
        </w:numPr>
        <w:tabs>
          <w:tab w:val="left" w:pos="1050"/>
          <w:tab w:val="clear" w:pos="992"/>
        </w:tabs>
        <w:ind w:left="0" w:firstLine="482" w:firstLineChars="200"/>
        <w:rPr>
          <w:rFonts w:ascii="Times New Roman" w:hAnsi="Times New Roman" w:cs="Times New Roman"/>
          <w:b/>
          <w:bCs/>
          <w:color w:val="auto"/>
          <w:highlight w:val="none"/>
        </w:rPr>
      </w:pPr>
      <w:bookmarkStart w:id="108" w:name="_Toc25295"/>
      <w:bookmarkStart w:id="109" w:name="_Toc8492"/>
      <w:r>
        <w:rPr>
          <w:rFonts w:hint="eastAsia" w:ascii="Times New Roman" w:hAnsi="Times New Roman" w:cs="宋体"/>
          <w:b/>
          <w:bCs/>
          <w:color w:val="auto"/>
          <w:highlight w:val="none"/>
        </w:rPr>
        <w:t>响应文件份数：见供应商须知前附表。</w:t>
      </w:r>
      <w:bookmarkEnd w:id="108"/>
      <w:bookmarkEnd w:id="109"/>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10" w:name="_Toc11271"/>
      <w:bookmarkStart w:id="111" w:name="_Toc17602"/>
      <w:r>
        <w:rPr>
          <w:rFonts w:hint="eastAsia" w:ascii="Times New Roman" w:hAnsi="Times New Roman" w:cs="宋体"/>
          <w:color w:val="auto"/>
          <w:highlight w:val="none"/>
        </w:rPr>
        <w:t>响应文件正本均须用不褪色墨水书写、打印或印刷，响应文件副本的所有资料，都可以用响应文件的正本复制。响应文件封面的右上角应当清楚地注明“正本”或“副本”。响应文件的正本和副本内容有不一致的，以正本为准。</w:t>
      </w:r>
      <w:bookmarkEnd w:id="110"/>
      <w:bookmarkEnd w:id="111"/>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12" w:name="_Toc15855"/>
      <w:bookmarkStart w:id="113" w:name="_Toc25299"/>
      <w:r>
        <w:rPr>
          <w:rFonts w:hint="eastAsia" w:ascii="Times New Roman" w:hAnsi="Times New Roman" w:cs="宋体"/>
          <w:color w:val="auto"/>
          <w:highlight w:val="none"/>
        </w:rPr>
        <w:t>响应文件正本主要内容（磋商文件格式中要求法人代表或授权委托人签字的内容和加盖单位公章）应由供应商的法定代表人或其授权的委托人签字（或盖章）并加盖供应商公章。</w:t>
      </w:r>
      <w:bookmarkEnd w:id="112"/>
      <w:bookmarkEnd w:id="113"/>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14" w:name="_Toc23622"/>
      <w:bookmarkStart w:id="115" w:name="_Toc30922"/>
      <w:r>
        <w:rPr>
          <w:rFonts w:hint="eastAsia" w:ascii="Times New Roman" w:hAnsi="Times New Roman" w:cs="宋体"/>
          <w:color w:val="auto"/>
          <w:highlight w:val="none"/>
        </w:rPr>
        <w:t>全套响应文件应无涂改、无行间插字。除非这些删改是根据采购人的要求实施的，或者是供应商造成的错误且必须修改的。修改处应由响应文件签字人签字证明。</w:t>
      </w:r>
      <w:bookmarkEnd w:id="114"/>
      <w:bookmarkEnd w:id="115"/>
    </w:p>
    <w:p>
      <w:pPr>
        <w:spacing w:line="360" w:lineRule="auto"/>
        <w:ind w:firstLine="482" w:firstLineChars="200"/>
        <w:rPr>
          <w:b/>
          <w:bCs/>
          <w:color w:val="auto"/>
          <w:sz w:val="24"/>
          <w:szCs w:val="24"/>
          <w:highlight w:val="none"/>
        </w:rPr>
      </w:pPr>
      <w:r>
        <w:rPr>
          <w:rFonts w:hint="eastAsia"/>
          <w:b/>
          <w:bCs/>
          <w:color w:val="auto"/>
          <w:sz w:val="24"/>
          <w:szCs w:val="24"/>
          <w:highlight w:val="none"/>
        </w:rPr>
        <w:t>特别说明：本项目要求供应商提交电子版响应文件。</w:t>
      </w:r>
    </w:p>
    <w:p>
      <w:pPr>
        <w:spacing w:line="360" w:lineRule="auto"/>
        <w:ind w:firstLine="482" w:firstLineChars="200"/>
        <w:rPr>
          <w:color w:val="auto"/>
          <w:sz w:val="24"/>
          <w:szCs w:val="24"/>
          <w:highlight w:val="none"/>
        </w:rPr>
      </w:pPr>
      <w:r>
        <w:rPr>
          <w:rFonts w:hint="eastAsia"/>
          <w:b/>
          <w:bCs/>
          <w:color w:val="auto"/>
          <w:sz w:val="24"/>
          <w:szCs w:val="24"/>
          <w:highlight w:val="none"/>
        </w:rPr>
        <w:t>电子版响应文件与对应的响应文件正本内容必须一致。其载体必须是可以被读取的光盘或者</w:t>
      </w:r>
      <w:r>
        <w:rPr>
          <w:b/>
          <w:bCs/>
          <w:color w:val="auto"/>
          <w:sz w:val="24"/>
          <w:szCs w:val="24"/>
          <w:highlight w:val="none"/>
        </w:rPr>
        <w:t>U</w:t>
      </w:r>
      <w:r>
        <w:rPr>
          <w:rFonts w:hint="eastAsia"/>
          <w:b/>
          <w:bCs/>
          <w:color w:val="auto"/>
          <w:sz w:val="24"/>
          <w:szCs w:val="24"/>
          <w:highlight w:val="none"/>
        </w:rPr>
        <w:t>盘。电子版响应文件提交后不予退还。</w:t>
      </w:r>
    </w:p>
    <w:p>
      <w:pPr>
        <w:numPr>
          <w:ilvl w:val="0"/>
          <w:numId w:val="3"/>
        </w:numPr>
        <w:tabs>
          <w:tab w:val="left" w:pos="540"/>
          <w:tab w:val="left" w:pos="720"/>
        </w:tabs>
        <w:spacing w:before="100" w:beforeAutospacing="1" w:after="100" w:afterAutospacing="1" w:line="360" w:lineRule="auto"/>
        <w:ind w:left="720" w:hanging="720"/>
        <w:outlineLvl w:val="1"/>
        <w:rPr>
          <w:b/>
          <w:bCs/>
          <w:color w:val="auto"/>
          <w:sz w:val="36"/>
          <w:szCs w:val="36"/>
          <w:highlight w:val="none"/>
        </w:rPr>
      </w:pPr>
      <w:bookmarkStart w:id="116" w:name="_Toc317237602"/>
      <w:bookmarkStart w:id="117" w:name="_Toc345"/>
      <w:bookmarkStart w:id="118" w:name="_Toc477188634"/>
      <w:bookmarkStart w:id="119" w:name="_Toc22236"/>
      <w:bookmarkStart w:id="120" w:name="_Toc317237777"/>
      <w:bookmarkStart w:id="121" w:name="_Toc7807"/>
      <w:bookmarkStart w:id="122" w:name="_Toc13067"/>
      <w:r>
        <w:rPr>
          <w:rFonts w:hint="eastAsia"/>
          <w:b/>
          <w:bCs/>
          <w:color w:val="auto"/>
          <w:sz w:val="36"/>
          <w:szCs w:val="36"/>
          <w:highlight w:val="none"/>
        </w:rPr>
        <w:t>响应文件的递交</w:t>
      </w:r>
      <w:bookmarkEnd w:id="116"/>
      <w:bookmarkEnd w:id="117"/>
      <w:bookmarkEnd w:id="118"/>
      <w:bookmarkEnd w:id="119"/>
      <w:bookmarkEnd w:id="120"/>
      <w:bookmarkEnd w:id="121"/>
      <w:bookmarkEnd w:id="122"/>
    </w:p>
    <w:p>
      <w:pPr>
        <w:numPr>
          <w:ilvl w:val="0"/>
          <w:numId w:val="4"/>
        </w:numPr>
        <w:spacing w:line="360" w:lineRule="auto"/>
        <w:rPr>
          <w:b/>
          <w:bCs/>
          <w:color w:val="auto"/>
          <w:sz w:val="24"/>
          <w:szCs w:val="24"/>
          <w:highlight w:val="none"/>
        </w:rPr>
      </w:pPr>
      <w:r>
        <w:rPr>
          <w:rFonts w:hint="eastAsia"/>
          <w:b/>
          <w:bCs/>
          <w:color w:val="auto"/>
          <w:sz w:val="24"/>
          <w:szCs w:val="24"/>
          <w:highlight w:val="none"/>
        </w:rPr>
        <w:t>响应文件的装订、密封及标记</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23" w:name="_Toc3648"/>
      <w:bookmarkStart w:id="124" w:name="_Toc12538"/>
      <w:r>
        <w:rPr>
          <w:rFonts w:hint="eastAsia" w:ascii="Times New Roman" w:hAnsi="Times New Roman" w:cs="宋体"/>
          <w:color w:val="auto"/>
          <w:highlight w:val="none"/>
        </w:rPr>
        <w:t>所有响应文件必须装订成册。</w:t>
      </w:r>
      <w:bookmarkEnd w:id="123"/>
      <w:bookmarkEnd w:id="124"/>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25" w:name="_Toc12621"/>
      <w:bookmarkStart w:id="126" w:name="_Toc2288"/>
      <w:r>
        <w:rPr>
          <w:rFonts w:hint="eastAsia" w:ascii="Times New Roman" w:hAnsi="Times New Roman" w:cs="宋体"/>
          <w:color w:val="auto"/>
          <w:highlight w:val="none"/>
        </w:rPr>
        <w:t>响应文件应按以下方法分别装袋密封：</w:t>
      </w:r>
      <w:bookmarkEnd w:id="125"/>
      <w:bookmarkEnd w:id="126"/>
    </w:p>
    <w:p>
      <w:pPr>
        <w:numPr>
          <w:ilvl w:val="2"/>
          <w:numId w:val="4"/>
        </w:numPr>
        <w:spacing w:line="360" w:lineRule="auto"/>
        <w:ind w:left="0" w:firstLine="723" w:firstLineChars="300"/>
        <w:rPr>
          <w:b/>
          <w:bCs/>
          <w:color w:val="auto"/>
          <w:sz w:val="24"/>
          <w:szCs w:val="24"/>
          <w:highlight w:val="none"/>
        </w:rPr>
      </w:pPr>
      <w:r>
        <w:rPr>
          <w:rFonts w:hint="eastAsia"/>
          <w:b/>
          <w:bCs/>
          <w:color w:val="auto"/>
          <w:sz w:val="24"/>
          <w:szCs w:val="24"/>
          <w:highlight w:val="none"/>
        </w:rPr>
        <w:t>供应商应将响应文件的正本封装为一个密封袋，将所有副本封装为一个或多个密封袋</w:t>
      </w:r>
      <w:r>
        <w:rPr>
          <w:rFonts w:hint="eastAsia"/>
          <w:b/>
          <w:color w:val="auto"/>
          <w:sz w:val="24"/>
          <w:highlight w:val="none"/>
        </w:rPr>
        <w:t>，电子版单独密封</w:t>
      </w:r>
      <w:r>
        <w:rPr>
          <w:rFonts w:hint="eastAsia"/>
          <w:b/>
          <w:bCs/>
          <w:color w:val="auto"/>
          <w:sz w:val="24"/>
          <w:szCs w:val="24"/>
          <w:highlight w:val="none"/>
        </w:rPr>
        <w:t>。在密封袋上，要清楚标明“正本”、“副本”</w:t>
      </w:r>
      <w:r>
        <w:rPr>
          <w:rFonts w:hint="eastAsia"/>
          <w:b/>
          <w:color w:val="auto"/>
          <w:sz w:val="24"/>
          <w:highlight w:val="none"/>
        </w:rPr>
        <w:t>、“电子版”</w:t>
      </w:r>
      <w:r>
        <w:rPr>
          <w:rFonts w:hint="eastAsia"/>
          <w:b/>
          <w:bCs/>
          <w:color w:val="auto"/>
          <w:sz w:val="24"/>
          <w:szCs w:val="24"/>
          <w:highlight w:val="none"/>
        </w:rPr>
        <w:t>字样。</w:t>
      </w:r>
    </w:p>
    <w:p>
      <w:pPr>
        <w:numPr>
          <w:ilvl w:val="2"/>
          <w:numId w:val="4"/>
        </w:numPr>
        <w:spacing w:line="360" w:lineRule="auto"/>
        <w:ind w:left="0" w:firstLine="723" w:firstLineChars="300"/>
        <w:rPr>
          <w:b/>
          <w:bCs/>
          <w:color w:val="auto"/>
          <w:sz w:val="24"/>
          <w:szCs w:val="24"/>
          <w:highlight w:val="none"/>
        </w:rPr>
      </w:pPr>
      <w:r>
        <w:rPr>
          <w:rFonts w:hint="eastAsia"/>
          <w:b/>
          <w:bCs/>
          <w:color w:val="auto"/>
          <w:sz w:val="24"/>
          <w:szCs w:val="24"/>
          <w:highlight w:val="none"/>
        </w:rPr>
        <w:t>响应文件包装的封口处应有供应商的法定代表人或其授权委托人的签字及供应商公章。封皮上写明采购人名称、项目名称、项目编号、供应商名称。</w:t>
      </w:r>
    </w:p>
    <w:p>
      <w:pPr>
        <w:numPr>
          <w:ilvl w:val="2"/>
          <w:numId w:val="4"/>
        </w:numPr>
        <w:spacing w:line="360" w:lineRule="auto"/>
        <w:ind w:left="0" w:firstLine="720" w:firstLineChars="300"/>
        <w:rPr>
          <w:color w:val="auto"/>
          <w:sz w:val="24"/>
          <w:szCs w:val="24"/>
          <w:highlight w:val="none"/>
        </w:rPr>
      </w:pPr>
      <w:r>
        <w:rPr>
          <w:rFonts w:hint="eastAsia"/>
          <w:color w:val="auto"/>
          <w:sz w:val="24"/>
          <w:szCs w:val="24"/>
          <w:highlight w:val="none"/>
        </w:rPr>
        <w:t>供应商应按上述要求密封及书写标记。</w:t>
      </w:r>
    </w:p>
    <w:p>
      <w:pPr>
        <w:numPr>
          <w:ilvl w:val="2"/>
          <w:numId w:val="4"/>
        </w:numPr>
        <w:spacing w:line="360" w:lineRule="auto"/>
        <w:ind w:left="0" w:firstLine="720" w:firstLineChars="300"/>
        <w:rPr>
          <w:color w:val="auto"/>
          <w:sz w:val="24"/>
          <w:szCs w:val="24"/>
          <w:highlight w:val="none"/>
        </w:rPr>
      </w:pPr>
      <w:r>
        <w:rPr>
          <w:rFonts w:hint="eastAsia"/>
          <w:color w:val="auto"/>
          <w:sz w:val="24"/>
          <w:szCs w:val="24"/>
          <w:highlight w:val="none"/>
        </w:rPr>
        <w:t>响应文件的装订做到整齐、干净、牢固即可。过度包装和精美装饰不是加分条件。</w:t>
      </w:r>
    </w:p>
    <w:p>
      <w:pPr>
        <w:numPr>
          <w:ilvl w:val="0"/>
          <w:numId w:val="4"/>
        </w:numPr>
        <w:spacing w:line="360" w:lineRule="auto"/>
        <w:rPr>
          <w:b/>
          <w:bCs/>
          <w:color w:val="auto"/>
          <w:sz w:val="24"/>
          <w:szCs w:val="24"/>
          <w:highlight w:val="none"/>
        </w:rPr>
      </w:pPr>
      <w:r>
        <w:rPr>
          <w:rFonts w:hint="eastAsia"/>
          <w:b/>
          <w:bCs/>
          <w:color w:val="auto"/>
          <w:sz w:val="24"/>
          <w:szCs w:val="24"/>
          <w:highlight w:val="none"/>
        </w:rPr>
        <w:t>截止时间</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27" w:name="_Toc16976"/>
      <w:bookmarkStart w:id="128" w:name="_Toc29289"/>
      <w:r>
        <w:rPr>
          <w:rFonts w:hint="eastAsia" w:ascii="Times New Roman" w:hAnsi="Times New Roman" w:cs="宋体"/>
          <w:color w:val="auto"/>
          <w:highlight w:val="none"/>
        </w:rPr>
        <w:t>响应文件必须在提交响应文件截止时间前送达磋商地点。</w:t>
      </w:r>
      <w:bookmarkEnd w:id="127"/>
      <w:bookmarkEnd w:id="128"/>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29" w:name="_Toc13784"/>
      <w:bookmarkStart w:id="130" w:name="_Toc27834"/>
      <w:r>
        <w:rPr>
          <w:rFonts w:hint="eastAsia" w:ascii="Times New Roman" w:hAnsi="Times New Roman" w:cs="宋体"/>
          <w:color w:val="auto"/>
          <w:highlight w:val="none"/>
        </w:rPr>
        <w:t>采购人推迟响应文件截止时间，将在不晚于原定响应文件截止时间前</w:t>
      </w:r>
      <w:r>
        <w:rPr>
          <w:rFonts w:ascii="Times New Roman" w:hAnsi="Times New Roman" w:cs="Times New Roman"/>
          <w:color w:val="auto"/>
          <w:highlight w:val="none"/>
        </w:rPr>
        <w:t>3</w:t>
      </w:r>
      <w:r>
        <w:rPr>
          <w:rFonts w:hint="eastAsia" w:ascii="Times New Roman" w:hAnsi="Times New Roman" w:cs="宋体"/>
          <w:color w:val="auto"/>
          <w:highlight w:val="none"/>
        </w:rPr>
        <w:t>天发布公告。</w:t>
      </w:r>
      <w:bookmarkEnd w:id="129"/>
      <w:bookmarkEnd w:id="130"/>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31" w:name="_Toc4596"/>
      <w:bookmarkStart w:id="132" w:name="_Toc20366"/>
      <w:r>
        <w:rPr>
          <w:rFonts w:hint="eastAsia" w:ascii="Times New Roman" w:hAnsi="Times New Roman" w:cs="宋体"/>
          <w:color w:val="auto"/>
          <w:highlight w:val="none"/>
        </w:rPr>
        <w:t>在响应文件截止时间以后送达的响应文件，采购人将拒绝接收。</w:t>
      </w:r>
      <w:bookmarkEnd w:id="131"/>
      <w:bookmarkEnd w:id="132"/>
    </w:p>
    <w:p>
      <w:pPr>
        <w:numPr>
          <w:ilvl w:val="0"/>
          <w:numId w:val="4"/>
        </w:numPr>
        <w:spacing w:line="360" w:lineRule="auto"/>
        <w:rPr>
          <w:b/>
          <w:bCs/>
          <w:color w:val="auto"/>
          <w:sz w:val="24"/>
          <w:szCs w:val="24"/>
          <w:highlight w:val="none"/>
        </w:rPr>
      </w:pPr>
      <w:r>
        <w:rPr>
          <w:rFonts w:hint="eastAsia"/>
          <w:b/>
          <w:bCs/>
          <w:color w:val="auto"/>
          <w:sz w:val="24"/>
          <w:szCs w:val="24"/>
          <w:highlight w:val="none"/>
        </w:rPr>
        <w:t>响应文件的修改和撤回</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33" w:name="_Toc22647"/>
      <w:bookmarkStart w:id="134" w:name="_Toc20907"/>
      <w:r>
        <w:rPr>
          <w:rFonts w:hint="eastAsia" w:ascii="Times New Roman" w:hAnsi="Times New Roman" w:cs="宋体"/>
          <w:color w:val="auto"/>
          <w:highlight w:val="none"/>
        </w:rPr>
        <w:t>响应文件提交截止时间以后，供应商不得修改和撤回响应文件。</w:t>
      </w:r>
      <w:bookmarkEnd w:id="133"/>
      <w:bookmarkEnd w:id="134"/>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35" w:name="_Toc14232"/>
      <w:bookmarkStart w:id="136" w:name="_Toc11189"/>
      <w:r>
        <w:rPr>
          <w:rFonts w:hint="eastAsia" w:ascii="Times New Roman" w:hAnsi="Times New Roman" w:cs="宋体"/>
          <w:color w:val="auto"/>
          <w:highlight w:val="none"/>
        </w:rPr>
        <w:t>响应文件提交后，均不予退还。</w:t>
      </w:r>
      <w:bookmarkEnd w:id="135"/>
      <w:bookmarkEnd w:id="136"/>
    </w:p>
    <w:p>
      <w:pPr>
        <w:numPr>
          <w:ilvl w:val="0"/>
          <w:numId w:val="3"/>
        </w:numPr>
        <w:tabs>
          <w:tab w:val="left" w:pos="540"/>
          <w:tab w:val="left" w:pos="720"/>
        </w:tabs>
        <w:spacing w:before="100" w:beforeAutospacing="1" w:after="100" w:afterAutospacing="1" w:line="360" w:lineRule="auto"/>
        <w:ind w:left="720" w:hanging="720"/>
        <w:outlineLvl w:val="1"/>
        <w:rPr>
          <w:b/>
          <w:bCs/>
          <w:color w:val="auto"/>
          <w:sz w:val="36"/>
          <w:szCs w:val="36"/>
          <w:highlight w:val="none"/>
        </w:rPr>
      </w:pPr>
      <w:bookmarkStart w:id="137" w:name="_Toc17899"/>
      <w:bookmarkStart w:id="138" w:name="_Toc317237778"/>
      <w:bookmarkStart w:id="139" w:name="_Toc18167"/>
      <w:bookmarkStart w:id="140" w:name="_Toc30887"/>
      <w:bookmarkStart w:id="141" w:name="_Toc477188635"/>
      <w:bookmarkStart w:id="142" w:name="_Toc317237603"/>
      <w:bookmarkStart w:id="143" w:name="_Toc7140"/>
      <w:r>
        <w:rPr>
          <w:rFonts w:hint="eastAsia"/>
          <w:b/>
          <w:bCs/>
          <w:color w:val="auto"/>
          <w:sz w:val="36"/>
          <w:szCs w:val="36"/>
          <w:highlight w:val="none"/>
        </w:rPr>
        <w:t>磋商程序</w:t>
      </w:r>
      <w:bookmarkEnd w:id="137"/>
      <w:bookmarkEnd w:id="138"/>
      <w:bookmarkEnd w:id="139"/>
      <w:bookmarkEnd w:id="140"/>
      <w:bookmarkEnd w:id="141"/>
      <w:bookmarkEnd w:id="142"/>
      <w:bookmarkEnd w:id="143"/>
    </w:p>
    <w:p>
      <w:pPr>
        <w:numPr>
          <w:ilvl w:val="0"/>
          <w:numId w:val="4"/>
        </w:numPr>
        <w:spacing w:line="360" w:lineRule="auto"/>
        <w:rPr>
          <w:b/>
          <w:bCs/>
          <w:color w:val="auto"/>
          <w:sz w:val="24"/>
          <w:szCs w:val="24"/>
          <w:highlight w:val="none"/>
        </w:rPr>
      </w:pPr>
      <w:r>
        <w:rPr>
          <w:rFonts w:hint="eastAsia"/>
          <w:b/>
          <w:bCs/>
          <w:color w:val="auto"/>
          <w:sz w:val="24"/>
          <w:szCs w:val="24"/>
          <w:highlight w:val="none"/>
        </w:rPr>
        <w:t>磋商文件的送达</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44" w:name="_Toc12833"/>
      <w:bookmarkStart w:id="145" w:name="_Toc30427"/>
      <w:r>
        <w:rPr>
          <w:rFonts w:hint="eastAsia" w:ascii="Times New Roman" w:hAnsi="Times New Roman" w:cs="宋体"/>
          <w:color w:val="auto"/>
          <w:highlight w:val="none"/>
        </w:rPr>
        <w:t>供应商应当在磋商文件要求的截止时间前，将响应文件密封送达指定地点。在截止时间后送达的响应文件为无效文件，采购人或者磋商小组应当拒收。</w:t>
      </w:r>
      <w:bookmarkEnd w:id="144"/>
      <w:bookmarkEnd w:id="145"/>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46" w:name="_Toc25096"/>
      <w:bookmarkStart w:id="147" w:name="_Toc22011"/>
      <w:r>
        <w:rPr>
          <w:rFonts w:hint="eastAsia" w:ascii="Times New Roman" w:hAnsi="Times New Roman" w:cs="宋体"/>
          <w:color w:val="auto"/>
          <w:highlight w:val="none"/>
        </w:rPr>
        <w:t>供应商在提交响应文件截止时间前，可以对所提交的响应文件进行补充、修改或者撤回，并书面通知采购人。补充、修改的内容作为响应文件的组成部分。补充、修改的内容与响应文件不一致的，以补充、修改的内容为准。</w:t>
      </w:r>
      <w:bookmarkEnd w:id="146"/>
      <w:bookmarkEnd w:id="147"/>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48" w:name="_Toc12624"/>
      <w:bookmarkStart w:id="149" w:name="_Toc9704"/>
      <w:r>
        <w:rPr>
          <w:rFonts w:hint="eastAsia" w:ascii="Times New Roman" w:hAnsi="Times New Roman" w:cs="宋体"/>
          <w:color w:val="auto"/>
          <w:highlight w:val="none"/>
        </w:rPr>
        <w:t>采购人按磋商文件规定的时间、地点举行磋商仪式。磋商仪式由采购人主持，邀请供应商代表及有关工作人员参加。供应商的法定代表人或法定代表人授权的代表必须参加磋商仪式。</w:t>
      </w:r>
      <w:bookmarkEnd w:id="148"/>
      <w:bookmarkEnd w:id="149"/>
    </w:p>
    <w:p>
      <w:pPr>
        <w:numPr>
          <w:ilvl w:val="0"/>
          <w:numId w:val="4"/>
        </w:numPr>
        <w:spacing w:line="360" w:lineRule="auto"/>
        <w:rPr>
          <w:b/>
          <w:bCs/>
          <w:color w:val="auto"/>
          <w:sz w:val="24"/>
          <w:szCs w:val="24"/>
          <w:highlight w:val="none"/>
        </w:rPr>
      </w:pPr>
      <w:r>
        <w:rPr>
          <w:rFonts w:hint="eastAsia"/>
          <w:b/>
          <w:bCs/>
          <w:color w:val="auto"/>
          <w:sz w:val="24"/>
          <w:szCs w:val="24"/>
          <w:highlight w:val="none"/>
        </w:rPr>
        <w:t>磋商小组</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50" w:name="_Toc30243"/>
      <w:bookmarkStart w:id="151" w:name="_Toc2682"/>
      <w:r>
        <w:rPr>
          <w:rFonts w:hint="eastAsia" w:ascii="Times New Roman" w:hAnsi="Times New Roman" w:cs="宋体"/>
          <w:color w:val="auto"/>
          <w:highlight w:val="none"/>
        </w:rPr>
        <w:t>磋商小组的组成：见供应商须知前附表。</w:t>
      </w:r>
      <w:bookmarkEnd w:id="150"/>
      <w:bookmarkEnd w:id="151"/>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52" w:name="_Toc4644"/>
      <w:bookmarkStart w:id="153" w:name="_Toc32168"/>
      <w:r>
        <w:rPr>
          <w:rFonts w:hint="eastAsia" w:ascii="Times New Roman" w:hAnsi="Times New Roman" w:cs="宋体"/>
          <w:color w:val="auto"/>
          <w:highlight w:val="none"/>
        </w:rPr>
        <w:t>评审方法：见供应商须知前附表。</w:t>
      </w:r>
      <w:bookmarkEnd w:id="152"/>
      <w:bookmarkEnd w:id="153"/>
    </w:p>
    <w:p>
      <w:pPr>
        <w:numPr>
          <w:ilvl w:val="0"/>
          <w:numId w:val="4"/>
        </w:numPr>
        <w:spacing w:line="360" w:lineRule="auto"/>
        <w:rPr>
          <w:b/>
          <w:bCs/>
          <w:color w:val="auto"/>
          <w:sz w:val="24"/>
          <w:szCs w:val="24"/>
          <w:highlight w:val="none"/>
        </w:rPr>
      </w:pPr>
      <w:r>
        <w:rPr>
          <w:rFonts w:hint="eastAsia"/>
          <w:b/>
          <w:bCs/>
          <w:color w:val="auto"/>
          <w:sz w:val="24"/>
          <w:szCs w:val="24"/>
          <w:highlight w:val="none"/>
        </w:rPr>
        <w:t>磋商方式和内容</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54" w:name="_Toc27915"/>
      <w:bookmarkStart w:id="155" w:name="_Toc28764"/>
      <w:r>
        <w:rPr>
          <w:rFonts w:hint="eastAsia" w:ascii="Times New Roman" w:hAnsi="Times New Roman" w:cs="宋体"/>
          <w:color w:val="auto"/>
          <w:highlight w:val="none"/>
        </w:rPr>
        <w:t>磋商小组按供应商提交响应文件的顺序分别与通过资格审查的供应商进行磋商，并给予所有参加磋商的供应商平等的磋商机会。</w:t>
      </w:r>
      <w:bookmarkEnd w:id="154"/>
      <w:bookmarkEnd w:id="155"/>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56" w:name="_Toc13651"/>
      <w:bookmarkStart w:id="157" w:name="_Toc27705"/>
      <w:r>
        <w:rPr>
          <w:rFonts w:hint="eastAsia" w:ascii="Times New Roman" w:hAnsi="Times New Roman" w:cs="宋体"/>
          <w:color w:val="auto"/>
          <w:highlight w:val="none"/>
        </w:rPr>
        <w:t>磋商内容包括技术方案响应情况、服务内容标准与承诺、技术能力、合同条件、采购要求的优化建议等。在磋商过程中，磋商小组可以根据磋商文件和磋商情况实质性变动采购需求中的技术、服务要求以及合同草案条款，但不得变动磋商文件中的其他内容。实质性变动的内容，须经采购人代表确认。</w:t>
      </w:r>
      <w:bookmarkEnd w:id="156"/>
      <w:bookmarkEnd w:id="157"/>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58" w:name="_Toc1433"/>
      <w:bookmarkStart w:id="159" w:name="_Toc21701"/>
      <w:r>
        <w:rPr>
          <w:rFonts w:hint="eastAsia" w:ascii="Times New Roman" w:hAnsi="Times New Roman" w:cs="宋体"/>
          <w:color w:val="auto"/>
          <w:highlight w:val="none"/>
        </w:rPr>
        <w:t>磋商小组可以根据磋商的实际情况决定磋商的轮次，但最多不能超过三轮磋商。</w:t>
      </w:r>
      <w:bookmarkEnd w:id="158"/>
      <w:bookmarkEnd w:id="159"/>
    </w:p>
    <w:p>
      <w:pPr>
        <w:pStyle w:val="5"/>
        <w:numPr>
          <w:ilvl w:val="1"/>
          <w:numId w:val="4"/>
        </w:numPr>
        <w:tabs>
          <w:tab w:val="left" w:pos="1050"/>
          <w:tab w:val="clear" w:pos="992"/>
        </w:tabs>
        <w:ind w:left="0" w:firstLine="480" w:firstLineChars="200"/>
        <w:rPr>
          <w:rFonts w:cs="Times New Roman"/>
          <w:color w:val="auto"/>
          <w:highlight w:val="none"/>
        </w:rPr>
      </w:pPr>
      <w:bookmarkStart w:id="160" w:name="_Toc5144"/>
      <w:bookmarkStart w:id="161" w:name="_Toc26536"/>
      <w:r>
        <w:rPr>
          <w:rFonts w:hint="eastAsia" w:ascii="Times New Roman" w:hAnsi="Times New Roman" w:cs="宋体"/>
          <w:color w:val="auto"/>
          <w:highlight w:val="none"/>
        </w:rPr>
        <w:t>供应商在磋商中作出的承诺，是其响应文件的组成部分。</w:t>
      </w:r>
      <w:bookmarkEnd w:id="160"/>
      <w:bookmarkEnd w:id="161"/>
    </w:p>
    <w:p>
      <w:pPr>
        <w:numPr>
          <w:ilvl w:val="0"/>
          <w:numId w:val="4"/>
        </w:numPr>
        <w:spacing w:line="360" w:lineRule="auto"/>
        <w:rPr>
          <w:b/>
          <w:bCs/>
          <w:color w:val="auto"/>
          <w:sz w:val="24"/>
          <w:szCs w:val="24"/>
          <w:highlight w:val="none"/>
        </w:rPr>
      </w:pPr>
      <w:r>
        <w:rPr>
          <w:rFonts w:hint="eastAsia"/>
          <w:b/>
          <w:bCs/>
          <w:color w:val="auto"/>
          <w:sz w:val="24"/>
          <w:szCs w:val="24"/>
          <w:highlight w:val="none"/>
        </w:rPr>
        <w:t>磋商内容的保密</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62" w:name="_Toc26269"/>
      <w:bookmarkStart w:id="163" w:name="_Toc14995"/>
      <w:r>
        <w:rPr>
          <w:rFonts w:hint="eastAsia" w:ascii="Times New Roman" w:hAnsi="Times New Roman" w:cs="宋体"/>
          <w:color w:val="auto"/>
          <w:highlight w:val="none"/>
        </w:rPr>
        <w:t>磋商后，至正式授予成交供应商合同止，凡属于审查、澄清、评价和比较的所有资料、有关授予合同的信息等，都不能向供应商或与磋商无关的其他人泄露。</w:t>
      </w:r>
      <w:bookmarkEnd w:id="162"/>
      <w:bookmarkEnd w:id="163"/>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64" w:name="_Toc11087"/>
      <w:bookmarkStart w:id="165" w:name="_Toc8560"/>
      <w:r>
        <w:rPr>
          <w:rFonts w:hint="eastAsia" w:ascii="Times New Roman" w:hAnsi="Times New Roman" w:cs="宋体"/>
          <w:color w:val="auto"/>
          <w:highlight w:val="none"/>
        </w:rPr>
        <w:t>在响应文件的审查、澄清、评价和比较以及授予合同的过程中，供应商对采购人和磋商小组成员施加影响的任何行为，都将导致其磋商资格被取消。</w:t>
      </w:r>
      <w:bookmarkEnd w:id="164"/>
      <w:bookmarkEnd w:id="165"/>
    </w:p>
    <w:p>
      <w:pPr>
        <w:numPr>
          <w:ilvl w:val="0"/>
          <w:numId w:val="4"/>
        </w:numPr>
        <w:spacing w:line="360" w:lineRule="auto"/>
        <w:rPr>
          <w:b/>
          <w:bCs/>
          <w:color w:val="auto"/>
          <w:sz w:val="24"/>
          <w:szCs w:val="24"/>
          <w:highlight w:val="none"/>
        </w:rPr>
      </w:pPr>
      <w:r>
        <w:rPr>
          <w:rFonts w:hint="eastAsia"/>
          <w:b/>
          <w:bCs/>
          <w:color w:val="auto"/>
          <w:sz w:val="24"/>
          <w:szCs w:val="24"/>
          <w:highlight w:val="none"/>
        </w:rPr>
        <w:t>对响应文件的评审</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66" w:name="_Toc7989"/>
      <w:bookmarkStart w:id="167" w:name="_Toc11617"/>
      <w:r>
        <w:rPr>
          <w:rFonts w:hint="eastAsia" w:ascii="Times New Roman" w:hAnsi="Times New Roman" w:cs="宋体"/>
          <w:color w:val="auto"/>
          <w:highlight w:val="none"/>
        </w:rPr>
        <w:t>评审程序、评审方法和评审标准见第五部分</w:t>
      </w:r>
      <w:bookmarkEnd w:id="166"/>
      <w:bookmarkEnd w:id="167"/>
    </w:p>
    <w:p>
      <w:pPr>
        <w:numPr>
          <w:ilvl w:val="0"/>
          <w:numId w:val="4"/>
        </w:numPr>
        <w:spacing w:line="360" w:lineRule="auto"/>
        <w:rPr>
          <w:b/>
          <w:bCs/>
          <w:color w:val="auto"/>
          <w:sz w:val="24"/>
          <w:szCs w:val="24"/>
          <w:highlight w:val="none"/>
        </w:rPr>
      </w:pPr>
      <w:r>
        <w:rPr>
          <w:rFonts w:hint="eastAsia"/>
          <w:b/>
          <w:bCs/>
          <w:color w:val="auto"/>
          <w:sz w:val="24"/>
          <w:szCs w:val="24"/>
          <w:highlight w:val="none"/>
        </w:rPr>
        <w:t>确认成交结果</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68" w:name="_Toc10628"/>
      <w:bookmarkStart w:id="169" w:name="_Toc6564"/>
      <w:r>
        <w:rPr>
          <w:rFonts w:hint="eastAsia" w:ascii="Times New Roman" w:hAnsi="Times New Roman" w:cs="宋体"/>
          <w:color w:val="auto"/>
          <w:highlight w:val="none"/>
        </w:rPr>
        <w:t>磋商小组在评审结束后</w:t>
      </w:r>
      <w:r>
        <w:rPr>
          <w:rFonts w:ascii="Times New Roman" w:hAnsi="Times New Roman" w:cs="Times New Roman"/>
          <w:color w:val="auto"/>
          <w:highlight w:val="none"/>
        </w:rPr>
        <w:t>2</w:t>
      </w:r>
      <w:r>
        <w:rPr>
          <w:rFonts w:hint="eastAsia" w:ascii="Times New Roman" w:hAnsi="Times New Roman" w:cs="宋体"/>
          <w:color w:val="auto"/>
          <w:highlight w:val="none"/>
        </w:rPr>
        <w:t>个工作日内将评审报告送采购人确认。采购人应当在收到评审报告后</w:t>
      </w:r>
      <w:r>
        <w:rPr>
          <w:rFonts w:ascii="Times New Roman" w:hAnsi="Times New Roman" w:cs="Times New Roman"/>
          <w:color w:val="auto"/>
          <w:highlight w:val="none"/>
        </w:rPr>
        <w:t>5</w:t>
      </w:r>
      <w:r>
        <w:rPr>
          <w:rFonts w:hint="eastAsia" w:ascii="Times New Roman" w:hAnsi="Times New Roman" w:cs="宋体"/>
          <w:color w:val="auto"/>
          <w:highlight w:val="none"/>
        </w:rPr>
        <w:t>个工作日内，从评审报告提出的成交候选供应商中，按照排序由高到低的原则确定成交供应商，也可以书面授权磋商小组直接确定成交供应商。</w:t>
      </w:r>
      <w:bookmarkEnd w:id="168"/>
      <w:bookmarkEnd w:id="169"/>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70" w:name="_Toc5315"/>
      <w:bookmarkStart w:id="171" w:name="_Toc28551"/>
      <w:r>
        <w:rPr>
          <w:rFonts w:hint="eastAsia" w:ascii="Times New Roman" w:hAnsi="Times New Roman" w:cs="宋体"/>
          <w:color w:val="auto"/>
          <w:highlight w:val="none"/>
        </w:rPr>
        <w:t>采购人应当在成交供应商确定后</w:t>
      </w:r>
      <w:r>
        <w:rPr>
          <w:rFonts w:ascii="Times New Roman" w:hAnsi="Times New Roman" w:cs="Times New Roman"/>
          <w:color w:val="auto"/>
          <w:highlight w:val="none"/>
        </w:rPr>
        <w:t>2</w:t>
      </w:r>
      <w:r>
        <w:rPr>
          <w:rFonts w:hint="eastAsia" w:ascii="Times New Roman" w:hAnsi="Times New Roman" w:cs="宋体"/>
          <w:color w:val="auto"/>
          <w:highlight w:val="none"/>
        </w:rPr>
        <w:t>个工作日内，向成交供应商发出成交通知书。成交通知书是成交供应商与采购人签订合同的依据。合同签订后，成交通知书成为合同的一部分。</w:t>
      </w:r>
      <w:bookmarkEnd w:id="170"/>
      <w:bookmarkEnd w:id="171"/>
    </w:p>
    <w:p>
      <w:pPr>
        <w:numPr>
          <w:ilvl w:val="0"/>
          <w:numId w:val="3"/>
        </w:numPr>
        <w:tabs>
          <w:tab w:val="left" w:pos="540"/>
          <w:tab w:val="left" w:pos="720"/>
        </w:tabs>
        <w:spacing w:before="100" w:beforeAutospacing="1" w:after="100" w:afterAutospacing="1" w:line="360" w:lineRule="auto"/>
        <w:ind w:left="720" w:hanging="720"/>
        <w:outlineLvl w:val="1"/>
        <w:rPr>
          <w:b/>
          <w:bCs/>
          <w:color w:val="auto"/>
          <w:sz w:val="36"/>
          <w:szCs w:val="36"/>
          <w:highlight w:val="none"/>
        </w:rPr>
      </w:pPr>
      <w:bookmarkStart w:id="172" w:name="_Toc32005"/>
      <w:bookmarkStart w:id="173" w:name="_Toc16370"/>
      <w:bookmarkStart w:id="174" w:name="_Toc317237604"/>
      <w:bookmarkStart w:id="175" w:name="_Toc23502"/>
      <w:bookmarkStart w:id="176" w:name="_Toc317237779"/>
      <w:bookmarkStart w:id="177" w:name="_Toc4450"/>
      <w:bookmarkStart w:id="178" w:name="_Toc477188636"/>
      <w:r>
        <w:rPr>
          <w:rFonts w:hint="eastAsia"/>
          <w:b/>
          <w:bCs/>
          <w:color w:val="auto"/>
          <w:sz w:val="36"/>
          <w:szCs w:val="36"/>
          <w:highlight w:val="none"/>
        </w:rPr>
        <w:t>授予合同</w:t>
      </w:r>
      <w:bookmarkEnd w:id="172"/>
      <w:bookmarkEnd w:id="173"/>
      <w:bookmarkEnd w:id="174"/>
      <w:bookmarkEnd w:id="175"/>
      <w:bookmarkEnd w:id="176"/>
      <w:bookmarkEnd w:id="177"/>
      <w:bookmarkEnd w:id="178"/>
    </w:p>
    <w:p>
      <w:pPr>
        <w:numPr>
          <w:ilvl w:val="0"/>
          <w:numId w:val="4"/>
        </w:numPr>
        <w:spacing w:line="360" w:lineRule="auto"/>
        <w:rPr>
          <w:b/>
          <w:bCs/>
          <w:color w:val="auto"/>
          <w:sz w:val="24"/>
          <w:szCs w:val="24"/>
          <w:highlight w:val="none"/>
        </w:rPr>
      </w:pPr>
      <w:r>
        <w:rPr>
          <w:rFonts w:hint="eastAsia"/>
          <w:b/>
          <w:bCs/>
          <w:color w:val="auto"/>
          <w:sz w:val="24"/>
          <w:szCs w:val="24"/>
          <w:highlight w:val="none"/>
        </w:rPr>
        <w:t>成交供应商的确认</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79" w:name="_Toc18824"/>
      <w:bookmarkStart w:id="180" w:name="_Toc5459"/>
      <w:r>
        <w:rPr>
          <w:rFonts w:hint="eastAsia" w:ascii="Times New Roman" w:hAnsi="Times New Roman" w:cs="宋体"/>
          <w:color w:val="auto"/>
          <w:highlight w:val="none"/>
        </w:rPr>
        <w:t>磋商小组根据本磋商文件第五部分的规定，对供应商进行审查，对响应文件进行评价和比较，按照磋商文件规定的排序原则推荐成交候选人。</w:t>
      </w:r>
      <w:bookmarkEnd w:id="179"/>
      <w:bookmarkEnd w:id="180"/>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81" w:name="_Toc23988"/>
      <w:bookmarkStart w:id="182" w:name="_Toc30552"/>
      <w:r>
        <w:rPr>
          <w:rFonts w:hint="eastAsia" w:ascii="Times New Roman" w:hAnsi="Times New Roman" w:cs="宋体"/>
          <w:color w:val="auto"/>
          <w:highlight w:val="none"/>
        </w:rPr>
        <w:t>磋商小组有权按磋商文件的要求评定并推荐成交候选供应商，也有权拒绝任何或所有不符合磋商文件要求的供应商的响应文件。</w:t>
      </w:r>
      <w:bookmarkEnd w:id="181"/>
      <w:bookmarkEnd w:id="182"/>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83" w:name="_Toc27139"/>
      <w:bookmarkStart w:id="184" w:name="_Toc13823"/>
      <w:r>
        <w:rPr>
          <w:rFonts w:hint="eastAsia" w:ascii="Times New Roman" w:hAnsi="Times New Roman" w:cs="宋体"/>
          <w:color w:val="auto"/>
          <w:highlight w:val="none"/>
        </w:rPr>
        <w:t>采购人按照磋商小组推荐的成交候选供应商顺序确定成交供应商，磋商小组推荐成交候选人的人数见供应商须知前附表。</w:t>
      </w:r>
      <w:bookmarkEnd w:id="183"/>
      <w:bookmarkEnd w:id="184"/>
    </w:p>
    <w:p>
      <w:pPr>
        <w:numPr>
          <w:ilvl w:val="0"/>
          <w:numId w:val="4"/>
        </w:numPr>
        <w:spacing w:line="360" w:lineRule="auto"/>
        <w:rPr>
          <w:b/>
          <w:bCs/>
          <w:color w:val="auto"/>
          <w:sz w:val="24"/>
          <w:szCs w:val="24"/>
          <w:highlight w:val="none"/>
        </w:rPr>
      </w:pPr>
      <w:r>
        <w:rPr>
          <w:rFonts w:hint="eastAsia"/>
          <w:b/>
          <w:bCs/>
          <w:color w:val="auto"/>
          <w:sz w:val="24"/>
          <w:szCs w:val="24"/>
          <w:highlight w:val="none"/>
        </w:rPr>
        <w:t>合同授予标准</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85" w:name="_Toc27227"/>
      <w:bookmarkStart w:id="186" w:name="_Toc2256"/>
      <w:r>
        <w:rPr>
          <w:rFonts w:hint="eastAsia" w:ascii="Times New Roman" w:hAnsi="Times New Roman" w:cs="宋体"/>
          <w:color w:val="auto"/>
          <w:highlight w:val="none"/>
        </w:rPr>
        <w:t>采购人应当把合同授予磋商小组推荐的第一顺序成交候选人。被授予合同的供应商必须具有实施本合同的能力和资源。</w:t>
      </w:r>
      <w:bookmarkEnd w:id="185"/>
      <w:bookmarkEnd w:id="186"/>
    </w:p>
    <w:p>
      <w:pPr>
        <w:pStyle w:val="5"/>
        <w:tabs>
          <w:tab w:val="left" w:pos="1050"/>
          <w:tab w:val="clear" w:pos="992"/>
        </w:tabs>
        <w:ind w:left="0" w:firstLine="480" w:firstLineChars="200"/>
        <w:rPr>
          <w:rFonts w:ascii="Times New Roman" w:hAnsi="Times New Roman" w:cs="Times New Roman"/>
          <w:color w:val="auto"/>
          <w:highlight w:val="none"/>
        </w:rPr>
      </w:pPr>
      <w:bookmarkStart w:id="187" w:name="_Toc24835"/>
      <w:bookmarkStart w:id="188" w:name="_Toc18089"/>
      <w:r>
        <w:rPr>
          <w:rFonts w:hint="eastAsia" w:ascii="Times New Roman" w:hAnsi="Times New Roman" w:cs="宋体"/>
          <w:color w:val="auto"/>
          <w:highlight w:val="none"/>
        </w:rPr>
        <w:t>确认成交供应商之前，采购人有权对成交候选人诚信履约的能力进行最后审查。审查方式包括询问、调查、考察、要求成交候选人作出履约承诺或担保等。如果发现成交候选人提供了虚假材料，在响应文件中有故意隐瞒或虚报的情节，在以往的成交项目中有不诚信履约的情形，不能按采购人要求作出相应的履约承诺或担保等，采购人</w:t>
      </w:r>
      <w:r>
        <w:rPr>
          <w:rFonts w:hint="eastAsia" w:ascii="宋体" w:hAnsi="宋体"/>
          <w:color w:val="auto"/>
          <w:highlight w:val="none"/>
        </w:rPr>
        <w:t>应及时向财政部门举报，并按法律程序处理。</w:t>
      </w:r>
      <w:bookmarkEnd w:id="187"/>
      <w:bookmarkEnd w:id="188"/>
    </w:p>
    <w:p>
      <w:pPr>
        <w:numPr>
          <w:ilvl w:val="0"/>
          <w:numId w:val="4"/>
        </w:numPr>
        <w:spacing w:line="360" w:lineRule="auto"/>
        <w:rPr>
          <w:b/>
          <w:bCs/>
          <w:color w:val="auto"/>
          <w:sz w:val="24"/>
          <w:szCs w:val="24"/>
          <w:highlight w:val="none"/>
        </w:rPr>
      </w:pPr>
      <w:r>
        <w:rPr>
          <w:rFonts w:hint="eastAsia"/>
          <w:b/>
          <w:bCs/>
          <w:color w:val="auto"/>
          <w:sz w:val="24"/>
          <w:szCs w:val="24"/>
          <w:highlight w:val="none"/>
        </w:rPr>
        <w:t>成交通知</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89" w:name="_Toc21447"/>
      <w:bookmarkStart w:id="190" w:name="_Toc19984"/>
      <w:r>
        <w:rPr>
          <w:rFonts w:hint="eastAsia" w:ascii="Times New Roman" w:hAnsi="Times New Roman" w:cs="宋体"/>
          <w:color w:val="auto"/>
          <w:highlight w:val="none"/>
        </w:rPr>
        <w:t>确定成交供应商后，采购人以书面形式向成交供应商发出成交通知书。</w:t>
      </w:r>
      <w:bookmarkEnd w:id="189"/>
      <w:bookmarkEnd w:id="190"/>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91" w:name="_Toc1532"/>
      <w:bookmarkStart w:id="192" w:name="_Toc371"/>
      <w:r>
        <w:rPr>
          <w:rFonts w:hint="eastAsia" w:ascii="Times New Roman" w:hAnsi="Times New Roman" w:cs="宋体"/>
          <w:color w:val="auto"/>
          <w:highlight w:val="none"/>
        </w:rPr>
        <w:t>成交通知书的领取：成交供应商</w:t>
      </w:r>
      <w:r>
        <w:rPr>
          <w:rFonts w:hint="eastAsia" w:ascii="宋体" w:hAnsi="宋体"/>
          <w:color w:val="auto"/>
          <w:highlight w:val="none"/>
        </w:rPr>
        <w:t>自行前往</w:t>
      </w:r>
      <w:r>
        <w:rPr>
          <w:rFonts w:hint="eastAsia" w:ascii="Times New Roman" w:hAnsi="Times New Roman" w:cs="宋体"/>
          <w:color w:val="auto"/>
          <w:highlight w:val="none"/>
        </w:rPr>
        <w:t>采购人</w:t>
      </w:r>
      <w:r>
        <w:rPr>
          <w:rFonts w:hint="eastAsia" w:ascii="宋体" w:hAnsi="宋体"/>
          <w:color w:val="auto"/>
          <w:highlight w:val="none"/>
        </w:rPr>
        <w:t>构处领取</w:t>
      </w:r>
      <w:r>
        <w:rPr>
          <w:rFonts w:hint="eastAsia" w:ascii="Times New Roman" w:hAnsi="Times New Roman" w:cs="宋体"/>
          <w:color w:val="auto"/>
          <w:highlight w:val="none"/>
        </w:rPr>
        <w:t>成交通知书。</w:t>
      </w:r>
      <w:bookmarkEnd w:id="191"/>
      <w:bookmarkEnd w:id="192"/>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93" w:name="_Toc2035"/>
      <w:bookmarkStart w:id="194" w:name="_Toc259"/>
      <w:r>
        <w:rPr>
          <w:rFonts w:hint="eastAsia" w:ascii="Times New Roman" w:hAnsi="Times New Roman" w:cs="宋体"/>
          <w:color w:val="auto"/>
          <w:highlight w:val="none"/>
        </w:rPr>
        <w:t>成交通知书是合同的组成部分。</w:t>
      </w:r>
      <w:bookmarkEnd w:id="193"/>
      <w:bookmarkEnd w:id="194"/>
    </w:p>
    <w:p>
      <w:pPr>
        <w:numPr>
          <w:ilvl w:val="0"/>
          <w:numId w:val="4"/>
        </w:numPr>
        <w:spacing w:line="360" w:lineRule="auto"/>
        <w:rPr>
          <w:b/>
          <w:bCs/>
          <w:color w:val="auto"/>
          <w:sz w:val="24"/>
          <w:szCs w:val="24"/>
          <w:highlight w:val="none"/>
        </w:rPr>
      </w:pPr>
      <w:r>
        <w:rPr>
          <w:rFonts w:hint="eastAsia"/>
          <w:b/>
          <w:bCs/>
          <w:color w:val="auto"/>
          <w:sz w:val="24"/>
          <w:szCs w:val="24"/>
          <w:highlight w:val="none"/>
        </w:rPr>
        <w:t>签订合同</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95" w:name="_Toc16380"/>
      <w:bookmarkStart w:id="196" w:name="_Toc8602"/>
      <w:r>
        <w:rPr>
          <w:rFonts w:hint="eastAsia" w:ascii="Times New Roman" w:hAnsi="Times New Roman" w:cs="宋体"/>
          <w:color w:val="auto"/>
          <w:highlight w:val="none"/>
        </w:rPr>
        <w:t>采购人和成交供应商应当按照成交通知书规定的期限与成交供应商签订合同。成交通知书规定的期限最长不得超过</w:t>
      </w:r>
      <w:r>
        <w:rPr>
          <w:rFonts w:ascii="Times New Roman" w:hAnsi="Times New Roman" w:cs="Times New Roman"/>
          <w:color w:val="auto"/>
          <w:highlight w:val="none"/>
        </w:rPr>
        <w:t>30</w:t>
      </w:r>
      <w:r>
        <w:rPr>
          <w:rFonts w:hint="eastAsia" w:ascii="Times New Roman" w:hAnsi="Times New Roman" w:cs="宋体"/>
          <w:color w:val="auto"/>
          <w:highlight w:val="none"/>
        </w:rPr>
        <w:t>天。</w:t>
      </w:r>
      <w:bookmarkEnd w:id="195"/>
      <w:bookmarkEnd w:id="196"/>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97" w:name="_Toc27031"/>
      <w:bookmarkStart w:id="198" w:name="_Toc31265"/>
      <w:r>
        <w:rPr>
          <w:rFonts w:hint="eastAsia" w:ascii="Times New Roman" w:hAnsi="Times New Roman" w:cs="宋体"/>
          <w:color w:val="auto"/>
          <w:highlight w:val="none"/>
        </w:rPr>
        <w:t>成交供应商拒签合同，或不能在规定的期限内与采购人签订合同，采购人有权取消其成交资格。</w:t>
      </w:r>
      <w:bookmarkEnd w:id="197"/>
      <w:bookmarkEnd w:id="198"/>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199" w:name="_Toc14663"/>
      <w:bookmarkStart w:id="200" w:name="_Toc5411"/>
      <w:r>
        <w:rPr>
          <w:rFonts w:hint="eastAsia" w:ascii="Times New Roman" w:hAnsi="Times New Roman" w:cs="宋体"/>
          <w:color w:val="auto"/>
          <w:highlight w:val="none"/>
        </w:rPr>
        <w:t>成交供应商放弃成交或被取消成交资格后，采购人有权按磋商小组推荐的顺序确定备选成交候选人成交并与之签订合同。所有被确定成交的候选供应商均放弃成交或被取消成交资格，采购人应当重新组织采购。放弃或被取消成交资格的供应商不得参与重新采购。</w:t>
      </w:r>
      <w:bookmarkEnd w:id="199"/>
      <w:bookmarkEnd w:id="200"/>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201" w:name="_Toc13846"/>
      <w:bookmarkStart w:id="202" w:name="_Toc17814"/>
      <w:r>
        <w:rPr>
          <w:rFonts w:hint="eastAsia" w:ascii="Times New Roman" w:hAnsi="Times New Roman" w:cs="宋体"/>
          <w:color w:val="auto"/>
          <w:highlight w:val="none"/>
        </w:rPr>
        <w:t>成交供应商拒签合同或放弃成交是违约行为，应当依法赔偿违约行为给采购人造成的实际损失。</w:t>
      </w:r>
      <w:bookmarkEnd w:id="201"/>
      <w:bookmarkEnd w:id="202"/>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203" w:name="_Toc5014"/>
      <w:bookmarkStart w:id="204" w:name="_Toc22116"/>
      <w:r>
        <w:rPr>
          <w:rFonts w:hint="eastAsia" w:ascii="Times New Roman" w:hAnsi="Times New Roman" w:cs="宋体"/>
          <w:color w:val="auto"/>
          <w:highlight w:val="none"/>
        </w:rPr>
        <w:t>前款所称“违约行为给采购人造成的实际损失”，是指顺延成交供应商的成交价格高于违约人成交价格的高出部分。</w:t>
      </w:r>
      <w:bookmarkEnd w:id="203"/>
      <w:bookmarkEnd w:id="204"/>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205" w:name="_Toc14143"/>
      <w:bookmarkStart w:id="206" w:name="_Toc19251"/>
      <w:r>
        <w:rPr>
          <w:rFonts w:hint="eastAsia" w:ascii="Times New Roman" w:hAnsi="Times New Roman" w:cs="宋体"/>
          <w:color w:val="auto"/>
          <w:highlight w:val="none"/>
        </w:rPr>
        <w:t>签订合同及合同条款应以磋商文件和成交供应商的响应文件为依据。</w:t>
      </w:r>
      <w:bookmarkEnd w:id="205"/>
      <w:bookmarkEnd w:id="206"/>
    </w:p>
    <w:p>
      <w:pPr>
        <w:numPr>
          <w:ilvl w:val="0"/>
          <w:numId w:val="4"/>
        </w:numPr>
        <w:spacing w:line="360" w:lineRule="auto"/>
        <w:rPr>
          <w:b/>
          <w:bCs/>
          <w:color w:val="auto"/>
          <w:sz w:val="24"/>
          <w:szCs w:val="24"/>
          <w:highlight w:val="none"/>
        </w:rPr>
      </w:pPr>
      <w:r>
        <w:rPr>
          <w:rFonts w:hint="eastAsia"/>
          <w:b/>
          <w:bCs/>
          <w:color w:val="auto"/>
          <w:sz w:val="24"/>
          <w:szCs w:val="24"/>
          <w:highlight w:val="none"/>
        </w:rPr>
        <w:t>验收</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207" w:name="_Toc3596"/>
      <w:bookmarkStart w:id="208" w:name="_Toc12281"/>
      <w:r>
        <w:rPr>
          <w:rFonts w:hint="eastAsia" w:ascii="Times New Roman" w:hAnsi="Times New Roman" w:cs="宋体"/>
          <w:color w:val="auto"/>
          <w:highlight w:val="none"/>
        </w:rPr>
        <w:t>成交供应商与采购人应严格按照磋商文件规定的标准和响应文件承诺的条件进行验收。</w:t>
      </w:r>
      <w:bookmarkEnd w:id="207"/>
      <w:bookmarkEnd w:id="208"/>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209" w:name="_Toc23777"/>
      <w:bookmarkStart w:id="210" w:name="_Toc4631"/>
      <w:r>
        <w:rPr>
          <w:rFonts w:hint="eastAsia" w:ascii="Times New Roman" w:hAnsi="Times New Roman" w:cs="宋体"/>
          <w:color w:val="auto"/>
          <w:highlight w:val="none"/>
        </w:rPr>
        <w:t>采购人可以独立邀请第三方参与验收。验收出现争议时，成交供应商可以与采购人协商共同邀请第三方参与验收。</w:t>
      </w:r>
      <w:bookmarkEnd w:id="209"/>
      <w:bookmarkEnd w:id="210"/>
    </w:p>
    <w:p>
      <w:pPr>
        <w:numPr>
          <w:ilvl w:val="0"/>
          <w:numId w:val="3"/>
        </w:numPr>
        <w:tabs>
          <w:tab w:val="left" w:pos="540"/>
          <w:tab w:val="left" w:pos="720"/>
        </w:tabs>
        <w:spacing w:before="100" w:beforeAutospacing="1" w:after="100" w:afterAutospacing="1" w:line="360" w:lineRule="auto"/>
        <w:ind w:left="720" w:hanging="720"/>
        <w:outlineLvl w:val="1"/>
        <w:rPr>
          <w:b/>
          <w:bCs/>
          <w:color w:val="auto"/>
          <w:sz w:val="36"/>
          <w:szCs w:val="36"/>
          <w:highlight w:val="none"/>
        </w:rPr>
      </w:pPr>
      <w:bookmarkStart w:id="211" w:name="_Toc317237605"/>
      <w:bookmarkStart w:id="212" w:name="_Toc30896"/>
      <w:bookmarkStart w:id="213" w:name="_Toc2022"/>
      <w:bookmarkStart w:id="214" w:name="_Toc24716"/>
      <w:bookmarkStart w:id="215" w:name="_Toc19366"/>
      <w:bookmarkStart w:id="216" w:name="_Toc317237780"/>
      <w:bookmarkStart w:id="217" w:name="_Toc477188637"/>
      <w:r>
        <w:rPr>
          <w:rFonts w:hint="eastAsia"/>
          <w:b/>
          <w:bCs/>
          <w:color w:val="auto"/>
          <w:sz w:val="36"/>
          <w:szCs w:val="36"/>
          <w:highlight w:val="none"/>
        </w:rPr>
        <w:t>询问、质疑和投诉</w:t>
      </w:r>
      <w:bookmarkEnd w:id="211"/>
      <w:bookmarkEnd w:id="212"/>
      <w:bookmarkEnd w:id="213"/>
      <w:bookmarkEnd w:id="214"/>
      <w:bookmarkEnd w:id="215"/>
      <w:bookmarkEnd w:id="216"/>
      <w:bookmarkEnd w:id="217"/>
    </w:p>
    <w:p>
      <w:pPr>
        <w:numPr>
          <w:ilvl w:val="0"/>
          <w:numId w:val="4"/>
        </w:numPr>
        <w:spacing w:line="360" w:lineRule="auto"/>
        <w:rPr>
          <w:b/>
          <w:bCs/>
          <w:color w:val="auto"/>
          <w:sz w:val="24"/>
          <w:szCs w:val="24"/>
          <w:highlight w:val="none"/>
        </w:rPr>
      </w:pPr>
      <w:r>
        <w:rPr>
          <w:rFonts w:hint="eastAsia"/>
          <w:b/>
          <w:bCs/>
          <w:color w:val="auto"/>
          <w:sz w:val="24"/>
          <w:szCs w:val="24"/>
          <w:highlight w:val="none"/>
        </w:rPr>
        <w:t>询问</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218" w:name="_Toc24844"/>
      <w:bookmarkStart w:id="219" w:name="_Toc18863"/>
      <w:r>
        <w:rPr>
          <w:rFonts w:hint="eastAsia" w:ascii="Times New Roman" w:hAnsi="Times New Roman" w:cs="宋体"/>
          <w:color w:val="auto"/>
          <w:highlight w:val="none"/>
        </w:rPr>
        <w:t>供应商对本采购活动事项有疑问的，应当以书面形式向采购人提出询问。</w:t>
      </w:r>
      <w:bookmarkEnd w:id="218"/>
      <w:bookmarkEnd w:id="219"/>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220" w:name="_Toc13968"/>
      <w:bookmarkStart w:id="221" w:name="_Toc14324"/>
      <w:r>
        <w:rPr>
          <w:rFonts w:hint="eastAsia" w:ascii="Times New Roman" w:hAnsi="Times New Roman" w:cs="宋体"/>
          <w:color w:val="auto"/>
          <w:highlight w:val="none"/>
        </w:rPr>
        <w:t>询问应当用传真、信函、电子邮件等方式提出。</w:t>
      </w:r>
      <w:bookmarkEnd w:id="220"/>
      <w:bookmarkEnd w:id="221"/>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222" w:name="_Toc1130"/>
      <w:bookmarkStart w:id="223" w:name="_Toc14981"/>
      <w:r>
        <w:rPr>
          <w:rFonts w:hint="eastAsia" w:ascii="Times New Roman" w:hAnsi="Times New Roman" w:cs="宋体"/>
          <w:color w:val="auto"/>
          <w:highlight w:val="none"/>
        </w:rPr>
        <w:t>对询问的答复，将依据是否是重要的共性问题，决定是否同时告知其他供应商。</w:t>
      </w:r>
      <w:bookmarkEnd w:id="222"/>
      <w:bookmarkEnd w:id="223"/>
    </w:p>
    <w:p>
      <w:pPr>
        <w:numPr>
          <w:ilvl w:val="0"/>
          <w:numId w:val="4"/>
        </w:numPr>
        <w:spacing w:line="360" w:lineRule="auto"/>
        <w:rPr>
          <w:b/>
          <w:bCs/>
          <w:color w:val="auto"/>
          <w:sz w:val="24"/>
          <w:szCs w:val="24"/>
          <w:highlight w:val="none"/>
        </w:rPr>
      </w:pPr>
      <w:r>
        <w:rPr>
          <w:rFonts w:hint="eastAsia"/>
          <w:b/>
          <w:bCs/>
          <w:color w:val="auto"/>
          <w:sz w:val="24"/>
          <w:szCs w:val="24"/>
          <w:highlight w:val="none"/>
        </w:rPr>
        <w:t>质疑</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224" w:name="_Toc11105"/>
      <w:bookmarkStart w:id="225" w:name="_Toc282"/>
      <w:r>
        <w:rPr>
          <w:rFonts w:hint="eastAsia" w:ascii="Times New Roman" w:hAnsi="Times New Roman" w:cs="宋体"/>
          <w:color w:val="auto"/>
          <w:highlight w:val="none"/>
        </w:rPr>
        <w:t>供应商认为采购文件、采购过程和成交结果使自己的权益受到损害的，可以在知道或者应知其权益受到损害之日起七个工作日内，以书面形式向采购人提出质疑。</w:t>
      </w:r>
      <w:bookmarkEnd w:id="224"/>
      <w:bookmarkEnd w:id="225"/>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226" w:name="_Toc3346"/>
      <w:bookmarkStart w:id="227" w:name="_Toc9212"/>
      <w:r>
        <w:rPr>
          <w:rFonts w:hint="eastAsia" w:ascii="Times New Roman" w:hAnsi="Times New Roman" w:cs="宋体"/>
          <w:color w:val="auto"/>
          <w:highlight w:val="none"/>
        </w:rPr>
        <w:t>质疑必须以书面形式提出。质疑书必须由提出质疑的供应商的法定代表人亲笔签署，并加盖企业法人公章。</w:t>
      </w:r>
      <w:bookmarkEnd w:id="226"/>
      <w:bookmarkEnd w:id="227"/>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228" w:name="_Toc12645"/>
      <w:bookmarkStart w:id="229" w:name="_Toc19824"/>
      <w:r>
        <w:rPr>
          <w:rFonts w:hint="eastAsia" w:ascii="Times New Roman" w:hAnsi="Times New Roman" w:cs="宋体"/>
          <w:color w:val="auto"/>
          <w:highlight w:val="none"/>
        </w:rPr>
        <w:t>质疑应当用传真、信函或电子邮件送达。信函的邮发地必须是供应商的注册地；发出传真的号码和发出邮件的邮箱必须是供应商以网站或其他形式公布的号码及邮箱。</w:t>
      </w:r>
      <w:bookmarkEnd w:id="228"/>
      <w:bookmarkEnd w:id="229"/>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230" w:name="_Toc17404"/>
      <w:bookmarkStart w:id="231" w:name="_Toc30125"/>
      <w:r>
        <w:rPr>
          <w:rFonts w:hint="eastAsia" w:ascii="Times New Roman" w:hAnsi="Times New Roman" w:cs="宋体"/>
          <w:color w:val="auto"/>
          <w:highlight w:val="none"/>
        </w:rPr>
        <w:t>不符合本章第</w:t>
      </w:r>
      <w:r>
        <w:rPr>
          <w:rFonts w:ascii="Times New Roman" w:hAnsi="Times New Roman" w:cs="Times New Roman"/>
          <w:color w:val="auto"/>
          <w:highlight w:val="none"/>
        </w:rPr>
        <w:t>32.1</w:t>
      </w:r>
      <w:r>
        <w:rPr>
          <w:rFonts w:hint="eastAsia" w:ascii="Times New Roman" w:hAnsi="Times New Roman" w:cs="宋体"/>
          <w:color w:val="auto"/>
          <w:highlight w:val="none"/>
        </w:rPr>
        <w:t>和</w:t>
      </w:r>
      <w:r>
        <w:rPr>
          <w:rFonts w:ascii="Times New Roman" w:hAnsi="Times New Roman" w:cs="Times New Roman"/>
          <w:color w:val="auto"/>
          <w:highlight w:val="none"/>
        </w:rPr>
        <w:t>32.2</w:t>
      </w:r>
      <w:r>
        <w:rPr>
          <w:rFonts w:hint="eastAsia" w:ascii="Times New Roman" w:hAnsi="Times New Roman" w:cs="宋体"/>
          <w:color w:val="auto"/>
          <w:highlight w:val="none"/>
        </w:rPr>
        <w:t>款规定的质疑是无效质疑，不予受理。</w:t>
      </w:r>
      <w:bookmarkEnd w:id="230"/>
      <w:bookmarkEnd w:id="231"/>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232" w:name="_Toc11453"/>
      <w:bookmarkStart w:id="233" w:name="_Toc19476"/>
      <w:r>
        <w:rPr>
          <w:rFonts w:hint="eastAsia" w:ascii="Times New Roman" w:hAnsi="Times New Roman" w:cs="宋体"/>
          <w:color w:val="auto"/>
          <w:highlight w:val="none"/>
        </w:rPr>
        <w:t>对于供应商的有效质疑，采购人将按照《中华人共和国政府采购法》、《政府采购货物和服务招标投标管理办法》和《海南省实施〈中华人民共和国政府采购法〉办法》的规定及时予以答复。</w:t>
      </w:r>
      <w:bookmarkEnd w:id="232"/>
      <w:bookmarkEnd w:id="233"/>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234" w:name="_Toc29889"/>
      <w:bookmarkStart w:id="235" w:name="_Toc25412"/>
      <w:r>
        <w:rPr>
          <w:rFonts w:hint="eastAsia" w:ascii="Times New Roman" w:hAnsi="Times New Roman" w:cs="宋体"/>
          <w:color w:val="auto"/>
          <w:highlight w:val="none"/>
        </w:rPr>
        <w:t>供应商应当慎重使用质疑的权利。属于对政府采购活动事项产生一般疑问的，应当根据政府采购法第</w:t>
      </w:r>
      <w:r>
        <w:rPr>
          <w:rFonts w:ascii="Times New Roman" w:hAnsi="Times New Roman" w:cs="Times New Roman"/>
          <w:color w:val="auto"/>
          <w:highlight w:val="none"/>
        </w:rPr>
        <w:t>52</w:t>
      </w:r>
      <w:r>
        <w:rPr>
          <w:rFonts w:hint="eastAsia" w:ascii="Times New Roman" w:hAnsi="Times New Roman" w:cs="宋体"/>
          <w:color w:val="auto"/>
          <w:highlight w:val="none"/>
        </w:rPr>
        <w:t>条的规定提出询问。</w:t>
      </w:r>
      <w:bookmarkEnd w:id="234"/>
      <w:bookmarkEnd w:id="235"/>
    </w:p>
    <w:p>
      <w:pPr>
        <w:numPr>
          <w:ilvl w:val="0"/>
          <w:numId w:val="4"/>
        </w:numPr>
        <w:spacing w:line="360" w:lineRule="auto"/>
        <w:rPr>
          <w:b/>
          <w:bCs/>
          <w:color w:val="auto"/>
          <w:sz w:val="24"/>
          <w:szCs w:val="24"/>
          <w:highlight w:val="none"/>
        </w:rPr>
      </w:pPr>
      <w:r>
        <w:rPr>
          <w:rFonts w:hint="eastAsia"/>
          <w:b/>
          <w:bCs/>
          <w:color w:val="auto"/>
          <w:sz w:val="24"/>
          <w:szCs w:val="24"/>
          <w:highlight w:val="none"/>
        </w:rPr>
        <w:t>投诉</w:t>
      </w:r>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236" w:name="_Toc30522"/>
      <w:bookmarkStart w:id="237" w:name="_Toc10826"/>
      <w:r>
        <w:rPr>
          <w:rFonts w:hint="eastAsia" w:ascii="Times New Roman" w:hAnsi="Times New Roman" w:cs="宋体"/>
          <w:color w:val="auto"/>
          <w:highlight w:val="none"/>
        </w:rPr>
        <w:t>供应商对质疑事项的答复不满意，或者没有在法定期限内得到答复的，可以依法向政府采购监管部门进行投诉。</w:t>
      </w:r>
      <w:bookmarkEnd w:id="236"/>
      <w:bookmarkEnd w:id="237"/>
    </w:p>
    <w:p>
      <w:pPr>
        <w:pStyle w:val="5"/>
        <w:numPr>
          <w:ilvl w:val="1"/>
          <w:numId w:val="4"/>
        </w:numPr>
        <w:tabs>
          <w:tab w:val="left" w:pos="1050"/>
          <w:tab w:val="clear" w:pos="992"/>
        </w:tabs>
        <w:ind w:left="0" w:firstLine="480" w:firstLineChars="200"/>
        <w:rPr>
          <w:rFonts w:ascii="Times New Roman" w:hAnsi="Times New Roman" w:cs="Times New Roman"/>
          <w:color w:val="auto"/>
          <w:highlight w:val="none"/>
        </w:rPr>
      </w:pPr>
      <w:bookmarkStart w:id="238" w:name="_Toc8544"/>
      <w:bookmarkStart w:id="239" w:name="_Toc11333"/>
      <w:r>
        <w:rPr>
          <w:rFonts w:hint="eastAsia" w:ascii="Times New Roman" w:hAnsi="Times New Roman" w:cs="宋体"/>
          <w:color w:val="auto"/>
          <w:highlight w:val="none"/>
        </w:rPr>
        <w:t>供应商的投诉，应当符合《中华人共和国政府采购法》、《政府采购供应商投诉处理办法》、《财政部关于加强政府采购供应商投诉受理审查工作的通知》的相关规定。</w:t>
      </w:r>
      <w:bookmarkEnd w:id="238"/>
      <w:bookmarkEnd w:id="239"/>
    </w:p>
    <w:p>
      <w:pPr>
        <w:numPr>
          <w:ilvl w:val="0"/>
          <w:numId w:val="3"/>
        </w:numPr>
        <w:tabs>
          <w:tab w:val="left" w:pos="540"/>
          <w:tab w:val="left" w:pos="720"/>
        </w:tabs>
        <w:spacing w:before="100" w:beforeAutospacing="1" w:after="100" w:afterAutospacing="1" w:line="360" w:lineRule="auto"/>
        <w:ind w:left="720" w:hanging="720"/>
        <w:outlineLvl w:val="1"/>
        <w:rPr>
          <w:b/>
          <w:bCs/>
          <w:color w:val="auto"/>
          <w:sz w:val="36"/>
          <w:szCs w:val="36"/>
          <w:highlight w:val="none"/>
        </w:rPr>
      </w:pPr>
      <w:bookmarkStart w:id="240" w:name="_Toc10766"/>
      <w:bookmarkStart w:id="241" w:name="_Toc4791"/>
      <w:bookmarkStart w:id="242" w:name="_Toc317237781"/>
      <w:bookmarkStart w:id="243" w:name="_Toc477188638"/>
      <w:bookmarkStart w:id="244" w:name="_Toc29629"/>
      <w:bookmarkStart w:id="245" w:name="_Toc30845"/>
      <w:bookmarkStart w:id="246" w:name="_Toc317237606"/>
      <w:r>
        <w:rPr>
          <w:rFonts w:hint="eastAsia"/>
          <w:b/>
          <w:bCs/>
          <w:color w:val="auto"/>
          <w:sz w:val="36"/>
          <w:szCs w:val="36"/>
          <w:highlight w:val="none"/>
        </w:rPr>
        <w:t>纪律和监督</w:t>
      </w:r>
      <w:bookmarkEnd w:id="240"/>
      <w:bookmarkEnd w:id="241"/>
      <w:bookmarkEnd w:id="242"/>
      <w:bookmarkEnd w:id="243"/>
      <w:bookmarkEnd w:id="244"/>
      <w:bookmarkEnd w:id="245"/>
      <w:bookmarkEnd w:id="246"/>
    </w:p>
    <w:p>
      <w:pPr>
        <w:numPr>
          <w:ilvl w:val="0"/>
          <w:numId w:val="4"/>
        </w:numPr>
        <w:spacing w:line="360" w:lineRule="auto"/>
        <w:rPr>
          <w:b/>
          <w:bCs/>
          <w:color w:val="auto"/>
          <w:sz w:val="24"/>
          <w:szCs w:val="24"/>
          <w:highlight w:val="none"/>
        </w:rPr>
      </w:pPr>
      <w:r>
        <w:rPr>
          <w:rFonts w:hint="eastAsia"/>
          <w:b/>
          <w:bCs/>
          <w:color w:val="auto"/>
          <w:sz w:val="24"/>
          <w:szCs w:val="24"/>
          <w:highlight w:val="none"/>
        </w:rPr>
        <w:t>对采购人的纪律要求</w:t>
      </w:r>
    </w:p>
    <w:p>
      <w:pPr>
        <w:pStyle w:val="5"/>
        <w:tabs>
          <w:tab w:val="left" w:pos="1050"/>
        </w:tabs>
        <w:ind w:left="0" w:firstLine="480" w:firstLineChars="200"/>
        <w:rPr>
          <w:rFonts w:ascii="Times New Roman" w:hAnsi="Times New Roman" w:cs="Times New Roman"/>
          <w:color w:val="auto"/>
          <w:highlight w:val="none"/>
        </w:rPr>
      </w:pPr>
      <w:bookmarkStart w:id="247" w:name="_Toc29297"/>
      <w:bookmarkStart w:id="248" w:name="_Toc6583"/>
      <w:r>
        <w:rPr>
          <w:rFonts w:hint="eastAsia" w:ascii="Times New Roman" w:hAnsi="Times New Roman" w:cs="宋体"/>
          <w:color w:val="auto"/>
          <w:highlight w:val="none"/>
        </w:rPr>
        <w:t>采购人不得泄漏磋商采购活动中应当保密的情况和资料，不得与供应商串通损害国家利益、社会公共利益或他人的合法权益。</w:t>
      </w:r>
      <w:bookmarkEnd w:id="247"/>
      <w:bookmarkEnd w:id="248"/>
    </w:p>
    <w:p>
      <w:pPr>
        <w:numPr>
          <w:ilvl w:val="0"/>
          <w:numId w:val="4"/>
        </w:numPr>
        <w:spacing w:line="360" w:lineRule="auto"/>
        <w:rPr>
          <w:b/>
          <w:bCs/>
          <w:color w:val="auto"/>
          <w:sz w:val="24"/>
          <w:szCs w:val="24"/>
          <w:highlight w:val="none"/>
        </w:rPr>
      </w:pPr>
      <w:r>
        <w:rPr>
          <w:rFonts w:hint="eastAsia"/>
          <w:b/>
          <w:bCs/>
          <w:color w:val="auto"/>
          <w:sz w:val="24"/>
          <w:szCs w:val="24"/>
          <w:highlight w:val="none"/>
        </w:rPr>
        <w:t>对供应商的纪律要求</w:t>
      </w:r>
    </w:p>
    <w:p>
      <w:pPr>
        <w:pStyle w:val="5"/>
        <w:tabs>
          <w:tab w:val="left" w:pos="1050"/>
        </w:tabs>
        <w:ind w:left="0" w:firstLine="480" w:firstLineChars="200"/>
        <w:rPr>
          <w:rFonts w:ascii="Times New Roman" w:hAnsi="Times New Roman" w:cs="Times New Roman"/>
          <w:color w:val="auto"/>
          <w:highlight w:val="none"/>
        </w:rPr>
      </w:pPr>
      <w:bookmarkStart w:id="249" w:name="_Toc17611"/>
      <w:bookmarkStart w:id="250" w:name="_Toc32752"/>
      <w:r>
        <w:rPr>
          <w:rFonts w:hint="eastAsia" w:ascii="Times New Roman" w:hAnsi="Times New Roman" w:cs="宋体"/>
          <w:color w:val="auto"/>
          <w:highlight w:val="none"/>
        </w:rPr>
        <w:t>不得提供虚假材料谋取成交；不得采取不正当手段诋毁、排挤其他供应商；不得与采购人、其他供应商恶意串通；不得向采购人、磋商小组成员行贿或者提供其他不正当利益；不得拒不遵守磋商纪律，故意扰乱磋商会场秩序或其他无理取闹行为；不得在采购过程中与采购人进行协商谈判；不得拒绝有关部门的监督检查或者向监督检查部门提供虚假情况。有上述情形之一的供应商，属于不合格供应商，其成交资格将被取消。</w:t>
      </w:r>
      <w:bookmarkEnd w:id="249"/>
      <w:bookmarkEnd w:id="250"/>
    </w:p>
    <w:p>
      <w:pPr>
        <w:numPr>
          <w:ilvl w:val="0"/>
          <w:numId w:val="4"/>
        </w:numPr>
        <w:spacing w:line="360" w:lineRule="auto"/>
        <w:rPr>
          <w:b/>
          <w:bCs/>
          <w:color w:val="auto"/>
          <w:sz w:val="24"/>
          <w:szCs w:val="24"/>
          <w:highlight w:val="none"/>
        </w:rPr>
      </w:pPr>
      <w:r>
        <w:rPr>
          <w:rFonts w:hint="eastAsia"/>
          <w:b/>
          <w:bCs/>
          <w:color w:val="auto"/>
          <w:sz w:val="24"/>
          <w:szCs w:val="24"/>
          <w:highlight w:val="none"/>
        </w:rPr>
        <w:t>对磋商小组成员的纪律要求</w:t>
      </w:r>
    </w:p>
    <w:p>
      <w:pPr>
        <w:pStyle w:val="5"/>
        <w:tabs>
          <w:tab w:val="left" w:pos="1050"/>
        </w:tabs>
        <w:ind w:left="0" w:firstLine="480" w:firstLineChars="200"/>
        <w:rPr>
          <w:rFonts w:ascii="Times New Roman" w:hAnsi="Times New Roman" w:cs="Times New Roman"/>
          <w:color w:val="auto"/>
          <w:highlight w:val="none"/>
        </w:rPr>
      </w:pPr>
      <w:bookmarkStart w:id="251" w:name="_Toc24526"/>
      <w:bookmarkStart w:id="252" w:name="_Toc20471"/>
      <w:r>
        <w:rPr>
          <w:rFonts w:hint="eastAsia" w:ascii="Times New Roman" w:hAnsi="Times New Roman" w:cs="宋体"/>
          <w:color w:val="auto"/>
          <w:highlight w:val="none"/>
        </w:rPr>
        <w:t>磋商小组成员不得收受他人的财物或者其他好处，不得向他人透漏对响应文件的评审和比较、成交候选人的推荐情况以及磋商有关的其他情况。在磋商活动中，磋商小组成员不得擅离职守，影响磋商程序正常进行，不得使用本磋商文件第五部分规定之外的评审因素和标准进行评标。</w:t>
      </w:r>
      <w:bookmarkEnd w:id="251"/>
      <w:bookmarkEnd w:id="252"/>
    </w:p>
    <w:p>
      <w:pPr>
        <w:numPr>
          <w:ilvl w:val="0"/>
          <w:numId w:val="4"/>
        </w:numPr>
        <w:spacing w:line="360" w:lineRule="auto"/>
        <w:rPr>
          <w:b/>
          <w:bCs/>
          <w:color w:val="auto"/>
          <w:sz w:val="24"/>
          <w:szCs w:val="24"/>
          <w:highlight w:val="none"/>
        </w:rPr>
      </w:pPr>
      <w:r>
        <w:rPr>
          <w:rFonts w:hint="eastAsia"/>
          <w:b/>
          <w:bCs/>
          <w:color w:val="auto"/>
          <w:sz w:val="24"/>
          <w:szCs w:val="24"/>
          <w:highlight w:val="none"/>
        </w:rPr>
        <w:t>对与磋商活动有关的工作人员的纪律要求</w:t>
      </w:r>
    </w:p>
    <w:p>
      <w:pPr>
        <w:pStyle w:val="5"/>
        <w:tabs>
          <w:tab w:val="left" w:pos="1050"/>
        </w:tabs>
        <w:ind w:left="0" w:firstLine="480" w:firstLineChars="200"/>
        <w:rPr>
          <w:rFonts w:ascii="Times New Roman" w:hAnsi="Times New Roman" w:cs="Times New Roman"/>
          <w:color w:val="auto"/>
          <w:highlight w:val="none"/>
        </w:rPr>
      </w:pPr>
      <w:bookmarkStart w:id="253" w:name="_Toc24491"/>
      <w:bookmarkStart w:id="254" w:name="_Toc30673"/>
      <w:r>
        <w:rPr>
          <w:rFonts w:hint="eastAsia" w:ascii="Times New Roman" w:hAnsi="Times New Roman" w:cs="宋体"/>
          <w:color w:val="auto"/>
          <w:highlight w:val="none"/>
        </w:rPr>
        <w:t>与磋商活动有关的工作人员不得收受他人的财物或者其他好处，不得向他人透漏对响应文件的评审和比较、成交候选人的推荐情况以及磋商有关的其他情况。在磋商活动中，与磋商活动有关的工作人员不得擅离职守，影响磋商程序正常进行。</w:t>
      </w:r>
      <w:bookmarkEnd w:id="253"/>
      <w:bookmarkEnd w:id="254"/>
    </w:p>
    <w:p>
      <w:pPr>
        <w:spacing w:line="360" w:lineRule="auto"/>
        <w:jc w:val="center"/>
        <w:outlineLvl w:val="0"/>
        <w:rPr>
          <w:color w:val="auto"/>
          <w:sz w:val="24"/>
          <w:highlight w:val="none"/>
        </w:rPr>
      </w:pPr>
      <w:bookmarkStart w:id="255" w:name="_Toc317237607"/>
      <w:bookmarkEnd w:id="255"/>
      <w:bookmarkStart w:id="256" w:name="_Toc2905"/>
      <w:r>
        <w:rPr>
          <w:color w:val="auto"/>
          <w:sz w:val="24"/>
          <w:szCs w:val="24"/>
          <w:highlight w:val="none"/>
        </w:rPr>
        <w:br w:type="page"/>
      </w:r>
    </w:p>
    <w:p>
      <w:pPr>
        <w:numPr>
          <w:ilvl w:val="0"/>
          <w:numId w:val="5"/>
        </w:numPr>
        <w:tabs>
          <w:tab w:val="left" w:pos="7480"/>
        </w:tabs>
        <w:spacing w:line="360" w:lineRule="auto"/>
        <w:jc w:val="center"/>
        <w:outlineLvl w:val="0"/>
        <w:rPr>
          <w:b/>
          <w:bCs/>
          <w:color w:val="auto"/>
          <w:sz w:val="48"/>
          <w:szCs w:val="48"/>
          <w:highlight w:val="none"/>
        </w:rPr>
      </w:pPr>
      <w:bookmarkStart w:id="257" w:name="_Toc16684"/>
      <w:bookmarkStart w:id="258" w:name="_Toc21671"/>
      <w:bookmarkStart w:id="259" w:name="_Toc22478"/>
      <w:bookmarkStart w:id="260" w:name="_Toc22248"/>
      <w:r>
        <w:rPr>
          <w:rFonts w:hint="eastAsia"/>
          <w:b/>
          <w:bCs/>
          <w:color w:val="auto"/>
          <w:sz w:val="48"/>
          <w:szCs w:val="48"/>
          <w:highlight w:val="none"/>
        </w:rPr>
        <w:t>采购需求</w:t>
      </w:r>
      <w:bookmarkEnd w:id="256"/>
      <w:bookmarkEnd w:id="257"/>
      <w:bookmarkEnd w:id="258"/>
      <w:bookmarkEnd w:id="259"/>
      <w:bookmarkEnd w:id="260"/>
    </w:p>
    <w:p>
      <w:pPr>
        <w:pStyle w:val="24"/>
        <w:ind w:left="0" w:leftChars="0" w:firstLine="0" w:firstLineChars="0"/>
        <w:jc w:val="center"/>
        <w:rPr>
          <w:rFonts w:hint="default" w:eastAsia="宋体"/>
          <w:b/>
          <w:bCs/>
          <w:sz w:val="48"/>
          <w:szCs w:val="48"/>
          <w:lang w:val="en-US" w:eastAsia="zh-CN"/>
        </w:rPr>
      </w:pPr>
      <w:r>
        <w:rPr>
          <w:rFonts w:hint="eastAsia"/>
          <w:b/>
          <w:bCs/>
          <w:sz w:val="48"/>
          <w:szCs w:val="48"/>
          <w:lang w:val="en-US" w:eastAsia="zh-CN"/>
        </w:rPr>
        <w:t>A包</w:t>
      </w:r>
    </w:p>
    <w:p>
      <w:pPr>
        <w:pStyle w:val="16"/>
      </w:pPr>
      <w:r>
        <w:rPr>
          <w:rFonts w:hint="eastAsia"/>
          <w:b/>
          <w:sz w:val="28"/>
          <w:szCs w:val="28"/>
        </w:rPr>
        <w:t>货物规格、技术参数要求如下：</w:t>
      </w:r>
    </w:p>
    <w:tbl>
      <w:tblPr>
        <w:tblStyle w:val="25"/>
        <w:tblW w:w="9555" w:type="dxa"/>
        <w:tblInd w:w="-15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42"/>
        <w:gridCol w:w="1355"/>
        <w:gridCol w:w="3508"/>
        <w:gridCol w:w="1258"/>
        <w:gridCol w:w="761"/>
        <w:gridCol w:w="981"/>
        <w:gridCol w:w="10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5" w:hRule="atLeast"/>
        </w:trPr>
        <w:tc>
          <w:tcPr>
            <w:tcW w:w="642" w:type="dxa"/>
            <w:shd w:val="clear" w:color="auto" w:fill="FFFFFF"/>
            <w:noWrap w:val="0"/>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序号</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采购品目名称</w:t>
            </w:r>
          </w:p>
        </w:tc>
        <w:tc>
          <w:tcPr>
            <w:tcW w:w="3508"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规格和配置技术参数</w:t>
            </w:r>
          </w:p>
        </w:tc>
        <w:tc>
          <w:tcPr>
            <w:tcW w:w="1258"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76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98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是否进口产品</w:t>
            </w:r>
          </w:p>
        </w:tc>
        <w:tc>
          <w:tcPr>
            <w:tcW w:w="1050" w:type="dxa"/>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0" w:hRule="atLeast"/>
        </w:trPr>
        <w:tc>
          <w:tcPr>
            <w:tcW w:w="642" w:type="dxa"/>
            <w:shd w:val="clear" w:color="auto" w:fill="FFFFFF"/>
            <w:noWrap w:val="0"/>
            <w:vAlign w:val="center"/>
          </w:tcPr>
          <w:p>
            <w:pPr>
              <w:jc w:val="center"/>
              <w:rPr>
                <w:rFonts w:hint="eastAsia" w:ascii="微软雅黑" w:hAnsi="微软雅黑" w:eastAsia="微软雅黑" w:cs="微软雅黑"/>
                <w:b/>
                <w:bCs/>
                <w:i w:val="0"/>
                <w:iCs w:val="0"/>
                <w:color w:val="000000"/>
                <w:sz w:val="24"/>
                <w:szCs w:val="24"/>
                <w:u w:val="none"/>
              </w:rPr>
            </w:pP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3508" w:type="dxa"/>
            <w:shd w:val="clear" w:color="auto" w:fill="auto"/>
            <w:noWrap w:val="0"/>
            <w:vAlign w:val="center"/>
          </w:tcPr>
          <w:p>
            <w:pPr>
              <w:jc w:val="center"/>
              <w:rPr>
                <w:rFonts w:hint="eastAsia" w:ascii="宋体" w:hAnsi="宋体" w:eastAsia="宋体" w:cs="宋体"/>
                <w:i w:val="0"/>
                <w:iCs w:val="0"/>
                <w:color w:val="000000"/>
                <w:sz w:val="22"/>
                <w:szCs w:val="22"/>
                <w:u w:val="none"/>
              </w:rPr>
            </w:pPr>
          </w:p>
        </w:tc>
        <w:tc>
          <w:tcPr>
            <w:tcW w:w="1258" w:type="dxa"/>
            <w:shd w:val="clear" w:color="auto" w:fill="auto"/>
            <w:noWrap w:val="0"/>
            <w:vAlign w:val="center"/>
          </w:tcPr>
          <w:p>
            <w:pPr>
              <w:jc w:val="center"/>
              <w:rPr>
                <w:rFonts w:hint="eastAsia" w:ascii="宋体" w:hAnsi="宋体" w:eastAsia="宋体" w:cs="宋体"/>
                <w:i w:val="0"/>
                <w:iCs w:val="0"/>
                <w:color w:val="000000"/>
                <w:sz w:val="22"/>
                <w:szCs w:val="22"/>
                <w:u w:val="none"/>
              </w:rPr>
            </w:pPr>
          </w:p>
        </w:tc>
        <w:tc>
          <w:tcPr>
            <w:tcW w:w="761" w:type="dxa"/>
            <w:shd w:val="clear" w:color="auto" w:fill="FFFFFF"/>
            <w:noWrap w:val="0"/>
            <w:vAlign w:val="center"/>
          </w:tcPr>
          <w:p>
            <w:pPr>
              <w:jc w:val="center"/>
              <w:rPr>
                <w:rFonts w:hint="eastAsia" w:ascii="微软雅黑" w:hAnsi="微软雅黑" w:eastAsia="微软雅黑" w:cs="微软雅黑"/>
                <w:b/>
                <w:bCs/>
                <w:i w:val="0"/>
                <w:iCs w:val="0"/>
                <w:color w:val="FFFFFF"/>
                <w:sz w:val="24"/>
                <w:szCs w:val="24"/>
                <w:u w:val="none"/>
              </w:rPr>
            </w:pPr>
          </w:p>
        </w:tc>
        <w:tc>
          <w:tcPr>
            <w:tcW w:w="981" w:type="dxa"/>
            <w:shd w:val="clear" w:color="auto" w:fill="FFFFFF"/>
            <w:noWrap/>
            <w:vAlign w:val="center"/>
          </w:tcPr>
          <w:p>
            <w:pPr>
              <w:keepNext w:val="0"/>
              <w:keepLines w:val="0"/>
              <w:widowControl/>
              <w:suppressLineNumbers w:val="0"/>
              <w:jc w:val="center"/>
              <w:textAlignment w:val="center"/>
              <w:rPr>
                <w:rFonts w:ascii="仿宋_GB2312" w:hAnsi="宋体" w:eastAsia="仿宋_GB2312" w:cs="仿宋_GB2312"/>
                <w:i w:val="0"/>
                <w:iCs w:val="0"/>
                <w:color w:val="000000"/>
                <w:sz w:val="32"/>
                <w:szCs w:val="32"/>
                <w:u w:val="none"/>
              </w:rPr>
            </w:pPr>
          </w:p>
        </w:tc>
        <w:tc>
          <w:tcPr>
            <w:tcW w:w="1050" w:type="dxa"/>
            <w:shd w:val="clear" w:color="auto" w:fill="FFFFFF"/>
            <w:noWrap w:val="0"/>
            <w:vAlign w:val="center"/>
          </w:tcPr>
          <w:p>
            <w:pPr>
              <w:jc w:val="center"/>
              <w:rPr>
                <w:rFonts w:hint="eastAsia" w:ascii="微软雅黑" w:hAnsi="微软雅黑" w:eastAsia="微软雅黑" w:cs="微软雅黑"/>
                <w:b/>
                <w:bCs/>
                <w:i w:val="0"/>
                <w:iCs w:val="0"/>
                <w:color w:val="FFFFFF"/>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10"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LED室内双基色（含支架）</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Style w:val="69"/>
                <w:lang w:val="en-US" w:eastAsia="zh-CN" w:bidi="ar"/>
              </w:rPr>
              <w:t>1) 类型：室内双色</w:t>
            </w:r>
            <w:r>
              <w:rPr>
                <w:rStyle w:val="70"/>
                <w:rFonts w:eastAsia="宋体"/>
                <w:lang w:val="en-US" w:eastAsia="zh-CN" w:bidi="ar"/>
              </w:rPr>
              <w:t>Φ</w:t>
            </w:r>
            <w:r>
              <w:rPr>
                <w:rStyle w:val="69"/>
                <w:lang w:val="en-US" w:eastAsia="zh-CN" w:bidi="ar"/>
              </w:rPr>
              <w:t>3</w:t>
            </w:r>
            <w:r>
              <w:rPr>
                <w:rStyle w:val="69"/>
                <w:lang w:val="en-US" w:eastAsia="zh-CN" w:bidi="ar"/>
              </w:rPr>
              <w:br w:type="textWrapping"/>
            </w:r>
            <w:r>
              <w:rPr>
                <w:rStyle w:val="69"/>
                <w:lang w:val="en-US" w:eastAsia="zh-CN" w:bidi="ar"/>
              </w:rPr>
              <w:t>2) LED封装：国产</w:t>
            </w:r>
            <w:r>
              <w:rPr>
                <w:rStyle w:val="69"/>
                <w:lang w:val="en-US" w:eastAsia="zh-CN" w:bidi="ar"/>
              </w:rPr>
              <w:br w:type="textWrapping"/>
            </w:r>
            <w:r>
              <w:rPr>
                <w:rStyle w:val="69"/>
                <w:lang w:val="en-US" w:eastAsia="zh-CN" w:bidi="ar"/>
              </w:rPr>
              <w:t>3) 像素间距：4mm</w:t>
            </w:r>
            <w:r>
              <w:rPr>
                <w:rStyle w:val="69"/>
                <w:lang w:val="en-US" w:eastAsia="zh-CN" w:bidi="ar"/>
              </w:rPr>
              <w:br w:type="textWrapping"/>
            </w:r>
            <w:r>
              <w:rPr>
                <w:rStyle w:val="69"/>
                <w:lang w:val="en-US" w:eastAsia="zh-CN" w:bidi="ar"/>
              </w:rPr>
              <w:t>4) 像素密度：62500点/㎡</w:t>
            </w:r>
            <w:r>
              <w:rPr>
                <w:rStyle w:val="69"/>
                <w:lang w:val="en-US" w:eastAsia="zh-CN" w:bidi="ar"/>
              </w:rPr>
              <w:br w:type="textWrapping"/>
            </w:r>
            <w:r>
              <w:rPr>
                <w:rStyle w:val="69"/>
                <w:lang w:val="en-US" w:eastAsia="zh-CN" w:bidi="ar"/>
              </w:rPr>
              <w:t>5）亮度：≥500cd/㎡</w:t>
            </w:r>
            <w:r>
              <w:rPr>
                <w:rStyle w:val="69"/>
                <w:lang w:val="en-US" w:eastAsia="zh-CN" w:bidi="ar"/>
              </w:rPr>
              <w:br w:type="textWrapping"/>
            </w:r>
            <w:r>
              <w:rPr>
                <w:rStyle w:val="69"/>
                <w:lang w:val="en-US" w:eastAsia="zh-CN" w:bidi="ar"/>
              </w:rPr>
              <w:t>6）视角：≥120°</w:t>
            </w:r>
            <w:r>
              <w:rPr>
                <w:rStyle w:val="69"/>
                <w:lang w:val="en-US" w:eastAsia="zh-CN" w:bidi="ar"/>
              </w:rPr>
              <w:br w:type="textWrapping"/>
            </w:r>
            <w:r>
              <w:rPr>
                <w:rStyle w:val="69"/>
                <w:lang w:val="en-US" w:eastAsia="zh-CN" w:bidi="ar"/>
              </w:rPr>
              <w:t>8) 峰值功耗：≤500W/㎡</w:t>
            </w:r>
            <w:r>
              <w:rPr>
                <w:rStyle w:val="69"/>
                <w:lang w:val="en-US" w:eastAsia="zh-CN" w:bidi="ar"/>
              </w:rPr>
              <w:br w:type="textWrapping"/>
            </w:r>
            <w:r>
              <w:rPr>
                <w:rStyle w:val="69"/>
                <w:lang w:val="en-US" w:eastAsia="zh-CN" w:bidi="ar"/>
              </w:rPr>
              <w:t>9）模组尺寸：256*128mm</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1.25</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m²</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40"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LCD屏支架（底座支架）</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定制底座支架均采用SPCC优质冷轧钢板保障质量的源头；表面采用静电喷塑工艺，喷塑固化温度180-210度，涂层厚度80-100微米，对高防腐要求产品还可选择阴极电泳底漆工艺，防腐耐锈。</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颜色：黑色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弧度：0°</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40"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LCD屏支架（框架支架）</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定制框架支架均采用SPCC优质冷轧钢板保障质量的源头；表面采用静电喷塑工艺，喷塑固化温度180-210度，涂层厚度80-100微米，对高防腐要求产品还可选择阴极电泳底漆工艺，防腐耐锈。</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颜色：黑色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弧度：0°</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60"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LCD拼接屏</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1、LCD液晶显示单元；京东方面板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2、尺寸:46英寸；拼缝：3.5mm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3、分辨率 ：1920 × 1080@60 Hz（向下兼容）；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4、视角：垂直上下178°,水平左右178°(CR≥10)；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5、响应时间：8ms(G to 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6、对比度：1200:1；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7、亮度：500cd/㎡；</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8、输入接口：HDMI × 1, DVI × 1, VGA × 1, CVBS × 1, USB × 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9、输出接口：HDMI × 1, VGA × 1, CVBS × 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★10、为保护环境要求，液晶拼接屏需满足中国电器电子产品有害物质限制使用的要求，并提供中国质量认证中心产品认证证书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★11、液晶显示单元的风扇具备良好的散热效果，风扇散热性能≥60%。（提供封面具有CMA、ilac-MRA、CNAS标志的检测机构的检测报告）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★12、液晶显示单元连续运行24小时，液晶表面中心温度≤50℃，边缘测试点与中心温差≤10℃。（提供封面具有CMA、ilac-MRA、CNAS标志的检测机构的检测报告复印件）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★13、LCD显示单元支持自动镜像功能，可以实现显示内容（视频、文本等）镜像、OSD菜单的自定义0-360°旋转。提供封面首页具有CNAS标识的第三方检测报告复印件。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液晶拼接屏必须采用整机设计，严禁使用飞线屏（供货时如果发现飞线屏，业主有权取消中标资格），显示屏具备完整后壳，不得以支架或挡板替代，无任何裸露在外的电路线，整体美观大方，而且产品符合检测规范，可提供国家级检测机构出具的检测报告里的样品照片佐证。</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00"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双路通用服务器</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4210R×2/32G DDR4×4/600G 10K SAS×2（8盘位，RAID 1）/SAS_HBA/1GbE*2 电×1/550W(1＋1)/3Y</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2U双路标准机架式服务器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CPU：2颗intel至强系列处理器，核数≥10核，主频≥2.4GHz</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内存：128G DDR4，16根内存插槽，最大支持扩展至2TB内存</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硬盘：2块600G 10K 2.5寸 SAS硬盘</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阵列卡：SAS_HBA卡, 支持RAID 0/1/10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PCIE扩展：最大可支持6个PCIE扩展插槽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网口：2个千兆电口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其他接口：1个RJ45管理接口，后置2个USB 3.0接口，前置2个USB2.0接口，1个VGA接口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电源：标配550W（1+1）高效铂金CRPS冗余电源 </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15"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数据中心</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1、支持系统内的组织、人员、车辆、用户、角色、认证、区域等的配置和管理；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2、包含图上监控、事件联动、视频网管、门禁网管、紧急报警、违停球接入等功能。</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基础模块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00"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数据中心</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1、支持前端编码设备的集中管理；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2、支持视频预览、录像回放、图片查看、解码上墙等功能；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3、包含视频授权300路接入</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视频授权300路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30"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数据中心</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基于人脸识别技术的重点人员识别、陌生人识别、高频人员识别、以脸搜脸等功能。</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人脸识别应用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40"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数据中心</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最大过车事件处理能力：100条/秒。</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1、支持卡口设备管理、卡口业务配置，支持车辆测速、黑名单布控、白名单管理；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2、支持过车记录查看，支持过车报警记录的查询，支持过车记录统计分析。</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车辆卡口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60"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数据中心</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支持通用视频联网标准协（GB/T28181、DB33/T629）,提供支持其他联网标准的扩展能力</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视频联网网关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55"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数据中心</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支持入侵报警检测，支持实时报警事件接收和反控</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入侵报警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35"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数据中心</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支持扑火资源管理、防火人员管理、二维地图、火点定位、火情处置、火情上报、救援力量查找、预案管理等功能。</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森林防火应用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12"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视频综合平台（解码器）</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1、支持7槽位机箱，双电源适配器，单主控板；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2、业务模块支持热插拔、双电源冗余、智能风扇自动调温，确保系统稳定可靠；双高速无阻塞背板设计，满足大容量视频数据高速交换的需求。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★3、采用嵌入式非X86架构，主控板不具备X86架构特征元件（CPU、内存条、硬盘、VGA接口），并提供产品主控板照片；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★4、产品的信号源采集后经过高速背板总线到输出显示所用时间应≤35ms；图像切换时间应＜20ms。（提供公安部出具的封面具有CNAS标志的报告复印件加盖原厂商公章）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5、支持显示预案功能，可将样机的视频输出状态保存为场景，可设置多个场景并可对每个场景进行配置、清空、复制、修改、切换等操作，可实现多个场景轮巡切换、（预案）轮巡。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★6、支持虚拟云台控制功能，具备虚拟云台控制按键，可调整球机和云台的运行速度和方向，并且支持多用户云台抢占、云台控制锁定功能（需提供公安部检验报告证明复印件，并加盖厂家公章或投标专用章）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7、具备三码流编码功能：样机支持主码流、子码流、第三码流编码输出功能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★8、多设备之间的视频数据通过光纤级联传输延时≤100ms（需提供公安部检验报告证明复印件，并加盖厂家公章或投标专用章）</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vMerge w:val="restar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冗余3个槽位做备份使用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70"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视频综合平台（输出卡片）</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1、支持8路HDMI显示接口输出，奇数口支持4K输出；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2、支持16路800W/64路1080P/128路720P/256路4CIF解码H.264/H.265解码；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3、支持大屏拼接漫游；</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4、支持1个DB15转8路音频输出；</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vMerge w:val="continue"/>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85"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视频综合平台（输入卡片）</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1、支持8路视频输入，HDMI口（HDMI音频内嵌，实现HDMI视音频信号通过HDMI线接入）；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2、支持输入分辨率：1024×768@60Hz、1280×1024@60Hz、1280×800@60Hz、1366×768@60Hz、1440×900@60Hz、1680×1050@60Hz、1280×960@60Hz、1600×1200@60Hz、1280×720P@50Hz、1280×720P@60Hz、1920×1080I@50Hz、1920×1080I@60Hz、1920×1080P@50Hz、1920×1080P@60Hz；</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3、支持标准H.264编码；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4、支持8路编码能力，支持的编码分辨率为1080P/720P/4CIF/CIF/QCIF</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vMerge w:val="continue"/>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40"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HDMI高清线</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1、支持HDMI 2.0标准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2、即插即用，无需驱动程序。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3、接口类型：HDMI</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b/>
                <w:bCs/>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40"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网络存储设备（SAS盘）</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支持双控制器结构，每控制器配置：≥1颗64位多核处理器，≥16GB内存，内存支持扩展到≥256GB，≥4个千兆网口，内置128GSSD固态硬盘（可以扩展到2个SSD作为缓存盘）。（需提供公安部检验报告证明复印件，并加盖厂家公章或投标专用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2、支持每个控制器具有2个USB3.0、1个USB2.0接口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3、支持可接入2T/3T/4T/6T/8T/10TSATA/SAS磁盘，支持磁盘交错启动和漫游，并支持在线热插拔</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★4、支持可接入硬盘≥48块，支持SATA和SAS混插，并支持≥12级扩展柜级联扩展（需提供公安部检验报告证明复印件，并加盖厂家公章或投标专用章）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★5、支持录像报表生成功能检验，可生成EXCEL录像报表文件，文件信息包括录像读/写状态，起始、结束时间。（需提供公安部检验报告证明复印件，并加盖厂家公章或投标专用章）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业务故障隔离功能检验，存储的业务模块可以放在不同的容器中，一个业务模块故障时，不影响其它业务模块。系统可自动重启业务模块并恢复原有业务（需提供公安部检验报告证明复印件，并加盖厂家公章或投标专用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支持可在操作界面查看数据重构状态，样机的磁盘或节点离线并重新插回后，可在界面显示离线磁盘或节点的数据重构过程，离线前数据不丢失（需提供公安部检验报告证明复印件，并加盖厂家公章或投标专用章）</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shd w:val="clear" w:color="auto" w:fill="FFFFFF"/>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75"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企业级硬盘</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16TB,7200.3.5",SAS企业级</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b/>
                <w:bCs/>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410"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布控跟踪球</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1、800万像素星光级8寸激光网络高清高速智能球机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2、支持具备人脸、人体抓拍并关联输出功能，支持指哪抓哪、多场景轮巡抓拍、远距离卡口抓拍模式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3、支持人脸人体车辆同时抓拍，人脸人体关联输出，并实现对人脸、人体、车辆结构化属性特征信息提取</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4、支持前端建模比对：前端存储15万张人脸图片进行建模后，对场景中抓拍的人脸进行比对并输出结果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★5、支持摄像机内置镜头，支持不小于40倍光学变倍，镜头最大焦距不小于300mm（需提供公安部检验报告证明复印件，并加盖厂家公章或投标专用章）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6、支持主码流帧率分辨率: 50Hz:25fps(3840×2160)；60Hz:30fps(3840×2160)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；支持视频压缩标准: H.265,H.264,MJPEG；支持网络存储: NAS (NFS, SMB/ CIFS；支持网络接口: RJ45网口，自适应10M/100M网络数据 ；支持光纤接口: 采用FC接口，内置光纤模块（100M网络数据、波长TX1310/RX1550nm、单纤单模、20km传输距离）</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7、支持 7路报警输入，2路报警输出，1路音频输入， 1路音频输出；支持RS485接口；支持内置GPS、北斗卫星定位模块；支持电子罗盘</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★8、支持激光距离不小于600米（需提供公安部检验报告证明复印件，并加盖厂家公章或投标专用章）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27、支持防补光过曝</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★9、支持设备具备车辆布控功能，当监视画面中出现布控名单中的机动车时，设备可触发报警并跟踪，布控名单中可添加10000个号牌信息（需提供公安部检验报告证明复印件，并加盖厂家公章或投标专用章）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10、支持抓拍距设备100米处的人脸，可抓拍距设备150米处的人体及车辆支持供</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95"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快球支架</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定制壁装支架/铂晶灰/铝合金</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540"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网络摄像机</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1、400万 星光级1/1.8" CMOS AI抓拍枪机护罩一体化网络摄像机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2、支持智能资源模式切换：人脸抓拍模式、道路监控模式，Smart事件模式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3、支持人脸抓拍模式：a)支持对运动人脸进行检测、跟踪、抓拍、评分、筛选，输出最优的人脸b)支持人脸去误报、快速抓拍人脸c)支持快速抓拍和最佳抓拍两种模式d)最多同时检测30张人脸e)支持人脸去重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道路监控模式：a)车辆检测：支持车牌识别并抓拍，车型/车品牌/车身颜色/车牌颜色识别b)混行检测：检测正向或逆向行驶的车辆以及行人和非机动车，自动对车辆牌照进行识别，可以抓拍无车牌的车辆图片c)支持卡口和出入口模式切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5、支持Smart事件模式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支持越界侦测，区域入侵侦测，进入区域侦测，离开区域侦测，物品遗留侦测，物品拿取侦测，徘徊侦测，人员聚集侦测，快速运动侦测，停车侦测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★6、支持支持MD5、SHA256加密算法（需提供公安部检验报告证明复印件，并加盖厂家公章或投标专用章）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7、最低照度: 彩色：0.0005 Lux @（F1.2，AGC ON），0 Lux with Light; 黑白：0.0001 Lux @（F1.2，AGC ON），0 Lux with IR</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★8、支持内置GPU芯片。（需提供公安部检验报告证明复印件，并加盖厂家公章或投标专用章）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★9、同一静止场景相同图像质量下，设备在H.265编码方式时，开启智能编码功能和不开启智能编码相比，码率节约80%。（需提供公安部检验报告证明复印件，并加盖厂家公章或投标专用章）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★10、支持侧脸过滤功能，可过滤上下、左右角度达到预设值的人脸。（需提供公安部检验报告证明复印件，并加盖厂家公章或投标专用章）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25、供电方式: AC：24 V ± 20%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★11、支持IP67防尘防水。（需提供公安部检验报告证明复印件，并加盖厂家公章或投标专用章）</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95"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摄像机支架</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定制壁装支架/铝合金</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95"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立柱</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定制室外6米支撑杆</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95"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立柱</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定制室外5米支撑杆</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0"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操作电脑</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i7/16G/独显2GB/1T存储</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b/>
                <w:bCs/>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750"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核心交换机</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802.1x认证，Portal认证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支持NAC</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支持RADIUS和HWTACACS用户登录认证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命令行分级保护，未授权用户无法侵入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支持防范DoS攻击、TCP的SYN Flood攻击、UDP Flood攻击、广播风暴攻击、大流量攻击</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支持1K CPU通道队列保护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支持ICMP实现ping和traceroute功能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支持RMON，支持Console、Telnet、SSH等终端服务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支持SNMPv1/v2/v3等网络管理协议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支持通过FTP、TFTP方式上载、下载文件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支持BootROM升级和远程在线升级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支持热补丁，支持用户操作日志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支持基于Layer2协议头、Layer3协议、Layer4协议、802.1p优先级等的组合流分类</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支持ACL、CAR、Remark、Schedule等动作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支持PQ、WRR、DRR、PQ+WRR、PQ+DRR等队列调度方式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支持WRED、尾丢弃等拥塞避免机制，支持流量整形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支持Access、Trunk、Hybrid方式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支持default VLAN</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支持VLAN交换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支持QinQ、增强型灵活QinQ</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支持基于MAC的动态VLAN分配</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b/>
                <w:bCs/>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5"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光模块</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单模/千兆</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b/>
                <w:bCs/>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5"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UPS电源</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C5KS，C-16,12V  65AH</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b/>
                <w:bCs/>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5"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服务器机柜</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42U</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b/>
                <w:bCs/>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5"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网络机柜</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42U</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b/>
                <w:bCs/>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5"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PDU插座</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10A 12孔</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b/>
                <w:bCs/>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0"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35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配电柜</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机房市电及ups配电</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b/>
                <w:bCs/>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0"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光收发器机框</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十六合一</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0"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光收发器</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千兆/单模/单芯</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光纤</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单模24芯</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1950</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电源线</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rvv2*2.5</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1950</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网线</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超六类</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箱</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子管</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3960</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辅助材料</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施工过程所需材料</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光纤终端盒</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16端口</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光纤耦合器</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SC</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64</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6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光纤跳线</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SC-SC</w:t>
            </w:r>
          </w:p>
        </w:tc>
        <w:tc>
          <w:tcPr>
            <w:tcW w:w="125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w:t>
            </w:r>
          </w:p>
        </w:tc>
        <w:tc>
          <w:tcPr>
            <w:tcW w:w="761"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15" w:hRule="atLeast"/>
        </w:trPr>
        <w:tc>
          <w:tcPr>
            <w:tcW w:w="1997" w:type="dxa"/>
            <w:gridSpan w:val="2"/>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二、无纸化会议系统</w:t>
            </w:r>
          </w:p>
        </w:tc>
        <w:tc>
          <w:tcPr>
            <w:tcW w:w="3508" w:type="dxa"/>
            <w:shd w:val="clear" w:color="auto" w:fill="FFFFFF"/>
            <w:noWrap w:val="0"/>
            <w:vAlign w:val="center"/>
          </w:tcPr>
          <w:p>
            <w:pPr>
              <w:jc w:val="left"/>
              <w:rPr>
                <w:rFonts w:hint="eastAsia" w:ascii="微软雅黑" w:hAnsi="微软雅黑" w:eastAsia="微软雅黑" w:cs="微软雅黑"/>
                <w:b/>
                <w:bCs/>
                <w:i w:val="0"/>
                <w:iCs w:val="0"/>
                <w:color w:val="000000"/>
                <w:sz w:val="24"/>
                <w:szCs w:val="24"/>
                <w:u w:val="none"/>
              </w:rPr>
            </w:pPr>
          </w:p>
        </w:tc>
        <w:tc>
          <w:tcPr>
            <w:tcW w:w="1258" w:type="dxa"/>
            <w:shd w:val="clear" w:color="auto" w:fill="FFFFFF"/>
            <w:noWrap w:val="0"/>
            <w:vAlign w:val="center"/>
          </w:tcPr>
          <w:p>
            <w:pPr>
              <w:jc w:val="left"/>
              <w:rPr>
                <w:rFonts w:hint="eastAsia" w:ascii="微软雅黑" w:hAnsi="微软雅黑" w:eastAsia="微软雅黑" w:cs="微软雅黑"/>
                <w:b/>
                <w:bCs/>
                <w:i w:val="0"/>
                <w:iCs w:val="0"/>
                <w:color w:val="000000"/>
                <w:sz w:val="24"/>
                <w:szCs w:val="24"/>
                <w:u w:val="none"/>
              </w:rPr>
            </w:pPr>
          </w:p>
        </w:tc>
        <w:tc>
          <w:tcPr>
            <w:tcW w:w="761" w:type="dxa"/>
            <w:shd w:val="clear" w:color="auto" w:fill="FFFFFF"/>
            <w:noWrap w:val="0"/>
            <w:vAlign w:val="center"/>
          </w:tcPr>
          <w:p>
            <w:pPr>
              <w:jc w:val="left"/>
              <w:rPr>
                <w:rFonts w:hint="eastAsia" w:ascii="微软雅黑" w:hAnsi="微软雅黑" w:eastAsia="微软雅黑" w:cs="微软雅黑"/>
                <w:b/>
                <w:bCs/>
                <w:i w:val="0"/>
                <w:iCs w:val="0"/>
                <w:color w:val="000000"/>
                <w:sz w:val="24"/>
                <w:szCs w:val="24"/>
                <w:u w:val="none"/>
              </w:rPr>
            </w:pPr>
          </w:p>
        </w:tc>
        <w:tc>
          <w:tcPr>
            <w:tcW w:w="981" w:type="dxa"/>
            <w:shd w:val="clear" w:color="auto" w:fill="FFFFFF"/>
            <w:noWrap/>
            <w:vAlign w:val="center"/>
          </w:tcPr>
          <w:p>
            <w:pPr>
              <w:jc w:val="center"/>
              <w:rPr>
                <w:rFonts w:hint="default" w:ascii="仿宋_GB2312" w:hAnsi="宋体" w:eastAsia="仿宋_GB2312" w:cs="仿宋_GB2312"/>
                <w:i w:val="0"/>
                <w:iCs w:val="0"/>
                <w:color w:val="000000"/>
                <w:sz w:val="32"/>
                <w:szCs w:val="32"/>
                <w:u w:val="none"/>
              </w:rPr>
            </w:pPr>
          </w:p>
        </w:tc>
        <w:tc>
          <w:tcPr>
            <w:tcW w:w="1050" w:type="dxa"/>
            <w:shd w:val="clear" w:color="auto" w:fill="FFFFFF"/>
            <w:noWrap w:val="0"/>
            <w:vAlign w:val="center"/>
          </w:tcPr>
          <w:p>
            <w:pPr>
              <w:jc w:val="left"/>
              <w:rPr>
                <w:rFonts w:hint="eastAsia" w:ascii="微软雅黑" w:hAnsi="微软雅黑" w:eastAsia="微软雅黑" w:cs="微软雅黑"/>
                <w:b/>
                <w:bCs/>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063"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高清无缝混插矩阵主机箱</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1.采用触摸屏操控，内置≥4.3寸 LCD真彩色显示屏和电容触摸屏；所有功能项及设置操作信息一目了然，让人机互交极具人性化；</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2.支持8路信号输入，8路信号输出，内置无缝切换卡，支持无缝切换功能，全彩色处理，无任何色彩丢失，切换时无黑屏闪屏，支持HDMI信号隔行和逐行扫描输出；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3.采用插卡式箱体结构，容易扩展或更换，输入卡支持：AV、VGA、DVI、HDMI、SDI等多种格式；输出卡支持：AV、VGA、DVI、HDMI、SDI等多种格式；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帧率适配，内建图像缩放引擎，输入缩放到输出的任意分辨率转换；支持800*600、1024*768、1280*720、1280*768、1280*800、1280*1024、1360*768、1366*768、1440*900、1400*1050、1600*900、1680*1050、1920*1080@60Hz、1920*1080@50Hz、1920*1080@30Hz、1920*1080@25Hz、1920*1200等输入分辨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5.支持AV、VGA 等模拟输入音频信号混合；支持DVI、HDMI、SDI 模拟音频/数字音频输入信号混合；支持混合后的信号经切换内嵌音频输出（HDMI、SDI、DVI）；</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6.支持定时切换或单独切换等功能，支持通过远程网络、RS232 、面板等方式控制矩阵切换状态；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7.支持掉电记忆功能和现场记忆功能：带有断电现场保护功能；并可保存和调用 ≥10 个切换场景；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8.支持3D、HDMI1.4（部分）、HDCP、与及 DVI 1.0 协议。支持高色深，以及高达 3.25Gbps 速率；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9.具有EDID计算/切换功能（信号为 HDMI、DVI时）：当一路输出信号送给多个不同分辨率的显示设备时，能自动获取当前切换状态的最佳分率，并触发信号源更改分辨率(可自动和手动切换)；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10.具有中控功能，提供≥1路RJ45网络口和≥1路RS-232通讯接口，可方便与个人电脑、红外遥控系统或各种远端控制设备配合使用；                                                                                                                                                                                                                            </w:t>
            </w:r>
          </w:p>
        </w:tc>
        <w:tc>
          <w:tcPr>
            <w:tcW w:w="1258"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vMerge w:val="restar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用于现场的音视频切换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445"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数字高清音视频输入卡</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视频输入：4路HDMI信号输入，HDMI TYPE A母接口；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音频输入：4路HDMI信号内嵌音（立体声）；4路模拟音频（立体声）输入（可选）;混合方式可选：纯数字音频、纯模拟音频、模数混合；</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视频信号类型：支持HDMI1.4(部分）;支持800*600~1920*1200 @60 4:4:4 RGB或者4:2:2 YUV信号；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分辨率：支持800X600@60Hz-1080P、1920*1200@60Hz等多种分辨率；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结构：卡板式结构；即插即用；无需设置；</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vMerge w:val="continue"/>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10"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数字高清音视频输出卡</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视频输出信号：4路HDMI信号输出（带音频）；可强制为DVI输出模式；HDMI TYPE A母接口；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音频输出信号：4路立体声分离输出，音频12位凤凰插接口；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视频信号类型：支持HDMI1.4(部分）;支持800*600~1920*1200 @60 4:4:4 RGB或者4:2:2 YUV信号；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分辨率：支持800X600@60Hz-1080P、1920*1200@60Hz等多种分辨率；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结构：卡板式结构；即插即用；无需设置；</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vMerge w:val="continue"/>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62"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智能数字会议系统主机</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1.会议控制主机最多可连接128台会议单元，通过会议扩展主机，一套会议系统最多可接入4096台会议单元；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2.8芯航空插头连接，“手拉手”连接方式；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3.具有同时发言人数限制（1/2/3/4/5/6）设置功能；具有投票表决，发言限制等数据管理功能；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5.4.3寸TFT真彩屏/触摸屏，系统显示字幕中/英文两种语言可选择；</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6.可以调整系统的时间和屏幕显示点亮时间，实现节能运行；</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8.可设定VIP代表发言单元，VIP单元在已开启的话筒总数不超过20台的情况下可以自由开启而不受会议模式限制，最多可设置30台VIP单元；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9.支持FIFO、NORMAL、VOICE、FREE、APPLY五种会议模式；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10.内置DSP数字音效处理器，包括低频切除、移频器和均衡器等；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11.可以全程会议录音，有自动录音和手动录音两种录音方式可选；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12.具有单元检测功能，具有自动检测和手动检测两种检测方式；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13.具有发言定时和定时发言结束提醒倒计时功能。发言定时功能可以设置单元的发言时间，也可关闭发言定时，即不做限制；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14.主机集成了摄像跟踪系统，有4个HDMI高清视频接口和4个BNC视频接口，可实现自动摄像跟踪功能；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15.具有一个RS232串口，可实现与中控系统的无缝连接；一个RS422串口，连接摄像头控制线，实现对4个摄像头的集中控制；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16.8芯DIN航空母座：一个翻译主机连接口，一个扩展主机连接口，三个会议单元连接口；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17.莲花插座：两个辅助音频输入接口；两个辅助音频输出接口，可连接专业功放；两个报警音频输入接口；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18.卡隆插座：为辅助音频输出接口，与两个辅助音频输出莲花插座（LINEOUT）并联输出，连接专业功放；</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374"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无纸化升降式发言主席单元</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1.符合IEC60914国际标准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2.纯发言会议单元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3.自带2米专用8芯DIN高密线缆，带一个航空公头插</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4.驻极体心型指向性电容式拾音器，带双色指示灯环（红色/绿色）。发言为红色，申请发言为绿色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5.采用旋钮式插头话筒杆，迷你型麦克风，带有麦克风防风罩，有黑色、银白色可选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6.话筒杆在休会期间可以降至桌下隐藏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7.具有内磁式高保真扬声器，打开话筒后自动静音，不易产生啸叫</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8.3.5mm的立体声耳机插口可连接耳机，耳机音量可调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9.超强的抗手机干扰能力</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10.具有话筒开关键，主席单元有主席优先键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11.具有按键签到功能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12.每个会议单元都有独一无二的ID编号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13.配合摄像头，使用会议控制主机或PC控制软件设置后可进行摄像自动跟踪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14.配合控制主机，单元有自我检测功能。检测的项有：按键、话筒、LED指示灯和内置扬声器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15.单元为无源设备，由系统主机供电，输入电压为24V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16.具有自动调节均衡功能，能抑制啸叫，当话筒打开时，本机扬声器自动关闭，防止声音回输</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17.话筒开启时具有提示音，可设置提示音的开关状态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18.通过主机设置，主席单元具有优先权功能（可将所有代表单元静音或关闭）、讲台模式（主席单元始终处于打开状态）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19.主席单元具有批准代表的申请发言功能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20.主席单元不受发言人数限制可自由开启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21.主席单元具有全权控制会议秩序的优先功能</w:t>
            </w:r>
          </w:p>
        </w:tc>
        <w:tc>
          <w:tcPr>
            <w:tcW w:w="1258"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116"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无纸化升降式发言代表单元</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1.符合IEC60914国际标准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2.纯发言会议单元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3.自带2米专用8芯DIN高密线缆，带一个航空公头插</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4.驻极体心型指向性电容式拾音器，带双色指示灯环（红色/绿色）。发言为红色，申请发言为绿色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5.采用旋钮式插头话筒杆，迷你型麦克风，带有麦克风防风罩，话筒杆长度有315mm、320mm、415mm、430mm可选，有黑色、银白色可选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6.话筒杆在休会期间可以降至桌下隐藏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7.具有内磁式高保真扬声器，打开话筒后自动静音，不易产生啸叫</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8.3.5mm的立体声耳机插口可连接耳机，耳机音量可调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9.超强的抗手机干扰能力</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10.具有话筒开关键，主席单元有主席优先键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11.具有按键签到功能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12.每个会议单元都有独一无二的ID编号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13.配合摄像头，使用会议控制主机或PC控制软件设置后可进行摄像自动跟踪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14.配合控制主机，单元有自我检测功能。检测的项有：按键、话筒、LED指示灯和内置扬声器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15.单元为无源设备，由系统主机供电，输入电压为24V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16.具有自动调节均衡功能，能抑制啸叫，当话筒打开时，本机扬声器自动关闭，防止声音回输</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17.话筒开启时具有提示音，可设置提示音的开关状态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18.通过主机设置，主席单元具有优先权功能（可将所有代表单元静音或关闭）、讲台模式（主席单元始终处于打开状态）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19.主席单元具有批准代表的申请发言功能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20.主席单元不受发言人数限制可自由开启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21.主席单元具有全权控制会议秩序的优先功能</w:t>
            </w:r>
          </w:p>
        </w:tc>
        <w:tc>
          <w:tcPr>
            <w:tcW w:w="1258"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5"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旋钮式心型指向性咪杆</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驻极体心型指向性电容式话筒；高密5芯航空接口；双色（红/绿）开启和工作指示灯环；长度430mm；用于D62系列智能数字会议系统会议单元；</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95"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航空安装线缆</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20米8芯航空安装线缆(一公一母接头)</w:t>
            </w:r>
          </w:p>
        </w:tc>
        <w:tc>
          <w:tcPr>
            <w:tcW w:w="1258"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25"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会议地面掀盖式插座</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1.用于线路预埋连接会议单元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2.用于智能数字会议系统单元连接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3.接口：2个8芯DCN母口，一个AC220V三线万能电源输出插座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4.所有插座均带地线绝缘隔离，确保地线独立</w:t>
            </w:r>
          </w:p>
        </w:tc>
        <w:tc>
          <w:tcPr>
            <w:tcW w:w="1258"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92"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智能会议文件管理服务器 </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1.通过局域网对一个会议室或者多个会议室的多媒体智能无纸化智能会议系统进行集中有效的管理，提高多媒体无纸化智能会议系统会务信息交互传输、管理和信息备份。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2.智能无纸化会议服务器搭配智能会议软件对会议室内的文件进行管理和分发，提高会议系统会务信息交互传输、管理和信息安全备份的能力。</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负责会议文件的处理，主要完成支持会议终端屏幕上的人员管理、会议资料、会议议题、表决录入、问卷调查录入、签到管理、表决管理、大屏点播、呼叫服务管理、签到结果、表决结果、问卷调查、文件归档、文件加密、查看批注、系统中控控制、远程控制、标语管理等功能(投标时提供第三方机构的功能检测报告复印件并加盖厂家公章佐证以上功能)，会议过程文件可实时存储在智能无纸化会议服务器内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4.视频分发功能：支持流媒体分发功能。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5.CPU频率:2.6GHz，标配CPU数量:1颗，最大CPU数量:2颗，CPU核心:12核，CPU线程数:24线程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6.内存:ECC DDR4，内存容量:16GB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7.存储硬盘接口类型:SATA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8.标配硬盘容量:1T，最大硬盘容量:10TB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9.网卡:集成双千兆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10.视频接口:1 个VGA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11.USB:6个2.0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12.RAID模式:支持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13.操作系统:Linux</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96"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无纸化会议系统后台管理程序软件V1.0(PC版)</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运行环境：客户端软件基于CS架构+BS运用，经我方确认后可接入第三方软件协同运行，软件界面分辨率：1920*1080。2.安全与保密：操作系统密码作为第一级安全防护。会议开始时参会人员输入密码（可定制指纹输入、刷卡、刷脸）后进入系统召开会议。会后资料整理支持输入密码进行二次验证确认，对重要文件可设置阅后即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的无纸化会议控制应用功能：包括人名导入、会议签到（可设置免签到）、个性化呼叫服务、发起同屏、投影、会议信息及与会者信息查看、会议记录（word格式）、会议投票、上网服务、文件分发、电子白板（多人同享）、交流提示、文档资料导入导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4.支持同步演示（支持多台客户端同步演示过程中分别批注、保存，支持同步至投影幕或其他终端）、PC桌面共享模式、外部电脑接入（外置pc电脑桌面或视频文件可以同步至投影幕或其他终端）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多路多视窗功能：可远程视频会议高清1080P实时视频接入（1-4路），支持同时播放多个存储视频文件（1-8个），所有视频窗口可任意拖动、放大缩小；窗口悬浮在桌面最上层，即看文档的同时边观看视频或者图纸.图文并茂方便参会人员多层面多通道理解会议内容和对会议资料进行高效研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中控功能：集控升降器升降、关闭与暂停。(可定制扩展控制会议室其他周边设备如：灯光、窗帘、投影、大屏幕音视频信号切换等等)7.主持功能：会议主持人为系统最高权，在会议进行时可以对所有终端进行控制，强制统一打开某个会议文件进行投影或同步；强切投票界面、统计签到投票数据、更新人名显示、设备集中控制管理等高级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会议交流模块会议进行的过程中参会人之间可以进行点对点的文字、语音、文件等互动，并可选择一点对一点，一点对多点和群发。语言信息发布在会议终端桌面，只有对应的参会人使用蓝牙耳机才可以收听。文字和文件在会议终端打开查看。</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331"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智能网络拓展器</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品描述:这是一款高性能、低功耗的24口10/100/1000Mbps以太网交换机。它提供了一个简单的网络连接到您的工作组或服务器，方便您即插即用，这种灵活的无阻塞架构，用户使用可以不受带宽和媒体网络的限制。宽带局域网提供了一个经济、实用、高性价比的10/100/1000Mbps局域共享器，为连接到局域网上的每一个终端用户提供性能稳定、高吞吐量数据传输网络；每个端口采用存储转发模式，可以有效隔离广播风暴、减少误包和错包，避免网络拥塞和网络冲突。此交换机所有端口支持半双工流量控制和全双工回压标准，以提高带宽服务器和网络协议的兼容。此外，LED面板可以诊断各个端口和整个系统的运行状态，该产品节能环保。                                                             产品特征: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1.符合IEEE 802.3, IEEE 802.3u和IEEE 802.3ab 标准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2.24个10/100/1000Mbps自适应 RJ45 ，支持自动翻转(Auto-MDI/MDIX)</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3.支持8K MAC地址</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4.支持EEPROM配置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5.支持堆叠和QoS</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6.所有端口支持 IEEE 802.3x 半双工流量控制和全双工回压模式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7.无阻塞交换架构,全线速转发和最大吞吐量过滤数据包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8.支持MAC地址学习，自动调整传输方式和传输速率；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9.LED 指示电源,link and activity，提供简单的工作状态提示及故障排除；</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372"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投影申请器</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参会人员通过本设备可自行将讲稿内容投影到会议室大屏幕，或者有秘书终端管理后再投影。会议秘书还可根据本单位的要求选择宣传片、音乐进行投影播放。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1.基于Linux开发，采用嵌入式设计，低功耗高效率，安全稳定可靠；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2.支持多个用户投影申请，最多支持8个1920*1080P画面或4个4K画面；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3.输出分辨率：1920*1080、兼容4K（3840*2160）；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4.视频输出接口：HDMI*2；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5.音频接口：1路双声道音频输入，1路双声道音频输出，凤凰插座；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6.其他接口：RJ45*1、USB2.0*2、USB3.0*1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7.运行状态：4个指示灯，0.96寸OLED屏幕，实时显示本机IP及运行信息；</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05"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全高清流媒体编码主机</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1．采用工业级铝合金外壳设计，体积小，方便安装；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2．支持高清1080P@60Hz采集；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3．支持HDMI高清接口，配置简便；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4.支持主、次、码流输出模式，支持TS(单播/组播)、RTSP(TCP/UDP)、RTMP、HTTP、服务器(SDK)等多种流媒体协议；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5.内置液晶屏：0.96寸OLED屏幕，实时显示本机IP及运行信息；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6.视频输入接口：HDMI；</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7.音频输入接口：凤凰端子LINE IN、HDMI IN；</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8.视频编码方式：H.264/H.265；</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9.音频编码方式：AAC-LC、G711；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10.音频采样率：32K、44.1K、48K；</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11.支持分辨率：1080P@60；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12.码率范围：64Kpbs-20Mbps；</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13.码率控制：CBR、VBR；</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14.预处理：OSD字幕/时间等；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15.传输协议：UDP、TS、RTSP、RTMP、HTTP；</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16.网络接口：2路千兆网络（一光一路口）组成网络链路双备份保护；</w:t>
            </w:r>
          </w:p>
        </w:tc>
        <w:tc>
          <w:tcPr>
            <w:tcW w:w="1258"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FF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90"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全高清电容式超薄会议升降终端</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1.智能会议升降一体机升降无晃动超静音设计，带18.5寸分辨率为1920*1080的IPS视网膜超薄型高清电容式触摸屏，背面带7寸液晶屏电子桌牌，可视角水平视角(度)0~176度，垂直视角（度）30~150度；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2.支持输出分辨率不低于1080P；处理器内核不低于酷睿4代i5 主频2.6GHz，内存不低于DDR3/4G，硬盘为SSD固态硬盘，硬盘容量≥128G；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3.支持输入接口 DC≥1、RJ45≥1、USB2.0≥2、COM≥1、开关接口≥1；输出接口 VGA≥1、HDMI≥1、AUDIO≥1；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4.支持电容触摸书写模式，能直接调用windows墨迹书写；可支持书写批注时原文件原笔迹书写原文件原笔迹保存功能；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可会议资料查看、会议议程查看、投票表决、会议签到、电子白板、批注、大屏点播、手写悬浮窗、同屏管理、呼叫服务、投影功能等掌握控制会议进程功能（投标时提供第三方机构的功能检测报告复印件并加盖厂家公章佐证以上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6.支持doc、wps、ppt、exel、avi、 jpg 、mp3、mp4、rmvb等文件格式。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7.支持升降话筒安装，组成手拉手会议功能，升降话筒可嵌入安装在升降器面板上；</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18.5寸液晶屏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52"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二分频全频音箱</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倒相式低频辐射的二分频全频系统；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表面黑色大斑点水性油漆喷涂处理木箱，有孔金属网背贴声学透声棉；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高效，高质量单元配置，可悬挂安装。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技术指标：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系统组成：8"低音×1，1.75"高音×1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频响范围(±3dB)：65Hz-20,000Hz</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灵敏度（折算到1m，1W）：95±2dB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最大声压级：120±2dB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输入阻抗：8Ω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额定功率：150W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指向性（H×V）：90°×40°</w:t>
            </w:r>
          </w:p>
        </w:tc>
        <w:tc>
          <w:tcPr>
            <w:tcW w:w="1258"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FF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0"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专业立体声功放</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1.双声道立体声专业功率放大器；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2.有双声道、单声道和BTL桥接三种输出方式供选择，输出方式开关选择；</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3.每声道音量单独可调；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4.立体声工作最小负载阻抗为4Ω，BTL工作最小负载阻抗为8Ω；动态功率强劲，可实现低阻抗驱动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5.备有XLR和6.35mm两种信号输入接口，使用灵活方便；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6.内置温度补偿技术，高温下仍然维持稳定的工作状态。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7.具备智能保护模式，具有短路保护、直流保护、电源通断多种保护和告警功能；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8.内置先进的整机模拟限幅式保护，即使在过载失真时也不会对您的扬声器系统造成损害。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9.各通道都配备LED工作状态指示，低噪声设计；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10.电源采用先进的防冲击保护设计，无论功率再大也不会对交流电网电压及音响产生冲击。</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11.额定输出/每声道,8Ω250W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12.额定输出/每声道,4Ω350W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13.额定输出/桥接,8Ω700W</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12"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壁挂式专业音箱支架</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承重：50kg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长度：280-360mm</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75"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液晶显示可调频真分集无线话筒</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D6650配置双手持麦+接收机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工作频率 600-800MHz</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调制方式 宽带FM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信道数目 200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信道间隔 250KHz</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频率稳定度 ±0.005%以内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动态范围 100dB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最大偏移 ±45KHz</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音频频率响应 50Hz～19KHz(±3dB)(整个系统的频率取决于话筒单元)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接收机方式 二次变频超外差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中频频率 110MHz，10.7MHz</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天线接入 BNC/50Ω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功能显示方式 LCD液晶显示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音头 动圈式麦克风</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天线 手持麦克风内置螺旋天线，佩挂发射机采用1/4波长鞭状天线</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10"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电源时序器</w:t>
            </w:r>
          </w:p>
        </w:tc>
        <w:tc>
          <w:tcPr>
            <w:tcW w:w="3508" w:type="dxa"/>
            <w:shd w:val="clear" w:color="auto" w:fill="FFFFFF"/>
            <w:noWrap w:val="0"/>
            <w:vAlign w:val="center"/>
          </w:tcPr>
          <w:p>
            <w:pPr>
              <w:keepNext w:val="0"/>
              <w:keepLines w:val="0"/>
              <w:widowControl/>
              <w:suppressLineNumbers w:val="0"/>
              <w:spacing w:after="240" w:afterAutospacing="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1.独立的八路大功率电源输出，万能插座，可满足多种三级的电源插座，如国标插座、美标插座以及欧标插座等；还可满足二级欧式的圆头插座；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2.单路最大输出为10A，总输入电流容量16A；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3.八路通道开关状态可由面板控制操作和显示；通过面板一键开关，可时序关启通道，实现时序功能；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4.开机时由前级到后级按顺序逐个启动各类设备，关机时由后级到前级逐个关闭各个设备，有效的统一管理控制用电设备，确保整个系统的稳定运行；</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5.电源输出:8路，万能插座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6.单路负荷:10A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8.控制方式:手动顺序启动、短路信号触发控制。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7.电源容量:总容量220V，16A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8.输入电源:AC220-240/50Hz</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9.时序间隔:1.5s</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32"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135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模拟调音台</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12路单声输入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通道3段均衡加中频可选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二组编组，二组输助输出，一组返回</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100MM高精度对数式衰减推子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256/24Bit DSP效果器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7段主控均衡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一组立体声输出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+48V幻象电源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USB录音，播放功能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通道哑音功能</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74"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数字前级音频处理器</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1.96KHz采样频率，32-bitDSP处理器，24-bitA/D及D/A转换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2.2输入6输出，可灵活组合多种分频模式，高、低通分频点均可达20Hz～20KHz</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3.提供USB和RS485接口可连接电脑，通过RS485接口可最多连接250台机器和超过1500米的距离外用电脑来控制；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4.直接用面板的功能键和拔轮进行功能设置或是连接电脑通过PC控制软件来控制，均十分方便、直观和简洁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单机可存储30种用户程序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5.可通过面板的SYSTEM按键来设定密码锁定面板控制功能，以防止闲杂人员的操作破坏机器的工作状态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6.每个输入和输出均有6段独立的参量均衡，调节增益范围可达±20dB，同时输出通道的均衡还可选择Lo-shelf和Hi-shelf两种斜坡方式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7.2×24LCD蓝色背光显示功能设置，6段LED显示输入/输出的精确数字电平表、哑音及编辑状态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8.每个输入和输出均有延时和相位控制及哑音设置，延时最长可达1000ms，延时单位可选择毫秒(ms)、米(m)、英尺(ft)三种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9.输出通道还可控制增益、压限及选择输入通道信号，并能将某通道的所有参数复制到另外一个通道并能进行联动控制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10.可以通过USB接口或RS485接口连接中控来控制矩阵和通道的哑音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11.可以分功能锁定，实现数据保密</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335"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自动反馈抑制器</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1.64/128超取样24-bitA/D和D/A转换，高解析度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2.每个声道12个频道反馈自动搜寻，智能处理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3.及时方便的缺省处置，完备的反馈抑制性能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4.单点模式自动搜寻并处理和锁定陷波频点，直到手动复位或重新设置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5.手动模式可设置2×12个滤波器的所有参数，包括频率、Q值等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6.伺服平衡输入和输出，镀金XLR和TRS端子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7.每个滤波器均有单点、自动两种模式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8.两个并行处理块，左右声道可单独或并联调整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9.24-bit高性能DSP处理器，保证了信号的解析度和动态范围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10.开关软启动，无冲击声，噪声门功能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11.背光2×16字符LCD显示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12.2×8LED电平显示，可显示输入或输出电平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13.采用高质量贴片元件和贴片自动焊接和在线检测工艺，保证了产品的品质和可靠性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14.采用专业设计内部供电系统</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45"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网络编程多媒体中央控制主机</w:t>
            </w:r>
          </w:p>
        </w:tc>
        <w:tc>
          <w:tcPr>
            <w:tcW w:w="3508" w:type="dxa"/>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1.采用国际流行SMT全贴片式生产工艺，采用LCD液晶显示屏显示，搭配多个实体按键操作，支持查看修改设备网络参数；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2.采用可编程控制平台，交互式的控制结构，具有中英文可编程界面；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3.支持≥8路独立可编程RS232控制接口，可以收发RS232、RS485、RS422等多种格式数据；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4.支持≥8路数字I/0输入输出控制口，带保护电路；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5.支持≥8路独立可编程IR红外发射口，红外发射口可做串口使用，使可编程口总数达到16个；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6.支持RST 复位按键，用于主机硬件复位；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7.支持≥8路弱电继电器控制接口，可控制5V的开关量；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8.支持≥2个NET网络控制接口，可以并接最大256个网络设备；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9.支持内置≥8MB内存及≥16MB的大容量FLASH存储器，FLASH存储器可支持扩展至32M；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10.提供RJ45网络接口，支持网络级联，支持无限空间扩容，支持传统射频触屏/ipad/iphone/Android(安卓)手持终端，通过wifi与主机通讯，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11.iPad/iPhone/Android(安卓)人机界面编程全面兼容传统触屏的编程方式，无需重新学习新的编程方法，极其方便升级更换；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12.支持电力载波通信，省去重新布线的繁琐，提升工程效率；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13.支持编程设置的任何控制协议或者控制代码；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14.支持硬件学习红外功能，内嵌智能红外学习功能模块，无须配置专业学习器；</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vMerge w:val="restart"/>
            <w:noWrap w:val="0"/>
            <w:vAlign w:val="center"/>
          </w:tcPr>
          <w:p>
            <w:pPr>
              <w:jc w:val="center"/>
              <w:rPr>
                <w:rFonts w:hint="eastAsia" w:ascii="宋体" w:hAnsi="宋体" w:eastAsia="宋体" w:cs="宋体"/>
                <w:i w:val="0"/>
                <w:iCs w:val="0"/>
                <w:color w:val="FF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95"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电源控制器</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手动控制:前面板8个硅胶发光按键控制，带状态指示，紧急情况下可以手动控制继电器的开关，在中控出现故障时可使用这一功能，很好的保护其他的设备。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IO控制:在机器的内部有8个IO接口，在没有中控的情况下也能使用，用途更广；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ID选择：旋转的ID切换设置网络ID身份代码；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每路继电器都有三连接点的接线柱,具有常开与常闭的功能（常闭需定制）；</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vMerge w:val="continue"/>
            <w:noWrap w:val="0"/>
            <w:vAlign w:val="center"/>
          </w:tcPr>
          <w:p>
            <w:pPr>
              <w:jc w:val="center"/>
              <w:rPr>
                <w:rFonts w:hint="eastAsia" w:ascii="宋体" w:hAnsi="宋体" w:eastAsia="宋体" w:cs="宋体"/>
                <w:i w:val="0"/>
                <w:iCs w:val="0"/>
                <w:color w:val="FF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60"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无线平板电脑</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10.2英寸，led背光，多点触控和ips技术</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vMerge w:val="continue"/>
            <w:noWrap w:val="0"/>
            <w:vAlign w:val="center"/>
          </w:tcPr>
          <w:p>
            <w:pPr>
              <w:jc w:val="center"/>
              <w:rPr>
                <w:rFonts w:hint="eastAsia" w:ascii="宋体" w:hAnsi="宋体" w:eastAsia="宋体" w:cs="宋体"/>
                <w:i w:val="0"/>
                <w:iCs w:val="0"/>
                <w:color w:val="FF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5"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无线路由器</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2.4GHz和5GHz双频覆盖，无线速率1200Mbps</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vMerge w:val="continue"/>
            <w:noWrap w:val="0"/>
            <w:vAlign w:val="center"/>
          </w:tcPr>
          <w:p>
            <w:pPr>
              <w:jc w:val="center"/>
              <w:rPr>
                <w:rFonts w:hint="eastAsia" w:ascii="宋体" w:hAnsi="宋体" w:eastAsia="宋体" w:cs="宋体"/>
                <w:i w:val="0"/>
                <w:iCs w:val="0"/>
                <w:color w:val="FF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23"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卡侬头(母)-卡侬头(公)</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1.2M</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395"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会议室机柜</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标准化模式，以满足各种需求；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采用高强度钢制可拆装式机柜，最大承载重量达500公斤；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机柜内设计4条可调节铝型材槽轨；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底座可着地或安装活动脚轮；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装配简单，方便搬运。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标称高度：1.5M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尺寸（高×宽×深）：1408×535×485mm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安装空间：28U</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基本配置：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底座、支架、顶盖和两个侧板；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四条可调节铝合金槽轨；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四个活动脚轮；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配置22条可调横托、一块前板、一块后板；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可调节横托条、前面板和托盘供另选购。</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30"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弹起式桌插</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一个电源、一个VGA、一个HDMI、一个3.5音频、一个网络、一个USB</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0"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会议台/桌</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4800*1800*760</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5"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会议椅</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610W*680D*980H</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30"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电源线（强电）</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以实际工程量为准</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1000 </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noWrap/>
            <w:vAlign w:val="center"/>
          </w:tcPr>
          <w:p>
            <w:pP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30"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3P柜机空调</w:t>
            </w:r>
          </w:p>
        </w:tc>
        <w:tc>
          <w:tcPr>
            <w:tcW w:w="3508" w:type="dxa"/>
            <w:shd w:val="clear" w:color="auto" w:fill="FFFFFF"/>
            <w:noWrap w:val="0"/>
            <w:vAlign w:val="center"/>
          </w:tcPr>
          <w:p>
            <w:pPr>
              <w:jc w:val="left"/>
              <w:rPr>
                <w:rFonts w:hint="eastAsia" w:ascii="宋体" w:hAnsi="宋体" w:eastAsia="宋体" w:cs="宋体"/>
                <w:i w:val="0"/>
                <w:iCs w:val="0"/>
                <w:color w:val="000000"/>
                <w:sz w:val="24"/>
                <w:szCs w:val="24"/>
                <w:u w:val="none"/>
              </w:rPr>
            </w:pP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shd w:val="clear" w:color="auto" w:fill="FFFFFF"/>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30"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2P挂机空调</w:t>
            </w:r>
          </w:p>
        </w:tc>
        <w:tc>
          <w:tcPr>
            <w:tcW w:w="3508" w:type="dxa"/>
            <w:shd w:val="clear" w:color="auto" w:fill="FFFFFF"/>
            <w:noWrap w:val="0"/>
            <w:vAlign w:val="center"/>
          </w:tcPr>
          <w:p>
            <w:pPr>
              <w:jc w:val="left"/>
              <w:rPr>
                <w:rFonts w:hint="eastAsia" w:ascii="宋体" w:hAnsi="宋体" w:eastAsia="宋体" w:cs="宋体"/>
                <w:i w:val="0"/>
                <w:iCs w:val="0"/>
                <w:color w:val="000000"/>
                <w:sz w:val="24"/>
                <w:szCs w:val="24"/>
                <w:u w:val="none"/>
              </w:rPr>
            </w:pP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shd w:val="clear" w:color="auto" w:fill="FFFFFF"/>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30"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空调管</w:t>
            </w:r>
          </w:p>
        </w:tc>
        <w:tc>
          <w:tcPr>
            <w:tcW w:w="3508" w:type="dxa"/>
            <w:shd w:val="clear" w:color="auto" w:fill="FFFFFF"/>
            <w:noWrap w:val="0"/>
            <w:vAlign w:val="center"/>
          </w:tcPr>
          <w:p>
            <w:pPr>
              <w:jc w:val="left"/>
              <w:rPr>
                <w:rFonts w:hint="eastAsia" w:ascii="宋体" w:hAnsi="宋体" w:eastAsia="宋体" w:cs="宋体"/>
                <w:i w:val="0"/>
                <w:iCs w:val="0"/>
                <w:color w:val="000000"/>
                <w:sz w:val="24"/>
                <w:szCs w:val="24"/>
                <w:u w:val="none"/>
              </w:rPr>
            </w:pP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shd w:val="clear" w:color="auto" w:fill="FFFFFF"/>
            <w:noWrap w:val="0"/>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30" w:hRule="atLeast"/>
        </w:trPr>
        <w:tc>
          <w:tcPr>
            <w:tcW w:w="6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135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文化场所建设</w:t>
            </w:r>
          </w:p>
        </w:tc>
        <w:tc>
          <w:tcPr>
            <w:tcW w:w="3508" w:type="dxa"/>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包含宿舍楼、警务室服务站等亚克力UV、宣传栏等</w:t>
            </w:r>
          </w:p>
        </w:tc>
        <w:tc>
          <w:tcPr>
            <w:tcW w:w="1258"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61"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批</w:t>
            </w:r>
          </w:p>
        </w:tc>
        <w:tc>
          <w:tcPr>
            <w:tcW w:w="981" w:type="dxa"/>
            <w:shd w:val="clear" w:color="auto"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rPr>
            </w:pPr>
            <w:r>
              <w:rPr>
                <w:rFonts w:hint="default" w:ascii="仿宋_GB2312" w:hAnsi="宋体" w:eastAsia="仿宋_GB2312" w:cs="仿宋_GB2312"/>
                <w:i w:val="0"/>
                <w:iCs w:val="0"/>
                <w:color w:val="000000"/>
                <w:kern w:val="0"/>
                <w:sz w:val="32"/>
                <w:szCs w:val="32"/>
                <w:u w:val="none"/>
                <w:lang w:val="en-US" w:eastAsia="zh-CN" w:bidi="ar"/>
              </w:rPr>
              <w:t>否</w:t>
            </w:r>
          </w:p>
        </w:tc>
        <w:tc>
          <w:tcPr>
            <w:tcW w:w="1050" w:type="dxa"/>
            <w:shd w:val="clear" w:color="auto" w:fill="FFFFFF"/>
            <w:noWrap w:val="0"/>
            <w:vAlign w:val="center"/>
          </w:tcPr>
          <w:p>
            <w:pPr>
              <w:jc w:val="center"/>
              <w:rPr>
                <w:rFonts w:hint="eastAsia" w:ascii="宋体" w:hAnsi="宋体" w:eastAsia="宋体" w:cs="宋体"/>
                <w:i w:val="0"/>
                <w:iCs w:val="0"/>
                <w:color w:val="000000"/>
                <w:sz w:val="24"/>
                <w:szCs w:val="24"/>
                <w:u w:val="none"/>
              </w:rPr>
            </w:pPr>
          </w:p>
        </w:tc>
      </w:tr>
    </w:tbl>
    <w:p>
      <w:pPr>
        <w:numPr>
          <w:ilvl w:val="0"/>
          <w:numId w:val="0"/>
        </w:numPr>
        <w:spacing w:line="360" w:lineRule="auto"/>
        <w:jc w:val="both"/>
        <w:outlineLvl w:val="0"/>
        <w:rPr>
          <w:rFonts w:hint="eastAsia"/>
          <w:b/>
          <w:bCs/>
          <w:color w:val="auto"/>
          <w:sz w:val="48"/>
          <w:szCs w:val="48"/>
          <w:highlight w:val="none"/>
        </w:rPr>
      </w:pPr>
      <w:bookmarkStart w:id="261" w:name="_Toc5894"/>
    </w:p>
    <w:p>
      <w:pPr>
        <w:rPr>
          <w:rFonts w:hint="eastAsia"/>
          <w:b/>
          <w:bCs/>
          <w:color w:val="auto"/>
          <w:sz w:val="48"/>
          <w:szCs w:val="48"/>
          <w:highlight w:val="none"/>
          <w:lang w:val="en-US" w:eastAsia="zh-CN"/>
        </w:rPr>
      </w:pPr>
      <w:r>
        <w:rPr>
          <w:rFonts w:hint="eastAsia"/>
          <w:b/>
          <w:bCs/>
          <w:color w:val="auto"/>
          <w:sz w:val="48"/>
          <w:szCs w:val="48"/>
          <w:highlight w:val="none"/>
          <w:lang w:val="en-US" w:eastAsia="zh-CN"/>
        </w:rPr>
        <w:br w:type="page"/>
      </w:r>
    </w:p>
    <w:p>
      <w:pPr>
        <w:pStyle w:val="16"/>
        <w:jc w:val="center"/>
        <w:rPr>
          <w:rFonts w:hint="eastAsia"/>
          <w:b/>
          <w:bCs/>
          <w:color w:val="auto"/>
          <w:sz w:val="48"/>
          <w:szCs w:val="48"/>
          <w:highlight w:val="none"/>
          <w:lang w:val="en-US" w:eastAsia="zh-CN"/>
        </w:rPr>
      </w:pPr>
      <w:r>
        <w:rPr>
          <w:rFonts w:hint="eastAsia"/>
          <w:b/>
          <w:bCs/>
          <w:color w:val="auto"/>
          <w:sz w:val="48"/>
          <w:szCs w:val="48"/>
          <w:highlight w:val="none"/>
          <w:lang w:val="en-US" w:eastAsia="zh-CN"/>
        </w:rPr>
        <w:t>B包</w:t>
      </w:r>
    </w:p>
    <w:p>
      <w:pPr>
        <w:jc w:val="left"/>
      </w:pPr>
      <w:r>
        <w:rPr>
          <w:rFonts w:hint="eastAsia" w:ascii="宋体" w:hAnsi="宋体" w:cs="宋体"/>
          <w:b/>
          <w:sz w:val="28"/>
          <w:szCs w:val="28"/>
        </w:rPr>
        <w:t>一、项目概括</w:t>
      </w:r>
    </w:p>
    <w:p>
      <w:pPr>
        <w:pStyle w:val="5"/>
        <w:tabs>
          <w:tab w:val="left" w:pos="1050"/>
        </w:tabs>
        <w:ind w:left="0" w:firstLine="480" w:firstLineChars="200"/>
        <w:rPr>
          <w:rFonts w:ascii="Times New Roman" w:hAnsi="Times New Roman" w:cs="宋体"/>
        </w:rPr>
      </w:pPr>
      <w:bookmarkStart w:id="262" w:name="_Toc6770"/>
      <w:bookmarkStart w:id="263" w:name="_Toc13971"/>
      <w:r>
        <w:rPr>
          <w:rFonts w:hint="eastAsia" w:ascii="Times New Roman" w:hAnsi="Times New Roman" w:cs="宋体"/>
        </w:rPr>
        <w:t>1、项目名称：港门海岸派出所建设综合勤务指挥室及营区修缮项目</w:t>
      </w:r>
      <w:bookmarkEnd w:id="262"/>
      <w:bookmarkEnd w:id="263"/>
    </w:p>
    <w:p>
      <w:pPr>
        <w:pStyle w:val="5"/>
        <w:tabs>
          <w:tab w:val="left" w:pos="1050"/>
        </w:tabs>
        <w:ind w:left="0" w:firstLine="480" w:firstLineChars="200"/>
        <w:rPr>
          <w:rFonts w:hint="default" w:ascii="Times New Roman" w:hAnsi="Times New Roman" w:eastAsia="宋体" w:cs="宋体"/>
          <w:lang w:val="en-US" w:eastAsia="zh-CN"/>
        </w:rPr>
      </w:pPr>
      <w:bookmarkStart w:id="264" w:name="_Toc27345"/>
      <w:bookmarkStart w:id="265" w:name="_Toc8549"/>
      <w:r>
        <w:rPr>
          <w:rFonts w:hint="eastAsia" w:ascii="Times New Roman" w:hAnsi="Times New Roman" w:cs="宋体"/>
        </w:rPr>
        <w:t>2、招标编号：HNKY-SYC20210</w:t>
      </w:r>
      <w:r>
        <w:rPr>
          <w:rFonts w:hint="eastAsia" w:ascii="Times New Roman" w:hAnsi="Times New Roman" w:cs="宋体"/>
          <w:lang w:val="en-US" w:eastAsia="zh-CN"/>
        </w:rPr>
        <w:t>15</w:t>
      </w:r>
      <w:bookmarkEnd w:id="264"/>
      <w:bookmarkEnd w:id="265"/>
    </w:p>
    <w:p>
      <w:pPr>
        <w:pStyle w:val="5"/>
        <w:tabs>
          <w:tab w:val="left" w:pos="1050"/>
        </w:tabs>
        <w:ind w:left="0" w:firstLine="480" w:firstLineChars="200"/>
        <w:rPr>
          <w:rFonts w:hint="eastAsia" w:eastAsia="宋体"/>
          <w:lang w:val="en-US" w:eastAsia="zh-CN"/>
        </w:rPr>
      </w:pPr>
      <w:bookmarkStart w:id="266" w:name="_Toc12394"/>
      <w:bookmarkStart w:id="267" w:name="_Toc30076"/>
      <w:r>
        <w:rPr>
          <w:rFonts w:hint="eastAsia" w:ascii="Times New Roman" w:hAnsi="Times New Roman" w:cs="宋体"/>
        </w:rPr>
        <w:t>3、采购单位：</w:t>
      </w:r>
      <w:r>
        <w:rPr>
          <w:rFonts w:hint="eastAsia"/>
          <w:color w:val="auto"/>
          <w:sz w:val="24"/>
          <w:highlight w:val="none"/>
          <w:lang w:val="en-US"/>
        </w:rPr>
        <w:t>中共三亚市崖州区委政法委员会</w:t>
      </w:r>
      <w:bookmarkEnd w:id="266"/>
      <w:bookmarkEnd w:id="267"/>
    </w:p>
    <w:p>
      <w:pPr>
        <w:pStyle w:val="5"/>
        <w:tabs>
          <w:tab w:val="left" w:pos="1050"/>
        </w:tabs>
        <w:ind w:left="0" w:firstLine="480" w:firstLineChars="200"/>
        <w:rPr>
          <w:rFonts w:hint="default" w:ascii="Times New Roman" w:hAnsi="Times New Roman" w:cs="宋体"/>
          <w:lang w:val="en-US" w:eastAsia="zh-CN"/>
        </w:rPr>
      </w:pPr>
      <w:bookmarkStart w:id="268" w:name="_Toc32198"/>
      <w:bookmarkStart w:id="269" w:name="_Toc25711"/>
      <w:r>
        <w:rPr>
          <w:rFonts w:hint="eastAsia" w:ascii="Times New Roman" w:hAnsi="Times New Roman" w:cs="宋体"/>
          <w:lang w:val="en-US" w:eastAsia="zh-CN"/>
        </w:rPr>
        <w:t>4、工程规模及内容：派出所室外园林、篮球场及道路的改造（绿化总面积664平方、篮球场面积512平方、道路面积约800平方）,派出所原有办公楼修缮（原建筑总面积为1694.8平方，其中办公楼1076.8平方、宿舍楼618平方）等。</w:t>
      </w:r>
      <w:bookmarkEnd w:id="268"/>
      <w:bookmarkEnd w:id="269"/>
    </w:p>
    <w:p>
      <w:pPr>
        <w:pStyle w:val="5"/>
        <w:tabs>
          <w:tab w:val="left" w:pos="1050"/>
        </w:tabs>
        <w:ind w:left="0" w:firstLine="480" w:firstLineChars="200"/>
        <w:rPr>
          <w:rFonts w:hint="eastAsia"/>
          <w:b/>
          <w:bCs/>
          <w:color w:val="auto"/>
          <w:sz w:val="48"/>
          <w:szCs w:val="48"/>
          <w:highlight w:val="none"/>
          <w:lang w:val="en-US" w:eastAsia="zh-CN"/>
        </w:rPr>
      </w:pPr>
      <w:bookmarkStart w:id="270" w:name="_Toc32546"/>
      <w:bookmarkStart w:id="271" w:name="_Toc20650"/>
      <w:r>
        <w:rPr>
          <w:rFonts w:hint="eastAsia" w:ascii="Times New Roman" w:hAnsi="Times New Roman" w:cs="宋体"/>
          <w:lang w:val="en-US" w:eastAsia="zh-CN"/>
        </w:rPr>
        <w:t>5、需求清单：</w:t>
      </w:r>
      <w:bookmarkEnd w:id="270"/>
      <w:r>
        <w:rPr>
          <w:rFonts w:hint="eastAsia" w:ascii="Times New Roman" w:hAnsi="Times New Roman" w:cs="宋体"/>
          <w:lang w:val="en-US" w:eastAsia="zh-CN"/>
        </w:rPr>
        <w:t>图纸详见附件</w:t>
      </w:r>
      <w:bookmarkEnd w:id="271"/>
      <w:r>
        <w:rPr>
          <w:rFonts w:hint="eastAsia" w:ascii="Times New Roman" w:hAnsi="Times New Roman" w:cs="宋体"/>
          <w:lang w:val="en-US" w:eastAsia="zh-CN"/>
        </w:rPr>
        <w:t xml:space="preserve"> </w:t>
      </w:r>
    </w:p>
    <w:tbl>
      <w:tblPr>
        <w:tblStyle w:val="26"/>
        <w:tblW w:w="98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1506"/>
        <w:gridCol w:w="1506"/>
        <w:gridCol w:w="3456"/>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6" w:type="dxa"/>
            <w:noWrap w:val="0"/>
            <w:vAlign w:val="center"/>
          </w:tcPr>
          <w:p>
            <w:pPr>
              <w:keepNext w:val="0"/>
              <w:keepLines w:val="0"/>
              <w:widowControl/>
              <w:suppressLineNumbers w:val="0"/>
              <w:jc w:val="center"/>
              <w:textAlignment w:val="center"/>
              <w:rPr>
                <w:rFonts w:hint="default"/>
                <w:b/>
                <w:bCs/>
                <w:color w:val="auto"/>
                <w:sz w:val="48"/>
                <w:szCs w:val="48"/>
                <w:highlight w:val="none"/>
                <w:vertAlign w:val="baseline"/>
                <w:lang w:val="en-US" w:eastAsia="zh-CN"/>
              </w:rPr>
            </w:pPr>
            <w:r>
              <w:rPr>
                <w:rFonts w:hint="eastAsia" w:ascii="微软雅黑" w:hAnsi="微软雅黑" w:eastAsia="微软雅黑" w:cs="微软雅黑"/>
                <w:b/>
                <w:bCs/>
                <w:i w:val="0"/>
                <w:iCs w:val="0"/>
                <w:color w:val="000000"/>
                <w:kern w:val="0"/>
                <w:sz w:val="24"/>
                <w:szCs w:val="24"/>
                <w:u w:val="none"/>
                <w:lang w:val="en-US" w:eastAsia="zh-CN" w:bidi="ar"/>
              </w:rPr>
              <w:t>序号</w:t>
            </w:r>
          </w:p>
        </w:tc>
        <w:tc>
          <w:tcPr>
            <w:tcW w:w="1506" w:type="dxa"/>
            <w:noWrap w:val="0"/>
            <w:vAlign w:val="center"/>
          </w:tcPr>
          <w:p>
            <w:pPr>
              <w:keepNext w:val="0"/>
              <w:keepLines w:val="0"/>
              <w:widowControl/>
              <w:suppressLineNumbers w:val="0"/>
              <w:jc w:val="center"/>
              <w:textAlignment w:val="center"/>
              <w:rPr>
                <w:rFonts w:hint="default"/>
                <w:b/>
                <w:bCs/>
                <w:color w:val="auto"/>
                <w:sz w:val="48"/>
                <w:szCs w:val="48"/>
                <w:highlight w:val="none"/>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采购品目名称</w:t>
            </w:r>
          </w:p>
        </w:tc>
        <w:tc>
          <w:tcPr>
            <w:tcW w:w="1506" w:type="dxa"/>
            <w:noWrap w:val="0"/>
            <w:vAlign w:val="center"/>
          </w:tcPr>
          <w:p>
            <w:pPr>
              <w:keepNext w:val="0"/>
              <w:keepLines w:val="0"/>
              <w:widowControl/>
              <w:suppressLineNumbers w:val="0"/>
              <w:jc w:val="center"/>
              <w:textAlignment w:val="center"/>
              <w:rPr>
                <w:rFonts w:hint="default"/>
                <w:b/>
                <w:bCs/>
                <w:color w:val="auto"/>
                <w:sz w:val="48"/>
                <w:szCs w:val="48"/>
                <w:highlight w:val="none"/>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规格和配置技术参数</w:t>
            </w:r>
          </w:p>
        </w:tc>
        <w:tc>
          <w:tcPr>
            <w:tcW w:w="3456" w:type="dxa"/>
            <w:noWrap w:val="0"/>
            <w:vAlign w:val="center"/>
          </w:tcPr>
          <w:p>
            <w:pPr>
              <w:keepNext w:val="0"/>
              <w:keepLines w:val="0"/>
              <w:widowControl/>
              <w:suppressLineNumbers w:val="0"/>
              <w:jc w:val="center"/>
              <w:textAlignment w:val="center"/>
              <w:rPr>
                <w:rFonts w:hint="default"/>
                <w:b/>
                <w:bCs/>
                <w:color w:val="auto"/>
                <w:sz w:val="48"/>
                <w:szCs w:val="48"/>
                <w:highlight w:val="none"/>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数量</w:t>
            </w:r>
          </w:p>
        </w:tc>
        <w:tc>
          <w:tcPr>
            <w:tcW w:w="1830" w:type="dxa"/>
            <w:noWrap w:val="0"/>
            <w:vAlign w:val="center"/>
          </w:tcPr>
          <w:p>
            <w:pPr>
              <w:keepNext w:val="0"/>
              <w:keepLines w:val="0"/>
              <w:widowControl/>
              <w:suppressLineNumbers w:val="0"/>
              <w:jc w:val="center"/>
              <w:textAlignment w:val="center"/>
              <w:rPr>
                <w:rFonts w:hint="default"/>
                <w:b/>
                <w:bCs/>
                <w:color w:val="auto"/>
                <w:sz w:val="48"/>
                <w:szCs w:val="48"/>
                <w:highlight w:val="none"/>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6" w:type="dxa"/>
            <w:noWrap w:val="0"/>
            <w:vAlign w:val="top"/>
          </w:tcPr>
          <w:p>
            <w:pPr>
              <w:pStyle w:val="16"/>
              <w:jc w:val="center"/>
              <w:rPr>
                <w:rFonts w:hint="default"/>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1</w:t>
            </w:r>
          </w:p>
        </w:tc>
        <w:tc>
          <w:tcPr>
            <w:tcW w:w="1506" w:type="dxa"/>
            <w:noWrap w:val="0"/>
            <w:vAlign w:val="center"/>
          </w:tcPr>
          <w:p>
            <w:pPr>
              <w:keepNext w:val="0"/>
              <w:keepLines w:val="0"/>
              <w:widowControl/>
              <w:suppressLineNumbers w:val="0"/>
              <w:jc w:val="center"/>
              <w:textAlignment w:val="center"/>
              <w:rPr>
                <w:rFonts w:hint="default"/>
                <w:b/>
                <w:bCs/>
                <w:color w:val="auto"/>
                <w:sz w:val="48"/>
                <w:szCs w:val="4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派出所机房</w:t>
            </w:r>
          </w:p>
        </w:tc>
        <w:tc>
          <w:tcPr>
            <w:tcW w:w="1506" w:type="dxa"/>
            <w:noWrap w:val="0"/>
            <w:vAlign w:val="center"/>
          </w:tcPr>
          <w:p>
            <w:pPr>
              <w:keepNext w:val="0"/>
              <w:keepLines w:val="0"/>
              <w:widowControl/>
              <w:suppressLineNumbers w:val="0"/>
              <w:jc w:val="left"/>
              <w:textAlignment w:val="center"/>
              <w:rPr>
                <w:rFonts w:hint="default"/>
                <w:b/>
                <w:bCs/>
                <w:color w:val="auto"/>
                <w:sz w:val="48"/>
                <w:szCs w:val="4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派出所机关配套设备、装修等</w:t>
            </w:r>
          </w:p>
        </w:tc>
        <w:tc>
          <w:tcPr>
            <w:tcW w:w="3456" w:type="dxa"/>
            <w:noWrap w:val="0"/>
            <w:vAlign w:val="center"/>
          </w:tcPr>
          <w:p>
            <w:pPr>
              <w:keepNext w:val="0"/>
              <w:keepLines w:val="0"/>
              <w:widowControl/>
              <w:suppressLineNumbers w:val="0"/>
              <w:jc w:val="center"/>
              <w:textAlignment w:val="center"/>
              <w:rPr>
                <w:rFonts w:hint="default"/>
                <w:b/>
                <w:bCs/>
                <w:color w:val="auto"/>
                <w:sz w:val="48"/>
                <w:szCs w:val="4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1830" w:type="dxa"/>
            <w:noWrap w:val="0"/>
            <w:vAlign w:val="center"/>
          </w:tcPr>
          <w:p>
            <w:pPr>
              <w:keepNext w:val="0"/>
              <w:keepLines w:val="0"/>
              <w:widowControl/>
              <w:suppressLineNumbers w:val="0"/>
              <w:jc w:val="center"/>
              <w:textAlignment w:val="center"/>
              <w:rPr>
                <w:rFonts w:hint="default"/>
                <w:b/>
                <w:bCs/>
                <w:color w:val="auto"/>
                <w:sz w:val="48"/>
                <w:szCs w:val="4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6" w:type="dxa"/>
            <w:noWrap w:val="0"/>
            <w:vAlign w:val="top"/>
          </w:tcPr>
          <w:p>
            <w:pPr>
              <w:pStyle w:val="16"/>
              <w:jc w:val="center"/>
              <w:rPr>
                <w:rFonts w:hint="default"/>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2</w:t>
            </w:r>
          </w:p>
        </w:tc>
        <w:tc>
          <w:tcPr>
            <w:tcW w:w="1506" w:type="dxa"/>
            <w:noWrap w:val="0"/>
            <w:vAlign w:val="center"/>
          </w:tcPr>
          <w:p>
            <w:pPr>
              <w:keepNext w:val="0"/>
              <w:keepLines w:val="0"/>
              <w:widowControl/>
              <w:suppressLineNumbers w:val="0"/>
              <w:jc w:val="center"/>
              <w:textAlignment w:val="center"/>
              <w:rPr>
                <w:rFonts w:hint="default"/>
                <w:b/>
                <w:bCs/>
                <w:color w:val="auto"/>
                <w:sz w:val="48"/>
                <w:szCs w:val="4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派出所室外园林改造工程</w:t>
            </w:r>
          </w:p>
        </w:tc>
        <w:tc>
          <w:tcPr>
            <w:tcW w:w="1506" w:type="dxa"/>
            <w:noWrap w:val="0"/>
            <w:vAlign w:val="center"/>
          </w:tcPr>
          <w:p>
            <w:pPr>
              <w:keepNext w:val="0"/>
              <w:keepLines w:val="0"/>
              <w:widowControl/>
              <w:suppressLineNumbers w:val="0"/>
              <w:jc w:val="left"/>
              <w:textAlignment w:val="center"/>
              <w:rPr>
                <w:rFonts w:hint="default"/>
                <w:b/>
                <w:bCs/>
                <w:color w:val="auto"/>
                <w:sz w:val="48"/>
                <w:szCs w:val="4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园林绿化、种植植被等</w:t>
            </w:r>
          </w:p>
        </w:tc>
        <w:tc>
          <w:tcPr>
            <w:tcW w:w="3456" w:type="dxa"/>
            <w:noWrap w:val="0"/>
            <w:vAlign w:val="center"/>
          </w:tcPr>
          <w:p>
            <w:pPr>
              <w:keepNext w:val="0"/>
              <w:keepLines w:val="0"/>
              <w:widowControl/>
              <w:suppressLineNumbers w:val="0"/>
              <w:jc w:val="center"/>
              <w:textAlignment w:val="center"/>
              <w:rPr>
                <w:rFonts w:hint="default"/>
                <w:b/>
                <w:bCs/>
                <w:color w:val="auto"/>
                <w:sz w:val="48"/>
                <w:szCs w:val="4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1830" w:type="dxa"/>
            <w:noWrap w:val="0"/>
            <w:vAlign w:val="center"/>
          </w:tcPr>
          <w:p>
            <w:pPr>
              <w:keepNext w:val="0"/>
              <w:keepLines w:val="0"/>
              <w:widowControl/>
              <w:suppressLineNumbers w:val="0"/>
              <w:jc w:val="center"/>
              <w:textAlignment w:val="center"/>
              <w:rPr>
                <w:rFonts w:hint="default"/>
                <w:b/>
                <w:bCs/>
                <w:color w:val="auto"/>
                <w:sz w:val="48"/>
                <w:szCs w:val="4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6" w:type="dxa"/>
            <w:noWrap w:val="0"/>
            <w:vAlign w:val="top"/>
          </w:tcPr>
          <w:p>
            <w:pPr>
              <w:pStyle w:val="16"/>
              <w:jc w:val="center"/>
              <w:rPr>
                <w:rFonts w:hint="default"/>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3</w:t>
            </w:r>
          </w:p>
        </w:tc>
        <w:tc>
          <w:tcPr>
            <w:tcW w:w="1506" w:type="dxa"/>
            <w:noWrap w:val="0"/>
            <w:vAlign w:val="center"/>
          </w:tcPr>
          <w:p>
            <w:pPr>
              <w:keepNext w:val="0"/>
              <w:keepLines w:val="0"/>
              <w:widowControl/>
              <w:suppressLineNumbers w:val="0"/>
              <w:jc w:val="center"/>
              <w:textAlignment w:val="center"/>
              <w:rPr>
                <w:rFonts w:hint="default"/>
                <w:b/>
                <w:bCs/>
                <w:color w:val="auto"/>
                <w:sz w:val="48"/>
                <w:szCs w:val="4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渔港警务机房</w:t>
            </w:r>
          </w:p>
        </w:tc>
        <w:tc>
          <w:tcPr>
            <w:tcW w:w="1506" w:type="dxa"/>
            <w:noWrap w:val="0"/>
            <w:vAlign w:val="center"/>
          </w:tcPr>
          <w:p>
            <w:pPr>
              <w:keepNext w:val="0"/>
              <w:keepLines w:val="0"/>
              <w:widowControl/>
              <w:suppressLineNumbers w:val="0"/>
              <w:jc w:val="left"/>
              <w:textAlignment w:val="center"/>
              <w:rPr>
                <w:rFonts w:hint="default"/>
                <w:b/>
                <w:bCs/>
                <w:color w:val="auto"/>
                <w:sz w:val="48"/>
                <w:szCs w:val="4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修缮渔港警务机房</w:t>
            </w:r>
          </w:p>
        </w:tc>
        <w:tc>
          <w:tcPr>
            <w:tcW w:w="3456" w:type="dxa"/>
            <w:noWrap w:val="0"/>
            <w:vAlign w:val="center"/>
          </w:tcPr>
          <w:p>
            <w:pPr>
              <w:keepNext w:val="0"/>
              <w:keepLines w:val="0"/>
              <w:widowControl/>
              <w:suppressLineNumbers w:val="0"/>
              <w:jc w:val="center"/>
              <w:textAlignment w:val="center"/>
              <w:rPr>
                <w:rFonts w:hint="default"/>
                <w:b/>
                <w:bCs/>
                <w:color w:val="auto"/>
                <w:sz w:val="48"/>
                <w:szCs w:val="4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1830" w:type="dxa"/>
            <w:noWrap w:val="0"/>
            <w:vAlign w:val="center"/>
          </w:tcPr>
          <w:p>
            <w:pPr>
              <w:keepNext w:val="0"/>
              <w:keepLines w:val="0"/>
              <w:widowControl/>
              <w:suppressLineNumbers w:val="0"/>
              <w:jc w:val="center"/>
              <w:textAlignment w:val="center"/>
              <w:rPr>
                <w:rFonts w:hint="default"/>
                <w:b/>
                <w:bCs/>
                <w:color w:val="auto"/>
                <w:sz w:val="48"/>
                <w:szCs w:val="4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6" w:type="dxa"/>
            <w:noWrap w:val="0"/>
            <w:vAlign w:val="top"/>
          </w:tcPr>
          <w:p>
            <w:pPr>
              <w:pStyle w:val="16"/>
              <w:jc w:val="center"/>
              <w:rPr>
                <w:rFonts w:hint="default"/>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4</w:t>
            </w:r>
          </w:p>
        </w:tc>
        <w:tc>
          <w:tcPr>
            <w:tcW w:w="1506" w:type="dxa"/>
            <w:noWrap w:val="0"/>
            <w:vAlign w:val="center"/>
          </w:tcPr>
          <w:p>
            <w:pPr>
              <w:keepNext w:val="0"/>
              <w:keepLines w:val="0"/>
              <w:widowControl/>
              <w:suppressLineNumbers w:val="0"/>
              <w:jc w:val="center"/>
              <w:textAlignment w:val="center"/>
              <w:rPr>
                <w:rFonts w:hint="default"/>
                <w:b/>
                <w:bCs/>
                <w:color w:val="auto"/>
                <w:sz w:val="48"/>
                <w:szCs w:val="4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派出所修缮</w:t>
            </w:r>
          </w:p>
        </w:tc>
        <w:tc>
          <w:tcPr>
            <w:tcW w:w="1506" w:type="dxa"/>
            <w:noWrap w:val="0"/>
            <w:vAlign w:val="center"/>
          </w:tcPr>
          <w:p>
            <w:pPr>
              <w:keepNext w:val="0"/>
              <w:keepLines w:val="0"/>
              <w:widowControl/>
              <w:suppressLineNumbers w:val="0"/>
              <w:jc w:val="left"/>
              <w:textAlignment w:val="center"/>
              <w:rPr>
                <w:rFonts w:hint="default"/>
                <w:b/>
                <w:bCs/>
                <w:color w:val="auto"/>
                <w:sz w:val="48"/>
                <w:szCs w:val="4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修缮派出所</w:t>
            </w:r>
          </w:p>
        </w:tc>
        <w:tc>
          <w:tcPr>
            <w:tcW w:w="3456" w:type="dxa"/>
            <w:noWrap w:val="0"/>
            <w:vAlign w:val="center"/>
          </w:tcPr>
          <w:p>
            <w:pPr>
              <w:keepNext w:val="0"/>
              <w:keepLines w:val="0"/>
              <w:widowControl/>
              <w:suppressLineNumbers w:val="0"/>
              <w:jc w:val="center"/>
              <w:textAlignment w:val="center"/>
              <w:rPr>
                <w:rFonts w:hint="default"/>
                <w:b/>
                <w:bCs/>
                <w:color w:val="auto"/>
                <w:sz w:val="48"/>
                <w:szCs w:val="4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1830" w:type="dxa"/>
            <w:noWrap w:val="0"/>
            <w:vAlign w:val="center"/>
          </w:tcPr>
          <w:p>
            <w:pPr>
              <w:keepNext w:val="0"/>
              <w:keepLines w:val="0"/>
              <w:widowControl/>
              <w:suppressLineNumbers w:val="0"/>
              <w:jc w:val="center"/>
              <w:textAlignment w:val="center"/>
              <w:rPr>
                <w:rFonts w:hint="default"/>
                <w:b/>
                <w:bCs/>
                <w:color w:val="auto"/>
                <w:sz w:val="48"/>
                <w:szCs w:val="4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批</w:t>
            </w:r>
          </w:p>
        </w:tc>
      </w:tr>
    </w:tbl>
    <w:p>
      <w:pPr>
        <w:pStyle w:val="16"/>
        <w:jc w:val="center"/>
        <w:rPr>
          <w:rFonts w:hint="default"/>
          <w:b/>
          <w:bCs/>
          <w:color w:val="auto"/>
          <w:sz w:val="48"/>
          <w:szCs w:val="48"/>
          <w:highlight w:val="none"/>
          <w:lang w:val="en-US" w:eastAsia="zh-CN"/>
        </w:rPr>
      </w:pPr>
    </w:p>
    <w:p>
      <w:pPr>
        <w:jc w:val="center"/>
        <w:rPr>
          <w:rFonts w:hint="eastAsia"/>
          <w:sz w:val="48"/>
          <w:szCs w:val="48"/>
          <w:lang w:val="en-US" w:eastAsia="zh-CN"/>
        </w:rPr>
      </w:pPr>
    </w:p>
    <w:p>
      <w:pPr>
        <w:jc w:val="both"/>
        <w:rPr>
          <w:rFonts w:hint="eastAsia"/>
          <w:sz w:val="48"/>
          <w:szCs w:val="48"/>
          <w:lang w:val="en-US" w:eastAsia="zh-CN"/>
        </w:rPr>
      </w:pPr>
    </w:p>
    <w:p>
      <w:pPr>
        <w:pageBreakBefore/>
        <w:spacing w:line="360" w:lineRule="auto"/>
        <w:jc w:val="center"/>
        <w:outlineLvl w:val="0"/>
        <w:rPr>
          <w:rFonts w:hint="eastAsia"/>
          <w:sz w:val="48"/>
          <w:szCs w:val="48"/>
          <w:lang w:val="en-US" w:eastAsia="zh-CN"/>
        </w:rPr>
      </w:pPr>
      <w:bookmarkStart w:id="272" w:name="_Toc26731"/>
      <w:bookmarkStart w:id="273" w:name="_Toc31540"/>
      <w:bookmarkStart w:id="274" w:name="_Toc30879"/>
      <w:r>
        <w:rPr>
          <w:rFonts w:hint="eastAsia"/>
          <w:b/>
          <w:bCs/>
          <w:color w:val="auto"/>
          <w:sz w:val="44"/>
          <w:szCs w:val="44"/>
          <w:highlight w:val="none"/>
        </w:rPr>
        <w:t>第</w:t>
      </w:r>
      <w:r>
        <w:rPr>
          <w:rFonts w:hint="eastAsia"/>
          <w:b/>
          <w:bCs/>
          <w:color w:val="auto"/>
          <w:sz w:val="44"/>
          <w:szCs w:val="44"/>
          <w:highlight w:val="none"/>
          <w:lang w:val="en-US" w:eastAsia="zh-CN"/>
        </w:rPr>
        <w:t>四</w:t>
      </w:r>
      <w:r>
        <w:rPr>
          <w:rFonts w:hint="eastAsia"/>
          <w:b/>
          <w:bCs/>
          <w:color w:val="auto"/>
          <w:sz w:val="44"/>
          <w:szCs w:val="44"/>
          <w:highlight w:val="none"/>
        </w:rPr>
        <w:t>部分合同文本（仅供参考）</w:t>
      </w:r>
      <w:bookmarkEnd w:id="272"/>
      <w:bookmarkEnd w:id="273"/>
      <w:bookmarkEnd w:id="274"/>
    </w:p>
    <w:p>
      <w:pPr>
        <w:jc w:val="center"/>
        <w:rPr>
          <w:rFonts w:hint="eastAsia"/>
          <w:sz w:val="48"/>
          <w:szCs w:val="48"/>
        </w:rPr>
      </w:pPr>
      <w:r>
        <w:rPr>
          <w:rFonts w:hint="eastAsia"/>
          <w:sz w:val="48"/>
          <w:szCs w:val="48"/>
          <w:lang w:val="en-US" w:eastAsia="zh-CN"/>
        </w:rPr>
        <w:t>A包</w:t>
      </w:r>
      <w:bookmarkEnd w:id="261"/>
    </w:p>
    <w:p>
      <w:pPr>
        <w:pStyle w:val="67"/>
        <w:spacing w:line="360" w:lineRule="auto"/>
        <w:ind w:firstLine="480"/>
        <w:rPr>
          <w:rFonts w:hAnsi="宋体"/>
          <w:sz w:val="24"/>
          <w:szCs w:val="22"/>
        </w:rPr>
      </w:pPr>
      <w:r>
        <w:rPr>
          <w:rFonts w:hint="eastAsia" w:hAnsi="宋体"/>
          <w:sz w:val="24"/>
          <w:szCs w:val="22"/>
        </w:rPr>
        <w:t>合同编号：</w:t>
      </w:r>
    </w:p>
    <w:p>
      <w:pPr>
        <w:pStyle w:val="67"/>
        <w:spacing w:line="360" w:lineRule="auto"/>
        <w:ind w:firstLine="480"/>
        <w:rPr>
          <w:rFonts w:hAnsi="宋体"/>
          <w:sz w:val="24"/>
          <w:szCs w:val="22"/>
        </w:rPr>
      </w:pPr>
      <w:r>
        <w:rPr>
          <w:rFonts w:hint="eastAsia" w:hAnsi="宋体"/>
          <w:sz w:val="24"/>
          <w:szCs w:val="22"/>
        </w:rPr>
        <w:t>签订地点：XXXX</w:t>
      </w:r>
    </w:p>
    <w:p>
      <w:pPr>
        <w:pStyle w:val="67"/>
        <w:spacing w:line="360" w:lineRule="auto"/>
        <w:ind w:firstLine="480"/>
        <w:rPr>
          <w:rFonts w:hAnsi="宋体"/>
          <w:sz w:val="24"/>
          <w:szCs w:val="22"/>
        </w:rPr>
      </w:pPr>
      <w:r>
        <w:rPr>
          <w:rFonts w:hint="eastAsia" w:hAnsi="宋体"/>
          <w:sz w:val="24"/>
          <w:szCs w:val="22"/>
        </w:rPr>
        <w:t>签订时间：XXXX年XX月XX日</w:t>
      </w:r>
    </w:p>
    <w:p>
      <w:pPr>
        <w:pStyle w:val="67"/>
        <w:spacing w:line="360" w:lineRule="auto"/>
        <w:ind w:firstLine="480"/>
        <w:rPr>
          <w:rFonts w:hAnsi="宋体"/>
          <w:sz w:val="24"/>
          <w:szCs w:val="22"/>
        </w:rPr>
      </w:pPr>
      <w:r>
        <w:rPr>
          <w:rFonts w:hint="eastAsia" w:hAnsi="宋体"/>
          <w:sz w:val="24"/>
          <w:szCs w:val="22"/>
        </w:rPr>
        <w:t>采购人（甲方）：</w:t>
      </w:r>
    </w:p>
    <w:p>
      <w:pPr>
        <w:pStyle w:val="67"/>
        <w:spacing w:line="360" w:lineRule="auto"/>
        <w:ind w:firstLine="480"/>
        <w:rPr>
          <w:rFonts w:hAnsi="宋体"/>
          <w:sz w:val="24"/>
          <w:szCs w:val="22"/>
        </w:rPr>
      </w:pPr>
      <w:r>
        <w:rPr>
          <w:rFonts w:hint="eastAsia" w:hAnsi="宋体"/>
          <w:sz w:val="24"/>
          <w:szCs w:val="22"/>
        </w:rPr>
        <w:t>投标人（乙方）：</w:t>
      </w:r>
    </w:p>
    <w:p>
      <w:pPr>
        <w:pStyle w:val="67"/>
        <w:spacing w:line="360" w:lineRule="auto"/>
        <w:ind w:firstLine="480"/>
        <w:rPr>
          <w:rFonts w:hAnsi="宋体"/>
          <w:sz w:val="24"/>
          <w:szCs w:val="22"/>
        </w:rPr>
      </w:pPr>
      <w:r>
        <w:rPr>
          <w:rFonts w:hint="eastAsia" w:hAnsi="宋体"/>
          <w:sz w:val="24"/>
          <w:szCs w:val="22"/>
        </w:rPr>
        <w:t>根据《中华人民共和国政府采购法》《中华人民共和国</w:t>
      </w:r>
      <w:r>
        <w:rPr>
          <w:rFonts w:hint="eastAsia"/>
          <w:sz w:val="24"/>
          <w:szCs w:val="22"/>
          <w:lang w:eastAsia="zh-CN"/>
        </w:rPr>
        <w:t>民法典</w:t>
      </w:r>
      <w:r>
        <w:rPr>
          <w:rFonts w:hint="eastAsia" w:hAnsi="宋体"/>
          <w:sz w:val="24"/>
          <w:szCs w:val="22"/>
        </w:rPr>
        <w:t>》及xxx（项目编号：x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spacing w:line="360" w:lineRule="auto"/>
        <w:rPr>
          <w:rFonts w:hAnsi="宋体"/>
          <w:b/>
          <w:bCs/>
          <w:sz w:val="24"/>
        </w:rPr>
      </w:pPr>
      <w:r>
        <w:rPr>
          <w:rFonts w:hint="eastAsia" w:hAnsi="宋体"/>
          <w:b/>
          <w:bCs/>
          <w:sz w:val="24"/>
        </w:rPr>
        <w:t>一、合同货物</w:t>
      </w:r>
    </w:p>
    <w:tbl>
      <w:tblPr>
        <w:tblStyle w:val="25"/>
        <w:tblW w:w="918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88"/>
        <w:gridCol w:w="1181"/>
        <w:gridCol w:w="732"/>
        <w:gridCol w:w="915"/>
        <w:gridCol w:w="1097"/>
        <w:gridCol w:w="1205"/>
        <w:gridCol w:w="1281"/>
        <w:gridCol w:w="128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92" w:hRule="atLeast"/>
        </w:trPr>
        <w:tc>
          <w:tcPr>
            <w:tcW w:w="14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240" w:firstLineChars="100"/>
              <w:rPr>
                <w:rFonts w:hAnsi="宋体"/>
                <w:sz w:val="24"/>
              </w:rPr>
            </w:pPr>
            <w:r>
              <w:rPr>
                <w:rFonts w:hint="eastAsia" w:hAnsi="宋体" w:cs="Arial"/>
                <w:sz w:val="24"/>
              </w:rPr>
              <w:t>货物品名</w:t>
            </w:r>
          </w:p>
        </w:tc>
        <w:tc>
          <w:tcPr>
            <w:tcW w:w="118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Ansi="宋体" w:cs="Arial"/>
                <w:sz w:val="24"/>
              </w:rPr>
            </w:pPr>
            <w:r>
              <w:rPr>
                <w:rFonts w:hint="eastAsia" w:hAnsi="宋体" w:cs="Arial"/>
                <w:sz w:val="24"/>
              </w:rPr>
              <w:t>规格</w:t>
            </w:r>
          </w:p>
          <w:p>
            <w:pPr>
              <w:spacing w:line="360" w:lineRule="auto"/>
              <w:jc w:val="center"/>
              <w:rPr>
                <w:rFonts w:hAnsi="宋体"/>
                <w:sz w:val="24"/>
              </w:rPr>
            </w:pPr>
            <w:r>
              <w:rPr>
                <w:rFonts w:hint="eastAsia" w:hAnsi="宋体" w:cs="Arial"/>
                <w:sz w:val="24"/>
              </w:rPr>
              <w:t>型号</w:t>
            </w:r>
          </w:p>
        </w:tc>
        <w:tc>
          <w:tcPr>
            <w:tcW w:w="7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Ansi="宋体"/>
                <w:sz w:val="24"/>
              </w:rPr>
            </w:pPr>
            <w:r>
              <w:rPr>
                <w:rFonts w:hint="eastAsia" w:hAnsi="宋体" w:cs="Arial"/>
                <w:sz w:val="24"/>
              </w:rPr>
              <w:t>单位</w:t>
            </w:r>
          </w:p>
        </w:tc>
        <w:tc>
          <w:tcPr>
            <w:tcW w:w="91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120" w:firstLineChars="50"/>
              <w:rPr>
                <w:rFonts w:hAnsi="宋体"/>
                <w:sz w:val="24"/>
              </w:rPr>
            </w:pPr>
            <w:r>
              <w:rPr>
                <w:rFonts w:hint="eastAsia" w:hAnsi="宋体" w:cs="Arial"/>
                <w:sz w:val="24"/>
              </w:rPr>
              <w:t>数量</w:t>
            </w:r>
          </w:p>
        </w:tc>
        <w:tc>
          <w:tcPr>
            <w:tcW w:w="10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120" w:firstLineChars="50"/>
              <w:jc w:val="center"/>
              <w:rPr>
                <w:rFonts w:hAnsi="宋体" w:cs="Arial"/>
                <w:sz w:val="24"/>
              </w:rPr>
            </w:pPr>
            <w:r>
              <w:rPr>
                <w:rFonts w:hint="eastAsia" w:hAnsi="宋体" w:cs="Arial"/>
                <w:sz w:val="24"/>
              </w:rPr>
              <w:t>单价</w:t>
            </w:r>
          </w:p>
          <w:p>
            <w:pPr>
              <w:spacing w:line="360" w:lineRule="auto"/>
              <w:jc w:val="center"/>
              <w:rPr>
                <w:rFonts w:hAnsi="宋体" w:cs="Arial"/>
                <w:sz w:val="24"/>
              </w:rPr>
            </w:pPr>
            <w:r>
              <w:rPr>
                <w:rFonts w:hint="eastAsia" w:hAnsi="宋体" w:cs="Arial"/>
                <w:sz w:val="24"/>
              </w:rPr>
              <w:t>（万元）</w:t>
            </w:r>
          </w:p>
        </w:tc>
        <w:tc>
          <w:tcPr>
            <w:tcW w:w="12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240" w:firstLineChars="100"/>
              <w:rPr>
                <w:rFonts w:hAnsi="宋体" w:cs="Arial"/>
                <w:sz w:val="24"/>
              </w:rPr>
            </w:pPr>
            <w:r>
              <w:rPr>
                <w:rFonts w:hint="eastAsia" w:hAnsi="宋体" w:cs="Arial"/>
                <w:sz w:val="24"/>
              </w:rPr>
              <w:t>总价</w:t>
            </w:r>
          </w:p>
          <w:p>
            <w:pPr>
              <w:spacing w:line="360" w:lineRule="auto"/>
              <w:rPr>
                <w:rFonts w:hAnsi="宋体"/>
                <w:sz w:val="24"/>
              </w:rPr>
            </w:pPr>
            <w:r>
              <w:rPr>
                <w:rFonts w:hint="eastAsia" w:hAnsi="宋体" w:cs="Arial"/>
                <w:sz w:val="24"/>
              </w:rPr>
              <w:t>（万元）</w:t>
            </w:r>
          </w:p>
        </w:tc>
        <w:tc>
          <w:tcPr>
            <w:tcW w:w="128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Ansi="宋体" w:cs="Arial"/>
                <w:sz w:val="24"/>
              </w:rPr>
            </w:pPr>
            <w:r>
              <w:rPr>
                <w:rFonts w:hint="eastAsia" w:hAnsi="宋体" w:cs="Arial"/>
                <w:sz w:val="24"/>
              </w:rPr>
              <w:t>随机</w:t>
            </w:r>
          </w:p>
          <w:p>
            <w:pPr>
              <w:spacing w:line="360" w:lineRule="auto"/>
              <w:jc w:val="center"/>
              <w:rPr>
                <w:rFonts w:hAnsi="宋体"/>
                <w:sz w:val="24"/>
              </w:rPr>
            </w:pPr>
            <w:r>
              <w:rPr>
                <w:rFonts w:hint="eastAsia" w:hAnsi="宋体" w:cs="Arial"/>
                <w:sz w:val="24"/>
              </w:rPr>
              <w:t>配件</w:t>
            </w:r>
          </w:p>
        </w:tc>
        <w:tc>
          <w:tcPr>
            <w:tcW w:w="1281"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120" w:firstLineChars="50"/>
              <w:rPr>
                <w:rFonts w:hAnsi="宋体"/>
                <w:sz w:val="24"/>
              </w:rPr>
            </w:pPr>
            <w:r>
              <w:rPr>
                <w:rFonts w:hint="eastAsia" w:hAnsi="宋体" w:cs="Arial"/>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50" w:hRule="atLeast"/>
        </w:trPr>
        <w:tc>
          <w:tcPr>
            <w:tcW w:w="14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Ansi="宋体"/>
                <w:sz w:val="24"/>
              </w:rPr>
            </w:pPr>
            <w:r>
              <w:rPr>
                <w:rFonts w:hAnsi="宋体"/>
                <w:sz w:val="24"/>
              </w:rPr>
              <w:t> </w:t>
            </w:r>
          </w:p>
        </w:tc>
        <w:tc>
          <w:tcPr>
            <w:tcW w:w="118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Ansi="宋体"/>
                <w:sz w:val="24"/>
              </w:rPr>
            </w:pPr>
            <w:r>
              <w:rPr>
                <w:rFonts w:hAnsi="宋体"/>
                <w:sz w:val="24"/>
              </w:rPr>
              <w:t> </w:t>
            </w:r>
          </w:p>
        </w:tc>
        <w:tc>
          <w:tcPr>
            <w:tcW w:w="7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Ansi="宋体"/>
                <w:sz w:val="24"/>
              </w:rPr>
            </w:pPr>
            <w:r>
              <w:rPr>
                <w:rFonts w:hAnsi="宋体"/>
                <w:sz w:val="24"/>
              </w:rPr>
              <w:t> </w:t>
            </w:r>
          </w:p>
        </w:tc>
        <w:tc>
          <w:tcPr>
            <w:tcW w:w="91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Ansi="宋体"/>
                <w:sz w:val="24"/>
              </w:rPr>
            </w:pPr>
            <w:r>
              <w:rPr>
                <w:rFonts w:hAnsi="宋体"/>
                <w:sz w:val="24"/>
              </w:rPr>
              <w:t> </w:t>
            </w:r>
          </w:p>
        </w:tc>
        <w:tc>
          <w:tcPr>
            <w:tcW w:w="10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Ansi="宋体"/>
                <w:sz w:val="24"/>
              </w:rPr>
            </w:pPr>
            <w:r>
              <w:rPr>
                <w:rFonts w:hAnsi="宋体"/>
                <w:sz w:val="24"/>
              </w:rPr>
              <w:t> </w:t>
            </w:r>
          </w:p>
        </w:tc>
        <w:tc>
          <w:tcPr>
            <w:tcW w:w="12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Ansi="宋体"/>
                <w:sz w:val="24"/>
              </w:rPr>
            </w:pPr>
            <w:r>
              <w:rPr>
                <w:rFonts w:hAnsi="宋体"/>
                <w:sz w:val="24"/>
              </w:rPr>
              <w:t> </w:t>
            </w:r>
          </w:p>
        </w:tc>
        <w:tc>
          <w:tcPr>
            <w:tcW w:w="128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Ansi="宋体"/>
                <w:sz w:val="24"/>
              </w:rPr>
            </w:pPr>
            <w:r>
              <w:rPr>
                <w:rFonts w:hAnsi="宋体"/>
                <w:sz w:val="24"/>
              </w:rPr>
              <w:t> </w:t>
            </w:r>
          </w:p>
        </w:tc>
        <w:tc>
          <w:tcPr>
            <w:tcW w:w="128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Ansi="宋体"/>
                <w:sz w:val="24"/>
              </w:rPr>
            </w:pPr>
            <w:r>
              <w:rPr>
                <w:rFonts w:hAnsi="宋体"/>
                <w:sz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14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Ansi="宋体"/>
                <w:sz w:val="24"/>
              </w:rPr>
            </w:pPr>
            <w:r>
              <w:rPr>
                <w:rFonts w:hAnsi="宋体"/>
                <w:sz w:val="24"/>
              </w:rPr>
              <w:t> </w:t>
            </w:r>
          </w:p>
        </w:tc>
        <w:tc>
          <w:tcPr>
            <w:tcW w:w="118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Ansi="宋体"/>
                <w:sz w:val="24"/>
              </w:rPr>
            </w:pPr>
            <w:r>
              <w:rPr>
                <w:rFonts w:hAnsi="宋体"/>
                <w:sz w:val="24"/>
              </w:rPr>
              <w:t> </w:t>
            </w:r>
          </w:p>
        </w:tc>
        <w:tc>
          <w:tcPr>
            <w:tcW w:w="7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Ansi="宋体"/>
                <w:sz w:val="24"/>
              </w:rPr>
            </w:pPr>
            <w:r>
              <w:rPr>
                <w:rFonts w:hAnsi="宋体"/>
                <w:sz w:val="24"/>
              </w:rPr>
              <w:t> </w:t>
            </w:r>
          </w:p>
        </w:tc>
        <w:tc>
          <w:tcPr>
            <w:tcW w:w="91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Ansi="宋体"/>
                <w:sz w:val="24"/>
              </w:rPr>
            </w:pPr>
            <w:r>
              <w:rPr>
                <w:rFonts w:hAnsi="宋体"/>
                <w:sz w:val="24"/>
              </w:rPr>
              <w:t> </w:t>
            </w:r>
          </w:p>
        </w:tc>
        <w:tc>
          <w:tcPr>
            <w:tcW w:w="10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Ansi="宋体"/>
                <w:sz w:val="24"/>
              </w:rPr>
            </w:pPr>
            <w:r>
              <w:rPr>
                <w:rFonts w:hAnsi="宋体"/>
                <w:sz w:val="24"/>
              </w:rPr>
              <w:t> </w:t>
            </w:r>
          </w:p>
        </w:tc>
        <w:tc>
          <w:tcPr>
            <w:tcW w:w="12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Ansi="宋体"/>
                <w:sz w:val="24"/>
              </w:rPr>
            </w:pPr>
            <w:r>
              <w:rPr>
                <w:rFonts w:hAnsi="宋体"/>
                <w:sz w:val="24"/>
              </w:rPr>
              <w:t> </w:t>
            </w:r>
          </w:p>
        </w:tc>
        <w:tc>
          <w:tcPr>
            <w:tcW w:w="128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Ansi="宋体"/>
                <w:sz w:val="24"/>
              </w:rPr>
            </w:pPr>
            <w:r>
              <w:rPr>
                <w:rFonts w:hAnsi="宋体"/>
                <w:sz w:val="24"/>
              </w:rPr>
              <w:t> </w:t>
            </w:r>
          </w:p>
        </w:tc>
        <w:tc>
          <w:tcPr>
            <w:tcW w:w="128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Ansi="宋体"/>
                <w:sz w:val="24"/>
              </w:rPr>
            </w:pPr>
            <w:r>
              <w:rPr>
                <w:rFonts w:hAnsi="宋体"/>
                <w:sz w:val="24"/>
              </w:rPr>
              <w:t> </w:t>
            </w:r>
          </w:p>
        </w:tc>
      </w:tr>
    </w:tbl>
    <w:p>
      <w:pPr>
        <w:spacing w:line="360" w:lineRule="auto"/>
        <w:rPr>
          <w:rFonts w:hAnsi="宋体"/>
          <w:b/>
          <w:bCs/>
          <w:sz w:val="24"/>
        </w:rPr>
      </w:pPr>
      <w:r>
        <w:rPr>
          <w:rFonts w:hint="eastAsia" w:hAnsi="宋体"/>
          <w:b/>
          <w:bCs/>
          <w:sz w:val="24"/>
        </w:rPr>
        <w:t>二、合同总价</w:t>
      </w:r>
    </w:p>
    <w:p>
      <w:pPr>
        <w:pStyle w:val="9"/>
        <w:ind w:firstLineChars="175"/>
        <w:rPr>
          <w:rFonts w:ascii="宋体" w:hAnsi="宋体"/>
        </w:rPr>
      </w:pPr>
      <w:r>
        <w:rPr>
          <w:rFonts w:hint="eastAsia" w:ascii="宋体" w:hAnsi="宋体"/>
        </w:rPr>
        <w:t>合同总价为人民币大写：元，即￥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pPr>
        <w:spacing w:line="360" w:lineRule="auto"/>
        <w:rPr>
          <w:rFonts w:hAnsi="宋体"/>
          <w:b/>
          <w:sz w:val="24"/>
        </w:rPr>
      </w:pPr>
      <w:bookmarkStart w:id="275" w:name="_Toc217446109"/>
      <w:r>
        <w:rPr>
          <w:rFonts w:hint="eastAsia" w:hAnsi="宋体"/>
          <w:b/>
          <w:sz w:val="24"/>
        </w:rPr>
        <w:t>三、质量要求</w:t>
      </w:r>
      <w:bookmarkEnd w:id="275"/>
    </w:p>
    <w:p>
      <w:pPr>
        <w:spacing w:line="360" w:lineRule="auto"/>
        <w:rPr>
          <w:rFonts w:hAnsi="宋体"/>
          <w:bCs/>
          <w:sz w:val="24"/>
        </w:rPr>
      </w:pPr>
      <w:r>
        <w:rPr>
          <w:rFonts w:hint="eastAsia" w:hAnsi="宋体"/>
          <w:bCs/>
          <w:sz w:val="24"/>
        </w:rPr>
        <w:t xml:space="preserve">    1、乙方须提供全新的货物（含零部件、配件等），表面无划伤、无碰撞痕迹，且权属清楚，不得侵害他人的知识产权。</w:t>
      </w:r>
    </w:p>
    <w:p>
      <w:pPr>
        <w:spacing w:line="360" w:lineRule="auto"/>
        <w:rPr>
          <w:rFonts w:hAnsi="宋体"/>
          <w:bCs/>
          <w:sz w:val="24"/>
        </w:rPr>
      </w:pPr>
      <w:r>
        <w:rPr>
          <w:rFonts w:hint="eastAsia" w:hAnsi="宋体"/>
          <w:bCs/>
          <w:sz w:val="24"/>
        </w:rPr>
        <w:t xml:space="preserve">    2、货物必须符合或优于国家（行业）标准，以及本项目招标文件的质量要求和技术指标与出厂标准。</w:t>
      </w:r>
    </w:p>
    <w:p>
      <w:pPr>
        <w:spacing w:line="360" w:lineRule="auto"/>
        <w:rPr>
          <w:rFonts w:hAnsi="宋体"/>
          <w:bCs/>
          <w:sz w:val="24"/>
        </w:rPr>
      </w:pPr>
      <w:r>
        <w:rPr>
          <w:rFonts w:hint="eastAsia" w:hAnsi="宋体"/>
          <w:bCs/>
          <w:sz w:val="24"/>
        </w:rPr>
        <w:t xml:space="preserve">   3、货物制造质量出现问题，乙方应负责三包（包修、包换、包退），费用由乙方负担，甲方有权到乙方生产场地检查货物质量和生产进度。</w:t>
      </w:r>
    </w:p>
    <w:p>
      <w:pPr>
        <w:spacing w:line="360" w:lineRule="auto"/>
        <w:rPr>
          <w:rFonts w:hAnsi="宋体"/>
          <w:bCs/>
          <w:sz w:val="24"/>
        </w:rPr>
      </w:pPr>
      <w:r>
        <w:rPr>
          <w:rFonts w:hint="eastAsia" w:hAnsi="宋体"/>
          <w:bCs/>
          <w:sz w:val="24"/>
        </w:rPr>
        <w:t xml:space="preserve">   4、货到现场后由于甲方保管不当造成的质量问题，乙方亦应负责修理，但费用由甲方负担。</w:t>
      </w:r>
    </w:p>
    <w:p>
      <w:pPr>
        <w:spacing w:line="360" w:lineRule="auto"/>
        <w:rPr>
          <w:rFonts w:hAnsi="宋体"/>
          <w:b/>
          <w:sz w:val="24"/>
        </w:rPr>
      </w:pPr>
      <w:r>
        <w:rPr>
          <w:rFonts w:hint="eastAsia" w:hAnsi="宋体"/>
          <w:b/>
          <w:sz w:val="24"/>
        </w:rPr>
        <w:t>四、交货期、交货方式及交货地点</w:t>
      </w:r>
    </w:p>
    <w:p>
      <w:pPr>
        <w:spacing w:line="360" w:lineRule="auto"/>
        <w:rPr>
          <w:rFonts w:hAnsi="宋体"/>
          <w:sz w:val="24"/>
        </w:rPr>
      </w:pPr>
      <w:r>
        <w:rPr>
          <w:rFonts w:hint="eastAsia" w:hAnsi="宋体"/>
          <w:sz w:val="24"/>
        </w:rPr>
        <w:t xml:space="preserve">   1.交货期：</w:t>
      </w:r>
      <w:r>
        <w:rPr>
          <w:rFonts w:hint="eastAsia" w:hAnsi="宋体" w:cs="宋体"/>
          <w:sz w:val="24"/>
        </w:rPr>
        <w:t>xxx</w:t>
      </w:r>
      <w:r>
        <w:rPr>
          <w:rFonts w:hint="eastAsia" w:hAnsi="宋体"/>
          <w:sz w:val="24"/>
        </w:rPr>
        <w:t>。</w:t>
      </w:r>
    </w:p>
    <w:p>
      <w:pPr>
        <w:spacing w:line="360" w:lineRule="auto"/>
        <w:rPr>
          <w:rFonts w:hAnsi="宋体"/>
          <w:sz w:val="24"/>
        </w:rPr>
      </w:pPr>
      <w:r>
        <w:rPr>
          <w:rFonts w:hint="eastAsia" w:hAnsi="宋体"/>
          <w:sz w:val="24"/>
        </w:rPr>
        <w:t xml:space="preserve">   2.交货方式：以合同约定为准。</w:t>
      </w:r>
    </w:p>
    <w:p>
      <w:pPr>
        <w:spacing w:line="360" w:lineRule="auto"/>
        <w:rPr>
          <w:rFonts w:hAnsi="宋体"/>
          <w:sz w:val="24"/>
        </w:rPr>
      </w:pPr>
      <w:r>
        <w:rPr>
          <w:rFonts w:hint="eastAsia" w:hAnsi="宋体"/>
          <w:sz w:val="24"/>
        </w:rPr>
        <w:t xml:space="preserve">   3.交货地点：采购人指定地点。</w:t>
      </w:r>
    </w:p>
    <w:p>
      <w:pPr>
        <w:spacing w:line="360" w:lineRule="auto"/>
        <w:rPr>
          <w:rFonts w:hAnsi="宋体"/>
          <w:b/>
          <w:sz w:val="24"/>
        </w:rPr>
      </w:pPr>
      <w:r>
        <w:rPr>
          <w:rFonts w:hint="eastAsia" w:hAnsi="宋体"/>
          <w:b/>
          <w:sz w:val="24"/>
        </w:rPr>
        <w:t>五、付款方式</w:t>
      </w:r>
    </w:p>
    <w:p>
      <w:pPr>
        <w:spacing w:line="360" w:lineRule="auto"/>
        <w:ind w:firstLine="480" w:firstLineChars="200"/>
        <w:rPr>
          <w:rFonts w:ascii="宋体" w:hAnsi="宋体" w:cs="宋体"/>
          <w:sz w:val="24"/>
        </w:rPr>
      </w:pPr>
      <w:r>
        <w:rPr>
          <w:rFonts w:hint="eastAsia" w:ascii="宋体" w:hAnsi="宋体" w:cs="宋体"/>
          <w:sz w:val="24"/>
        </w:rPr>
        <w:t>成交后，甲乙双方协商确定。</w:t>
      </w:r>
    </w:p>
    <w:p>
      <w:pPr>
        <w:spacing w:line="360" w:lineRule="auto"/>
        <w:rPr>
          <w:rFonts w:hAnsi="宋体"/>
          <w:b/>
          <w:sz w:val="24"/>
        </w:rPr>
      </w:pPr>
      <w:r>
        <w:rPr>
          <w:rFonts w:hint="eastAsia" w:hAnsi="宋体"/>
          <w:b/>
          <w:sz w:val="24"/>
        </w:rPr>
        <w:t>六、质保期及售后服务要求</w:t>
      </w:r>
    </w:p>
    <w:p>
      <w:pPr>
        <w:spacing w:line="360" w:lineRule="auto"/>
        <w:ind w:firstLine="480" w:firstLineChars="200"/>
        <w:rPr>
          <w:rFonts w:hAnsi="宋体"/>
          <w:bCs/>
          <w:sz w:val="24"/>
        </w:rPr>
      </w:pPr>
      <w:r>
        <w:rPr>
          <w:rFonts w:hint="eastAsia" w:hAnsi="宋体"/>
          <w:bCs/>
          <w:sz w:val="24"/>
        </w:rPr>
        <w:t>1.本合同的质量保证期（简称“质保期”）为</w:t>
      </w:r>
      <w:r>
        <w:rPr>
          <w:rFonts w:hint="eastAsia"/>
          <w:bCs/>
          <w:sz w:val="24"/>
          <w:lang w:val="en-US" w:eastAsia="zh-CN"/>
        </w:rPr>
        <w:t xml:space="preserve">  </w:t>
      </w:r>
      <w:r>
        <w:rPr>
          <w:rFonts w:hint="eastAsia" w:hAnsi="宋体"/>
          <w:bCs/>
          <w:sz w:val="24"/>
        </w:rPr>
        <w:t>年，质保期内乙方对所供货物实行包修、包换、包退、包维护保养，期满后可提供终身有偿维修保养服务。</w:t>
      </w:r>
    </w:p>
    <w:p>
      <w:pPr>
        <w:spacing w:line="360" w:lineRule="auto"/>
        <w:ind w:firstLine="480" w:firstLineChars="200"/>
        <w:rPr>
          <w:rFonts w:hAnsi="宋体"/>
          <w:bCs/>
          <w:sz w:val="24"/>
        </w:rPr>
      </w:pPr>
      <w:r>
        <w:rPr>
          <w:rFonts w:hint="eastAsia" w:hAnsi="宋体"/>
          <w:bCs/>
          <w:sz w:val="24"/>
        </w:rPr>
        <w:t>2.质保期内，如设备或零部件因非人为因素出现故障而造成短期停用时，则质保期和免费维修期相应顺延。如停用时间累计超过60天则质保期重新计算。</w:t>
      </w:r>
    </w:p>
    <w:p>
      <w:pPr>
        <w:spacing w:line="360" w:lineRule="auto"/>
        <w:ind w:firstLine="480" w:firstLineChars="200"/>
        <w:rPr>
          <w:rFonts w:hAnsi="宋体"/>
          <w:bCs/>
          <w:sz w:val="24"/>
        </w:rPr>
      </w:pPr>
      <w:r>
        <w:rPr>
          <w:rFonts w:hint="eastAsia" w:hAnsi="宋体"/>
          <w:bCs/>
          <w:sz w:val="24"/>
        </w:rPr>
        <w:t>3.对甲方的服务通知，乙方在接报后24小时内响应，3日内到达现场用户现场维修。若未能有效解决，乙方须免费提供同档次的设备予甲方临时使用。</w:t>
      </w:r>
    </w:p>
    <w:p>
      <w:pPr>
        <w:spacing w:line="360" w:lineRule="auto"/>
        <w:rPr>
          <w:rFonts w:hAnsi="宋体"/>
          <w:sz w:val="24"/>
        </w:rPr>
      </w:pPr>
      <w:r>
        <w:rPr>
          <w:rFonts w:hint="eastAsia" w:hAnsi="宋体"/>
          <w:b/>
          <w:sz w:val="24"/>
        </w:rPr>
        <w:t>七、安装与调试:</w:t>
      </w:r>
      <w:r>
        <w:rPr>
          <w:rFonts w:hint="eastAsia" w:hAnsi="宋体"/>
          <w:sz w:val="24"/>
        </w:rPr>
        <w:t>乙方必须依照招标文件的要求和投标文件的承诺，将设备、系统安装并调试至正常运行的最佳状态。</w:t>
      </w:r>
    </w:p>
    <w:p>
      <w:pPr>
        <w:spacing w:line="360" w:lineRule="auto"/>
        <w:rPr>
          <w:rFonts w:hAnsi="宋体"/>
          <w:b/>
          <w:sz w:val="24"/>
        </w:rPr>
      </w:pPr>
      <w:r>
        <w:rPr>
          <w:rFonts w:hint="eastAsia" w:hAnsi="宋体"/>
          <w:b/>
          <w:sz w:val="24"/>
        </w:rPr>
        <w:t>八、验收：</w:t>
      </w:r>
    </w:p>
    <w:p>
      <w:pPr>
        <w:tabs>
          <w:tab w:val="left" w:pos="900"/>
        </w:tabs>
        <w:spacing w:line="360" w:lineRule="auto"/>
        <w:ind w:firstLine="480" w:firstLineChars="200"/>
        <w:rPr>
          <w:rFonts w:hAnsi="宋体"/>
          <w:sz w:val="24"/>
        </w:rPr>
      </w:pPr>
      <w:r>
        <w:rPr>
          <w:rFonts w:hint="eastAsia" w:hAnsi="宋体"/>
          <w:sz w:val="24"/>
        </w:rPr>
        <w:t>验收由甲方组织，乙方配合进行：</w:t>
      </w:r>
    </w:p>
    <w:p>
      <w:pPr>
        <w:tabs>
          <w:tab w:val="left" w:pos="900"/>
        </w:tabs>
        <w:spacing w:line="360" w:lineRule="auto"/>
        <w:ind w:firstLine="480" w:firstLineChars="200"/>
        <w:rPr>
          <w:rFonts w:hAnsi="宋体"/>
          <w:sz w:val="24"/>
        </w:rPr>
      </w:pPr>
      <w:r>
        <w:rPr>
          <w:rFonts w:hint="eastAsia" w:hAnsi="宋体"/>
          <w:sz w:val="24"/>
        </w:rPr>
        <w:t>1)货物在乙方通知安装调试完毕后日内初步验收。初步验收合格后，进入试用期；试用期间发生重大质量问题，修复后试用相应顺延；试用期结束后日内完成最终验收；</w:t>
      </w:r>
    </w:p>
    <w:p>
      <w:pPr>
        <w:tabs>
          <w:tab w:val="left" w:pos="900"/>
        </w:tabs>
        <w:spacing w:line="360" w:lineRule="auto"/>
        <w:ind w:firstLine="480" w:firstLineChars="200"/>
        <w:rPr>
          <w:rFonts w:hAnsi="宋体"/>
          <w:sz w:val="24"/>
        </w:rPr>
      </w:pPr>
      <w:r>
        <w:rPr>
          <w:rFonts w:hint="eastAsia" w:hAnsi="宋体"/>
          <w:sz w:val="24"/>
        </w:rPr>
        <w:t>2)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tabs>
          <w:tab w:val="left" w:pos="900"/>
        </w:tabs>
        <w:spacing w:line="360" w:lineRule="auto"/>
        <w:ind w:firstLine="480" w:firstLineChars="200"/>
        <w:rPr>
          <w:rFonts w:hAnsi="宋体"/>
          <w:sz w:val="24"/>
        </w:rPr>
      </w:pPr>
      <w:r>
        <w:rPr>
          <w:rFonts w:hint="eastAsia" w:hAnsi="宋体"/>
          <w:sz w:val="24"/>
        </w:rPr>
        <w:t>3)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tabs>
          <w:tab w:val="left" w:pos="900"/>
        </w:tabs>
        <w:spacing w:line="360" w:lineRule="auto"/>
        <w:ind w:firstLine="480" w:firstLineChars="200"/>
        <w:rPr>
          <w:rFonts w:hAnsi="宋体"/>
          <w:sz w:val="24"/>
        </w:rPr>
      </w:pPr>
      <w:r>
        <w:rPr>
          <w:rFonts w:hint="eastAsia" w:hAnsi="宋体"/>
          <w:sz w:val="24"/>
        </w:rPr>
        <w:t>4)如质量验收合格，双方签署质量验收报告。</w:t>
      </w:r>
    </w:p>
    <w:p>
      <w:pPr>
        <w:spacing w:line="360" w:lineRule="auto"/>
        <w:rPr>
          <w:rFonts w:hAnsi="宋体"/>
          <w:b/>
          <w:sz w:val="24"/>
        </w:rPr>
      </w:pPr>
      <w:r>
        <w:rPr>
          <w:rFonts w:hint="eastAsia" w:hAnsi="宋体"/>
          <w:b/>
          <w:sz w:val="24"/>
        </w:rPr>
        <w:t>九、违约责任与赔偿损失</w:t>
      </w:r>
    </w:p>
    <w:p>
      <w:pPr>
        <w:tabs>
          <w:tab w:val="left" w:pos="900"/>
        </w:tabs>
        <w:spacing w:line="360" w:lineRule="auto"/>
        <w:ind w:firstLine="480" w:firstLineChars="200"/>
        <w:rPr>
          <w:rFonts w:hAnsi="宋体"/>
          <w:sz w:val="24"/>
        </w:rPr>
      </w:pPr>
      <w:r>
        <w:rPr>
          <w:rFonts w:hint="eastAsia" w:hAnsi="宋体"/>
          <w:sz w:val="24"/>
        </w:rPr>
        <w:t>1) 乙方交付的货物不符合招标文件、报价文件或本合同规定的，甲方有权拒收，并且乙方须向甲方支付本合同总价5%的违约金。</w:t>
      </w:r>
    </w:p>
    <w:p>
      <w:pPr>
        <w:tabs>
          <w:tab w:val="left" w:pos="900"/>
        </w:tabs>
        <w:spacing w:line="360" w:lineRule="auto"/>
        <w:ind w:firstLine="480" w:firstLineChars="200"/>
        <w:rPr>
          <w:rFonts w:hAnsi="宋体"/>
          <w:sz w:val="24"/>
        </w:rPr>
      </w:pPr>
      <w:r>
        <w:rPr>
          <w:rFonts w:hint="eastAsia" w:hAnsi="宋体"/>
          <w:sz w:val="24"/>
        </w:rPr>
        <w:t>2) 乙方未能按本合同规定的交货时间交付货物，从逾期之日起每日按本合同总价3‰的数额向甲方支付违约金；逾期半个月以上的，甲方有权终止合同，由此造成的甲方经济损失由乙方承担。</w:t>
      </w:r>
    </w:p>
    <w:p>
      <w:pPr>
        <w:tabs>
          <w:tab w:val="left" w:pos="900"/>
        </w:tabs>
        <w:spacing w:line="360" w:lineRule="auto"/>
        <w:ind w:firstLine="480" w:firstLineChars="200"/>
        <w:rPr>
          <w:rFonts w:hAnsi="宋体"/>
          <w:sz w:val="24"/>
        </w:rPr>
      </w:pPr>
      <w:r>
        <w:rPr>
          <w:rFonts w:hint="eastAsia" w:hAnsi="宋体"/>
          <w:sz w:val="24"/>
        </w:rPr>
        <w:t>3) 甲方无正当理由拒收货物，到期拒付货物款项的，甲方向乙方偿付本合同总的5%的违约金。甲方人逾期付款，则每日按本合同总价的3‰向乙方偿付违约金。</w:t>
      </w:r>
    </w:p>
    <w:p>
      <w:pPr>
        <w:tabs>
          <w:tab w:val="left" w:pos="900"/>
        </w:tabs>
        <w:spacing w:line="360" w:lineRule="auto"/>
        <w:ind w:firstLine="480" w:firstLineChars="200"/>
        <w:rPr>
          <w:rFonts w:hAnsi="宋体"/>
          <w:sz w:val="24"/>
        </w:rPr>
      </w:pPr>
      <w:r>
        <w:rPr>
          <w:rFonts w:hint="eastAsia" w:hAnsi="宋体"/>
          <w:sz w:val="24"/>
        </w:rPr>
        <w:t>4) 其它违约责任按《中华人民共和国</w:t>
      </w:r>
      <w:r>
        <w:rPr>
          <w:rFonts w:hint="eastAsia"/>
          <w:sz w:val="24"/>
          <w:lang w:eastAsia="zh-CN"/>
        </w:rPr>
        <w:t>民法典</w:t>
      </w:r>
      <w:r>
        <w:rPr>
          <w:rFonts w:hint="eastAsia" w:hAnsi="宋体"/>
          <w:sz w:val="24"/>
        </w:rPr>
        <w:t>》处理。</w:t>
      </w:r>
    </w:p>
    <w:p>
      <w:pPr>
        <w:spacing w:line="360" w:lineRule="auto"/>
        <w:rPr>
          <w:rFonts w:hAnsi="宋体"/>
          <w:b/>
          <w:sz w:val="24"/>
        </w:rPr>
      </w:pPr>
      <w:r>
        <w:rPr>
          <w:rFonts w:hint="eastAsia" w:hAnsi="宋体"/>
          <w:b/>
          <w:sz w:val="24"/>
        </w:rPr>
        <w:t>十、争议的解决</w:t>
      </w:r>
    </w:p>
    <w:p>
      <w:pPr>
        <w:tabs>
          <w:tab w:val="left" w:pos="900"/>
        </w:tabs>
        <w:spacing w:line="360" w:lineRule="auto"/>
        <w:ind w:firstLine="480" w:firstLineChars="200"/>
        <w:rPr>
          <w:rFonts w:hAnsi="宋体"/>
          <w:sz w:val="24"/>
        </w:rPr>
      </w:pPr>
      <w:r>
        <w:rPr>
          <w:rFonts w:hint="eastAsia" w:hAnsi="宋体"/>
          <w:sz w:val="24"/>
        </w:rPr>
        <w:t>1)合同执行过程中发生的任何争议，如双方不能通过友好协商解决，按相关法律法规处理。</w:t>
      </w:r>
    </w:p>
    <w:p>
      <w:pPr>
        <w:spacing w:line="360" w:lineRule="auto"/>
        <w:rPr>
          <w:rFonts w:hAnsi="宋体"/>
          <w:sz w:val="24"/>
        </w:rPr>
      </w:pPr>
      <w:r>
        <w:rPr>
          <w:rFonts w:hint="eastAsia" w:hAnsi="宋体"/>
          <w:b/>
          <w:sz w:val="24"/>
        </w:rPr>
        <w:t>十一、不可抗力：</w:t>
      </w:r>
      <w:r>
        <w:rPr>
          <w:rFonts w:hint="eastAsia" w:hAnsi="宋体"/>
          <w:sz w:val="24"/>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pPr>
        <w:spacing w:line="360" w:lineRule="auto"/>
        <w:rPr>
          <w:rFonts w:hAnsi="宋体"/>
          <w:sz w:val="24"/>
        </w:rPr>
      </w:pPr>
      <w:r>
        <w:rPr>
          <w:rFonts w:hint="eastAsia" w:hAnsi="宋体"/>
          <w:b/>
          <w:sz w:val="24"/>
        </w:rPr>
        <w:t>十二、税费：</w:t>
      </w:r>
      <w:r>
        <w:rPr>
          <w:rFonts w:hint="eastAsia" w:hAnsi="宋体"/>
          <w:sz w:val="24"/>
        </w:rPr>
        <w:t>在中国境内、外发生的与本合同执行有关的一切税费均由乙方负担。</w:t>
      </w:r>
    </w:p>
    <w:p>
      <w:pPr>
        <w:spacing w:line="360" w:lineRule="auto"/>
        <w:rPr>
          <w:rFonts w:hAnsi="宋体"/>
          <w:b/>
          <w:sz w:val="24"/>
        </w:rPr>
      </w:pPr>
      <w:r>
        <w:rPr>
          <w:rFonts w:hint="eastAsia" w:hAnsi="宋体"/>
          <w:b/>
          <w:sz w:val="24"/>
        </w:rPr>
        <w:t>十三、其它</w:t>
      </w:r>
    </w:p>
    <w:p>
      <w:pPr>
        <w:tabs>
          <w:tab w:val="left" w:pos="900"/>
        </w:tabs>
        <w:spacing w:line="360" w:lineRule="auto"/>
        <w:ind w:firstLine="480" w:firstLineChars="200"/>
        <w:rPr>
          <w:rFonts w:hAnsi="宋体"/>
          <w:b/>
          <w:sz w:val="24"/>
        </w:rPr>
      </w:pPr>
      <w:r>
        <w:rPr>
          <w:rFonts w:hint="eastAsia" w:hAnsi="宋体"/>
          <w:sz w:val="24"/>
        </w:rPr>
        <w:t>1) 本合同所有附件、招标文件、投标文件、中标通知书通知书均为合同的有效组成部分，与本合同具有同等法律效力。</w:t>
      </w:r>
    </w:p>
    <w:p>
      <w:pPr>
        <w:tabs>
          <w:tab w:val="left" w:pos="900"/>
        </w:tabs>
        <w:spacing w:line="360" w:lineRule="auto"/>
        <w:ind w:firstLine="480" w:firstLineChars="200"/>
        <w:rPr>
          <w:rFonts w:hAnsi="宋体"/>
          <w:sz w:val="24"/>
        </w:rPr>
      </w:pPr>
      <w:r>
        <w:rPr>
          <w:rFonts w:hint="eastAsia" w:hAnsi="宋体"/>
          <w:sz w:val="24"/>
        </w:rPr>
        <w:t>2) 在执行本合同的过程中，所有经双方签署确认的文件（包括会议纪要、补充协议、往来信函）即成为本合同的有效组成部分。</w:t>
      </w:r>
    </w:p>
    <w:p>
      <w:pPr>
        <w:tabs>
          <w:tab w:val="left" w:pos="900"/>
        </w:tabs>
        <w:spacing w:line="360" w:lineRule="auto"/>
        <w:ind w:firstLine="480" w:firstLineChars="200"/>
        <w:rPr>
          <w:rFonts w:hAnsi="宋体"/>
          <w:sz w:val="24"/>
        </w:rPr>
      </w:pPr>
      <w:r>
        <w:rPr>
          <w:rFonts w:hint="eastAsia" w:hAnsi="宋体"/>
          <w:sz w:val="24"/>
        </w:rPr>
        <w:t>3) 如一方地址、电话、传真号码有变更，应在变更当日内书面通知对方，否则，应承担相应责任。</w:t>
      </w:r>
    </w:p>
    <w:p>
      <w:pPr>
        <w:tabs>
          <w:tab w:val="left" w:pos="900"/>
        </w:tabs>
        <w:spacing w:line="360" w:lineRule="auto"/>
        <w:ind w:firstLine="480" w:firstLineChars="200"/>
        <w:rPr>
          <w:rFonts w:hAnsi="宋体"/>
          <w:sz w:val="24"/>
        </w:rPr>
      </w:pPr>
      <w:r>
        <w:rPr>
          <w:rFonts w:hint="eastAsia" w:hAnsi="宋体"/>
          <w:sz w:val="24"/>
        </w:rPr>
        <w:t>4) 除甲方事先书面同意外，乙方不得部分或全部转让其应履行的合同项下的义务。</w:t>
      </w:r>
    </w:p>
    <w:p>
      <w:pPr>
        <w:spacing w:line="360" w:lineRule="auto"/>
        <w:rPr>
          <w:rFonts w:hAnsi="宋体"/>
          <w:b/>
          <w:sz w:val="24"/>
        </w:rPr>
      </w:pPr>
      <w:r>
        <w:rPr>
          <w:rFonts w:hint="eastAsia" w:hAnsi="宋体"/>
          <w:b/>
          <w:sz w:val="24"/>
        </w:rPr>
        <w:t>十四、合同生效：</w:t>
      </w:r>
    </w:p>
    <w:p>
      <w:pPr>
        <w:tabs>
          <w:tab w:val="left" w:pos="900"/>
        </w:tabs>
        <w:spacing w:line="360" w:lineRule="auto"/>
        <w:ind w:firstLine="480" w:firstLineChars="200"/>
        <w:rPr>
          <w:rFonts w:hAnsi="宋体"/>
          <w:sz w:val="24"/>
        </w:rPr>
      </w:pPr>
      <w:r>
        <w:rPr>
          <w:rFonts w:hint="eastAsia" w:hAnsi="宋体"/>
          <w:sz w:val="24"/>
        </w:rPr>
        <w:t>1）本合同在甲乙双方法人代表或其授权代表签字盖章后生效。</w:t>
      </w:r>
    </w:p>
    <w:p>
      <w:pPr>
        <w:tabs>
          <w:tab w:val="left" w:pos="900"/>
        </w:tabs>
        <w:spacing w:line="360" w:lineRule="auto"/>
        <w:ind w:firstLine="480" w:firstLineChars="200"/>
        <w:rPr>
          <w:rFonts w:hAnsi="宋体"/>
          <w:sz w:val="24"/>
        </w:rPr>
      </w:pPr>
      <w:r>
        <w:rPr>
          <w:rFonts w:hint="eastAsia" w:hAnsi="宋体"/>
          <w:sz w:val="24"/>
        </w:rPr>
        <w:t>2）合同一式五份。甲、乙方双方各执两份，采购代理机构一份。</w:t>
      </w:r>
    </w:p>
    <w:p>
      <w:pPr>
        <w:spacing w:line="360" w:lineRule="auto"/>
        <w:rPr>
          <w:rFonts w:hAnsi="宋体"/>
          <w:sz w:val="24"/>
        </w:rPr>
      </w:pPr>
    </w:p>
    <w:p>
      <w:pPr>
        <w:spacing w:line="360" w:lineRule="auto"/>
        <w:ind w:firstLine="480" w:firstLineChars="200"/>
        <w:rPr>
          <w:rFonts w:hint="eastAsia" w:hAnsi="宋体"/>
          <w:sz w:val="24"/>
        </w:rPr>
      </w:pPr>
    </w:p>
    <w:p>
      <w:pPr>
        <w:spacing w:line="360" w:lineRule="auto"/>
        <w:ind w:firstLine="480" w:firstLineChars="200"/>
        <w:rPr>
          <w:rFonts w:hAnsi="宋体"/>
          <w:sz w:val="24"/>
        </w:rPr>
      </w:pPr>
      <w:r>
        <w:rPr>
          <w:rFonts w:hint="eastAsia" w:hAnsi="宋体"/>
          <w:sz w:val="24"/>
        </w:rPr>
        <w:t>甲方：（盖章）</w:t>
      </w:r>
      <w:r>
        <w:rPr>
          <w:rFonts w:hAnsi="宋体"/>
          <w:sz w:val="24"/>
        </w:rPr>
        <w:tab/>
      </w:r>
      <w:r>
        <w:rPr>
          <w:rFonts w:hAnsi="宋体"/>
          <w:sz w:val="24"/>
        </w:rPr>
        <w:tab/>
      </w:r>
      <w:r>
        <w:rPr>
          <w:rFonts w:hAnsi="宋体"/>
          <w:sz w:val="24"/>
        </w:rPr>
        <w:tab/>
      </w:r>
      <w:r>
        <w:rPr>
          <w:rFonts w:hint="eastAsia" w:hAnsi="宋体"/>
          <w:sz w:val="24"/>
        </w:rPr>
        <w:t>乙方：（盖章）</w:t>
      </w:r>
    </w:p>
    <w:p>
      <w:pPr>
        <w:spacing w:line="360" w:lineRule="auto"/>
        <w:ind w:firstLine="480" w:firstLineChars="200"/>
        <w:rPr>
          <w:rFonts w:hAnsi="宋体"/>
          <w:sz w:val="24"/>
        </w:rPr>
      </w:pPr>
      <w:r>
        <w:rPr>
          <w:rFonts w:hint="eastAsia" w:hAnsi="宋体"/>
          <w:sz w:val="24"/>
        </w:rPr>
        <w:t>法定代表人（授权代表）：法定代表人（授权代表）：</w:t>
      </w:r>
    </w:p>
    <w:p>
      <w:pPr>
        <w:spacing w:line="360" w:lineRule="auto"/>
        <w:ind w:firstLine="480" w:firstLineChars="200"/>
        <w:rPr>
          <w:rFonts w:hAnsi="宋体"/>
          <w:sz w:val="24"/>
        </w:rPr>
      </w:pPr>
      <w:r>
        <w:rPr>
          <w:rFonts w:hint="eastAsia" w:hAnsi="宋体"/>
          <w:sz w:val="24"/>
        </w:rPr>
        <w:t>地址：地址：</w:t>
      </w:r>
    </w:p>
    <w:p>
      <w:pPr>
        <w:spacing w:line="360" w:lineRule="auto"/>
        <w:ind w:firstLine="480" w:firstLineChars="200"/>
        <w:rPr>
          <w:rFonts w:hAnsi="宋体"/>
          <w:sz w:val="24"/>
        </w:rPr>
      </w:pPr>
      <w:r>
        <w:rPr>
          <w:rFonts w:hint="eastAsia" w:hAnsi="宋体"/>
          <w:sz w:val="24"/>
        </w:rPr>
        <w:t>开户银行：开户银行：</w:t>
      </w:r>
    </w:p>
    <w:p>
      <w:pPr>
        <w:spacing w:line="360" w:lineRule="auto"/>
        <w:ind w:firstLine="480" w:firstLineChars="200"/>
        <w:rPr>
          <w:rFonts w:hAnsi="宋体"/>
          <w:sz w:val="24"/>
        </w:rPr>
      </w:pPr>
      <w:r>
        <w:rPr>
          <w:rFonts w:hint="eastAsia" w:hAnsi="宋体"/>
          <w:sz w:val="24"/>
        </w:rPr>
        <w:t>账号：账号：</w:t>
      </w:r>
    </w:p>
    <w:p>
      <w:pPr>
        <w:spacing w:line="360" w:lineRule="auto"/>
        <w:ind w:firstLine="480" w:firstLineChars="200"/>
        <w:rPr>
          <w:rFonts w:hAnsi="宋体"/>
          <w:sz w:val="24"/>
        </w:rPr>
      </w:pPr>
      <w:r>
        <w:rPr>
          <w:rFonts w:hint="eastAsia" w:hAnsi="宋体"/>
          <w:sz w:val="24"/>
        </w:rPr>
        <w:t>电话：电话：</w:t>
      </w:r>
    </w:p>
    <w:p>
      <w:pPr>
        <w:spacing w:line="360" w:lineRule="auto"/>
        <w:ind w:firstLine="480" w:firstLineChars="200"/>
        <w:rPr>
          <w:rFonts w:hAnsi="宋体"/>
          <w:sz w:val="24"/>
        </w:rPr>
      </w:pPr>
      <w:r>
        <w:rPr>
          <w:rFonts w:hint="eastAsia" w:hAnsi="宋体"/>
          <w:sz w:val="24"/>
        </w:rPr>
        <w:t>传真：传真：</w:t>
      </w:r>
    </w:p>
    <w:p>
      <w:pPr>
        <w:spacing w:line="360" w:lineRule="auto"/>
        <w:ind w:firstLine="480" w:firstLineChars="200"/>
        <w:rPr>
          <w:rFonts w:hAnsi="宋体"/>
          <w:sz w:val="24"/>
        </w:rPr>
      </w:pPr>
      <w:r>
        <w:rPr>
          <w:rFonts w:hint="eastAsia" w:hAnsi="宋体"/>
          <w:sz w:val="24"/>
        </w:rPr>
        <w:t>签约日期：XX年XX月XX日</w:t>
      </w:r>
      <w:r>
        <w:rPr>
          <w:rFonts w:hAnsi="宋体"/>
          <w:sz w:val="24"/>
        </w:rPr>
        <w:tab/>
      </w:r>
      <w:r>
        <w:rPr>
          <w:rFonts w:hAnsi="宋体"/>
          <w:sz w:val="24"/>
        </w:rPr>
        <w:tab/>
      </w:r>
      <w:r>
        <w:rPr>
          <w:rFonts w:hAnsi="宋体"/>
          <w:sz w:val="24"/>
        </w:rPr>
        <w:tab/>
      </w:r>
      <w:r>
        <w:rPr>
          <w:rFonts w:hint="eastAsia" w:hAnsi="宋体"/>
          <w:sz w:val="24"/>
        </w:rPr>
        <w:t>签约日期：XX年XX月XX日</w:t>
      </w:r>
    </w:p>
    <w:p>
      <w:pPr>
        <w:spacing w:line="360" w:lineRule="auto"/>
        <w:ind w:firstLine="480" w:firstLineChars="200"/>
        <w:rPr>
          <w:rFonts w:hAnsi="宋体"/>
          <w:sz w:val="24"/>
        </w:rPr>
      </w:pPr>
    </w:p>
    <w:p>
      <w:pPr>
        <w:spacing w:line="360" w:lineRule="auto"/>
        <w:ind w:firstLine="480" w:firstLineChars="200"/>
        <w:rPr>
          <w:rFonts w:hAnsi="宋体"/>
          <w:sz w:val="24"/>
        </w:rPr>
      </w:pPr>
      <w:r>
        <w:rPr>
          <w:rFonts w:hint="eastAsia" w:hAnsi="宋体"/>
          <w:sz w:val="24"/>
        </w:rPr>
        <w:t>见证方：（盖章）</w:t>
      </w:r>
    </w:p>
    <w:p>
      <w:pPr>
        <w:spacing w:line="360" w:lineRule="auto"/>
        <w:ind w:firstLine="480" w:firstLineChars="200"/>
        <w:rPr>
          <w:rFonts w:hAnsi="宋体"/>
          <w:sz w:val="24"/>
        </w:rPr>
      </w:pPr>
      <w:r>
        <w:rPr>
          <w:rFonts w:hint="eastAsia" w:hAnsi="宋体"/>
          <w:sz w:val="24"/>
        </w:rPr>
        <w:t>日期：XX年XX月XX</w:t>
      </w:r>
    </w:p>
    <w:p>
      <w:pPr>
        <w:pStyle w:val="16"/>
        <w:rPr>
          <w:rFonts w:hAnsi="宋体"/>
          <w:sz w:val="24"/>
        </w:rPr>
      </w:pPr>
    </w:p>
    <w:p>
      <w:pPr>
        <w:jc w:val="center"/>
        <w:rPr>
          <w:rFonts w:hint="eastAsia"/>
          <w:sz w:val="48"/>
          <w:szCs w:val="48"/>
          <w:lang w:val="en-US" w:eastAsia="zh-CN"/>
        </w:rPr>
      </w:pPr>
    </w:p>
    <w:p>
      <w:pPr>
        <w:jc w:val="center"/>
        <w:rPr>
          <w:rFonts w:hint="eastAsia"/>
          <w:sz w:val="48"/>
          <w:szCs w:val="48"/>
          <w:lang w:val="en-US" w:eastAsia="zh-CN"/>
        </w:rPr>
      </w:pPr>
    </w:p>
    <w:p>
      <w:pPr>
        <w:jc w:val="center"/>
        <w:rPr>
          <w:rFonts w:hint="eastAsia"/>
          <w:sz w:val="48"/>
          <w:szCs w:val="48"/>
          <w:lang w:val="en-US" w:eastAsia="zh-CN"/>
        </w:rPr>
      </w:pPr>
    </w:p>
    <w:p>
      <w:pPr>
        <w:jc w:val="center"/>
        <w:rPr>
          <w:rFonts w:hint="eastAsia"/>
          <w:sz w:val="48"/>
          <w:szCs w:val="48"/>
          <w:lang w:val="en-US" w:eastAsia="zh-CN"/>
        </w:rPr>
      </w:pPr>
    </w:p>
    <w:p>
      <w:pPr>
        <w:jc w:val="center"/>
        <w:rPr>
          <w:rFonts w:hint="eastAsia"/>
          <w:sz w:val="48"/>
          <w:szCs w:val="48"/>
          <w:lang w:val="en-US" w:eastAsia="zh-CN"/>
        </w:rPr>
      </w:pPr>
    </w:p>
    <w:p>
      <w:pPr>
        <w:jc w:val="center"/>
        <w:rPr>
          <w:rFonts w:hint="eastAsia"/>
          <w:sz w:val="48"/>
          <w:szCs w:val="48"/>
          <w:lang w:val="en-US" w:eastAsia="zh-CN"/>
        </w:rPr>
      </w:pPr>
    </w:p>
    <w:p>
      <w:pPr>
        <w:jc w:val="center"/>
        <w:rPr>
          <w:rFonts w:hint="eastAsia"/>
          <w:sz w:val="48"/>
          <w:szCs w:val="48"/>
          <w:lang w:val="en-US" w:eastAsia="zh-CN"/>
        </w:rPr>
      </w:pPr>
    </w:p>
    <w:p>
      <w:pPr>
        <w:jc w:val="center"/>
        <w:rPr>
          <w:rFonts w:hint="eastAsia"/>
          <w:sz w:val="48"/>
          <w:szCs w:val="48"/>
          <w:lang w:val="en-US" w:eastAsia="zh-CN"/>
        </w:rPr>
      </w:pPr>
    </w:p>
    <w:p>
      <w:pPr>
        <w:jc w:val="center"/>
        <w:rPr>
          <w:rFonts w:hint="eastAsia"/>
          <w:sz w:val="48"/>
          <w:szCs w:val="48"/>
          <w:lang w:val="en-US" w:eastAsia="zh-CN"/>
        </w:rPr>
      </w:pPr>
    </w:p>
    <w:p>
      <w:pPr>
        <w:jc w:val="center"/>
        <w:rPr>
          <w:rFonts w:hint="eastAsia"/>
          <w:sz w:val="48"/>
          <w:szCs w:val="48"/>
          <w:lang w:val="en-US" w:eastAsia="zh-CN"/>
        </w:rPr>
      </w:pPr>
    </w:p>
    <w:p>
      <w:pPr>
        <w:jc w:val="center"/>
        <w:rPr>
          <w:rFonts w:hint="eastAsia"/>
          <w:sz w:val="48"/>
          <w:szCs w:val="48"/>
          <w:lang w:val="en-US" w:eastAsia="zh-CN"/>
        </w:rPr>
      </w:pPr>
    </w:p>
    <w:p>
      <w:pPr>
        <w:jc w:val="center"/>
        <w:rPr>
          <w:rFonts w:hint="eastAsia"/>
          <w:sz w:val="48"/>
          <w:szCs w:val="48"/>
          <w:lang w:val="en-US" w:eastAsia="zh-CN"/>
        </w:rPr>
      </w:pPr>
    </w:p>
    <w:p>
      <w:pPr>
        <w:jc w:val="center"/>
        <w:rPr>
          <w:rFonts w:hint="default" w:eastAsia="宋体"/>
          <w:lang w:val="en-US" w:eastAsia="zh-CN"/>
        </w:rPr>
      </w:pPr>
      <w:r>
        <w:rPr>
          <w:rFonts w:hint="eastAsia"/>
          <w:sz w:val="48"/>
          <w:szCs w:val="48"/>
          <w:lang w:val="en-US" w:eastAsia="zh-CN"/>
        </w:rPr>
        <w:t>B包</w:t>
      </w:r>
    </w:p>
    <w:p>
      <w:pPr>
        <w:jc w:val="left"/>
        <w:rPr>
          <w:rFonts w:ascii="Times New Roman" w:hAnsi="Times New Roman" w:eastAsia="仿宋_GB2312"/>
          <w:bCs/>
          <w:color w:val="000000"/>
          <w:sz w:val="32"/>
          <w:szCs w:val="32"/>
          <w:highlight w:val="none"/>
        </w:rPr>
      </w:pPr>
      <w:r>
        <w:rPr>
          <w:rFonts w:ascii="Times New Roman" w:hAnsi="Times New Roman" w:eastAsia="仿宋_GB2312"/>
          <w:bCs/>
          <w:color w:val="000000"/>
          <w:sz w:val="32"/>
          <w:szCs w:val="32"/>
          <w:highlight w:val="none"/>
        </w:rPr>
        <w:t>（GF—201</w:t>
      </w:r>
      <w:r>
        <w:rPr>
          <w:rFonts w:hint="eastAsia" w:ascii="Times New Roman" w:hAnsi="Times New Roman" w:eastAsia="仿宋_GB2312"/>
          <w:bCs/>
          <w:color w:val="000000"/>
          <w:sz w:val="32"/>
          <w:szCs w:val="32"/>
          <w:highlight w:val="none"/>
        </w:rPr>
        <w:t>7</w:t>
      </w:r>
      <w:r>
        <w:rPr>
          <w:rFonts w:ascii="Times New Roman" w:hAnsi="Times New Roman" w:eastAsia="仿宋_GB2312"/>
          <w:bCs/>
          <w:color w:val="000000"/>
          <w:sz w:val="32"/>
          <w:szCs w:val="32"/>
          <w:highlight w:val="none"/>
        </w:rPr>
        <w:t>—</w:t>
      </w:r>
      <w:r>
        <w:rPr>
          <w:rFonts w:hint="eastAsia" w:ascii="Times New Roman" w:hAnsi="Times New Roman" w:eastAsia="仿宋_GB2312"/>
          <w:bCs/>
          <w:color w:val="000000"/>
          <w:sz w:val="32"/>
          <w:szCs w:val="32"/>
          <w:highlight w:val="none"/>
        </w:rPr>
        <w:t>0201）</w:t>
      </w:r>
    </w:p>
    <w:p>
      <w:pPr>
        <w:jc w:val="center"/>
        <w:rPr>
          <w:rFonts w:ascii="Times New Roman" w:hAnsi="Times New Roman" w:eastAsia="华文中宋"/>
          <w:b/>
          <w:color w:val="000000"/>
          <w:sz w:val="52"/>
          <w:szCs w:val="52"/>
          <w:highlight w:val="none"/>
        </w:rPr>
      </w:pPr>
    </w:p>
    <w:p>
      <w:pPr>
        <w:jc w:val="center"/>
        <w:rPr>
          <w:rFonts w:ascii="Times New Roman" w:hAnsi="Times New Roman" w:eastAsia="华文中宋"/>
          <w:b/>
          <w:color w:val="000000"/>
          <w:sz w:val="52"/>
          <w:szCs w:val="52"/>
          <w:highlight w:val="none"/>
        </w:rPr>
      </w:pPr>
    </w:p>
    <w:p>
      <w:pPr>
        <w:jc w:val="center"/>
        <w:rPr>
          <w:rFonts w:ascii="Times New Roman" w:hAnsi="Times New Roman" w:eastAsia="华文中宋"/>
          <w:b/>
          <w:color w:val="000000"/>
          <w:sz w:val="52"/>
          <w:szCs w:val="52"/>
          <w:highlight w:val="none"/>
        </w:rPr>
      </w:pPr>
    </w:p>
    <w:p>
      <w:pPr>
        <w:jc w:val="center"/>
        <w:rPr>
          <w:rFonts w:ascii="宋体" w:hAnsi="宋体"/>
          <w:b/>
          <w:color w:val="000000"/>
          <w:sz w:val="52"/>
          <w:szCs w:val="52"/>
          <w:highlight w:val="none"/>
        </w:rPr>
      </w:pPr>
    </w:p>
    <w:p>
      <w:pPr>
        <w:jc w:val="center"/>
        <w:rPr>
          <w:rFonts w:hint="eastAsia" w:ascii="宋体" w:hAnsi="宋体" w:eastAsia="宋体"/>
          <w:b/>
          <w:color w:val="000000"/>
          <w:sz w:val="72"/>
          <w:szCs w:val="52"/>
          <w:highlight w:val="none"/>
          <w:lang w:eastAsia="zh-CN"/>
        </w:rPr>
      </w:pPr>
      <w:r>
        <w:rPr>
          <w:rFonts w:ascii="宋体" w:hAnsi="宋体"/>
          <w:b/>
          <w:color w:val="000000"/>
          <w:sz w:val="72"/>
          <w:szCs w:val="52"/>
          <w:highlight w:val="none"/>
        </w:rPr>
        <w:t>建设工程施工合同</w:t>
      </w:r>
    </w:p>
    <w:p>
      <w:pPr>
        <w:jc w:val="center"/>
        <w:rPr>
          <w:rFonts w:ascii="宋体" w:hAnsi="宋体"/>
          <w:b/>
          <w:color w:val="000000"/>
          <w:sz w:val="52"/>
          <w:szCs w:val="52"/>
          <w:highlight w:val="none"/>
        </w:rPr>
      </w:pPr>
      <w:r>
        <w:rPr>
          <w:rFonts w:ascii="宋体" w:hAnsi="宋体"/>
          <w:b/>
          <w:color w:val="000000"/>
          <w:sz w:val="52"/>
          <w:szCs w:val="52"/>
          <w:highlight w:val="none"/>
        </w:rPr>
        <w:t>（示范文本）</w:t>
      </w:r>
    </w:p>
    <w:p>
      <w:pPr>
        <w:jc w:val="center"/>
        <w:rPr>
          <w:rFonts w:ascii="Times New Roman" w:hAnsi="Times New Roman" w:eastAsia="华文中宋"/>
          <w:b/>
          <w:color w:val="000000"/>
          <w:sz w:val="52"/>
          <w:szCs w:val="52"/>
          <w:highlight w:val="none"/>
        </w:rPr>
      </w:pPr>
    </w:p>
    <w:p>
      <w:pPr>
        <w:jc w:val="center"/>
        <w:rPr>
          <w:rFonts w:ascii="Times New Roman" w:hAnsi="Times New Roman" w:eastAsia="黑体"/>
          <w:b/>
          <w:color w:val="000000"/>
          <w:sz w:val="72"/>
          <w:szCs w:val="72"/>
          <w:highlight w:val="none"/>
        </w:rPr>
      </w:pPr>
    </w:p>
    <w:p>
      <w:pPr>
        <w:jc w:val="center"/>
        <w:rPr>
          <w:rFonts w:ascii="Times New Roman" w:hAnsi="Times New Roman" w:eastAsia="楷体_GB2312"/>
          <w:b/>
          <w:color w:val="000000"/>
          <w:sz w:val="72"/>
          <w:szCs w:val="72"/>
          <w:highlight w:val="none"/>
        </w:rPr>
      </w:pPr>
    </w:p>
    <w:p>
      <w:pPr>
        <w:jc w:val="center"/>
        <w:rPr>
          <w:rFonts w:ascii="Times New Roman" w:hAnsi="Times New Roman" w:eastAsia="黑体"/>
          <w:b/>
          <w:color w:val="000000"/>
          <w:sz w:val="52"/>
          <w:szCs w:val="52"/>
          <w:highlight w:val="none"/>
        </w:rPr>
      </w:pPr>
    </w:p>
    <w:p>
      <w:pPr>
        <w:rPr>
          <w:rFonts w:ascii="Times New Roman" w:hAnsi="Times New Roman"/>
          <w:b/>
          <w:color w:val="000000"/>
          <w:sz w:val="28"/>
          <w:szCs w:val="28"/>
          <w:highlight w:val="none"/>
        </w:rPr>
      </w:pPr>
    </w:p>
    <w:p>
      <w:pPr>
        <w:rPr>
          <w:rFonts w:ascii="Times New Roman" w:hAnsi="Times New Roman"/>
          <w:b/>
          <w:color w:val="000000"/>
          <w:sz w:val="28"/>
          <w:szCs w:val="28"/>
          <w:highlight w:val="none"/>
        </w:rPr>
      </w:pPr>
    </w:p>
    <w:p>
      <w:pPr>
        <w:rPr>
          <w:rFonts w:ascii="Times New Roman" w:hAnsi="Times New Roman"/>
          <w:b/>
          <w:color w:val="000000"/>
          <w:sz w:val="28"/>
          <w:szCs w:val="28"/>
          <w:highlight w:val="none"/>
        </w:rPr>
      </w:pPr>
    </w:p>
    <w:p>
      <w:pPr>
        <w:rPr>
          <w:rFonts w:ascii="Times New Roman" w:hAnsi="Times New Roman"/>
          <w:b/>
          <w:color w:val="000000"/>
          <w:sz w:val="28"/>
          <w:szCs w:val="28"/>
          <w:highlight w:val="none"/>
        </w:rPr>
      </w:pPr>
    </w:p>
    <w:p>
      <w:pPr>
        <w:rPr>
          <w:rFonts w:ascii="Times New Roman" w:hAnsi="Times New Roman"/>
          <w:b/>
          <w:color w:val="000000"/>
          <w:sz w:val="28"/>
          <w:szCs w:val="28"/>
          <w:highlight w:val="none"/>
        </w:rPr>
      </w:pPr>
    </w:p>
    <w:p>
      <w:pPr>
        <w:ind w:right="2849" w:rightChars="1295" w:firstLine="2868" w:firstLineChars="1304"/>
        <w:jc w:val="distribute"/>
        <w:rPr>
          <w:rFonts w:ascii="Times New Roman" w:hAnsi="Times New Roman"/>
          <w:b/>
          <w:color w:val="000000"/>
          <w:sz w:val="32"/>
          <w:szCs w:val="28"/>
          <w:highlight w:val="none"/>
        </w:rPr>
      </w:pPr>
      <w:r>
        <w:rPr>
          <w:rFonts w:ascii="Times New Roman" w:hAnsi="Times New Roman"/>
          <w:highlight w:val="none"/>
        </w:rPr>
        <mc:AlternateContent>
          <mc:Choice Requires="wps">
            <w:drawing>
              <wp:anchor distT="0" distB="0" distL="114300" distR="114300" simplePos="0" relativeHeight="251659264"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1" name="文本框 1"/>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a:effectLst/>
                      </wps:spPr>
                      <wps:txbx>
                        <w:txbxContent>
                          <w:p>
                            <w:pPr>
                              <w:rPr>
                                <w:rFonts w:hint="eastAsia"/>
                                <w:b/>
                                <w:bCs/>
                                <w:sz w:val="32"/>
                              </w:rPr>
                            </w:pPr>
                            <w:r>
                              <w:rPr>
                                <w:rFonts w:hint="eastAsia"/>
                                <w:b/>
                                <w:bCs/>
                                <w:sz w:val="32"/>
                              </w:rPr>
                              <w:t>制定</w:t>
                            </w:r>
                          </w:p>
                        </w:txbxContent>
                      </wps:txbx>
                      <wps:bodyPr vert="horz" wrap="square" anchor="t" anchorCtr="0" upright="1"/>
                    </wps:wsp>
                  </a:graphicData>
                </a:graphic>
              </wp:anchor>
            </w:drawing>
          </mc:Choice>
          <mc:Fallback>
            <w:pict>
              <v:shape id="_x0000_s1026" o:spid="_x0000_s1026" o:spt="202" type="#_x0000_t202" style="position:absolute;left:0pt;margin-left:312.6pt;margin-top:9.45pt;height:36pt;width:57pt;z-index:251659264;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BzS1x2AAAAAkBAAAPAAAAAAAAAAEAIAAAACIAAABkcnMvZG93bnJldi54bWxQSwECFAAUAAAA&#10;CACHTuJAN76X5icCAABNBAAADgAAAAAAAAABACAAAAAnAQAAZHJzL2Uyb0RvYy54bWxQSwUGAAAA&#10;AAYABgBZAQAAwAUAAAAA&#10;">
                <v:fill on="f" focussize="0,0"/>
                <v:stroke color="#FFFFFF" joinstyle="miter"/>
                <v:imagedata o:title=""/>
                <o:lock v:ext="edit" aspectratio="f"/>
                <v:textbox>
                  <w:txbxContent>
                    <w:p>
                      <w:pPr>
                        <w:rPr>
                          <w:rFonts w:hint="eastAsia"/>
                          <w:b/>
                          <w:bCs/>
                          <w:sz w:val="32"/>
                        </w:rPr>
                      </w:pPr>
                      <w:r>
                        <w:rPr>
                          <w:rFonts w:hint="eastAsia"/>
                          <w:b/>
                          <w:bCs/>
                          <w:sz w:val="32"/>
                        </w:rPr>
                        <w:t>制定</w:t>
                      </w:r>
                    </w:p>
                  </w:txbxContent>
                </v:textbox>
              </v:shape>
            </w:pict>
          </mc:Fallback>
        </mc:AlternateContent>
      </w:r>
      <w:r>
        <w:rPr>
          <w:rFonts w:ascii="Times New Roman" w:hAnsi="Times New Roman"/>
          <w:b/>
          <w:color w:val="000000"/>
          <w:sz w:val="32"/>
          <w:szCs w:val="28"/>
          <w:highlight w:val="none"/>
        </w:rPr>
        <w:t>住房城乡建设部</w:t>
      </w:r>
    </w:p>
    <w:p>
      <w:pPr>
        <w:ind w:right="2849" w:rightChars="1295" w:firstLine="2750" w:firstLineChars="856"/>
        <w:jc w:val="distribute"/>
        <w:rPr>
          <w:rFonts w:ascii="Times New Roman" w:hAnsi="Times New Roman"/>
          <w:b/>
          <w:color w:val="000000"/>
          <w:sz w:val="32"/>
          <w:szCs w:val="28"/>
          <w:highlight w:val="none"/>
        </w:rPr>
      </w:pPr>
      <w:r>
        <w:rPr>
          <w:rFonts w:ascii="Times New Roman" w:hAnsi="Times New Roman"/>
          <w:b/>
          <w:color w:val="000000"/>
          <w:sz w:val="32"/>
          <w:szCs w:val="28"/>
          <w:highlight w:val="none"/>
        </w:rPr>
        <w:t>国家工商行政管理总局</w:t>
      </w:r>
    </w:p>
    <w:p>
      <w:pPr>
        <w:rPr>
          <w:rFonts w:ascii="Times New Roman" w:hAnsi="Times New Roman"/>
          <w:b/>
          <w:color w:val="000000"/>
          <w:highlight w:val="none"/>
        </w:rPr>
      </w:pPr>
    </w:p>
    <w:p>
      <w:pPr>
        <w:pStyle w:val="68"/>
        <w:spacing w:before="0" w:after="0" w:line="240" w:lineRule="auto"/>
        <w:jc w:val="center"/>
        <w:outlineLvl w:val="0"/>
        <w:rPr>
          <w:rFonts w:hint="eastAsia" w:ascii="宋体" w:hAnsi="宋体"/>
          <w:highlight w:val="none"/>
          <w:lang w:val="zh-CN"/>
        </w:rPr>
      </w:pPr>
      <w:r>
        <w:rPr>
          <w:rFonts w:ascii="Times New Roman" w:hAnsi="Times New Roman"/>
          <w:b w:val="0"/>
          <w:color w:val="000000"/>
          <w:highlight w:val="none"/>
        </w:rPr>
        <w:br w:type="page"/>
      </w:r>
      <w:bookmarkStart w:id="276" w:name="_Toc9904"/>
      <w:bookmarkStart w:id="277" w:name="_Toc4395"/>
      <w:bookmarkStart w:id="278" w:name="_Toc13522"/>
      <w:bookmarkStart w:id="279" w:name="_Toc459"/>
      <w:bookmarkStart w:id="280" w:name="_Toc296890982"/>
      <w:bookmarkStart w:id="281" w:name="_Toc296503025"/>
      <w:r>
        <w:rPr>
          <w:rFonts w:hint="eastAsia" w:ascii="宋体" w:hAnsi="宋体"/>
          <w:highlight w:val="none"/>
          <w:lang w:val="zh-CN"/>
        </w:rPr>
        <w:t>说  明</w:t>
      </w:r>
      <w:bookmarkEnd w:id="276"/>
      <w:bookmarkEnd w:id="277"/>
      <w:bookmarkEnd w:id="278"/>
      <w:bookmarkEnd w:id="279"/>
    </w:p>
    <w:p>
      <w:pPr>
        <w:ind w:firstLine="600" w:firstLineChars="200"/>
        <w:rPr>
          <w:rFonts w:ascii="仿宋_GB2312" w:eastAsia="仿宋_GB2312"/>
          <w:sz w:val="30"/>
          <w:szCs w:val="30"/>
          <w:highlight w:val="none"/>
        </w:rPr>
      </w:pPr>
      <w:r>
        <w:rPr>
          <w:rFonts w:hint="eastAsia" w:ascii="仿宋_GB2312" w:eastAsia="仿宋_GB2312"/>
          <w:sz w:val="30"/>
          <w:szCs w:val="30"/>
          <w:highlight w:val="none"/>
        </w:rPr>
        <w:t>为了指导建设工程施工合同当事人的签约行为，维护合同当事人的合法权益，依据《中华人民共和国</w:t>
      </w:r>
      <w:r>
        <w:rPr>
          <w:rFonts w:hint="eastAsia" w:ascii="仿宋_GB2312" w:eastAsia="仿宋_GB2312"/>
          <w:sz w:val="30"/>
          <w:szCs w:val="30"/>
          <w:highlight w:val="none"/>
          <w:lang w:eastAsia="zh-CN"/>
        </w:rPr>
        <w:t>民法典</w:t>
      </w:r>
      <w:r>
        <w:rPr>
          <w:rFonts w:hint="eastAsia" w:ascii="仿宋_GB2312" w:eastAsia="仿宋_GB2312"/>
          <w:sz w:val="30"/>
          <w:szCs w:val="30"/>
          <w:highlight w:val="none"/>
        </w:rPr>
        <w:t>》、《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pPr>
        <w:ind w:firstLine="600" w:firstLineChars="200"/>
        <w:outlineLvl w:val="0"/>
        <w:rPr>
          <w:rFonts w:hint="eastAsia" w:ascii="黑体" w:hAnsi="黑体" w:eastAsia="黑体"/>
          <w:bCs/>
          <w:sz w:val="30"/>
          <w:szCs w:val="30"/>
          <w:highlight w:val="none"/>
        </w:rPr>
      </w:pPr>
      <w:bookmarkStart w:id="282" w:name="_Toc9393"/>
      <w:bookmarkStart w:id="283" w:name="_Toc29277"/>
      <w:bookmarkStart w:id="284" w:name="_Toc1483"/>
      <w:bookmarkStart w:id="285" w:name="_Toc12223"/>
      <w:r>
        <w:rPr>
          <w:rFonts w:hint="eastAsia" w:ascii="黑体" w:hAnsi="黑体" w:eastAsia="黑体"/>
          <w:bCs/>
          <w:sz w:val="30"/>
          <w:szCs w:val="30"/>
          <w:highlight w:val="none"/>
        </w:rPr>
        <w:t>一、《示范文本》的组成</w:t>
      </w:r>
      <w:bookmarkEnd w:id="282"/>
      <w:bookmarkEnd w:id="283"/>
      <w:bookmarkEnd w:id="284"/>
      <w:bookmarkEnd w:id="285"/>
    </w:p>
    <w:p>
      <w:pPr>
        <w:ind w:firstLine="600" w:firstLineChars="200"/>
        <w:rPr>
          <w:rFonts w:hint="eastAsia" w:ascii="仿宋_GB2312" w:eastAsia="仿宋_GB2312"/>
          <w:sz w:val="30"/>
          <w:szCs w:val="30"/>
          <w:highlight w:val="none"/>
        </w:rPr>
      </w:pPr>
      <w:r>
        <w:rPr>
          <w:rFonts w:hint="eastAsia" w:ascii="仿宋_GB2312" w:eastAsia="仿宋_GB2312"/>
          <w:sz w:val="30"/>
          <w:szCs w:val="30"/>
          <w:highlight w:val="none"/>
        </w:rPr>
        <w:t>《示范文本》由合同协议书、通用合同条款和专用合同条款三部分组成。</w:t>
      </w:r>
    </w:p>
    <w:p>
      <w:pPr>
        <w:ind w:firstLine="600" w:firstLineChars="200"/>
        <w:outlineLvl w:val="0"/>
        <w:rPr>
          <w:rFonts w:hint="eastAsia" w:ascii="仿宋_GB2312" w:eastAsia="仿宋_GB2312"/>
          <w:sz w:val="30"/>
          <w:szCs w:val="30"/>
          <w:highlight w:val="none"/>
        </w:rPr>
      </w:pPr>
      <w:bookmarkStart w:id="286" w:name="_Toc19980"/>
      <w:bookmarkStart w:id="287" w:name="_Toc3944"/>
      <w:bookmarkStart w:id="288" w:name="_Toc23743"/>
      <w:bookmarkStart w:id="289" w:name="_Toc28874"/>
      <w:r>
        <w:rPr>
          <w:rFonts w:hint="eastAsia" w:ascii="仿宋_GB2312" w:eastAsia="仿宋_GB2312"/>
          <w:sz w:val="30"/>
          <w:szCs w:val="30"/>
          <w:highlight w:val="none"/>
        </w:rPr>
        <w:t>（一）合同协议书</w:t>
      </w:r>
      <w:bookmarkEnd w:id="286"/>
      <w:bookmarkEnd w:id="287"/>
      <w:bookmarkEnd w:id="288"/>
      <w:bookmarkEnd w:id="289"/>
    </w:p>
    <w:p>
      <w:pPr>
        <w:ind w:firstLine="600" w:firstLineChars="200"/>
        <w:rPr>
          <w:rFonts w:hint="eastAsia" w:ascii="仿宋_GB2312" w:eastAsia="仿宋_GB2312"/>
          <w:sz w:val="30"/>
          <w:szCs w:val="30"/>
          <w:highlight w:val="none"/>
        </w:rPr>
      </w:pPr>
      <w:r>
        <w:rPr>
          <w:rFonts w:hint="eastAsia" w:ascii="仿宋_GB2312" w:eastAsia="仿宋_GB2312"/>
          <w:sz w:val="30"/>
          <w:szCs w:val="30"/>
          <w:highlight w:val="none"/>
        </w:rPr>
        <w:t>《示范文本》合同协议书共计13条，主要包括：工程概况、合同工期、质量标准、签约合同价和合同价格形式、项目经理、合同文件构成、承诺以及合同生效条件等重要内容，集中约定了合同当事人基本的合同权利义务。</w:t>
      </w:r>
    </w:p>
    <w:p>
      <w:pPr>
        <w:ind w:firstLine="600" w:firstLineChars="200"/>
        <w:outlineLvl w:val="0"/>
        <w:rPr>
          <w:rFonts w:hint="eastAsia" w:ascii="仿宋_GB2312" w:eastAsia="仿宋_GB2312"/>
          <w:sz w:val="30"/>
          <w:szCs w:val="30"/>
          <w:highlight w:val="none"/>
        </w:rPr>
      </w:pPr>
      <w:bookmarkStart w:id="290" w:name="_Toc19162"/>
      <w:bookmarkStart w:id="291" w:name="_Toc14754"/>
      <w:bookmarkStart w:id="292" w:name="_Toc8715"/>
      <w:bookmarkStart w:id="293" w:name="_Toc29944"/>
      <w:r>
        <w:rPr>
          <w:rFonts w:hint="eastAsia" w:ascii="仿宋_GB2312" w:eastAsia="仿宋_GB2312"/>
          <w:sz w:val="30"/>
          <w:szCs w:val="30"/>
          <w:highlight w:val="none"/>
        </w:rPr>
        <w:t>（二）通用合同条款</w:t>
      </w:r>
      <w:bookmarkEnd w:id="290"/>
      <w:bookmarkEnd w:id="291"/>
      <w:bookmarkEnd w:id="292"/>
      <w:bookmarkEnd w:id="293"/>
    </w:p>
    <w:p>
      <w:pPr>
        <w:ind w:firstLine="600" w:firstLineChars="200"/>
        <w:rPr>
          <w:rFonts w:hint="eastAsia" w:ascii="仿宋_GB2312" w:eastAsia="仿宋_GB2312"/>
          <w:sz w:val="30"/>
          <w:szCs w:val="30"/>
          <w:highlight w:val="none"/>
        </w:rPr>
      </w:pPr>
      <w:r>
        <w:rPr>
          <w:rFonts w:hint="eastAsia" w:ascii="仿宋_GB2312" w:eastAsia="仿宋_GB2312"/>
          <w:sz w:val="30"/>
          <w:szCs w:val="30"/>
          <w:highlight w:val="none"/>
        </w:rPr>
        <w:t>通用合同条款是合同当事人根据《中华人民共和国建筑法》、《中华人民共和国</w:t>
      </w:r>
      <w:r>
        <w:rPr>
          <w:rFonts w:hint="eastAsia" w:ascii="仿宋_GB2312" w:eastAsia="仿宋_GB2312"/>
          <w:sz w:val="30"/>
          <w:szCs w:val="30"/>
          <w:highlight w:val="none"/>
          <w:lang w:eastAsia="zh-CN"/>
        </w:rPr>
        <w:t>民法典</w:t>
      </w:r>
      <w:r>
        <w:rPr>
          <w:rFonts w:hint="eastAsia" w:ascii="仿宋_GB2312" w:eastAsia="仿宋_GB2312"/>
          <w:sz w:val="30"/>
          <w:szCs w:val="30"/>
          <w:highlight w:val="none"/>
        </w:rPr>
        <w:t>》等法律法规的规定，就工程建设的实施及相关事项，对合同当事人的权利义务作出的原则性约定。</w:t>
      </w:r>
    </w:p>
    <w:p>
      <w:pPr>
        <w:ind w:firstLine="600" w:firstLineChars="200"/>
        <w:rPr>
          <w:rFonts w:hint="eastAsia" w:ascii="仿宋_GB2312" w:eastAsia="仿宋_GB2312"/>
          <w:sz w:val="30"/>
          <w:szCs w:val="30"/>
          <w:highlight w:val="none"/>
        </w:rPr>
      </w:pPr>
      <w:r>
        <w:rPr>
          <w:rFonts w:hint="eastAsia" w:ascii="仿宋_GB2312" w:eastAsia="仿宋_GB2312"/>
          <w:sz w:val="30"/>
          <w:szCs w:val="30"/>
          <w:highlight w:val="none"/>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pPr>
        <w:ind w:firstLine="600" w:firstLineChars="200"/>
        <w:outlineLvl w:val="0"/>
        <w:rPr>
          <w:rFonts w:hint="eastAsia" w:ascii="仿宋_GB2312" w:eastAsia="仿宋_GB2312"/>
          <w:sz w:val="30"/>
          <w:szCs w:val="30"/>
          <w:highlight w:val="none"/>
        </w:rPr>
      </w:pPr>
      <w:bookmarkStart w:id="294" w:name="_Toc3985"/>
      <w:bookmarkStart w:id="295" w:name="_Toc9475"/>
      <w:bookmarkStart w:id="296" w:name="_Toc17822"/>
      <w:bookmarkStart w:id="297" w:name="_Toc19127"/>
      <w:r>
        <w:rPr>
          <w:rFonts w:hint="eastAsia" w:ascii="仿宋_GB2312" w:eastAsia="仿宋_GB2312"/>
          <w:sz w:val="30"/>
          <w:szCs w:val="30"/>
          <w:highlight w:val="none"/>
        </w:rPr>
        <w:t>（三）专用合同条款</w:t>
      </w:r>
      <w:bookmarkEnd w:id="294"/>
      <w:bookmarkEnd w:id="295"/>
      <w:bookmarkEnd w:id="296"/>
      <w:bookmarkEnd w:id="297"/>
    </w:p>
    <w:p>
      <w:pPr>
        <w:ind w:firstLine="600" w:firstLineChars="200"/>
        <w:rPr>
          <w:rFonts w:hint="eastAsia" w:ascii="仿宋_GB2312" w:eastAsia="仿宋_GB2312"/>
          <w:sz w:val="30"/>
          <w:szCs w:val="30"/>
          <w:highlight w:val="none"/>
        </w:rPr>
      </w:pPr>
      <w:r>
        <w:rPr>
          <w:rFonts w:hint="eastAsia" w:ascii="仿宋_GB2312" w:eastAsia="仿宋_GB2312"/>
          <w:sz w:val="30"/>
          <w:szCs w:val="30"/>
          <w:highlight w:val="none"/>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pPr>
        <w:ind w:right="26" w:rightChars="12" w:firstLine="600" w:firstLineChars="200"/>
        <w:rPr>
          <w:rFonts w:hint="eastAsia" w:ascii="仿宋_GB2312" w:eastAsia="仿宋_GB2312"/>
          <w:sz w:val="30"/>
          <w:szCs w:val="30"/>
          <w:highlight w:val="none"/>
        </w:rPr>
      </w:pPr>
      <w:r>
        <w:rPr>
          <w:rFonts w:hint="eastAsia" w:ascii="仿宋_GB2312" w:eastAsia="仿宋_GB2312"/>
          <w:sz w:val="30"/>
          <w:szCs w:val="30"/>
          <w:highlight w:val="none"/>
        </w:rPr>
        <w:t>1.专用合同条款的编号应与相应的通用合同条款的编号一致；</w:t>
      </w:r>
    </w:p>
    <w:p>
      <w:pPr>
        <w:ind w:firstLine="600" w:firstLineChars="200"/>
        <w:rPr>
          <w:rFonts w:hint="eastAsia" w:ascii="仿宋_GB2312" w:eastAsia="仿宋_GB2312"/>
          <w:sz w:val="30"/>
          <w:szCs w:val="30"/>
          <w:highlight w:val="none"/>
        </w:rPr>
      </w:pPr>
      <w:r>
        <w:rPr>
          <w:rFonts w:hint="eastAsia" w:ascii="仿宋_GB2312" w:eastAsia="仿宋_GB2312"/>
          <w:sz w:val="30"/>
          <w:szCs w:val="30"/>
          <w:highlight w:val="none"/>
        </w:rPr>
        <w:t>2.合同当事人可以通过对专用合同条款的修改，满足具体建设工程的特殊要求，避免直接修改通用合同条款；</w:t>
      </w:r>
    </w:p>
    <w:p>
      <w:pPr>
        <w:ind w:firstLine="600" w:firstLineChars="200"/>
        <w:rPr>
          <w:rFonts w:hint="eastAsia" w:ascii="仿宋_GB2312" w:eastAsia="仿宋_GB2312"/>
          <w:sz w:val="30"/>
          <w:szCs w:val="30"/>
          <w:highlight w:val="none"/>
        </w:rPr>
      </w:pPr>
      <w:r>
        <w:rPr>
          <w:rFonts w:hint="eastAsia" w:ascii="仿宋_GB2312" w:eastAsia="仿宋_GB2312"/>
          <w:sz w:val="30"/>
          <w:szCs w:val="30"/>
          <w:highlight w:val="none"/>
        </w:rPr>
        <w:t>3.在专用合同条款中有横道线的地方，合同当事人可针对相应的通用合同条款进行细化、完善、补充、修改或另行约定；如无细化、完善、补充、修改或另行约定，则填写“无”或划“/”。</w:t>
      </w:r>
    </w:p>
    <w:p>
      <w:pPr>
        <w:ind w:firstLine="600" w:firstLineChars="200"/>
        <w:outlineLvl w:val="0"/>
        <w:rPr>
          <w:rFonts w:hint="eastAsia" w:ascii="仿宋_GB2312" w:eastAsia="仿宋_GB2312"/>
          <w:b/>
          <w:sz w:val="30"/>
          <w:szCs w:val="30"/>
          <w:highlight w:val="none"/>
        </w:rPr>
      </w:pPr>
      <w:bookmarkStart w:id="298" w:name="_Toc4070"/>
      <w:bookmarkStart w:id="299" w:name="_Toc25693"/>
      <w:bookmarkStart w:id="300" w:name="_Toc31472"/>
      <w:bookmarkStart w:id="301" w:name="_Toc3752"/>
      <w:r>
        <w:rPr>
          <w:rFonts w:hint="eastAsia" w:ascii="黑体" w:hAnsi="黑体" w:eastAsia="黑体"/>
          <w:bCs/>
          <w:sz w:val="30"/>
          <w:szCs w:val="30"/>
          <w:highlight w:val="none"/>
        </w:rPr>
        <w:t>二、《示范文本》的性质和适用范围</w:t>
      </w:r>
      <w:bookmarkEnd w:id="298"/>
      <w:bookmarkEnd w:id="299"/>
      <w:bookmarkEnd w:id="300"/>
      <w:bookmarkEnd w:id="301"/>
    </w:p>
    <w:p>
      <w:pPr>
        <w:ind w:firstLine="600" w:firstLineChars="200"/>
        <w:rPr>
          <w:rFonts w:ascii="仿宋_GB2312" w:eastAsia="仿宋_GB2312"/>
          <w:sz w:val="30"/>
          <w:szCs w:val="30"/>
          <w:highlight w:val="none"/>
        </w:rPr>
        <w:sectPr>
          <w:footerReference r:id="rId7" w:type="first"/>
          <w:footerReference r:id="rId6" w:type="default"/>
          <w:pgSz w:w="11906" w:h="16838"/>
          <w:pgMar w:top="1418" w:right="1555" w:bottom="1418" w:left="1531" w:header="851" w:footer="992" w:gutter="0"/>
          <w:pgNumType w:fmt="decimal" w:start="1"/>
          <w:cols w:space="720" w:num="1"/>
          <w:titlePg/>
          <w:docGrid w:type="lines" w:linePitch="312" w:charSpace="0"/>
        </w:sectPr>
      </w:pPr>
      <w:r>
        <w:rPr>
          <w:rFonts w:hint="eastAsia" w:ascii="仿宋_GB2312" w:eastAsia="仿宋_GB2312"/>
          <w:sz w:val="30"/>
          <w:szCs w:val="30"/>
          <w:highlight w:val="none"/>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pPr>
        <w:pStyle w:val="68"/>
        <w:spacing w:before="120" w:after="120"/>
        <w:jc w:val="center"/>
        <w:rPr>
          <w:rFonts w:ascii="宋体" w:hAnsi="宋体"/>
          <w:highlight w:val="none"/>
        </w:rPr>
      </w:pPr>
      <w:bookmarkStart w:id="302" w:name="_Toc5997"/>
      <w:bookmarkStart w:id="303" w:name="_Toc10731"/>
      <w:bookmarkStart w:id="304" w:name="_Toc29496"/>
      <w:r>
        <w:rPr>
          <w:rFonts w:ascii="宋体" w:hAnsi="宋体"/>
          <w:highlight w:val="none"/>
          <w:lang w:val="zh-CN"/>
        </w:rPr>
        <w:t>目</w:t>
      </w:r>
      <w:r>
        <w:rPr>
          <w:rFonts w:hint="eastAsia" w:ascii="宋体" w:hAnsi="宋体"/>
          <w:highlight w:val="none"/>
          <w:lang w:val="zh-CN"/>
        </w:rPr>
        <w:t xml:space="preserve">  </w:t>
      </w:r>
      <w:r>
        <w:rPr>
          <w:rFonts w:ascii="宋体" w:hAnsi="宋体"/>
          <w:highlight w:val="none"/>
          <w:lang w:val="zh-CN"/>
        </w:rPr>
        <w:t>录</w:t>
      </w:r>
    </w:p>
    <w:p>
      <w:pPr>
        <w:rPr>
          <w:rFonts w:ascii="宋体" w:hAnsi="宋体"/>
          <w:sz w:val="44"/>
          <w:szCs w:val="44"/>
          <w:highlight w:val="none"/>
        </w:rPr>
      </w:pPr>
      <w:bookmarkStart w:id="305" w:name="_Toc5744"/>
      <w:r>
        <w:rPr>
          <w:rFonts w:ascii="宋体" w:hAnsi="宋体"/>
          <w:sz w:val="44"/>
          <w:szCs w:val="44"/>
          <w:highlight w:val="none"/>
        </w:rPr>
        <w:br w:type="page"/>
      </w:r>
    </w:p>
    <w:p>
      <w:pPr>
        <w:pStyle w:val="4"/>
        <w:jc w:val="center"/>
        <w:rPr>
          <w:rFonts w:ascii="宋体" w:hAnsi="宋体"/>
          <w:b w:val="0"/>
          <w:color w:val="000000"/>
          <w:sz w:val="44"/>
          <w:szCs w:val="44"/>
          <w:highlight w:val="none"/>
        </w:rPr>
      </w:pPr>
      <w:r>
        <w:rPr>
          <w:rFonts w:ascii="宋体" w:hAnsi="宋体"/>
          <w:sz w:val="44"/>
          <w:szCs w:val="44"/>
          <w:highlight w:val="none"/>
        </w:rPr>
        <w:t>第一部分 合同协议书</w:t>
      </w:r>
      <w:bookmarkEnd w:id="280"/>
      <w:bookmarkEnd w:id="281"/>
      <w:bookmarkEnd w:id="302"/>
      <w:bookmarkEnd w:id="303"/>
      <w:bookmarkEnd w:id="304"/>
      <w:bookmarkEnd w:id="305"/>
    </w:p>
    <w:p>
      <w:pPr>
        <w:spacing w:line="360" w:lineRule="auto"/>
        <w:rPr>
          <w:rFonts w:ascii="Times New Roman" w:hAnsi="Times New Roman" w:eastAsia="仿宋_GB2312"/>
          <w:b/>
          <w:color w:val="000000"/>
          <w:sz w:val="30"/>
          <w:szCs w:val="30"/>
          <w:highlight w:val="none"/>
          <w:u w:val="single"/>
        </w:rPr>
      </w:pPr>
      <w:r>
        <w:rPr>
          <w:rFonts w:ascii="Times New Roman" w:hAnsi="Times New Roman" w:eastAsia="仿宋_GB2312"/>
          <w:b/>
          <w:color w:val="000000"/>
          <w:sz w:val="30"/>
          <w:szCs w:val="30"/>
          <w:highlight w:val="none"/>
        </w:rPr>
        <w:t>发包人（全称）：</w:t>
      </w:r>
      <w:r>
        <w:rPr>
          <w:rFonts w:ascii="Times New Roman" w:hAnsi="Times New Roman" w:eastAsia="仿宋_GB2312"/>
          <w:b/>
          <w:color w:val="000000"/>
          <w:sz w:val="30"/>
          <w:szCs w:val="30"/>
          <w:highlight w:val="none"/>
          <w:u w:val="single"/>
        </w:rPr>
        <w:t xml:space="preserve">      </w:t>
      </w:r>
      <w:r>
        <w:rPr>
          <w:rFonts w:hint="eastAsia" w:ascii="Times New Roman" w:hAnsi="Times New Roman" w:eastAsia="仿宋_GB2312"/>
          <w:b/>
          <w:color w:val="000000"/>
          <w:sz w:val="30"/>
          <w:szCs w:val="30"/>
          <w:highlight w:val="none"/>
          <w:u w:val="single"/>
        </w:rPr>
        <w:t xml:space="preserve"> </w:t>
      </w:r>
      <w:r>
        <w:rPr>
          <w:rFonts w:ascii="Times New Roman" w:hAnsi="Times New Roman" w:eastAsia="仿宋_GB2312"/>
          <w:b/>
          <w:color w:val="000000"/>
          <w:sz w:val="30"/>
          <w:szCs w:val="30"/>
          <w:highlight w:val="none"/>
          <w:u w:val="single"/>
        </w:rPr>
        <w:t xml:space="preserve">    </w:t>
      </w:r>
      <w:r>
        <w:rPr>
          <w:rFonts w:hint="eastAsia" w:ascii="Times New Roman" w:hAnsi="Times New Roman" w:eastAsia="仿宋_GB2312"/>
          <w:b/>
          <w:color w:val="000000"/>
          <w:sz w:val="30"/>
          <w:szCs w:val="30"/>
          <w:highlight w:val="none"/>
          <w:u w:val="single"/>
        </w:rPr>
        <w:t xml:space="preserve"> </w:t>
      </w:r>
      <w:r>
        <w:rPr>
          <w:rFonts w:ascii="Times New Roman" w:hAnsi="Times New Roman" w:eastAsia="仿宋_GB2312"/>
          <w:b/>
          <w:color w:val="000000"/>
          <w:sz w:val="30"/>
          <w:szCs w:val="30"/>
          <w:highlight w:val="none"/>
          <w:u w:val="single"/>
        </w:rPr>
        <w:t xml:space="preserve">   </w:t>
      </w:r>
      <w:r>
        <w:rPr>
          <w:rFonts w:hint="eastAsia" w:ascii="Times New Roman" w:hAnsi="Times New Roman" w:eastAsia="仿宋_GB2312"/>
          <w:b/>
          <w:color w:val="000000"/>
          <w:sz w:val="30"/>
          <w:szCs w:val="30"/>
          <w:highlight w:val="none"/>
          <w:u w:val="single"/>
        </w:rPr>
        <w:t xml:space="preserve">      </w:t>
      </w:r>
      <w:r>
        <w:rPr>
          <w:rFonts w:ascii="Times New Roman" w:hAnsi="Times New Roman" w:eastAsia="仿宋_GB2312"/>
          <w:b/>
          <w:color w:val="000000"/>
          <w:sz w:val="30"/>
          <w:szCs w:val="30"/>
          <w:highlight w:val="none"/>
          <w:u w:val="single"/>
        </w:rPr>
        <w:t></w:t>
      </w:r>
      <w:r>
        <w:rPr>
          <w:rFonts w:hint="eastAsia" w:ascii="Times New Roman" w:hAnsi="Times New Roman" w:eastAsia="仿宋_GB2312"/>
          <w:b/>
          <w:color w:val="000000"/>
          <w:sz w:val="30"/>
          <w:szCs w:val="30"/>
          <w:highlight w:val="none"/>
          <w:u w:val="single"/>
        </w:rPr>
        <w:t xml:space="preserve"> </w:t>
      </w:r>
      <w:r>
        <w:rPr>
          <w:rFonts w:ascii="Times New Roman" w:hAnsi="Times New Roman" w:eastAsia="仿宋_GB2312"/>
          <w:b/>
          <w:color w:val="000000"/>
          <w:sz w:val="30"/>
          <w:szCs w:val="30"/>
          <w:highlight w:val="none"/>
          <w:u w:val="single"/>
        </w:rPr>
        <w:t></w:t>
      </w:r>
      <w:r>
        <w:rPr>
          <w:rFonts w:hint="eastAsia" w:ascii="Times New Roman" w:hAnsi="Times New Roman" w:eastAsia="仿宋_GB2312"/>
          <w:b/>
          <w:color w:val="000000"/>
          <w:sz w:val="30"/>
          <w:szCs w:val="30"/>
          <w:highlight w:val="none"/>
          <w:u w:val="single"/>
        </w:rPr>
        <w:t xml:space="preserve"> </w:t>
      </w:r>
      <w:r>
        <w:rPr>
          <w:rFonts w:ascii="Times New Roman" w:hAnsi="Times New Roman" w:eastAsia="仿宋_GB2312"/>
          <w:b/>
          <w:color w:val="000000"/>
          <w:sz w:val="30"/>
          <w:szCs w:val="30"/>
          <w:highlight w:val="none"/>
          <w:u w:val="single"/>
        </w:rPr>
        <w:t></w:t>
      </w:r>
    </w:p>
    <w:p>
      <w:pPr>
        <w:spacing w:line="360" w:lineRule="auto"/>
        <w:rPr>
          <w:rFonts w:ascii="Times New Roman" w:hAnsi="Times New Roman" w:eastAsia="仿宋_GB2312"/>
          <w:b/>
          <w:color w:val="000000"/>
          <w:sz w:val="30"/>
          <w:szCs w:val="30"/>
          <w:highlight w:val="none"/>
          <w:u w:val="single"/>
        </w:rPr>
      </w:pPr>
      <w:r>
        <w:rPr>
          <w:rFonts w:ascii="Times New Roman" w:hAnsi="Times New Roman" w:eastAsia="仿宋_GB2312"/>
          <w:b/>
          <w:color w:val="000000"/>
          <w:sz w:val="30"/>
          <w:szCs w:val="30"/>
          <w:highlight w:val="none"/>
        </w:rPr>
        <w:t>承包人（全称）：</w:t>
      </w:r>
      <w:r>
        <w:rPr>
          <w:rFonts w:ascii="Times New Roman" w:hAnsi="Times New Roman" w:eastAsia="仿宋_GB2312"/>
          <w:b/>
          <w:color w:val="000000"/>
          <w:sz w:val="30"/>
          <w:szCs w:val="30"/>
          <w:highlight w:val="none"/>
          <w:u w:val="single"/>
        </w:rPr>
        <w:t xml:space="preserve">  </w:t>
      </w:r>
      <w:r>
        <w:rPr>
          <w:rFonts w:hint="eastAsia" w:ascii="Times New Roman" w:hAnsi="Times New Roman" w:eastAsia="仿宋_GB2312"/>
          <w:b/>
          <w:color w:val="000000"/>
          <w:sz w:val="30"/>
          <w:szCs w:val="30"/>
          <w:highlight w:val="none"/>
          <w:u w:val="single"/>
        </w:rPr>
        <w:t xml:space="preserve"> </w:t>
      </w:r>
      <w:r>
        <w:rPr>
          <w:rFonts w:ascii="Times New Roman" w:hAnsi="Times New Roman" w:eastAsia="仿宋_GB2312"/>
          <w:b/>
          <w:color w:val="000000"/>
          <w:sz w:val="30"/>
          <w:szCs w:val="30"/>
          <w:highlight w:val="none"/>
          <w:u w:val="single"/>
        </w:rPr>
        <w:t xml:space="preserve">       </w:t>
      </w:r>
      <w:r>
        <w:rPr>
          <w:rFonts w:hint="eastAsia" w:ascii="Times New Roman" w:hAnsi="Times New Roman" w:eastAsia="仿宋_GB2312"/>
          <w:b/>
          <w:color w:val="000000"/>
          <w:sz w:val="30"/>
          <w:szCs w:val="30"/>
          <w:highlight w:val="none"/>
          <w:u w:val="single"/>
        </w:rPr>
        <w:t xml:space="preserve"> </w:t>
      </w:r>
      <w:r>
        <w:rPr>
          <w:rFonts w:ascii="Times New Roman" w:hAnsi="Times New Roman" w:eastAsia="仿宋_GB2312"/>
          <w:b/>
          <w:color w:val="000000"/>
          <w:sz w:val="30"/>
          <w:szCs w:val="30"/>
          <w:highlight w:val="none"/>
          <w:u w:val="single"/>
        </w:rPr>
        <w:t xml:space="preserve">   </w:t>
      </w:r>
      <w:r>
        <w:rPr>
          <w:rFonts w:hint="eastAsia" w:ascii="Times New Roman" w:hAnsi="Times New Roman" w:eastAsia="仿宋_GB2312"/>
          <w:b/>
          <w:color w:val="000000"/>
          <w:sz w:val="30"/>
          <w:szCs w:val="30"/>
          <w:highlight w:val="none"/>
          <w:u w:val="single"/>
        </w:rPr>
        <w:t xml:space="preserve">   </w:t>
      </w:r>
      <w:r>
        <w:rPr>
          <w:rFonts w:ascii="Times New Roman" w:hAnsi="Times New Roman" w:eastAsia="仿宋_GB2312"/>
          <w:b/>
          <w:color w:val="000000"/>
          <w:sz w:val="30"/>
          <w:szCs w:val="30"/>
          <w:highlight w:val="none"/>
          <w:u w:val="single"/>
        </w:rPr>
        <w:t xml:space="preserve"> </w:t>
      </w:r>
      <w:r>
        <w:rPr>
          <w:rFonts w:hint="eastAsia" w:ascii="Times New Roman" w:hAnsi="Times New Roman" w:eastAsia="仿宋_GB2312"/>
          <w:b/>
          <w:color w:val="000000"/>
          <w:sz w:val="30"/>
          <w:szCs w:val="30"/>
          <w:highlight w:val="none"/>
          <w:u w:val="single"/>
        </w:rPr>
        <w:t xml:space="preserve">  </w:t>
      </w:r>
      <w:r>
        <w:rPr>
          <w:rFonts w:ascii="Times New Roman" w:hAnsi="Times New Roman" w:eastAsia="仿宋_GB2312"/>
          <w:b/>
          <w:color w:val="000000"/>
          <w:sz w:val="30"/>
          <w:szCs w:val="30"/>
          <w:highlight w:val="none"/>
          <w:u w:val="single"/>
        </w:rPr>
        <w:t></w:t>
      </w:r>
      <w:r>
        <w:rPr>
          <w:rFonts w:hint="eastAsia" w:ascii="Times New Roman" w:hAnsi="Times New Roman" w:eastAsia="仿宋_GB2312"/>
          <w:b/>
          <w:color w:val="000000"/>
          <w:sz w:val="30"/>
          <w:szCs w:val="30"/>
          <w:highlight w:val="none"/>
          <w:u w:val="single"/>
        </w:rPr>
        <w:t xml:space="preserve">  </w:t>
      </w:r>
      <w:r>
        <w:rPr>
          <w:rFonts w:ascii="Times New Roman" w:hAnsi="Times New Roman" w:eastAsia="仿宋_GB2312"/>
          <w:b/>
          <w:color w:val="000000"/>
          <w:sz w:val="30"/>
          <w:szCs w:val="30"/>
          <w:highlight w:val="none"/>
          <w:u w:val="single"/>
        </w:rPr>
        <w:t></w:t>
      </w:r>
    </w:p>
    <w:p>
      <w:pPr>
        <w:spacing w:line="360" w:lineRule="auto"/>
        <w:ind w:firstLine="600" w:firstLineChars="20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根据《中华人民共和国</w:t>
      </w:r>
      <w:r>
        <w:rPr>
          <w:rFonts w:hint="eastAsia" w:ascii="Times New Roman" w:hAnsi="Times New Roman" w:eastAsia="仿宋_GB2312"/>
          <w:color w:val="000000"/>
          <w:sz w:val="30"/>
          <w:szCs w:val="30"/>
          <w:highlight w:val="none"/>
          <w:lang w:eastAsia="zh-CN"/>
        </w:rPr>
        <w:t>民法典</w:t>
      </w:r>
      <w:r>
        <w:rPr>
          <w:rFonts w:ascii="Times New Roman" w:hAnsi="Times New Roman" w:eastAsia="仿宋_GB2312"/>
          <w:color w:val="000000"/>
          <w:sz w:val="30"/>
          <w:szCs w:val="30"/>
          <w:highlight w:val="none"/>
        </w:rPr>
        <w:t>》、《中华人民共和国建筑法》及有关法律规定，遵循平等、自愿、公平和诚实信用的原则，双方就</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工程施工及有关事项协商一致</w:t>
      </w:r>
      <w:r>
        <w:rPr>
          <w:rFonts w:hint="eastAsia" w:ascii="Times New Roman" w:hAnsi="Times New Roman" w:eastAsia="仿宋_GB2312"/>
          <w:color w:val="000000"/>
          <w:sz w:val="30"/>
          <w:szCs w:val="30"/>
          <w:highlight w:val="none"/>
        </w:rPr>
        <w:t>，</w:t>
      </w:r>
      <w:r>
        <w:rPr>
          <w:rFonts w:ascii="Times New Roman" w:hAnsi="Times New Roman" w:eastAsia="仿宋_GB2312"/>
          <w:color w:val="000000"/>
          <w:sz w:val="30"/>
          <w:szCs w:val="30"/>
          <w:highlight w:val="none"/>
        </w:rPr>
        <w:t>共同达成如下协议：</w:t>
      </w:r>
    </w:p>
    <w:p>
      <w:pPr>
        <w:pStyle w:val="5"/>
        <w:spacing w:before="120" w:after="120" w:line="360" w:lineRule="auto"/>
        <w:rPr>
          <w:rFonts w:ascii="Times New Roman" w:hAnsi="Times New Roman" w:eastAsia="黑体"/>
          <w:bCs w:val="0"/>
          <w:color w:val="000000"/>
          <w:sz w:val="32"/>
          <w:szCs w:val="32"/>
          <w:highlight w:val="none"/>
        </w:rPr>
      </w:pPr>
      <w:r>
        <w:rPr>
          <w:rFonts w:ascii="Times New Roman" w:hAnsi="Times New Roman" w:eastAsia="黑体"/>
          <w:bCs w:val="0"/>
          <w:color w:val="000000"/>
          <w:sz w:val="32"/>
          <w:szCs w:val="32"/>
          <w:highlight w:val="none"/>
        </w:rPr>
        <w:t xml:space="preserve">   </w:t>
      </w:r>
      <w:r>
        <w:rPr>
          <w:rFonts w:ascii="Times New Roman" w:hAnsi="Times New Roman" w:eastAsia="黑体"/>
          <w:b w:val="0"/>
          <w:color w:val="000000"/>
          <w:sz w:val="32"/>
          <w:szCs w:val="32"/>
          <w:highlight w:val="none"/>
        </w:rPr>
        <w:t xml:space="preserve"> </w:t>
      </w:r>
      <w:bookmarkStart w:id="306" w:name="_Toc11219"/>
      <w:bookmarkStart w:id="307" w:name="_Toc15814"/>
      <w:r>
        <w:rPr>
          <w:rFonts w:ascii="Times New Roman" w:hAnsi="Times New Roman" w:eastAsia="黑体"/>
          <w:b w:val="0"/>
          <w:color w:val="000000"/>
          <w:sz w:val="32"/>
          <w:szCs w:val="32"/>
          <w:highlight w:val="none"/>
        </w:rPr>
        <w:t>一、工程概况</w:t>
      </w:r>
      <w:bookmarkEnd w:id="306"/>
      <w:bookmarkEnd w:id="307"/>
    </w:p>
    <w:p>
      <w:pPr>
        <w:spacing w:line="360" w:lineRule="auto"/>
        <w:ind w:firstLine="588" w:firstLineChars="196"/>
        <w:rPr>
          <w:rFonts w:ascii="Times New Roman" w:hAnsi="Times New Roman" w:eastAsia="仿宋_GB2312"/>
          <w:color w:val="000000"/>
          <w:sz w:val="30"/>
          <w:szCs w:val="30"/>
          <w:highlight w:val="none"/>
          <w:u w:val="single"/>
        </w:rPr>
      </w:pPr>
      <w:r>
        <w:rPr>
          <w:rFonts w:ascii="Times New Roman" w:hAnsi="Times New Roman" w:eastAsia="仿宋_GB2312"/>
          <w:bCs/>
          <w:color w:val="000000"/>
          <w:sz w:val="30"/>
          <w:szCs w:val="30"/>
          <w:highlight w:val="none"/>
        </w:rPr>
        <w:t>1.工程名称</w:t>
      </w:r>
      <w:r>
        <w:rPr>
          <w:rFonts w:ascii="Times New Roman" w:hAnsi="Times New Roman" w:eastAsia="仿宋_GB2312"/>
          <w:color w:val="000000"/>
          <w:sz w:val="30"/>
          <w:szCs w:val="30"/>
          <w:highlight w:val="none"/>
        </w:rPr>
        <w:t>：</w:t>
      </w:r>
      <w:r>
        <w:rPr>
          <w:rFonts w:ascii="Times New Roman" w:hAnsi="Times New Roman" w:eastAsia="仿宋_GB2312"/>
          <w:color w:val="000000"/>
          <w:sz w:val="30"/>
          <w:szCs w:val="30"/>
          <w:highlight w:val="none"/>
          <w:u w:val="single"/>
        </w:rPr>
        <w:t></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w:t>
      </w:r>
    </w:p>
    <w:p>
      <w:pPr>
        <w:spacing w:line="360" w:lineRule="auto"/>
        <w:ind w:firstLine="588" w:firstLineChars="196"/>
        <w:rPr>
          <w:rFonts w:ascii="Times New Roman" w:hAnsi="Times New Roman" w:eastAsia="仿宋_GB2312"/>
          <w:bCs/>
          <w:color w:val="000000"/>
          <w:sz w:val="30"/>
          <w:szCs w:val="30"/>
          <w:highlight w:val="none"/>
        </w:rPr>
      </w:pPr>
      <w:r>
        <w:rPr>
          <w:rFonts w:ascii="Times New Roman" w:hAnsi="Times New Roman" w:eastAsia="仿宋_GB2312"/>
          <w:bCs/>
          <w:color w:val="000000"/>
          <w:sz w:val="30"/>
          <w:szCs w:val="30"/>
          <w:highlight w:val="none"/>
        </w:rPr>
        <w:t>2.工程地点：</w:t>
      </w:r>
      <w:r>
        <w:rPr>
          <w:rFonts w:ascii="Times New Roman" w:hAnsi="Times New Roman" w:eastAsia="仿宋_GB2312"/>
          <w:color w:val="000000"/>
          <w:sz w:val="30"/>
          <w:szCs w:val="30"/>
          <w:highlight w:val="none"/>
          <w:u w:val="single"/>
        </w:rPr>
        <w:t></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w:t>
      </w:r>
    </w:p>
    <w:p>
      <w:pPr>
        <w:spacing w:line="360" w:lineRule="auto"/>
        <w:ind w:firstLine="588" w:firstLineChars="196"/>
        <w:rPr>
          <w:rFonts w:ascii="Times New Roman" w:hAnsi="Times New Roman" w:eastAsia="仿宋_GB2312"/>
          <w:bCs/>
          <w:color w:val="000000"/>
          <w:sz w:val="30"/>
          <w:szCs w:val="30"/>
          <w:highlight w:val="none"/>
        </w:rPr>
      </w:pPr>
      <w:r>
        <w:rPr>
          <w:rFonts w:ascii="Times New Roman" w:hAnsi="Times New Roman" w:eastAsia="仿宋_GB2312"/>
          <w:bCs/>
          <w:color w:val="000000"/>
          <w:sz w:val="30"/>
          <w:szCs w:val="30"/>
          <w:highlight w:val="none"/>
        </w:rPr>
        <w:t>3.工程立项批准文号：</w:t>
      </w:r>
      <w:r>
        <w:rPr>
          <w:rFonts w:ascii="Times New Roman" w:hAnsi="Times New Roman" w:eastAsia="仿宋_GB2312"/>
          <w:color w:val="000000"/>
          <w:sz w:val="30"/>
          <w:szCs w:val="30"/>
          <w:highlight w:val="none"/>
          <w:u w:val="single"/>
        </w:rPr>
        <w:t></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bCs/>
          <w:color w:val="000000"/>
          <w:sz w:val="30"/>
          <w:szCs w:val="30"/>
          <w:highlight w:val="none"/>
        </w:rPr>
        <w:t>。</w:t>
      </w:r>
    </w:p>
    <w:p>
      <w:pPr>
        <w:spacing w:line="360" w:lineRule="auto"/>
        <w:ind w:firstLine="588" w:firstLineChars="196"/>
        <w:rPr>
          <w:rFonts w:hint="eastAsia" w:ascii="Times New Roman" w:hAnsi="Times New Roman" w:eastAsia="仿宋_GB2312"/>
          <w:bCs/>
          <w:color w:val="000000"/>
          <w:sz w:val="30"/>
          <w:szCs w:val="30"/>
          <w:highlight w:val="none"/>
        </w:rPr>
      </w:pPr>
      <w:r>
        <w:rPr>
          <w:rFonts w:ascii="Times New Roman" w:hAnsi="Times New Roman" w:eastAsia="仿宋_GB2312"/>
          <w:bCs/>
          <w:color w:val="000000"/>
          <w:sz w:val="30"/>
          <w:szCs w:val="30"/>
          <w:highlight w:val="none"/>
        </w:rPr>
        <w:t>4.资金来源：</w:t>
      </w:r>
      <w:r>
        <w:rPr>
          <w:rFonts w:ascii="Times New Roman" w:hAnsi="Times New Roman" w:eastAsia="仿宋_GB2312"/>
          <w:color w:val="000000"/>
          <w:sz w:val="30"/>
          <w:szCs w:val="30"/>
          <w:highlight w:val="none"/>
          <w:u w:val="single"/>
        </w:rPr>
        <w:t></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bCs/>
          <w:color w:val="000000"/>
          <w:sz w:val="30"/>
          <w:szCs w:val="30"/>
          <w:highlight w:val="none"/>
        </w:rPr>
        <w:t>。</w:t>
      </w:r>
    </w:p>
    <w:p>
      <w:pPr>
        <w:spacing w:line="360" w:lineRule="auto"/>
        <w:ind w:firstLine="588" w:firstLineChars="196"/>
        <w:rPr>
          <w:rFonts w:hint="eastAsia" w:ascii="Times New Roman" w:hAnsi="Times New Roman" w:eastAsia="仿宋_GB2312"/>
          <w:bCs/>
          <w:color w:val="000000"/>
          <w:sz w:val="30"/>
          <w:szCs w:val="30"/>
          <w:highlight w:val="none"/>
        </w:rPr>
      </w:pPr>
      <w:r>
        <w:rPr>
          <w:rFonts w:hint="eastAsia" w:ascii="Times New Roman" w:hAnsi="Times New Roman" w:eastAsia="仿宋_GB2312"/>
          <w:bCs/>
          <w:color w:val="000000"/>
          <w:sz w:val="30"/>
          <w:szCs w:val="30"/>
          <w:highlight w:val="none"/>
        </w:rPr>
        <w:t>5.工程内容：</w:t>
      </w:r>
      <w:r>
        <w:rPr>
          <w:rFonts w:ascii="Times New Roman" w:hAnsi="Times New Roman" w:eastAsia="仿宋_GB2312"/>
          <w:color w:val="000000"/>
          <w:sz w:val="30"/>
          <w:szCs w:val="30"/>
          <w:highlight w:val="none"/>
          <w:u w:val="single"/>
        </w:rPr>
        <w:t></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bCs/>
          <w:color w:val="000000"/>
          <w:sz w:val="30"/>
          <w:szCs w:val="30"/>
          <w:highlight w:val="none"/>
        </w:rPr>
        <w:t>。</w:t>
      </w:r>
    </w:p>
    <w:p>
      <w:pPr>
        <w:spacing w:line="360" w:lineRule="auto"/>
        <w:ind w:firstLine="588" w:firstLineChars="196"/>
        <w:rPr>
          <w:rFonts w:ascii="Times New Roman" w:hAnsi="Times New Roman" w:eastAsia="仿宋_GB2312"/>
          <w:bCs/>
          <w:color w:val="000000"/>
          <w:sz w:val="30"/>
          <w:szCs w:val="30"/>
          <w:highlight w:val="none"/>
        </w:rPr>
      </w:pPr>
      <w:r>
        <w:rPr>
          <w:rFonts w:hint="eastAsia" w:ascii="Times New Roman" w:hAnsi="Times New Roman" w:eastAsia="仿宋_GB2312"/>
          <w:color w:val="000000"/>
          <w:sz w:val="30"/>
          <w:szCs w:val="32"/>
          <w:highlight w:val="none"/>
        </w:rPr>
        <w:t>群体工程应附《</w:t>
      </w:r>
      <w:r>
        <w:rPr>
          <w:rFonts w:ascii="Times New Roman" w:hAnsi="Times New Roman" w:eastAsia="仿宋_GB2312"/>
          <w:color w:val="000000"/>
          <w:sz w:val="30"/>
          <w:szCs w:val="32"/>
          <w:highlight w:val="none"/>
        </w:rPr>
        <w:t>承包人承揽工程项目一览表</w:t>
      </w:r>
      <w:r>
        <w:rPr>
          <w:rFonts w:hint="eastAsia" w:ascii="Times New Roman" w:hAnsi="Times New Roman" w:eastAsia="仿宋_GB2312"/>
          <w:color w:val="000000"/>
          <w:sz w:val="30"/>
          <w:szCs w:val="32"/>
          <w:highlight w:val="none"/>
        </w:rPr>
        <w:t>》（附件1）。</w:t>
      </w:r>
    </w:p>
    <w:p>
      <w:pPr>
        <w:spacing w:line="360" w:lineRule="auto"/>
        <w:ind w:firstLine="588" w:firstLineChars="196"/>
        <w:rPr>
          <w:rFonts w:ascii="Times New Roman" w:hAnsi="Times New Roman" w:eastAsia="仿宋_GB2312"/>
          <w:bCs/>
          <w:color w:val="000000"/>
          <w:sz w:val="30"/>
          <w:szCs w:val="30"/>
          <w:highlight w:val="none"/>
        </w:rPr>
      </w:pPr>
      <w:r>
        <w:rPr>
          <w:rFonts w:hint="eastAsia" w:ascii="Times New Roman" w:hAnsi="Times New Roman" w:eastAsia="仿宋_GB2312"/>
          <w:bCs/>
          <w:color w:val="000000"/>
          <w:sz w:val="30"/>
          <w:szCs w:val="30"/>
          <w:highlight w:val="none"/>
        </w:rPr>
        <w:t>6</w:t>
      </w:r>
      <w:r>
        <w:rPr>
          <w:rFonts w:ascii="Times New Roman" w:hAnsi="Times New Roman" w:eastAsia="仿宋_GB2312"/>
          <w:bCs/>
          <w:color w:val="000000"/>
          <w:sz w:val="30"/>
          <w:szCs w:val="30"/>
          <w:highlight w:val="none"/>
        </w:rPr>
        <w:t>.工程承包范围：</w:t>
      </w:r>
    </w:p>
    <w:p>
      <w:pPr>
        <w:spacing w:line="360" w:lineRule="auto"/>
        <w:ind w:firstLine="579" w:firstLineChars="193"/>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u w:val="single"/>
        </w:rPr>
        <w:t></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w:t>
      </w:r>
    </w:p>
    <w:p>
      <w:pPr>
        <w:spacing w:line="360" w:lineRule="auto"/>
        <w:ind w:firstLine="600" w:firstLineChars="20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u w:val="single"/>
        </w:rPr>
        <w:t></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w:t>
      </w:r>
      <w:r>
        <w:rPr>
          <w:rFonts w:ascii="Times New Roman" w:hAnsi="Times New Roman" w:eastAsia="仿宋_GB2312"/>
          <w:color w:val="000000"/>
          <w:sz w:val="30"/>
          <w:szCs w:val="30"/>
          <w:highlight w:val="none"/>
        </w:rPr>
        <w:t>。</w:t>
      </w:r>
    </w:p>
    <w:p>
      <w:pPr>
        <w:pStyle w:val="5"/>
        <w:spacing w:before="120" w:after="120" w:line="360" w:lineRule="auto"/>
        <w:rPr>
          <w:rFonts w:ascii="Times New Roman" w:hAnsi="Times New Roman" w:eastAsia="黑体"/>
          <w:b w:val="0"/>
          <w:color w:val="000000"/>
          <w:sz w:val="32"/>
          <w:szCs w:val="32"/>
          <w:highlight w:val="none"/>
        </w:rPr>
      </w:pPr>
      <w:r>
        <w:rPr>
          <w:rFonts w:ascii="Times New Roman" w:hAnsi="Times New Roman" w:eastAsia="黑体"/>
          <w:b w:val="0"/>
          <w:color w:val="000000"/>
          <w:sz w:val="32"/>
          <w:szCs w:val="32"/>
          <w:highlight w:val="none"/>
        </w:rPr>
        <w:t xml:space="preserve">   </w:t>
      </w:r>
      <w:bookmarkStart w:id="308" w:name="_Toc9523"/>
      <w:bookmarkStart w:id="309" w:name="_Toc7982"/>
      <w:r>
        <w:rPr>
          <w:rFonts w:ascii="Times New Roman" w:hAnsi="Times New Roman" w:eastAsia="黑体"/>
          <w:b w:val="0"/>
          <w:color w:val="000000"/>
          <w:sz w:val="32"/>
          <w:szCs w:val="32"/>
          <w:highlight w:val="none"/>
        </w:rPr>
        <w:t>二、合同工期</w:t>
      </w:r>
      <w:bookmarkEnd w:id="308"/>
      <w:bookmarkEnd w:id="309"/>
    </w:p>
    <w:p>
      <w:pPr>
        <w:spacing w:line="360" w:lineRule="auto"/>
        <w:ind w:firstLine="459"/>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计划开工日期：</w:t>
      </w:r>
      <w:r>
        <w:rPr>
          <w:rFonts w:ascii="Times New Roman" w:hAnsi="Times New Roman" w:eastAsia="仿宋_GB2312"/>
          <w:color w:val="000000"/>
          <w:sz w:val="30"/>
          <w:szCs w:val="30"/>
          <w:highlight w:val="none"/>
          <w:u w:val="single"/>
        </w:rPr>
        <w:t></w:t>
      </w:r>
      <w:r>
        <w:rPr>
          <w:rFonts w:ascii="Times New Roman" w:hAnsi="Times New Roman" w:eastAsia="仿宋_GB2312"/>
          <w:color w:val="000000"/>
          <w:sz w:val="30"/>
          <w:szCs w:val="30"/>
          <w:highlight w:val="none"/>
        </w:rPr>
        <w:t>年</w:t>
      </w:r>
      <w:r>
        <w:rPr>
          <w:rFonts w:ascii="Times New Roman" w:hAnsi="Times New Roman" w:eastAsia="仿宋_GB2312"/>
          <w:color w:val="000000"/>
          <w:sz w:val="30"/>
          <w:szCs w:val="30"/>
          <w:highlight w:val="none"/>
          <w:u w:val="single"/>
        </w:rPr>
        <w:t></w:t>
      </w:r>
      <w:r>
        <w:rPr>
          <w:rFonts w:ascii="Times New Roman" w:hAnsi="Times New Roman" w:eastAsia="仿宋_GB2312"/>
          <w:color w:val="000000"/>
          <w:sz w:val="30"/>
          <w:szCs w:val="30"/>
          <w:highlight w:val="none"/>
        </w:rPr>
        <w:t>月</w:t>
      </w:r>
      <w:r>
        <w:rPr>
          <w:rFonts w:ascii="Times New Roman" w:hAnsi="Times New Roman" w:eastAsia="仿宋_GB2312"/>
          <w:color w:val="000000"/>
          <w:sz w:val="30"/>
          <w:szCs w:val="30"/>
          <w:highlight w:val="none"/>
          <w:u w:val="single"/>
        </w:rPr>
        <w:t></w:t>
      </w:r>
      <w:r>
        <w:rPr>
          <w:rFonts w:ascii="Times New Roman" w:hAnsi="Times New Roman" w:eastAsia="仿宋_GB2312"/>
          <w:color w:val="000000"/>
          <w:sz w:val="30"/>
          <w:szCs w:val="30"/>
          <w:highlight w:val="none"/>
        </w:rPr>
        <w:t>日。</w:t>
      </w:r>
    </w:p>
    <w:p>
      <w:pPr>
        <w:spacing w:line="360" w:lineRule="auto"/>
        <w:ind w:firstLine="459"/>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计划竣工日期：</w:t>
      </w:r>
      <w:r>
        <w:rPr>
          <w:rFonts w:ascii="Times New Roman" w:hAnsi="Times New Roman" w:eastAsia="仿宋_GB2312"/>
          <w:color w:val="000000"/>
          <w:sz w:val="30"/>
          <w:szCs w:val="30"/>
          <w:highlight w:val="none"/>
          <w:u w:val="single"/>
        </w:rPr>
        <w:t></w:t>
      </w:r>
      <w:r>
        <w:rPr>
          <w:rFonts w:ascii="Times New Roman" w:hAnsi="Times New Roman" w:eastAsia="仿宋_GB2312"/>
          <w:color w:val="000000"/>
          <w:sz w:val="30"/>
          <w:szCs w:val="30"/>
          <w:highlight w:val="none"/>
        </w:rPr>
        <w:t>年</w:t>
      </w:r>
      <w:r>
        <w:rPr>
          <w:rFonts w:ascii="Times New Roman" w:hAnsi="Times New Roman" w:eastAsia="仿宋_GB2312"/>
          <w:color w:val="000000"/>
          <w:sz w:val="30"/>
          <w:szCs w:val="30"/>
          <w:highlight w:val="none"/>
          <w:u w:val="single"/>
        </w:rPr>
        <w:t></w:t>
      </w:r>
      <w:r>
        <w:rPr>
          <w:rFonts w:ascii="Times New Roman" w:hAnsi="Times New Roman" w:eastAsia="仿宋_GB2312"/>
          <w:color w:val="000000"/>
          <w:sz w:val="30"/>
          <w:szCs w:val="30"/>
          <w:highlight w:val="none"/>
        </w:rPr>
        <w:t>月</w:t>
      </w:r>
      <w:r>
        <w:rPr>
          <w:rFonts w:ascii="Times New Roman" w:hAnsi="Times New Roman" w:eastAsia="仿宋_GB2312"/>
          <w:color w:val="000000"/>
          <w:sz w:val="30"/>
          <w:szCs w:val="30"/>
          <w:highlight w:val="none"/>
          <w:u w:val="single"/>
        </w:rPr>
        <w:t></w:t>
      </w:r>
      <w:r>
        <w:rPr>
          <w:rFonts w:ascii="Times New Roman" w:hAnsi="Times New Roman" w:eastAsia="仿宋_GB2312"/>
          <w:color w:val="000000"/>
          <w:sz w:val="30"/>
          <w:szCs w:val="30"/>
          <w:highlight w:val="none"/>
        </w:rPr>
        <w:t>日。</w:t>
      </w:r>
    </w:p>
    <w:p>
      <w:pPr>
        <w:spacing w:line="360" w:lineRule="auto"/>
        <w:ind w:firstLine="459"/>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工期总日历天数：</w:t>
      </w:r>
      <w:r>
        <w:rPr>
          <w:rFonts w:ascii="Times New Roman" w:hAnsi="Times New Roman" w:eastAsia="仿宋_GB2312"/>
          <w:color w:val="000000"/>
          <w:sz w:val="30"/>
          <w:szCs w:val="30"/>
          <w:highlight w:val="none"/>
          <w:u w:val="single"/>
        </w:rPr>
        <w:t></w:t>
      </w:r>
      <w:r>
        <w:rPr>
          <w:rFonts w:ascii="Times New Roman" w:hAnsi="Times New Roman" w:eastAsia="仿宋_GB2312"/>
          <w:color w:val="000000"/>
          <w:sz w:val="30"/>
          <w:szCs w:val="30"/>
          <w:highlight w:val="none"/>
        </w:rPr>
        <w:t>天。工期总日历天数与根据前述计划开竣工日期计算的工期天数不一致的，以工期总日历天数为准。</w:t>
      </w:r>
    </w:p>
    <w:p>
      <w:pPr>
        <w:pStyle w:val="5"/>
        <w:spacing w:before="120" w:after="120" w:line="360" w:lineRule="auto"/>
        <w:rPr>
          <w:rFonts w:ascii="Times New Roman" w:hAnsi="Times New Roman" w:eastAsia="黑体"/>
          <w:bCs w:val="0"/>
          <w:color w:val="000000"/>
          <w:sz w:val="32"/>
          <w:szCs w:val="32"/>
          <w:highlight w:val="none"/>
        </w:rPr>
      </w:pPr>
      <w:r>
        <w:rPr>
          <w:rFonts w:ascii="Times New Roman" w:hAnsi="Times New Roman" w:eastAsia="黑体"/>
          <w:bCs w:val="0"/>
          <w:color w:val="000000"/>
          <w:sz w:val="32"/>
          <w:szCs w:val="32"/>
          <w:highlight w:val="none"/>
        </w:rPr>
        <w:t xml:space="preserve">    </w:t>
      </w:r>
      <w:bookmarkStart w:id="310" w:name="_Toc18308"/>
      <w:bookmarkStart w:id="311" w:name="_Toc13777"/>
      <w:r>
        <w:rPr>
          <w:rFonts w:ascii="Times New Roman" w:hAnsi="Times New Roman" w:eastAsia="黑体"/>
          <w:b w:val="0"/>
          <w:color w:val="000000"/>
          <w:sz w:val="32"/>
          <w:szCs w:val="32"/>
          <w:highlight w:val="none"/>
        </w:rPr>
        <w:t>三、质量标准</w:t>
      </w:r>
      <w:bookmarkEnd w:id="310"/>
      <w:bookmarkEnd w:id="311"/>
    </w:p>
    <w:p>
      <w:pPr>
        <w:spacing w:line="360" w:lineRule="auto"/>
        <w:ind w:firstLine="459"/>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工程质量符合</w:t>
      </w:r>
      <w:r>
        <w:rPr>
          <w:rFonts w:ascii="Times New Roman" w:hAnsi="Times New Roman" w:eastAsia="仿宋_GB2312"/>
          <w:color w:val="000000"/>
          <w:sz w:val="30"/>
          <w:szCs w:val="30"/>
          <w:highlight w:val="none"/>
          <w:u w:val="single"/>
        </w:rPr>
        <w:t></w:t>
      </w:r>
      <w:r>
        <w:rPr>
          <w:rFonts w:ascii="Times New Roman" w:hAnsi="Times New Roman" w:eastAsia="仿宋_GB2312"/>
          <w:color w:val="000000"/>
          <w:sz w:val="30"/>
          <w:szCs w:val="30"/>
          <w:highlight w:val="none"/>
        </w:rPr>
        <w:t>标准。</w:t>
      </w:r>
    </w:p>
    <w:p>
      <w:pPr>
        <w:pStyle w:val="5"/>
        <w:spacing w:before="120" w:after="120" w:line="360" w:lineRule="auto"/>
        <w:rPr>
          <w:rFonts w:ascii="Times New Roman" w:hAnsi="Times New Roman" w:eastAsia="黑体"/>
          <w:bCs w:val="0"/>
          <w:color w:val="000000"/>
          <w:sz w:val="32"/>
          <w:szCs w:val="32"/>
          <w:highlight w:val="none"/>
        </w:rPr>
      </w:pPr>
      <w:r>
        <w:rPr>
          <w:rFonts w:ascii="Times New Roman" w:hAnsi="Times New Roman" w:eastAsia="黑体"/>
          <w:bCs w:val="0"/>
          <w:color w:val="000000"/>
          <w:sz w:val="32"/>
          <w:szCs w:val="32"/>
          <w:highlight w:val="none"/>
        </w:rPr>
        <w:t xml:space="preserve">   </w:t>
      </w:r>
      <w:r>
        <w:rPr>
          <w:rFonts w:ascii="Times New Roman" w:hAnsi="Times New Roman" w:eastAsia="黑体"/>
          <w:b w:val="0"/>
          <w:color w:val="000000"/>
          <w:sz w:val="32"/>
          <w:szCs w:val="32"/>
          <w:highlight w:val="none"/>
        </w:rPr>
        <w:t xml:space="preserve"> </w:t>
      </w:r>
      <w:bookmarkStart w:id="312" w:name="_Toc31102"/>
      <w:bookmarkStart w:id="313" w:name="_Toc20918"/>
      <w:r>
        <w:rPr>
          <w:rFonts w:ascii="Times New Roman" w:hAnsi="Times New Roman" w:eastAsia="黑体"/>
          <w:b w:val="0"/>
          <w:color w:val="000000"/>
          <w:sz w:val="32"/>
          <w:szCs w:val="32"/>
          <w:highlight w:val="none"/>
        </w:rPr>
        <w:t>四、签约合同价与合同价格形式</w:t>
      </w:r>
      <w:bookmarkEnd w:id="312"/>
      <w:bookmarkEnd w:id="313"/>
      <w:r>
        <w:rPr>
          <w:rFonts w:ascii="Times New Roman" w:hAnsi="Times New Roman" w:eastAsia="黑体"/>
          <w:b w:val="0"/>
          <w:color w:val="000000"/>
          <w:sz w:val="32"/>
          <w:szCs w:val="32"/>
          <w:highlight w:val="none"/>
        </w:rPr>
        <w:tab/>
      </w:r>
    </w:p>
    <w:p>
      <w:pPr>
        <w:spacing w:line="360" w:lineRule="auto"/>
        <w:ind w:firstLine="600" w:firstLineChars="20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1.签约合同价为：</w:t>
      </w:r>
    </w:p>
    <w:p>
      <w:pPr>
        <w:spacing w:line="360" w:lineRule="auto"/>
        <w:ind w:firstLine="750" w:firstLineChars="25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人民币（大写）</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元)；</w:t>
      </w:r>
    </w:p>
    <w:p>
      <w:pPr>
        <w:spacing w:line="360" w:lineRule="auto"/>
        <w:ind w:firstLine="600" w:firstLineChars="20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其中：</w:t>
      </w:r>
    </w:p>
    <w:p>
      <w:pPr>
        <w:spacing w:line="360" w:lineRule="auto"/>
        <w:ind w:firstLine="600" w:firstLineChars="20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（1）安全文明施工费：</w:t>
      </w:r>
    </w:p>
    <w:p>
      <w:pPr>
        <w:spacing w:line="360" w:lineRule="auto"/>
        <w:ind w:firstLine="1350" w:firstLineChars="45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人民币（大写）</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元)；</w:t>
      </w:r>
    </w:p>
    <w:p>
      <w:pPr>
        <w:spacing w:line="360" w:lineRule="auto"/>
        <w:ind w:firstLine="600" w:firstLineChars="20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（2）材料和工程设备暂估价金额：</w:t>
      </w:r>
    </w:p>
    <w:p>
      <w:pPr>
        <w:spacing w:line="360" w:lineRule="auto"/>
        <w:ind w:firstLine="1350" w:firstLineChars="45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人民币（大写）</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元)；</w:t>
      </w:r>
    </w:p>
    <w:p>
      <w:pPr>
        <w:spacing w:line="360" w:lineRule="auto"/>
        <w:ind w:firstLine="600" w:firstLineChars="20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（3）专业工程暂估价金额：</w:t>
      </w:r>
    </w:p>
    <w:p>
      <w:pPr>
        <w:spacing w:line="360" w:lineRule="auto"/>
        <w:ind w:firstLine="1350" w:firstLineChars="45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人民币（大写）</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元)；</w:t>
      </w:r>
    </w:p>
    <w:p>
      <w:pPr>
        <w:spacing w:line="360" w:lineRule="auto"/>
        <w:ind w:firstLine="600" w:firstLineChars="20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（4）暂列金额：</w:t>
      </w:r>
    </w:p>
    <w:p>
      <w:pPr>
        <w:spacing w:line="360" w:lineRule="auto"/>
        <w:ind w:firstLine="1350" w:firstLineChars="45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人民币（大写）</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元)。</w:t>
      </w:r>
    </w:p>
    <w:p>
      <w:pPr>
        <w:spacing w:line="360" w:lineRule="auto"/>
        <w:ind w:firstLine="600" w:firstLineChars="20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2.合同价格形式：</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w:t>
      </w:r>
    </w:p>
    <w:p>
      <w:pPr>
        <w:pStyle w:val="5"/>
        <w:spacing w:before="120" w:after="120" w:line="360" w:lineRule="auto"/>
        <w:rPr>
          <w:rFonts w:ascii="Times New Roman" w:hAnsi="Times New Roman" w:eastAsia="黑体"/>
          <w:b w:val="0"/>
          <w:color w:val="000000"/>
          <w:sz w:val="32"/>
          <w:szCs w:val="32"/>
          <w:highlight w:val="none"/>
        </w:rPr>
      </w:pPr>
      <w:r>
        <w:rPr>
          <w:rFonts w:ascii="Times New Roman" w:hAnsi="Times New Roman" w:eastAsia="黑体"/>
          <w:bCs w:val="0"/>
          <w:color w:val="000000"/>
          <w:sz w:val="32"/>
          <w:szCs w:val="32"/>
          <w:highlight w:val="none"/>
        </w:rPr>
        <w:t xml:space="preserve">   </w:t>
      </w:r>
      <w:r>
        <w:rPr>
          <w:rFonts w:ascii="Times New Roman" w:hAnsi="Times New Roman" w:eastAsia="黑体"/>
          <w:b w:val="0"/>
          <w:color w:val="000000"/>
          <w:sz w:val="32"/>
          <w:szCs w:val="32"/>
          <w:highlight w:val="none"/>
        </w:rPr>
        <w:t xml:space="preserve"> </w:t>
      </w:r>
      <w:bookmarkStart w:id="314" w:name="_Toc3086"/>
      <w:bookmarkStart w:id="315" w:name="_Toc28027"/>
      <w:r>
        <w:rPr>
          <w:rFonts w:ascii="Times New Roman" w:hAnsi="Times New Roman" w:eastAsia="黑体"/>
          <w:b w:val="0"/>
          <w:color w:val="000000"/>
          <w:sz w:val="32"/>
          <w:szCs w:val="32"/>
          <w:highlight w:val="none"/>
        </w:rPr>
        <w:t>五、项目经理</w:t>
      </w:r>
      <w:bookmarkEnd w:id="314"/>
      <w:bookmarkEnd w:id="315"/>
    </w:p>
    <w:p>
      <w:pPr>
        <w:spacing w:line="360" w:lineRule="auto"/>
        <w:ind w:firstLine="600" w:firstLineChars="20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承包人项目经理：</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w:t>
      </w:r>
      <w:r>
        <w:rPr>
          <w:rFonts w:ascii="Times New Roman" w:hAnsi="Times New Roman" w:eastAsia="仿宋_GB2312"/>
          <w:color w:val="000000"/>
          <w:sz w:val="30"/>
          <w:szCs w:val="30"/>
          <w:highlight w:val="none"/>
        </w:rPr>
        <w:t>。</w:t>
      </w:r>
    </w:p>
    <w:p>
      <w:pPr>
        <w:pStyle w:val="5"/>
        <w:spacing w:before="120" w:after="120" w:line="360" w:lineRule="auto"/>
        <w:rPr>
          <w:rFonts w:ascii="Times New Roman" w:hAnsi="Times New Roman" w:eastAsia="黑体"/>
          <w:bCs w:val="0"/>
          <w:color w:val="000000"/>
          <w:sz w:val="32"/>
          <w:szCs w:val="32"/>
          <w:highlight w:val="none"/>
        </w:rPr>
      </w:pPr>
      <w:r>
        <w:rPr>
          <w:rFonts w:ascii="Times New Roman" w:hAnsi="Times New Roman" w:eastAsia="黑体"/>
          <w:bCs w:val="0"/>
          <w:color w:val="000000"/>
          <w:sz w:val="32"/>
          <w:szCs w:val="32"/>
          <w:highlight w:val="none"/>
        </w:rPr>
        <w:t xml:space="preserve">   </w:t>
      </w:r>
      <w:r>
        <w:rPr>
          <w:rFonts w:ascii="Times New Roman" w:hAnsi="Times New Roman" w:eastAsia="黑体"/>
          <w:b w:val="0"/>
          <w:color w:val="000000"/>
          <w:sz w:val="32"/>
          <w:szCs w:val="32"/>
          <w:highlight w:val="none"/>
        </w:rPr>
        <w:t xml:space="preserve"> </w:t>
      </w:r>
      <w:bookmarkStart w:id="316" w:name="_Toc7831"/>
      <w:bookmarkStart w:id="317" w:name="_Toc448"/>
      <w:r>
        <w:rPr>
          <w:rFonts w:ascii="Times New Roman" w:hAnsi="Times New Roman" w:eastAsia="黑体"/>
          <w:b w:val="0"/>
          <w:color w:val="000000"/>
          <w:sz w:val="32"/>
          <w:szCs w:val="32"/>
          <w:highlight w:val="none"/>
        </w:rPr>
        <w:t>六、合同文件构成</w:t>
      </w:r>
      <w:bookmarkEnd w:id="316"/>
      <w:bookmarkEnd w:id="317"/>
    </w:p>
    <w:p>
      <w:pPr>
        <w:spacing w:line="360" w:lineRule="auto"/>
        <w:ind w:firstLine="600" w:firstLineChars="200"/>
        <w:rPr>
          <w:rFonts w:ascii="Times New Roman" w:hAnsi="Times New Roman" w:eastAsia="仿宋_GB2312"/>
          <w:bCs/>
          <w:color w:val="000000"/>
          <w:sz w:val="30"/>
          <w:szCs w:val="30"/>
          <w:highlight w:val="none"/>
        </w:rPr>
      </w:pPr>
      <w:r>
        <w:rPr>
          <w:rFonts w:ascii="Times New Roman" w:hAnsi="Times New Roman" w:eastAsia="仿宋_GB2312"/>
          <w:bCs/>
          <w:color w:val="000000"/>
          <w:sz w:val="30"/>
          <w:szCs w:val="30"/>
          <w:highlight w:val="none"/>
        </w:rPr>
        <w:t>本协议书与下列文件一起构成合同文件：</w:t>
      </w:r>
    </w:p>
    <w:p>
      <w:pPr>
        <w:autoSpaceDE w:val="0"/>
        <w:autoSpaceDN w:val="0"/>
        <w:adjustRightInd w:val="0"/>
        <w:spacing w:line="360" w:lineRule="auto"/>
        <w:ind w:firstLine="600" w:firstLineChars="200"/>
        <w:jc w:val="left"/>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（1）中标通知书（如果有）；</w:t>
      </w:r>
    </w:p>
    <w:p>
      <w:pPr>
        <w:autoSpaceDE w:val="0"/>
        <w:autoSpaceDN w:val="0"/>
        <w:adjustRightInd w:val="0"/>
        <w:spacing w:line="360" w:lineRule="auto"/>
        <w:ind w:firstLine="600" w:firstLineChars="200"/>
        <w:jc w:val="left"/>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 xml:space="preserve">（2）投标函及其附录（如果有）； </w:t>
      </w:r>
    </w:p>
    <w:p>
      <w:pPr>
        <w:autoSpaceDE w:val="0"/>
        <w:autoSpaceDN w:val="0"/>
        <w:adjustRightInd w:val="0"/>
        <w:spacing w:line="360" w:lineRule="auto"/>
        <w:ind w:firstLine="600" w:firstLineChars="200"/>
        <w:jc w:val="left"/>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（3）专用合同条款及其附件；</w:t>
      </w:r>
    </w:p>
    <w:p>
      <w:pPr>
        <w:autoSpaceDE w:val="0"/>
        <w:autoSpaceDN w:val="0"/>
        <w:adjustRightInd w:val="0"/>
        <w:spacing w:line="360" w:lineRule="auto"/>
        <w:ind w:firstLine="600" w:firstLineChars="200"/>
        <w:jc w:val="left"/>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（4）通用合同条款；</w:t>
      </w:r>
    </w:p>
    <w:p>
      <w:pPr>
        <w:autoSpaceDE w:val="0"/>
        <w:autoSpaceDN w:val="0"/>
        <w:adjustRightInd w:val="0"/>
        <w:spacing w:line="360" w:lineRule="auto"/>
        <w:ind w:firstLine="600" w:firstLineChars="200"/>
        <w:jc w:val="left"/>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（5）技术标准和要求；</w:t>
      </w:r>
    </w:p>
    <w:p>
      <w:pPr>
        <w:autoSpaceDE w:val="0"/>
        <w:autoSpaceDN w:val="0"/>
        <w:adjustRightInd w:val="0"/>
        <w:spacing w:line="360" w:lineRule="auto"/>
        <w:ind w:firstLine="600" w:firstLineChars="200"/>
        <w:jc w:val="left"/>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（6）图纸；</w:t>
      </w:r>
    </w:p>
    <w:p>
      <w:pPr>
        <w:autoSpaceDE w:val="0"/>
        <w:autoSpaceDN w:val="0"/>
        <w:adjustRightInd w:val="0"/>
        <w:spacing w:line="360" w:lineRule="auto"/>
        <w:ind w:firstLine="600" w:firstLineChars="200"/>
        <w:jc w:val="left"/>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（7）已标价工程量清单或预算书；</w:t>
      </w:r>
    </w:p>
    <w:p>
      <w:pPr>
        <w:autoSpaceDE w:val="0"/>
        <w:autoSpaceDN w:val="0"/>
        <w:adjustRightInd w:val="0"/>
        <w:spacing w:line="360" w:lineRule="auto"/>
        <w:ind w:firstLine="600" w:firstLineChars="200"/>
        <w:jc w:val="left"/>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（8）其他合同文件。</w:t>
      </w:r>
    </w:p>
    <w:p>
      <w:pPr>
        <w:autoSpaceDE w:val="0"/>
        <w:autoSpaceDN w:val="0"/>
        <w:adjustRightInd w:val="0"/>
        <w:spacing w:line="360" w:lineRule="auto"/>
        <w:ind w:firstLine="600" w:firstLineChars="200"/>
        <w:jc w:val="left"/>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在合同订立及履行过程中形成的与合同有关的文件均构成合同文件组成部分。</w:t>
      </w:r>
    </w:p>
    <w:p>
      <w:pPr>
        <w:autoSpaceDE w:val="0"/>
        <w:autoSpaceDN w:val="0"/>
        <w:adjustRightInd w:val="0"/>
        <w:spacing w:line="360" w:lineRule="auto"/>
        <w:ind w:firstLine="600" w:firstLineChars="200"/>
        <w:jc w:val="left"/>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上述各项合同文件包括合同当事人就该项合同文件所作出的补充和修改，属于同一类内容的文件，应以最新签署的为准。</w:t>
      </w:r>
      <w:r>
        <w:rPr>
          <w:rFonts w:hint="eastAsia" w:ascii="Times New Roman" w:hAnsi="Times New Roman" w:eastAsia="仿宋_GB2312"/>
          <w:color w:val="000000"/>
          <w:sz w:val="30"/>
          <w:szCs w:val="30"/>
          <w:highlight w:val="none"/>
        </w:rPr>
        <w:t>专用合同条款及其附件须经合同当事人签字或盖章。</w:t>
      </w:r>
    </w:p>
    <w:p>
      <w:pPr>
        <w:pStyle w:val="5"/>
        <w:spacing w:before="120" w:after="120" w:line="360" w:lineRule="auto"/>
        <w:rPr>
          <w:rFonts w:ascii="Times New Roman" w:hAnsi="Times New Roman" w:eastAsia="黑体"/>
          <w:b w:val="0"/>
          <w:bCs w:val="0"/>
          <w:color w:val="000000"/>
          <w:sz w:val="32"/>
          <w:szCs w:val="32"/>
          <w:highlight w:val="none"/>
        </w:rPr>
      </w:pPr>
      <w:r>
        <w:rPr>
          <w:rFonts w:ascii="Times New Roman" w:hAnsi="Times New Roman" w:eastAsia="黑体"/>
          <w:b w:val="0"/>
          <w:bCs w:val="0"/>
          <w:color w:val="000000"/>
          <w:sz w:val="32"/>
          <w:szCs w:val="32"/>
          <w:highlight w:val="none"/>
        </w:rPr>
        <w:t xml:space="preserve">   </w:t>
      </w:r>
      <w:r>
        <w:rPr>
          <w:rFonts w:ascii="Times New Roman" w:hAnsi="Times New Roman" w:eastAsia="黑体"/>
          <w:b w:val="0"/>
          <w:color w:val="000000"/>
          <w:sz w:val="32"/>
          <w:szCs w:val="32"/>
          <w:highlight w:val="none"/>
        </w:rPr>
        <w:t xml:space="preserve"> </w:t>
      </w:r>
      <w:bookmarkStart w:id="318" w:name="_Toc11371"/>
      <w:bookmarkStart w:id="319" w:name="_Toc32067"/>
      <w:r>
        <w:rPr>
          <w:rFonts w:ascii="Times New Roman" w:hAnsi="Times New Roman" w:eastAsia="黑体"/>
          <w:b w:val="0"/>
          <w:color w:val="000000"/>
          <w:sz w:val="32"/>
          <w:szCs w:val="32"/>
          <w:highlight w:val="none"/>
        </w:rPr>
        <w:t>七、承诺</w:t>
      </w:r>
      <w:bookmarkEnd w:id="318"/>
      <w:bookmarkEnd w:id="319"/>
    </w:p>
    <w:p>
      <w:pPr>
        <w:spacing w:line="360" w:lineRule="auto"/>
        <w:ind w:firstLine="600" w:firstLineChars="200"/>
        <w:rPr>
          <w:rFonts w:ascii="Times New Roman" w:hAnsi="Times New Roman" w:eastAsia="仿宋_GB2312"/>
          <w:bCs/>
          <w:color w:val="000000"/>
          <w:sz w:val="30"/>
          <w:szCs w:val="30"/>
          <w:highlight w:val="none"/>
        </w:rPr>
      </w:pPr>
      <w:r>
        <w:rPr>
          <w:rFonts w:ascii="Times New Roman" w:hAnsi="Times New Roman" w:eastAsia="仿宋_GB2312"/>
          <w:bCs/>
          <w:color w:val="000000"/>
          <w:sz w:val="30"/>
          <w:szCs w:val="30"/>
          <w:highlight w:val="none"/>
        </w:rPr>
        <w:t>1.发包人承诺按照法律规定履行项目审批手续、筹集工程建设资金并按照合同约定的期限和方式支付合同价款。</w:t>
      </w:r>
    </w:p>
    <w:p>
      <w:pPr>
        <w:spacing w:line="360" w:lineRule="auto"/>
        <w:ind w:firstLine="600" w:firstLineChars="200"/>
        <w:rPr>
          <w:rFonts w:ascii="Times New Roman" w:hAnsi="Times New Roman" w:eastAsia="仿宋_GB2312"/>
          <w:bCs/>
          <w:color w:val="000000"/>
          <w:sz w:val="30"/>
          <w:szCs w:val="30"/>
          <w:highlight w:val="none"/>
        </w:rPr>
      </w:pPr>
      <w:r>
        <w:rPr>
          <w:rFonts w:ascii="Times New Roman" w:hAnsi="Times New Roman" w:eastAsia="仿宋_GB2312"/>
          <w:bCs/>
          <w:color w:val="000000"/>
          <w:sz w:val="30"/>
          <w:szCs w:val="30"/>
          <w:highlight w:val="none"/>
        </w:rPr>
        <w:t>2.承包人承诺按照法律规定及合同约定组织完成工程施工，确保工程质量和安全，不进行转包及违法分包，并在缺陷责任期及保修期内承担相应的工程维修责任。</w:t>
      </w:r>
    </w:p>
    <w:p>
      <w:pPr>
        <w:spacing w:line="360" w:lineRule="auto"/>
        <w:ind w:firstLine="600" w:firstLineChars="200"/>
        <w:rPr>
          <w:rFonts w:ascii="Times New Roman" w:hAnsi="Times New Roman" w:eastAsia="仿宋_GB2312"/>
          <w:bCs/>
          <w:color w:val="000000"/>
          <w:sz w:val="30"/>
          <w:szCs w:val="30"/>
          <w:highlight w:val="none"/>
        </w:rPr>
      </w:pPr>
      <w:r>
        <w:rPr>
          <w:rFonts w:ascii="Times New Roman" w:hAnsi="Times New Roman" w:eastAsia="仿宋_GB2312"/>
          <w:bCs/>
          <w:color w:val="000000"/>
          <w:sz w:val="30"/>
          <w:szCs w:val="30"/>
          <w:highlight w:val="none"/>
        </w:rPr>
        <w:t>3.发包人和承包人通过招投标形式签订合同的，双方理解并</w:t>
      </w:r>
      <w:r>
        <w:rPr>
          <w:rFonts w:hint="eastAsia" w:ascii="Times New Roman" w:hAnsi="Times New Roman" w:eastAsia="仿宋_GB2312"/>
          <w:bCs/>
          <w:color w:val="000000"/>
          <w:sz w:val="30"/>
          <w:szCs w:val="30"/>
          <w:highlight w:val="none"/>
        </w:rPr>
        <w:t>承诺</w:t>
      </w:r>
      <w:r>
        <w:rPr>
          <w:rFonts w:ascii="Times New Roman" w:hAnsi="Times New Roman" w:eastAsia="仿宋_GB2312"/>
          <w:bCs/>
          <w:color w:val="000000"/>
          <w:sz w:val="30"/>
          <w:szCs w:val="30"/>
          <w:highlight w:val="none"/>
        </w:rPr>
        <w:t>不再就同一工程另行签订与合同实质性内容相背离的协议。</w:t>
      </w:r>
    </w:p>
    <w:p>
      <w:pPr>
        <w:spacing w:line="360" w:lineRule="auto"/>
        <w:rPr>
          <w:rFonts w:ascii="Times New Roman" w:hAnsi="Times New Roman" w:eastAsia="黑体"/>
          <w:bCs/>
          <w:color w:val="000000"/>
          <w:sz w:val="32"/>
          <w:szCs w:val="32"/>
          <w:highlight w:val="none"/>
        </w:rPr>
      </w:pPr>
      <w:r>
        <w:rPr>
          <w:rFonts w:hint="eastAsia" w:ascii="Times New Roman" w:hAnsi="Times New Roman" w:eastAsia="黑体"/>
          <w:b/>
          <w:color w:val="000000"/>
          <w:sz w:val="32"/>
          <w:szCs w:val="32"/>
          <w:highlight w:val="none"/>
        </w:rPr>
        <w:t xml:space="preserve">    </w:t>
      </w:r>
      <w:r>
        <w:rPr>
          <w:rFonts w:ascii="Times New Roman" w:hAnsi="Times New Roman" w:eastAsia="黑体"/>
          <w:b/>
          <w:color w:val="000000"/>
          <w:sz w:val="32"/>
          <w:szCs w:val="32"/>
          <w:highlight w:val="none"/>
        </w:rPr>
        <w:t>八、词语含义</w:t>
      </w:r>
    </w:p>
    <w:p>
      <w:pPr>
        <w:spacing w:line="360" w:lineRule="auto"/>
        <w:ind w:firstLine="600" w:firstLineChars="200"/>
        <w:rPr>
          <w:rFonts w:ascii="Times New Roman" w:hAnsi="Times New Roman" w:eastAsia="仿宋_GB2312"/>
          <w:bCs/>
          <w:color w:val="000000"/>
          <w:sz w:val="30"/>
          <w:szCs w:val="30"/>
          <w:highlight w:val="none"/>
        </w:rPr>
      </w:pPr>
      <w:r>
        <w:rPr>
          <w:rFonts w:ascii="Times New Roman" w:hAnsi="Times New Roman" w:eastAsia="仿宋_GB2312"/>
          <w:bCs/>
          <w:color w:val="000000"/>
          <w:sz w:val="30"/>
          <w:szCs w:val="30"/>
          <w:highlight w:val="none"/>
        </w:rPr>
        <w:t>本协议书中词语含义与第二部分通用合同条款中赋予的含义相同。</w:t>
      </w:r>
    </w:p>
    <w:p>
      <w:pPr>
        <w:pStyle w:val="5"/>
        <w:spacing w:before="120" w:after="120" w:line="360" w:lineRule="auto"/>
        <w:rPr>
          <w:rFonts w:ascii="Times New Roman" w:hAnsi="Times New Roman" w:eastAsia="黑体"/>
          <w:bCs w:val="0"/>
          <w:color w:val="000000"/>
          <w:sz w:val="32"/>
          <w:szCs w:val="32"/>
          <w:highlight w:val="none"/>
        </w:rPr>
      </w:pPr>
      <w:r>
        <w:rPr>
          <w:rFonts w:ascii="Times New Roman" w:hAnsi="Times New Roman" w:eastAsia="黑体"/>
          <w:bCs w:val="0"/>
          <w:color w:val="000000"/>
          <w:sz w:val="32"/>
          <w:szCs w:val="32"/>
          <w:highlight w:val="none"/>
        </w:rPr>
        <w:t xml:space="preserve">  </w:t>
      </w:r>
      <w:r>
        <w:rPr>
          <w:rFonts w:ascii="Times New Roman" w:hAnsi="Times New Roman" w:eastAsia="黑体"/>
          <w:b w:val="0"/>
          <w:color w:val="000000"/>
          <w:sz w:val="32"/>
          <w:szCs w:val="32"/>
          <w:highlight w:val="none"/>
        </w:rPr>
        <w:t xml:space="preserve">  </w:t>
      </w:r>
      <w:bookmarkStart w:id="320" w:name="_Toc23401"/>
      <w:bookmarkStart w:id="321" w:name="_Toc32667"/>
      <w:r>
        <w:rPr>
          <w:rFonts w:ascii="Times New Roman" w:hAnsi="Times New Roman" w:eastAsia="黑体"/>
          <w:b w:val="0"/>
          <w:color w:val="000000"/>
          <w:sz w:val="32"/>
          <w:szCs w:val="32"/>
          <w:highlight w:val="none"/>
        </w:rPr>
        <w:t>九、签订时间</w:t>
      </w:r>
      <w:bookmarkEnd w:id="320"/>
      <w:bookmarkEnd w:id="321"/>
    </w:p>
    <w:p>
      <w:pPr>
        <w:spacing w:line="360" w:lineRule="auto"/>
        <w:ind w:firstLine="600" w:firstLineChars="200"/>
        <w:rPr>
          <w:rFonts w:ascii="Times New Roman" w:hAnsi="Times New Roman" w:eastAsia="仿宋_GB2312"/>
          <w:bCs/>
          <w:color w:val="000000"/>
          <w:sz w:val="30"/>
          <w:szCs w:val="30"/>
          <w:highlight w:val="none"/>
        </w:rPr>
      </w:pPr>
      <w:r>
        <w:rPr>
          <w:rFonts w:ascii="Times New Roman" w:hAnsi="Times New Roman" w:eastAsia="仿宋_GB2312"/>
          <w:bCs/>
          <w:color w:val="000000"/>
          <w:sz w:val="30"/>
          <w:szCs w:val="30"/>
          <w:highlight w:val="none"/>
        </w:rPr>
        <w:t>本合同于</w:t>
      </w:r>
      <w:r>
        <w:rPr>
          <w:rFonts w:ascii="Times New Roman" w:hAnsi="Times New Roman" w:eastAsia="仿宋_GB2312"/>
          <w:bCs/>
          <w:color w:val="000000"/>
          <w:sz w:val="30"/>
          <w:szCs w:val="30"/>
          <w:highlight w:val="none"/>
          <w:u w:val="single"/>
        </w:rPr>
        <w:t xml:space="preserve">         </w:t>
      </w:r>
      <w:r>
        <w:rPr>
          <w:rFonts w:ascii="Times New Roman" w:hAnsi="Times New Roman" w:eastAsia="仿宋_GB2312"/>
          <w:bCs/>
          <w:color w:val="000000"/>
          <w:sz w:val="30"/>
          <w:szCs w:val="30"/>
          <w:highlight w:val="none"/>
        </w:rPr>
        <w:t>年</w:t>
      </w:r>
      <w:r>
        <w:rPr>
          <w:rFonts w:ascii="Times New Roman" w:hAnsi="Times New Roman" w:eastAsia="仿宋_GB2312"/>
          <w:bCs/>
          <w:color w:val="000000"/>
          <w:sz w:val="30"/>
          <w:szCs w:val="30"/>
          <w:highlight w:val="none"/>
          <w:u w:val="single"/>
        </w:rPr>
        <w:t xml:space="preserve">    </w:t>
      </w:r>
      <w:r>
        <w:rPr>
          <w:rFonts w:ascii="Times New Roman" w:hAnsi="Times New Roman" w:eastAsia="仿宋_GB2312"/>
          <w:bCs/>
          <w:color w:val="000000"/>
          <w:sz w:val="30"/>
          <w:szCs w:val="30"/>
          <w:highlight w:val="none"/>
        </w:rPr>
        <w:t>月</w:t>
      </w:r>
      <w:r>
        <w:rPr>
          <w:rFonts w:ascii="Times New Roman" w:hAnsi="Times New Roman" w:eastAsia="仿宋_GB2312"/>
          <w:bCs/>
          <w:color w:val="000000"/>
          <w:sz w:val="30"/>
          <w:szCs w:val="30"/>
          <w:highlight w:val="none"/>
          <w:u w:val="single"/>
        </w:rPr>
        <w:t xml:space="preserve">    </w:t>
      </w:r>
      <w:r>
        <w:rPr>
          <w:rFonts w:ascii="Times New Roman" w:hAnsi="Times New Roman" w:eastAsia="仿宋_GB2312"/>
          <w:bCs/>
          <w:color w:val="000000"/>
          <w:sz w:val="30"/>
          <w:szCs w:val="30"/>
          <w:highlight w:val="none"/>
        </w:rPr>
        <w:t>日签订。</w:t>
      </w:r>
    </w:p>
    <w:p>
      <w:pPr>
        <w:pStyle w:val="5"/>
        <w:spacing w:before="120" w:after="120" w:line="360" w:lineRule="auto"/>
        <w:rPr>
          <w:rFonts w:ascii="Times New Roman" w:hAnsi="Times New Roman" w:eastAsia="黑体"/>
          <w:bCs w:val="0"/>
          <w:color w:val="000000"/>
          <w:sz w:val="32"/>
          <w:szCs w:val="32"/>
          <w:highlight w:val="none"/>
        </w:rPr>
      </w:pPr>
      <w:r>
        <w:rPr>
          <w:rFonts w:ascii="Times New Roman" w:hAnsi="Times New Roman" w:eastAsia="黑体"/>
          <w:bCs w:val="0"/>
          <w:color w:val="000000"/>
          <w:sz w:val="32"/>
          <w:szCs w:val="32"/>
          <w:highlight w:val="none"/>
        </w:rPr>
        <w:t xml:space="preserve">    </w:t>
      </w:r>
      <w:bookmarkStart w:id="322" w:name="_Toc20767"/>
      <w:bookmarkStart w:id="323" w:name="_Toc14828"/>
      <w:r>
        <w:rPr>
          <w:rFonts w:ascii="Times New Roman" w:hAnsi="Times New Roman" w:eastAsia="黑体"/>
          <w:b w:val="0"/>
          <w:color w:val="000000"/>
          <w:sz w:val="32"/>
          <w:szCs w:val="32"/>
          <w:highlight w:val="none"/>
        </w:rPr>
        <w:t>十、签订地点</w:t>
      </w:r>
      <w:bookmarkEnd w:id="322"/>
      <w:bookmarkEnd w:id="323"/>
    </w:p>
    <w:p>
      <w:pPr>
        <w:spacing w:line="360" w:lineRule="auto"/>
        <w:ind w:firstLine="600" w:firstLineChars="200"/>
        <w:rPr>
          <w:rFonts w:ascii="Times New Roman" w:hAnsi="Times New Roman" w:eastAsia="仿宋_GB2312"/>
          <w:bCs/>
          <w:color w:val="000000"/>
          <w:sz w:val="30"/>
          <w:szCs w:val="30"/>
          <w:highlight w:val="none"/>
        </w:rPr>
      </w:pPr>
      <w:r>
        <w:rPr>
          <w:rFonts w:ascii="Times New Roman" w:hAnsi="Times New Roman" w:eastAsia="仿宋_GB2312"/>
          <w:bCs/>
          <w:color w:val="000000"/>
          <w:sz w:val="30"/>
          <w:szCs w:val="30"/>
          <w:highlight w:val="none"/>
        </w:rPr>
        <w:t>本合同在</w:t>
      </w:r>
      <w:r>
        <w:rPr>
          <w:rFonts w:ascii="Times New Roman" w:hAnsi="Times New Roman" w:eastAsia="仿宋_GB2312"/>
          <w:bCs/>
          <w:color w:val="000000"/>
          <w:sz w:val="30"/>
          <w:szCs w:val="30"/>
          <w:highlight w:val="none"/>
          <w:u w:val="single"/>
        </w:rPr>
        <w:t xml:space="preserve">                                    </w:t>
      </w:r>
      <w:r>
        <w:rPr>
          <w:rFonts w:ascii="Times New Roman" w:hAnsi="Times New Roman" w:eastAsia="仿宋_GB2312"/>
          <w:bCs/>
          <w:color w:val="000000"/>
          <w:sz w:val="30"/>
          <w:szCs w:val="30"/>
          <w:highlight w:val="none"/>
        </w:rPr>
        <w:t>签订。</w:t>
      </w:r>
    </w:p>
    <w:p>
      <w:pPr>
        <w:pStyle w:val="5"/>
        <w:spacing w:before="120" w:after="120" w:line="360" w:lineRule="auto"/>
        <w:rPr>
          <w:rFonts w:ascii="Times New Roman" w:hAnsi="Times New Roman" w:eastAsia="黑体"/>
          <w:bCs w:val="0"/>
          <w:color w:val="000000"/>
          <w:sz w:val="32"/>
          <w:szCs w:val="32"/>
          <w:highlight w:val="none"/>
        </w:rPr>
      </w:pPr>
      <w:r>
        <w:rPr>
          <w:rFonts w:ascii="Times New Roman" w:hAnsi="Times New Roman" w:eastAsia="黑体"/>
          <w:bCs w:val="0"/>
          <w:color w:val="000000"/>
          <w:sz w:val="32"/>
          <w:szCs w:val="32"/>
          <w:highlight w:val="none"/>
        </w:rPr>
        <w:t xml:space="preserve">    </w:t>
      </w:r>
      <w:bookmarkStart w:id="324" w:name="_Toc30941"/>
      <w:bookmarkStart w:id="325" w:name="_Toc12698"/>
      <w:r>
        <w:rPr>
          <w:rFonts w:ascii="Times New Roman" w:hAnsi="Times New Roman" w:eastAsia="黑体"/>
          <w:b w:val="0"/>
          <w:color w:val="000000"/>
          <w:sz w:val="32"/>
          <w:szCs w:val="32"/>
          <w:highlight w:val="none"/>
        </w:rPr>
        <w:t>十一、补充协议</w:t>
      </w:r>
      <w:bookmarkEnd w:id="324"/>
      <w:bookmarkEnd w:id="325"/>
    </w:p>
    <w:p>
      <w:pPr>
        <w:spacing w:line="360" w:lineRule="auto"/>
        <w:ind w:firstLine="600" w:firstLineChars="200"/>
        <w:rPr>
          <w:rFonts w:ascii="Times New Roman" w:hAnsi="Times New Roman" w:eastAsia="仿宋_GB2312"/>
          <w:b/>
          <w:bCs/>
          <w:color w:val="000000"/>
          <w:sz w:val="30"/>
          <w:szCs w:val="30"/>
          <w:highlight w:val="none"/>
        </w:rPr>
      </w:pPr>
      <w:r>
        <w:rPr>
          <w:rFonts w:ascii="Times New Roman" w:hAnsi="Times New Roman" w:eastAsia="仿宋_GB2312"/>
          <w:bCs/>
          <w:color w:val="000000"/>
          <w:sz w:val="30"/>
          <w:szCs w:val="30"/>
          <w:highlight w:val="none"/>
        </w:rPr>
        <w:t>合同未尽事宜，合同当事人另行签订补充协议</w:t>
      </w:r>
      <w:r>
        <w:rPr>
          <w:rFonts w:hint="eastAsia" w:ascii="Times New Roman" w:hAnsi="Times New Roman" w:eastAsia="仿宋_GB2312"/>
          <w:bCs/>
          <w:color w:val="000000"/>
          <w:sz w:val="30"/>
          <w:szCs w:val="30"/>
          <w:highlight w:val="none"/>
        </w:rPr>
        <w:t>，</w:t>
      </w:r>
      <w:r>
        <w:rPr>
          <w:rFonts w:ascii="Times New Roman" w:hAnsi="Times New Roman" w:eastAsia="仿宋_GB2312"/>
          <w:bCs/>
          <w:color w:val="000000"/>
          <w:sz w:val="30"/>
          <w:szCs w:val="30"/>
          <w:highlight w:val="none"/>
        </w:rPr>
        <w:t>补充协议是合同的组成部分。</w:t>
      </w:r>
    </w:p>
    <w:p>
      <w:pPr>
        <w:pStyle w:val="5"/>
        <w:spacing w:before="120" w:after="120" w:line="360" w:lineRule="auto"/>
        <w:rPr>
          <w:rFonts w:ascii="Times New Roman" w:hAnsi="Times New Roman" w:eastAsia="黑体"/>
          <w:bCs w:val="0"/>
          <w:color w:val="000000"/>
          <w:sz w:val="32"/>
          <w:szCs w:val="32"/>
          <w:highlight w:val="none"/>
        </w:rPr>
      </w:pPr>
      <w:r>
        <w:rPr>
          <w:rFonts w:ascii="Times New Roman" w:hAnsi="Times New Roman" w:eastAsia="黑体"/>
          <w:bCs w:val="0"/>
          <w:color w:val="000000"/>
          <w:sz w:val="32"/>
          <w:szCs w:val="32"/>
          <w:highlight w:val="none"/>
        </w:rPr>
        <w:t xml:space="preserve">    </w:t>
      </w:r>
      <w:bookmarkStart w:id="326" w:name="_Toc22177"/>
      <w:bookmarkStart w:id="327" w:name="_Toc29745"/>
      <w:r>
        <w:rPr>
          <w:rFonts w:ascii="Times New Roman" w:hAnsi="Times New Roman" w:eastAsia="黑体"/>
          <w:b w:val="0"/>
          <w:color w:val="000000"/>
          <w:sz w:val="32"/>
          <w:szCs w:val="32"/>
          <w:highlight w:val="none"/>
        </w:rPr>
        <w:t>十二、合同生效</w:t>
      </w:r>
      <w:bookmarkEnd w:id="326"/>
      <w:bookmarkEnd w:id="327"/>
    </w:p>
    <w:p>
      <w:pPr>
        <w:spacing w:line="360" w:lineRule="auto"/>
        <w:ind w:firstLine="600" w:firstLineChars="200"/>
        <w:rPr>
          <w:rFonts w:ascii="Times New Roman" w:hAnsi="Times New Roman" w:eastAsia="仿宋_GB2312"/>
          <w:bCs/>
          <w:color w:val="000000"/>
          <w:sz w:val="30"/>
          <w:szCs w:val="30"/>
          <w:highlight w:val="none"/>
        </w:rPr>
      </w:pPr>
      <w:r>
        <w:rPr>
          <w:rFonts w:ascii="Times New Roman" w:hAnsi="Times New Roman" w:eastAsia="仿宋_GB2312"/>
          <w:bCs/>
          <w:color w:val="000000"/>
          <w:sz w:val="30"/>
          <w:szCs w:val="30"/>
          <w:highlight w:val="none"/>
        </w:rPr>
        <w:t>本合同自</w:t>
      </w:r>
      <w:r>
        <w:rPr>
          <w:rFonts w:ascii="Times New Roman" w:hAnsi="Times New Roman" w:eastAsia="仿宋_GB2312"/>
          <w:bCs/>
          <w:color w:val="000000"/>
          <w:sz w:val="30"/>
          <w:szCs w:val="30"/>
          <w:highlight w:val="none"/>
          <w:u w:val="single"/>
        </w:rPr>
        <w:t xml:space="preserve">                                   </w:t>
      </w:r>
      <w:r>
        <w:rPr>
          <w:rFonts w:ascii="Times New Roman" w:hAnsi="Times New Roman" w:eastAsia="仿宋_GB2312"/>
          <w:bCs/>
          <w:color w:val="000000"/>
          <w:sz w:val="30"/>
          <w:szCs w:val="30"/>
          <w:highlight w:val="none"/>
        </w:rPr>
        <w:t>生效。</w:t>
      </w:r>
    </w:p>
    <w:p>
      <w:pPr>
        <w:pStyle w:val="5"/>
        <w:spacing w:before="120" w:after="120" w:line="360" w:lineRule="auto"/>
        <w:rPr>
          <w:rFonts w:ascii="Times New Roman" w:hAnsi="Times New Roman" w:eastAsia="黑体"/>
          <w:bCs w:val="0"/>
          <w:color w:val="000000"/>
          <w:sz w:val="32"/>
          <w:szCs w:val="32"/>
          <w:highlight w:val="none"/>
        </w:rPr>
      </w:pPr>
      <w:r>
        <w:rPr>
          <w:rFonts w:ascii="Times New Roman" w:hAnsi="Times New Roman" w:eastAsia="黑体"/>
          <w:bCs w:val="0"/>
          <w:color w:val="000000"/>
          <w:sz w:val="32"/>
          <w:szCs w:val="32"/>
          <w:highlight w:val="none"/>
        </w:rPr>
        <w:t xml:space="preserve">    </w:t>
      </w:r>
      <w:bookmarkStart w:id="328" w:name="_Toc17154"/>
      <w:bookmarkStart w:id="329" w:name="_Toc901"/>
      <w:r>
        <w:rPr>
          <w:rFonts w:ascii="Times New Roman" w:hAnsi="Times New Roman" w:eastAsia="黑体"/>
          <w:b w:val="0"/>
          <w:color w:val="000000"/>
          <w:sz w:val="32"/>
          <w:szCs w:val="32"/>
          <w:highlight w:val="none"/>
        </w:rPr>
        <w:t>十三、合同份数</w:t>
      </w:r>
      <w:bookmarkEnd w:id="328"/>
      <w:bookmarkEnd w:id="329"/>
    </w:p>
    <w:p>
      <w:pPr>
        <w:spacing w:line="360" w:lineRule="auto"/>
        <w:ind w:firstLine="600" w:firstLineChars="200"/>
        <w:rPr>
          <w:rFonts w:ascii="Times New Roman" w:hAnsi="Times New Roman" w:eastAsia="仿宋_GB2312"/>
          <w:bCs/>
          <w:color w:val="000000"/>
          <w:sz w:val="30"/>
          <w:szCs w:val="30"/>
          <w:highlight w:val="none"/>
        </w:rPr>
      </w:pPr>
      <w:r>
        <w:rPr>
          <w:rFonts w:ascii="Times New Roman" w:hAnsi="Times New Roman" w:eastAsia="仿宋_GB2312"/>
          <w:bCs/>
          <w:color w:val="000000"/>
          <w:sz w:val="30"/>
          <w:szCs w:val="30"/>
          <w:highlight w:val="none"/>
        </w:rPr>
        <w:t>本合同一式</w:t>
      </w:r>
      <w:r>
        <w:rPr>
          <w:rFonts w:ascii="Times New Roman" w:hAnsi="Times New Roman" w:eastAsia="仿宋_GB2312"/>
          <w:bCs/>
          <w:color w:val="000000"/>
          <w:sz w:val="30"/>
          <w:szCs w:val="30"/>
          <w:highlight w:val="none"/>
          <w:u w:val="single"/>
        </w:rPr>
        <w:t xml:space="preserve">  </w:t>
      </w:r>
      <w:r>
        <w:rPr>
          <w:rFonts w:hint="eastAsia" w:ascii="Times New Roman" w:hAnsi="Times New Roman" w:eastAsia="仿宋_GB2312"/>
          <w:bCs/>
          <w:color w:val="000000"/>
          <w:sz w:val="30"/>
          <w:szCs w:val="30"/>
          <w:highlight w:val="none"/>
          <w:u w:val="single"/>
        </w:rPr>
        <w:t xml:space="preserve"> </w:t>
      </w:r>
      <w:r>
        <w:rPr>
          <w:rFonts w:ascii="Times New Roman" w:hAnsi="Times New Roman" w:eastAsia="仿宋_GB2312"/>
          <w:bCs/>
          <w:color w:val="000000"/>
          <w:sz w:val="30"/>
          <w:szCs w:val="30"/>
          <w:highlight w:val="none"/>
          <w:u w:val="single"/>
        </w:rPr>
        <w:t xml:space="preserve"> </w:t>
      </w:r>
      <w:r>
        <w:rPr>
          <w:rFonts w:ascii="Times New Roman" w:hAnsi="Times New Roman" w:eastAsia="仿宋_GB2312"/>
          <w:bCs/>
          <w:color w:val="000000"/>
          <w:sz w:val="30"/>
          <w:szCs w:val="30"/>
          <w:highlight w:val="none"/>
        </w:rPr>
        <w:t>份，均具有同等法律效力，发包人执</w:t>
      </w:r>
      <w:r>
        <w:rPr>
          <w:rFonts w:ascii="Times New Roman" w:hAnsi="Times New Roman" w:eastAsia="仿宋_GB2312"/>
          <w:bCs/>
          <w:color w:val="000000"/>
          <w:sz w:val="30"/>
          <w:szCs w:val="30"/>
          <w:highlight w:val="none"/>
          <w:u w:val="single"/>
        </w:rPr>
        <w:t xml:space="preserve">  </w:t>
      </w:r>
      <w:r>
        <w:rPr>
          <w:rFonts w:hint="eastAsia" w:ascii="Times New Roman" w:hAnsi="Times New Roman" w:eastAsia="仿宋_GB2312"/>
          <w:bCs/>
          <w:color w:val="000000"/>
          <w:sz w:val="30"/>
          <w:szCs w:val="30"/>
          <w:highlight w:val="none"/>
          <w:u w:val="single"/>
        </w:rPr>
        <w:t xml:space="preserve"> </w:t>
      </w:r>
      <w:r>
        <w:rPr>
          <w:rFonts w:ascii="Times New Roman" w:hAnsi="Times New Roman" w:eastAsia="仿宋_GB2312"/>
          <w:bCs/>
          <w:color w:val="000000"/>
          <w:sz w:val="30"/>
          <w:szCs w:val="30"/>
          <w:highlight w:val="none"/>
          <w:u w:val="single"/>
        </w:rPr>
        <w:t xml:space="preserve"> </w:t>
      </w:r>
      <w:r>
        <w:rPr>
          <w:rFonts w:ascii="Times New Roman" w:hAnsi="Times New Roman" w:eastAsia="仿宋_GB2312"/>
          <w:bCs/>
          <w:color w:val="000000"/>
          <w:sz w:val="30"/>
          <w:szCs w:val="30"/>
          <w:highlight w:val="none"/>
        </w:rPr>
        <w:t>份，承包人执</w:t>
      </w:r>
      <w:r>
        <w:rPr>
          <w:rFonts w:ascii="Times New Roman" w:hAnsi="Times New Roman" w:eastAsia="仿宋_GB2312"/>
          <w:bCs/>
          <w:color w:val="000000"/>
          <w:sz w:val="30"/>
          <w:szCs w:val="30"/>
          <w:highlight w:val="none"/>
          <w:u w:val="single"/>
        </w:rPr>
        <w:t xml:space="preserve">  </w:t>
      </w:r>
      <w:r>
        <w:rPr>
          <w:rFonts w:hint="eastAsia" w:ascii="Times New Roman" w:hAnsi="Times New Roman" w:eastAsia="仿宋_GB2312"/>
          <w:bCs/>
          <w:color w:val="000000"/>
          <w:sz w:val="30"/>
          <w:szCs w:val="30"/>
          <w:highlight w:val="none"/>
          <w:u w:val="single"/>
        </w:rPr>
        <w:t xml:space="preserve"> </w:t>
      </w:r>
      <w:r>
        <w:rPr>
          <w:rFonts w:ascii="Times New Roman" w:hAnsi="Times New Roman" w:eastAsia="仿宋_GB2312"/>
          <w:bCs/>
          <w:color w:val="000000"/>
          <w:sz w:val="30"/>
          <w:szCs w:val="30"/>
          <w:highlight w:val="none"/>
          <w:u w:val="single"/>
        </w:rPr>
        <w:t xml:space="preserve"> </w:t>
      </w:r>
      <w:r>
        <w:rPr>
          <w:rFonts w:ascii="Times New Roman" w:hAnsi="Times New Roman" w:eastAsia="仿宋_GB2312"/>
          <w:bCs/>
          <w:color w:val="000000"/>
          <w:sz w:val="30"/>
          <w:szCs w:val="30"/>
          <w:highlight w:val="none"/>
        </w:rPr>
        <w:t>份</w:t>
      </w:r>
      <w:r>
        <w:rPr>
          <w:rFonts w:hint="eastAsia" w:ascii="Times New Roman" w:hAnsi="Times New Roman" w:eastAsia="仿宋_GB2312"/>
          <w:bCs/>
          <w:color w:val="000000"/>
          <w:sz w:val="30"/>
          <w:szCs w:val="30"/>
          <w:highlight w:val="none"/>
          <w:lang w:eastAsia="zh-CN"/>
        </w:rPr>
        <w:t>，代理机构壹份</w:t>
      </w:r>
      <w:r>
        <w:rPr>
          <w:rFonts w:ascii="Times New Roman" w:hAnsi="Times New Roman" w:eastAsia="仿宋_GB2312"/>
          <w:bCs/>
          <w:color w:val="000000"/>
          <w:sz w:val="30"/>
          <w:szCs w:val="30"/>
          <w:highlight w:val="none"/>
        </w:rPr>
        <w:t>。</w:t>
      </w:r>
    </w:p>
    <w:p>
      <w:pPr>
        <w:spacing w:line="360" w:lineRule="auto"/>
        <w:rPr>
          <w:rFonts w:hint="eastAsia" w:ascii="Times New Roman" w:hAnsi="Times New Roman" w:eastAsia="仿宋_GB2312"/>
          <w:bCs/>
          <w:color w:val="000000"/>
          <w:sz w:val="30"/>
          <w:szCs w:val="30"/>
          <w:highlight w:val="none"/>
        </w:rPr>
      </w:pPr>
    </w:p>
    <w:p>
      <w:pPr>
        <w:spacing w:line="360" w:lineRule="auto"/>
        <w:rPr>
          <w:rFonts w:hint="eastAsia" w:ascii="Times New Roman" w:hAnsi="Times New Roman" w:eastAsia="仿宋_GB2312"/>
          <w:bCs/>
          <w:color w:val="000000"/>
          <w:sz w:val="30"/>
          <w:szCs w:val="30"/>
          <w:highlight w:val="none"/>
        </w:rPr>
      </w:pPr>
    </w:p>
    <w:p>
      <w:pPr>
        <w:spacing w:line="360" w:lineRule="auto"/>
        <w:rPr>
          <w:rFonts w:hint="eastAsia" w:ascii="Times New Roman" w:hAnsi="Times New Roman" w:eastAsia="仿宋_GB2312"/>
          <w:bCs/>
          <w:color w:val="000000"/>
          <w:sz w:val="30"/>
          <w:szCs w:val="30"/>
          <w:highlight w:val="none"/>
        </w:rPr>
      </w:pPr>
    </w:p>
    <w:p>
      <w:pPr>
        <w:spacing w:line="360" w:lineRule="auto"/>
        <w:rPr>
          <w:rFonts w:hint="eastAsia" w:ascii="Times New Roman" w:hAnsi="Times New Roman" w:eastAsia="仿宋_GB2312"/>
          <w:bCs/>
          <w:color w:val="000000"/>
          <w:sz w:val="30"/>
          <w:szCs w:val="30"/>
          <w:highlight w:val="none"/>
        </w:rPr>
      </w:pPr>
    </w:p>
    <w:p>
      <w:pPr>
        <w:spacing w:line="360" w:lineRule="auto"/>
        <w:rPr>
          <w:rFonts w:hint="eastAsia" w:ascii="Times New Roman" w:hAnsi="Times New Roman" w:eastAsia="仿宋_GB2312"/>
          <w:bCs/>
          <w:color w:val="000000"/>
          <w:sz w:val="30"/>
          <w:szCs w:val="30"/>
          <w:highlight w:val="none"/>
        </w:rPr>
      </w:pPr>
    </w:p>
    <w:p>
      <w:pPr>
        <w:spacing w:line="360" w:lineRule="auto"/>
        <w:rPr>
          <w:rFonts w:hint="eastAsia" w:ascii="Times New Roman" w:hAnsi="Times New Roman" w:eastAsia="仿宋_GB2312"/>
          <w:bCs/>
          <w:color w:val="000000"/>
          <w:sz w:val="30"/>
          <w:szCs w:val="30"/>
          <w:highlight w:val="none"/>
        </w:rPr>
      </w:pPr>
    </w:p>
    <w:p>
      <w:pPr>
        <w:spacing w:line="360" w:lineRule="auto"/>
        <w:rPr>
          <w:rFonts w:hint="eastAsia" w:ascii="Times New Roman" w:hAnsi="Times New Roman" w:eastAsia="仿宋_GB2312"/>
          <w:bCs/>
          <w:color w:val="000000"/>
          <w:sz w:val="30"/>
          <w:szCs w:val="30"/>
          <w:highlight w:val="none"/>
        </w:rPr>
      </w:pPr>
    </w:p>
    <w:p>
      <w:pPr>
        <w:spacing w:line="360" w:lineRule="auto"/>
        <w:rPr>
          <w:rFonts w:hint="eastAsia" w:ascii="Times New Roman" w:hAnsi="Times New Roman" w:eastAsia="仿宋_GB2312"/>
          <w:color w:val="000000"/>
          <w:sz w:val="30"/>
          <w:szCs w:val="30"/>
          <w:highlight w:val="none"/>
        </w:rPr>
      </w:pPr>
    </w:p>
    <w:p>
      <w:pPr>
        <w:spacing w:line="360" w:lineRule="auto"/>
        <w:rPr>
          <w:rFonts w:hint="eastAsia"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发包人</w:t>
      </w:r>
      <w:r>
        <w:rPr>
          <w:rFonts w:hint="eastAsia" w:ascii="Times New Roman" w:hAnsi="Times New Roman" w:eastAsia="仿宋_GB2312"/>
          <w:color w:val="000000"/>
          <w:sz w:val="30"/>
          <w:szCs w:val="30"/>
          <w:highlight w:val="none"/>
        </w:rPr>
        <w:t xml:space="preserve">：  </w:t>
      </w:r>
      <w:r>
        <w:rPr>
          <w:rFonts w:ascii="Times New Roman" w:hAnsi="Times New Roman" w:eastAsia="仿宋_GB2312"/>
          <w:color w:val="000000"/>
          <w:sz w:val="30"/>
          <w:szCs w:val="30"/>
          <w:highlight w:val="none"/>
        </w:rPr>
        <w:t>(公章)</w:t>
      </w:r>
      <w:r>
        <w:rPr>
          <w:rFonts w:hint="eastAsia" w:ascii="Times New Roman" w:hAnsi="Times New Roman" w:eastAsia="仿宋_GB2312"/>
          <w:color w:val="000000"/>
          <w:sz w:val="30"/>
          <w:szCs w:val="30"/>
          <w:highlight w:val="none"/>
        </w:rPr>
        <w:t xml:space="preserve">             </w:t>
      </w:r>
      <w:r>
        <w:rPr>
          <w:rFonts w:ascii="Times New Roman" w:hAnsi="Times New Roman" w:eastAsia="仿宋_GB2312"/>
          <w:color w:val="000000"/>
          <w:sz w:val="30"/>
          <w:szCs w:val="30"/>
          <w:highlight w:val="none"/>
        </w:rPr>
        <w:t>承包人</w:t>
      </w:r>
      <w:r>
        <w:rPr>
          <w:rFonts w:hint="eastAsia" w:ascii="Times New Roman" w:hAnsi="Times New Roman" w:eastAsia="仿宋_GB2312"/>
          <w:color w:val="000000"/>
          <w:sz w:val="30"/>
          <w:szCs w:val="30"/>
          <w:highlight w:val="none"/>
        </w:rPr>
        <w:t xml:space="preserve">：  </w:t>
      </w:r>
      <w:r>
        <w:rPr>
          <w:rFonts w:ascii="Times New Roman" w:hAnsi="Times New Roman" w:eastAsia="仿宋_GB2312"/>
          <w:color w:val="000000"/>
          <w:sz w:val="30"/>
          <w:szCs w:val="30"/>
          <w:highlight w:val="none"/>
        </w:rPr>
        <w:t>(公章)</w:t>
      </w:r>
    </w:p>
    <w:p>
      <w:pPr>
        <w:spacing w:line="360" w:lineRule="auto"/>
        <w:rPr>
          <w:rFonts w:hint="eastAsia" w:ascii="Times New Roman" w:hAnsi="Times New Roman" w:eastAsia="仿宋_GB2312"/>
          <w:color w:val="000000"/>
          <w:sz w:val="30"/>
          <w:szCs w:val="30"/>
          <w:highlight w:val="none"/>
          <w:u w:val="single"/>
        </w:rPr>
      </w:pPr>
      <w:r>
        <w:rPr>
          <w:rFonts w:hint="eastAsia" w:ascii="Times New Roman" w:hAnsi="Times New Roman" w:eastAsia="仿宋_GB2312"/>
          <w:color w:val="000000"/>
          <w:sz w:val="30"/>
          <w:szCs w:val="30"/>
          <w:highlight w:val="none"/>
        </w:rPr>
        <w:t xml:space="preserve">                                 </w:t>
      </w:r>
    </w:p>
    <w:p>
      <w:pPr>
        <w:spacing w:line="360" w:lineRule="auto"/>
        <w:rPr>
          <w:rFonts w:hint="eastAsia"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法定代表人或其委托代理人：  法定代表人或其委托代理人：</w:t>
      </w:r>
    </w:p>
    <w:p>
      <w:pPr>
        <w:spacing w:line="360" w:lineRule="auto"/>
        <w:rPr>
          <w:rFonts w:hint="eastAsia"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（签字）                    （签字）</w:t>
      </w:r>
    </w:p>
    <w:p>
      <w:pPr>
        <w:spacing w:line="360" w:lineRule="auto"/>
        <w:rPr>
          <w:rFonts w:hint="eastAsia" w:ascii="Times New Roman" w:hAnsi="Times New Roman" w:eastAsia="仿宋_GB2312"/>
          <w:color w:val="000000"/>
          <w:sz w:val="30"/>
          <w:szCs w:val="30"/>
          <w:highlight w:val="none"/>
          <w:u w:val="single"/>
        </w:rPr>
      </w:pPr>
    </w:p>
    <w:p>
      <w:pPr>
        <w:tabs>
          <w:tab w:val="left" w:pos="4410"/>
        </w:tabs>
        <w:spacing w:line="360" w:lineRule="auto"/>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组织机构代码：</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 xml:space="preserve"> </w:t>
      </w:r>
      <w:r>
        <w:rPr>
          <w:rFonts w:hint="eastAsia" w:ascii="Times New Roman" w:hAnsi="Times New Roman" w:eastAsia="仿宋_GB2312"/>
          <w:color w:val="000000"/>
          <w:sz w:val="30"/>
          <w:szCs w:val="30"/>
          <w:highlight w:val="none"/>
        </w:rPr>
        <w:t xml:space="preserve"> 组织机构代码：</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 xml:space="preserve"> </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地  址：</w:t>
      </w:r>
      <w:r>
        <w:rPr>
          <w:rFonts w:ascii="Times New Roman" w:hAnsi="Times New Roman" w:eastAsia="仿宋_GB2312"/>
          <w:color w:val="000000"/>
          <w:sz w:val="30"/>
          <w:szCs w:val="30"/>
          <w:highlight w:val="none"/>
          <w:u w:val="single"/>
        </w:rPr>
        <w:t xml:space="preserve">     </w:t>
      </w:r>
      <w:r>
        <w:rPr>
          <w:rFonts w:hint="eastAsia" w:ascii="Times New Roman" w:hAnsi="Times New Roman" w:eastAsia="仿宋_GB2312"/>
          <w:color w:val="000000"/>
          <w:sz w:val="30"/>
          <w:szCs w:val="30"/>
          <w:highlight w:val="none"/>
        </w:rPr>
        <w:t xml:space="preserve">  </w:t>
      </w:r>
      <w:r>
        <w:rPr>
          <w:rFonts w:ascii="Times New Roman" w:hAnsi="Times New Roman" w:eastAsia="仿宋_GB2312"/>
          <w:color w:val="000000"/>
          <w:sz w:val="30"/>
          <w:szCs w:val="30"/>
          <w:highlight w:val="none"/>
        </w:rPr>
        <w:t>地  址：</w:t>
      </w:r>
      <w:r>
        <w:rPr>
          <w:rFonts w:ascii="Times New Roman" w:hAnsi="Times New Roman" w:eastAsia="仿宋_GB2312"/>
          <w:color w:val="000000"/>
          <w:sz w:val="30"/>
          <w:szCs w:val="30"/>
          <w:highlight w:val="none"/>
          <w:u w:val="single"/>
        </w:rPr>
        <w:t></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邮政编码：</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 xml:space="preserve"> </w:t>
      </w:r>
      <w:r>
        <w:rPr>
          <w:rFonts w:hint="eastAsia" w:ascii="Times New Roman" w:hAnsi="Times New Roman" w:eastAsia="仿宋_GB2312"/>
          <w:color w:val="000000"/>
          <w:sz w:val="30"/>
          <w:szCs w:val="30"/>
          <w:highlight w:val="none"/>
        </w:rPr>
        <w:t xml:space="preserve"> </w:t>
      </w:r>
      <w:r>
        <w:rPr>
          <w:rFonts w:ascii="Times New Roman" w:hAnsi="Times New Roman" w:eastAsia="仿宋_GB2312"/>
          <w:color w:val="000000"/>
          <w:sz w:val="30"/>
          <w:szCs w:val="30"/>
          <w:highlight w:val="none"/>
        </w:rPr>
        <w:t>邮政编码：</w:t>
      </w:r>
      <w:r>
        <w:rPr>
          <w:rFonts w:ascii="Times New Roman" w:hAnsi="Times New Roman" w:eastAsia="仿宋_GB2312"/>
          <w:color w:val="000000"/>
          <w:sz w:val="30"/>
          <w:szCs w:val="30"/>
          <w:highlight w:val="none"/>
          <w:u w:val="single"/>
        </w:rPr>
        <w:t xml:space="preserve">   </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法定代表人：</w:t>
      </w:r>
      <w:r>
        <w:rPr>
          <w:rFonts w:ascii="Times New Roman" w:hAnsi="Times New Roman" w:eastAsia="仿宋_GB2312"/>
          <w:color w:val="000000"/>
          <w:sz w:val="30"/>
          <w:szCs w:val="30"/>
          <w:highlight w:val="none"/>
          <w:u w:val="single"/>
        </w:rPr>
        <w:t></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 xml:space="preserve"> </w:t>
      </w:r>
      <w:r>
        <w:rPr>
          <w:rFonts w:hint="eastAsia" w:ascii="Times New Roman" w:hAnsi="Times New Roman" w:eastAsia="仿宋_GB2312"/>
          <w:color w:val="000000"/>
          <w:sz w:val="30"/>
          <w:szCs w:val="30"/>
          <w:highlight w:val="none"/>
        </w:rPr>
        <w:t xml:space="preserve"> </w:t>
      </w:r>
      <w:r>
        <w:rPr>
          <w:rFonts w:ascii="Times New Roman" w:hAnsi="Times New Roman" w:eastAsia="仿宋_GB2312"/>
          <w:color w:val="000000"/>
          <w:sz w:val="30"/>
          <w:szCs w:val="30"/>
          <w:highlight w:val="none"/>
        </w:rPr>
        <w:t>法定代表人：</w:t>
      </w:r>
      <w:r>
        <w:rPr>
          <w:rFonts w:ascii="Times New Roman" w:hAnsi="Times New Roman" w:eastAsia="仿宋_GB2312"/>
          <w:color w:val="000000"/>
          <w:sz w:val="30"/>
          <w:szCs w:val="30"/>
          <w:highlight w:val="none"/>
          <w:u w:val="single"/>
        </w:rPr>
        <w:t></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委托代理人：</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 xml:space="preserve"> </w:t>
      </w:r>
      <w:r>
        <w:rPr>
          <w:rFonts w:hint="eastAsia" w:ascii="Times New Roman" w:hAnsi="Times New Roman" w:eastAsia="仿宋_GB2312"/>
          <w:color w:val="000000"/>
          <w:sz w:val="30"/>
          <w:szCs w:val="30"/>
          <w:highlight w:val="none"/>
        </w:rPr>
        <w:t xml:space="preserve"> </w:t>
      </w:r>
      <w:r>
        <w:rPr>
          <w:rFonts w:ascii="Times New Roman" w:hAnsi="Times New Roman" w:eastAsia="仿宋_GB2312"/>
          <w:color w:val="000000"/>
          <w:sz w:val="30"/>
          <w:szCs w:val="30"/>
          <w:highlight w:val="none"/>
        </w:rPr>
        <w:t>委托代理人：</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电  话：</w:t>
      </w:r>
      <w:r>
        <w:rPr>
          <w:rFonts w:ascii="Times New Roman" w:hAnsi="Times New Roman" w:eastAsia="仿宋_GB2312"/>
          <w:color w:val="000000"/>
          <w:sz w:val="30"/>
          <w:szCs w:val="30"/>
          <w:highlight w:val="none"/>
          <w:u w:val="single"/>
        </w:rPr>
        <w:t></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 xml:space="preserve"> </w:t>
      </w:r>
      <w:r>
        <w:rPr>
          <w:rFonts w:hint="eastAsia" w:ascii="Times New Roman" w:hAnsi="Times New Roman" w:eastAsia="仿宋_GB2312"/>
          <w:color w:val="000000"/>
          <w:sz w:val="30"/>
          <w:szCs w:val="30"/>
          <w:highlight w:val="none"/>
        </w:rPr>
        <w:t xml:space="preserve"> </w:t>
      </w:r>
      <w:r>
        <w:rPr>
          <w:rFonts w:ascii="Times New Roman" w:hAnsi="Times New Roman" w:eastAsia="仿宋_GB2312"/>
          <w:color w:val="000000"/>
          <w:sz w:val="30"/>
          <w:szCs w:val="30"/>
          <w:highlight w:val="none"/>
        </w:rPr>
        <w:t>电  话：</w:t>
      </w:r>
      <w:r>
        <w:rPr>
          <w:rFonts w:ascii="Times New Roman" w:hAnsi="Times New Roman" w:eastAsia="仿宋_GB2312"/>
          <w:color w:val="000000"/>
          <w:sz w:val="30"/>
          <w:szCs w:val="30"/>
          <w:highlight w:val="none"/>
          <w:u w:val="single"/>
        </w:rPr>
        <w:t></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传  真：</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 xml:space="preserve"> </w:t>
      </w:r>
      <w:r>
        <w:rPr>
          <w:rFonts w:hint="eastAsia" w:ascii="Times New Roman" w:hAnsi="Times New Roman" w:eastAsia="仿宋_GB2312"/>
          <w:color w:val="000000"/>
          <w:sz w:val="30"/>
          <w:szCs w:val="30"/>
          <w:highlight w:val="none"/>
        </w:rPr>
        <w:t xml:space="preserve"> </w:t>
      </w:r>
      <w:r>
        <w:rPr>
          <w:rFonts w:ascii="Times New Roman" w:hAnsi="Times New Roman" w:eastAsia="仿宋_GB2312"/>
          <w:color w:val="000000"/>
          <w:sz w:val="30"/>
          <w:szCs w:val="30"/>
          <w:highlight w:val="none"/>
        </w:rPr>
        <w:t>传  真：</w:t>
      </w:r>
      <w:r>
        <w:rPr>
          <w:rFonts w:ascii="Times New Roman" w:hAnsi="Times New Roman" w:eastAsia="仿宋_GB2312"/>
          <w:color w:val="000000"/>
          <w:sz w:val="30"/>
          <w:szCs w:val="30"/>
          <w:highlight w:val="none"/>
          <w:u w:val="single"/>
        </w:rPr>
        <w:t></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电子信箱：</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 xml:space="preserve"> </w:t>
      </w:r>
      <w:r>
        <w:rPr>
          <w:rFonts w:hint="eastAsia" w:ascii="Times New Roman" w:hAnsi="Times New Roman" w:eastAsia="仿宋_GB2312"/>
          <w:color w:val="000000"/>
          <w:sz w:val="30"/>
          <w:szCs w:val="30"/>
          <w:highlight w:val="none"/>
        </w:rPr>
        <w:t xml:space="preserve"> </w:t>
      </w:r>
      <w:r>
        <w:rPr>
          <w:rFonts w:ascii="Times New Roman" w:hAnsi="Times New Roman" w:eastAsia="仿宋_GB2312"/>
          <w:color w:val="000000"/>
          <w:sz w:val="30"/>
          <w:szCs w:val="30"/>
          <w:highlight w:val="none"/>
        </w:rPr>
        <w:t>电子信箱：</w:t>
      </w:r>
      <w:r>
        <w:rPr>
          <w:rFonts w:ascii="Times New Roman" w:hAnsi="Times New Roman" w:eastAsia="仿宋_GB2312"/>
          <w:color w:val="000000"/>
          <w:sz w:val="30"/>
          <w:szCs w:val="30"/>
          <w:highlight w:val="none"/>
          <w:u w:val="single"/>
        </w:rPr>
        <w:t xml:space="preserve">   </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开户银行：</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 xml:space="preserve"> </w:t>
      </w:r>
      <w:r>
        <w:rPr>
          <w:rFonts w:hint="eastAsia" w:ascii="Times New Roman" w:hAnsi="Times New Roman" w:eastAsia="仿宋_GB2312"/>
          <w:color w:val="000000"/>
          <w:sz w:val="30"/>
          <w:szCs w:val="30"/>
          <w:highlight w:val="none"/>
        </w:rPr>
        <w:t xml:space="preserve"> </w:t>
      </w:r>
      <w:r>
        <w:rPr>
          <w:rFonts w:ascii="Times New Roman" w:hAnsi="Times New Roman" w:eastAsia="仿宋_GB2312"/>
          <w:color w:val="000000"/>
          <w:sz w:val="30"/>
          <w:szCs w:val="30"/>
          <w:highlight w:val="none"/>
        </w:rPr>
        <w:t>开户银行：</w:t>
      </w:r>
      <w:r>
        <w:rPr>
          <w:rFonts w:ascii="Times New Roman" w:hAnsi="Times New Roman" w:eastAsia="仿宋_GB2312"/>
          <w:color w:val="000000"/>
          <w:sz w:val="30"/>
          <w:szCs w:val="30"/>
          <w:highlight w:val="none"/>
          <w:u w:val="single"/>
        </w:rPr>
        <w:t xml:space="preserve">   </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账  号：</w:t>
      </w:r>
      <w:r>
        <w:rPr>
          <w:rFonts w:ascii="Times New Roman" w:hAnsi="Times New Roman" w:eastAsia="仿宋_GB2312"/>
          <w:color w:val="000000"/>
          <w:sz w:val="30"/>
          <w:szCs w:val="30"/>
          <w:highlight w:val="none"/>
          <w:u w:val="single"/>
        </w:rPr>
        <w:t xml:space="preserve">       </w:t>
      </w:r>
      <w:r>
        <w:rPr>
          <w:rFonts w:hint="eastAsia" w:ascii="Times New Roman" w:hAnsi="Times New Roman" w:eastAsia="仿宋_GB2312"/>
          <w:color w:val="000000"/>
          <w:sz w:val="30"/>
          <w:szCs w:val="30"/>
          <w:highlight w:val="none"/>
        </w:rPr>
        <w:t xml:space="preserve">   </w:t>
      </w:r>
      <w:r>
        <w:rPr>
          <w:rFonts w:ascii="Times New Roman" w:hAnsi="Times New Roman" w:eastAsia="仿宋_GB2312"/>
          <w:color w:val="000000"/>
          <w:sz w:val="30"/>
          <w:szCs w:val="30"/>
          <w:highlight w:val="none"/>
        </w:rPr>
        <w:t>账</w:t>
      </w:r>
      <w:r>
        <w:rPr>
          <w:rFonts w:hint="eastAsia" w:ascii="Times New Roman" w:hAnsi="Times New Roman" w:eastAsia="仿宋_GB2312"/>
          <w:color w:val="000000"/>
          <w:sz w:val="30"/>
          <w:szCs w:val="30"/>
          <w:highlight w:val="none"/>
        </w:rPr>
        <w:t xml:space="preserve"> </w:t>
      </w:r>
      <w:r>
        <w:rPr>
          <w:rFonts w:ascii="Times New Roman" w:hAnsi="Times New Roman" w:eastAsia="仿宋_GB2312"/>
          <w:color w:val="000000"/>
          <w:sz w:val="30"/>
          <w:szCs w:val="30"/>
          <w:highlight w:val="none"/>
        </w:rPr>
        <w:t xml:space="preserve"> 号：</w:t>
      </w:r>
      <w:r>
        <w:rPr>
          <w:rFonts w:ascii="Times New Roman" w:hAnsi="Times New Roman" w:eastAsia="仿宋_GB2312"/>
          <w:color w:val="000000"/>
          <w:sz w:val="30"/>
          <w:szCs w:val="30"/>
          <w:highlight w:val="none"/>
          <w:u w:val="single"/>
        </w:rPr>
        <w:t></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p>
    <w:p>
      <w:pPr>
        <w:pStyle w:val="4"/>
        <w:jc w:val="both"/>
        <w:rPr>
          <w:rFonts w:hint="eastAsia" w:ascii="Times New Roman" w:hAnsi="Times New Roman" w:eastAsia="仿宋_GB2312"/>
          <w:b w:val="0"/>
          <w:bCs w:val="0"/>
          <w:color w:val="000000"/>
          <w:sz w:val="30"/>
          <w:szCs w:val="30"/>
          <w:highlight w:val="none"/>
        </w:rPr>
      </w:pPr>
      <w:bookmarkStart w:id="330" w:name="_Toc11805"/>
      <w:bookmarkStart w:id="331" w:name="_Toc17"/>
      <w:bookmarkStart w:id="332" w:name="_Toc2772"/>
      <w:bookmarkStart w:id="333" w:name="_Toc10334"/>
      <w:r>
        <w:rPr>
          <w:rFonts w:hint="eastAsia" w:eastAsia="仿宋_GB2312"/>
          <w:b w:val="0"/>
          <w:bCs w:val="0"/>
          <w:color w:val="000000"/>
          <w:sz w:val="30"/>
          <w:szCs w:val="30"/>
          <w:highlight w:val="none"/>
          <w:lang w:eastAsia="zh-CN"/>
        </w:rPr>
        <w:t>见证方</w:t>
      </w:r>
      <w:r>
        <w:rPr>
          <w:rFonts w:hint="eastAsia" w:ascii="Times New Roman" w:hAnsi="Times New Roman" w:eastAsia="仿宋_GB2312"/>
          <w:b w:val="0"/>
          <w:bCs w:val="0"/>
          <w:color w:val="000000"/>
          <w:sz w:val="30"/>
          <w:szCs w:val="30"/>
          <w:highlight w:val="none"/>
        </w:rPr>
        <w:t xml:space="preserve">：  </w:t>
      </w:r>
      <w:r>
        <w:rPr>
          <w:rFonts w:ascii="Times New Roman" w:hAnsi="Times New Roman" w:eastAsia="仿宋_GB2312"/>
          <w:b w:val="0"/>
          <w:bCs w:val="0"/>
          <w:color w:val="000000"/>
          <w:sz w:val="30"/>
          <w:szCs w:val="30"/>
          <w:highlight w:val="none"/>
        </w:rPr>
        <w:t>(公章)</w:t>
      </w:r>
      <w:bookmarkEnd w:id="330"/>
      <w:bookmarkEnd w:id="331"/>
      <w:bookmarkEnd w:id="332"/>
      <w:bookmarkEnd w:id="333"/>
      <w:r>
        <w:rPr>
          <w:rFonts w:hint="eastAsia" w:ascii="Times New Roman" w:hAnsi="Times New Roman" w:eastAsia="仿宋_GB2312"/>
          <w:b w:val="0"/>
          <w:bCs w:val="0"/>
          <w:color w:val="000000"/>
          <w:sz w:val="30"/>
          <w:szCs w:val="30"/>
          <w:highlight w:val="none"/>
        </w:rPr>
        <w:t xml:space="preserve"> </w:t>
      </w:r>
    </w:p>
    <w:p>
      <w:pPr>
        <w:pStyle w:val="4"/>
        <w:jc w:val="both"/>
        <w:rPr>
          <w:rFonts w:hint="eastAsia" w:ascii="宋体" w:hAnsi="宋体"/>
          <w:sz w:val="44"/>
          <w:szCs w:val="44"/>
          <w:highlight w:val="none"/>
        </w:rPr>
      </w:pPr>
      <w:bookmarkStart w:id="334" w:name="_Toc11841"/>
      <w:bookmarkStart w:id="335" w:name="_Toc22200"/>
      <w:bookmarkStart w:id="336" w:name="_Toc29308"/>
      <w:bookmarkStart w:id="337" w:name="_Toc30965"/>
      <w:r>
        <w:rPr>
          <w:rFonts w:hint="eastAsia" w:eastAsia="仿宋_GB2312"/>
          <w:b w:val="0"/>
          <w:bCs w:val="0"/>
          <w:color w:val="000000"/>
          <w:sz w:val="30"/>
          <w:szCs w:val="30"/>
          <w:highlight w:val="none"/>
          <w:lang w:eastAsia="zh-CN"/>
        </w:rPr>
        <w:t>日期：</w:t>
      </w:r>
      <w:r>
        <w:rPr>
          <w:rFonts w:eastAsia="仿宋_GB2312"/>
          <w:b w:val="0"/>
          <w:bCs w:val="0"/>
          <w:highlight w:val="none"/>
        </w:rPr>
        <w:br w:type="page"/>
      </w:r>
      <w:r>
        <w:rPr>
          <w:rFonts w:ascii="宋体" w:hAnsi="宋体"/>
          <w:sz w:val="44"/>
          <w:szCs w:val="44"/>
          <w:highlight w:val="none"/>
        </w:rPr>
        <w:t>第二部分 通用合同条款</w:t>
      </w:r>
      <w:bookmarkEnd w:id="334"/>
      <w:bookmarkEnd w:id="335"/>
      <w:bookmarkEnd w:id="336"/>
      <w:bookmarkEnd w:id="337"/>
      <w:bookmarkStart w:id="338" w:name="_Toc337558727"/>
    </w:p>
    <w:p>
      <w:pPr>
        <w:pStyle w:val="5"/>
        <w:spacing w:before="120" w:after="120" w:line="360" w:lineRule="auto"/>
        <w:rPr>
          <w:rFonts w:ascii="Times New Roman" w:hAnsi="Times New Roman" w:eastAsia="黑体"/>
          <w:b w:val="0"/>
          <w:color w:val="000000"/>
          <w:sz w:val="32"/>
          <w:szCs w:val="32"/>
          <w:highlight w:val="none"/>
        </w:rPr>
      </w:pPr>
      <w:bookmarkStart w:id="339" w:name="_Toc17594"/>
      <w:bookmarkStart w:id="340" w:name="_Toc29093"/>
      <w:r>
        <w:rPr>
          <w:rFonts w:ascii="Times New Roman" w:hAnsi="Times New Roman" w:eastAsia="黑体"/>
          <w:b w:val="0"/>
          <w:color w:val="000000"/>
          <w:sz w:val="32"/>
          <w:szCs w:val="32"/>
          <w:highlight w:val="none"/>
        </w:rPr>
        <w:t>1.</w:t>
      </w:r>
      <w:bookmarkStart w:id="341" w:name="_Toc303538974"/>
      <w:bookmarkEnd w:id="341"/>
      <w:bookmarkStart w:id="342" w:name="_Toc303538973"/>
      <w:bookmarkEnd w:id="342"/>
      <w:bookmarkStart w:id="343" w:name="_Toc303538972"/>
      <w:bookmarkEnd w:id="343"/>
      <w:bookmarkStart w:id="344" w:name="_Toc303538975"/>
      <w:bookmarkEnd w:id="344"/>
      <w:bookmarkStart w:id="345" w:name="_Toc303538976"/>
      <w:bookmarkEnd w:id="345"/>
      <w:bookmarkStart w:id="346" w:name="_Toc296346528"/>
      <w:bookmarkStart w:id="347" w:name="_Toc296503027"/>
      <w:r>
        <w:rPr>
          <w:rFonts w:ascii="Times New Roman" w:hAnsi="Times New Roman" w:eastAsia="黑体"/>
          <w:b w:val="0"/>
          <w:color w:val="000000"/>
          <w:sz w:val="32"/>
          <w:szCs w:val="32"/>
          <w:highlight w:val="none"/>
        </w:rPr>
        <w:t xml:space="preserve"> 一般约定</w:t>
      </w:r>
      <w:bookmarkEnd w:id="338"/>
      <w:bookmarkEnd w:id="339"/>
      <w:bookmarkEnd w:id="340"/>
      <w:bookmarkEnd w:id="346"/>
      <w:bookmarkEnd w:id="347"/>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348" w:name="_Toc296346529"/>
      <w:bookmarkStart w:id="349" w:name="_Toc296503028"/>
      <w:bookmarkStart w:id="350" w:name="_Toc337558728"/>
      <w:bookmarkStart w:id="351" w:name="_Toc23745"/>
      <w:bookmarkStart w:id="352" w:name="_Toc30716"/>
      <w:r>
        <w:rPr>
          <w:rFonts w:ascii="Times New Roman" w:hAnsi="Times New Roman" w:eastAsia="黑体"/>
          <w:b w:val="0"/>
          <w:color w:val="000000"/>
          <w:sz w:val="30"/>
          <w:szCs w:val="32"/>
          <w:highlight w:val="none"/>
        </w:rPr>
        <w:t>1.1词语定义</w:t>
      </w:r>
      <w:bookmarkEnd w:id="348"/>
      <w:bookmarkEnd w:id="349"/>
      <w:bookmarkEnd w:id="350"/>
      <w:r>
        <w:rPr>
          <w:rFonts w:ascii="Times New Roman" w:hAnsi="Times New Roman" w:eastAsia="黑体"/>
          <w:b w:val="0"/>
          <w:color w:val="000000"/>
          <w:sz w:val="30"/>
          <w:szCs w:val="32"/>
          <w:highlight w:val="none"/>
        </w:rPr>
        <w:t>与解释</w:t>
      </w:r>
      <w:bookmarkEnd w:id="351"/>
      <w:bookmarkEnd w:id="352"/>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合同协议书、通用合同条款、专用合同条款中的下列词语具有本款所赋予的含义：</w:t>
      </w:r>
    </w:p>
    <w:p>
      <w:pPr>
        <w:autoSpaceDE w:val="0"/>
        <w:autoSpaceDN w:val="0"/>
        <w:adjustRightInd w:val="0"/>
        <w:spacing w:line="360" w:lineRule="auto"/>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 xml:space="preserve">    1.1.1 合同</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0"/>
          <w:highlight w:val="none"/>
        </w:rPr>
      </w:pPr>
      <w:r>
        <w:rPr>
          <w:rFonts w:ascii="Times New Roman" w:hAnsi="Times New Roman" w:eastAsia="仿宋_GB2312"/>
          <w:color w:val="000000"/>
          <w:kern w:val="0"/>
          <w:sz w:val="30"/>
          <w:szCs w:val="30"/>
          <w:highlight w:val="none"/>
        </w:rPr>
        <w:t>1.1.1.1 合同：是指根据法律规定和合同当事人约定具有约束力的文件，构成合同的文件包括合同协议书、中标通知书（如果有）、投标函及其附录（如果有）、专用合同条款</w:t>
      </w:r>
      <w:r>
        <w:rPr>
          <w:rFonts w:ascii="Times New Roman" w:hAnsi="Times New Roman" w:eastAsia="仿宋_GB2312"/>
          <w:color w:val="000000"/>
          <w:sz w:val="30"/>
          <w:szCs w:val="30"/>
          <w:highlight w:val="none"/>
        </w:rPr>
        <w:t>及其附件</w:t>
      </w:r>
      <w:r>
        <w:rPr>
          <w:rFonts w:ascii="Times New Roman" w:hAnsi="Times New Roman" w:eastAsia="仿宋_GB2312"/>
          <w:color w:val="000000"/>
          <w:kern w:val="0"/>
          <w:sz w:val="30"/>
          <w:szCs w:val="30"/>
          <w:highlight w:val="none"/>
        </w:rPr>
        <w:t>、通用合同条款、技术标准和要求、图纸、已标价工程量清单或预算书以及其他合同文件。</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1.1.1.2 合同协议书：是指构成合同的由发包人和承包人共同签署的称为“合同协议书”的书面文件</w:t>
      </w:r>
      <w:r>
        <w:rPr>
          <w:rFonts w:hint="eastAsia" w:ascii="Times New Roman" w:hAnsi="Times New Roman" w:eastAsia="仿宋_GB2312"/>
          <w:color w:val="000000"/>
          <w:kern w:val="0"/>
          <w:sz w:val="30"/>
          <w:szCs w:val="32"/>
          <w:highlight w:val="none"/>
        </w:rPr>
        <w:t>。</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1.1.1.3 中标通知书：是指构成合同的</w:t>
      </w:r>
      <w:r>
        <w:rPr>
          <w:rFonts w:hint="eastAsia" w:ascii="Times New Roman" w:hAnsi="Times New Roman" w:eastAsia="仿宋_GB2312"/>
          <w:color w:val="000000"/>
          <w:kern w:val="0"/>
          <w:sz w:val="30"/>
          <w:szCs w:val="32"/>
          <w:highlight w:val="none"/>
        </w:rPr>
        <w:t>由</w:t>
      </w:r>
      <w:r>
        <w:rPr>
          <w:rFonts w:ascii="Times New Roman" w:hAnsi="Times New Roman" w:eastAsia="仿宋_GB2312"/>
          <w:color w:val="000000"/>
          <w:kern w:val="0"/>
          <w:sz w:val="30"/>
          <w:szCs w:val="32"/>
          <w:highlight w:val="none"/>
        </w:rPr>
        <w:t>发包人通知承包人中标的书面文件。</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1.1.1.4 投标函：是指构成合同的由承包人填写并签署的用于投标的称为“投标函”的文件。</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1.1.1.5 投标函附录：是指构成合同的附在投标函后的称为“投标函附录”的文件。</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1.1.1.6 技术标准和要求：是指构成合同的施工应当遵守的或指导施工的国家、行业或地方的技术标准和要求，以及合同约定的技术标准和要求。</w:t>
      </w:r>
    </w:p>
    <w:p>
      <w:pPr>
        <w:spacing w:line="360" w:lineRule="auto"/>
        <w:ind w:firstLine="600" w:firstLineChars="200"/>
        <w:jc w:val="left"/>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1.1.1.7 图纸：是指构成合同的图纸，包括由发包人按照合同约定提供或经发包人批准的设计文件、</w:t>
      </w:r>
      <w:r>
        <w:rPr>
          <w:rFonts w:hint="eastAsia" w:ascii="Times New Roman" w:hAnsi="Times New Roman" w:eastAsia="仿宋_GB2312"/>
          <w:color w:val="000000"/>
          <w:kern w:val="0"/>
          <w:sz w:val="30"/>
          <w:szCs w:val="32"/>
          <w:highlight w:val="none"/>
        </w:rPr>
        <w:t>施工图、</w:t>
      </w:r>
      <w:r>
        <w:rPr>
          <w:rFonts w:ascii="Times New Roman" w:hAnsi="Times New Roman" w:eastAsia="仿宋_GB2312"/>
          <w:color w:val="000000"/>
          <w:kern w:val="0"/>
          <w:sz w:val="30"/>
          <w:szCs w:val="32"/>
          <w:highlight w:val="none"/>
        </w:rPr>
        <w:t>鸟瞰图及模型等，</w:t>
      </w:r>
      <w:r>
        <w:rPr>
          <w:rFonts w:hint="eastAsia" w:ascii="Times New Roman" w:hAnsi="Times New Roman" w:eastAsia="仿宋_GB2312"/>
          <w:color w:val="000000"/>
          <w:kern w:val="0"/>
          <w:sz w:val="30"/>
          <w:szCs w:val="32"/>
          <w:highlight w:val="none"/>
        </w:rPr>
        <w:t>以及在合同履行过程中形成的图纸文件。图纸</w:t>
      </w:r>
      <w:r>
        <w:rPr>
          <w:rFonts w:ascii="Times New Roman" w:hAnsi="Times New Roman" w:eastAsia="仿宋_GB2312"/>
          <w:color w:val="000000"/>
          <w:kern w:val="0"/>
          <w:sz w:val="30"/>
          <w:szCs w:val="32"/>
          <w:highlight w:val="none"/>
        </w:rPr>
        <w:t>应当按照法律规定审查合格。</w:t>
      </w:r>
    </w:p>
    <w:p>
      <w:pPr>
        <w:autoSpaceDE w:val="0"/>
        <w:autoSpaceDN w:val="0"/>
        <w:adjustRightInd w:val="0"/>
        <w:spacing w:line="360" w:lineRule="auto"/>
        <w:ind w:firstLine="585" w:firstLineChars="195"/>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1.1.1.8 已标价工程量清单：是指构成合同的由承包人按照规定的格式和要求填写并标明价格的工程量清单，包括说明和表格。</w:t>
      </w:r>
    </w:p>
    <w:p>
      <w:pPr>
        <w:autoSpaceDE w:val="0"/>
        <w:autoSpaceDN w:val="0"/>
        <w:adjustRightInd w:val="0"/>
        <w:spacing w:line="360" w:lineRule="auto"/>
        <w:ind w:firstLine="585" w:firstLineChars="195"/>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1.1.1.9 预算书：是指构成合同的由承包人按照发包人规定的格式和要求编制的工程预算文件。</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1.1.1.10 其他合同文件：是指经合同当事人约定的与工程施工有关的具有合同约束力的文件或书面协议。合同当事人可以在专用合同条款中进行约定。</w:t>
      </w:r>
    </w:p>
    <w:p>
      <w:pPr>
        <w:autoSpaceDE w:val="0"/>
        <w:autoSpaceDN w:val="0"/>
        <w:adjustRightInd w:val="0"/>
        <w:spacing w:line="360" w:lineRule="auto"/>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 xml:space="preserve">    1.1.2 合同当事人及其他相关方</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1.1.2.1 合同当事人：是指发包人和（或）承包人。</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1.1.2.2 发包人：是指与承包人签订合同协议书的当事人及取得该当事人资格的合法继承人。</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1.1.2.3 承包人：是指与发包人签订合同协议书的，具有相应工程施工承包资质的当事人及取得该当事人资格的合法继承人。</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1.1.2.4 监理人：是指在专用合同条款中指明的，受发包人委托按照法律规定进行工程监督管理的法人或其他组织。</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1.1.2.5 设计人：是指在专用合同条款中指明的，受发包人委托负责工程设计并具备相应工程设计资质的法人或其他组织。</w:t>
      </w:r>
    </w:p>
    <w:p>
      <w:pPr>
        <w:spacing w:line="360" w:lineRule="auto"/>
        <w:ind w:firstLine="585" w:firstLineChars="195"/>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1.1.2.6 分包人：</w:t>
      </w:r>
      <w:bookmarkStart w:id="353" w:name="#go5"/>
      <w:bookmarkEnd w:id="353"/>
      <w:r>
        <w:rPr>
          <w:rFonts w:ascii="Times New Roman" w:hAnsi="Times New Roman" w:eastAsia="仿宋_GB2312"/>
          <w:color w:val="000000"/>
          <w:kern w:val="0"/>
          <w:sz w:val="30"/>
          <w:szCs w:val="32"/>
          <w:highlight w:val="none"/>
        </w:rPr>
        <w:t>是指</w:t>
      </w:r>
      <w:r>
        <w:rPr>
          <w:rFonts w:hint="eastAsia" w:ascii="Times New Roman" w:hAnsi="Times New Roman" w:eastAsia="仿宋_GB2312"/>
          <w:color w:val="000000"/>
          <w:kern w:val="0"/>
          <w:sz w:val="30"/>
          <w:szCs w:val="32"/>
          <w:highlight w:val="none"/>
        </w:rPr>
        <w:t>按照法律规定和</w:t>
      </w:r>
      <w:r>
        <w:rPr>
          <w:rFonts w:ascii="Times New Roman" w:hAnsi="Times New Roman" w:eastAsia="仿宋_GB2312"/>
          <w:color w:val="000000"/>
          <w:kern w:val="0"/>
          <w:sz w:val="30"/>
          <w:szCs w:val="32"/>
          <w:highlight w:val="none"/>
        </w:rPr>
        <w:t>合同约定，分包</w:t>
      </w:r>
      <w:r>
        <w:rPr>
          <w:rFonts w:hint="eastAsia" w:ascii="Times New Roman" w:hAnsi="Times New Roman" w:eastAsia="仿宋_GB2312"/>
          <w:color w:val="000000"/>
          <w:kern w:val="0"/>
          <w:sz w:val="30"/>
          <w:szCs w:val="32"/>
          <w:highlight w:val="none"/>
        </w:rPr>
        <w:t>部分</w:t>
      </w:r>
      <w:r>
        <w:rPr>
          <w:rFonts w:ascii="Times New Roman" w:hAnsi="Times New Roman" w:eastAsia="仿宋_GB2312"/>
          <w:color w:val="000000"/>
          <w:kern w:val="0"/>
          <w:sz w:val="30"/>
          <w:szCs w:val="32"/>
          <w:highlight w:val="none"/>
        </w:rPr>
        <w:t>工程</w:t>
      </w:r>
      <w:r>
        <w:rPr>
          <w:rFonts w:hint="eastAsia" w:ascii="Times New Roman" w:hAnsi="Times New Roman" w:eastAsia="仿宋_GB2312"/>
          <w:color w:val="000000"/>
          <w:kern w:val="0"/>
          <w:sz w:val="30"/>
          <w:szCs w:val="32"/>
          <w:highlight w:val="none"/>
        </w:rPr>
        <w:t>或工作</w:t>
      </w:r>
      <w:r>
        <w:rPr>
          <w:rFonts w:ascii="Times New Roman" w:hAnsi="Times New Roman" w:eastAsia="仿宋_GB2312"/>
          <w:color w:val="000000"/>
          <w:kern w:val="0"/>
          <w:sz w:val="30"/>
          <w:szCs w:val="32"/>
          <w:highlight w:val="none"/>
        </w:rPr>
        <w:t>，并与</w:t>
      </w:r>
      <w:r>
        <w:rPr>
          <w:rFonts w:hint="eastAsia" w:ascii="Times New Roman" w:hAnsi="Times New Roman" w:eastAsia="仿宋_GB2312"/>
          <w:color w:val="000000"/>
          <w:kern w:val="0"/>
          <w:sz w:val="30"/>
          <w:szCs w:val="32"/>
          <w:highlight w:val="none"/>
        </w:rPr>
        <w:t>承包人</w:t>
      </w:r>
      <w:r>
        <w:rPr>
          <w:rFonts w:ascii="Times New Roman" w:hAnsi="Times New Roman" w:eastAsia="仿宋_GB2312"/>
          <w:color w:val="000000"/>
          <w:kern w:val="0"/>
          <w:sz w:val="30"/>
          <w:szCs w:val="32"/>
          <w:highlight w:val="none"/>
        </w:rPr>
        <w:t>签订分包合同的具有相应资质的法人。</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1.1.2.7 发包人代表：是指由发包人任命并派驻施工现场在发包人授权范围内行使发包人权利的人。</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1.1.2.8 项目经理：是指由承包人任命并派驻施工现场，在承包人授权范围内负责合同履行，且按照法律规定具有相应资格的</w:t>
      </w:r>
      <w:r>
        <w:rPr>
          <w:rFonts w:hint="eastAsia" w:ascii="Times New Roman" w:hAnsi="Times New Roman" w:eastAsia="仿宋_GB2312"/>
          <w:color w:val="000000"/>
          <w:kern w:val="0"/>
          <w:sz w:val="30"/>
          <w:szCs w:val="32"/>
          <w:highlight w:val="none"/>
        </w:rPr>
        <w:t>项目负责</w:t>
      </w:r>
      <w:r>
        <w:rPr>
          <w:rFonts w:ascii="Times New Roman" w:hAnsi="Times New Roman" w:eastAsia="仿宋_GB2312"/>
          <w:color w:val="000000"/>
          <w:kern w:val="0"/>
          <w:sz w:val="30"/>
          <w:szCs w:val="32"/>
          <w:highlight w:val="none"/>
        </w:rPr>
        <w:t>人。</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1.1.2.9 总监理工程师：是指由监理人任命并派驻施工现场进行工程监理的总负责人。</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1.1.3 工程和设备</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1.1.3.1 工程：是指与合同协议书中工程承包范围对应的永久工程和（或）临时工程。</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1.1.3.2 永久工程：是指按合同约定建造并移交给发包人的工程，包括工程设备。</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1.1.3.3 临时工程：是指为完成合同约定的永久工程所修建的各类临时性工程，不包括施工设备。</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1.1.3.4 单位工程：是指在</w:t>
      </w:r>
      <w:r>
        <w:rPr>
          <w:rFonts w:hint="eastAsia" w:ascii="Times New Roman" w:hAnsi="Times New Roman" w:eastAsia="仿宋_GB2312"/>
          <w:color w:val="000000"/>
          <w:kern w:val="0"/>
          <w:sz w:val="30"/>
          <w:szCs w:val="32"/>
          <w:highlight w:val="none"/>
        </w:rPr>
        <w:t>合同协议书</w:t>
      </w:r>
      <w:r>
        <w:rPr>
          <w:rFonts w:ascii="Times New Roman" w:hAnsi="Times New Roman" w:eastAsia="仿宋_GB2312"/>
          <w:color w:val="000000"/>
          <w:kern w:val="0"/>
          <w:sz w:val="30"/>
          <w:szCs w:val="32"/>
          <w:highlight w:val="none"/>
        </w:rPr>
        <w:t>中指明的，具备独立施工条件并能形成独立使用功能的永久工程。</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1.1.3.5 工程设备：是指构成永久工程的机电设备、金属结构设备、仪器及其他类似的设备和装置。</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1.1.3.6 施工设备：是指为完成合同约定的各项工作所需的设备、器具和其他物品，但不包括工程设备、临时工程和材料。</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1.1.3.7 施工现场：是指用于工程施工的场所，以及在专用合同条款中</w:t>
      </w:r>
      <w:r>
        <w:rPr>
          <w:rFonts w:hint="eastAsia" w:ascii="Times New Roman" w:hAnsi="Times New Roman" w:eastAsia="仿宋_GB2312"/>
          <w:color w:val="000000"/>
          <w:kern w:val="0"/>
          <w:sz w:val="30"/>
          <w:szCs w:val="32"/>
          <w:highlight w:val="none"/>
        </w:rPr>
        <w:t>指</w:t>
      </w:r>
      <w:r>
        <w:rPr>
          <w:rFonts w:ascii="Times New Roman" w:hAnsi="Times New Roman" w:eastAsia="仿宋_GB2312"/>
          <w:color w:val="000000"/>
          <w:kern w:val="0"/>
          <w:sz w:val="30"/>
          <w:szCs w:val="32"/>
          <w:highlight w:val="none"/>
        </w:rPr>
        <w:t>明作为施工场所组成部分的其他场所，包括永久占地和临时占地。</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1.1.3.8临时设施：是指为完成合同约定的各项工作所服务的临时性生产和生活设施。</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1.1.3.9 永久占地：是指专用合同条款中指明为实施工程需永久占用的土地。</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1.1.3.10 临时占地：是指专用合同条款中指明为实施工程需要临时占用的土地。</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1.1.4 日期和期限</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1.1.4.1 开工日期：包括计划开工日期和实际开工日期。计划开工日期是指合同协议书约定的开工日期；实际开工日期是指监理人按照第7.3.2项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开工通知</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约定发出的符合法律规定的开工通知中载明的开工日期。</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1.1.4.2 竣工日期：包括计划竣工日期和实际竣工日期。计划竣工日期是指合同协议书约定的竣工日期</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实际竣工日期按照第13.2.3项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竣工日期</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 xml:space="preserve">的约定确定。 </w:t>
      </w:r>
    </w:p>
    <w:p>
      <w:pPr>
        <w:spacing w:line="360" w:lineRule="auto"/>
        <w:ind w:firstLine="608" w:firstLineChars="203"/>
        <w:rPr>
          <w:rFonts w:ascii="Times New Roman" w:hAnsi="Times New Roman" w:eastAsia="仿宋_GB2312"/>
          <w:color w:val="000000"/>
          <w:sz w:val="30"/>
          <w:szCs w:val="32"/>
          <w:highlight w:val="none"/>
        </w:rPr>
      </w:pPr>
      <w:r>
        <w:rPr>
          <w:rFonts w:ascii="Times New Roman" w:hAnsi="Times New Roman" w:eastAsia="仿宋_GB2312"/>
          <w:color w:val="000000"/>
          <w:kern w:val="0"/>
          <w:sz w:val="30"/>
          <w:szCs w:val="32"/>
          <w:highlight w:val="none"/>
        </w:rPr>
        <w:t>1.1.4.3 工期：是指在合同协议书约定的承包人完成工程所需的期限，包括按照合同约定所作的</w:t>
      </w:r>
      <w:r>
        <w:rPr>
          <w:rFonts w:hint="eastAsia" w:ascii="Times New Roman" w:hAnsi="Times New Roman" w:eastAsia="仿宋_GB2312"/>
          <w:color w:val="000000"/>
          <w:kern w:val="0"/>
          <w:sz w:val="30"/>
          <w:szCs w:val="32"/>
          <w:highlight w:val="none"/>
        </w:rPr>
        <w:t>期限</w:t>
      </w:r>
      <w:r>
        <w:rPr>
          <w:rFonts w:ascii="Times New Roman" w:hAnsi="Times New Roman" w:eastAsia="仿宋_GB2312"/>
          <w:color w:val="000000"/>
          <w:kern w:val="0"/>
          <w:sz w:val="30"/>
          <w:szCs w:val="32"/>
          <w:highlight w:val="none"/>
        </w:rPr>
        <w:t>变更。</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1.1.4.4 缺陷责任期：是指承包人按照合同约定承担缺陷修复义务，且发包人</w:t>
      </w:r>
      <w:r>
        <w:rPr>
          <w:rFonts w:hint="eastAsia" w:ascii="Times New Roman" w:hAnsi="Times New Roman" w:eastAsia="仿宋_GB2312"/>
          <w:color w:val="000000"/>
          <w:kern w:val="0"/>
          <w:sz w:val="30"/>
          <w:szCs w:val="32"/>
          <w:highlight w:val="none"/>
        </w:rPr>
        <w:t>预</w:t>
      </w:r>
      <w:r>
        <w:rPr>
          <w:rFonts w:ascii="Times New Roman" w:hAnsi="Times New Roman" w:eastAsia="仿宋_GB2312"/>
          <w:color w:val="000000"/>
          <w:kern w:val="0"/>
          <w:sz w:val="30"/>
          <w:szCs w:val="32"/>
          <w:highlight w:val="none"/>
        </w:rPr>
        <w:t>留质量保证金</w:t>
      </w:r>
      <w:r>
        <w:rPr>
          <w:rFonts w:hint="eastAsia" w:ascii="Times New Roman" w:hAnsi="Times New Roman" w:eastAsia="仿宋_GB2312"/>
          <w:color w:val="000000"/>
          <w:kern w:val="0"/>
          <w:sz w:val="30"/>
          <w:szCs w:val="32"/>
          <w:highlight w:val="none"/>
        </w:rPr>
        <w:t>（已</w:t>
      </w:r>
      <w:r>
        <w:rPr>
          <w:rFonts w:ascii="Times New Roman" w:hAnsi="Times New Roman" w:eastAsia="仿宋_GB2312"/>
          <w:color w:val="000000"/>
          <w:kern w:val="0"/>
          <w:sz w:val="30"/>
          <w:szCs w:val="32"/>
          <w:highlight w:val="none"/>
        </w:rPr>
        <w:t>缴纳履约保证金的除外</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的期限，</w:t>
      </w:r>
      <w:r>
        <w:rPr>
          <w:rFonts w:hint="eastAsia" w:ascii="Times New Roman" w:hAnsi="Times New Roman" w:eastAsia="仿宋_GB2312"/>
          <w:color w:val="000000"/>
          <w:kern w:val="0"/>
          <w:sz w:val="30"/>
          <w:szCs w:val="32"/>
          <w:highlight w:val="none"/>
        </w:rPr>
        <w:t>自</w:t>
      </w:r>
      <w:r>
        <w:rPr>
          <w:rFonts w:ascii="Times New Roman" w:hAnsi="Times New Roman" w:eastAsia="仿宋_GB2312"/>
          <w:color w:val="000000"/>
          <w:kern w:val="0"/>
          <w:sz w:val="30"/>
          <w:szCs w:val="32"/>
          <w:highlight w:val="none"/>
        </w:rPr>
        <w:t>工程</w:t>
      </w:r>
      <w:r>
        <w:rPr>
          <w:rFonts w:hint="eastAsia" w:ascii="Times New Roman" w:hAnsi="Times New Roman" w:eastAsia="仿宋_GB2312"/>
          <w:color w:val="000000"/>
          <w:kern w:val="0"/>
          <w:sz w:val="30"/>
          <w:szCs w:val="32"/>
          <w:highlight w:val="none"/>
        </w:rPr>
        <w:t>实际竣工日期</w:t>
      </w:r>
      <w:r>
        <w:rPr>
          <w:rFonts w:ascii="Times New Roman" w:hAnsi="Times New Roman" w:eastAsia="仿宋_GB2312"/>
          <w:color w:val="000000"/>
          <w:kern w:val="0"/>
          <w:sz w:val="30"/>
          <w:szCs w:val="32"/>
          <w:highlight w:val="none"/>
        </w:rPr>
        <w:t>起计算。</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1.1.4.5 保修期：是指承包人按照合同约定对工程承担保修责任的期限，从工程竣工验收合格之日起计算。</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1.1.4.6 基准日期：招标发包的工程以投标截止日前28天的日期为基准日</w:t>
      </w:r>
      <w:r>
        <w:rPr>
          <w:rFonts w:hint="eastAsia" w:ascii="Times New Roman" w:hAnsi="Times New Roman" w:eastAsia="仿宋_GB2312"/>
          <w:color w:val="000000"/>
          <w:kern w:val="0"/>
          <w:sz w:val="30"/>
          <w:szCs w:val="32"/>
          <w:highlight w:val="none"/>
        </w:rPr>
        <w:t>期</w:t>
      </w:r>
      <w:r>
        <w:rPr>
          <w:rFonts w:ascii="Times New Roman" w:hAnsi="Times New Roman" w:eastAsia="仿宋_GB2312"/>
          <w:color w:val="000000"/>
          <w:kern w:val="0"/>
          <w:sz w:val="30"/>
          <w:szCs w:val="32"/>
          <w:highlight w:val="none"/>
        </w:rPr>
        <w:t>，直接发包的工程以合同签订日前28天的日期为基准日</w:t>
      </w:r>
      <w:r>
        <w:rPr>
          <w:rFonts w:hint="eastAsia" w:ascii="Times New Roman" w:hAnsi="Times New Roman" w:eastAsia="仿宋_GB2312"/>
          <w:color w:val="000000"/>
          <w:kern w:val="0"/>
          <w:sz w:val="30"/>
          <w:szCs w:val="32"/>
          <w:highlight w:val="none"/>
        </w:rPr>
        <w:t>期</w:t>
      </w:r>
      <w:r>
        <w:rPr>
          <w:rFonts w:ascii="Times New Roman" w:hAnsi="Times New Roman" w:eastAsia="仿宋_GB2312"/>
          <w:color w:val="000000"/>
          <w:kern w:val="0"/>
          <w:sz w:val="30"/>
          <w:szCs w:val="32"/>
          <w:highlight w:val="none"/>
        </w:rPr>
        <w:t>。</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1.1.4.7 天：除特别指明外，均指日历天。合同中按天计算时间的，开始当天不计入，从次日开始计算，期限最后一天的截止时间为当天24:00时。</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1.1.5 合同价格和费用</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kern w:val="0"/>
          <w:sz w:val="30"/>
          <w:szCs w:val="32"/>
          <w:highlight w:val="none"/>
        </w:rPr>
        <w:t>1.1.5.1 签约合同价：是指</w:t>
      </w:r>
      <w:r>
        <w:rPr>
          <w:rFonts w:ascii="Times New Roman" w:hAnsi="Times New Roman" w:eastAsia="仿宋_GB2312"/>
          <w:color w:val="000000"/>
          <w:sz w:val="30"/>
          <w:szCs w:val="32"/>
          <w:highlight w:val="none"/>
        </w:rPr>
        <w:t>发包人和承包人在合同协议书中确定的总金额，包括安全文明施工费、暂估价及暂列金额等。</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1.1.5.2 合同价格：是指发包人用于支付承包人按照合同约定完成承包范围内全部工作的金额，包括合同履行过程中按合同约定</w:t>
      </w:r>
      <w:r>
        <w:rPr>
          <w:rFonts w:hint="eastAsia" w:ascii="Times New Roman" w:hAnsi="Times New Roman" w:eastAsia="仿宋_GB2312"/>
          <w:color w:val="000000"/>
          <w:kern w:val="0"/>
          <w:sz w:val="30"/>
          <w:szCs w:val="32"/>
          <w:highlight w:val="none"/>
        </w:rPr>
        <w:t>发生的价格变化。</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1.1.5.3 费用：是指为履行合同所发生的或将要发生的所有必需的开支，包括管理费和应分摊的其他费用，但不包括利润。</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1.1.5.4 暂估价：是指发包人在工程量清单或预算书中提供的用于支付必然发生但暂时不能确定价格的材料、工程设备的单价</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专业工程以及</w:t>
      </w:r>
      <w:r>
        <w:rPr>
          <w:rFonts w:hint="eastAsia" w:ascii="Times New Roman" w:hAnsi="Times New Roman" w:eastAsia="仿宋_GB2312"/>
          <w:color w:val="000000"/>
          <w:kern w:val="0"/>
          <w:sz w:val="30"/>
          <w:szCs w:val="32"/>
          <w:highlight w:val="none"/>
        </w:rPr>
        <w:t>服务工作</w:t>
      </w:r>
      <w:r>
        <w:rPr>
          <w:rFonts w:ascii="Times New Roman" w:hAnsi="Times New Roman" w:eastAsia="仿宋_GB2312"/>
          <w:color w:val="000000"/>
          <w:kern w:val="0"/>
          <w:sz w:val="30"/>
          <w:szCs w:val="32"/>
          <w:highlight w:val="none"/>
        </w:rPr>
        <w:t>的金额。</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1.1.5.5 暂列金额：是指发包人在工程量清单或预算书中暂定并包括在合同价格中的一笔款项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用于工程合同签订时尚未确定或者不可预见的所需材料、工程设备、服务的采购，施工中可能发生的工程变更、合同约定调整因素出现时的合同价格调整以及发生的索赔、现场签证确认等的费用。</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1.1.5.6 计日工：是指合同履行过程中，承包人完成发包人提出的零星工作或需要采用计日工计价的变更工作时，按合同中约定的单价计价的一种方式。</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kern w:val="0"/>
          <w:sz w:val="30"/>
          <w:szCs w:val="32"/>
          <w:highlight w:val="none"/>
        </w:rPr>
        <w:t>1.1.5.7 质量保证金</w:t>
      </w:r>
      <w:bookmarkStart w:id="354" w:name="#go2"/>
      <w:bookmarkEnd w:id="354"/>
      <w:r>
        <w:rPr>
          <w:rFonts w:ascii="Times New Roman" w:hAnsi="Times New Roman" w:eastAsia="仿宋_GB2312"/>
          <w:color w:val="000000"/>
          <w:kern w:val="0"/>
          <w:sz w:val="30"/>
          <w:szCs w:val="32"/>
          <w:highlight w:val="none"/>
        </w:rPr>
        <w:t>：是指按照第15.3款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质量保证金</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约定承包人用于保证其在缺陷责任期内履行缺陷修补义务的担保</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1.1.5.8 总价项目：是指在现行国家、行业以及地方的计量规则中无工程量计算规则，在已标价工程量清单或预算书中以总价或以费率形式计算的项目。</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1.1.6 其他</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1.1.6.1 书面形式：是指合同文件、信函、电报、传真等可以有形地表现所载内容的形式。</w:t>
      </w:r>
    </w:p>
    <w:p>
      <w:pPr>
        <w:pStyle w:val="6"/>
        <w:spacing w:before="120" w:after="120" w:line="360" w:lineRule="auto"/>
        <w:rPr>
          <w:rFonts w:ascii="Times New Roman" w:hAnsi="Times New Roman" w:eastAsia="黑体"/>
          <w:b w:val="0"/>
          <w:color w:val="000000"/>
          <w:sz w:val="30"/>
          <w:szCs w:val="32"/>
          <w:highlight w:val="none"/>
        </w:rPr>
      </w:pPr>
      <w:r>
        <w:rPr>
          <w:rFonts w:ascii="Times New Roman" w:hAnsi="Times New Roman" w:eastAsia="黑体"/>
          <w:b w:val="0"/>
          <w:color w:val="000000"/>
          <w:sz w:val="30"/>
          <w:szCs w:val="32"/>
          <w:highlight w:val="none"/>
        </w:rPr>
        <w:t xml:space="preserve">    </w:t>
      </w:r>
      <w:bookmarkStart w:id="355" w:name="_Toc27889"/>
      <w:bookmarkStart w:id="356" w:name="_Toc28530"/>
      <w:bookmarkStart w:id="357" w:name="_Toc296503029"/>
      <w:bookmarkStart w:id="358" w:name="_Toc296346530"/>
      <w:bookmarkStart w:id="359" w:name="_Toc337558729"/>
      <w:r>
        <w:rPr>
          <w:rFonts w:ascii="Times New Roman" w:hAnsi="Times New Roman" w:eastAsia="黑体"/>
          <w:b w:val="0"/>
          <w:color w:val="000000"/>
          <w:sz w:val="30"/>
          <w:szCs w:val="32"/>
          <w:highlight w:val="none"/>
        </w:rPr>
        <w:t>1.2语言文字</w:t>
      </w:r>
      <w:bookmarkEnd w:id="355"/>
      <w:bookmarkEnd w:id="356"/>
      <w:bookmarkEnd w:id="357"/>
      <w:bookmarkEnd w:id="358"/>
      <w:bookmarkEnd w:id="359"/>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合同以中国的汉语简体文字编写、解释和说明。合同当事人在专用合同条款中约定使用两种以上语言时，汉语为优先解释和说明合同的语言。</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360" w:name="_Toc337558730"/>
      <w:bookmarkStart w:id="361" w:name="_Toc10898"/>
      <w:bookmarkStart w:id="362" w:name="_Toc13954"/>
      <w:bookmarkStart w:id="363" w:name="_Toc296503030"/>
      <w:bookmarkStart w:id="364" w:name="_Toc296346531"/>
      <w:r>
        <w:rPr>
          <w:rFonts w:ascii="Times New Roman" w:hAnsi="Times New Roman" w:eastAsia="黑体"/>
          <w:b w:val="0"/>
          <w:color w:val="000000"/>
          <w:sz w:val="30"/>
          <w:szCs w:val="32"/>
          <w:highlight w:val="none"/>
        </w:rPr>
        <w:t>1.3法律</w:t>
      </w:r>
      <w:bookmarkEnd w:id="360"/>
      <w:bookmarkEnd w:id="361"/>
      <w:bookmarkEnd w:id="362"/>
      <w:bookmarkEnd w:id="363"/>
      <w:bookmarkEnd w:id="364"/>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合同所称法律是指中华人民共和国法律、行政法规、部门规章，以及工程所在地的地方性法规、自治条例、单行条例和地方政府规章等。</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合同当事人可以在专用合同条款中约定合同适用的其他规范性文件。</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365" w:name="_Toc542"/>
      <w:bookmarkStart w:id="366" w:name="_Toc12895"/>
      <w:r>
        <w:rPr>
          <w:rFonts w:ascii="Times New Roman" w:hAnsi="Times New Roman" w:eastAsia="黑体"/>
          <w:b w:val="0"/>
          <w:color w:val="000000"/>
          <w:sz w:val="30"/>
          <w:szCs w:val="32"/>
          <w:highlight w:val="none"/>
        </w:rPr>
        <w:t>1.4 标准和规范</w:t>
      </w:r>
      <w:bookmarkEnd w:id="365"/>
      <w:bookmarkEnd w:id="366"/>
    </w:p>
    <w:p>
      <w:pPr>
        <w:autoSpaceDE w:val="0"/>
        <w:autoSpaceDN w:val="0"/>
        <w:adjustRightInd w:val="0"/>
        <w:spacing w:line="360" w:lineRule="auto"/>
        <w:ind w:firstLine="64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1.4.1 适用于工程的国家标准、行业标准、工程所在地的地方性标准，以及相应的规范、规程等，合同当事人有特别要求的，应在专用合同条款中约定。</w:t>
      </w:r>
    </w:p>
    <w:p>
      <w:pPr>
        <w:autoSpaceDE w:val="0"/>
        <w:autoSpaceDN w:val="0"/>
        <w:adjustRightInd w:val="0"/>
        <w:spacing w:line="360" w:lineRule="auto"/>
        <w:ind w:firstLine="64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1.4.2 发包人要求使用国外标准、规范的，发包人负责提供原文版本和中文译本，并在专用合同条款中约定提供标准规范的名称、份数和时间。</w:t>
      </w:r>
    </w:p>
    <w:p>
      <w:pPr>
        <w:autoSpaceDE w:val="0"/>
        <w:autoSpaceDN w:val="0"/>
        <w:adjustRightInd w:val="0"/>
        <w:spacing w:line="360" w:lineRule="auto"/>
        <w:ind w:firstLine="64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1.4.3 发包人对工程的技术标准、功能要求高于或严于现行国家、行业或地方标准的，应当在专用合同条款中予以明确。除专用合同条款另有约定外，应视为</w:t>
      </w:r>
      <w:r>
        <w:rPr>
          <w:rFonts w:hint="eastAsia" w:ascii="Times New Roman" w:hAnsi="Times New Roman" w:eastAsia="仿宋_GB2312"/>
          <w:color w:val="000000"/>
          <w:kern w:val="0"/>
          <w:sz w:val="30"/>
          <w:szCs w:val="32"/>
          <w:highlight w:val="none"/>
        </w:rPr>
        <w:t>承包人</w:t>
      </w:r>
      <w:r>
        <w:rPr>
          <w:rFonts w:ascii="Times New Roman" w:hAnsi="Times New Roman" w:eastAsia="仿宋_GB2312"/>
          <w:color w:val="000000"/>
          <w:kern w:val="0"/>
          <w:sz w:val="30"/>
          <w:szCs w:val="32"/>
          <w:highlight w:val="none"/>
        </w:rPr>
        <w:t>在签订合同前已充分预见前述技术标准和功能要求的复杂程度，签约合同价中已包含由此产生的费用。</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367" w:name="_Toc22626"/>
      <w:bookmarkStart w:id="368" w:name="_Toc29653"/>
      <w:r>
        <w:rPr>
          <w:rFonts w:ascii="Times New Roman" w:hAnsi="Times New Roman" w:eastAsia="黑体"/>
          <w:b w:val="0"/>
          <w:color w:val="000000"/>
          <w:sz w:val="30"/>
          <w:szCs w:val="32"/>
          <w:highlight w:val="none"/>
        </w:rPr>
        <w:t>1</w:t>
      </w:r>
      <w:bookmarkStart w:id="369" w:name="_Toc296503031"/>
      <w:bookmarkStart w:id="370" w:name="_Toc337558731"/>
      <w:bookmarkStart w:id="371" w:name="_Toc296346532"/>
      <w:r>
        <w:rPr>
          <w:rFonts w:ascii="Times New Roman" w:hAnsi="Times New Roman" w:eastAsia="黑体"/>
          <w:b w:val="0"/>
          <w:color w:val="000000"/>
          <w:sz w:val="30"/>
          <w:szCs w:val="32"/>
          <w:highlight w:val="none"/>
        </w:rPr>
        <w:t>.5 合同文件的优先顺序</w:t>
      </w:r>
      <w:bookmarkEnd w:id="367"/>
      <w:bookmarkEnd w:id="368"/>
    </w:p>
    <w:bookmarkEnd w:id="369"/>
    <w:bookmarkEnd w:id="370"/>
    <w:bookmarkEnd w:id="371"/>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组成合同的各项文件应互相解释，互为说明。除专用合同条款另有约定外，解释合同文件的优先顺序如下：</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（1）合同协议书；</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（2）中标通知书（如果有）；</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（3）投标函及其附录（如果有）；</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（4）专用合同条款</w:t>
      </w:r>
      <w:r>
        <w:rPr>
          <w:rFonts w:ascii="Times New Roman" w:hAnsi="Times New Roman" w:eastAsia="仿宋_GB2312"/>
          <w:color w:val="000000"/>
          <w:sz w:val="30"/>
          <w:szCs w:val="32"/>
          <w:highlight w:val="none"/>
        </w:rPr>
        <w:t>及其附件</w:t>
      </w:r>
      <w:r>
        <w:rPr>
          <w:rFonts w:ascii="Times New Roman" w:hAnsi="Times New Roman" w:eastAsia="仿宋_GB2312"/>
          <w:color w:val="000000"/>
          <w:kern w:val="0"/>
          <w:sz w:val="30"/>
          <w:szCs w:val="32"/>
          <w:highlight w:val="none"/>
        </w:rPr>
        <w:t>；</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（5）通用合同条款；</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（6）技术标准和要求；</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（7）图纸；</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（8）已标价工程量清单或预算书；</w:t>
      </w:r>
    </w:p>
    <w:p>
      <w:pPr>
        <w:autoSpaceDE w:val="0"/>
        <w:autoSpaceDN w:val="0"/>
        <w:adjustRightInd w:val="0"/>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kern w:val="0"/>
          <w:sz w:val="30"/>
          <w:szCs w:val="32"/>
          <w:highlight w:val="none"/>
        </w:rPr>
        <w:t>（9）其他合同文件。</w:t>
      </w:r>
    </w:p>
    <w:p>
      <w:pPr>
        <w:spacing w:line="360" w:lineRule="auto"/>
        <w:ind w:firstLine="639" w:firstLineChars="213"/>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上述各项合同文件包括合同当事人就该项合同文件所作出的补充和修改，属于同一类内容的文件，应以最新签署的为准。</w:t>
      </w:r>
    </w:p>
    <w:p>
      <w:pPr>
        <w:spacing w:line="360" w:lineRule="auto"/>
        <w:ind w:firstLine="639" w:firstLineChars="213"/>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在合同订立及履行过程中形成的与合同有关的文件均构成合同文件组成部分，并根据其性质确定优先解释顺序。</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372" w:name="_Toc21585"/>
      <w:bookmarkStart w:id="373" w:name="_Toc7018"/>
      <w:r>
        <w:rPr>
          <w:rFonts w:ascii="Times New Roman" w:hAnsi="Times New Roman" w:eastAsia="黑体"/>
          <w:b w:val="0"/>
          <w:color w:val="000000"/>
          <w:sz w:val="30"/>
          <w:szCs w:val="32"/>
          <w:highlight w:val="none"/>
        </w:rPr>
        <w:t>1</w:t>
      </w:r>
      <w:bookmarkStart w:id="374" w:name="_Toc296346533"/>
      <w:bookmarkStart w:id="375" w:name="_Toc337558732"/>
      <w:bookmarkStart w:id="376" w:name="_Toc296503032"/>
      <w:r>
        <w:rPr>
          <w:rFonts w:ascii="Times New Roman" w:hAnsi="Times New Roman" w:eastAsia="黑体"/>
          <w:b w:val="0"/>
          <w:color w:val="000000"/>
          <w:sz w:val="30"/>
          <w:szCs w:val="32"/>
          <w:highlight w:val="none"/>
        </w:rPr>
        <w:t>.6图纸和承包人文件</w:t>
      </w:r>
      <w:bookmarkEnd w:id="372"/>
      <w:bookmarkEnd w:id="373"/>
    </w:p>
    <w:bookmarkEnd w:id="374"/>
    <w:bookmarkEnd w:id="375"/>
    <w:bookmarkEnd w:id="376"/>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1.6.1 图纸的提供和交底</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发包人应按照专用合同条款约定的期限、数量和内容向承包人免费提供图纸，并组织承包人、监理人和设计人进行图纸会审和设计交底。发包人至迟不得晚于第7.3.2项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开工通知</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载明的开工日期前14天向承包人提供图纸。</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因发包人未按合同约定提供图纸导致承包人费用增加和（或）工期延误的，按照第7.5.1项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因发包人原因导致工期延误</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约定办理。</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1.6.2 图纸的错误</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w:t>
      </w:r>
      <w:r>
        <w:rPr>
          <w:rFonts w:hint="eastAsia" w:ascii="Times New Roman" w:hAnsi="Times New Roman" w:eastAsia="仿宋_GB2312"/>
          <w:color w:val="000000"/>
          <w:kern w:val="0"/>
          <w:sz w:val="30"/>
          <w:szCs w:val="32"/>
          <w:highlight w:val="none"/>
        </w:rPr>
        <w:t>合理时间是指发包人在收到监理人的报送通知后，尽其努力且不懈怠地完成图纸修改补充所需的时间。</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1.6.3 图纸的修改和补充</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图纸需要修改和补充的，应经图纸原设计人及审批部门同意，并由监理人在工程或工程相应部位施工前将修改后的图纸或补充图纸提交给承包人，承包人应按修改或补充后的图纸施工。</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1.6.4 承包人文件</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承包人应按照专用合同条款的约定提供应当由其编制的与工程施工有关的文件，并按照专用合同条款约定的期限、数量和形式提交监理人，并由监理人报送发包人。</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1.6.5 图纸和承包人文件的保管</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除专用合同条款另有约定外，承包人应在施工现场另外保存一套完整的图纸和承包人文件，供发包人、监理人及有关人员进行工程检查时使用。</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377" w:name="_Toc4012"/>
      <w:bookmarkStart w:id="378" w:name="_Toc25599"/>
      <w:r>
        <w:rPr>
          <w:rFonts w:ascii="Times New Roman" w:hAnsi="Times New Roman" w:eastAsia="黑体"/>
          <w:b w:val="0"/>
          <w:color w:val="000000"/>
          <w:sz w:val="30"/>
          <w:szCs w:val="32"/>
          <w:highlight w:val="none"/>
        </w:rPr>
        <w:t>1</w:t>
      </w:r>
      <w:bookmarkStart w:id="379" w:name="_Toc337558733"/>
      <w:bookmarkStart w:id="380" w:name="_Toc296346534"/>
      <w:bookmarkStart w:id="381" w:name="_Toc296503033"/>
      <w:r>
        <w:rPr>
          <w:rFonts w:ascii="Times New Roman" w:hAnsi="Times New Roman" w:eastAsia="黑体"/>
          <w:b w:val="0"/>
          <w:color w:val="000000"/>
          <w:sz w:val="30"/>
          <w:szCs w:val="32"/>
          <w:highlight w:val="none"/>
        </w:rPr>
        <w:t>.7联络</w:t>
      </w:r>
      <w:bookmarkEnd w:id="377"/>
      <w:bookmarkEnd w:id="378"/>
    </w:p>
    <w:bookmarkEnd w:id="379"/>
    <w:bookmarkEnd w:id="380"/>
    <w:bookmarkEnd w:id="381"/>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1.7.1 与合同有关的通知、批准、证明、证书、指示、指令、要求、请求、同意、意见、确定和决定等，均应采用书面形式，并应在合同约定的期限内送达接收人和送达地点。</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1.7.2 发包人和承包人应在专用合同条款中约定各自的送达接收人和送达地点。任何一方合同当事人指定的接收人或送达地点发生变动的，应提前3天以书面形式通知对方。</w:t>
      </w:r>
    </w:p>
    <w:p>
      <w:pPr>
        <w:autoSpaceDE w:val="0"/>
        <w:autoSpaceDN w:val="0"/>
        <w:adjustRightInd w:val="0"/>
        <w:spacing w:line="360" w:lineRule="auto"/>
        <w:ind w:firstLine="600" w:firstLineChars="200"/>
        <w:jc w:val="left"/>
        <w:rPr>
          <w:rFonts w:ascii="Times New Roman" w:hAnsi="Times New Roman" w:eastAsia="仿宋_GB2312"/>
          <w:color w:val="FF0000"/>
          <w:kern w:val="0"/>
          <w:sz w:val="30"/>
          <w:szCs w:val="32"/>
          <w:highlight w:val="none"/>
        </w:rPr>
      </w:pPr>
      <w:r>
        <w:rPr>
          <w:rFonts w:ascii="Times New Roman" w:hAnsi="Times New Roman" w:eastAsia="仿宋_GB2312"/>
          <w:color w:val="000000"/>
          <w:kern w:val="0"/>
          <w:sz w:val="30"/>
          <w:szCs w:val="32"/>
          <w:highlight w:val="none"/>
        </w:rPr>
        <w:t>1.7.3 发包人和承包人应当及时签收另一方送达至送达地点和指定接收人的来往信函。拒不签收的，由此增加的费用和（或）延误的工期由拒绝接收一方承担。</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382" w:name="_Toc27508"/>
      <w:bookmarkStart w:id="383" w:name="_Toc15769"/>
      <w:r>
        <w:rPr>
          <w:rFonts w:ascii="Times New Roman" w:hAnsi="Times New Roman" w:eastAsia="黑体"/>
          <w:b w:val="0"/>
          <w:color w:val="000000"/>
          <w:sz w:val="30"/>
          <w:szCs w:val="32"/>
          <w:highlight w:val="none"/>
        </w:rPr>
        <w:t>1</w:t>
      </w:r>
      <w:bookmarkStart w:id="384" w:name="_Toc337558734"/>
      <w:bookmarkStart w:id="385" w:name="_Toc296503035"/>
      <w:bookmarkStart w:id="386" w:name="_Toc296346536"/>
      <w:r>
        <w:rPr>
          <w:rFonts w:ascii="Times New Roman" w:hAnsi="Times New Roman" w:eastAsia="黑体"/>
          <w:b w:val="0"/>
          <w:color w:val="000000"/>
          <w:sz w:val="30"/>
          <w:szCs w:val="32"/>
          <w:highlight w:val="none"/>
        </w:rPr>
        <w:t>.8严禁贿赂</w:t>
      </w:r>
      <w:bookmarkEnd w:id="382"/>
      <w:bookmarkEnd w:id="383"/>
    </w:p>
    <w:bookmarkEnd w:id="384"/>
    <w:bookmarkEnd w:id="385"/>
    <w:bookmarkEnd w:id="386"/>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合同当事人不得以贿赂或变相贿赂的方式，谋取非法利益或损害对方权益。因一方合同当事人的贿赂造成对方损失的，应赔偿损失，并承担相应的法律责任。</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387" w:name="_Toc28841"/>
      <w:bookmarkStart w:id="388" w:name="_Toc11980"/>
      <w:r>
        <w:rPr>
          <w:rFonts w:ascii="Times New Roman" w:hAnsi="Times New Roman" w:eastAsia="黑体"/>
          <w:b w:val="0"/>
          <w:color w:val="000000"/>
          <w:sz w:val="30"/>
          <w:szCs w:val="32"/>
          <w:highlight w:val="none"/>
        </w:rPr>
        <w:t>1</w:t>
      </w:r>
      <w:bookmarkStart w:id="389" w:name="_Toc296346537"/>
      <w:bookmarkStart w:id="390" w:name="_Toc296503036"/>
      <w:bookmarkStart w:id="391" w:name="_Toc337558735"/>
      <w:r>
        <w:rPr>
          <w:rFonts w:ascii="Times New Roman" w:hAnsi="Times New Roman" w:eastAsia="黑体"/>
          <w:b w:val="0"/>
          <w:color w:val="000000"/>
          <w:sz w:val="30"/>
          <w:szCs w:val="32"/>
          <w:highlight w:val="none"/>
        </w:rPr>
        <w:t>.9化石、文物</w:t>
      </w:r>
      <w:bookmarkEnd w:id="387"/>
      <w:bookmarkEnd w:id="388"/>
    </w:p>
    <w:bookmarkEnd w:id="389"/>
    <w:bookmarkEnd w:id="390"/>
    <w:bookmarkEnd w:id="391"/>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发包人、监理人和承包人应按有关政府行政管理部门要求采取妥善的保护措施，由此增加的费用和</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或）延误的工期由发包人承担。</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承包人发现文物后不及时报告或隐瞒不报，致使文物丢失或损坏的，应赔偿损失，并承担相应的法律责任。</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392" w:name="_Toc8204"/>
      <w:bookmarkStart w:id="393" w:name="_Toc18975"/>
      <w:r>
        <w:rPr>
          <w:rFonts w:ascii="Times New Roman" w:hAnsi="Times New Roman" w:eastAsia="黑体"/>
          <w:b w:val="0"/>
          <w:color w:val="000000"/>
          <w:sz w:val="30"/>
          <w:szCs w:val="32"/>
          <w:highlight w:val="none"/>
        </w:rPr>
        <w:t>1</w:t>
      </w:r>
      <w:bookmarkStart w:id="394" w:name="_Toc337558736"/>
      <w:r>
        <w:rPr>
          <w:rFonts w:ascii="Times New Roman" w:hAnsi="Times New Roman" w:eastAsia="黑体"/>
          <w:b w:val="0"/>
          <w:color w:val="000000"/>
          <w:sz w:val="30"/>
          <w:szCs w:val="32"/>
          <w:highlight w:val="none"/>
        </w:rPr>
        <w:t>.10交通运输</w:t>
      </w:r>
      <w:bookmarkEnd w:id="392"/>
      <w:bookmarkEnd w:id="393"/>
    </w:p>
    <w:bookmarkEnd w:id="394"/>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1.10.1</w:t>
      </w:r>
      <w:r>
        <w:rPr>
          <w:rFonts w:hint="eastAsia" w:ascii="Times New Roman" w:hAnsi="Times New Roman" w:eastAsia="仿宋_GB2312"/>
          <w:color w:val="000000"/>
          <w:kern w:val="0"/>
          <w:sz w:val="30"/>
          <w:szCs w:val="32"/>
          <w:highlight w:val="none"/>
        </w:rPr>
        <w:t xml:space="preserve"> </w:t>
      </w:r>
      <w:r>
        <w:rPr>
          <w:rFonts w:ascii="Times New Roman" w:hAnsi="Times New Roman" w:eastAsia="仿宋_GB2312"/>
          <w:color w:val="000000"/>
          <w:kern w:val="0"/>
          <w:sz w:val="30"/>
          <w:szCs w:val="32"/>
          <w:highlight w:val="none"/>
        </w:rPr>
        <w:t>出入现场的权利</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除专用合同条款另有约定外，发包人应根据施工需要，负责取得出入施工现场所需的</w:t>
      </w:r>
      <w:r>
        <w:rPr>
          <w:rFonts w:hint="eastAsia" w:ascii="Times New Roman" w:hAnsi="Times New Roman" w:eastAsia="仿宋_GB2312"/>
          <w:color w:val="000000"/>
          <w:kern w:val="0"/>
          <w:sz w:val="30"/>
          <w:szCs w:val="32"/>
          <w:highlight w:val="none"/>
        </w:rPr>
        <w:t>批准手续和</w:t>
      </w:r>
      <w:r>
        <w:rPr>
          <w:rFonts w:ascii="Times New Roman" w:hAnsi="Times New Roman" w:eastAsia="仿宋_GB2312"/>
          <w:color w:val="000000"/>
          <w:kern w:val="0"/>
          <w:sz w:val="30"/>
          <w:szCs w:val="32"/>
          <w:highlight w:val="none"/>
        </w:rPr>
        <w:t>全部权利，以及取得因施工所需修建道路、桥梁以及其他基础设施的权利，并承担相关手续费用和建设费用。承包人应协助发包人办理修建场内外道路、桥梁以及其他基础设施的手续。</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1.10.2</w:t>
      </w:r>
      <w:r>
        <w:rPr>
          <w:rFonts w:hint="eastAsia" w:ascii="Times New Roman" w:hAnsi="Times New Roman" w:eastAsia="仿宋_GB2312"/>
          <w:color w:val="000000"/>
          <w:kern w:val="0"/>
          <w:sz w:val="30"/>
          <w:szCs w:val="32"/>
          <w:highlight w:val="none"/>
        </w:rPr>
        <w:t xml:space="preserve"> </w:t>
      </w:r>
      <w:r>
        <w:rPr>
          <w:rFonts w:ascii="Times New Roman" w:hAnsi="Times New Roman" w:eastAsia="仿宋_GB2312"/>
          <w:color w:val="000000"/>
          <w:kern w:val="0"/>
          <w:sz w:val="30"/>
          <w:szCs w:val="32"/>
          <w:highlight w:val="none"/>
        </w:rPr>
        <w:t>场外交通</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1.10.3场内交通</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场外交通和场内交通的边界由合同当事人在专用合同条款中约定。</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1.10.4</w:t>
      </w:r>
      <w:r>
        <w:rPr>
          <w:rFonts w:hint="eastAsia" w:ascii="Times New Roman" w:hAnsi="Times New Roman" w:eastAsia="仿宋_GB2312"/>
          <w:color w:val="000000"/>
          <w:kern w:val="0"/>
          <w:sz w:val="30"/>
          <w:szCs w:val="32"/>
          <w:highlight w:val="none"/>
        </w:rPr>
        <w:t xml:space="preserve"> </w:t>
      </w:r>
      <w:r>
        <w:rPr>
          <w:rFonts w:ascii="Times New Roman" w:hAnsi="Times New Roman" w:eastAsia="仿宋_GB2312"/>
          <w:color w:val="000000"/>
          <w:kern w:val="0"/>
          <w:sz w:val="30"/>
          <w:szCs w:val="32"/>
          <w:highlight w:val="none"/>
        </w:rPr>
        <w:t>超大件和超重件的运输</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1.10.5</w:t>
      </w:r>
      <w:r>
        <w:rPr>
          <w:rFonts w:hint="eastAsia" w:ascii="Times New Roman" w:hAnsi="Times New Roman" w:eastAsia="仿宋_GB2312"/>
          <w:color w:val="000000"/>
          <w:kern w:val="0"/>
          <w:sz w:val="30"/>
          <w:szCs w:val="32"/>
          <w:highlight w:val="none"/>
        </w:rPr>
        <w:t xml:space="preserve"> </w:t>
      </w:r>
      <w:r>
        <w:rPr>
          <w:rFonts w:ascii="Times New Roman" w:hAnsi="Times New Roman" w:eastAsia="仿宋_GB2312"/>
          <w:color w:val="000000"/>
          <w:kern w:val="0"/>
          <w:sz w:val="30"/>
          <w:szCs w:val="32"/>
          <w:highlight w:val="none"/>
        </w:rPr>
        <w:t>道路和桥梁的损坏责任</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因承包人运输造成施工场地内外公共道路和桥梁损坏的，由承包人承担修复损坏的全部费用和可能引起的赔偿。</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1.10.6</w:t>
      </w:r>
      <w:r>
        <w:rPr>
          <w:rFonts w:hint="eastAsia" w:ascii="Times New Roman" w:hAnsi="Times New Roman" w:eastAsia="仿宋_GB2312"/>
          <w:color w:val="000000"/>
          <w:kern w:val="0"/>
          <w:sz w:val="30"/>
          <w:szCs w:val="32"/>
          <w:highlight w:val="none"/>
        </w:rPr>
        <w:t xml:space="preserve"> </w:t>
      </w:r>
      <w:r>
        <w:rPr>
          <w:rFonts w:ascii="Times New Roman" w:hAnsi="Times New Roman" w:eastAsia="仿宋_GB2312"/>
          <w:color w:val="000000"/>
          <w:kern w:val="0"/>
          <w:sz w:val="30"/>
          <w:szCs w:val="32"/>
          <w:highlight w:val="none"/>
        </w:rPr>
        <w:t>水路和航空运输</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本</w:t>
      </w:r>
      <w:r>
        <w:rPr>
          <w:rFonts w:hint="eastAsia" w:ascii="Times New Roman" w:hAnsi="Times New Roman" w:eastAsia="仿宋_GB2312"/>
          <w:color w:val="000000"/>
          <w:kern w:val="0"/>
          <w:sz w:val="30"/>
          <w:szCs w:val="32"/>
          <w:highlight w:val="none"/>
        </w:rPr>
        <w:t>款</w:t>
      </w:r>
      <w:r>
        <w:rPr>
          <w:rFonts w:ascii="Times New Roman" w:hAnsi="Times New Roman" w:eastAsia="仿宋_GB2312"/>
          <w:color w:val="000000"/>
          <w:kern w:val="0"/>
          <w:sz w:val="30"/>
          <w:szCs w:val="32"/>
          <w:highlight w:val="none"/>
        </w:rPr>
        <w:t>前述各</w:t>
      </w:r>
      <w:r>
        <w:rPr>
          <w:rFonts w:hint="eastAsia" w:ascii="Times New Roman" w:hAnsi="Times New Roman" w:eastAsia="仿宋_GB2312"/>
          <w:color w:val="000000"/>
          <w:kern w:val="0"/>
          <w:sz w:val="30"/>
          <w:szCs w:val="32"/>
          <w:highlight w:val="none"/>
        </w:rPr>
        <w:t>项</w:t>
      </w:r>
      <w:r>
        <w:rPr>
          <w:rFonts w:ascii="Times New Roman" w:hAnsi="Times New Roman" w:eastAsia="仿宋_GB2312"/>
          <w:color w:val="000000"/>
          <w:kern w:val="0"/>
          <w:sz w:val="30"/>
          <w:szCs w:val="32"/>
          <w:highlight w:val="none"/>
        </w:rPr>
        <w:t>的内容适用于水路运输和航空运输，其中“道路”一词的涵义包括河道、航线、船闸、机场、码头、堤防以及水路或航空运输中其他相似结构物；“车辆”一词的涵义包括船舶和飞机等。</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395" w:name="_Toc10812"/>
      <w:bookmarkStart w:id="396" w:name="_Toc286"/>
      <w:r>
        <w:rPr>
          <w:rFonts w:ascii="Times New Roman" w:hAnsi="Times New Roman" w:eastAsia="黑体"/>
          <w:b w:val="0"/>
          <w:color w:val="000000"/>
          <w:sz w:val="30"/>
          <w:szCs w:val="32"/>
          <w:highlight w:val="none"/>
        </w:rPr>
        <w:t>1</w:t>
      </w:r>
      <w:bookmarkStart w:id="397" w:name="_Toc337558737"/>
      <w:bookmarkStart w:id="398" w:name="_Toc296503037"/>
      <w:bookmarkStart w:id="399" w:name="_Toc296346538"/>
      <w:r>
        <w:rPr>
          <w:rFonts w:ascii="Times New Roman" w:hAnsi="Times New Roman" w:eastAsia="黑体"/>
          <w:b w:val="0"/>
          <w:color w:val="000000"/>
          <w:sz w:val="30"/>
          <w:szCs w:val="32"/>
          <w:highlight w:val="none"/>
        </w:rPr>
        <w:t>.11知识产权</w:t>
      </w:r>
      <w:bookmarkEnd w:id="395"/>
      <w:bookmarkEnd w:id="396"/>
      <w:r>
        <w:rPr>
          <w:rFonts w:ascii="Times New Roman" w:hAnsi="Times New Roman" w:eastAsia="黑体"/>
          <w:b w:val="0"/>
          <w:color w:val="000000"/>
          <w:sz w:val="30"/>
          <w:szCs w:val="32"/>
          <w:highlight w:val="none"/>
        </w:rPr>
        <w:t xml:space="preserve"> </w:t>
      </w:r>
      <w:bookmarkEnd w:id="397"/>
    </w:p>
    <w:bookmarkEnd w:id="398"/>
    <w:bookmarkEnd w:id="399"/>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rPr>
          <w:rFonts w:ascii="Times New Roman" w:hAnsi="Times New Roman"/>
          <w:sz w:val="30"/>
          <w:szCs w:val="24"/>
          <w:highlight w:val="none"/>
        </w:rPr>
      </w:pPr>
      <w:r>
        <w:rPr>
          <w:rFonts w:ascii="Times New Roman" w:hAnsi="Times New Roman" w:eastAsia="仿宋_GB2312"/>
          <w:color w:val="000000"/>
          <w:kern w:val="0"/>
          <w:sz w:val="30"/>
          <w:szCs w:val="32"/>
          <w:highlight w:val="none"/>
        </w:rPr>
        <w:t xml:space="preserve">    </w:t>
      </w:r>
      <w:r>
        <w:rPr>
          <w:rFonts w:ascii="Times New Roman" w:hAnsi="Times New Roman" w:eastAsia="仿宋_GB2312"/>
          <w:color w:val="000000"/>
          <w:sz w:val="30"/>
          <w:szCs w:val="32"/>
          <w:highlight w:val="none"/>
        </w:rPr>
        <w:t>1.11.4 除专用合同条款另有约定外，承包人在合同签订前和签订时已确定采用的专利、专有技术、技术秘密的使用费已包含在签约合同价中。</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400" w:name="_Toc19299"/>
      <w:bookmarkStart w:id="401" w:name="_Toc14110"/>
      <w:r>
        <w:rPr>
          <w:rFonts w:ascii="Times New Roman" w:hAnsi="Times New Roman" w:eastAsia="黑体"/>
          <w:b w:val="0"/>
          <w:color w:val="000000"/>
          <w:sz w:val="30"/>
          <w:szCs w:val="32"/>
          <w:highlight w:val="none"/>
        </w:rPr>
        <w:t>1</w:t>
      </w:r>
      <w:bookmarkStart w:id="402" w:name="_Toc337558738"/>
      <w:r>
        <w:rPr>
          <w:rFonts w:ascii="Times New Roman" w:hAnsi="Times New Roman" w:eastAsia="黑体"/>
          <w:b w:val="0"/>
          <w:color w:val="000000"/>
          <w:sz w:val="30"/>
          <w:szCs w:val="32"/>
          <w:highlight w:val="none"/>
        </w:rPr>
        <w:t>.12保密</w:t>
      </w:r>
      <w:bookmarkEnd w:id="400"/>
      <w:bookmarkEnd w:id="401"/>
    </w:p>
    <w:bookmarkEnd w:id="402"/>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除法律规定或合同另有约定外，未经发包人同意，承包人不得将发包人提供的图纸、文件以及声明需要保密的资料信息等商业秘密泄露给第三方。</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除法律规定或合同另有约定外，未经承包人同意，发包人不得将承包人提供的技术秘密及声明需要保密的资料信息等商业秘密泄露给第三方。</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403" w:name="_Toc28860"/>
      <w:bookmarkStart w:id="404" w:name="_Toc16473"/>
      <w:r>
        <w:rPr>
          <w:rFonts w:ascii="Times New Roman" w:hAnsi="Times New Roman" w:eastAsia="黑体"/>
          <w:b w:val="0"/>
          <w:color w:val="000000"/>
          <w:sz w:val="30"/>
          <w:szCs w:val="32"/>
          <w:highlight w:val="none"/>
        </w:rPr>
        <w:t>1.13工程量清单错误的修正</w:t>
      </w:r>
      <w:bookmarkEnd w:id="403"/>
      <w:bookmarkEnd w:id="404"/>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hint="eastAsia" w:ascii="Times New Roman" w:hAnsi="Times New Roman" w:eastAsia="仿宋_GB2312"/>
          <w:color w:val="000000"/>
          <w:kern w:val="0"/>
          <w:sz w:val="30"/>
          <w:szCs w:val="32"/>
          <w:highlight w:val="none"/>
        </w:rPr>
        <w:t>除专用合同条款另有约定外，</w:t>
      </w:r>
      <w:r>
        <w:rPr>
          <w:rFonts w:ascii="Times New Roman" w:hAnsi="Times New Roman" w:eastAsia="仿宋_GB2312"/>
          <w:color w:val="000000"/>
          <w:kern w:val="0"/>
          <w:sz w:val="30"/>
          <w:szCs w:val="32"/>
          <w:highlight w:val="none"/>
        </w:rPr>
        <w:t>发包人提供的工程量清单，应被认为是准确的和完整的。出现下列情形之一时，发包人应予以修正，并相应调整合同价格：</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（1）工程量清单存在缺项、漏项的；</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（2）工程量清单偏差超出专用合同条款约定的工程量偏差范围的；</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（3）未按照国家现行计量规范强制性规定计量的。</w:t>
      </w:r>
    </w:p>
    <w:p>
      <w:pPr>
        <w:pStyle w:val="5"/>
        <w:spacing w:before="120" w:after="120" w:line="360" w:lineRule="auto"/>
        <w:rPr>
          <w:rFonts w:ascii="Times New Roman" w:hAnsi="Times New Roman" w:eastAsia="黑体"/>
          <w:b w:val="0"/>
          <w:color w:val="000000"/>
          <w:sz w:val="32"/>
          <w:szCs w:val="32"/>
          <w:highlight w:val="none"/>
        </w:rPr>
      </w:pPr>
      <w:bookmarkStart w:id="405" w:name="_Toc20889"/>
      <w:bookmarkStart w:id="406" w:name="_Toc11075"/>
      <w:r>
        <w:rPr>
          <w:rFonts w:ascii="Times New Roman" w:hAnsi="Times New Roman" w:eastAsia="黑体"/>
          <w:b w:val="0"/>
          <w:color w:val="000000"/>
          <w:sz w:val="32"/>
          <w:szCs w:val="32"/>
          <w:highlight w:val="none"/>
        </w:rPr>
        <w:t>2</w:t>
      </w:r>
      <w:bookmarkStart w:id="407" w:name="_Toc337558739"/>
      <w:bookmarkStart w:id="408" w:name="_Toc296346539"/>
      <w:bookmarkStart w:id="409" w:name="_Toc296503038"/>
      <w:bookmarkStart w:id="410" w:name="OLE_LINK2"/>
      <w:bookmarkStart w:id="411" w:name="OLE_LINK1"/>
      <w:r>
        <w:rPr>
          <w:rFonts w:ascii="Times New Roman" w:hAnsi="Times New Roman" w:eastAsia="黑体"/>
          <w:b w:val="0"/>
          <w:color w:val="000000"/>
          <w:sz w:val="32"/>
          <w:szCs w:val="32"/>
          <w:highlight w:val="none"/>
        </w:rPr>
        <w:t>. 发包人</w:t>
      </w:r>
      <w:bookmarkEnd w:id="405"/>
      <w:bookmarkEnd w:id="406"/>
    </w:p>
    <w:bookmarkEnd w:id="407"/>
    <w:bookmarkEnd w:id="408"/>
    <w:bookmarkEnd w:id="409"/>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412" w:name="_Toc19230"/>
      <w:bookmarkStart w:id="413" w:name="_Toc27894"/>
      <w:r>
        <w:rPr>
          <w:rFonts w:ascii="Times New Roman" w:hAnsi="Times New Roman" w:eastAsia="黑体"/>
          <w:b w:val="0"/>
          <w:color w:val="000000"/>
          <w:sz w:val="30"/>
          <w:szCs w:val="32"/>
          <w:highlight w:val="none"/>
        </w:rPr>
        <w:t>2</w:t>
      </w:r>
      <w:bookmarkStart w:id="414" w:name="_Toc296503039"/>
      <w:bookmarkStart w:id="415" w:name="_Toc296346540"/>
      <w:bookmarkStart w:id="416" w:name="_Toc337558740"/>
      <w:r>
        <w:rPr>
          <w:rFonts w:ascii="Times New Roman" w:hAnsi="Times New Roman" w:eastAsia="黑体"/>
          <w:b w:val="0"/>
          <w:color w:val="000000"/>
          <w:sz w:val="30"/>
          <w:szCs w:val="32"/>
          <w:highlight w:val="none"/>
        </w:rPr>
        <w:t>.1 许可或批准</w:t>
      </w:r>
      <w:bookmarkEnd w:id="412"/>
      <w:bookmarkEnd w:id="413"/>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因发包人原因未能及时办理完毕前述许可、批准或备案，由发包人承担由此增加的费用和（或）延误的工期，并支付承包人合理的利润。</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417" w:name="_Toc7602"/>
      <w:bookmarkStart w:id="418" w:name="_Toc7608"/>
      <w:r>
        <w:rPr>
          <w:rFonts w:ascii="Times New Roman" w:hAnsi="Times New Roman" w:eastAsia="黑体"/>
          <w:b w:val="0"/>
          <w:color w:val="000000"/>
          <w:sz w:val="30"/>
          <w:szCs w:val="32"/>
          <w:highlight w:val="none"/>
        </w:rPr>
        <w:t>2.2 发包人代表</w:t>
      </w:r>
      <w:bookmarkEnd w:id="417"/>
      <w:bookmarkEnd w:id="418"/>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pPr>
        <w:ind w:firstLine="600" w:firstLineChars="200"/>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发包人代表不能按照合同约定履行其职责及义务，并导致合同无法继续正常履行的，承包人可以要求发包人撤换发包人代表。</w:t>
      </w:r>
    </w:p>
    <w:p>
      <w:pPr>
        <w:ind w:firstLine="600" w:firstLineChars="200"/>
        <w:rPr>
          <w:rFonts w:ascii="Times New Roman" w:hAnsi="Times New Roman"/>
          <w:sz w:val="30"/>
          <w:highlight w:val="none"/>
        </w:rPr>
      </w:pPr>
      <w:r>
        <w:rPr>
          <w:rFonts w:hint="eastAsia" w:ascii="Times New Roman" w:hAnsi="Times New Roman" w:eastAsia="仿宋_GB2312"/>
          <w:color w:val="000000"/>
          <w:kern w:val="0"/>
          <w:sz w:val="30"/>
          <w:szCs w:val="32"/>
          <w:highlight w:val="none"/>
        </w:rPr>
        <w:t>不属于法定必须监理的工程，监理人的职权可以由发包人代表或发包人指定的其他人员行使。</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419" w:name="_Toc21443"/>
      <w:bookmarkStart w:id="420" w:name="_Toc3279"/>
      <w:r>
        <w:rPr>
          <w:rFonts w:ascii="Times New Roman" w:hAnsi="Times New Roman" w:eastAsia="黑体"/>
          <w:b w:val="0"/>
          <w:color w:val="000000"/>
          <w:sz w:val="30"/>
          <w:szCs w:val="32"/>
          <w:highlight w:val="none"/>
        </w:rPr>
        <w:t>2.3 发包人人员</w:t>
      </w:r>
      <w:bookmarkEnd w:id="419"/>
      <w:bookmarkEnd w:id="420"/>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发包人应要求在施工现场的发包人人员遵守法律及有关安全、质量、环境保护、文明施工等规定，并保障承包人免于承受因发包人人员未遵守上述要求给承包人造成的损失和责任。</w:t>
      </w:r>
    </w:p>
    <w:p>
      <w:pPr>
        <w:spacing w:line="360" w:lineRule="auto"/>
        <w:ind w:firstLine="64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发包人人员包括发包人代表及其他由发包人派驻施工现场的人员。</w:t>
      </w:r>
      <w:bookmarkEnd w:id="414"/>
      <w:bookmarkEnd w:id="415"/>
      <w:bookmarkEnd w:id="416"/>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421" w:name="_Toc9881"/>
      <w:bookmarkStart w:id="422" w:name="_Toc21158"/>
      <w:r>
        <w:rPr>
          <w:rFonts w:ascii="Times New Roman" w:hAnsi="Times New Roman" w:eastAsia="黑体"/>
          <w:b w:val="0"/>
          <w:color w:val="000000"/>
          <w:sz w:val="30"/>
          <w:szCs w:val="32"/>
          <w:highlight w:val="none"/>
        </w:rPr>
        <w:t>2</w:t>
      </w:r>
      <w:bookmarkStart w:id="423" w:name="_Toc337558741"/>
      <w:bookmarkStart w:id="424" w:name="_Toc296346541"/>
      <w:bookmarkStart w:id="425" w:name="_Toc296503040"/>
      <w:r>
        <w:rPr>
          <w:rFonts w:ascii="Times New Roman" w:hAnsi="Times New Roman" w:eastAsia="黑体"/>
          <w:b w:val="0"/>
          <w:color w:val="000000"/>
          <w:sz w:val="30"/>
          <w:szCs w:val="32"/>
          <w:highlight w:val="none"/>
        </w:rPr>
        <w:t>.4 施工现场、施工条件和基础资料的提供</w:t>
      </w:r>
      <w:bookmarkEnd w:id="421"/>
      <w:bookmarkEnd w:id="422"/>
      <w:r>
        <w:rPr>
          <w:rFonts w:ascii="Times New Roman" w:hAnsi="Times New Roman" w:eastAsia="黑体"/>
          <w:b w:val="0"/>
          <w:color w:val="000000"/>
          <w:sz w:val="30"/>
          <w:szCs w:val="32"/>
          <w:highlight w:val="none"/>
        </w:rPr>
        <w:t xml:space="preserve"> </w:t>
      </w:r>
      <w:bookmarkEnd w:id="423"/>
      <w:bookmarkEnd w:id="424"/>
      <w:bookmarkEnd w:id="425"/>
      <w:r>
        <w:rPr>
          <w:rFonts w:ascii="Times New Roman" w:hAnsi="Times New Roman" w:eastAsia="黑体"/>
          <w:b w:val="0"/>
          <w:color w:val="000000"/>
          <w:sz w:val="30"/>
          <w:szCs w:val="32"/>
          <w:highlight w:val="none"/>
        </w:rPr>
        <w:t xml:space="preserve"> </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2.4.1 提供施工现场</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w:t>
      </w:r>
      <w:bookmarkEnd w:id="410"/>
      <w:bookmarkEnd w:id="411"/>
      <w:r>
        <w:rPr>
          <w:rFonts w:ascii="Times New Roman" w:hAnsi="Times New Roman" w:eastAsia="仿宋_GB2312"/>
          <w:color w:val="000000"/>
          <w:kern w:val="0"/>
          <w:sz w:val="30"/>
          <w:szCs w:val="32"/>
          <w:highlight w:val="none"/>
        </w:rPr>
        <w:t>专用合同条款另有约定外，发包人应</w:t>
      </w:r>
      <w:r>
        <w:rPr>
          <w:rFonts w:hint="eastAsia" w:ascii="Times New Roman" w:hAnsi="Times New Roman" w:eastAsia="仿宋_GB2312"/>
          <w:color w:val="000000"/>
          <w:kern w:val="0"/>
          <w:sz w:val="30"/>
          <w:szCs w:val="32"/>
          <w:highlight w:val="none"/>
        </w:rPr>
        <w:t>最迟于</w:t>
      </w:r>
      <w:r>
        <w:rPr>
          <w:rFonts w:ascii="Times New Roman" w:hAnsi="Times New Roman" w:eastAsia="仿宋_GB2312"/>
          <w:color w:val="000000"/>
          <w:kern w:val="0"/>
          <w:sz w:val="30"/>
          <w:szCs w:val="32"/>
          <w:highlight w:val="none"/>
        </w:rPr>
        <w:t>开工日期7天前向承包人移交施工现场。</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2.4.2 提供施工条件</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除专用合同条款另有约定外，发包人应负责提供施工所需要的条件，包括：</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（1）将施工用水、电力、通讯线路等施工所必需的条件接至施工现场内；</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（2）保证向承包人提供正常施工所需要的进入施工现场的交通条件；</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（3）协调处理施工现场周围地下管线和邻近建筑物、构筑物、古树名木的保护工作，并承担相关费用；</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（4）按照专用合同条款约定</w:t>
      </w:r>
      <w:r>
        <w:rPr>
          <w:rFonts w:hint="eastAsia" w:ascii="Times New Roman" w:hAnsi="Times New Roman" w:eastAsia="仿宋_GB2312"/>
          <w:color w:val="000000"/>
          <w:kern w:val="0"/>
          <w:sz w:val="30"/>
          <w:szCs w:val="32"/>
          <w:highlight w:val="none"/>
        </w:rPr>
        <w:t>应</w:t>
      </w:r>
      <w:r>
        <w:rPr>
          <w:rFonts w:ascii="Times New Roman" w:hAnsi="Times New Roman" w:eastAsia="仿宋_GB2312"/>
          <w:color w:val="000000"/>
          <w:kern w:val="0"/>
          <w:sz w:val="30"/>
          <w:szCs w:val="32"/>
          <w:highlight w:val="none"/>
        </w:rPr>
        <w:t>提供的其他设施和条件。</w:t>
      </w:r>
    </w:p>
    <w:p>
      <w:pPr>
        <w:autoSpaceDE w:val="0"/>
        <w:autoSpaceDN w:val="0"/>
        <w:adjustRightInd w:val="0"/>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kern w:val="0"/>
          <w:sz w:val="30"/>
          <w:szCs w:val="32"/>
          <w:highlight w:val="none"/>
        </w:rPr>
        <w:t>2.4.3 提供基础资料</w:t>
      </w:r>
    </w:p>
    <w:p>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hint="eastAsia" w:ascii="Times New Roman" w:hAnsi="Times New Roman" w:eastAsia="仿宋_GB2312"/>
          <w:color w:val="000000"/>
          <w:kern w:val="0"/>
          <w:sz w:val="30"/>
          <w:szCs w:val="32"/>
          <w:highlight w:val="none"/>
        </w:rPr>
        <w:t>按照法律规定确需在开工后方能提供的基础资料，发包人应尽其努力及时地在相应工程施工前的合理期限内提供，合理期限应以不影响承包人的正常施工为限。</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2.4.4 逾期提供的责任</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因发包人原因未能按合同约定及时向承包人提供施工现场、施工条件、基础资料的，由发包人承担由此增加的费用和（或）延误的工期。</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426" w:name="_Toc5033"/>
      <w:bookmarkStart w:id="427" w:name="_Toc16958"/>
      <w:r>
        <w:rPr>
          <w:rFonts w:ascii="Times New Roman" w:hAnsi="Times New Roman" w:eastAsia="黑体"/>
          <w:b w:val="0"/>
          <w:color w:val="000000"/>
          <w:sz w:val="30"/>
          <w:szCs w:val="32"/>
          <w:highlight w:val="none"/>
        </w:rPr>
        <w:t>2</w:t>
      </w:r>
      <w:bookmarkStart w:id="428" w:name="_Toc296346543"/>
      <w:bookmarkStart w:id="429" w:name="_Toc337558745"/>
      <w:bookmarkStart w:id="430" w:name="_Toc296503042"/>
      <w:r>
        <w:rPr>
          <w:rFonts w:ascii="Times New Roman" w:hAnsi="Times New Roman" w:eastAsia="黑体"/>
          <w:b w:val="0"/>
          <w:color w:val="000000"/>
          <w:sz w:val="30"/>
          <w:szCs w:val="32"/>
          <w:highlight w:val="none"/>
        </w:rPr>
        <w:t>.5 资</w:t>
      </w:r>
      <w:bookmarkEnd w:id="428"/>
      <w:bookmarkEnd w:id="429"/>
      <w:bookmarkEnd w:id="430"/>
      <w:r>
        <w:rPr>
          <w:rFonts w:ascii="Times New Roman" w:hAnsi="Times New Roman" w:eastAsia="黑体"/>
          <w:b w:val="0"/>
          <w:color w:val="000000"/>
          <w:sz w:val="30"/>
          <w:szCs w:val="32"/>
          <w:highlight w:val="none"/>
        </w:rPr>
        <w:t>金来源证明及支付担保</w:t>
      </w:r>
      <w:bookmarkEnd w:id="426"/>
      <w:bookmarkEnd w:id="427"/>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除专用合同条款另有约定外，发包人应在收到承包人要求提供资金来源证明的书面通知后28天内，向承包人提供能够按照合同约定支付合同价款的相应资金来源证明。</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431" w:name="_Toc209"/>
      <w:bookmarkStart w:id="432" w:name="_Toc3501"/>
      <w:r>
        <w:rPr>
          <w:rFonts w:ascii="Times New Roman" w:hAnsi="Times New Roman" w:eastAsia="黑体"/>
          <w:b w:val="0"/>
          <w:color w:val="000000"/>
          <w:sz w:val="30"/>
          <w:szCs w:val="32"/>
          <w:highlight w:val="none"/>
        </w:rPr>
        <w:t>2.6 支付合同价款</w:t>
      </w:r>
      <w:bookmarkEnd w:id="431"/>
      <w:bookmarkEnd w:id="432"/>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发包人应按合同约定向承包人及时支付合同价款。</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433" w:name="_Toc27382"/>
      <w:bookmarkStart w:id="434" w:name="_Toc17971"/>
      <w:r>
        <w:rPr>
          <w:rFonts w:ascii="Times New Roman" w:hAnsi="Times New Roman" w:eastAsia="黑体"/>
          <w:b w:val="0"/>
          <w:color w:val="000000"/>
          <w:sz w:val="30"/>
          <w:szCs w:val="32"/>
          <w:highlight w:val="none"/>
        </w:rPr>
        <w:t>2.7 组织竣工验收</w:t>
      </w:r>
      <w:bookmarkEnd w:id="433"/>
      <w:bookmarkEnd w:id="434"/>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发包人应按合同约定及时组织竣工验收。</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435" w:name="_Toc10844"/>
      <w:bookmarkStart w:id="436" w:name="_Toc4375"/>
      <w:r>
        <w:rPr>
          <w:rFonts w:ascii="Times New Roman" w:hAnsi="Times New Roman" w:eastAsia="黑体"/>
          <w:b w:val="0"/>
          <w:color w:val="000000"/>
          <w:sz w:val="30"/>
          <w:szCs w:val="32"/>
          <w:highlight w:val="none"/>
        </w:rPr>
        <w:t>2.8 现场统一管理协议</w:t>
      </w:r>
      <w:bookmarkEnd w:id="435"/>
      <w:bookmarkEnd w:id="436"/>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发包人应与承包人、由发包人直接发包的专业工程的承包人签订施工现场统一管理协议，明确各方的权利义务。施工现场统一管理协议作为专用合同条款的附件。</w:t>
      </w:r>
    </w:p>
    <w:p>
      <w:pPr>
        <w:pStyle w:val="5"/>
        <w:spacing w:before="120" w:after="120" w:line="360" w:lineRule="auto"/>
        <w:rPr>
          <w:rFonts w:ascii="Times New Roman" w:hAnsi="Times New Roman" w:eastAsia="黑体"/>
          <w:b w:val="0"/>
          <w:color w:val="000000"/>
          <w:sz w:val="32"/>
          <w:szCs w:val="32"/>
          <w:highlight w:val="none"/>
        </w:rPr>
      </w:pPr>
      <w:bookmarkStart w:id="437" w:name="_Toc11891"/>
      <w:bookmarkStart w:id="438" w:name="_Toc4191"/>
      <w:r>
        <w:rPr>
          <w:rFonts w:ascii="Times New Roman" w:hAnsi="Times New Roman" w:eastAsia="黑体"/>
          <w:b w:val="0"/>
          <w:color w:val="000000"/>
          <w:sz w:val="32"/>
          <w:szCs w:val="32"/>
          <w:highlight w:val="none"/>
        </w:rPr>
        <w:t>3</w:t>
      </w:r>
      <w:bookmarkStart w:id="439" w:name="_Toc337558746"/>
      <w:bookmarkStart w:id="440" w:name="_Toc296346546"/>
      <w:bookmarkStart w:id="441" w:name="_Toc296503045"/>
      <w:r>
        <w:rPr>
          <w:rFonts w:ascii="Times New Roman" w:hAnsi="Times New Roman" w:eastAsia="黑体"/>
          <w:b w:val="0"/>
          <w:color w:val="000000"/>
          <w:sz w:val="32"/>
          <w:szCs w:val="32"/>
          <w:highlight w:val="none"/>
        </w:rPr>
        <w:t>. 承包人</w:t>
      </w:r>
      <w:bookmarkEnd w:id="437"/>
      <w:bookmarkEnd w:id="438"/>
    </w:p>
    <w:bookmarkEnd w:id="439"/>
    <w:bookmarkEnd w:id="440"/>
    <w:bookmarkEnd w:id="441"/>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442" w:name="_Toc11988"/>
      <w:bookmarkStart w:id="443" w:name="_Toc13259"/>
      <w:r>
        <w:rPr>
          <w:rFonts w:ascii="Times New Roman" w:hAnsi="Times New Roman" w:eastAsia="黑体"/>
          <w:b w:val="0"/>
          <w:color w:val="000000"/>
          <w:sz w:val="30"/>
          <w:szCs w:val="32"/>
          <w:highlight w:val="none"/>
        </w:rPr>
        <w:t>3</w:t>
      </w:r>
      <w:bookmarkStart w:id="444" w:name="_Toc337558747"/>
      <w:bookmarkStart w:id="445" w:name="_Toc296503046"/>
      <w:bookmarkStart w:id="446" w:name="_Toc296346547"/>
      <w:r>
        <w:rPr>
          <w:rFonts w:ascii="Times New Roman" w:hAnsi="Times New Roman" w:eastAsia="黑体"/>
          <w:b w:val="0"/>
          <w:color w:val="000000"/>
          <w:sz w:val="30"/>
          <w:szCs w:val="32"/>
          <w:highlight w:val="none"/>
        </w:rPr>
        <w:t>.1 承包人的一般义务</w:t>
      </w:r>
      <w:bookmarkEnd w:id="442"/>
      <w:bookmarkEnd w:id="443"/>
    </w:p>
    <w:bookmarkEnd w:id="444"/>
    <w:bookmarkEnd w:id="445"/>
    <w:bookmarkEnd w:id="446"/>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承包人在履行合同过程中应遵守法律和工程建设标准规范，并履行以下义务：</w:t>
      </w:r>
    </w:p>
    <w:p>
      <w:pPr>
        <w:numPr>
          <w:ilvl w:val="0"/>
          <w:numId w:val="6"/>
        </w:num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办理法律规定</w:t>
      </w:r>
      <w:r>
        <w:rPr>
          <w:rFonts w:hint="eastAsia" w:ascii="Times New Roman" w:hAnsi="Times New Roman" w:eastAsia="仿宋_GB2312"/>
          <w:color w:val="000000"/>
          <w:kern w:val="0"/>
          <w:sz w:val="30"/>
          <w:szCs w:val="32"/>
          <w:highlight w:val="none"/>
        </w:rPr>
        <w:t>应</w:t>
      </w:r>
      <w:r>
        <w:rPr>
          <w:rFonts w:ascii="Times New Roman" w:hAnsi="Times New Roman" w:eastAsia="仿宋_GB2312"/>
          <w:color w:val="000000"/>
          <w:kern w:val="0"/>
          <w:sz w:val="30"/>
          <w:szCs w:val="32"/>
          <w:highlight w:val="none"/>
        </w:rPr>
        <w:t>由承包人办理的许可和批准，并将</w:t>
      </w:r>
      <w:r>
        <w:rPr>
          <w:rFonts w:hint="eastAsia" w:ascii="Times New Roman" w:hAnsi="Times New Roman" w:eastAsia="仿宋_GB2312"/>
          <w:color w:val="000000"/>
          <w:kern w:val="0"/>
          <w:sz w:val="30"/>
          <w:szCs w:val="32"/>
          <w:highlight w:val="none"/>
        </w:rPr>
        <w:t>办理</w:t>
      </w:r>
      <w:r>
        <w:rPr>
          <w:rFonts w:ascii="Times New Roman" w:hAnsi="Times New Roman" w:eastAsia="仿宋_GB2312"/>
          <w:color w:val="000000"/>
          <w:kern w:val="0"/>
          <w:sz w:val="30"/>
          <w:szCs w:val="32"/>
          <w:highlight w:val="none"/>
        </w:rPr>
        <w:t>结果书面报送发包人留存；</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（2）按法律规定和合同约定完成工程，并在保修期内承担保修义务；</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（3）按法律规定和合同约定采取施工安全和环境保护措施，办理工伤保险，确保工程及人员、材料、设备和设施的安全；</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（4）按合同约定的工作内容和施工进度要求，编制施工组织设计和施工措施计划，并对所有施工作业和施工方法的完备性和安全可靠性负责；</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（6）按照第6.3款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环境保护</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约定负责施工场地及其周边环境与生态的保护工作；</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（7）按第6.1款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安全文明施工</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约定采取施工安全措施，确保工程及其人员、材料、设备和设施的安全，防止因工程施工造成的人身伤害和财产损失；</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（8）</w:t>
      </w:r>
      <w:r>
        <w:rPr>
          <w:rFonts w:hint="eastAsia" w:ascii="Times New Roman" w:hAnsi="Times New Roman" w:eastAsia="仿宋_GB2312"/>
          <w:color w:val="000000"/>
          <w:kern w:val="0"/>
          <w:sz w:val="30"/>
          <w:szCs w:val="32"/>
          <w:highlight w:val="none"/>
        </w:rPr>
        <w:t>将</w:t>
      </w:r>
      <w:r>
        <w:rPr>
          <w:rFonts w:ascii="Times New Roman" w:hAnsi="Times New Roman" w:eastAsia="仿宋_GB2312"/>
          <w:color w:val="000000"/>
          <w:kern w:val="0"/>
          <w:sz w:val="30"/>
          <w:szCs w:val="32"/>
          <w:highlight w:val="none"/>
        </w:rPr>
        <w:t>发包人按合同约定支付的各项价款专用于合同工程，且应及时支付其雇用人员工资，并及时向分包人支付合同价款；</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（9）按照法律规定和合同约定编制竣工资料，完成竣工资料立卷及归档，并按专用合同条款约定的竣工资料的套数、内容、时间等要求移交发包人；</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（10）应履行的其他义务。</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447" w:name="_Toc25178"/>
      <w:bookmarkStart w:id="448" w:name="_Toc19778"/>
      <w:r>
        <w:rPr>
          <w:rFonts w:ascii="Times New Roman" w:hAnsi="Times New Roman" w:eastAsia="黑体"/>
          <w:b w:val="0"/>
          <w:color w:val="000000"/>
          <w:sz w:val="30"/>
          <w:szCs w:val="32"/>
          <w:highlight w:val="none"/>
        </w:rPr>
        <w:t>3</w:t>
      </w:r>
      <w:bookmarkStart w:id="449" w:name="_Toc337558748"/>
      <w:bookmarkStart w:id="450" w:name="_Toc296503047"/>
      <w:bookmarkStart w:id="451" w:name="_Toc296346548"/>
      <w:r>
        <w:rPr>
          <w:rFonts w:ascii="Times New Roman" w:hAnsi="Times New Roman" w:eastAsia="黑体"/>
          <w:b w:val="0"/>
          <w:color w:val="000000"/>
          <w:sz w:val="30"/>
          <w:szCs w:val="32"/>
          <w:highlight w:val="none"/>
        </w:rPr>
        <w:t>.2 项目经理</w:t>
      </w:r>
      <w:bookmarkEnd w:id="447"/>
      <w:bookmarkEnd w:id="448"/>
    </w:p>
    <w:bookmarkEnd w:id="449"/>
    <w:bookmarkEnd w:id="450"/>
    <w:bookmarkEnd w:id="451"/>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承包人违反上述约定的，应按照专用合同条款的约定，承担违约责任。</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3.2.2 项目经理按合同约定组织工程实施。在紧急情况下</w:t>
      </w:r>
      <w:r>
        <w:rPr>
          <w:rFonts w:hint="eastAsia" w:ascii="Times New Roman" w:hAnsi="Times New Roman" w:eastAsia="仿宋_GB2312"/>
          <w:color w:val="000000"/>
          <w:kern w:val="0"/>
          <w:sz w:val="30"/>
          <w:szCs w:val="32"/>
          <w:highlight w:val="none"/>
        </w:rPr>
        <w:t>为确保施工安全和人员安全</w:t>
      </w:r>
      <w:r>
        <w:rPr>
          <w:rFonts w:ascii="Times New Roman" w:hAnsi="Times New Roman" w:eastAsia="仿宋_GB2312"/>
          <w:color w:val="000000"/>
          <w:kern w:val="0"/>
          <w:sz w:val="30"/>
          <w:szCs w:val="32"/>
          <w:highlight w:val="none"/>
        </w:rPr>
        <w:t>，</w:t>
      </w:r>
      <w:r>
        <w:rPr>
          <w:rFonts w:hint="eastAsia" w:ascii="Times New Roman" w:hAnsi="Times New Roman" w:eastAsia="仿宋_GB2312"/>
          <w:color w:val="000000"/>
          <w:kern w:val="0"/>
          <w:sz w:val="30"/>
          <w:szCs w:val="32"/>
          <w:highlight w:val="none"/>
        </w:rPr>
        <w:t>在</w:t>
      </w:r>
      <w:r>
        <w:rPr>
          <w:rFonts w:ascii="Times New Roman" w:hAnsi="Times New Roman" w:eastAsia="仿宋_GB2312"/>
          <w:color w:val="000000"/>
          <w:kern w:val="0"/>
          <w:sz w:val="30"/>
          <w:szCs w:val="32"/>
          <w:highlight w:val="none"/>
        </w:rPr>
        <w:t>无法与发包人代表和总监理工程师</w:t>
      </w:r>
      <w:r>
        <w:rPr>
          <w:rFonts w:hint="eastAsia" w:ascii="Times New Roman" w:hAnsi="Times New Roman" w:eastAsia="仿宋_GB2312"/>
          <w:color w:val="000000"/>
          <w:kern w:val="0"/>
          <w:sz w:val="30"/>
          <w:szCs w:val="32"/>
          <w:highlight w:val="none"/>
        </w:rPr>
        <w:t>及时</w:t>
      </w:r>
      <w:r>
        <w:rPr>
          <w:rFonts w:ascii="Times New Roman" w:hAnsi="Times New Roman" w:eastAsia="仿宋_GB2312"/>
          <w:color w:val="000000"/>
          <w:kern w:val="0"/>
          <w:sz w:val="30"/>
          <w:szCs w:val="32"/>
          <w:highlight w:val="none"/>
        </w:rPr>
        <w:t>取得联系时，项目经理有权采取必要的措施保证与工程有关的人身、财产和工程的安全，但应在48小时内向发包人代表和总监理工程师提交书面报告。</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w:t>
      </w:r>
      <w:r>
        <w:rPr>
          <w:rFonts w:hint="eastAsia" w:ascii="Times New Roman" w:hAnsi="Times New Roman" w:eastAsia="仿宋_GB2312"/>
          <w:color w:val="000000"/>
          <w:kern w:val="0"/>
          <w:sz w:val="30"/>
          <w:szCs w:val="32"/>
          <w:highlight w:val="none"/>
        </w:rPr>
        <w:t>继</w:t>
      </w:r>
      <w:r>
        <w:rPr>
          <w:rFonts w:ascii="Times New Roman" w:hAnsi="Times New Roman" w:eastAsia="仿宋_GB2312"/>
          <w:color w:val="000000"/>
          <w:kern w:val="0"/>
          <w:sz w:val="30"/>
          <w:szCs w:val="32"/>
          <w:highlight w:val="none"/>
        </w:rPr>
        <w:t>任项目经理继续履行第3.2.1项约定的职责。承包人无正当理由拒绝更换项目经理的，应按照专用合同条款的约定承担违约责任。</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3.2.5 项目经理因特殊情况授权其下属人员履行其某项工作职责的，该下属人员应具备履行相应职责的能力，并应提前7天将上述人员的姓名和授权范围书面通知监理人，并征得发包人书面同意。</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452" w:name="_Toc167"/>
      <w:bookmarkStart w:id="453" w:name="_Toc22650"/>
      <w:r>
        <w:rPr>
          <w:rFonts w:ascii="Times New Roman" w:hAnsi="Times New Roman" w:eastAsia="黑体"/>
          <w:b w:val="0"/>
          <w:color w:val="000000"/>
          <w:sz w:val="30"/>
          <w:szCs w:val="32"/>
          <w:highlight w:val="none"/>
        </w:rPr>
        <w:t>3</w:t>
      </w:r>
      <w:bookmarkStart w:id="454" w:name="_Toc296503048"/>
      <w:bookmarkStart w:id="455" w:name="_Toc296346549"/>
      <w:bookmarkStart w:id="456" w:name="_Toc337558749"/>
      <w:r>
        <w:rPr>
          <w:rFonts w:ascii="Times New Roman" w:hAnsi="Times New Roman" w:eastAsia="黑体"/>
          <w:b w:val="0"/>
          <w:color w:val="000000"/>
          <w:sz w:val="30"/>
          <w:szCs w:val="32"/>
          <w:highlight w:val="none"/>
        </w:rPr>
        <w:t xml:space="preserve">.3 </w:t>
      </w:r>
      <w:bookmarkEnd w:id="454"/>
      <w:bookmarkEnd w:id="455"/>
      <w:r>
        <w:rPr>
          <w:rFonts w:ascii="Times New Roman" w:hAnsi="Times New Roman" w:eastAsia="黑体"/>
          <w:b w:val="0"/>
          <w:color w:val="000000"/>
          <w:sz w:val="30"/>
          <w:szCs w:val="32"/>
          <w:highlight w:val="none"/>
        </w:rPr>
        <w:t>承包人人员</w:t>
      </w:r>
      <w:bookmarkEnd w:id="452"/>
      <w:bookmarkEnd w:id="453"/>
    </w:p>
    <w:bookmarkEnd w:id="456"/>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w:t>
      </w:r>
      <w:r>
        <w:rPr>
          <w:rFonts w:hint="eastAsia" w:ascii="Times New Roman" w:hAnsi="Times New Roman" w:eastAsia="仿宋_GB2312"/>
          <w:color w:val="000000"/>
          <w:kern w:val="0"/>
          <w:sz w:val="30"/>
          <w:szCs w:val="32"/>
          <w:highlight w:val="none"/>
        </w:rPr>
        <w:t>和</w:t>
      </w:r>
      <w:r>
        <w:rPr>
          <w:rFonts w:ascii="Times New Roman" w:hAnsi="Times New Roman" w:eastAsia="仿宋_GB2312"/>
          <w:color w:val="000000"/>
          <w:kern w:val="0"/>
          <w:sz w:val="30"/>
          <w:szCs w:val="32"/>
          <w:highlight w:val="none"/>
        </w:rPr>
        <w:t>缴纳社会保险的有效证明。</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3.3.2 承包人派驻到施工现场的主要施工管理人员应相对稳定。施工过程中</w:t>
      </w:r>
      <w:r>
        <w:rPr>
          <w:rFonts w:hint="eastAsia" w:ascii="Times New Roman" w:hAnsi="Times New Roman" w:eastAsia="仿宋_GB2312"/>
          <w:color w:val="000000"/>
          <w:kern w:val="0"/>
          <w:sz w:val="30"/>
          <w:szCs w:val="32"/>
          <w:highlight w:val="none"/>
        </w:rPr>
        <w:t>如有变动</w:t>
      </w:r>
      <w:r>
        <w:rPr>
          <w:rFonts w:ascii="Times New Roman" w:hAnsi="Times New Roman" w:eastAsia="仿宋_GB2312"/>
          <w:color w:val="000000"/>
          <w:kern w:val="0"/>
          <w:sz w:val="30"/>
          <w:szCs w:val="32"/>
          <w:highlight w:val="none"/>
        </w:rPr>
        <w:t>，承包人应及时向监理人提交施工现场人员变动情况的报告。承包人更换主要施工管理人员时，应提前7天书面通知监理人，并征得发包人书面同意。通知中应当载明继任人员的注册执业资格、管理经验等资料。</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特殊工种作业人员均应持有相应的资格证明，监理人可以随时检查。</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3.3.3 发包人对于承包人主要施工管理人员</w:t>
      </w:r>
      <w:r>
        <w:rPr>
          <w:rFonts w:hint="eastAsia" w:ascii="Times New Roman" w:hAnsi="Times New Roman" w:eastAsia="仿宋_GB2312"/>
          <w:color w:val="000000"/>
          <w:kern w:val="0"/>
          <w:sz w:val="30"/>
          <w:szCs w:val="32"/>
          <w:highlight w:val="none"/>
        </w:rPr>
        <w:t>的资格或能力</w:t>
      </w:r>
      <w:r>
        <w:rPr>
          <w:rFonts w:ascii="Times New Roman" w:hAnsi="Times New Roman" w:eastAsia="仿宋_GB2312"/>
          <w:color w:val="000000"/>
          <w:kern w:val="0"/>
          <w:sz w:val="30"/>
          <w:szCs w:val="32"/>
          <w:highlight w:val="none"/>
        </w:rPr>
        <w:t>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3.3.5 承包人擅自更换主要施工管理人员，或前述人员未经监理人或发包人同意擅自离开施工现场的，应按照专用合同条款约定承担违约责任。</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457" w:name="_Toc29628"/>
      <w:bookmarkStart w:id="458" w:name="_Toc2692"/>
      <w:r>
        <w:rPr>
          <w:rFonts w:ascii="Times New Roman" w:hAnsi="Times New Roman" w:eastAsia="黑体"/>
          <w:b w:val="0"/>
          <w:color w:val="000000"/>
          <w:sz w:val="30"/>
          <w:szCs w:val="32"/>
          <w:highlight w:val="none"/>
        </w:rPr>
        <w:t>3</w:t>
      </w:r>
      <w:bookmarkStart w:id="459" w:name="_Toc296503050"/>
      <w:bookmarkStart w:id="460" w:name="_Toc296346551"/>
      <w:bookmarkStart w:id="461" w:name="_Toc337558750"/>
      <w:r>
        <w:rPr>
          <w:rFonts w:ascii="Times New Roman" w:hAnsi="Times New Roman" w:eastAsia="黑体"/>
          <w:b w:val="0"/>
          <w:color w:val="000000"/>
          <w:sz w:val="30"/>
          <w:szCs w:val="32"/>
          <w:highlight w:val="none"/>
        </w:rPr>
        <w:t>.4 承包人现场查勘</w:t>
      </w:r>
      <w:bookmarkEnd w:id="457"/>
      <w:bookmarkEnd w:id="458"/>
    </w:p>
    <w:bookmarkEnd w:id="459"/>
    <w:bookmarkEnd w:id="460"/>
    <w:bookmarkEnd w:id="461"/>
    <w:p>
      <w:pPr>
        <w:autoSpaceDE w:val="0"/>
        <w:autoSpaceDN w:val="0"/>
        <w:adjustRightInd w:val="0"/>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kern w:val="0"/>
          <w:sz w:val="30"/>
          <w:szCs w:val="32"/>
          <w:highlight w:val="none"/>
        </w:rPr>
        <w:t>承包人应对基于发包人按照第2.4.3项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提供基础资料</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提交的基础资料所做出的解释和推断负责，但因基础资料存在错误、遗漏导致承包人解释或推断失实的，由发包人承担责任。</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pStyle w:val="6"/>
        <w:spacing w:before="120" w:after="120" w:line="360" w:lineRule="auto"/>
        <w:ind w:firstLine="600" w:firstLineChars="200"/>
        <w:rPr>
          <w:rFonts w:hint="eastAsia" w:ascii="Times New Roman" w:hAnsi="Times New Roman" w:eastAsia="黑体"/>
          <w:b w:val="0"/>
          <w:color w:val="000000"/>
          <w:sz w:val="30"/>
          <w:szCs w:val="32"/>
          <w:highlight w:val="none"/>
        </w:rPr>
      </w:pPr>
      <w:bookmarkStart w:id="462" w:name="_Toc22159"/>
      <w:bookmarkStart w:id="463" w:name="_Toc23010"/>
      <w:r>
        <w:rPr>
          <w:rFonts w:ascii="Times New Roman" w:hAnsi="Times New Roman" w:eastAsia="黑体"/>
          <w:b w:val="0"/>
          <w:color w:val="000000"/>
          <w:sz w:val="30"/>
          <w:szCs w:val="32"/>
          <w:highlight w:val="none"/>
        </w:rPr>
        <w:t>3</w:t>
      </w:r>
      <w:bookmarkStart w:id="464" w:name="_Toc296346552"/>
      <w:bookmarkStart w:id="465" w:name="_Toc296503051"/>
      <w:bookmarkStart w:id="466" w:name="_Toc337558751"/>
      <w:r>
        <w:rPr>
          <w:rFonts w:ascii="Times New Roman" w:hAnsi="Times New Roman" w:eastAsia="黑体"/>
          <w:b w:val="0"/>
          <w:color w:val="000000"/>
          <w:sz w:val="30"/>
          <w:szCs w:val="32"/>
          <w:highlight w:val="none"/>
        </w:rPr>
        <w:t>.5 分包</w:t>
      </w:r>
      <w:bookmarkEnd w:id="462"/>
      <w:bookmarkEnd w:id="463"/>
    </w:p>
    <w:bookmarkEnd w:id="464"/>
    <w:bookmarkEnd w:id="465"/>
    <w:bookmarkEnd w:id="466"/>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3.5.1 分包的一般约定</w:t>
      </w:r>
    </w:p>
    <w:p>
      <w:pPr>
        <w:spacing w:line="360" w:lineRule="auto"/>
        <w:ind w:firstLine="600" w:firstLineChars="200"/>
        <w:jc w:val="left"/>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hint="eastAsia" w:ascii="Times New Roman" w:hAnsi="Times New Roman" w:eastAsia="仿宋_GB2312"/>
          <w:color w:val="000000"/>
          <w:kern w:val="0"/>
          <w:sz w:val="30"/>
          <w:szCs w:val="32"/>
          <w:highlight w:val="none"/>
        </w:rPr>
        <w:t>承包人不得以劳务分包的名义转包或违法分包工程。</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3.5.2 分包的确定</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承包人应按专用合同条款的约定进行分包，确定分包人。已标价工程量清单或预算书中给定暂估价的专业工程，按照第10.7款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暂估价</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3.5.3 分包管理</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承包人应向监理人提交分包人的主要施工管理人员表，并对分包人的施工人员进行实名制管理，包括但不限于进出场管理、登记造册以及各种证照的办理。</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3.5.4 分包合同价款</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（1）除本项第（2）目约定的情况或专用合同条款另有约定外，分包合同价款由承包人与分包人结算，未经承包人同意，发包人不得向分包人支付分包工程价款；</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（2）生效法律文书要求发包人向分包人支付分包合同价款的，发包人有权从应付承包人工程款中扣除该部分款项。</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3.5.5 分包合同权益的转让</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467" w:name="_Toc11709"/>
      <w:bookmarkStart w:id="468" w:name="_Toc29596"/>
      <w:r>
        <w:rPr>
          <w:rFonts w:ascii="Times New Roman" w:hAnsi="Times New Roman" w:eastAsia="黑体"/>
          <w:b w:val="0"/>
          <w:color w:val="000000"/>
          <w:sz w:val="30"/>
          <w:szCs w:val="32"/>
          <w:highlight w:val="none"/>
        </w:rPr>
        <w:t>3.6 工程照管与成品、半成品保护</w:t>
      </w:r>
      <w:bookmarkEnd w:id="467"/>
      <w:bookmarkEnd w:id="468"/>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（1）除专用合同条款另有约定外，自发包人向承包人移交施工现场之日起，承包人应负责照管工程及工程相关的材料、工程设备，直到颁发工程接收证书之日止。</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w:t>
      </w:r>
      <w:r>
        <w:rPr>
          <w:rFonts w:hint="eastAsia" w:ascii="Times New Roman" w:hAnsi="Times New Roman" w:eastAsia="仿宋_GB2312"/>
          <w:color w:val="000000"/>
          <w:kern w:val="0"/>
          <w:sz w:val="30"/>
          <w:szCs w:val="32"/>
          <w:highlight w:val="none"/>
        </w:rPr>
        <w:t>2</w:t>
      </w:r>
      <w:r>
        <w:rPr>
          <w:rFonts w:ascii="Times New Roman" w:hAnsi="Times New Roman" w:eastAsia="仿宋_GB2312"/>
          <w:color w:val="000000"/>
          <w:kern w:val="0"/>
          <w:sz w:val="30"/>
          <w:szCs w:val="32"/>
          <w:highlight w:val="none"/>
        </w:rPr>
        <w:t>）在承包人负责照管期间，因承包人原因造成工程、材料、工程设备损坏的，由承包人负责修复或更换，并承担由此增加的费用和（或）延误的工期。</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w:t>
      </w:r>
      <w:r>
        <w:rPr>
          <w:rFonts w:hint="eastAsia" w:ascii="Times New Roman" w:hAnsi="Times New Roman" w:eastAsia="仿宋_GB2312"/>
          <w:color w:val="000000"/>
          <w:kern w:val="0"/>
          <w:sz w:val="30"/>
          <w:szCs w:val="32"/>
          <w:highlight w:val="none"/>
        </w:rPr>
        <w:t>3</w:t>
      </w:r>
      <w:r>
        <w:rPr>
          <w:rFonts w:ascii="Times New Roman" w:hAnsi="Times New Roman" w:eastAsia="仿宋_GB2312"/>
          <w:color w:val="000000"/>
          <w:kern w:val="0"/>
          <w:sz w:val="30"/>
          <w:szCs w:val="32"/>
          <w:highlight w:val="none"/>
        </w:rPr>
        <w:t>）对合同内分期完成的成品和半成品，在工程接收证书颁发前，由承包人承担保护责任。因承包人原因造成成品或半成品损坏的，由承包人负责修复或更换，并承担由此增加的费用和（或）延误的工期。</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469" w:name="_Toc19893"/>
      <w:bookmarkStart w:id="470" w:name="_Toc9755"/>
      <w:r>
        <w:rPr>
          <w:rFonts w:ascii="Times New Roman" w:hAnsi="Times New Roman" w:eastAsia="黑体"/>
          <w:b w:val="0"/>
          <w:color w:val="000000"/>
          <w:sz w:val="30"/>
          <w:szCs w:val="32"/>
          <w:highlight w:val="none"/>
        </w:rPr>
        <w:t>3</w:t>
      </w:r>
      <w:bookmarkStart w:id="471" w:name="_Toc296503052"/>
      <w:bookmarkStart w:id="472" w:name="_Toc296346553"/>
      <w:bookmarkStart w:id="473" w:name="_Toc337558752"/>
      <w:r>
        <w:rPr>
          <w:rFonts w:ascii="Times New Roman" w:hAnsi="Times New Roman" w:eastAsia="黑体"/>
          <w:b w:val="0"/>
          <w:color w:val="000000"/>
          <w:sz w:val="30"/>
          <w:szCs w:val="32"/>
          <w:highlight w:val="none"/>
        </w:rPr>
        <w:t>.7 履约担保</w:t>
      </w:r>
      <w:bookmarkEnd w:id="469"/>
      <w:bookmarkEnd w:id="470"/>
    </w:p>
    <w:bookmarkEnd w:id="471"/>
    <w:bookmarkEnd w:id="472"/>
    <w:bookmarkEnd w:id="473"/>
    <w:p>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highlight w:val="none"/>
        </w:rPr>
      </w:pPr>
      <w:r>
        <w:rPr>
          <w:rFonts w:hint="eastAsia" w:ascii="Times New Roman" w:hAnsi="Times New Roman" w:eastAsia="仿宋_GB2312"/>
          <w:color w:val="000000"/>
          <w:kern w:val="0"/>
          <w:sz w:val="30"/>
          <w:szCs w:val="32"/>
          <w:highlight w:val="none"/>
        </w:rPr>
        <w:t>发包人需要承包人提供履约担保的，由合同当事人在专用合同条款中约定履约担保的方式、金额及期限等。</w:t>
      </w:r>
      <w:r>
        <w:rPr>
          <w:rFonts w:ascii="Times New Roman" w:hAnsi="Times New Roman" w:eastAsia="仿宋_GB2312"/>
          <w:color w:val="000000"/>
          <w:kern w:val="0"/>
          <w:sz w:val="30"/>
          <w:szCs w:val="32"/>
          <w:highlight w:val="none"/>
        </w:rPr>
        <w:t>履约担保可以采用银行保函或担保公司担保等形式，具体由合同当事人在专用合同条款中约定。</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因承包人原因导致工期延长的，继续提供履约担保所增加的费用由承包人承担；非因承包人原因导致工期延长的，继续提供履约担保所增加的费用由发包人承担。</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474" w:name="_Toc14069"/>
      <w:bookmarkStart w:id="475" w:name="_Toc8965"/>
      <w:r>
        <w:rPr>
          <w:rFonts w:ascii="Times New Roman" w:hAnsi="Times New Roman" w:eastAsia="黑体"/>
          <w:b w:val="0"/>
          <w:color w:val="000000"/>
          <w:sz w:val="30"/>
          <w:szCs w:val="32"/>
          <w:highlight w:val="none"/>
        </w:rPr>
        <w:t>3.8 联合体</w:t>
      </w:r>
      <w:bookmarkEnd w:id="474"/>
      <w:bookmarkEnd w:id="475"/>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3.8.1 联合体各方应共同与发包人签订合同协议书。联合体各方应为履行合同</w:t>
      </w:r>
      <w:r>
        <w:rPr>
          <w:rFonts w:hint="eastAsia" w:ascii="Times New Roman" w:hAnsi="Times New Roman" w:eastAsia="仿宋_GB2312"/>
          <w:color w:val="000000"/>
          <w:kern w:val="0"/>
          <w:sz w:val="30"/>
          <w:szCs w:val="32"/>
          <w:highlight w:val="none"/>
        </w:rPr>
        <w:t>向发包人</w:t>
      </w:r>
      <w:r>
        <w:rPr>
          <w:rFonts w:ascii="Times New Roman" w:hAnsi="Times New Roman" w:eastAsia="仿宋_GB2312"/>
          <w:color w:val="000000"/>
          <w:kern w:val="0"/>
          <w:sz w:val="30"/>
          <w:szCs w:val="32"/>
          <w:highlight w:val="none"/>
        </w:rPr>
        <w:t>承担连带责任。</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3.8.2 联合体协议经发包人确认后作为合同附件。在履行合同过程中，未经发包人同意，不得修改联合体协议。</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3.8.3 联合体牵头人负责与发包人和监理人联系，并接受指示，负责组织联合体各成员全面履行合同。</w:t>
      </w:r>
    </w:p>
    <w:p>
      <w:pPr>
        <w:pStyle w:val="5"/>
        <w:spacing w:before="120" w:after="120" w:line="360" w:lineRule="auto"/>
        <w:rPr>
          <w:rFonts w:ascii="Times New Roman" w:hAnsi="Times New Roman" w:eastAsia="黑体"/>
          <w:b w:val="0"/>
          <w:color w:val="000000"/>
          <w:sz w:val="32"/>
          <w:szCs w:val="32"/>
          <w:highlight w:val="none"/>
        </w:rPr>
      </w:pPr>
      <w:bookmarkStart w:id="476" w:name="_Toc29895"/>
      <w:bookmarkStart w:id="477" w:name="_Toc12972"/>
      <w:r>
        <w:rPr>
          <w:rFonts w:ascii="Times New Roman" w:hAnsi="Times New Roman" w:eastAsia="黑体"/>
          <w:b w:val="0"/>
          <w:color w:val="000000"/>
          <w:sz w:val="32"/>
          <w:szCs w:val="32"/>
          <w:highlight w:val="none"/>
        </w:rPr>
        <w:t>4</w:t>
      </w:r>
      <w:bookmarkStart w:id="478" w:name="_Toc296503053"/>
      <w:bookmarkStart w:id="479" w:name="_Toc296346554"/>
      <w:bookmarkStart w:id="480" w:name="_Toc337558753"/>
      <w:r>
        <w:rPr>
          <w:rFonts w:ascii="Times New Roman" w:hAnsi="Times New Roman" w:eastAsia="黑体"/>
          <w:b w:val="0"/>
          <w:color w:val="000000"/>
          <w:sz w:val="32"/>
          <w:szCs w:val="32"/>
          <w:highlight w:val="none"/>
        </w:rPr>
        <w:t>. 监</w:t>
      </w:r>
      <w:bookmarkEnd w:id="478"/>
      <w:bookmarkEnd w:id="479"/>
      <w:r>
        <w:rPr>
          <w:rFonts w:ascii="Times New Roman" w:hAnsi="Times New Roman" w:eastAsia="黑体"/>
          <w:b w:val="0"/>
          <w:color w:val="000000"/>
          <w:sz w:val="32"/>
          <w:szCs w:val="32"/>
          <w:highlight w:val="none"/>
        </w:rPr>
        <w:t>理人</w:t>
      </w:r>
      <w:bookmarkEnd w:id="476"/>
      <w:bookmarkEnd w:id="477"/>
    </w:p>
    <w:bookmarkEnd w:id="480"/>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481" w:name="_Toc21748"/>
      <w:bookmarkStart w:id="482" w:name="_Toc8272"/>
      <w:r>
        <w:rPr>
          <w:rFonts w:ascii="Times New Roman" w:hAnsi="Times New Roman" w:eastAsia="黑体"/>
          <w:b w:val="0"/>
          <w:color w:val="000000"/>
          <w:sz w:val="30"/>
          <w:szCs w:val="32"/>
          <w:highlight w:val="none"/>
        </w:rPr>
        <w:t>4</w:t>
      </w:r>
      <w:bookmarkStart w:id="483" w:name="_Toc296503054"/>
      <w:bookmarkStart w:id="484" w:name="_Toc337558754"/>
      <w:bookmarkStart w:id="485" w:name="_Toc296346555"/>
      <w:r>
        <w:rPr>
          <w:rFonts w:ascii="Times New Roman" w:hAnsi="Times New Roman" w:eastAsia="黑体"/>
          <w:b w:val="0"/>
          <w:color w:val="000000"/>
          <w:sz w:val="30"/>
          <w:szCs w:val="32"/>
          <w:highlight w:val="none"/>
        </w:rPr>
        <w:t>.1监理人的一般规定</w:t>
      </w:r>
      <w:bookmarkEnd w:id="481"/>
      <w:bookmarkEnd w:id="482"/>
    </w:p>
    <w:bookmarkEnd w:id="483"/>
    <w:bookmarkEnd w:id="484"/>
    <w:bookmarkEnd w:id="485"/>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除专用合同条款另有约定外，监理人在施工现场的办公场所、生活场所由承包人提供，所发生的费用由发包人承担。</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486" w:name="_Toc26434"/>
      <w:bookmarkStart w:id="487" w:name="_Toc24443"/>
      <w:r>
        <w:rPr>
          <w:rFonts w:ascii="Times New Roman" w:hAnsi="Times New Roman" w:eastAsia="黑体"/>
          <w:b w:val="0"/>
          <w:color w:val="000000"/>
          <w:sz w:val="30"/>
          <w:szCs w:val="32"/>
          <w:highlight w:val="none"/>
        </w:rPr>
        <w:t>4</w:t>
      </w:r>
      <w:bookmarkStart w:id="488" w:name="_Toc337558755"/>
      <w:r>
        <w:rPr>
          <w:rFonts w:ascii="Times New Roman" w:hAnsi="Times New Roman" w:eastAsia="黑体"/>
          <w:b w:val="0"/>
          <w:color w:val="000000"/>
          <w:sz w:val="30"/>
          <w:szCs w:val="32"/>
          <w:highlight w:val="none"/>
        </w:rPr>
        <w:t>.2监理人员</w:t>
      </w:r>
      <w:bookmarkEnd w:id="486"/>
      <w:bookmarkEnd w:id="487"/>
    </w:p>
    <w:bookmarkEnd w:id="488"/>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489" w:name="_Toc19041"/>
      <w:bookmarkStart w:id="490" w:name="_Toc15940"/>
      <w:r>
        <w:rPr>
          <w:rFonts w:ascii="Times New Roman" w:hAnsi="Times New Roman" w:eastAsia="黑体"/>
          <w:b w:val="0"/>
          <w:color w:val="000000"/>
          <w:sz w:val="30"/>
          <w:szCs w:val="32"/>
          <w:highlight w:val="none"/>
        </w:rPr>
        <w:t>4</w:t>
      </w:r>
      <w:bookmarkStart w:id="491" w:name="_Toc296503055"/>
      <w:bookmarkStart w:id="492" w:name="_Toc296346556"/>
      <w:bookmarkStart w:id="493" w:name="_Toc337558756"/>
      <w:r>
        <w:rPr>
          <w:rFonts w:ascii="Times New Roman" w:hAnsi="Times New Roman" w:eastAsia="黑体"/>
          <w:b w:val="0"/>
          <w:color w:val="000000"/>
          <w:sz w:val="30"/>
          <w:szCs w:val="32"/>
          <w:highlight w:val="none"/>
        </w:rPr>
        <w:t>.3</w:t>
      </w:r>
      <w:bookmarkEnd w:id="491"/>
      <w:bookmarkEnd w:id="492"/>
      <w:r>
        <w:rPr>
          <w:rFonts w:ascii="Times New Roman" w:hAnsi="Times New Roman" w:eastAsia="黑体"/>
          <w:b w:val="0"/>
          <w:color w:val="000000"/>
          <w:sz w:val="30"/>
          <w:szCs w:val="32"/>
          <w:highlight w:val="none"/>
        </w:rPr>
        <w:t>监理人的指</w:t>
      </w:r>
      <w:bookmarkEnd w:id="493"/>
      <w:r>
        <w:rPr>
          <w:rFonts w:ascii="Times New Roman" w:hAnsi="Times New Roman" w:eastAsia="黑体"/>
          <w:b w:val="0"/>
          <w:color w:val="000000"/>
          <w:sz w:val="30"/>
          <w:szCs w:val="32"/>
          <w:highlight w:val="none"/>
        </w:rPr>
        <w:t>示</w:t>
      </w:r>
      <w:bookmarkEnd w:id="489"/>
      <w:bookmarkEnd w:id="490"/>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监理人发出的指示应送达承包人项目经理或经项目经理授权接收的人员。因监理人未能按合同约定发出指示、指示延误或发出了错误指示而导致承包人费用增加和（或）工期延误的，由发包人承担</w:t>
      </w:r>
      <w:r>
        <w:rPr>
          <w:rFonts w:hint="eastAsia" w:ascii="Times New Roman" w:hAnsi="Times New Roman" w:eastAsia="仿宋_GB2312"/>
          <w:color w:val="000000"/>
          <w:kern w:val="0"/>
          <w:sz w:val="30"/>
          <w:szCs w:val="32"/>
          <w:highlight w:val="none"/>
        </w:rPr>
        <w:t>相应</w:t>
      </w:r>
      <w:r>
        <w:rPr>
          <w:rFonts w:ascii="Times New Roman" w:hAnsi="Times New Roman" w:eastAsia="仿宋_GB2312"/>
          <w:color w:val="000000"/>
          <w:kern w:val="0"/>
          <w:sz w:val="30"/>
          <w:szCs w:val="32"/>
          <w:highlight w:val="none"/>
        </w:rPr>
        <w:t>责任。除专用合同条款另有约定外，总监理工程师不应将第4.4款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商定或确定</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约定应由总监理工程师作出确定的权力授权或委托给其他监理人员。</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承包人对监理人发出的指示有疑问的，应向监理人提出书面异议，监理人应在48小时内对该指示予以确认、更改或撤销，监理人逾期未回复的，承包人有权拒绝执行上述指示。</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监理人对承包人的任何工作、工程或其采用的材料和工程设备未在约定的或合理期限内提出意见的，视为批准，但不免除或减轻承包人对该工作、工程、材料、工程设备等应承担的责任和义务。</w:t>
      </w:r>
    </w:p>
    <w:p>
      <w:pPr>
        <w:pStyle w:val="5"/>
        <w:spacing w:before="120" w:after="120" w:line="360" w:lineRule="auto"/>
        <w:ind w:firstLine="600" w:firstLineChars="200"/>
        <w:rPr>
          <w:rFonts w:hint="eastAsia" w:ascii="Times New Roman" w:hAnsi="Times New Roman" w:eastAsia="黑体"/>
          <w:b w:val="0"/>
          <w:color w:val="000000"/>
          <w:sz w:val="32"/>
          <w:szCs w:val="32"/>
          <w:highlight w:val="none"/>
        </w:rPr>
      </w:pPr>
      <w:bookmarkStart w:id="494" w:name="_Toc23596"/>
      <w:bookmarkStart w:id="495" w:name="_Toc3692"/>
      <w:r>
        <w:rPr>
          <w:rFonts w:ascii="Times New Roman" w:hAnsi="Times New Roman" w:eastAsia="黑体"/>
          <w:b w:val="0"/>
          <w:color w:val="000000"/>
          <w:sz w:val="30"/>
          <w:szCs w:val="32"/>
          <w:highlight w:val="none"/>
        </w:rPr>
        <w:t>4</w:t>
      </w:r>
      <w:bookmarkStart w:id="496" w:name="_Toc337558757"/>
      <w:bookmarkStart w:id="497" w:name="_Toc296346558"/>
      <w:bookmarkStart w:id="498" w:name="_Toc296503057"/>
      <w:r>
        <w:rPr>
          <w:rFonts w:ascii="Times New Roman" w:hAnsi="Times New Roman" w:eastAsia="黑体"/>
          <w:b w:val="0"/>
          <w:color w:val="000000"/>
          <w:sz w:val="30"/>
          <w:szCs w:val="32"/>
          <w:highlight w:val="none"/>
        </w:rPr>
        <w:t>.4 商定或确定</w:t>
      </w:r>
      <w:bookmarkEnd w:id="494"/>
      <w:bookmarkEnd w:id="495"/>
    </w:p>
    <w:bookmarkEnd w:id="496"/>
    <w:bookmarkEnd w:id="497"/>
    <w:bookmarkEnd w:id="498"/>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合同</w:t>
      </w:r>
      <w:r>
        <w:rPr>
          <w:rFonts w:hint="eastAsia" w:ascii="Times New Roman" w:hAnsi="Times New Roman" w:eastAsia="仿宋_GB2312"/>
          <w:color w:val="000000"/>
          <w:kern w:val="0"/>
          <w:sz w:val="30"/>
          <w:szCs w:val="32"/>
          <w:highlight w:val="none"/>
        </w:rPr>
        <w:t>当事人</w:t>
      </w:r>
      <w:r>
        <w:rPr>
          <w:rFonts w:ascii="Times New Roman" w:hAnsi="Times New Roman" w:eastAsia="仿宋_GB2312"/>
          <w:color w:val="000000"/>
          <w:kern w:val="0"/>
          <w:sz w:val="30"/>
          <w:szCs w:val="32"/>
          <w:highlight w:val="none"/>
        </w:rPr>
        <w:t>进行</w:t>
      </w:r>
      <w:r>
        <w:rPr>
          <w:rFonts w:hint="eastAsia" w:ascii="Times New Roman" w:hAnsi="Times New Roman" w:eastAsia="仿宋_GB2312"/>
          <w:color w:val="000000"/>
          <w:kern w:val="0"/>
          <w:sz w:val="30"/>
          <w:szCs w:val="32"/>
          <w:highlight w:val="none"/>
        </w:rPr>
        <w:t>商定</w:t>
      </w:r>
      <w:r>
        <w:rPr>
          <w:rFonts w:ascii="Times New Roman" w:hAnsi="Times New Roman" w:eastAsia="仿宋_GB2312"/>
          <w:color w:val="000000"/>
          <w:kern w:val="0"/>
          <w:sz w:val="30"/>
          <w:szCs w:val="32"/>
          <w:highlight w:val="none"/>
        </w:rPr>
        <w:t>或确定时，总监理工程师应当会同合同当事人尽量通过协商达成一致，不能达成一致的，由总监理工程师按照合同约定审慎做出公正的确定。</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总监理工程师应将确定以书面形式通知发包人和承包人，并附详细依据。合同当事人对总监理工程师的确定没有异议的，按照总监理工程师的确定执行。任何一方合同当事人有异议，按照第20条</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争议解决</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约定处理。争议解决前，合同当事人暂按总监理工程师的确定执行；争议解决后，争议解决的结果与总监理工程师的确定不一致的，按照争议解决的结果执行，由此造成的损失由责任人承担。</w:t>
      </w:r>
    </w:p>
    <w:p>
      <w:pPr>
        <w:pStyle w:val="5"/>
        <w:spacing w:before="120" w:after="120" w:line="360" w:lineRule="auto"/>
        <w:rPr>
          <w:rFonts w:ascii="Times New Roman" w:hAnsi="Times New Roman" w:eastAsia="黑体"/>
          <w:b w:val="0"/>
          <w:color w:val="000000"/>
          <w:sz w:val="30"/>
          <w:szCs w:val="32"/>
          <w:highlight w:val="none"/>
        </w:rPr>
      </w:pPr>
      <w:bookmarkStart w:id="499" w:name="_Toc3080"/>
      <w:bookmarkStart w:id="500" w:name="_Toc31303"/>
      <w:r>
        <w:rPr>
          <w:rFonts w:ascii="Times New Roman" w:hAnsi="Times New Roman" w:eastAsia="黑体"/>
          <w:b w:val="0"/>
          <w:color w:val="000000"/>
          <w:sz w:val="32"/>
          <w:szCs w:val="32"/>
          <w:highlight w:val="none"/>
        </w:rPr>
        <w:t>5</w:t>
      </w:r>
      <w:bookmarkStart w:id="501" w:name="_Toc337558758"/>
      <w:r>
        <w:rPr>
          <w:rFonts w:ascii="Times New Roman" w:hAnsi="Times New Roman" w:eastAsia="黑体"/>
          <w:b w:val="0"/>
          <w:color w:val="000000"/>
          <w:sz w:val="32"/>
          <w:szCs w:val="32"/>
          <w:highlight w:val="none"/>
        </w:rPr>
        <w:t>. 工程质量</w:t>
      </w:r>
      <w:bookmarkEnd w:id="499"/>
      <w:bookmarkEnd w:id="500"/>
    </w:p>
    <w:bookmarkEnd w:id="501"/>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502" w:name="_Toc31793"/>
      <w:bookmarkStart w:id="503" w:name="_Toc20481"/>
      <w:r>
        <w:rPr>
          <w:rFonts w:ascii="Times New Roman" w:hAnsi="Times New Roman" w:eastAsia="黑体"/>
          <w:b w:val="0"/>
          <w:color w:val="000000"/>
          <w:sz w:val="30"/>
          <w:szCs w:val="32"/>
          <w:highlight w:val="none"/>
        </w:rPr>
        <w:t>5</w:t>
      </w:r>
      <w:bookmarkStart w:id="504" w:name="_Toc337558759"/>
      <w:r>
        <w:rPr>
          <w:rFonts w:ascii="Times New Roman" w:hAnsi="Times New Roman" w:eastAsia="黑体"/>
          <w:b w:val="0"/>
          <w:color w:val="000000"/>
          <w:sz w:val="30"/>
          <w:szCs w:val="32"/>
          <w:highlight w:val="none"/>
        </w:rPr>
        <w:t>.1质量要求</w:t>
      </w:r>
      <w:bookmarkEnd w:id="502"/>
      <w:bookmarkEnd w:id="503"/>
    </w:p>
    <w:bookmarkEnd w:id="504"/>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5.1.1 工程质量标准必须符合现行国家有关工程施工质量验收规范和标准的要求。有关工程质量的特殊标准或要求由合同当事人在专用合同条款中约定。</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5.1.2 因发包人原因造成工程质量未达到合同约定标准的，由发包人承担由此增加的费用和（或）延误的工期，并支付承包人合理的利润。</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5.1.3 因承包人原因造成工程质量未达到合同约定标准的，发包人有权要求承包人返工直至工程质量达到合同约定的标准为止，并由承包人承担由此增加的费用和（或）延误的工期。</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505" w:name="_Toc7605"/>
      <w:bookmarkStart w:id="506" w:name="_Toc8205"/>
      <w:r>
        <w:rPr>
          <w:rFonts w:ascii="Times New Roman" w:hAnsi="Times New Roman" w:eastAsia="黑体"/>
          <w:b w:val="0"/>
          <w:color w:val="000000"/>
          <w:sz w:val="30"/>
          <w:szCs w:val="32"/>
          <w:highlight w:val="none"/>
        </w:rPr>
        <w:t>5</w:t>
      </w:r>
      <w:bookmarkStart w:id="507" w:name="_Toc337558760"/>
      <w:r>
        <w:rPr>
          <w:rFonts w:ascii="Times New Roman" w:hAnsi="Times New Roman" w:eastAsia="黑体"/>
          <w:b w:val="0"/>
          <w:color w:val="000000"/>
          <w:sz w:val="30"/>
          <w:szCs w:val="32"/>
          <w:highlight w:val="none"/>
        </w:rPr>
        <w:t>.2质量保证措施</w:t>
      </w:r>
      <w:bookmarkEnd w:id="505"/>
      <w:bookmarkEnd w:id="506"/>
    </w:p>
    <w:bookmarkEnd w:id="507"/>
    <w:p>
      <w:pPr>
        <w:autoSpaceDE w:val="0"/>
        <w:autoSpaceDN w:val="0"/>
        <w:adjustRightInd w:val="0"/>
        <w:spacing w:line="360" w:lineRule="auto"/>
        <w:ind w:firstLine="600" w:firstLineChars="200"/>
        <w:jc w:val="left"/>
        <w:outlineLvl w:val="0"/>
        <w:rPr>
          <w:rFonts w:ascii="Times New Roman" w:hAnsi="Times New Roman" w:eastAsia="仿宋_GB2312"/>
          <w:color w:val="000000"/>
          <w:kern w:val="0"/>
          <w:sz w:val="30"/>
          <w:szCs w:val="32"/>
          <w:highlight w:val="none"/>
        </w:rPr>
      </w:pPr>
      <w:bookmarkStart w:id="508" w:name="_Toc17490"/>
      <w:bookmarkStart w:id="509" w:name="_Toc20718"/>
      <w:bookmarkStart w:id="510" w:name="_Toc22651"/>
      <w:bookmarkStart w:id="511" w:name="_Toc7250"/>
      <w:r>
        <w:rPr>
          <w:rFonts w:ascii="Times New Roman" w:hAnsi="Times New Roman" w:eastAsia="仿宋_GB2312"/>
          <w:color w:val="000000"/>
          <w:kern w:val="0"/>
          <w:sz w:val="30"/>
          <w:szCs w:val="32"/>
          <w:highlight w:val="none"/>
        </w:rPr>
        <w:t>5.2.1 发包人的质量管理</w:t>
      </w:r>
      <w:bookmarkEnd w:id="508"/>
      <w:bookmarkEnd w:id="509"/>
      <w:bookmarkEnd w:id="510"/>
      <w:bookmarkEnd w:id="511"/>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发包人应按照法律规定及合同约定完成与工程质量有关的各项工作。</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5.2.2 承包人的质量管理</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承包人按照第7.1款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施工组织设计</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约定向发包人和监理人提交工程质量保证体系及措施文件，建立完善的质量检查制度，并提交相应的工程质量文件。对于发包人和监理人违反法律规定和合同约定的错误指示，承包人有权拒绝实施。</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承包人应对施工人员进行质量教育和技术培训，定期考核施工人员的劳动技能，严格执行施工规范和操作规程。</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autoSpaceDE w:val="0"/>
        <w:autoSpaceDN w:val="0"/>
        <w:adjustRightInd w:val="0"/>
        <w:spacing w:line="360" w:lineRule="auto"/>
        <w:ind w:firstLine="600" w:firstLineChars="200"/>
        <w:jc w:val="left"/>
        <w:outlineLvl w:val="0"/>
        <w:rPr>
          <w:rFonts w:ascii="Times New Roman" w:hAnsi="Times New Roman" w:eastAsia="仿宋_GB2312"/>
          <w:color w:val="000000"/>
          <w:kern w:val="0"/>
          <w:sz w:val="30"/>
          <w:szCs w:val="32"/>
          <w:highlight w:val="none"/>
        </w:rPr>
      </w:pPr>
      <w:bookmarkStart w:id="512" w:name="_Toc15464"/>
      <w:bookmarkStart w:id="513" w:name="_Toc31989"/>
      <w:bookmarkStart w:id="514" w:name="_Toc10077"/>
      <w:bookmarkStart w:id="515" w:name="_Toc11305"/>
      <w:r>
        <w:rPr>
          <w:rFonts w:ascii="Times New Roman" w:hAnsi="Times New Roman" w:eastAsia="仿宋_GB2312"/>
          <w:color w:val="000000"/>
          <w:kern w:val="0"/>
          <w:sz w:val="30"/>
          <w:szCs w:val="32"/>
          <w:highlight w:val="none"/>
        </w:rPr>
        <w:t>5.2.3 监理人的质量检查和检验</w:t>
      </w:r>
      <w:bookmarkEnd w:id="512"/>
      <w:bookmarkEnd w:id="513"/>
      <w:bookmarkEnd w:id="514"/>
      <w:bookmarkEnd w:id="515"/>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516" w:name="_Toc7189"/>
      <w:bookmarkStart w:id="517" w:name="_Toc31245"/>
      <w:r>
        <w:rPr>
          <w:rFonts w:ascii="Times New Roman" w:hAnsi="Times New Roman" w:eastAsia="黑体"/>
          <w:b w:val="0"/>
          <w:color w:val="000000"/>
          <w:sz w:val="30"/>
          <w:szCs w:val="32"/>
          <w:highlight w:val="none"/>
        </w:rPr>
        <w:t>5</w:t>
      </w:r>
      <w:bookmarkStart w:id="518" w:name="_Toc337558761"/>
      <w:r>
        <w:rPr>
          <w:rFonts w:ascii="Times New Roman" w:hAnsi="Times New Roman" w:eastAsia="黑体"/>
          <w:b w:val="0"/>
          <w:color w:val="000000"/>
          <w:sz w:val="30"/>
          <w:szCs w:val="32"/>
          <w:highlight w:val="none"/>
        </w:rPr>
        <w:t>.3 隐蔽工程检查</w:t>
      </w:r>
      <w:bookmarkEnd w:id="516"/>
      <w:bookmarkEnd w:id="517"/>
    </w:p>
    <w:bookmarkEnd w:id="518"/>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5.3.1承包人自检</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承包人应当对工程隐蔽部位进行自检，并经自检确认是否具备覆盖条件。</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5.3.2检查程序</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除专用合同条款另有约定外，工程隐蔽部位经承包人自检确认具备覆盖条件的，承包人应在</w:t>
      </w:r>
      <w:r>
        <w:rPr>
          <w:rFonts w:hint="eastAsia" w:ascii="Times New Roman" w:hAnsi="Times New Roman" w:eastAsia="仿宋_GB2312"/>
          <w:color w:val="000000"/>
          <w:kern w:val="0"/>
          <w:sz w:val="30"/>
          <w:szCs w:val="32"/>
          <w:highlight w:val="none"/>
        </w:rPr>
        <w:t>共同</w:t>
      </w:r>
      <w:r>
        <w:rPr>
          <w:rFonts w:ascii="Times New Roman" w:hAnsi="Times New Roman" w:eastAsia="仿宋_GB2312"/>
          <w:color w:val="000000"/>
          <w:kern w:val="0"/>
          <w:sz w:val="30"/>
          <w:szCs w:val="32"/>
          <w:highlight w:val="none"/>
        </w:rPr>
        <w:t>检查前48小时书面通知监理人检查，通知中应载明隐蔽检查的内容、时间和地点，并应附有自检记录和必要的检查资料。</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w:t>
      </w:r>
      <w:bookmarkStart w:id="2101" w:name="_GoBack"/>
      <w:r>
        <w:rPr>
          <w:rFonts w:ascii="Times New Roman" w:hAnsi="Times New Roman" w:eastAsia="仿宋_GB2312"/>
          <w:color w:val="000000"/>
          <w:kern w:val="0"/>
          <w:sz w:val="30"/>
          <w:szCs w:val="32"/>
          <w:highlight w:val="none"/>
        </w:rPr>
        <w:t>时间</w:t>
      </w:r>
      <w:bookmarkEnd w:id="2101"/>
      <w:r>
        <w:rPr>
          <w:rFonts w:ascii="Times New Roman" w:hAnsi="Times New Roman" w:eastAsia="仿宋_GB2312"/>
          <w:color w:val="000000"/>
          <w:kern w:val="0"/>
          <w:sz w:val="30"/>
          <w:szCs w:val="32"/>
          <w:highlight w:val="none"/>
        </w:rPr>
        <w:t>内完成修复，并由监理人重新检查，由此增加的费用和（或）延误的工期由承包人承担。</w:t>
      </w:r>
    </w:p>
    <w:p>
      <w:pPr>
        <w:spacing w:line="360" w:lineRule="auto"/>
        <w:ind w:firstLine="600" w:firstLineChars="200"/>
        <w:jc w:val="left"/>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重新检查</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的约定重新检查。</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5.3.3 重新检查</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5.3.4 承包人私自覆盖</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kern w:val="0"/>
          <w:sz w:val="30"/>
          <w:szCs w:val="32"/>
          <w:highlight w:val="none"/>
        </w:rPr>
        <w:t>承包人未通知监理人到场检查，私自将工程隐蔽部位覆盖的，监理人有权指示承包人钻孔探测或揭开检查，无论工程隐蔽部位质量是否合格，由此增加的费用和（或）延误的工期均由承包人承担。</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519" w:name="_Toc366"/>
      <w:bookmarkStart w:id="520" w:name="_Toc30424"/>
      <w:r>
        <w:rPr>
          <w:rFonts w:ascii="Times New Roman" w:hAnsi="Times New Roman" w:eastAsia="黑体"/>
          <w:b w:val="0"/>
          <w:color w:val="000000"/>
          <w:sz w:val="30"/>
          <w:szCs w:val="32"/>
          <w:highlight w:val="none"/>
        </w:rPr>
        <w:t>5</w:t>
      </w:r>
      <w:bookmarkStart w:id="521" w:name="_Toc337558762"/>
      <w:r>
        <w:rPr>
          <w:rFonts w:ascii="Times New Roman" w:hAnsi="Times New Roman" w:eastAsia="黑体"/>
          <w:b w:val="0"/>
          <w:color w:val="000000"/>
          <w:sz w:val="30"/>
          <w:szCs w:val="32"/>
          <w:highlight w:val="none"/>
        </w:rPr>
        <w:t>.4不合格工程的处理</w:t>
      </w:r>
      <w:bookmarkEnd w:id="519"/>
      <w:bookmarkEnd w:id="520"/>
    </w:p>
    <w:bookmarkEnd w:id="521"/>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5.4.1 因承包人原因造成工程不合格的，发包人有权随时要求承包人采取补救措施，直至达到合同要求的质量标准，由此增加的费用和（或）延误的工期由承包人承担。无法补救的，按照第13.2.4项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拒绝接收全部或部分工程</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 xml:space="preserve">约定执行。 </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5.4.2 因发包人原因造成工程不合格的，由此增加的费用和（或）延误的工期由发包人承担，并支付承包人合理的利润。</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522" w:name="_Toc28927"/>
      <w:bookmarkStart w:id="523" w:name="_Toc17461"/>
      <w:r>
        <w:rPr>
          <w:rFonts w:ascii="Times New Roman" w:hAnsi="Times New Roman" w:eastAsia="黑体"/>
          <w:b w:val="0"/>
          <w:color w:val="000000"/>
          <w:sz w:val="30"/>
          <w:szCs w:val="32"/>
          <w:highlight w:val="none"/>
        </w:rPr>
        <w:t>5.5 质量争议检测</w:t>
      </w:r>
      <w:bookmarkEnd w:id="522"/>
      <w:bookmarkEnd w:id="523"/>
    </w:p>
    <w:p>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合同当事人对工程质量有争议的，由双方协商确定的工程质量检测机构鉴定，由此产生的费用及因此造成的损失，由责任方承担。</w:t>
      </w:r>
    </w:p>
    <w:p>
      <w:pPr>
        <w:autoSpaceDE w:val="0"/>
        <w:autoSpaceDN w:val="0"/>
        <w:adjustRightInd w:val="0"/>
        <w:spacing w:line="360" w:lineRule="auto"/>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合同当事人均有责任的，由双方根据其责任分别承担。合同当事人无法达成一致的，按照第4.4款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商定或确定</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执行。</w:t>
      </w:r>
    </w:p>
    <w:p>
      <w:pPr>
        <w:pStyle w:val="5"/>
        <w:spacing w:before="120" w:after="120" w:line="360" w:lineRule="auto"/>
        <w:rPr>
          <w:rFonts w:ascii="Times New Roman" w:hAnsi="Times New Roman" w:eastAsia="黑体"/>
          <w:b w:val="0"/>
          <w:color w:val="000000"/>
          <w:sz w:val="32"/>
          <w:szCs w:val="32"/>
          <w:highlight w:val="none"/>
        </w:rPr>
      </w:pPr>
      <w:bookmarkStart w:id="524" w:name="_Toc1318"/>
      <w:bookmarkStart w:id="525" w:name="_Toc25497"/>
      <w:r>
        <w:rPr>
          <w:rFonts w:ascii="Times New Roman" w:hAnsi="Times New Roman" w:eastAsia="黑体"/>
          <w:b w:val="0"/>
          <w:color w:val="000000"/>
          <w:sz w:val="32"/>
          <w:szCs w:val="32"/>
          <w:highlight w:val="none"/>
        </w:rPr>
        <w:t>6</w:t>
      </w:r>
      <w:bookmarkStart w:id="526" w:name="_Toc337558763"/>
      <w:r>
        <w:rPr>
          <w:rFonts w:ascii="Times New Roman" w:hAnsi="Times New Roman" w:eastAsia="黑体"/>
          <w:b w:val="0"/>
          <w:color w:val="000000"/>
          <w:sz w:val="32"/>
          <w:szCs w:val="32"/>
          <w:highlight w:val="none"/>
        </w:rPr>
        <w:t>. 安全文明施工与环境保护</w:t>
      </w:r>
      <w:bookmarkEnd w:id="524"/>
      <w:bookmarkEnd w:id="525"/>
    </w:p>
    <w:bookmarkEnd w:id="526"/>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527" w:name="_Toc19890"/>
      <w:bookmarkStart w:id="528" w:name="_Toc1106"/>
      <w:r>
        <w:rPr>
          <w:rFonts w:ascii="Times New Roman" w:hAnsi="Times New Roman" w:eastAsia="黑体"/>
          <w:b w:val="0"/>
          <w:color w:val="000000"/>
          <w:sz w:val="30"/>
          <w:szCs w:val="32"/>
          <w:highlight w:val="none"/>
        </w:rPr>
        <w:t>6</w:t>
      </w:r>
      <w:bookmarkStart w:id="529" w:name="_Toc337558764"/>
      <w:r>
        <w:rPr>
          <w:rFonts w:ascii="Times New Roman" w:hAnsi="Times New Roman" w:eastAsia="黑体"/>
          <w:b w:val="0"/>
          <w:color w:val="000000"/>
          <w:sz w:val="30"/>
          <w:szCs w:val="32"/>
          <w:highlight w:val="none"/>
        </w:rPr>
        <w:t>.1安全文明施工</w:t>
      </w:r>
      <w:bookmarkEnd w:id="527"/>
      <w:bookmarkEnd w:id="528"/>
    </w:p>
    <w:bookmarkEnd w:id="529"/>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6.1.1安全生产要求</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在施工过程中，如遇到突发的地质变动、事先未知的地下施工障碍等影响施工安全的紧急情况，</w:t>
      </w:r>
      <w:r>
        <w:rPr>
          <w:rFonts w:hint="eastAsia" w:ascii="Times New Roman" w:hAnsi="Times New Roman" w:eastAsia="仿宋_GB2312"/>
          <w:color w:val="000000"/>
          <w:sz w:val="30"/>
          <w:szCs w:val="32"/>
          <w:highlight w:val="none"/>
        </w:rPr>
        <w:t>承包人应及时报告监理人和发包人，</w:t>
      </w:r>
      <w:r>
        <w:rPr>
          <w:rFonts w:ascii="Times New Roman" w:hAnsi="Times New Roman" w:eastAsia="仿宋_GB2312"/>
          <w:color w:val="000000"/>
          <w:sz w:val="30"/>
          <w:szCs w:val="32"/>
          <w:highlight w:val="none"/>
        </w:rPr>
        <w:t>发包人应当及时下令停工并报</w:t>
      </w:r>
      <w:r>
        <w:rPr>
          <w:rFonts w:ascii="Times New Roman" w:hAnsi="Times New Roman" w:eastAsia="仿宋_GB2312"/>
          <w:color w:val="000000"/>
          <w:kern w:val="0"/>
          <w:sz w:val="30"/>
          <w:szCs w:val="32"/>
          <w:highlight w:val="none"/>
        </w:rPr>
        <w:t>政府有关行政管理部门</w:t>
      </w:r>
      <w:r>
        <w:rPr>
          <w:rFonts w:ascii="Times New Roman" w:hAnsi="Times New Roman" w:eastAsia="仿宋_GB2312"/>
          <w:color w:val="000000"/>
          <w:sz w:val="30"/>
          <w:szCs w:val="32"/>
          <w:highlight w:val="none"/>
        </w:rPr>
        <w:t>采取应急措施。</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因安全生产需要暂停施工的，按照第7.8款</w:t>
      </w:r>
      <w:r>
        <w:rPr>
          <w:rFonts w:hint="eastAsia" w:ascii="Times New Roman" w:hAnsi="Times New Roman" w:eastAsia="仿宋_GB2312"/>
          <w:color w:val="000000"/>
          <w:sz w:val="30"/>
          <w:szCs w:val="32"/>
          <w:highlight w:val="none"/>
        </w:rPr>
        <w:t>〔</w:t>
      </w:r>
      <w:r>
        <w:rPr>
          <w:rFonts w:ascii="Times New Roman" w:hAnsi="Times New Roman" w:eastAsia="仿宋_GB2312"/>
          <w:color w:val="000000"/>
          <w:sz w:val="30"/>
          <w:szCs w:val="32"/>
          <w:highlight w:val="none"/>
        </w:rPr>
        <w:t>暂停施工</w:t>
      </w:r>
      <w:r>
        <w:rPr>
          <w:rFonts w:hint="eastAsia" w:ascii="Times New Roman" w:hAnsi="Times New Roman" w:eastAsia="仿宋_GB2312"/>
          <w:color w:val="000000"/>
          <w:sz w:val="30"/>
          <w:szCs w:val="32"/>
          <w:highlight w:val="none"/>
        </w:rPr>
        <w:t>〕</w:t>
      </w:r>
      <w:r>
        <w:rPr>
          <w:rFonts w:ascii="Times New Roman" w:hAnsi="Times New Roman" w:eastAsia="仿宋_GB2312"/>
          <w:color w:val="000000"/>
          <w:sz w:val="30"/>
          <w:szCs w:val="32"/>
          <w:highlight w:val="none"/>
        </w:rPr>
        <w:t>的约定执行。</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6.1.2 安全生产保证措施</w:t>
      </w:r>
    </w:p>
    <w:p>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sz w:val="30"/>
          <w:szCs w:val="32"/>
          <w:highlight w:val="none"/>
        </w:rPr>
        <w:t>承包人应当按照有关</w:t>
      </w:r>
      <w:r>
        <w:rPr>
          <w:rFonts w:ascii="Times New Roman" w:hAnsi="Times New Roman" w:eastAsia="仿宋_GB2312"/>
          <w:color w:val="000000"/>
          <w:kern w:val="0"/>
          <w:sz w:val="30"/>
          <w:szCs w:val="32"/>
          <w:highlight w:val="none"/>
        </w:rPr>
        <w:t>规定编制安全技术措施或者专项施工方案，</w:t>
      </w:r>
      <w:r>
        <w:rPr>
          <w:rFonts w:ascii="Times New Roman" w:hAnsi="Times New Roman" w:eastAsia="仿宋_GB2312"/>
          <w:color w:val="000000"/>
          <w:sz w:val="30"/>
          <w:szCs w:val="32"/>
          <w:highlight w:val="none"/>
        </w:rPr>
        <w:t>建立安全生产责任制度、治安保卫制度及安全生产教育培训制度，并</w:t>
      </w:r>
      <w:r>
        <w:rPr>
          <w:rFonts w:ascii="Times New Roman" w:hAnsi="Times New Roman" w:eastAsia="仿宋_GB2312"/>
          <w:color w:val="000000"/>
          <w:kern w:val="0"/>
          <w:sz w:val="30"/>
          <w:szCs w:val="32"/>
          <w:highlight w:val="none"/>
        </w:rPr>
        <w:t>按安全生产法律规定及合同约定履行安全职责，</w:t>
      </w:r>
      <w:r>
        <w:rPr>
          <w:rFonts w:hint="eastAsia" w:ascii="Times New Roman" w:hAnsi="Times New Roman" w:eastAsia="仿宋_GB2312"/>
          <w:color w:val="000000"/>
          <w:kern w:val="0"/>
          <w:sz w:val="30"/>
          <w:szCs w:val="32"/>
          <w:highlight w:val="none"/>
        </w:rPr>
        <w:t>如实</w:t>
      </w:r>
      <w:r>
        <w:rPr>
          <w:rFonts w:ascii="Times New Roman" w:hAnsi="Times New Roman" w:eastAsia="仿宋_GB2312"/>
          <w:color w:val="000000"/>
          <w:sz w:val="30"/>
          <w:szCs w:val="32"/>
          <w:highlight w:val="none"/>
        </w:rPr>
        <w:t>编制工程安全生产的有关记录，</w:t>
      </w:r>
      <w:r>
        <w:rPr>
          <w:rFonts w:ascii="Times New Roman" w:hAnsi="Times New Roman" w:eastAsia="仿宋_GB2312"/>
          <w:color w:val="000000"/>
          <w:kern w:val="0"/>
          <w:sz w:val="30"/>
          <w:szCs w:val="32"/>
          <w:highlight w:val="none"/>
        </w:rPr>
        <w:t>接受发包人、监理人及政府安全监督部门的检查与监督。</w:t>
      </w:r>
    </w:p>
    <w:p>
      <w:pPr>
        <w:spacing w:line="360" w:lineRule="auto"/>
        <w:ind w:firstLine="600" w:firstLineChars="200"/>
        <w:rPr>
          <w:rFonts w:hint="eastAsia"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6.1.3特别安全生产事项</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 xml:space="preserve">承包人在动力设备、输电线路、地下管道、密封防震车间、易燃易爆地段以及临街交通要道附近施工时，施工开始前应向发包人和监理人提出安全防护措施，经发包人认可后实施。 </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需单独编制危险性较大分部分项专项工程施工方案的，及要求进行专家论证的超过一定规模的危险性较大的分部分项工程，承包人应及时编制和组织论证。</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6.1.4 治安保卫</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除专用合同条款另有约定外，发包人应与当地公安部门协商，在现场建立治安管理机构或联防组织，统一管理施工场地的治安保卫事项，履行合同工程的治安保卫职责。</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发包人和承包人除应协助现场治安管理机构或联防组织维护施工场地的社会治安外，还应做好包括生活区在内的各自管辖区的治安保卫工作。</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w:t>
      </w:r>
      <w:r>
        <w:rPr>
          <w:rFonts w:hint="eastAsia" w:ascii="Times New Roman" w:hAnsi="Times New Roman" w:eastAsia="仿宋_GB2312"/>
          <w:color w:val="000000"/>
          <w:sz w:val="30"/>
          <w:szCs w:val="32"/>
          <w:highlight w:val="none"/>
        </w:rPr>
        <w:t>和</w:t>
      </w:r>
      <w:r>
        <w:rPr>
          <w:rFonts w:ascii="Times New Roman" w:hAnsi="Times New Roman" w:eastAsia="仿宋_GB2312"/>
          <w:color w:val="000000"/>
          <w:sz w:val="30"/>
          <w:szCs w:val="32"/>
          <w:highlight w:val="none"/>
        </w:rPr>
        <w:t>财产损失。</w:t>
      </w:r>
    </w:p>
    <w:p>
      <w:pPr>
        <w:spacing w:line="360" w:lineRule="auto"/>
        <w:ind w:firstLine="600" w:firstLineChars="200"/>
        <w:rPr>
          <w:rFonts w:ascii="Times New Roman" w:hAnsi="Times New Roman" w:eastAsia="仿宋_GB2312"/>
          <w:color w:val="000000"/>
          <w:kern w:val="0"/>
          <w:sz w:val="30"/>
          <w:szCs w:val="32"/>
          <w:highlight w:val="none"/>
        </w:rPr>
      </w:pPr>
      <w:r>
        <w:rPr>
          <w:rFonts w:ascii="Times New Roman" w:hAnsi="Times New Roman" w:eastAsia="仿宋_GB2312"/>
          <w:color w:val="000000"/>
          <w:sz w:val="30"/>
          <w:szCs w:val="32"/>
          <w:highlight w:val="none"/>
        </w:rPr>
        <w:t>6.1.5 文明施工</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承包人在工程施工期间，应当采取措施保持施工现场平整，物料堆放整齐。工程所在地有关政府行政管理部门有特殊要求的，按照其要求执行。</w:t>
      </w:r>
      <w:r>
        <w:rPr>
          <w:rFonts w:hint="eastAsia" w:ascii="Times New Roman" w:hAnsi="Times New Roman" w:eastAsia="仿宋_GB2312"/>
          <w:color w:val="000000"/>
          <w:kern w:val="0"/>
          <w:sz w:val="30"/>
          <w:szCs w:val="32"/>
          <w:highlight w:val="none"/>
        </w:rPr>
        <w:t>合同当事人对文明施工有其他要求的，可以在专用合同条款中明确。</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6.1.6 安全文明施工费</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安全文明施工费由发包人承担，发包人不得以任何形式扣减该部分费用。因基准日期后合同所适用的法律或政府有关规定发生变化，增加的安全文明施工费由发包人承担。</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发包人违约的情形</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执行。</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6.1.7 紧急情况</w:t>
      </w:r>
      <w:r>
        <w:rPr>
          <w:rFonts w:hint="eastAsia" w:ascii="Times New Roman" w:hAnsi="Times New Roman" w:eastAsia="仿宋_GB2312"/>
          <w:color w:val="000000"/>
          <w:kern w:val="0"/>
          <w:sz w:val="30"/>
          <w:szCs w:val="32"/>
          <w:highlight w:val="none"/>
        </w:rPr>
        <w:t>处理</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6.1.8 事故处理</w:t>
      </w:r>
    </w:p>
    <w:p>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6.1.9 安全生产责任</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6.1.9.1 发包人的安全责任</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发包人应负责赔偿以下各种情况造成</w:t>
      </w:r>
      <w:r>
        <w:rPr>
          <w:rFonts w:hint="eastAsia" w:ascii="Times New Roman" w:hAnsi="Times New Roman" w:eastAsia="仿宋_GB2312"/>
          <w:color w:val="000000"/>
          <w:sz w:val="30"/>
          <w:szCs w:val="32"/>
          <w:highlight w:val="none"/>
        </w:rPr>
        <w:t>的</w:t>
      </w:r>
      <w:r>
        <w:rPr>
          <w:rFonts w:ascii="Times New Roman" w:hAnsi="Times New Roman" w:eastAsia="仿宋_GB2312"/>
          <w:color w:val="000000"/>
          <w:sz w:val="30"/>
          <w:szCs w:val="32"/>
          <w:highlight w:val="none"/>
        </w:rPr>
        <w:t>损失：</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（1）工程或工程的任何部分对土地的占用所造成的第三者财产损失；</w:t>
      </w:r>
    </w:p>
    <w:p>
      <w:pPr>
        <w:spacing w:line="360" w:lineRule="auto"/>
        <w:ind w:firstLine="600" w:firstLineChars="200"/>
        <w:rPr>
          <w:rFonts w:hint="eastAsia"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（2）由于发包人原因在施工场地及其毗邻地带造成的第三者人身伤亡和财产损失</w:t>
      </w:r>
      <w:r>
        <w:rPr>
          <w:rFonts w:hint="eastAsia" w:ascii="Times New Roman" w:hAnsi="Times New Roman" w:eastAsia="仿宋_GB2312"/>
          <w:color w:val="000000"/>
          <w:sz w:val="30"/>
          <w:szCs w:val="32"/>
          <w:highlight w:val="none"/>
        </w:rPr>
        <w:t>；</w:t>
      </w:r>
    </w:p>
    <w:p>
      <w:pPr>
        <w:spacing w:line="360" w:lineRule="auto"/>
        <w:ind w:firstLine="600" w:firstLineChars="200"/>
        <w:rPr>
          <w:rFonts w:hint="eastAsia" w:ascii="Times New Roman" w:hAnsi="Times New Roman" w:eastAsia="仿宋_GB2312"/>
          <w:color w:val="000000"/>
          <w:sz w:val="30"/>
          <w:szCs w:val="32"/>
          <w:highlight w:val="none"/>
        </w:rPr>
      </w:pPr>
      <w:r>
        <w:rPr>
          <w:rFonts w:hint="eastAsia" w:ascii="Times New Roman" w:hAnsi="Times New Roman" w:eastAsia="仿宋_GB2312"/>
          <w:color w:val="000000"/>
          <w:sz w:val="30"/>
          <w:szCs w:val="32"/>
          <w:highlight w:val="none"/>
        </w:rPr>
        <w:t>（3）由于发包人原因对承包人、监理人造成的人员人身伤亡和财产损失；</w:t>
      </w:r>
    </w:p>
    <w:p>
      <w:pPr>
        <w:spacing w:line="360" w:lineRule="auto"/>
        <w:ind w:firstLine="600" w:firstLineChars="200"/>
        <w:rPr>
          <w:rFonts w:ascii="Times New Roman" w:hAnsi="Times New Roman" w:eastAsia="仿宋_GB2312"/>
          <w:color w:val="000000"/>
          <w:sz w:val="30"/>
          <w:szCs w:val="32"/>
          <w:highlight w:val="none"/>
        </w:rPr>
      </w:pPr>
      <w:r>
        <w:rPr>
          <w:rFonts w:hint="eastAsia" w:ascii="Times New Roman" w:hAnsi="Times New Roman" w:eastAsia="仿宋_GB2312"/>
          <w:color w:val="000000"/>
          <w:sz w:val="30"/>
          <w:szCs w:val="32"/>
          <w:highlight w:val="none"/>
        </w:rPr>
        <w:t>（4）由于发包人原因造成的发包人自身人员的人身伤害以及财产损失。</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6.1.9.2 承包人的安全责任</w:t>
      </w:r>
    </w:p>
    <w:p>
      <w:pPr>
        <w:spacing w:line="360" w:lineRule="auto"/>
        <w:ind w:firstLine="600" w:firstLineChars="200"/>
        <w:rPr>
          <w:rFonts w:ascii="Times New Roman" w:hAnsi="Times New Roman" w:eastAsia="仿宋_GB2312"/>
          <w:color w:val="000000"/>
          <w:kern w:val="0"/>
          <w:sz w:val="30"/>
          <w:szCs w:val="32"/>
          <w:highlight w:val="none"/>
        </w:rPr>
      </w:pPr>
      <w:r>
        <w:rPr>
          <w:rFonts w:ascii="Times New Roman" w:hAnsi="Times New Roman" w:eastAsia="仿宋_GB2312"/>
          <w:color w:val="000000"/>
          <w:sz w:val="30"/>
          <w:szCs w:val="32"/>
          <w:highlight w:val="none"/>
        </w:rPr>
        <w:t>由于承包人原因在施工场地内及其毗邻地带造成的</w:t>
      </w:r>
      <w:r>
        <w:rPr>
          <w:rFonts w:hint="eastAsia" w:ascii="Times New Roman" w:hAnsi="Times New Roman" w:eastAsia="仿宋_GB2312"/>
          <w:color w:val="000000"/>
          <w:sz w:val="30"/>
          <w:szCs w:val="32"/>
          <w:highlight w:val="none"/>
        </w:rPr>
        <w:t>发包人、监理人以及</w:t>
      </w:r>
      <w:r>
        <w:rPr>
          <w:rFonts w:ascii="Times New Roman" w:hAnsi="Times New Roman" w:eastAsia="仿宋_GB2312"/>
          <w:color w:val="000000"/>
          <w:sz w:val="30"/>
          <w:szCs w:val="32"/>
          <w:highlight w:val="none"/>
        </w:rPr>
        <w:t>第三者人员伤亡和财产损失，由承包人负责赔偿。</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530" w:name="_Toc30794"/>
      <w:bookmarkStart w:id="531" w:name="_Toc18841"/>
      <w:r>
        <w:rPr>
          <w:rFonts w:ascii="Times New Roman" w:hAnsi="Times New Roman" w:eastAsia="黑体"/>
          <w:b w:val="0"/>
          <w:color w:val="000000"/>
          <w:sz w:val="30"/>
          <w:szCs w:val="32"/>
          <w:highlight w:val="none"/>
        </w:rPr>
        <w:t>6</w:t>
      </w:r>
      <w:bookmarkStart w:id="532" w:name="_Toc337558765"/>
      <w:r>
        <w:rPr>
          <w:rFonts w:ascii="Times New Roman" w:hAnsi="Times New Roman" w:eastAsia="黑体"/>
          <w:b w:val="0"/>
          <w:color w:val="000000"/>
          <w:sz w:val="30"/>
          <w:szCs w:val="32"/>
          <w:highlight w:val="none"/>
        </w:rPr>
        <w:t>.2 职业健康</w:t>
      </w:r>
      <w:bookmarkEnd w:id="530"/>
      <w:bookmarkEnd w:id="531"/>
    </w:p>
    <w:bookmarkEnd w:id="532"/>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6.2.1 劳动保护</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承包人应按</w:t>
      </w:r>
      <w:r>
        <w:rPr>
          <w:rFonts w:hint="eastAsia" w:ascii="Times New Roman" w:hAnsi="Times New Roman" w:eastAsia="仿宋_GB2312"/>
          <w:color w:val="000000"/>
          <w:kern w:val="0"/>
          <w:sz w:val="30"/>
          <w:szCs w:val="32"/>
          <w:highlight w:val="none"/>
        </w:rPr>
        <w:t>法律</w:t>
      </w:r>
      <w:r>
        <w:rPr>
          <w:rFonts w:ascii="Times New Roman" w:hAnsi="Times New Roman" w:eastAsia="仿宋_GB2312"/>
          <w:color w:val="000000"/>
          <w:kern w:val="0"/>
          <w:sz w:val="30"/>
          <w:szCs w:val="32"/>
          <w:highlight w:val="none"/>
        </w:rPr>
        <w:t>规定安排工作时间，保证其雇佣人员享有休息和休假的权利。因工程施工的特殊需要占用休假日或延长工作时间的，应不超过法律规定的限度，并按法律规定给予补休或付酬。</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6.2.2 生活条件</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533" w:name="_Toc1435"/>
      <w:bookmarkStart w:id="534" w:name="_Toc4178"/>
      <w:r>
        <w:rPr>
          <w:rFonts w:ascii="Times New Roman" w:hAnsi="Times New Roman" w:eastAsia="黑体"/>
          <w:b w:val="0"/>
          <w:color w:val="000000"/>
          <w:sz w:val="30"/>
          <w:szCs w:val="32"/>
          <w:highlight w:val="none"/>
        </w:rPr>
        <w:t>6</w:t>
      </w:r>
      <w:bookmarkStart w:id="535" w:name="_Toc337558766"/>
      <w:r>
        <w:rPr>
          <w:rFonts w:ascii="Times New Roman" w:hAnsi="Times New Roman" w:eastAsia="黑体"/>
          <w:b w:val="0"/>
          <w:color w:val="000000"/>
          <w:sz w:val="30"/>
          <w:szCs w:val="32"/>
          <w:highlight w:val="none"/>
        </w:rPr>
        <w:t>.3 环境保护</w:t>
      </w:r>
      <w:bookmarkEnd w:id="533"/>
      <w:bookmarkEnd w:id="534"/>
    </w:p>
    <w:bookmarkEnd w:id="535"/>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承包人应当承担因其原因引起的环境污染侵权损害赔偿责任，因上述环境污染引起纠纷而导致暂停施工的，由此增加的费用和（或）延误的工期由承包人承担。</w:t>
      </w:r>
    </w:p>
    <w:p>
      <w:pPr>
        <w:pStyle w:val="5"/>
        <w:spacing w:before="120" w:after="120" w:line="360" w:lineRule="auto"/>
        <w:rPr>
          <w:rFonts w:ascii="Times New Roman" w:hAnsi="Times New Roman" w:eastAsia="黑体"/>
          <w:b w:val="0"/>
          <w:color w:val="000000"/>
          <w:sz w:val="32"/>
          <w:szCs w:val="32"/>
          <w:highlight w:val="none"/>
        </w:rPr>
      </w:pPr>
      <w:bookmarkStart w:id="536" w:name="_Toc18083"/>
      <w:bookmarkStart w:id="537" w:name="_Toc7082"/>
      <w:r>
        <w:rPr>
          <w:rFonts w:ascii="Times New Roman" w:hAnsi="Times New Roman" w:eastAsia="黑体"/>
          <w:b w:val="0"/>
          <w:color w:val="000000"/>
          <w:sz w:val="32"/>
          <w:szCs w:val="32"/>
          <w:highlight w:val="none"/>
        </w:rPr>
        <w:t>7</w:t>
      </w:r>
      <w:bookmarkStart w:id="538" w:name="_Toc337558767"/>
      <w:r>
        <w:rPr>
          <w:rFonts w:ascii="Times New Roman" w:hAnsi="Times New Roman" w:eastAsia="黑体"/>
          <w:b w:val="0"/>
          <w:color w:val="000000"/>
          <w:sz w:val="32"/>
          <w:szCs w:val="32"/>
          <w:highlight w:val="none"/>
        </w:rPr>
        <w:t>. 工期和进度</w:t>
      </w:r>
      <w:bookmarkEnd w:id="536"/>
      <w:bookmarkEnd w:id="537"/>
    </w:p>
    <w:bookmarkEnd w:id="538"/>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539" w:name="_Toc21965"/>
      <w:bookmarkStart w:id="540" w:name="_Toc12681"/>
      <w:r>
        <w:rPr>
          <w:rFonts w:ascii="Times New Roman" w:hAnsi="Times New Roman" w:eastAsia="黑体"/>
          <w:b w:val="0"/>
          <w:color w:val="000000"/>
          <w:sz w:val="30"/>
          <w:szCs w:val="32"/>
          <w:highlight w:val="none"/>
        </w:rPr>
        <w:t>7</w:t>
      </w:r>
      <w:bookmarkStart w:id="541" w:name="_Toc337558768"/>
      <w:bookmarkStart w:id="542" w:name="_Toc296503066"/>
      <w:bookmarkStart w:id="543" w:name="_Toc296346567"/>
      <w:r>
        <w:rPr>
          <w:rFonts w:ascii="Times New Roman" w:hAnsi="Times New Roman" w:eastAsia="黑体"/>
          <w:b w:val="0"/>
          <w:color w:val="000000"/>
          <w:sz w:val="30"/>
          <w:szCs w:val="32"/>
          <w:highlight w:val="none"/>
        </w:rPr>
        <w:t>.1施工组织设计</w:t>
      </w:r>
      <w:bookmarkEnd w:id="539"/>
      <w:bookmarkEnd w:id="540"/>
    </w:p>
    <w:bookmarkEnd w:id="541"/>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sz w:val="30"/>
          <w:szCs w:val="32"/>
          <w:highlight w:val="none"/>
        </w:rPr>
        <w:t>7.1.1</w:t>
      </w:r>
      <w:r>
        <w:rPr>
          <w:rFonts w:ascii="Times New Roman" w:hAnsi="Times New Roman" w:eastAsia="仿宋_GB2312"/>
          <w:color w:val="000000"/>
          <w:sz w:val="30"/>
          <w:szCs w:val="32"/>
          <w:highlight w:val="none"/>
        </w:rPr>
        <w:t xml:space="preserve"> </w:t>
      </w:r>
      <w:r>
        <w:rPr>
          <w:rFonts w:ascii="Times New Roman" w:hAnsi="Times New Roman" w:eastAsia="仿宋_GB2312"/>
          <w:color w:val="000000"/>
          <w:kern w:val="0"/>
          <w:sz w:val="30"/>
          <w:szCs w:val="32"/>
          <w:highlight w:val="none"/>
        </w:rPr>
        <w:t>施工组织设计的内容</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施工组织设计应包含以下内容：</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 xml:space="preserve">（1）施工方案； </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（2）施工现场平面布置图；</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 xml:space="preserve">（3）施工进度计划和保证措施； </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（4）劳动力及材料供应计划；</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（5）施工机械设备的选用；</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（6）质量保证体系及措施；</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（7）安全生产、文明施工措施；</w:t>
      </w:r>
    </w:p>
    <w:p>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（8）环境保护、成本控制措施</w:t>
      </w:r>
      <w:r>
        <w:rPr>
          <w:rFonts w:hint="eastAsia" w:ascii="Times New Roman" w:hAnsi="Times New Roman" w:eastAsia="仿宋_GB2312"/>
          <w:color w:val="000000"/>
          <w:kern w:val="0"/>
          <w:sz w:val="30"/>
          <w:szCs w:val="32"/>
          <w:highlight w:val="none"/>
        </w:rPr>
        <w:t>；</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hint="eastAsia" w:ascii="Times New Roman" w:hAnsi="Times New Roman" w:eastAsia="仿宋_GB2312"/>
          <w:color w:val="000000"/>
          <w:kern w:val="0"/>
          <w:sz w:val="30"/>
          <w:szCs w:val="32"/>
          <w:highlight w:val="none"/>
        </w:rPr>
        <w:t>（9）合同当事人约定的其他内容</w:t>
      </w:r>
      <w:r>
        <w:rPr>
          <w:rFonts w:ascii="Times New Roman" w:hAnsi="Times New Roman" w:eastAsia="仿宋_GB2312"/>
          <w:color w:val="000000"/>
          <w:kern w:val="0"/>
          <w:sz w:val="30"/>
          <w:szCs w:val="32"/>
          <w:highlight w:val="none"/>
        </w:rPr>
        <w:t>。</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sz w:val="30"/>
          <w:szCs w:val="32"/>
          <w:highlight w:val="none"/>
        </w:rPr>
        <w:t>7.1.2</w:t>
      </w:r>
      <w:r>
        <w:rPr>
          <w:rFonts w:ascii="Times New Roman" w:hAnsi="Times New Roman" w:eastAsia="仿宋_GB2312"/>
          <w:color w:val="000000"/>
          <w:sz w:val="30"/>
          <w:szCs w:val="32"/>
          <w:highlight w:val="none"/>
        </w:rPr>
        <w:t xml:space="preserve"> </w:t>
      </w:r>
      <w:r>
        <w:rPr>
          <w:rFonts w:ascii="Times New Roman" w:hAnsi="Times New Roman" w:eastAsia="仿宋_GB2312"/>
          <w:color w:val="000000"/>
          <w:kern w:val="0"/>
          <w:sz w:val="30"/>
          <w:szCs w:val="32"/>
          <w:highlight w:val="none"/>
        </w:rPr>
        <w:t>施工组织设计的提交和修改</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除专用合同条款另有约定外，承包人应在合同签订后14天内，但至迟不得晚于第7.3.2项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开工通知</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载明的开工日期前7天，向监理人提交详细的施工组织设计，并由监理人报送发包人。</w:t>
      </w:r>
      <w:r>
        <w:rPr>
          <w:rFonts w:hint="eastAsia" w:ascii="Times New Roman" w:hAnsi="Times New Roman" w:eastAsia="仿宋_GB2312"/>
          <w:color w:val="000000"/>
          <w:kern w:val="0"/>
          <w:sz w:val="30"/>
          <w:szCs w:val="32"/>
          <w:highlight w:val="none"/>
        </w:rPr>
        <w:t>除专用合同条款另有约定外，发包人和监理人应在监理人收到施工组织设计后7天内确认或提出修改意见</w:t>
      </w:r>
      <w:r>
        <w:rPr>
          <w:rFonts w:ascii="Times New Roman" w:hAnsi="Times New Roman" w:eastAsia="仿宋_GB2312"/>
          <w:color w:val="000000"/>
          <w:kern w:val="0"/>
          <w:sz w:val="30"/>
          <w:szCs w:val="32"/>
          <w:highlight w:val="none"/>
        </w:rPr>
        <w:t>。对发包人和监理人提出的合理意见和要求，承包人应自费修改完善。根据工程实际情况需要修改施工组织设计的，承包人应向发包人和监理人提交修改后的施工组织设计。</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施工进度计划的编制和修改按照第7.2款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施工进度计划</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执行。</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544" w:name="_Toc1254"/>
      <w:bookmarkStart w:id="545" w:name="_Toc6014"/>
      <w:r>
        <w:rPr>
          <w:rFonts w:ascii="Times New Roman" w:hAnsi="Times New Roman" w:eastAsia="黑体"/>
          <w:b w:val="0"/>
          <w:color w:val="000000"/>
          <w:sz w:val="30"/>
          <w:szCs w:val="32"/>
          <w:highlight w:val="none"/>
        </w:rPr>
        <w:t>7</w:t>
      </w:r>
      <w:bookmarkStart w:id="546" w:name="_Toc337558769"/>
      <w:r>
        <w:rPr>
          <w:rFonts w:ascii="Times New Roman" w:hAnsi="Times New Roman" w:eastAsia="黑体"/>
          <w:b w:val="0"/>
          <w:color w:val="000000"/>
          <w:sz w:val="30"/>
          <w:szCs w:val="32"/>
          <w:highlight w:val="none"/>
        </w:rPr>
        <w:t>.2 施工进度计划</w:t>
      </w:r>
      <w:bookmarkEnd w:id="544"/>
      <w:bookmarkEnd w:id="545"/>
    </w:p>
    <w:bookmarkEnd w:id="546"/>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7.2.1 施工进度计划的编制</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承包人应按照第7.1款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施工组织设计</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sz w:val="30"/>
          <w:szCs w:val="32"/>
          <w:highlight w:val="none"/>
        </w:rPr>
        <w:t>7.2.2 施工进度计划的修订</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547" w:name="_Toc4881"/>
      <w:bookmarkStart w:id="548" w:name="_Toc21971"/>
      <w:r>
        <w:rPr>
          <w:rFonts w:ascii="Times New Roman" w:hAnsi="Times New Roman" w:eastAsia="黑体"/>
          <w:b w:val="0"/>
          <w:color w:val="000000"/>
          <w:sz w:val="30"/>
          <w:szCs w:val="32"/>
          <w:highlight w:val="none"/>
        </w:rPr>
        <w:t>7</w:t>
      </w:r>
      <w:bookmarkStart w:id="549" w:name="_Toc337558770"/>
      <w:r>
        <w:rPr>
          <w:rFonts w:ascii="Times New Roman" w:hAnsi="Times New Roman" w:eastAsia="黑体"/>
          <w:b w:val="0"/>
          <w:color w:val="000000"/>
          <w:sz w:val="30"/>
          <w:szCs w:val="32"/>
          <w:highlight w:val="none"/>
        </w:rPr>
        <w:t>.3 开工</w:t>
      </w:r>
      <w:bookmarkEnd w:id="547"/>
      <w:bookmarkEnd w:id="548"/>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kern w:val="0"/>
          <w:sz w:val="30"/>
          <w:szCs w:val="32"/>
          <w:highlight w:val="none"/>
        </w:rPr>
        <w:t>7.3.1 开工准备</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除专用合同条款另有约定外，承包人应按照第7.1款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施工组织设计</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除专用合同条款另有约定外，合同当事人应按约定完成开工准备工作。</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7.3.2 开工通知</w:t>
      </w:r>
    </w:p>
    <w:bookmarkEnd w:id="549"/>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550" w:name="_Toc22211"/>
      <w:bookmarkStart w:id="551" w:name="_Toc9266"/>
      <w:r>
        <w:rPr>
          <w:rFonts w:ascii="Times New Roman" w:hAnsi="Times New Roman" w:eastAsia="黑体"/>
          <w:b w:val="0"/>
          <w:color w:val="000000"/>
          <w:sz w:val="30"/>
          <w:szCs w:val="32"/>
          <w:highlight w:val="none"/>
        </w:rPr>
        <w:t>7.4测量放线</w:t>
      </w:r>
      <w:bookmarkEnd w:id="550"/>
      <w:bookmarkEnd w:id="551"/>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7.4.1 除专用合同条款另有约定外，发包人应在至迟不得晚于第7.3.2项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开工通知</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载明的开工日期前7天通过监理人向承包人提供测量基准点、基准线和水准点及其书面资料。发包人应对其提供的测量基准点、基准线和水准点及其书面资料的真实性、准确性和完整性负责。</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7.4.2 承包人负责施工过程中的全部施工测量放线工作，并配置具有相应资质的人员、合格的仪器、设备和其他物品。承包人应矫正工程的位置、标高、尺寸或准线中出现的任何差错，并对工程各部分的定位负责。</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施工过程中对施工现场内水准点等测量标志物的保护工作由承包人负责。</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552" w:name="_Toc24376"/>
      <w:bookmarkStart w:id="553" w:name="_Toc20238"/>
      <w:r>
        <w:rPr>
          <w:rFonts w:ascii="Times New Roman" w:hAnsi="Times New Roman" w:eastAsia="黑体"/>
          <w:b w:val="0"/>
          <w:color w:val="000000"/>
          <w:sz w:val="30"/>
          <w:szCs w:val="32"/>
          <w:highlight w:val="none"/>
        </w:rPr>
        <w:t>7</w:t>
      </w:r>
      <w:bookmarkEnd w:id="542"/>
      <w:bookmarkEnd w:id="543"/>
      <w:bookmarkStart w:id="554" w:name="_Toc337558772"/>
      <w:bookmarkStart w:id="555" w:name="_Toc296503073"/>
      <w:bookmarkStart w:id="556" w:name="_Toc296346574"/>
      <w:r>
        <w:rPr>
          <w:rFonts w:ascii="Times New Roman" w:hAnsi="Times New Roman" w:eastAsia="黑体"/>
          <w:b w:val="0"/>
          <w:color w:val="000000"/>
          <w:sz w:val="30"/>
          <w:szCs w:val="32"/>
          <w:highlight w:val="none"/>
        </w:rPr>
        <w:t>.5</w:t>
      </w:r>
      <w:r>
        <w:rPr>
          <w:rFonts w:hint="eastAsia" w:ascii="Times New Roman" w:hAnsi="Times New Roman" w:eastAsia="黑体"/>
          <w:b w:val="0"/>
          <w:color w:val="000000"/>
          <w:sz w:val="30"/>
          <w:szCs w:val="32"/>
          <w:highlight w:val="none"/>
        </w:rPr>
        <w:t xml:space="preserve"> </w:t>
      </w:r>
      <w:r>
        <w:rPr>
          <w:rFonts w:ascii="Times New Roman" w:hAnsi="Times New Roman" w:eastAsia="黑体"/>
          <w:b w:val="0"/>
          <w:color w:val="000000"/>
          <w:sz w:val="30"/>
          <w:szCs w:val="32"/>
          <w:highlight w:val="none"/>
        </w:rPr>
        <w:t>工期延误</w:t>
      </w:r>
      <w:bookmarkEnd w:id="552"/>
      <w:bookmarkEnd w:id="553"/>
    </w:p>
    <w:bookmarkEnd w:id="554"/>
    <w:bookmarkEnd w:id="555"/>
    <w:bookmarkEnd w:id="556"/>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7.5.1 因发包人原因导致工期延误</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 xml:space="preserve">在合同履行过程中，因下列情况导致工期延误和（或）费用增加的，由发包人承担由此延误的工期和（或）增加的费用，且发包人应支付承包人合理的利润： </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（1）发包人未能按合同约定提供图纸或所提供图纸不符合合同约定的；</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（2）发包人未能按合同约定提供施工现场、施工条件、基础资料、许可、批准等开工条件的；</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（3）发包人提供的测量基准点、基准线和水准点及其书面资料存在错误或疏漏的；</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（4）发包人未能在计划开工日期之日起7天内同意下达开工通知的；</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（5）发包人未能按合同约定日期支付工程预付款、进度款或竣工结算款的；</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（6）监理人未按合同约定发出指示、批准等文件的；</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（7）专用合同条款中约定的其他情形。</w:t>
      </w:r>
    </w:p>
    <w:p>
      <w:pPr>
        <w:spacing w:line="360" w:lineRule="auto"/>
        <w:ind w:firstLine="600" w:firstLineChars="200"/>
        <w:jc w:val="left"/>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因发包人原因未按计划开工日期开工的，发包人应按实际开工日期顺延竣工日期，确保实际工期不低于合同约定的工期总日历天数。因发包人原因导致工期延误需要修订施工进度计划的，按照第7.2.2项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施工进度计划的修订</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执行。</w:t>
      </w:r>
    </w:p>
    <w:p>
      <w:pPr>
        <w:autoSpaceDE w:val="0"/>
        <w:autoSpaceDN w:val="0"/>
        <w:adjustRightInd w:val="0"/>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kern w:val="0"/>
          <w:sz w:val="30"/>
          <w:szCs w:val="32"/>
          <w:highlight w:val="none"/>
        </w:rPr>
        <w:t>7.5.2 因承包人原因导致工期延误</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bookmarkStart w:id="557" w:name="_Toc296346577"/>
      <w:bookmarkStart w:id="558" w:name="_Toc296503076"/>
      <w:r>
        <w:rPr>
          <w:rFonts w:ascii="Times New Roman" w:hAnsi="Times New Roman" w:eastAsia="仿宋_GB2312"/>
          <w:color w:val="000000"/>
          <w:kern w:val="0"/>
          <w:sz w:val="30"/>
          <w:szCs w:val="32"/>
          <w:highlight w:val="none"/>
        </w:rPr>
        <w:t>因</w:t>
      </w:r>
      <w:bookmarkEnd w:id="557"/>
      <w:bookmarkEnd w:id="558"/>
      <w:r>
        <w:rPr>
          <w:rFonts w:ascii="Times New Roman" w:hAnsi="Times New Roman" w:eastAsia="仿宋_GB2312"/>
          <w:color w:val="000000"/>
          <w:kern w:val="0"/>
          <w:sz w:val="30"/>
          <w:szCs w:val="32"/>
          <w:highlight w:val="none"/>
        </w:rPr>
        <w:t>承包人原因造成工期延误的，可以在专用合同条款中约定逾期竣工违约金的计算方法和逾期竣工违约金的上限。承包人支付逾期竣工违约金后，不免除承包人继续完成工程及修补缺陷的义务。</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559" w:name="_Toc12110"/>
      <w:bookmarkStart w:id="560" w:name="_Toc16446"/>
      <w:r>
        <w:rPr>
          <w:rFonts w:ascii="Times New Roman" w:hAnsi="Times New Roman" w:eastAsia="黑体"/>
          <w:b w:val="0"/>
          <w:color w:val="000000"/>
          <w:sz w:val="30"/>
          <w:szCs w:val="32"/>
          <w:highlight w:val="none"/>
        </w:rPr>
        <w:t>7</w:t>
      </w:r>
      <w:bookmarkStart w:id="561" w:name="_Toc296346575"/>
      <w:bookmarkStart w:id="562" w:name="_Toc337558773"/>
      <w:bookmarkStart w:id="563" w:name="_Toc296503074"/>
      <w:bookmarkStart w:id="564" w:name="_Toc296503077"/>
      <w:bookmarkStart w:id="565" w:name="_Toc296346578"/>
      <w:r>
        <w:rPr>
          <w:rFonts w:ascii="Times New Roman" w:hAnsi="Times New Roman" w:eastAsia="黑体"/>
          <w:b w:val="0"/>
          <w:color w:val="000000"/>
          <w:sz w:val="30"/>
          <w:szCs w:val="32"/>
          <w:highlight w:val="none"/>
        </w:rPr>
        <w:t>.6 不利物质条件</w:t>
      </w:r>
      <w:bookmarkEnd w:id="559"/>
      <w:bookmarkEnd w:id="560"/>
    </w:p>
    <w:bookmarkEnd w:id="561"/>
    <w:bookmarkEnd w:id="562"/>
    <w:bookmarkEnd w:id="563"/>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变更</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约定执行。承包人因采取合理措施而增加的费用和（或）延误的工期由发包人承担。</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566" w:name="_Toc19223"/>
      <w:bookmarkStart w:id="567" w:name="_Toc15442"/>
      <w:r>
        <w:rPr>
          <w:rFonts w:ascii="Times New Roman" w:hAnsi="Times New Roman" w:eastAsia="黑体"/>
          <w:b w:val="0"/>
          <w:color w:val="000000"/>
          <w:sz w:val="30"/>
          <w:szCs w:val="32"/>
          <w:highlight w:val="none"/>
        </w:rPr>
        <w:t>7</w:t>
      </w:r>
      <w:bookmarkStart w:id="568" w:name="_Toc337558774"/>
      <w:bookmarkStart w:id="569" w:name="_Toc296503075"/>
      <w:bookmarkStart w:id="570" w:name="_Toc296346576"/>
      <w:r>
        <w:rPr>
          <w:rFonts w:ascii="Times New Roman" w:hAnsi="Times New Roman" w:eastAsia="黑体"/>
          <w:b w:val="0"/>
          <w:color w:val="000000"/>
          <w:sz w:val="30"/>
          <w:szCs w:val="32"/>
          <w:highlight w:val="none"/>
        </w:rPr>
        <w:t>.7</w:t>
      </w:r>
      <w:r>
        <w:rPr>
          <w:rFonts w:hint="eastAsia" w:ascii="Times New Roman" w:hAnsi="Times New Roman" w:eastAsia="黑体"/>
          <w:b w:val="0"/>
          <w:color w:val="000000"/>
          <w:sz w:val="30"/>
          <w:szCs w:val="32"/>
          <w:highlight w:val="none"/>
        </w:rPr>
        <w:t xml:space="preserve"> </w:t>
      </w:r>
      <w:r>
        <w:rPr>
          <w:rFonts w:ascii="Times New Roman" w:hAnsi="Times New Roman" w:eastAsia="黑体"/>
          <w:b w:val="0"/>
          <w:color w:val="000000"/>
          <w:sz w:val="30"/>
          <w:szCs w:val="32"/>
          <w:highlight w:val="none"/>
        </w:rPr>
        <w:t>异常恶劣的气候条件</w:t>
      </w:r>
      <w:bookmarkEnd w:id="566"/>
      <w:bookmarkEnd w:id="567"/>
    </w:p>
    <w:bookmarkEnd w:id="568"/>
    <w:bookmarkEnd w:id="569"/>
    <w:bookmarkEnd w:id="570"/>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承包人应采取克服异常恶劣的气候条件的合理措施继续施工，并及时通知发包人和监理人。监理人经发包人同意后应当及时发出指示，指示构成变更的，按第10条</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变更</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约定办理。承包人因采取合理措施而增加的费用和（或）延误的工期由发包人承担。</w:t>
      </w:r>
    </w:p>
    <w:p>
      <w:pPr>
        <w:autoSpaceDE w:val="0"/>
        <w:autoSpaceDN w:val="0"/>
        <w:adjustRightInd w:val="0"/>
        <w:spacing w:line="360" w:lineRule="auto"/>
        <w:ind w:firstLine="600" w:firstLineChars="200"/>
        <w:jc w:val="left"/>
        <w:outlineLvl w:val="0"/>
        <w:rPr>
          <w:rFonts w:ascii="Times New Roman" w:hAnsi="Times New Roman" w:eastAsia="黑体"/>
          <w:bCs/>
          <w:color w:val="000000"/>
          <w:sz w:val="30"/>
          <w:szCs w:val="32"/>
          <w:highlight w:val="none"/>
        </w:rPr>
      </w:pPr>
      <w:bookmarkStart w:id="571" w:name="_Toc20021"/>
      <w:bookmarkStart w:id="572" w:name="_Toc10847"/>
      <w:bookmarkStart w:id="573" w:name="_Toc26537"/>
      <w:bookmarkStart w:id="574" w:name="_Toc14927"/>
      <w:r>
        <w:rPr>
          <w:rFonts w:ascii="Times New Roman" w:hAnsi="Times New Roman" w:eastAsia="黑体"/>
          <w:bCs/>
          <w:color w:val="000000"/>
          <w:sz w:val="30"/>
          <w:szCs w:val="32"/>
          <w:highlight w:val="none"/>
        </w:rPr>
        <w:t>7</w:t>
      </w:r>
      <w:bookmarkStart w:id="575" w:name="_Toc337558775"/>
      <w:r>
        <w:rPr>
          <w:rFonts w:ascii="Times New Roman" w:hAnsi="Times New Roman" w:eastAsia="黑体"/>
          <w:bCs/>
          <w:color w:val="000000"/>
          <w:sz w:val="30"/>
          <w:szCs w:val="32"/>
          <w:highlight w:val="none"/>
        </w:rPr>
        <w:t>.8</w:t>
      </w:r>
      <w:r>
        <w:rPr>
          <w:rFonts w:hint="eastAsia" w:ascii="Times New Roman" w:hAnsi="Times New Roman" w:eastAsia="黑体"/>
          <w:bCs/>
          <w:color w:val="000000"/>
          <w:sz w:val="30"/>
          <w:szCs w:val="32"/>
          <w:highlight w:val="none"/>
        </w:rPr>
        <w:t xml:space="preserve"> </w:t>
      </w:r>
      <w:r>
        <w:rPr>
          <w:rFonts w:ascii="Times New Roman" w:hAnsi="Times New Roman" w:eastAsia="黑体"/>
          <w:bCs/>
          <w:color w:val="000000"/>
          <w:sz w:val="30"/>
          <w:szCs w:val="32"/>
          <w:highlight w:val="none"/>
        </w:rPr>
        <w:t>暂停施工</w:t>
      </w:r>
      <w:bookmarkEnd w:id="571"/>
      <w:bookmarkEnd w:id="572"/>
      <w:bookmarkEnd w:id="573"/>
      <w:bookmarkEnd w:id="574"/>
    </w:p>
    <w:bookmarkEnd w:id="564"/>
    <w:bookmarkEnd w:id="565"/>
    <w:bookmarkEnd w:id="575"/>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7.8.1发包人原因引起的暂停施工</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因发包人原因引起暂停施工的，监理人经发包人同意后，应及时下达暂停施工指示。情况紧急且监理人未及时下达暂停施工指示的，按照第7.8.4项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紧急情况下的暂停施工</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执行。</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因发包人原因引起的暂停施工，发包人应承担由此增加的费用和（或）延误的工期，</w:t>
      </w:r>
      <w:r>
        <w:rPr>
          <w:rFonts w:ascii="Times New Roman" w:hAnsi="Times New Roman" w:eastAsia="仿宋_GB2312"/>
          <w:kern w:val="0"/>
          <w:sz w:val="30"/>
          <w:szCs w:val="32"/>
          <w:highlight w:val="none"/>
        </w:rPr>
        <w:t>并支付承包人</w:t>
      </w:r>
      <w:r>
        <w:rPr>
          <w:rFonts w:ascii="Times New Roman" w:hAnsi="Times New Roman" w:eastAsia="仿宋_GB2312"/>
          <w:color w:val="000000"/>
          <w:kern w:val="0"/>
          <w:sz w:val="30"/>
          <w:szCs w:val="32"/>
          <w:highlight w:val="none"/>
        </w:rPr>
        <w:t>合理的利润。</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7.8.2 承包人原因引起的暂停施工</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因承包人原因引起的暂停施工，承包人应承担由此增加的费用和（或）延误的工期，且承包人在收到监理人复工指示后</w:t>
      </w:r>
      <w:r>
        <w:rPr>
          <w:rFonts w:hint="eastAsia" w:ascii="Times New Roman" w:hAnsi="Times New Roman" w:eastAsia="仿宋_GB2312"/>
          <w:color w:val="000000"/>
          <w:kern w:val="0"/>
          <w:sz w:val="30"/>
          <w:szCs w:val="32"/>
          <w:highlight w:val="none"/>
        </w:rPr>
        <w:t>84</w:t>
      </w:r>
      <w:r>
        <w:rPr>
          <w:rFonts w:ascii="Times New Roman" w:hAnsi="Times New Roman" w:eastAsia="仿宋_GB2312"/>
          <w:color w:val="000000"/>
          <w:kern w:val="0"/>
          <w:sz w:val="30"/>
          <w:szCs w:val="32"/>
          <w:highlight w:val="none"/>
        </w:rPr>
        <w:t>天内仍未复工的，视为第16.2.1项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承包人违约的情形</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第（7）目约定的承包人无法继续履行合同的情形。</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7.8.3 指示暂停施工</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监理人认为有必要时，并经发包人批准后，可向承包人作出暂停施工的指示，承包人应按监理人指示暂停施工。</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7.8.4 紧急情况下的暂停施工</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争议解决</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约定处理。</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7.8.5 暂停施工后的复工</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承包人无故拖延和拒绝复工的，承包人承担由此增加的费用和（或）延误的工期；因发包人原因无法按时复工的，按照第7.5.1项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因发包人原因导致工期延误</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约定办理。</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7.8.6 暂停施工持续56天以上</w:t>
      </w:r>
    </w:p>
    <w:p>
      <w:pPr>
        <w:spacing w:line="360" w:lineRule="auto"/>
        <w:ind w:firstLine="585" w:firstLineChars="195"/>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监理人发出暂停施工指示后56天内未向承包人发出复工通知，除该项停工属于第7.8.2项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承包人原因引起的暂停施工</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及第17条</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不可抗力</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的情形外，承包人可向发包人提交书面通知，要求发包人在收到书面通知后28天内准许已暂停施工的部分或全部工程继续施工。发包人逾期不予批准的，则承包人可以通知发包人，将工程受影响的部分视为按第10.1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变更的范围</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第（2）项的可取消工作。</w:t>
      </w:r>
    </w:p>
    <w:p>
      <w:pPr>
        <w:spacing w:line="360" w:lineRule="auto"/>
        <w:ind w:firstLine="585" w:firstLineChars="195"/>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暂停施工持续</w:t>
      </w:r>
      <w:r>
        <w:rPr>
          <w:rFonts w:hint="eastAsia" w:ascii="Times New Roman" w:hAnsi="Times New Roman" w:eastAsia="仿宋_GB2312"/>
          <w:color w:val="000000"/>
          <w:kern w:val="0"/>
          <w:sz w:val="30"/>
          <w:szCs w:val="32"/>
          <w:highlight w:val="none"/>
        </w:rPr>
        <w:t>84</w:t>
      </w:r>
      <w:r>
        <w:rPr>
          <w:rFonts w:ascii="Times New Roman" w:hAnsi="Times New Roman" w:eastAsia="仿宋_GB2312"/>
          <w:color w:val="000000"/>
          <w:kern w:val="0"/>
          <w:sz w:val="30"/>
          <w:szCs w:val="32"/>
          <w:highlight w:val="none"/>
        </w:rPr>
        <w:t>天以上不复工的，且不属于第7.8.2项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承包人原因引起的暂停施工</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及第17条</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不可抗力</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约定的情形，并影响到整个工程以及合同目的实现的，承包人有权提出价格调整要求，或者解除合同。解除合同的，按照第16.1.3项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因发包人违约解除合同</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执行。</w:t>
      </w:r>
    </w:p>
    <w:p>
      <w:pPr>
        <w:spacing w:line="360" w:lineRule="auto"/>
        <w:ind w:left="16" w:firstLine="585" w:firstLineChars="195"/>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7.8.7 暂停施工期间的工程照管</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暂停施工期间，承包人应负责妥善照管工程并提供安全保障，由此增加的费用由责任方承担。</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7.8.8 暂停施工的措施</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暂停施工期间，发包人和承包人均应采取必要的措施确保工程质量及安全，防止因暂停施工扩大损失。</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576" w:name="_Toc1487"/>
      <w:bookmarkStart w:id="577" w:name="_Toc12512"/>
      <w:r>
        <w:rPr>
          <w:rFonts w:ascii="Times New Roman" w:hAnsi="Times New Roman" w:eastAsia="黑体"/>
          <w:b w:val="0"/>
          <w:color w:val="000000"/>
          <w:sz w:val="30"/>
          <w:szCs w:val="32"/>
          <w:highlight w:val="none"/>
        </w:rPr>
        <w:t>7.9提前竣工</w:t>
      </w:r>
      <w:bookmarkEnd w:id="576"/>
      <w:bookmarkEnd w:id="577"/>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w:t>
      </w:r>
      <w:r>
        <w:rPr>
          <w:rFonts w:hint="eastAsia" w:ascii="Times New Roman" w:hAnsi="Times New Roman" w:eastAsia="仿宋_GB2312"/>
          <w:color w:val="000000"/>
          <w:kern w:val="0"/>
          <w:sz w:val="30"/>
          <w:szCs w:val="32"/>
          <w:highlight w:val="none"/>
        </w:rPr>
        <w:t>承包人认为提前竣工指示无法执行的，应向监理人和发包人提出书面异议，发包人和监理人应在收到异议后7天内予以答复。任何情况下，发包人不得压缩合理工期。</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7.9.2 发包人要求承包人提前竣工，或承包人提出提前竣工的建议能够给发包人带来效益的，合同当事人可以在专用合同条款中约定提前竣工的奖励。</w:t>
      </w:r>
    </w:p>
    <w:p>
      <w:pPr>
        <w:pStyle w:val="5"/>
        <w:spacing w:before="120" w:after="120" w:line="360" w:lineRule="auto"/>
        <w:rPr>
          <w:rFonts w:ascii="Times New Roman" w:hAnsi="Times New Roman" w:eastAsia="黑体"/>
          <w:b w:val="0"/>
          <w:color w:val="000000"/>
          <w:sz w:val="32"/>
          <w:szCs w:val="32"/>
          <w:highlight w:val="none"/>
        </w:rPr>
      </w:pPr>
      <w:bookmarkStart w:id="578" w:name="_Toc23912"/>
      <w:bookmarkStart w:id="579" w:name="_Toc7346"/>
      <w:r>
        <w:rPr>
          <w:rFonts w:ascii="Times New Roman" w:hAnsi="Times New Roman" w:eastAsia="黑体"/>
          <w:b w:val="0"/>
          <w:color w:val="000000"/>
          <w:sz w:val="32"/>
          <w:szCs w:val="32"/>
          <w:highlight w:val="none"/>
        </w:rPr>
        <w:t>8</w:t>
      </w:r>
      <w:bookmarkStart w:id="580" w:name="_Toc337558776"/>
      <w:bookmarkStart w:id="581" w:name="_Toc296346559"/>
      <w:bookmarkStart w:id="582" w:name="_Toc296503058"/>
      <w:r>
        <w:rPr>
          <w:rFonts w:ascii="Times New Roman" w:hAnsi="Times New Roman" w:eastAsia="黑体"/>
          <w:b w:val="0"/>
          <w:color w:val="000000"/>
          <w:sz w:val="32"/>
          <w:szCs w:val="32"/>
          <w:highlight w:val="none"/>
        </w:rPr>
        <w:t>. 材料与设备</w:t>
      </w:r>
      <w:bookmarkEnd w:id="578"/>
      <w:bookmarkEnd w:id="579"/>
    </w:p>
    <w:bookmarkEnd w:id="580"/>
    <w:bookmarkEnd w:id="581"/>
    <w:bookmarkEnd w:id="582"/>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583" w:name="_Toc22046"/>
      <w:bookmarkStart w:id="584" w:name="_Toc18635"/>
      <w:r>
        <w:rPr>
          <w:rFonts w:ascii="Times New Roman" w:hAnsi="Times New Roman" w:eastAsia="黑体"/>
          <w:b w:val="0"/>
          <w:color w:val="000000"/>
          <w:sz w:val="30"/>
          <w:szCs w:val="32"/>
          <w:highlight w:val="none"/>
        </w:rPr>
        <w:t>8</w:t>
      </w:r>
      <w:bookmarkStart w:id="585" w:name="_Toc296346560"/>
      <w:bookmarkStart w:id="586" w:name="_Toc296503059"/>
      <w:bookmarkStart w:id="587" w:name="_Toc337558777"/>
      <w:bookmarkStart w:id="588" w:name="_Toc468936960"/>
      <w:r>
        <w:rPr>
          <w:rFonts w:ascii="Times New Roman" w:hAnsi="Times New Roman" w:eastAsia="黑体"/>
          <w:b w:val="0"/>
          <w:color w:val="000000"/>
          <w:sz w:val="30"/>
          <w:szCs w:val="32"/>
          <w:highlight w:val="none"/>
        </w:rPr>
        <w:t>.1发包人供应材料与工程设备</w:t>
      </w:r>
      <w:bookmarkEnd w:id="583"/>
      <w:bookmarkEnd w:id="584"/>
    </w:p>
    <w:bookmarkEnd w:id="585"/>
    <w:bookmarkEnd w:id="586"/>
    <w:bookmarkEnd w:id="587"/>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发包人自行供应材料、工程设备的，应在签订合同时在专用合同条款的附件《发包人供应材料设备一览表》中明确材料、工程设备的品种、规格、型号、数量、单价、质量等级和送达地点。</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承包人应提前30天通过监理人以书面形式通知发包人供应材料与工程设备进场。承包人按照第7.2.2项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施工进度计划的修订</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约定修订施工进度计划时，需同时提交经修订后的发包人供应材料与工程设备的进场计划。</w:t>
      </w:r>
    </w:p>
    <w:p>
      <w:pPr>
        <w:pStyle w:val="6"/>
        <w:spacing w:before="120" w:after="120" w:line="360" w:lineRule="auto"/>
        <w:ind w:firstLine="600" w:firstLineChars="200"/>
        <w:rPr>
          <w:rFonts w:ascii="Times New Roman" w:hAnsi="Times New Roman" w:eastAsia="仿宋_GB2312"/>
          <w:color w:val="000000"/>
          <w:sz w:val="30"/>
          <w:szCs w:val="32"/>
          <w:highlight w:val="none"/>
        </w:rPr>
      </w:pPr>
      <w:bookmarkStart w:id="589" w:name="_Toc24648"/>
      <w:bookmarkStart w:id="590" w:name="_Toc21115"/>
      <w:r>
        <w:rPr>
          <w:rFonts w:ascii="Times New Roman" w:hAnsi="Times New Roman" w:eastAsia="黑体"/>
          <w:b w:val="0"/>
          <w:color w:val="000000"/>
          <w:sz w:val="30"/>
          <w:szCs w:val="32"/>
          <w:highlight w:val="none"/>
        </w:rPr>
        <w:t>8</w:t>
      </w:r>
      <w:bookmarkStart w:id="591" w:name="_Toc337558778"/>
      <w:bookmarkStart w:id="592" w:name="_Toc296346561"/>
      <w:bookmarkStart w:id="593" w:name="_Toc296503060"/>
      <w:r>
        <w:rPr>
          <w:rFonts w:ascii="Times New Roman" w:hAnsi="Times New Roman" w:eastAsia="黑体"/>
          <w:b w:val="0"/>
          <w:color w:val="000000"/>
          <w:sz w:val="30"/>
          <w:szCs w:val="32"/>
          <w:highlight w:val="none"/>
        </w:rPr>
        <w:t>.2承包人采购材料与工程设备</w:t>
      </w:r>
      <w:bookmarkEnd w:id="589"/>
      <w:bookmarkEnd w:id="590"/>
    </w:p>
    <w:bookmarkEnd w:id="591"/>
    <w:bookmarkEnd w:id="592"/>
    <w:bookmarkEnd w:id="593"/>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w:t>
      </w:r>
      <w:r>
        <w:rPr>
          <w:rFonts w:hint="eastAsia" w:ascii="Times New Roman" w:hAnsi="Times New Roman" w:eastAsia="仿宋_GB2312"/>
          <w:color w:val="000000"/>
          <w:kern w:val="0"/>
          <w:sz w:val="30"/>
          <w:szCs w:val="32"/>
          <w:highlight w:val="none"/>
        </w:rPr>
        <w:t>相应责任</w:t>
      </w:r>
      <w:r>
        <w:rPr>
          <w:rFonts w:ascii="Times New Roman" w:hAnsi="Times New Roman" w:eastAsia="仿宋_GB2312"/>
          <w:color w:val="000000"/>
          <w:kern w:val="0"/>
          <w:sz w:val="30"/>
          <w:szCs w:val="32"/>
          <w:highlight w:val="none"/>
        </w:rPr>
        <w:t>。</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594" w:name="_Toc17207"/>
      <w:bookmarkStart w:id="595" w:name="_Toc15441"/>
      <w:r>
        <w:rPr>
          <w:rFonts w:ascii="Times New Roman" w:hAnsi="Times New Roman" w:eastAsia="黑体"/>
          <w:b w:val="0"/>
          <w:color w:val="000000"/>
          <w:sz w:val="30"/>
          <w:szCs w:val="32"/>
          <w:highlight w:val="none"/>
        </w:rPr>
        <w:t>8</w:t>
      </w:r>
      <w:bookmarkStart w:id="596" w:name="_Toc296503061"/>
      <w:bookmarkStart w:id="597" w:name="_Toc296346562"/>
      <w:bookmarkStart w:id="598" w:name="_Toc337558779"/>
      <w:r>
        <w:rPr>
          <w:rFonts w:ascii="Times New Roman" w:hAnsi="Times New Roman" w:eastAsia="黑体"/>
          <w:b w:val="0"/>
          <w:color w:val="000000"/>
          <w:sz w:val="30"/>
          <w:szCs w:val="32"/>
          <w:highlight w:val="none"/>
        </w:rPr>
        <w:t>.3材料与工程设备的接收与拒收</w:t>
      </w:r>
      <w:bookmarkEnd w:id="594"/>
      <w:bookmarkEnd w:id="595"/>
    </w:p>
    <w:bookmarkEnd w:id="596"/>
    <w:bookmarkEnd w:id="597"/>
    <w:bookmarkEnd w:id="598"/>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发包人提供的材料和工程设备的规格、数量或质量不符合合同约定的，或因发包人原因导致交货日期延误或交货地点变更等情况的，按照第16.1款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发包人违约</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约定办理。</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8.3.2 承包人采购的材料和工程设备，应保证产品质量合格，承包人应在材料和工程设备到货前24小时通知监理人检验。承</w:t>
      </w:r>
      <w:bookmarkStart w:id="599" w:name="_Toc250655469"/>
      <w:r>
        <w:rPr>
          <w:rFonts w:ascii="Times New Roman" w:hAnsi="Times New Roman" w:eastAsia="仿宋_GB2312"/>
          <w:color w:val="000000"/>
          <w:kern w:val="0"/>
          <w:sz w:val="30"/>
          <w:szCs w:val="32"/>
          <w:highlight w:val="none"/>
        </w:rPr>
        <w:t>包人进行永久设备、材料的制造和生产的，应符合相关质量标准，并向监理人提交材料的样本以及有关资料，并应在使用该材料或工程设备之前获得监理人同意。</w:t>
      </w:r>
    </w:p>
    <w:bookmarkEnd w:id="599"/>
    <w:p>
      <w:pPr>
        <w:autoSpaceDE w:val="0"/>
        <w:autoSpaceDN w:val="0"/>
        <w:adjustRightInd w:val="0"/>
        <w:spacing w:line="360" w:lineRule="auto"/>
        <w:ind w:firstLine="450" w:firstLineChars="15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600" w:name="_Toc29286"/>
      <w:bookmarkStart w:id="601" w:name="_Toc28364"/>
      <w:r>
        <w:rPr>
          <w:rFonts w:ascii="Times New Roman" w:hAnsi="Times New Roman" w:eastAsia="黑体"/>
          <w:b w:val="0"/>
          <w:color w:val="000000"/>
          <w:sz w:val="30"/>
          <w:szCs w:val="32"/>
          <w:highlight w:val="none"/>
        </w:rPr>
        <w:t>8</w:t>
      </w:r>
      <w:bookmarkStart w:id="602" w:name="_Toc296346563"/>
      <w:bookmarkStart w:id="603" w:name="_Toc337558780"/>
      <w:bookmarkStart w:id="604" w:name="_Toc296503062"/>
      <w:r>
        <w:rPr>
          <w:rFonts w:ascii="Times New Roman" w:hAnsi="Times New Roman" w:eastAsia="黑体"/>
          <w:b w:val="0"/>
          <w:color w:val="000000"/>
          <w:sz w:val="30"/>
          <w:szCs w:val="32"/>
          <w:highlight w:val="none"/>
        </w:rPr>
        <w:t>.4材料与工程设备的保管与使用</w:t>
      </w:r>
      <w:bookmarkEnd w:id="600"/>
      <w:bookmarkEnd w:id="601"/>
    </w:p>
    <w:bookmarkEnd w:id="602"/>
    <w:bookmarkEnd w:id="603"/>
    <w:bookmarkEnd w:id="604"/>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8.4.1 发包人供应</w:t>
      </w:r>
      <w:r>
        <w:rPr>
          <w:rFonts w:ascii="Times New Roman" w:hAnsi="Times New Roman" w:eastAsia="仿宋_GB2312"/>
          <w:color w:val="000000"/>
          <w:sz w:val="30"/>
          <w:szCs w:val="32"/>
          <w:highlight w:val="none"/>
        </w:rPr>
        <w:t>材料与</w:t>
      </w:r>
      <w:r>
        <w:rPr>
          <w:rFonts w:ascii="Times New Roman" w:hAnsi="Times New Roman" w:eastAsia="仿宋_GB2312"/>
          <w:color w:val="000000"/>
          <w:kern w:val="0"/>
          <w:sz w:val="30"/>
          <w:szCs w:val="32"/>
          <w:highlight w:val="none"/>
        </w:rPr>
        <w:t>工程</w:t>
      </w:r>
      <w:r>
        <w:rPr>
          <w:rFonts w:ascii="Times New Roman" w:hAnsi="Times New Roman" w:eastAsia="仿宋_GB2312"/>
          <w:color w:val="000000"/>
          <w:sz w:val="30"/>
          <w:szCs w:val="32"/>
          <w:highlight w:val="none"/>
        </w:rPr>
        <w:t>设备的保管与使用</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发包人供应的材料和工程设备使用前，由承包人负责检验，检验费用由发包人承担，不合格的不得使用。</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8.4.2 承包人采购</w:t>
      </w:r>
      <w:r>
        <w:rPr>
          <w:rFonts w:ascii="Times New Roman" w:hAnsi="Times New Roman" w:eastAsia="仿宋_GB2312"/>
          <w:color w:val="000000"/>
          <w:sz w:val="30"/>
          <w:szCs w:val="32"/>
          <w:highlight w:val="none"/>
        </w:rPr>
        <w:t>材料与</w:t>
      </w:r>
      <w:r>
        <w:rPr>
          <w:rFonts w:ascii="Times New Roman" w:hAnsi="Times New Roman" w:eastAsia="仿宋_GB2312"/>
          <w:color w:val="000000"/>
          <w:kern w:val="0"/>
          <w:sz w:val="30"/>
          <w:szCs w:val="32"/>
          <w:highlight w:val="none"/>
        </w:rPr>
        <w:t>工程</w:t>
      </w:r>
      <w:r>
        <w:rPr>
          <w:rFonts w:ascii="Times New Roman" w:hAnsi="Times New Roman" w:eastAsia="仿宋_GB2312"/>
          <w:color w:val="000000"/>
          <w:sz w:val="30"/>
          <w:szCs w:val="32"/>
          <w:highlight w:val="none"/>
        </w:rPr>
        <w:t>设备的保管与使用</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发包人或监理人发现承包人使用不符合设计或有关标准要求的材料和工程设备时，有权要求承包人进行修复、拆除或重新采购，由此增加的费用和（或）延误的工期，由承包人承担。</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605" w:name="_Toc14177"/>
      <w:bookmarkStart w:id="606" w:name="_Toc7309"/>
      <w:r>
        <w:rPr>
          <w:rFonts w:ascii="Times New Roman" w:hAnsi="Times New Roman" w:eastAsia="黑体"/>
          <w:b w:val="0"/>
          <w:color w:val="000000"/>
          <w:sz w:val="30"/>
          <w:szCs w:val="32"/>
          <w:highlight w:val="none"/>
        </w:rPr>
        <w:t>8.5禁止使用不合格的材料和工程设备</w:t>
      </w:r>
      <w:bookmarkEnd w:id="605"/>
      <w:bookmarkEnd w:id="606"/>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8.5.1 监理人有权拒绝承包人提供的不合格材料或工程设备，并要求承包人立即进行更换。监理人应在更换后再次进行检查和检验，由此增加的费用和（或）延误的工期由承包人承担。</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8.5.2 监理人发现承包人使用了不合格的材料和工程设备，承包人应按照监理人的指示立即改正，并禁止在工程中继续使用不合格的材料和工程设备。</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8.5.3 发包人提供的材料或工程设备不符合合同要求的，承包人有权拒绝，并可要求发包人更换，由此增加的费用和（或）延误的工期由发包人承担</w:t>
      </w:r>
      <w:r>
        <w:rPr>
          <w:rFonts w:hint="eastAsia" w:ascii="Times New Roman" w:hAnsi="Times New Roman" w:eastAsia="仿宋_GB2312"/>
          <w:color w:val="000000"/>
          <w:kern w:val="0"/>
          <w:sz w:val="30"/>
          <w:szCs w:val="32"/>
          <w:highlight w:val="none"/>
        </w:rPr>
        <w:t>，并支付承包人合理的利润</w:t>
      </w:r>
      <w:r>
        <w:rPr>
          <w:rFonts w:ascii="Times New Roman" w:hAnsi="Times New Roman" w:eastAsia="仿宋_GB2312"/>
          <w:color w:val="000000"/>
          <w:kern w:val="0"/>
          <w:sz w:val="30"/>
          <w:szCs w:val="32"/>
          <w:highlight w:val="none"/>
        </w:rPr>
        <w:t>。</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607" w:name="_Toc30741"/>
      <w:bookmarkStart w:id="608" w:name="_Toc28055"/>
      <w:r>
        <w:rPr>
          <w:rFonts w:ascii="Times New Roman" w:hAnsi="Times New Roman" w:eastAsia="黑体"/>
          <w:b w:val="0"/>
          <w:color w:val="000000"/>
          <w:sz w:val="30"/>
          <w:szCs w:val="32"/>
          <w:highlight w:val="none"/>
        </w:rPr>
        <w:t>8.6 样品</w:t>
      </w:r>
      <w:bookmarkEnd w:id="607"/>
      <w:bookmarkEnd w:id="608"/>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8.6.1</w:t>
      </w:r>
      <w:r>
        <w:rPr>
          <w:rFonts w:ascii="Times New Roman" w:hAnsi="Times New Roman" w:eastAsia="仿宋_GB2312"/>
          <w:color w:val="000000"/>
          <w:kern w:val="0"/>
          <w:sz w:val="30"/>
          <w:szCs w:val="32"/>
          <w:highlight w:val="none"/>
        </w:rPr>
        <w:tab/>
      </w:r>
      <w:r>
        <w:rPr>
          <w:rFonts w:ascii="Times New Roman" w:hAnsi="Times New Roman" w:eastAsia="仿宋_GB2312"/>
          <w:color w:val="000000"/>
          <w:kern w:val="0"/>
          <w:sz w:val="30"/>
          <w:szCs w:val="32"/>
          <w:highlight w:val="none"/>
        </w:rPr>
        <w:t>样品的报送</w:t>
      </w:r>
      <w:r>
        <w:rPr>
          <w:rFonts w:hint="eastAsia" w:ascii="Times New Roman" w:hAnsi="Times New Roman" w:eastAsia="仿宋_GB2312"/>
          <w:color w:val="000000"/>
          <w:kern w:val="0"/>
          <w:sz w:val="30"/>
          <w:szCs w:val="32"/>
          <w:highlight w:val="none"/>
        </w:rPr>
        <w:t>与封存</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需要承包人报送样品的材料或工程设备，样品的种类、名称、规格、数量等要求均应在专用合同条款中约定。样品的报送程序如下：</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（3）经发包人和监理人审批确认的样品</w:t>
      </w:r>
      <w:r>
        <w:rPr>
          <w:rFonts w:hint="eastAsia" w:ascii="Times New Roman" w:hAnsi="Times New Roman" w:eastAsia="仿宋_GB2312"/>
          <w:color w:val="000000"/>
          <w:kern w:val="0"/>
          <w:sz w:val="30"/>
          <w:szCs w:val="32"/>
          <w:highlight w:val="none"/>
        </w:rPr>
        <w:t>应按约定的方法封样，封存的样品</w:t>
      </w:r>
      <w:r>
        <w:rPr>
          <w:rFonts w:ascii="Times New Roman" w:hAnsi="Times New Roman" w:eastAsia="仿宋_GB2312"/>
          <w:color w:val="000000"/>
          <w:kern w:val="0"/>
          <w:sz w:val="30"/>
          <w:szCs w:val="32"/>
          <w:highlight w:val="none"/>
        </w:rPr>
        <w:t>作为检验工程相关部分的标准之一。承包人在施工过程中不得使用与样品不符的材料或工程设备。</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（4）发包人和监理人对样品的审批确认仅为确认相关材料或工程设备的特征或用途，不得被理解为对合同的修改或改变，也并不减轻或免除承包人任何的责任和义务。</w:t>
      </w:r>
      <w:r>
        <w:rPr>
          <w:rFonts w:hint="eastAsia" w:ascii="Times New Roman" w:hAnsi="Times New Roman" w:eastAsia="仿宋_GB2312"/>
          <w:color w:val="000000"/>
          <w:kern w:val="0"/>
          <w:sz w:val="30"/>
          <w:szCs w:val="32"/>
          <w:highlight w:val="none"/>
        </w:rPr>
        <w:t>如果封存的样品修改或改变了合同约定，合同当事人应当以书面协议予以确认。</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8.6.2 样品的保管</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经批准的样品应由监理人负责封存于现场，承包人应在现场为保存样品提供适当和固定的场所并保持适当和良好的存储环境条件。</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609" w:name="_Toc23028"/>
      <w:bookmarkStart w:id="610" w:name="_Toc1351"/>
      <w:r>
        <w:rPr>
          <w:rFonts w:ascii="Times New Roman" w:hAnsi="Times New Roman" w:eastAsia="黑体"/>
          <w:b w:val="0"/>
          <w:color w:val="000000"/>
          <w:sz w:val="30"/>
          <w:szCs w:val="32"/>
          <w:highlight w:val="none"/>
        </w:rPr>
        <w:t>8.7材料与工程设备的替代</w:t>
      </w:r>
      <w:bookmarkEnd w:id="609"/>
      <w:bookmarkEnd w:id="610"/>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8.7.1 出现下列情况需要使用替代材料和工程设备的，承包人应按照第8.7.2项约定的程序执行：</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（1）基准日</w:t>
      </w:r>
      <w:r>
        <w:rPr>
          <w:rFonts w:hint="eastAsia" w:ascii="Times New Roman" w:hAnsi="Times New Roman" w:eastAsia="仿宋_GB2312"/>
          <w:color w:val="000000"/>
          <w:kern w:val="0"/>
          <w:sz w:val="30"/>
          <w:szCs w:val="32"/>
          <w:highlight w:val="none"/>
        </w:rPr>
        <w:t>期</w:t>
      </w:r>
      <w:r>
        <w:rPr>
          <w:rFonts w:ascii="Times New Roman" w:hAnsi="Times New Roman" w:eastAsia="仿宋_GB2312"/>
          <w:color w:val="000000"/>
          <w:kern w:val="0"/>
          <w:sz w:val="30"/>
          <w:szCs w:val="32"/>
          <w:highlight w:val="none"/>
        </w:rPr>
        <w:t>后生效的法律规定禁止使用的；</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（2）发包人要求使用替代品的；</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（3）因其他原因必须使用替代品的。</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8.7.2 承包人应在使用替代材料和工程设备28天前书面通知监理人，并附下列文件：</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（1）被替代的材料和工程设备的名称、数量、规格、型号、品牌、性能、价格及其他相关资料；</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（2）替代品的名称、数量、规格、型号、品牌、性能、价格及其他相关资料；</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（3）替代品与被替代产品之间的差异以及使用替代品可能对工程产生的影响；</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（4）替代品与被替代产品的价格差异；</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（5）使用替代品的理由和原因说明；</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（6）监理人要求的其他文件。</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监理人应在收到通知后14天内向承包人发出经发包人签认的书面指示；监理人逾期发出书面指示的，视为发包人和监理人同意使用替代品。</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8.7.3 发包人认可使用替代材料和工程设备的，替代材料和工程设备的价格，按照已标价工程量清单或预算书相同项目的价格认定；无相同项目的，参考相似项目价格认定；</w:t>
      </w:r>
      <w:r>
        <w:rPr>
          <w:rFonts w:hint="eastAsia" w:ascii="Times New Roman" w:hAnsi="Times New Roman" w:eastAsia="仿宋_GB2312"/>
          <w:color w:val="000000"/>
          <w:kern w:val="0"/>
          <w:sz w:val="30"/>
          <w:szCs w:val="32"/>
          <w:highlight w:val="none"/>
        </w:rPr>
        <w:t>既无</w:t>
      </w:r>
      <w:r>
        <w:rPr>
          <w:rFonts w:ascii="Times New Roman" w:hAnsi="Times New Roman" w:eastAsia="仿宋_GB2312"/>
          <w:color w:val="000000"/>
          <w:kern w:val="0"/>
          <w:sz w:val="30"/>
          <w:szCs w:val="32"/>
          <w:highlight w:val="none"/>
        </w:rPr>
        <w:t>相同项目</w:t>
      </w:r>
      <w:r>
        <w:rPr>
          <w:rFonts w:hint="eastAsia" w:ascii="Times New Roman" w:hAnsi="Times New Roman" w:eastAsia="仿宋_GB2312"/>
          <w:color w:val="000000"/>
          <w:kern w:val="0"/>
          <w:sz w:val="30"/>
          <w:szCs w:val="32"/>
          <w:highlight w:val="none"/>
        </w:rPr>
        <w:t>也</w:t>
      </w:r>
      <w:r>
        <w:rPr>
          <w:rFonts w:ascii="Times New Roman" w:hAnsi="Times New Roman" w:eastAsia="仿宋_GB2312"/>
          <w:color w:val="000000"/>
          <w:kern w:val="0"/>
          <w:sz w:val="30"/>
          <w:szCs w:val="32"/>
          <w:highlight w:val="none"/>
        </w:rPr>
        <w:t>无相似项目的，</w:t>
      </w:r>
      <w:r>
        <w:rPr>
          <w:rFonts w:hint="eastAsia" w:ascii="Times New Roman" w:hAnsi="Times New Roman" w:eastAsia="仿宋_GB2312"/>
          <w:color w:val="000000"/>
          <w:kern w:val="0"/>
          <w:sz w:val="30"/>
          <w:szCs w:val="32"/>
          <w:highlight w:val="none"/>
        </w:rPr>
        <w:t>按照合理的成本与利润构成的原则，</w:t>
      </w:r>
      <w:r>
        <w:rPr>
          <w:rFonts w:ascii="Times New Roman" w:hAnsi="Times New Roman" w:eastAsia="仿宋_GB2312"/>
          <w:color w:val="000000"/>
          <w:kern w:val="0"/>
          <w:sz w:val="30"/>
          <w:szCs w:val="32"/>
          <w:highlight w:val="none"/>
        </w:rPr>
        <w:t>由合同当事人按照第4.4款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商定或确定</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确定价格。</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611" w:name="_Toc4274"/>
      <w:bookmarkStart w:id="612" w:name="_Toc4005"/>
      <w:r>
        <w:rPr>
          <w:rFonts w:ascii="Times New Roman" w:hAnsi="Times New Roman" w:eastAsia="黑体"/>
          <w:b w:val="0"/>
          <w:color w:val="000000"/>
          <w:sz w:val="30"/>
          <w:szCs w:val="32"/>
          <w:highlight w:val="none"/>
        </w:rPr>
        <w:t>8.8施工设备和临时设施</w:t>
      </w:r>
      <w:bookmarkEnd w:id="611"/>
      <w:bookmarkEnd w:id="612"/>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8.8.1 承包人提供的施工设备和临时设施</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承包人应按合同进度计划的要求，及时配置施工设备和修建临时设施。进入施工场地的承包人设备需经监理人核查后才能投入使用。承包人更换合同约定的承包人设备的，应报监理人批准。</w:t>
      </w:r>
    </w:p>
    <w:p>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除专用合同条款另有约定外，承包人应自行承担修建临时设施的费用，需要临时占地的，应由发包人办理申请手续并承担相应费用。</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8.8.2发包人提供的施工设备和临时设施</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发包人提供的施工设备或临时设施在专用合同条款中约定。</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8.8.3要求承包人增加或更换施工设备</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承包人使用的施工设备不能满足合同进度计划和（或）质量要求时，监理人有权要求承包人增加或更换施工设备，承包人应及时增加或更换，由此增加的费用和（或）延误的工期由承包人承担。</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613" w:name="_Toc29339"/>
      <w:bookmarkStart w:id="614" w:name="_Toc12976"/>
      <w:r>
        <w:rPr>
          <w:rFonts w:ascii="Times New Roman" w:hAnsi="Times New Roman" w:eastAsia="黑体"/>
          <w:b w:val="0"/>
          <w:color w:val="000000"/>
          <w:sz w:val="30"/>
          <w:szCs w:val="32"/>
          <w:highlight w:val="none"/>
        </w:rPr>
        <w:t>8</w:t>
      </w:r>
      <w:bookmarkStart w:id="615" w:name="_Toc337558781"/>
      <w:bookmarkStart w:id="616" w:name="_Toc296346564"/>
      <w:bookmarkStart w:id="617" w:name="_Toc296503063"/>
      <w:r>
        <w:rPr>
          <w:rFonts w:ascii="Times New Roman" w:hAnsi="Times New Roman" w:eastAsia="黑体"/>
          <w:b w:val="0"/>
          <w:color w:val="000000"/>
          <w:sz w:val="30"/>
          <w:szCs w:val="32"/>
          <w:highlight w:val="none"/>
        </w:rPr>
        <w:t>.9材料与设备专用</w:t>
      </w:r>
      <w:r>
        <w:rPr>
          <w:rFonts w:hint="eastAsia" w:ascii="Times New Roman" w:hAnsi="Times New Roman" w:eastAsia="黑体"/>
          <w:b w:val="0"/>
          <w:color w:val="000000"/>
          <w:sz w:val="30"/>
          <w:szCs w:val="32"/>
          <w:highlight w:val="none"/>
        </w:rPr>
        <w:t>要求</w:t>
      </w:r>
      <w:bookmarkEnd w:id="613"/>
      <w:bookmarkEnd w:id="614"/>
    </w:p>
    <w:bookmarkEnd w:id="615"/>
    <w:bookmarkEnd w:id="616"/>
    <w:bookmarkEnd w:id="617"/>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588"/>
      <w:r>
        <w:rPr>
          <w:rFonts w:ascii="Times New Roman" w:hAnsi="Times New Roman" w:eastAsia="仿宋_GB2312"/>
          <w:color w:val="000000"/>
          <w:kern w:val="0"/>
          <w:sz w:val="30"/>
          <w:szCs w:val="32"/>
          <w:highlight w:val="none"/>
        </w:rPr>
        <w:t>经发包人批准，承包人可以根据施工进度计划撤走闲置的施工设备和其他物品。</w:t>
      </w:r>
    </w:p>
    <w:p>
      <w:pPr>
        <w:pStyle w:val="5"/>
        <w:spacing w:before="120" w:after="120" w:line="360" w:lineRule="auto"/>
        <w:rPr>
          <w:rFonts w:ascii="Times New Roman" w:hAnsi="Times New Roman" w:eastAsia="黑体"/>
          <w:b w:val="0"/>
          <w:color w:val="000000"/>
          <w:sz w:val="32"/>
          <w:szCs w:val="32"/>
          <w:highlight w:val="none"/>
        </w:rPr>
      </w:pPr>
      <w:bookmarkStart w:id="618" w:name="_Toc3305"/>
      <w:bookmarkStart w:id="619" w:name="_Toc15306"/>
      <w:r>
        <w:rPr>
          <w:rFonts w:ascii="Times New Roman" w:hAnsi="Times New Roman" w:eastAsia="黑体"/>
          <w:b w:val="0"/>
          <w:color w:val="000000"/>
          <w:sz w:val="32"/>
          <w:szCs w:val="32"/>
          <w:highlight w:val="none"/>
        </w:rPr>
        <w:t>9</w:t>
      </w:r>
      <w:bookmarkStart w:id="620" w:name="_Toc337558782"/>
      <w:bookmarkStart w:id="621" w:name="_Toc296346584"/>
      <w:bookmarkStart w:id="622" w:name="_Toc296503083"/>
      <w:r>
        <w:rPr>
          <w:rFonts w:ascii="Times New Roman" w:hAnsi="Times New Roman" w:eastAsia="黑体"/>
          <w:b w:val="0"/>
          <w:color w:val="000000"/>
          <w:sz w:val="32"/>
          <w:szCs w:val="32"/>
          <w:highlight w:val="none"/>
        </w:rPr>
        <w:t>. 试验与检验</w:t>
      </w:r>
      <w:bookmarkEnd w:id="618"/>
      <w:bookmarkEnd w:id="619"/>
    </w:p>
    <w:bookmarkEnd w:id="620"/>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623" w:name="_Toc22225"/>
      <w:bookmarkStart w:id="624" w:name="_Toc20343"/>
      <w:r>
        <w:rPr>
          <w:rFonts w:ascii="Times New Roman" w:hAnsi="Times New Roman" w:eastAsia="黑体"/>
          <w:b w:val="0"/>
          <w:color w:val="000000"/>
          <w:sz w:val="30"/>
          <w:szCs w:val="32"/>
          <w:highlight w:val="none"/>
        </w:rPr>
        <w:t>9</w:t>
      </w:r>
      <w:bookmarkStart w:id="625" w:name="_Toc337558783"/>
      <w:r>
        <w:rPr>
          <w:rFonts w:ascii="Times New Roman" w:hAnsi="Times New Roman" w:eastAsia="黑体"/>
          <w:b w:val="0"/>
          <w:color w:val="000000"/>
          <w:sz w:val="30"/>
          <w:szCs w:val="32"/>
          <w:highlight w:val="none"/>
        </w:rPr>
        <w:t>.1试验设备与试验人员</w:t>
      </w:r>
      <w:bookmarkEnd w:id="623"/>
      <w:bookmarkEnd w:id="624"/>
    </w:p>
    <w:bookmarkEnd w:id="625"/>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9.1.2 承包人应按专用合同条款的约定提供试验设备、取样装置、试验场所和试验条件，并向监理人提交相应进场计划表。</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承包人配置的试验设备要符合相应试验规程的要求并经过具有资质的检测单位检测，且在正式使用该试验设备前，需要经过监理人与承包人共同校定。</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9.1.3 承包人应向监理人提交试验人员的名单及其岗位、资格等证明资料，试验人员必须能够熟练进行相应的检测试验，承包人对试验人员的试验程序和试验结果的正确性负责。</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626" w:name="_Toc13942"/>
      <w:bookmarkStart w:id="627" w:name="_Toc25555"/>
      <w:r>
        <w:rPr>
          <w:rFonts w:ascii="Times New Roman" w:hAnsi="Times New Roman" w:eastAsia="黑体"/>
          <w:b w:val="0"/>
          <w:color w:val="000000"/>
          <w:sz w:val="30"/>
          <w:szCs w:val="32"/>
          <w:highlight w:val="none"/>
        </w:rPr>
        <w:t>9</w:t>
      </w:r>
      <w:bookmarkStart w:id="628" w:name="_Toc337558784"/>
      <w:r>
        <w:rPr>
          <w:rFonts w:ascii="Times New Roman" w:hAnsi="Times New Roman" w:eastAsia="黑体"/>
          <w:b w:val="0"/>
          <w:color w:val="000000"/>
          <w:sz w:val="30"/>
          <w:szCs w:val="32"/>
          <w:highlight w:val="none"/>
        </w:rPr>
        <w:t>.2取样</w:t>
      </w:r>
      <w:bookmarkEnd w:id="626"/>
      <w:bookmarkEnd w:id="627"/>
    </w:p>
    <w:bookmarkEnd w:id="628"/>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试验属于自检性质的，承包人可以单独取样。试验属于监理人抽检性质的，可由监理人取样，也可由承包人的试验人员在监理人的监督下取样。</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629" w:name="_Toc3155"/>
      <w:bookmarkStart w:id="630" w:name="_Toc24402"/>
      <w:r>
        <w:rPr>
          <w:rFonts w:ascii="Times New Roman" w:hAnsi="Times New Roman" w:eastAsia="黑体"/>
          <w:b w:val="0"/>
          <w:color w:val="000000"/>
          <w:sz w:val="30"/>
          <w:szCs w:val="32"/>
          <w:highlight w:val="none"/>
        </w:rPr>
        <w:t>9</w:t>
      </w:r>
      <w:bookmarkStart w:id="631" w:name="_Toc337558785"/>
      <w:r>
        <w:rPr>
          <w:rFonts w:ascii="Times New Roman" w:hAnsi="Times New Roman" w:eastAsia="黑体"/>
          <w:b w:val="0"/>
          <w:color w:val="000000"/>
          <w:sz w:val="30"/>
          <w:szCs w:val="32"/>
          <w:highlight w:val="none"/>
        </w:rPr>
        <w:t>.3材料、工程设备和工程的试验和检验</w:t>
      </w:r>
      <w:bookmarkEnd w:id="629"/>
      <w:bookmarkEnd w:id="630"/>
    </w:p>
    <w:bookmarkEnd w:id="631"/>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632" w:name="_Toc7477"/>
      <w:bookmarkStart w:id="633" w:name="_Toc22368"/>
      <w:r>
        <w:rPr>
          <w:rFonts w:ascii="Times New Roman" w:hAnsi="Times New Roman" w:eastAsia="黑体"/>
          <w:b w:val="0"/>
          <w:color w:val="000000"/>
          <w:sz w:val="30"/>
          <w:szCs w:val="32"/>
          <w:highlight w:val="none"/>
        </w:rPr>
        <w:t>9</w:t>
      </w:r>
      <w:bookmarkStart w:id="634" w:name="_Toc337558786"/>
      <w:r>
        <w:rPr>
          <w:rFonts w:ascii="Times New Roman" w:hAnsi="Times New Roman" w:eastAsia="黑体"/>
          <w:b w:val="0"/>
          <w:color w:val="000000"/>
          <w:sz w:val="30"/>
          <w:szCs w:val="32"/>
          <w:highlight w:val="none"/>
        </w:rPr>
        <w:t>.4现场工艺试验</w:t>
      </w:r>
      <w:bookmarkEnd w:id="632"/>
      <w:bookmarkEnd w:id="633"/>
    </w:p>
    <w:bookmarkEnd w:id="634"/>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承包人应按合同约定或监理人指示进行现场工艺试验。对大型的现场工艺试验，监理人认为必要时，承包人应根据监理人提出的工艺试验要求，编制工艺试验措施计划，报送监理人审查。</w:t>
      </w:r>
    </w:p>
    <w:p>
      <w:pPr>
        <w:pStyle w:val="5"/>
        <w:spacing w:before="120" w:after="120" w:line="360" w:lineRule="auto"/>
        <w:rPr>
          <w:rFonts w:ascii="Times New Roman" w:hAnsi="Times New Roman" w:eastAsia="黑体"/>
          <w:b w:val="0"/>
          <w:color w:val="000000"/>
          <w:sz w:val="32"/>
          <w:szCs w:val="32"/>
          <w:highlight w:val="none"/>
        </w:rPr>
      </w:pPr>
      <w:bookmarkStart w:id="635" w:name="_Toc2238"/>
      <w:bookmarkStart w:id="636" w:name="_Toc19099"/>
      <w:r>
        <w:rPr>
          <w:rFonts w:ascii="Times New Roman" w:hAnsi="Times New Roman" w:eastAsia="黑体"/>
          <w:b w:val="0"/>
          <w:color w:val="000000"/>
          <w:sz w:val="32"/>
          <w:szCs w:val="32"/>
          <w:highlight w:val="none"/>
        </w:rPr>
        <w:t>1</w:t>
      </w:r>
      <w:bookmarkStart w:id="637" w:name="_Toc337558787"/>
      <w:r>
        <w:rPr>
          <w:rFonts w:ascii="Times New Roman" w:hAnsi="Times New Roman" w:eastAsia="黑体"/>
          <w:b w:val="0"/>
          <w:color w:val="000000"/>
          <w:sz w:val="32"/>
          <w:szCs w:val="32"/>
          <w:highlight w:val="none"/>
        </w:rPr>
        <w:t>0. 变更</w:t>
      </w:r>
      <w:bookmarkEnd w:id="621"/>
      <w:bookmarkEnd w:id="622"/>
      <w:bookmarkEnd w:id="635"/>
      <w:bookmarkEnd w:id="636"/>
    </w:p>
    <w:bookmarkEnd w:id="637"/>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638" w:name="_Toc5058"/>
      <w:bookmarkStart w:id="639" w:name="_Toc25770"/>
      <w:r>
        <w:rPr>
          <w:rFonts w:ascii="Times New Roman" w:hAnsi="Times New Roman" w:eastAsia="黑体"/>
          <w:b w:val="0"/>
          <w:color w:val="000000"/>
          <w:sz w:val="30"/>
          <w:szCs w:val="32"/>
          <w:highlight w:val="none"/>
        </w:rPr>
        <w:t>1</w:t>
      </w:r>
      <w:bookmarkStart w:id="640" w:name="_Toc296346585"/>
      <w:bookmarkStart w:id="641" w:name="_Toc337558788"/>
      <w:bookmarkStart w:id="642" w:name="_Toc296503084"/>
      <w:r>
        <w:rPr>
          <w:rFonts w:ascii="Times New Roman" w:hAnsi="Times New Roman" w:eastAsia="黑体"/>
          <w:b w:val="0"/>
          <w:color w:val="000000"/>
          <w:sz w:val="30"/>
          <w:szCs w:val="32"/>
          <w:highlight w:val="none"/>
        </w:rPr>
        <w:t>0.1变更的范围</w:t>
      </w:r>
      <w:bookmarkEnd w:id="638"/>
      <w:bookmarkEnd w:id="639"/>
    </w:p>
    <w:bookmarkEnd w:id="640"/>
    <w:bookmarkEnd w:id="641"/>
    <w:bookmarkEnd w:id="642"/>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除专用合同条款另有约定外，合同履行过程中发生以下情形的，应按照本条约定进行变更：</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（1）增加或减少合同中任何工作，或追加额外的工作；</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（2）取消合同中任何工作，但转由他人实施的工作除外；</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（3）改变合同中任何工作的质量标准或其他特性；</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（4）改变工程的基线、标高、位置和尺寸；</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（5）改变工程的时间安排或实施顺序。</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643" w:name="_Toc26981"/>
      <w:bookmarkStart w:id="644" w:name="_Toc20813"/>
      <w:r>
        <w:rPr>
          <w:rFonts w:ascii="Times New Roman" w:hAnsi="Times New Roman" w:eastAsia="黑体"/>
          <w:b w:val="0"/>
          <w:color w:val="000000"/>
          <w:sz w:val="30"/>
          <w:szCs w:val="32"/>
          <w:highlight w:val="none"/>
        </w:rPr>
        <w:t>1</w:t>
      </w:r>
      <w:bookmarkStart w:id="645" w:name="_Toc337558789"/>
      <w:bookmarkStart w:id="646" w:name="_Toc296503085"/>
      <w:bookmarkStart w:id="647" w:name="_Toc296346586"/>
      <w:r>
        <w:rPr>
          <w:rFonts w:ascii="Times New Roman" w:hAnsi="Times New Roman" w:eastAsia="黑体"/>
          <w:b w:val="0"/>
          <w:color w:val="000000"/>
          <w:sz w:val="30"/>
          <w:szCs w:val="32"/>
          <w:highlight w:val="none"/>
        </w:rPr>
        <w:t>0.2变更权</w:t>
      </w:r>
      <w:bookmarkEnd w:id="643"/>
      <w:bookmarkEnd w:id="644"/>
    </w:p>
    <w:bookmarkEnd w:id="645"/>
    <w:bookmarkEnd w:id="646"/>
    <w:bookmarkEnd w:id="647"/>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涉及设计变更的，应由设计人提供变更后的图纸和说明。如变更超过原设计标准或批准的建设规模时，发包人应及时办理规划、设计变更</w:t>
      </w:r>
      <w:r>
        <w:rPr>
          <w:rFonts w:hint="eastAsia" w:ascii="Times New Roman" w:hAnsi="Times New Roman" w:eastAsia="仿宋_GB2312"/>
          <w:color w:val="000000"/>
          <w:kern w:val="0"/>
          <w:sz w:val="30"/>
          <w:szCs w:val="32"/>
          <w:highlight w:val="none"/>
        </w:rPr>
        <w:t>等</w:t>
      </w:r>
      <w:r>
        <w:rPr>
          <w:rFonts w:ascii="Times New Roman" w:hAnsi="Times New Roman" w:eastAsia="仿宋_GB2312"/>
          <w:color w:val="000000"/>
          <w:kern w:val="0"/>
          <w:sz w:val="30"/>
          <w:szCs w:val="32"/>
          <w:highlight w:val="none"/>
        </w:rPr>
        <w:t>审批手续。</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648" w:name="_Toc30062"/>
      <w:bookmarkStart w:id="649" w:name="_Toc2330"/>
      <w:r>
        <w:rPr>
          <w:rFonts w:ascii="Times New Roman" w:hAnsi="Times New Roman" w:eastAsia="黑体"/>
          <w:b w:val="0"/>
          <w:color w:val="000000"/>
          <w:sz w:val="30"/>
          <w:szCs w:val="32"/>
          <w:highlight w:val="none"/>
        </w:rPr>
        <w:t>1</w:t>
      </w:r>
      <w:bookmarkStart w:id="650" w:name="_Toc296503086"/>
      <w:bookmarkStart w:id="651" w:name="_Toc337558790"/>
      <w:bookmarkStart w:id="652" w:name="_Toc296346587"/>
      <w:r>
        <w:rPr>
          <w:rFonts w:ascii="Times New Roman" w:hAnsi="Times New Roman" w:eastAsia="黑体"/>
          <w:b w:val="0"/>
          <w:color w:val="000000"/>
          <w:sz w:val="30"/>
          <w:szCs w:val="32"/>
          <w:highlight w:val="none"/>
        </w:rPr>
        <w:t>0.3变更程序</w:t>
      </w:r>
      <w:bookmarkEnd w:id="648"/>
      <w:bookmarkEnd w:id="649"/>
    </w:p>
    <w:bookmarkEnd w:id="650"/>
    <w:bookmarkEnd w:id="651"/>
    <w:bookmarkEnd w:id="652"/>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sz w:val="30"/>
          <w:szCs w:val="32"/>
          <w:highlight w:val="none"/>
        </w:rPr>
        <w:t>10</w:t>
      </w:r>
      <w:r>
        <w:rPr>
          <w:rFonts w:ascii="Times New Roman" w:hAnsi="Times New Roman" w:eastAsia="仿宋_GB2312"/>
          <w:color w:val="000000"/>
          <w:kern w:val="0"/>
          <w:sz w:val="30"/>
          <w:szCs w:val="32"/>
          <w:highlight w:val="none"/>
        </w:rPr>
        <w:t>.3.1 发包人提出变更</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发包人提出变更的，应通过监理人向承包人发出变更指示，变更指示应说明计划变更的工程范围和变更的内容。</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sz w:val="30"/>
          <w:szCs w:val="32"/>
          <w:highlight w:val="none"/>
        </w:rPr>
        <w:t>10</w:t>
      </w:r>
      <w:r>
        <w:rPr>
          <w:rFonts w:ascii="Times New Roman" w:hAnsi="Times New Roman" w:eastAsia="仿宋_GB2312"/>
          <w:color w:val="000000"/>
          <w:kern w:val="0"/>
          <w:sz w:val="30"/>
          <w:szCs w:val="32"/>
          <w:highlight w:val="none"/>
        </w:rPr>
        <w:t>.3.2 监理人提出变更建议</w:t>
      </w:r>
    </w:p>
    <w:p>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autoSpaceDE w:val="0"/>
        <w:autoSpaceDN w:val="0"/>
        <w:adjustRightInd w:val="0"/>
        <w:spacing w:line="360" w:lineRule="auto"/>
        <w:ind w:firstLine="600" w:firstLineChars="200"/>
        <w:jc w:val="left"/>
        <w:rPr>
          <w:rFonts w:hint="eastAsia" w:ascii="Times New Roman" w:hAnsi="Times New Roman" w:eastAsia="仿宋_GB2312"/>
          <w:color w:val="000000"/>
          <w:sz w:val="30"/>
          <w:szCs w:val="32"/>
          <w:highlight w:val="none"/>
        </w:rPr>
      </w:pPr>
      <w:r>
        <w:rPr>
          <w:rFonts w:hint="eastAsia" w:ascii="Times New Roman" w:hAnsi="Times New Roman" w:eastAsia="仿宋_GB2312"/>
          <w:color w:val="000000"/>
          <w:sz w:val="30"/>
          <w:szCs w:val="32"/>
          <w:highlight w:val="none"/>
        </w:rPr>
        <w:t>10.3.3 变更执行</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承包人收到监理人下达的变更指示后，</w:t>
      </w:r>
      <w:r>
        <w:rPr>
          <w:rFonts w:hint="eastAsia" w:ascii="Times New Roman" w:hAnsi="Times New Roman" w:eastAsia="仿宋_GB2312"/>
          <w:color w:val="000000"/>
          <w:kern w:val="0"/>
          <w:sz w:val="30"/>
          <w:szCs w:val="32"/>
          <w:highlight w:val="none"/>
        </w:rPr>
        <w:t>认为不能执行，应立即</w:t>
      </w:r>
      <w:r>
        <w:rPr>
          <w:rFonts w:ascii="Times New Roman" w:hAnsi="Times New Roman" w:eastAsia="仿宋_GB2312"/>
          <w:color w:val="000000"/>
          <w:kern w:val="0"/>
          <w:sz w:val="30"/>
          <w:szCs w:val="32"/>
          <w:highlight w:val="none"/>
        </w:rPr>
        <w:t>提出不能执行该变更指示的理由。承包人</w:t>
      </w:r>
      <w:r>
        <w:rPr>
          <w:rFonts w:hint="eastAsia" w:ascii="Times New Roman" w:hAnsi="Times New Roman" w:eastAsia="仿宋_GB2312"/>
          <w:color w:val="000000"/>
          <w:kern w:val="0"/>
          <w:sz w:val="30"/>
          <w:szCs w:val="32"/>
          <w:highlight w:val="none"/>
        </w:rPr>
        <w:t>认为可以</w:t>
      </w:r>
      <w:r>
        <w:rPr>
          <w:rFonts w:ascii="Times New Roman" w:hAnsi="Times New Roman" w:eastAsia="仿宋_GB2312"/>
          <w:color w:val="000000"/>
          <w:kern w:val="0"/>
          <w:sz w:val="30"/>
          <w:szCs w:val="32"/>
          <w:highlight w:val="none"/>
        </w:rPr>
        <w:t>执行变更的，</w:t>
      </w:r>
      <w:r>
        <w:rPr>
          <w:rFonts w:hint="eastAsia" w:ascii="Times New Roman" w:hAnsi="Times New Roman" w:eastAsia="仿宋_GB2312"/>
          <w:color w:val="000000"/>
          <w:kern w:val="0"/>
          <w:sz w:val="30"/>
          <w:szCs w:val="32"/>
          <w:highlight w:val="none"/>
        </w:rPr>
        <w:t>应当书面说明实施该变更指示对合同价格和工期的影响，且合同当事人应当按照第10.4款〔变更估价〕约定确定变更估价</w:t>
      </w:r>
      <w:r>
        <w:rPr>
          <w:rFonts w:ascii="Times New Roman" w:hAnsi="Times New Roman" w:eastAsia="仿宋_GB2312"/>
          <w:color w:val="000000"/>
          <w:kern w:val="0"/>
          <w:sz w:val="30"/>
          <w:szCs w:val="32"/>
          <w:highlight w:val="none"/>
        </w:rPr>
        <w:t>。</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653" w:name="_Toc2522"/>
      <w:bookmarkStart w:id="654" w:name="_Toc21240"/>
      <w:r>
        <w:rPr>
          <w:rFonts w:ascii="Times New Roman" w:hAnsi="Times New Roman" w:eastAsia="黑体"/>
          <w:b w:val="0"/>
          <w:color w:val="000000"/>
          <w:sz w:val="30"/>
          <w:szCs w:val="32"/>
          <w:highlight w:val="none"/>
        </w:rPr>
        <w:t>1</w:t>
      </w:r>
      <w:bookmarkStart w:id="655" w:name="_Toc296503087"/>
      <w:bookmarkStart w:id="656" w:name="_Toc337558791"/>
      <w:bookmarkStart w:id="657" w:name="_Toc296346588"/>
      <w:r>
        <w:rPr>
          <w:rFonts w:ascii="Times New Roman" w:hAnsi="Times New Roman" w:eastAsia="黑体"/>
          <w:b w:val="0"/>
          <w:color w:val="000000"/>
          <w:sz w:val="30"/>
          <w:szCs w:val="32"/>
          <w:highlight w:val="none"/>
        </w:rPr>
        <w:t>0.4变更估价</w:t>
      </w:r>
      <w:bookmarkEnd w:id="653"/>
      <w:bookmarkEnd w:id="654"/>
    </w:p>
    <w:bookmarkEnd w:id="655"/>
    <w:bookmarkEnd w:id="656"/>
    <w:bookmarkEnd w:id="657"/>
    <w:p>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highlight w:val="none"/>
        </w:rPr>
      </w:pPr>
      <w:r>
        <w:rPr>
          <w:rFonts w:hint="eastAsia" w:ascii="Times New Roman" w:hAnsi="Times New Roman" w:eastAsia="仿宋_GB2312"/>
          <w:color w:val="000000"/>
          <w:kern w:val="0"/>
          <w:sz w:val="30"/>
          <w:szCs w:val="32"/>
          <w:highlight w:val="none"/>
        </w:rPr>
        <w:t>10.4.1 变更估价原则</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除专用合同条款另有约定外，变更估价按照本款约定处理：</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（1）已标价工程量清单或预算书有相同项目的，按照相同项目单价认定；</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（2）已标价工程量清单或预算书中无相同项目，但有类似项目的，参照类似项目的单价认定；</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商定或确定</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确定变更工作的单价。</w:t>
      </w:r>
    </w:p>
    <w:p>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highlight w:val="none"/>
        </w:rPr>
      </w:pPr>
      <w:r>
        <w:rPr>
          <w:rFonts w:hint="eastAsia" w:ascii="Times New Roman" w:hAnsi="Times New Roman" w:eastAsia="仿宋_GB2312"/>
          <w:color w:val="000000"/>
          <w:kern w:val="0"/>
          <w:sz w:val="30"/>
          <w:szCs w:val="32"/>
          <w:highlight w:val="none"/>
        </w:rPr>
        <w:t>10.4.2 变更估价程序</w:t>
      </w:r>
    </w:p>
    <w:p>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highlight w:val="none"/>
        </w:rPr>
      </w:pPr>
      <w:r>
        <w:rPr>
          <w:rFonts w:hint="eastAsia" w:ascii="Times New Roman" w:hAnsi="Times New Roman" w:eastAsia="仿宋_GB2312"/>
          <w:color w:val="000000"/>
          <w:kern w:val="0"/>
          <w:sz w:val="30"/>
          <w:szCs w:val="32"/>
          <w:highlight w:val="none"/>
        </w:rPr>
        <w:t>承包人应在收到变更指示后14天内，向监理人提交变更估价申请。监理人应在收到承包人提交的变更估价申请后7天内审查完毕并报送发包人，监理人对变更估价申请有异议</w:t>
      </w:r>
      <w:r>
        <w:rPr>
          <w:rFonts w:ascii="Times New Roman" w:hAnsi="Times New Roman" w:eastAsia="仿宋_GB2312"/>
          <w:color w:val="000000"/>
          <w:kern w:val="0"/>
          <w:sz w:val="30"/>
          <w:szCs w:val="32"/>
          <w:highlight w:val="none"/>
        </w:rPr>
        <w:t>，通知承包人</w:t>
      </w:r>
      <w:r>
        <w:rPr>
          <w:rFonts w:hint="eastAsia" w:ascii="Times New Roman" w:hAnsi="Times New Roman" w:eastAsia="仿宋_GB2312"/>
          <w:color w:val="000000"/>
          <w:kern w:val="0"/>
          <w:sz w:val="30"/>
          <w:szCs w:val="32"/>
          <w:highlight w:val="none"/>
        </w:rPr>
        <w:t>修</w:t>
      </w:r>
      <w:r>
        <w:rPr>
          <w:rFonts w:ascii="Times New Roman" w:hAnsi="Times New Roman" w:eastAsia="仿宋_GB2312"/>
          <w:color w:val="000000"/>
          <w:kern w:val="0"/>
          <w:sz w:val="30"/>
          <w:szCs w:val="32"/>
          <w:highlight w:val="none"/>
        </w:rPr>
        <w:t>改</w:t>
      </w:r>
      <w:r>
        <w:rPr>
          <w:rFonts w:hint="eastAsia" w:ascii="Times New Roman" w:hAnsi="Times New Roman" w:eastAsia="仿宋_GB2312"/>
          <w:color w:val="000000"/>
          <w:kern w:val="0"/>
          <w:sz w:val="30"/>
          <w:szCs w:val="32"/>
          <w:highlight w:val="none"/>
        </w:rPr>
        <w:t>后重新提交</w:t>
      </w:r>
      <w:r>
        <w:rPr>
          <w:rFonts w:ascii="Times New Roman" w:hAnsi="Times New Roman" w:eastAsia="仿宋_GB2312"/>
          <w:color w:val="000000"/>
          <w:kern w:val="0"/>
          <w:sz w:val="30"/>
          <w:szCs w:val="32"/>
          <w:highlight w:val="none"/>
        </w:rPr>
        <w:t>。发包人应在</w:t>
      </w:r>
      <w:r>
        <w:rPr>
          <w:rFonts w:hint="eastAsia" w:ascii="Times New Roman" w:hAnsi="Times New Roman" w:eastAsia="仿宋_GB2312"/>
          <w:color w:val="000000"/>
          <w:kern w:val="0"/>
          <w:sz w:val="30"/>
          <w:szCs w:val="32"/>
          <w:highlight w:val="none"/>
        </w:rPr>
        <w:t>承包人提交变更估价申请</w:t>
      </w:r>
      <w:r>
        <w:rPr>
          <w:rFonts w:ascii="Times New Roman" w:hAnsi="Times New Roman" w:eastAsia="仿宋_GB2312"/>
          <w:color w:val="000000"/>
          <w:kern w:val="0"/>
          <w:sz w:val="30"/>
          <w:szCs w:val="32"/>
          <w:highlight w:val="none"/>
        </w:rPr>
        <w:t>后</w:t>
      </w:r>
      <w:r>
        <w:rPr>
          <w:rFonts w:hint="eastAsia" w:ascii="Times New Roman" w:hAnsi="Times New Roman" w:eastAsia="仿宋_GB2312"/>
          <w:color w:val="000000"/>
          <w:kern w:val="0"/>
          <w:sz w:val="30"/>
          <w:szCs w:val="32"/>
          <w:highlight w:val="none"/>
        </w:rPr>
        <w:t>14</w:t>
      </w:r>
      <w:r>
        <w:rPr>
          <w:rFonts w:ascii="Times New Roman" w:hAnsi="Times New Roman" w:eastAsia="仿宋_GB2312"/>
          <w:color w:val="000000"/>
          <w:kern w:val="0"/>
          <w:sz w:val="30"/>
          <w:szCs w:val="32"/>
          <w:highlight w:val="none"/>
        </w:rPr>
        <w:t>天内审批完毕。</w:t>
      </w:r>
      <w:r>
        <w:rPr>
          <w:rFonts w:hint="eastAsia" w:ascii="Times New Roman" w:hAnsi="Times New Roman" w:eastAsia="仿宋_GB2312"/>
          <w:color w:val="000000"/>
          <w:kern w:val="0"/>
          <w:sz w:val="30"/>
          <w:szCs w:val="32"/>
          <w:highlight w:val="none"/>
        </w:rPr>
        <w:t>发包人逾期未完成审批或未提出异议的，视为认可承包人提交的变更估价申请。</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因变更引起的价格调整应计入最近一期的进度款中支付。</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658" w:name="_Toc9862"/>
      <w:bookmarkStart w:id="659" w:name="_Toc19823"/>
      <w:r>
        <w:rPr>
          <w:rFonts w:ascii="Times New Roman" w:hAnsi="Times New Roman" w:eastAsia="黑体"/>
          <w:b w:val="0"/>
          <w:color w:val="000000"/>
          <w:sz w:val="30"/>
          <w:szCs w:val="32"/>
          <w:highlight w:val="none"/>
        </w:rPr>
        <w:t>1</w:t>
      </w:r>
      <w:bookmarkStart w:id="660" w:name="_Toc296346595"/>
      <w:bookmarkStart w:id="661" w:name="_Toc337558792"/>
      <w:bookmarkStart w:id="662" w:name="_Toc296503094"/>
      <w:r>
        <w:rPr>
          <w:rFonts w:ascii="Times New Roman" w:hAnsi="Times New Roman" w:eastAsia="黑体"/>
          <w:b w:val="0"/>
          <w:color w:val="000000"/>
          <w:sz w:val="30"/>
          <w:szCs w:val="32"/>
          <w:highlight w:val="none"/>
        </w:rPr>
        <w:t>0.5承包人的合理化建议</w:t>
      </w:r>
      <w:bookmarkEnd w:id="658"/>
      <w:bookmarkEnd w:id="659"/>
    </w:p>
    <w:bookmarkEnd w:id="660"/>
    <w:bookmarkEnd w:id="661"/>
    <w:bookmarkEnd w:id="662"/>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承包人提出合理化建议的，应向监理人提交合理化建议说明，说明建议的内容和理由，以及实施该建议对合同价格和工期的影响。</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变更估价</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约定执行。发包人不同意变更的，监理人应书面通知承包人。</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合理化建议降低了合同价格或者提高了工程经济效益的，发包人可对承包人给予奖励，奖励的方法和金额在专用合同条款中约定。</w:t>
      </w:r>
    </w:p>
    <w:p>
      <w:pPr>
        <w:pStyle w:val="6"/>
        <w:spacing w:before="120" w:after="120" w:line="360" w:lineRule="auto"/>
        <w:ind w:firstLine="600" w:firstLineChars="200"/>
        <w:rPr>
          <w:rFonts w:ascii="Times New Roman" w:hAnsi="Times New Roman" w:eastAsia="仿宋_GB2312"/>
          <w:color w:val="000000"/>
          <w:sz w:val="30"/>
          <w:szCs w:val="32"/>
          <w:highlight w:val="none"/>
        </w:rPr>
      </w:pPr>
      <w:bookmarkStart w:id="663" w:name="_Toc10783"/>
      <w:bookmarkStart w:id="664" w:name="_Toc11286"/>
      <w:r>
        <w:rPr>
          <w:rFonts w:ascii="Times New Roman" w:hAnsi="Times New Roman" w:eastAsia="黑体"/>
          <w:b w:val="0"/>
          <w:color w:val="000000"/>
          <w:sz w:val="30"/>
          <w:szCs w:val="32"/>
          <w:highlight w:val="none"/>
        </w:rPr>
        <w:t>1</w:t>
      </w:r>
      <w:bookmarkStart w:id="665" w:name="_Toc337558793"/>
      <w:r>
        <w:rPr>
          <w:rFonts w:ascii="Times New Roman" w:hAnsi="Times New Roman" w:eastAsia="黑体"/>
          <w:b w:val="0"/>
          <w:color w:val="000000"/>
          <w:sz w:val="30"/>
          <w:szCs w:val="32"/>
          <w:highlight w:val="none"/>
        </w:rPr>
        <w:t>0.6变更引起的工期调整</w:t>
      </w:r>
      <w:bookmarkEnd w:id="663"/>
      <w:bookmarkEnd w:id="664"/>
      <w:r>
        <w:rPr>
          <w:rFonts w:ascii="Times New Roman" w:hAnsi="Times New Roman" w:eastAsia="黑体"/>
          <w:b w:val="0"/>
          <w:color w:val="000000"/>
          <w:sz w:val="30"/>
          <w:szCs w:val="32"/>
          <w:highlight w:val="none"/>
        </w:rPr>
        <w:t xml:space="preserve"> </w:t>
      </w:r>
      <w:bookmarkEnd w:id="665"/>
      <w:r>
        <w:rPr>
          <w:rFonts w:ascii="Times New Roman" w:hAnsi="Times New Roman" w:eastAsia="黑体"/>
          <w:b w:val="0"/>
          <w:color w:val="000000"/>
          <w:sz w:val="30"/>
          <w:szCs w:val="32"/>
          <w:highlight w:val="none"/>
        </w:rPr>
        <w:t xml:space="preserve"> </w:t>
      </w:r>
      <w:r>
        <w:rPr>
          <w:rFonts w:ascii="Times New Roman" w:hAnsi="Times New Roman" w:eastAsia="仿宋_GB2312"/>
          <w:color w:val="000000"/>
          <w:sz w:val="30"/>
          <w:szCs w:val="32"/>
          <w:highlight w:val="none"/>
        </w:rPr>
        <w:t xml:space="preserve"> </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因变更引起工期变化的，合同当事人均可要求调整合同工期，由合同当事人按照第4.4款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商定或确定</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并参考工程所在地的工期定额标准确定增减工期天数。</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666" w:name="_Toc27136"/>
      <w:bookmarkStart w:id="667" w:name="_Toc18732"/>
      <w:r>
        <w:rPr>
          <w:rFonts w:ascii="Times New Roman" w:hAnsi="Times New Roman" w:eastAsia="黑体"/>
          <w:b w:val="0"/>
          <w:color w:val="000000"/>
          <w:sz w:val="30"/>
          <w:szCs w:val="32"/>
          <w:highlight w:val="none"/>
        </w:rPr>
        <w:t>10.7暂估价</w:t>
      </w:r>
      <w:bookmarkEnd w:id="666"/>
      <w:bookmarkEnd w:id="667"/>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暂估价专业分包工程、</w:t>
      </w:r>
      <w:r>
        <w:rPr>
          <w:rFonts w:hint="eastAsia" w:ascii="Times New Roman" w:hAnsi="Times New Roman" w:eastAsia="仿宋_GB2312"/>
          <w:color w:val="000000"/>
          <w:kern w:val="0"/>
          <w:sz w:val="30"/>
          <w:szCs w:val="32"/>
          <w:highlight w:val="none"/>
        </w:rPr>
        <w:t>服务、</w:t>
      </w:r>
      <w:r>
        <w:rPr>
          <w:rFonts w:ascii="Times New Roman" w:hAnsi="Times New Roman" w:eastAsia="仿宋_GB2312"/>
          <w:color w:val="000000"/>
          <w:kern w:val="0"/>
          <w:sz w:val="30"/>
          <w:szCs w:val="32"/>
          <w:highlight w:val="none"/>
        </w:rPr>
        <w:t>材料和工程设备的明细由合同当事人在专用合同条款中约定。</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sz w:val="30"/>
          <w:szCs w:val="32"/>
          <w:highlight w:val="none"/>
        </w:rPr>
        <w:t>10.7.1</w:t>
      </w:r>
      <w:r>
        <w:rPr>
          <w:rFonts w:ascii="Times New Roman" w:hAnsi="Times New Roman" w:eastAsia="仿宋_GB2312"/>
          <w:color w:val="000000"/>
          <w:kern w:val="0"/>
          <w:sz w:val="30"/>
          <w:szCs w:val="32"/>
          <w:highlight w:val="none"/>
        </w:rPr>
        <w:t xml:space="preserve"> 依法必须招标的暂估价项目</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对于依法必须招标的暂估价项目，采取以下第1种方式确定</w:t>
      </w:r>
      <w:r>
        <w:rPr>
          <w:rFonts w:hint="eastAsia" w:ascii="Times New Roman" w:hAnsi="Times New Roman" w:eastAsia="仿宋_GB2312"/>
          <w:color w:val="000000"/>
          <w:kern w:val="0"/>
          <w:sz w:val="30"/>
          <w:szCs w:val="32"/>
          <w:highlight w:val="none"/>
        </w:rPr>
        <w:t>。合同当事人也可以在</w:t>
      </w:r>
      <w:r>
        <w:rPr>
          <w:rFonts w:ascii="Times New Roman" w:hAnsi="Times New Roman" w:eastAsia="仿宋_GB2312"/>
          <w:color w:val="000000"/>
          <w:kern w:val="0"/>
          <w:sz w:val="30"/>
          <w:szCs w:val="32"/>
          <w:highlight w:val="none"/>
        </w:rPr>
        <w:t>专用合同条款</w:t>
      </w:r>
      <w:r>
        <w:rPr>
          <w:rFonts w:hint="eastAsia" w:ascii="Times New Roman" w:hAnsi="Times New Roman" w:eastAsia="仿宋_GB2312"/>
          <w:color w:val="000000"/>
          <w:kern w:val="0"/>
          <w:sz w:val="30"/>
          <w:szCs w:val="32"/>
          <w:highlight w:val="none"/>
        </w:rPr>
        <w:t>中选择其他招标方式。</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第1种方式：对于依法必须招标的暂估价项目，由承包人招标，对该暂估价项目的确认和批准按照以下约定执行：</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（2）承包人应当根据施工进度计划，提前14天将招标文件通过监理人报送发包人审批，发包人应当在收到承包人报送的相关文件后7天内完成审批或提出修改意见；发包人有权确定招标控制价</w:t>
      </w:r>
      <w:r>
        <w:rPr>
          <w:rFonts w:hint="eastAsia" w:ascii="Times New Roman" w:hAnsi="Times New Roman" w:eastAsia="仿宋_GB2312"/>
          <w:color w:val="000000"/>
          <w:kern w:val="0"/>
          <w:sz w:val="30"/>
          <w:szCs w:val="32"/>
          <w:highlight w:val="none"/>
        </w:rPr>
        <w:t>并按照法律规定参加评标</w:t>
      </w:r>
      <w:r>
        <w:rPr>
          <w:rFonts w:ascii="Times New Roman" w:hAnsi="Times New Roman" w:eastAsia="仿宋_GB2312"/>
          <w:color w:val="000000"/>
          <w:kern w:val="0"/>
          <w:sz w:val="30"/>
          <w:szCs w:val="32"/>
          <w:highlight w:val="none"/>
        </w:rPr>
        <w:t>；</w:t>
      </w:r>
    </w:p>
    <w:p>
      <w:pPr>
        <w:spacing w:line="360" w:lineRule="auto"/>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sz w:val="30"/>
          <w:szCs w:val="32"/>
          <w:highlight w:val="none"/>
        </w:rPr>
        <w:t>10.7.2</w:t>
      </w:r>
      <w:r>
        <w:rPr>
          <w:rFonts w:ascii="Times New Roman" w:hAnsi="Times New Roman" w:eastAsia="仿宋_GB2312"/>
          <w:color w:val="000000"/>
          <w:kern w:val="0"/>
          <w:sz w:val="30"/>
          <w:szCs w:val="32"/>
          <w:highlight w:val="none"/>
        </w:rPr>
        <w:t>不属于依法必须招标的暂估价项目</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除专用合同条款另有约定外，对于不属于依法必须招标的暂估价项目，采取以下第1种方式确定：</w:t>
      </w:r>
      <w:r>
        <w:rPr>
          <w:rFonts w:hint="eastAsia" w:ascii="Times New Roman" w:hAnsi="Times New Roman" w:eastAsia="仿宋_GB2312"/>
          <w:color w:val="000000"/>
          <w:kern w:val="0"/>
          <w:sz w:val="30"/>
          <w:szCs w:val="32"/>
          <w:highlight w:val="none"/>
        </w:rPr>
        <w:t xml:space="preserve"> </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第1种方式：对于不属于依法必须招标的暂估价项目，按本项约定确认和批准：</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（2）发包人认为承包人确定的供应商、分包人无法满足工程质量或合同要求的，发包人可以要求承包人重新确定暂估价项目的供应商、分包人;</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（3）承包人应当在签订暂估价合同后7天内，将暂估价合同副本报送发包人留存。</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第2种方式：承包人按照第10.7.1项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依法必须招标的暂估价项目</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约定的第1种方式确定暂估价项目。</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sz w:val="30"/>
          <w:szCs w:val="32"/>
          <w:highlight w:val="none"/>
        </w:rPr>
        <w:t>第3种方式：</w:t>
      </w:r>
      <w:r>
        <w:rPr>
          <w:rFonts w:ascii="Times New Roman" w:hAnsi="Times New Roman" w:eastAsia="仿宋_GB2312"/>
          <w:color w:val="000000"/>
          <w:kern w:val="0"/>
          <w:sz w:val="30"/>
          <w:szCs w:val="32"/>
          <w:highlight w:val="none"/>
        </w:rPr>
        <w:t>承包人直接实施的暂估价项目</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承包人具备实施暂估价项目的资格和条件的，经发包人和承包人协商一致后，可由承包人自行实施暂估价项目，合同当事人可以在专用合同条款约定具体事项。</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668" w:name="_Toc9367"/>
      <w:bookmarkStart w:id="669" w:name="_Toc7499"/>
      <w:r>
        <w:rPr>
          <w:rFonts w:ascii="Times New Roman" w:hAnsi="Times New Roman" w:eastAsia="黑体"/>
          <w:b w:val="0"/>
          <w:color w:val="000000"/>
          <w:sz w:val="30"/>
          <w:szCs w:val="32"/>
          <w:highlight w:val="none"/>
        </w:rPr>
        <w:t>1</w:t>
      </w:r>
      <w:bookmarkStart w:id="670" w:name="_Toc337558794"/>
      <w:bookmarkStart w:id="671" w:name="_Toc322522561"/>
      <w:bookmarkStart w:id="672" w:name="_Toc296503090"/>
      <w:bookmarkStart w:id="673" w:name="_Toc296346591"/>
      <w:r>
        <w:rPr>
          <w:rFonts w:ascii="Times New Roman" w:hAnsi="Times New Roman" w:eastAsia="黑体"/>
          <w:b w:val="0"/>
          <w:color w:val="000000"/>
          <w:sz w:val="30"/>
          <w:szCs w:val="32"/>
          <w:highlight w:val="none"/>
        </w:rPr>
        <w:t>0.8暂列金额</w:t>
      </w:r>
      <w:bookmarkEnd w:id="668"/>
      <w:bookmarkEnd w:id="669"/>
    </w:p>
    <w:bookmarkEnd w:id="670"/>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暂列金额应按照发包人的要求使用，发包人的要求应通过监理人发出。</w:t>
      </w:r>
      <w:r>
        <w:rPr>
          <w:rFonts w:hint="eastAsia" w:ascii="Times New Roman" w:hAnsi="Times New Roman" w:eastAsia="仿宋_GB2312"/>
          <w:color w:val="000000"/>
          <w:kern w:val="0"/>
          <w:sz w:val="30"/>
          <w:szCs w:val="32"/>
          <w:highlight w:val="none"/>
        </w:rPr>
        <w:t>合同当事人可以在专用合同条款中协商确定有关事项。</w:t>
      </w:r>
    </w:p>
    <w:bookmarkEnd w:id="671"/>
    <w:bookmarkEnd w:id="672"/>
    <w:bookmarkEnd w:id="673"/>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674" w:name="_Toc16574"/>
      <w:bookmarkStart w:id="675" w:name="_Toc32211"/>
      <w:r>
        <w:rPr>
          <w:rFonts w:ascii="Times New Roman" w:hAnsi="Times New Roman" w:eastAsia="黑体"/>
          <w:b w:val="0"/>
          <w:color w:val="000000"/>
          <w:sz w:val="30"/>
          <w:szCs w:val="32"/>
          <w:highlight w:val="none"/>
        </w:rPr>
        <w:t>1</w:t>
      </w:r>
      <w:bookmarkStart w:id="676" w:name="_Toc337558796"/>
      <w:bookmarkStart w:id="677" w:name="_Toc296346592"/>
      <w:bookmarkStart w:id="678" w:name="_Toc296503091"/>
      <w:r>
        <w:rPr>
          <w:rFonts w:ascii="Times New Roman" w:hAnsi="Times New Roman" w:eastAsia="黑体"/>
          <w:b w:val="0"/>
          <w:color w:val="000000"/>
          <w:sz w:val="30"/>
          <w:szCs w:val="32"/>
          <w:highlight w:val="none"/>
        </w:rPr>
        <w:t>0.9计日工</w:t>
      </w:r>
      <w:bookmarkEnd w:id="674"/>
      <w:bookmarkEnd w:id="675"/>
      <w:r>
        <w:rPr>
          <w:rFonts w:ascii="Times New Roman" w:hAnsi="Times New Roman" w:eastAsia="黑体"/>
          <w:b w:val="0"/>
          <w:color w:val="000000"/>
          <w:sz w:val="30"/>
          <w:szCs w:val="32"/>
          <w:highlight w:val="none"/>
        </w:rPr>
        <w:t xml:space="preserve"> </w:t>
      </w:r>
      <w:bookmarkEnd w:id="676"/>
      <w:bookmarkEnd w:id="677"/>
      <w:bookmarkEnd w:id="678"/>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hint="eastAsia" w:ascii="Times New Roman" w:hAnsi="Times New Roman" w:eastAsia="仿宋_GB2312"/>
          <w:color w:val="000000"/>
          <w:kern w:val="0"/>
          <w:sz w:val="30"/>
          <w:szCs w:val="32"/>
          <w:highlight w:val="none"/>
        </w:rPr>
        <w:t>需要采用计日工方式的，经发包人同意后</w:t>
      </w:r>
      <w:r>
        <w:rPr>
          <w:rFonts w:ascii="Times New Roman" w:hAnsi="Times New Roman" w:eastAsia="仿宋_GB2312"/>
          <w:color w:val="000000"/>
          <w:kern w:val="0"/>
          <w:sz w:val="30"/>
          <w:szCs w:val="32"/>
          <w:highlight w:val="none"/>
        </w:rPr>
        <w:t>，由监理人通知承包人以计日工计价方式实施</w:t>
      </w:r>
      <w:r>
        <w:rPr>
          <w:rFonts w:hint="eastAsia" w:ascii="Times New Roman" w:hAnsi="Times New Roman" w:eastAsia="仿宋_GB2312"/>
          <w:color w:val="000000"/>
          <w:kern w:val="0"/>
          <w:sz w:val="30"/>
          <w:szCs w:val="32"/>
          <w:highlight w:val="none"/>
        </w:rPr>
        <w:t>相应</w:t>
      </w:r>
      <w:r>
        <w:rPr>
          <w:rFonts w:ascii="Times New Roman" w:hAnsi="Times New Roman" w:eastAsia="仿宋_GB2312"/>
          <w:color w:val="000000"/>
          <w:kern w:val="0"/>
          <w:sz w:val="30"/>
          <w:szCs w:val="32"/>
          <w:highlight w:val="none"/>
        </w:rPr>
        <w:t>的工作，其价款按列入已标价工程量清单或预算书中的计日工计价项目及其单价进行计算；已标价工程量清单或预算书中无相应的计日工单价的，按照合理的成本与利润构成的原则，由合同当事人按照第4.4款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商定或确定</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确定</w:t>
      </w:r>
      <w:r>
        <w:rPr>
          <w:rFonts w:hint="eastAsia" w:ascii="Times New Roman" w:hAnsi="Times New Roman" w:eastAsia="仿宋_GB2312"/>
          <w:color w:val="000000"/>
          <w:kern w:val="0"/>
          <w:sz w:val="30"/>
          <w:szCs w:val="32"/>
          <w:highlight w:val="none"/>
        </w:rPr>
        <w:t>计日工</w:t>
      </w:r>
      <w:r>
        <w:rPr>
          <w:rFonts w:ascii="Times New Roman" w:hAnsi="Times New Roman" w:eastAsia="仿宋_GB2312"/>
          <w:color w:val="000000"/>
          <w:kern w:val="0"/>
          <w:sz w:val="30"/>
          <w:szCs w:val="32"/>
          <w:highlight w:val="none"/>
        </w:rPr>
        <w:t>的单价。</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采用计日工计价的任何一项工作，承包人应在该项工作实施过程中，每天提交以下报表和有关凭证报送监理人审查：</w:t>
      </w:r>
    </w:p>
    <w:p>
      <w:pPr>
        <w:spacing w:line="360" w:lineRule="auto"/>
        <w:ind w:firstLine="450" w:firstLineChars="15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（1）工作名称、内容和数量；</w:t>
      </w:r>
    </w:p>
    <w:p>
      <w:pPr>
        <w:spacing w:line="360" w:lineRule="auto"/>
        <w:ind w:firstLine="450" w:firstLineChars="15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（2）投入该工作的所有人员的姓名、专业、工种、级别和耗用工时；</w:t>
      </w:r>
    </w:p>
    <w:p>
      <w:pPr>
        <w:spacing w:line="360" w:lineRule="auto"/>
        <w:ind w:firstLine="450" w:firstLineChars="15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（3）投入该工作的材料类别和数量；</w:t>
      </w:r>
    </w:p>
    <w:p>
      <w:pPr>
        <w:spacing w:line="360" w:lineRule="auto"/>
        <w:ind w:firstLine="450" w:firstLineChars="15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（4）投入该工作的施工设备型号、台数和耗用台时；</w:t>
      </w:r>
    </w:p>
    <w:p>
      <w:pPr>
        <w:spacing w:line="360" w:lineRule="auto"/>
        <w:ind w:firstLine="450" w:firstLineChars="15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（5）其他有关资料和凭证。</w:t>
      </w:r>
    </w:p>
    <w:p>
      <w:pPr>
        <w:spacing w:line="360" w:lineRule="auto"/>
        <w:ind w:firstLine="450" w:firstLineChars="15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 xml:space="preserve"> 计日工由承包人汇总后，列入最近一期进度付款申请单，由监理人审查并经发包人批准后列入进度付款。</w:t>
      </w:r>
    </w:p>
    <w:p>
      <w:pPr>
        <w:pStyle w:val="5"/>
        <w:spacing w:before="120" w:after="120" w:line="360" w:lineRule="auto"/>
        <w:rPr>
          <w:rFonts w:ascii="Times New Roman" w:hAnsi="Times New Roman" w:eastAsia="黑体"/>
          <w:b w:val="0"/>
          <w:color w:val="000000"/>
          <w:sz w:val="32"/>
          <w:szCs w:val="32"/>
          <w:highlight w:val="none"/>
        </w:rPr>
      </w:pPr>
      <w:bookmarkStart w:id="679" w:name="_Toc20771"/>
      <w:bookmarkStart w:id="680" w:name="_Toc12297"/>
      <w:r>
        <w:rPr>
          <w:rFonts w:ascii="Times New Roman" w:hAnsi="Times New Roman" w:eastAsia="黑体"/>
          <w:b w:val="0"/>
          <w:color w:val="000000"/>
          <w:sz w:val="32"/>
          <w:szCs w:val="32"/>
          <w:highlight w:val="none"/>
        </w:rPr>
        <w:t>11. 价格调整</w:t>
      </w:r>
      <w:bookmarkEnd w:id="679"/>
      <w:bookmarkEnd w:id="680"/>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681" w:name="_Toc24876"/>
      <w:bookmarkStart w:id="682" w:name="_Toc5333"/>
      <w:bookmarkStart w:id="683" w:name="_Toc296503092"/>
      <w:bookmarkStart w:id="684" w:name="_Toc337558797"/>
      <w:bookmarkStart w:id="685" w:name="_Toc296346593"/>
      <w:r>
        <w:rPr>
          <w:rFonts w:ascii="Times New Roman" w:hAnsi="Times New Roman" w:eastAsia="黑体"/>
          <w:b w:val="0"/>
          <w:color w:val="000000"/>
          <w:sz w:val="30"/>
          <w:szCs w:val="32"/>
          <w:highlight w:val="none"/>
        </w:rPr>
        <w:t>11.1市场价格波动引起的调整</w:t>
      </w:r>
      <w:bookmarkEnd w:id="681"/>
      <w:bookmarkEnd w:id="682"/>
    </w:p>
    <w:bookmarkEnd w:id="683"/>
    <w:bookmarkEnd w:id="684"/>
    <w:bookmarkEnd w:id="685"/>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除专用合同条款另有约定外，市场价格波动超过合同当事人约定的范围，合同价格应当调整。合同当事人可以在专用合同条款中约定选择以下一种方式对合同价格进行调整：</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第1种方式：采用价格指数</w:t>
      </w:r>
      <w:r>
        <w:rPr>
          <w:rFonts w:hint="eastAsia" w:ascii="Times New Roman" w:hAnsi="Times New Roman" w:eastAsia="仿宋_GB2312"/>
          <w:color w:val="000000"/>
          <w:sz w:val="30"/>
          <w:szCs w:val="32"/>
          <w:highlight w:val="none"/>
        </w:rPr>
        <w:t>进行价格</w:t>
      </w:r>
      <w:r>
        <w:rPr>
          <w:rFonts w:ascii="Times New Roman" w:hAnsi="Times New Roman" w:eastAsia="仿宋_GB2312"/>
          <w:color w:val="000000"/>
          <w:sz w:val="30"/>
          <w:szCs w:val="32"/>
          <w:highlight w:val="none"/>
        </w:rPr>
        <w:t>调整。</w:t>
      </w:r>
    </w:p>
    <w:p>
      <w:pPr>
        <w:tabs>
          <w:tab w:val="left" w:pos="0"/>
          <w:tab w:val="left" w:pos="360"/>
          <w:tab w:val="left" w:pos="540"/>
        </w:tabs>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（1）价格调整公式</w:t>
      </w:r>
    </w:p>
    <w:p>
      <w:pPr>
        <w:tabs>
          <w:tab w:val="left" w:pos="0"/>
          <w:tab w:val="left" w:pos="360"/>
          <w:tab w:val="left" w:pos="540"/>
        </w:tabs>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因人工、材料和设备等价格波动影响合同价格时，根据专用合同条款中约定的数据，按以下公式计算差额并调整合同价格：</w:t>
      </w:r>
    </w:p>
    <w:p>
      <w:pPr>
        <w:tabs>
          <w:tab w:val="left" w:pos="0"/>
          <w:tab w:val="left" w:pos="360"/>
          <w:tab w:val="left" w:pos="540"/>
        </w:tabs>
        <w:spacing w:line="360" w:lineRule="auto"/>
        <w:ind w:firstLine="600" w:firstLineChars="200"/>
        <w:rPr>
          <w:rFonts w:hint="eastAsia" w:ascii="Times New Roman" w:hAnsi="Times New Roman" w:eastAsia="仿宋_GB2312"/>
          <w:color w:val="000000"/>
          <w:sz w:val="30"/>
          <w:szCs w:val="32"/>
          <w:highlight w:val="none"/>
        </w:rPr>
      </w:pPr>
      <w:r>
        <w:rPr>
          <w:rFonts w:hint="eastAsia" w:ascii="Times New Roman" w:hAnsi="Times New Roman" w:eastAsia="仿宋_GB2312"/>
          <w:color w:val="000000"/>
          <w:position w:val="-30"/>
          <w:sz w:val="30"/>
          <w:szCs w:val="32"/>
          <w:highlight w:val="none"/>
        </w:rPr>
        <w:object>
          <v:shape id="_x0000_i1025" o:spt="75" type="#_x0000_t75" style="height:43.9pt;width:359.85pt;" o:ole="t" filled="f" stroked="f" coordsize="21600,21600">
            <v:path/>
            <v:fill on="f" focussize="0,0"/>
            <v:stroke on="f"/>
            <v:imagedata r:id="rId26" o:title=""/>
            <o:lock v:ext="edit" grouping="f" rotation="f" text="f" aspectratio="t"/>
            <w10:wrap type="none"/>
            <w10:anchorlock/>
          </v:shape>
          <o:OLEObject Type="Embed" ProgID="Equation.KSEE3" ShapeID="_x0000_i1025" DrawAspect="Content" ObjectID="_1468075725" r:id="rId25">
            <o:LockedField>false</o:LockedField>
          </o:OLEObject>
        </w:object>
      </w:r>
    </w:p>
    <w:p>
      <w:pPr>
        <w:tabs>
          <w:tab w:val="left" w:pos="0"/>
          <w:tab w:val="left" w:pos="360"/>
          <w:tab w:val="left" w:pos="540"/>
        </w:tabs>
        <w:spacing w:line="360" w:lineRule="auto"/>
        <w:ind w:firstLine="64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公式中：ΔP——需调整的价格差额；</w:t>
      </w:r>
    </w:p>
    <w:p>
      <w:pPr>
        <w:tabs>
          <w:tab w:val="left" w:pos="0"/>
          <w:tab w:val="left" w:pos="360"/>
          <w:tab w:val="left" w:pos="540"/>
        </w:tabs>
        <w:spacing w:line="360" w:lineRule="auto"/>
        <w:ind w:firstLine="1800" w:firstLineChars="600"/>
        <w:rPr>
          <w:rFonts w:ascii="Times New Roman" w:hAnsi="Times New Roman" w:eastAsia="仿宋_GB2312"/>
          <w:color w:val="000000"/>
          <w:sz w:val="30"/>
          <w:szCs w:val="32"/>
          <w:highlight w:val="none"/>
        </w:rPr>
      </w:pPr>
      <w:r>
        <w:rPr>
          <w:rFonts w:ascii="Times New Roman" w:hAnsi="Times New Roman" w:eastAsia="仿宋_GB2312"/>
          <w:color w:val="000000"/>
          <w:position w:val="-6"/>
          <w:sz w:val="30"/>
          <w:szCs w:val="32"/>
          <w:highlight w:val="none"/>
        </w:rPr>
        <w:object>
          <v:shape id="_x0000_i1026" o:spt="75" type="#_x0000_t75" style="height:17.95pt;width:17.95pt;" o:ole="t" filled="f" stroked="f" coordsize="21600,21600">
            <v:path/>
            <v:fill on="f" focussize="0,0"/>
            <v:stroke on="f"/>
            <v:imagedata r:id="rId28" o:title=""/>
            <o:lock v:ext="edit" grouping="f" rotation="f" text="f" aspectratio="t"/>
            <w10:wrap type="none"/>
            <w10:anchorlock/>
          </v:shape>
          <o:OLEObject Type="Embed" ProgID="Equation.KSEE3" ShapeID="_x0000_i1026" DrawAspect="Content" ObjectID="_1468075726" r:id="rId27">
            <o:LockedField>false</o:LockedField>
          </o:OLEObject>
        </w:object>
      </w:r>
      <w:r>
        <w:rPr>
          <w:rFonts w:ascii="Times New Roman" w:hAnsi="Times New Roman" w:eastAsia="仿宋_GB2312"/>
          <w:color w:val="000000"/>
          <w:sz w:val="30"/>
          <w:szCs w:val="32"/>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pPr>
        <w:tabs>
          <w:tab w:val="left" w:pos="0"/>
          <w:tab w:val="left" w:pos="360"/>
          <w:tab w:val="left" w:pos="540"/>
        </w:tabs>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A——定值权重（即不调部分的权重）；</w:t>
      </w:r>
    </w:p>
    <w:p>
      <w:pPr>
        <w:tabs>
          <w:tab w:val="left" w:pos="0"/>
          <w:tab w:val="left" w:pos="360"/>
          <w:tab w:val="left" w:pos="540"/>
        </w:tabs>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position w:val="-10"/>
          <w:sz w:val="30"/>
          <w:szCs w:val="32"/>
          <w:highlight w:val="none"/>
        </w:rPr>
        <w:object>
          <v:shape id="_x0000_i1027" o:spt="75" type="#_x0000_t75" style="height:21.05pt;width:101pt;" o:ole="t" filled="f" stroked="f" coordsize="21600,21600">
            <v:path/>
            <v:fill on="f" focussize="0,0"/>
            <v:stroke on="f"/>
            <v:imagedata r:id="rId30" o:title=""/>
            <o:lock v:ext="edit" grouping="f" rotation="f" text="f" aspectratio="t"/>
            <w10:wrap type="none"/>
            <w10:anchorlock/>
          </v:shape>
          <o:OLEObject Type="Embed" ProgID="Equation.KSEE3" ShapeID="_x0000_i1027" DrawAspect="Content" ObjectID="_1468075727" r:id="rId29">
            <o:LockedField>false</o:LockedField>
          </o:OLEObject>
        </w:object>
      </w:r>
      <w:r>
        <w:rPr>
          <w:rFonts w:ascii="Times New Roman" w:hAnsi="Times New Roman" w:eastAsia="仿宋_GB2312"/>
          <w:color w:val="000000"/>
          <w:sz w:val="30"/>
          <w:szCs w:val="32"/>
          <w:highlight w:val="none"/>
        </w:rPr>
        <w:t>——各可调因子的变值权重（即可调部分的权重），为各可调因子在签约合同价中所占的比例；</w:t>
      </w:r>
    </w:p>
    <w:p>
      <w:pPr>
        <w:tabs>
          <w:tab w:val="left" w:pos="0"/>
          <w:tab w:val="left" w:pos="360"/>
          <w:tab w:val="left" w:pos="540"/>
        </w:tabs>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position w:val="-10"/>
          <w:sz w:val="30"/>
          <w:szCs w:val="32"/>
          <w:highlight w:val="none"/>
        </w:rPr>
        <w:object>
          <v:shape id="_x0000_i1028" o:spt="75" type="#_x0000_t75" style="height:20.6pt;width:102.05pt;" o:ole="t" filled="f" stroked="f" coordsize="21600,21600">
            <v:path/>
            <v:fill on="f" focussize="0,0"/>
            <v:stroke on="f"/>
            <v:imagedata r:id="rId32" o:title=""/>
            <o:lock v:ext="edit" grouping="f" rotation="f" text="f" aspectratio="t"/>
            <w10:wrap type="none"/>
            <w10:anchorlock/>
          </v:shape>
          <o:OLEObject Type="Embed" ProgID="Equation.KSEE3" ShapeID="_x0000_i1028" DrawAspect="Content" ObjectID="_1468075728" r:id="rId31">
            <o:LockedField>false</o:LockedField>
          </o:OLEObject>
        </w:object>
      </w:r>
      <w:r>
        <w:rPr>
          <w:rFonts w:ascii="Times New Roman" w:hAnsi="Times New Roman" w:eastAsia="仿宋_GB2312"/>
          <w:color w:val="000000"/>
          <w:sz w:val="30"/>
          <w:szCs w:val="32"/>
          <w:highlight w:val="none"/>
        </w:rPr>
        <w:t>——各可调因子的现行价格指数，指约定的付款证书相关周期最后一天的前42天的各可调因子的价格指数；</w:t>
      </w:r>
    </w:p>
    <w:p>
      <w:pPr>
        <w:tabs>
          <w:tab w:val="left" w:pos="0"/>
          <w:tab w:val="left" w:pos="360"/>
          <w:tab w:val="left" w:pos="540"/>
        </w:tabs>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position w:val="-10"/>
          <w:sz w:val="30"/>
          <w:szCs w:val="32"/>
          <w:highlight w:val="none"/>
        </w:rPr>
        <w:object>
          <v:shape id="_x0000_i1029" o:spt="75" type="#_x0000_t75" style="height:20.2pt;width:108pt;" o:ole="t" filled="f" stroked="f" coordsize="21600,21600">
            <v:path/>
            <v:fill on="f" focussize="0,0"/>
            <v:stroke on="f"/>
            <v:imagedata r:id="rId34" o:title=""/>
            <o:lock v:ext="edit" grouping="f" rotation="f" text="f" aspectratio="t"/>
            <w10:wrap type="none"/>
            <w10:anchorlock/>
          </v:shape>
          <o:OLEObject Type="Embed" ProgID="Equation.KSEE3" ShapeID="_x0000_i1029" DrawAspect="Content" ObjectID="_1468075729" r:id="rId33">
            <o:LockedField>false</o:LockedField>
          </o:OLEObject>
        </w:object>
      </w:r>
      <w:r>
        <w:rPr>
          <w:rFonts w:ascii="Times New Roman" w:hAnsi="Times New Roman" w:eastAsia="仿宋_GB2312"/>
          <w:color w:val="000000"/>
          <w:sz w:val="30"/>
          <w:szCs w:val="32"/>
          <w:highlight w:val="none"/>
        </w:rPr>
        <w:t>——各可调因子的基本价格指数，指基准日期的各可调因子的价格指数。</w:t>
      </w:r>
    </w:p>
    <w:p>
      <w:pPr>
        <w:tabs>
          <w:tab w:val="left" w:pos="0"/>
          <w:tab w:val="left" w:pos="360"/>
          <w:tab w:val="left" w:pos="540"/>
        </w:tabs>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pPr>
        <w:tabs>
          <w:tab w:val="left" w:pos="0"/>
          <w:tab w:val="left" w:pos="360"/>
          <w:tab w:val="left" w:pos="540"/>
        </w:tabs>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（2）暂时确定调整差额</w:t>
      </w:r>
    </w:p>
    <w:p>
      <w:pPr>
        <w:tabs>
          <w:tab w:val="left" w:pos="0"/>
          <w:tab w:val="left" w:pos="360"/>
          <w:tab w:val="left" w:pos="540"/>
        </w:tabs>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在计算调整差额时无现行价格指数的，合同当事人同意暂用前次价格指数计算。实际价格指数有调整的，合同当事人进行相应调整。</w:t>
      </w:r>
    </w:p>
    <w:p>
      <w:pPr>
        <w:tabs>
          <w:tab w:val="left" w:pos="0"/>
          <w:tab w:val="left" w:pos="360"/>
          <w:tab w:val="left" w:pos="540"/>
        </w:tabs>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（3）权重的调整</w:t>
      </w:r>
    </w:p>
    <w:p>
      <w:pPr>
        <w:tabs>
          <w:tab w:val="left" w:pos="0"/>
          <w:tab w:val="left" w:pos="360"/>
          <w:tab w:val="left" w:pos="540"/>
        </w:tabs>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因变更导致合同约定的权重不合理时，按照第4.4款</w:t>
      </w:r>
      <w:r>
        <w:rPr>
          <w:rFonts w:hint="eastAsia" w:ascii="Times New Roman" w:hAnsi="Times New Roman" w:eastAsia="仿宋_GB2312"/>
          <w:color w:val="000000"/>
          <w:sz w:val="30"/>
          <w:szCs w:val="32"/>
          <w:highlight w:val="none"/>
        </w:rPr>
        <w:t>〔</w:t>
      </w:r>
      <w:r>
        <w:rPr>
          <w:rFonts w:ascii="Times New Roman" w:hAnsi="Times New Roman" w:eastAsia="仿宋_GB2312"/>
          <w:color w:val="000000"/>
          <w:sz w:val="30"/>
          <w:szCs w:val="32"/>
          <w:highlight w:val="none"/>
        </w:rPr>
        <w:t>商定或确定</w:t>
      </w:r>
      <w:r>
        <w:rPr>
          <w:rFonts w:hint="eastAsia" w:ascii="Times New Roman" w:hAnsi="Times New Roman" w:eastAsia="仿宋_GB2312"/>
          <w:color w:val="000000"/>
          <w:sz w:val="30"/>
          <w:szCs w:val="32"/>
          <w:highlight w:val="none"/>
        </w:rPr>
        <w:t>〕</w:t>
      </w:r>
      <w:r>
        <w:rPr>
          <w:rFonts w:ascii="Times New Roman" w:hAnsi="Times New Roman" w:eastAsia="仿宋_GB2312"/>
          <w:color w:val="000000"/>
          <w:sz w:val="30"/>
          <w:szCs w:val="32"/>
          <w:highlight w:val="none"/>
        </w:rPr>
        <w:t>执行。</w:t>
      </w:r>
    </w:p>
    <w:p>
      <w:pPr>
        <w:tabs>
          <w:tab w:val="left" w:pos="0"/>
          <w:tab w:val="left" w:pos="360"/>
          <w:tab w:val="left" w:pos="540"/>
        </w:tabs>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（4）因承包人原因工期延误后的价格调整</w:t>
      </w:r>
    </w:p>
    <w:p>
      <w:pPr>
        <w:tabs>
          <w:tab w:val="left" w:pos="0"/>
          <w:tab w:val="left" w:pos="360"/>
          <w:tab w:val="left" w:pos="540"/>
        </w:tabs>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因承包人原因未按期竣工的，对合同约定的竣工日期后继续施工的工程，在使用价格调整公式时，应采用计划竣工日期与实际竣工日期的两个价格指数中较低的一个作为现行价格指数。</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第2种方式：采用造价信息</w:t>
      </w:r>
      <w:r>
        <w:rPr>
          <w:rFonts w:hint="eastAsia" w:ascii="Times New Roman" w:hAnsi="Times New Roman" w:eastAsia="仿宋_GB2312"/>
          <w:color w:val="000000"/>
          <w:sz w:val="30"/>
          <w:szCs w:val="32"/>
          <w:highlight w:val="none"/>
        </w:rPr>
        <w:t>进行价格</w:t>
      </w:r>
      <w:r>
        <w:rPr>
          <w:rFonts w:ascii="Times New Roman" w:hAnsi="Times New Roman" w:eastAsia="仿宋_GB2312"/>
          <w:color w:val="000000"/>
          <w:sz w:val="30"/>
          <w:szCs w:val="32"/>
          <w:highlight w:val="none"/>
        </w:rPr>
        <w:t>调整。</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w:t>
      </w:r>
      <w:r>
        <w:rPr>
          <w:rFonts w:hint="eastAsia" w:ascii="Times New Roman" w:hAnsi="Times New Roman" w:eastAsia="仿宋_GB2312"/>
          <w:color w:val="000000"/>
          <w:sz w:val="30"/>
          <w:szCs w:val="32"/>
          <w:highlight w:val="none"/>
        </w:rPr>
        <w:t>量</w:t>
      </w:r>
      <w:r>
        <w:rPr>
          <w:rFonts w:ascii="Times New Roman" w:hAnsi="Times New Roman" w:eastAsia="仿宋_GB2312"/>
          <w:color w:val="000000"/>
          <w:sz w:val="30"/>
          <w:szCs w:val="32"/>
          <w:highlight w:val="none"/>
        </w:rPr>
        <w:t>应由发包人审批，发包人确认需调整的材料单价及数量，作为调整合同价格的依据。</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（2）材料、工程设备价格变化的价款调整按照发包人提供的基准价格，按以下风险范围规定执行:</w:t>
      </w:r>
    </w:p>
    <w:p>
      <w:pPr>
        <w:spacing w:line="360" w:lineRule="auto"/>
        <w:ind w:firstLine="600" w:firstLineChars="200"/>
        <w:rPr>
          <w:rFonts w:ascii="Times New Roman" w:hAnsi="Times New Roman" w:eastAsia="仿宋_GB2312"/>
          <w:color w:val="000000"/>
          <w:sz w:val="30"/>
          <w:szCs w:val="32"/>
          <w:highlight w:val="none"/>
        </w:rPr>
      </w:pPr>
      <w:r>
        <w:rPr>
          <w:rFonts w:hint="eastAsia" w:ascii="宋体" w:hAnsi="宋体" w:cs="宋体"/>
          <w:color w:val="000000"/>
          <w:sz w:val="30"/>
          <w:szCs w:val="32"/>
          <w:highlight w:val="none"/>
        </w:rPr>
        <w:t>①</w:t>
      </w:r>
      <w:r>
        <w:rPr>
          <w:rFonts w:ascii="Times New Roman" w:hAnsi="Times New Roman" w:eastAsia="仿宋_GB2312"/>
          <w:color w:val="000000"/>
          <w:sz w:val="30"/>
          <w:szCs w:val="32"/>
          <w:highlight w:val="none"/>
        </w:rPr>
        <w:t>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pPr>
        <w:spacing w:line="360" w:lineRule="auto"/>
        <w:ind w:firstLine="600" w:firstLineChars="200"/>
        <w:rPr>
          <w:rFonts w:ascii="Times New Roman" w:hAnsi="Times New Roman" w:eastAsia="仿宋_GB2312"/>
          <w:color w:val="000000"/>
          <w:sz w:val="30"/>
          <w:szCs w:val="32"/>
          <w:highlight w:val="none"/>
        </w:rPr>
      </w:pPr>
      <w:r>
        <w:rPr>
          <w:rFonts w:hint="eastAsia" w:ascii="宋体" w:hAnsi="宋体" w:cs="宋体"/>
          <w:color w:val="000000"/>
          <w:sz w:val="30"/>
          <w:szCs w:val="32"/>
          <w:highlight w:val="none"/>
        </w:rPr>
        <w:t>②</w:t>
      </w:r>
      <w:r>
        <w:rPr>
          <w:rFonts w:ascii="Times New Roman" w:hAnsi="Times New Roman" w:eastAsia="仿宋_GB2312"/>
          <w:color w:val="000000"/>
          <w:sz w:val="30"/>
          <w:szCs w:val="32"/>
          <w:highlight w:val="none"/>
        </w:rPr>
        <w:t>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spacing w:line="360" w:lineRule="auto"/>
        <w:ind w:firstLine="600" w:firstLineChars="200"/>
        <w:rPr>
          <w:rFonts w:ascii="Times New Roman" w:hAnsi="Times New Roman" w:eastAsia="仿宋_GB2312"/>
          <w:color w:val="000000"/>
          <w:sz w:val="30"/>
          <w:szCs w:val="32"/>
          <w:highlight w:val="none"/>
        </w:rPr>
      </w:pPr>
      <w:r>
        <w:rPr>
          <w:rFonts w:hint="eastAsia" w:ascii="宋体" w:hAnsi="宋体" w:cs="宋体"/>
          <w:color w:val="000000"/>
          <w:sz w:val="30"/>
          <w:szCs w:val="32"/>
          <w:highlight w:val="none"/>
        </w:rPr>
        <w:t>③</w:t>
      </w:r>
      <w:r>
        <w:rPr>
          <w:rFonts w:ascii="Times New Roman" w:hAnsi="Times New Roman" w:eastAsia="仿宋_GB2312"/>
          <w:color w:val="000000"/>
          <w:sz w:val="30"/>
          <w:szCs w:val="32"/>
          <w:highlight w:val="none"/>
        </w:rPr>
        <w:t>承包人在已标价工程量清单或预算书中载明材料单价等于基准价格的：除专用合同条款另有约定外，合同履行期间材料单价涨跌幅以基准价格为基础超过±5%时，其超过部分据实调整。</w:t>
      </w:r>
    </w:p>
    <w:p>
      <w:pPr>
        <w:spacing w:line="360" w:lineRule="auto"/>
        <w:ind w:firstLine="600" w:firstLineChars="200"/>
        <w:rPr>
          <w:rFonts w:ascii="Times New Roman" w:hAnsi="Times New Roman" w:eastAsia="仿宋_GB2312"/>
          <w:color w:val="000000"/>
          <w:sz w:val="30"/>
          <w:szCs w:val="32"/>
          <w:highlight w:val="none"/>
        </w:rPr>
      </w:pPr>
      <w:r>
        <w:rPr>
          <w:rFonts w:hint="eastAsia" w:ascii="宋体" w:hAnsi="宋体" w:cs="宋体"/>
          <w:color w:val="000000"/>
          <w:sz w:val="30"/>
          <w:szCs w:val="32"/>
          <w:highlight w:val="none"/>
        </w:rPr>
        <w:t>④</w:t>
      </w:r>
      <w:r>
        <w:rPr>
          <w:rFonts w:ascii="Times New Roman" w:hAnsi="Times New Roman" w:eastAsia="仿宋_GB2312"/>
          <w:color w:val="000000"/>
          <w:sz w:val="30"/>
          <w:szCs w:val="32"/>
          <w:highlight w:val="none"/>
        </w:rPr>
        <w:t>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pPr>
        <w:spacing w:line="360" w:lineRule="auto"/>
        <w:ind w:firstLine="600" w:firstLineChars="200"/>
        <w:rPr>
          <w:rFonts w:ascii="Times New Roman" w:hAnsi="Times New Roman" w:eastAsia="仿宋_GB2312"/>
          <w:color w:val="000000"/>
          <w:sz w:val="30"/>
          <w:szCs w:val="32"/>
          <w:highlight w:val="none"/>
        </w:rPr>
      </w:pPr>
      <w:bookmarkStart w:id="686" w:name="OLE_LINK3"/>
      <w:r>
        <w:rPr>
          <w:rFonts w:ascii="Times New Roman" w:hAnsi="Times New Roman" w:eastAsia="仿宋_GB2312"/>
          <w:color w:val="000000"/>
          <w:sz w:val="30"/>
          <w:szCs w:val="32"/>
          <w:highlight w:val="none"/>
        </w:rPr>
        <w:t>前述基准价格是指由发包人在招标文件或专用合同条款中给定的材料、工程设备的价格，该价格原则上应当按照省级或行业建设主管部门或其授权的工程造价管理机构发布的信息价编制。</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（3）施工机械台班单价或施工机械使用费发生变化超过省级或行业建设主管部门或其授权的工程造价管理机构规定的范围时，按规定调整合同价格。</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第3种方式：专用合同条款约定的其他方式。</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687" w:name="_Toc6427"/>
      <w:bookmarkStart w:id="688" w:name="_Toc5274"/>
      <w:bookmarkStart w:id="689" w:name="_Toc337558798"/>
      <w:bookmarkStart w:id="690" w:name="_Toc296503093"/>
      <w:bookmarkStart w:id="691" w:name="_Toc296346594"/>
      <w:r>
        <w:rPr>
          <w:rFonts w:ascii="Times New Roman" w:hAnsi="Times New Roman" w:eastAsia="黑体"/>
          <w:b w:val="0"/>
          <w:color w:val="000000"/>
          <w:sz w:val="30"/>
          <w:szCs w:val="32"/>
          <w:highlight w:val="none"/>
        </w:rPr>
        <w:t>11.2法律变化引起的调整</w:t>
      </w:r>
      <w:bookmarkEnd w:id="687"/>
      <w:bookmarkEnd w:id="688"/>
    </w:p>
    <w:bookmarkEnd w:id="689"/>
    <w:bookmarkEnd w:id="690"/>
    <w:bookmarkEnd w:id="691"/>
    <w:p>
      <w:pPr>
        <w:spacing w:line="360" w:lineRule="auto"/>
        <w:ind w:firstLine="600" w:firstLineChars="200"/>
        <w:rPr>
          <w:rFonts w:hint="eastAsia"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基准日</w:t>
      </w:r>
      <w:r>
        <w:rPr>
          <w:rFonts w:hint="eastAsia" w:ascii="Times New Roman" w:hAnsi="Times New Roman" w:eastAsia="仿宋_GB2312"/>
          <w:color w:val="000000"/>
          <w:sz w:val="30"/>
          <w:szCs w:val="32"/>
          <w:highlight w:val="none"/>
        </w:rPr>
        <w:t>期</w:t>
      </w:r>
      <w:r>
        <w:rPr>
          <w:rFonts w:ascii="Times New Roman" w:hAnsi="Times New Roman" w:eastAsia="仿宋_GB2312"/>
          <w:color w:val="000000"/>
          <w:sz w:val="30"/>
          <w:szCs w:val="32"/>
          <w:highlight w:val="none"/>
        </w:rPr>
        <w:t>后，法律变化</w:t>
      </w:r>
      <w:r>
        <w:rPr>
          <w:rFonts w:hint="eastAsia" w:ascii="Times New Roman" w:hAnsi="Times New Roman" w:eastAsia="仿宋_GB2312"/>
          <w:color w:val="000000"/>
          <w:sz w:val="30"/>
          <w:szCs w:val="32"/>
          <w:highlight w:val="none"/>
        </w:rPr>
        <w:t>导致承包人在合同履行过程中所需要的费用发生除第11.1款〔市场价格波动引起的调整〕约定以外的增加时，由发包人承担由此增加的费用；减少时，应从合同价格中予以扣减。</w:t>
      </w:r>
      <w:r>
        <w:rPr>
          <w:rFonts w:ascii="Times New Roman" w:hAnsi="Times New Roman" w:eastAsia="仿宋_GB2312"/>
          <w:color w:val="000000"/>
          <w:sz w:val="30"/>
          <w:szCs w:val="32"/>
          <w:highlight w:val="none"/>
        </w:rPr>
        <w:t>基准日</w:t>
      </w:r>
      <w:r>
        <w:rPr>
          <w:rFonts w:hint="eastAsia" w:ascii="Times New Roman" w:hAnsi="Times New Roman" w:eastAsia="仿宋_GB2312"/>
          <w:color w:val="000000"/>
          <w:sz w:val="30"/>
          <w:szCs w:val="32"/>
          <w:highlight w:val="none"/>
        </w:rPr>
        <w:t>期</w:t>
      </w:r>
      <w:r>
        <w:rPr>
          <w:rFonts w:ascii="Times New Roman" w:hAnsi="Times New Roman" w:eastAsia="仿宋_GB2312"/>
          <w:color w:val="000000"/>
          <w:sz w:val="30"/>
          <w:szCs w:val="32"/>
          <w:highlight w:val="none"/>
        </w:rPr>
        <w:t>后，</w:t>
      </w:r>
      <w:r>
        <w:rPr>
          <w:rFonts w:hint="eastAsia" w:ascii="Times New Roman" w:hAnsi="Times New Roman" w:eastAsia="仿宋_GB2312"/>
          <w:color w:val="000000"/>
          <w:sz w:val="30"/>
          <w:szCs w:val="32"/>
          <w:highlight w:val="none"/>
        </w:rPr>
        <w:t>因</w:t>
      </w:r>
      <w:r>
        <w:rPr>
          <w:rFonts w:ascii="Times New Roman" w:hAnsi="Times New Roman" w:eastAsia="仿宋_GB2312"/>
          <w:color w:val="000000"/>
          <w:sz w:val="30"/>
          <w:szCs w:val="32"/>
          <w:highlight w:val="none"/>
        </w:rPr>
        <w:t>法律变化</w:t>
      </w:r>
      <w:r>
        <w:rPr>
          <w:rFonts w:hint="eastAsia" w:ascii="Times New Roman" w:hAnsi="Times New Roman" w:eastAsia="仿宋_GB2312"/>
          <w:color w:val="000000"/>
          <w:sz w:val="30"/>
          <w:szCs w:val="32"/>
          <w:highlight w:val="none"/>
        </w:rPr>
        <w:t>造成工期延误时，工期应予以顺延。</w:t>
      </w:r>
    </w:p>
    <w:p>
      <w:pPr>
        <w:spacing w:line="360" w:lineRule="auto"/>
        <w:ind w:firstLine="600" w:firstLineChars="200"/>
        <w:rPr>
          <w:rFonts w:hint="eastAsia" w:ascii="Times New Roman" w:hAnsi="Times New Roman" w:eastAsia="仿宋_GB2312"/>
          <w:color w:val="000000"/>
          <w:sz w:val="30"/>
          <w:szCs w:val="32"/>
          <w:highlight w:val="none"/>
        </w:rPr>
      </w:pPr>
      <w:r>
        <w:rPr>
          <w:rFonts w:hint="eastAsia" w:ascii="Times New Roman" w:hAnsi="Times New Roman" w:eastAsia="仿宋_GB2312"/>
          <w:color w:val="000000"/>
          <w:sz w:val="30"/>
          <w:szCs w:val="32"/>
          <w:highlight w:val="none"/>
        </w:rPr>
        <w:t>因法律变化引起的合同价格和工期调整，合同当事人无法达成一致的，由总监理工程师按第4.4款〔商定或确定〕的约定处理。</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kern w:val="0"/>
          <w:sz w:val="30"/>
          <w:szCs w:val="32"/>
          <w:highlight w:val="none"/>
        </w:rPr>
        <w:t>因承包人原因造成工期延误，在工期延误期间出现法律变化的，由此增加的费用和（或）延误的工期由承包人承担。</w:t>
      </w:r>
    </w:p>
    <w:p>
      <w:pPr>
        <w:pStyle w:val="5"/>
        <w:spacing w:before="120" w:after="120" w:line="360" w:lineRule="auto"/>
        <w:rPr>
          <w:rFonts w:ascii="Times New Roman" w:hAnsi="Times New Roman" w:eastAsia="黑体"/>
          <w:b w:val="0"/>
          <w:color w:val="000000"/>
          <w:sz w:val="30"/>
          <w:szCs w:val="32"/>
          <w:highlight w:val="none"/>
        </w:rPr>
      </w:pPr>
      <w:bookmarkStart w:id="692" w:name="_Toc27011"/>
      <w:bookmarkStart w:id="693" w:name="_Toc30238"/>
      <w:bookmarkStart w:id="694" w:name="_Toc337558799"/>
      <w:bookmarkStart w:id="695" w:name="_Toc296503096"/>
      <w:bookmarkStart w:id="696" w:name="_Toc296346597"/>
      <w:r>
        <w:rPr>
          <w:rFonts w:ascii="Times New Roman" w:hAnsi="Times New Roman" w:eastAsia="黑体"/>
          <w:b w:val="0"/>
          <w:color w:val="000000"/>
          <w:sz w:val="32"/>
          <w:szCs w:val="32"/>
          <w:highlight w:val="none"/>
        </w:rPr>
        <w:t>12. 合同价格、计量与支付</w:t>
      </w:r>
      <w:bookmarkEnd w:id="692"/>
      <w:bookmarkEnd w:id="693"/>
    </w:p>
    <w:bookmarkEnd w:id="694"/>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697" w:name="_Toc4621"/>
      <w:bookmarkStart w:id="698" w:name="_Toc22994"/>
      <w:bookmarkStart w:id="699" w:name="_Toc337558800"/>
      <w:r>
        <w:rPr>
          <w:rFonts w:ascii="Times New Roman" w:hAnsi="Times New Roman" w:eastAsia="黑体"/>
          <w:b w:val="0"/>
          <w:color w:val="000000"/>
          <w:sz w:val="30"/>
          <w:szCs w:val="32"/>
          <w:highlight w:val="none"/>
        </w:rPr>
        <w:t>12.1 合同价</w:t>
      </w:r>
      <w:bookmarkEnd w:id="695"/>
      <w:bookmarkEnd w:id="696"/>
      <w:r>
        <w:rPr>
          <w:rFonts w:ascii="Times New Roman" w:hAnsi="Times New Roman" w:eastAsia="黑体"/>
          <w:b w:val="0"/>
          <w:color w:val="000000"/>
          <w:sz w:val="30"/>
          <w:szCs w:val="32"/>
          <w:highlight w:val="none"/>
        </w:rPr>
        <w:t>格形式</w:t>
      </w:r>
      <w:bookmarkEnd w:id="697"/>
      <w:bookmarkEnd w:id="698"/>
    </w:p>
    <w:bookmarkEnd w:id="699"/>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发包人和承包人应在合同协议书中</w:t>
      </w:r>
      <w:r>
        <w:rPr>
          <w:rFonts w:hint="eastAsia" w:ascii="Times New Roman" w:hAnsi="Times New Roman" w:eastAsia="仿宋_GB2312"/>
          <w:color w:val="000000"/>
          <w:kern w:val="0"/>
          <w:sz w:val="30"/>
          <w:szCs w:val="32"/>
          <w:highlight w:val="none"/>
        </w:rPr>
        <w:t>选择</w:t>
      </w:r>
      <w:r>
        <w:rPr>
          <w:rFonts w:ascii="Times New Roman" w:hAnsi="Times New Roman" w:eastAsia="仿宋_GB2312"/>
          <w:color w:val="000000"/>
          <w:kern w:val="0"/>
          <w:sz w:val="30"/>
          <w:szCs w:val="32"/>
          <w:highlight w:val="none"/>
        </w:rPr>
        <w:t xml:space="preserve">下列一种合同价格形式： </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单价合同</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单价合同是指合同当事人约定以工程量清单及其综合单价进行合同价格计算、调整和确认的建设工程施工合同，</w:t>
      </w:r>
      <w:r>
        <w:rPr>
          <w:rFonts w:ascii="Times New Roman" w:hAnsi="Times New Roman" w:eastAsia="仿宋_GB2312"/>
          <w:sz w:val="30"/>
          <w:szCs w:val="32"/>
          <w:highlight w:val="none"/>
        </w:rPr>
        <w:t>在约定的范围内合同单价不作调整</w:t>
      </w:r>
      <w:r>
        <w:rPr>
          <w:rFonts w:ascii="Times New Roman" w:hAnsi="Times New Roman" w:eastAsia="仿宋_GB2312"/>
          <w:color w:val="000000"/>
          <w:kern w:val="0"/>
          <w:sz w:val="30"/>
          <w:szCs w:val="32"/>
          <w:highlight w:val="none"/>
        </w:rPr>
        <w:t>。合同当事人应在专用合同条款中约定综合单价包含的风险范围和风险费用的计算方法</w:t>
      </w:r>
      <w:r>
        <w:rPr>
          <w:rFonts w:ascii="Times New Roman" w:hAnsi="Times New Roman" w:eastAsia="仿宋_GB2312"/>
          <w:sz w:val="30"/>
          <w:szCs w:val="32"/>
          <w:highlight w:val="none"/>
        </w:rPr>
        <w:t>，</w:t>
      </w:r>
      <w:r>
        <w:rPr>
          <w:rFonts w:ascii="Times New Roman" w:hAnsi="Times New Roman" w:eastAsia="仿宋_GB2312"/>
          <w:color w:val="000000"/>
          <w:kern w:val="0"/>
          <w:sz w:val="30"/>
          <w:szCs w:val="32"/>
          <w:highlight w:val="none"/>
        </w:rPr>
        <w:t>并约定风险范围以外的合同价格的调整方法，其中因市场价格波动引起的调整按第11.1款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市场价格波动引起的调整</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约定执行。</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总价合同</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总价合同是指合同当事人约定以施工图、已标价工程量清单或预算书及有关条件进行合同价格计算、调整和确认的建设工程施工合同，</w:t>
      </w:r>
      <w:r>
        <w:rPr>
          <w:rFonts w:ascii="Times New Roman" w:hAnsi="Times New Roman" w:eastAsia="仿宋_GB2312"/>
          <w:sz w:val="30"/>
          <w:szCs w:val="32"/>
          <w:highlight w:val="none"/>
        </w:rPr>
        <w:t>在约定的范围内合同总价不作调整</w:t>
      </w:r>
      <w:r>
        <w:rPr>
          <w:rFonts w:ascii="Times New Roman" w:hAnsi="Times New Roman" w:eastAsia="仿宋_GB2312"/>
          <w:color w:val="000000"/>
          <w:kern w:val="0"/>
          <w:sz w:val="30"/>
          <w:szCs w:val="32"/>
          <w:highlight w:val="none"/>
        </w:rPr>
        <w:t>。合同当事人应在专用合同条款中约定总价包含的风险范围和风险费用的计算方法，并约定风险范围以外的合同价格的调整方法，其中因市场价格波动引起的调整按第11.1款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市场价格波动引起的调整</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、因法律变化引起的调整按第11.2款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法律变化引起的调整</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约定执行。</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其它价格形式</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合同当事人可在专用合同条款中约定其他合同价格形式。</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700" w:name="_Toc296503097"/>
      <w:bookmarkStart w:id="701" w:name="_Toc296346598"/>
      <w:bookmarkStart w:id="702" w:name="_Toc25323"/>
      <w:bookmarkStart w:id="703" w:name="_Toc30409"/>
      <w:bookmarkStart w:id="704" w:name="_Toc337558801"/>
      <w:r>
        <w:rPr>
          <w:rFonts w:ascii="Times New Roman" w:hAnsi="Times New Roman" w:eastAsia="黑体"/>
          <w:b w:val="0"/>
          <w:color w:val="000000"/>
          <w:sz w:val="30"/>
          <w:szCs w:val="32"/>
          <w:highlight w:val="none"/>
        </w:rPr>
        <w:t>12.2预</w:t>
      </w:r>
      <w:bookmarkEnd w:id="700"/>
      <w:bookmarkEnd w:id="701"/>
      <w:bookmarkStart w:id="705" w:name="_Toc296346601"/>
      <w:bookmarkStart w:id="706" w:name="_Toc296503100"/>
      <w:r>
        <w:rPr>
          <w:rFonts w:ascii="Times New Roman" w:hAnsi="Times New Roman" w:eastAsia="黑体"/>
          <w:b w:val="0"/>
          <w:color w:val="000000"/>
          <w:sz w:val="30"/>
          <w:szCs w:val="32"/>
          <w:highlight w:val="none"/>
        </w:rPr>
        <w:t>付款</w:t>
      </w:r>
      <w:bookmarkEnd w:id="702"/>
      <w:bookmarkEnd w:id="703"/>
    </w:p>
    <w:bookmarkEnd w:id="704"/>
    <w:bookmarkEnd w:id="705"/>
    <w:bookmarkEnd w:id="706"/>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sz w:val="30"/>
          <w:szCs w:val="32"/>
          <w:highlight w:val="none"/>
        </w:rPr>
        <w:t>12.2.</w:t>
      </w:r>
      <w:r>
        <w:rPr>
          <w:rFonts w:ascii="Times New Roman" w:hAnsi="Times New Roman" w:eastAsia="仿宋_GB2312"/>
          <w:color w:val="000000"/>
          <w:kern w:val="0"/>
          <w:sz w:val="30"/>
          <w:szCs w:val="32"/>
          <w:highlight w:val="none"/>
        </w:rPr>
        <w:t>1预付款的支付</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预付款的支付按照专用合同条款约定执行，但至迟应在开工通知载明的开工日期7天前支付。预付款应当用于材料、工程设备、施工设备的采购及修建临时工程、组织施工队伍进场等。</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除专用合同条款另有约定外，预付款在进度付款中同比例扣回。</w:t>
      </w:r>
      <w:bookmarkEnd w:id="686"/>
      <w:r>
        <w:rPr>
          <w:rFonts w:ascii="Times New Roman" w:hAnsi="Times New Roman" w:eastAsia="仿宋_GB2312"/>
          <w:color w:val="000000"/>
          <w:kern w:val="0"/>
          <w:sz w:val="30"/>
          <w:szCs w:val="32"/>
          <w:highlight w:val="none"/>
        </w:rPr>
        <w:t>在颁发工程接收证书前，提前解除合同的，尚未扣完的预付款应与合同价款一并结算。</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发包人逾期支付预付款超过7天的，承包人有权向发包人发出要求预付的催告通知，发包人收到通知后7天内仍未支付的，承包人有权暂停施工，并按第16.1.1项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发包人违约的情形</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执行。</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12.2.2 预付款担保</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hint="eastAsia" w:ascii="Times New Roman" w:hAnsi="Times New Roman" w:eastAsia="仿宋_GB2312"/>
          <w:color w:val="000000"/>
          <w:kern w:val="0"/>
          <w:sz w:val="30"/>
          <w:szCs w:val="32"/>
          <w:highlight w:val="none"/>
        </w:rPr>
        <w:t>发包人要求承包人提供预付款担保的</w:t>
      </w:r>
      <w:r>
        <w:rPr>
          <w:rFonts w:ascii="Times New Roman" w:hAnsi="Times New Roman" w:eastAsia="仿宋_GB2312"/>
          <w:color w:val="000000"/>
          <w:kern w:val="0"/>
          <w:sz w:val="30"/>
          <w:szCs w:val="32"/>
          <w:highlight w:val="none"/>
        </w:rPr>
        <w:t>，承包人应在发包人支付预付款7天前提供预付款担保</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专用合同条款另有约定</w:t>
      </w:r>
      <w:r>
        <w:rPr>
          <w:rFonts w:hint="eastAsia" w:ascii="Times New Roman" w:hAnsi="Times New Roman" w:eastAsia="仿宋_GB2312"/>
          <w:color w:val="000000"/>
          <w:kern w:val="0"/>
          <w:sz w:val="30"/>
          <w:szCs w:val="32"/>
          <w:highlight w:val="none"/>
        </w:rPr>
        <w:t>除</w:t>
      </w:r>
      <w:r>
        <w:rPr>
          <w:rFonts w:ascii="Times New Roman" w:hAnsi="Times New Roman" w:eastAsia="仿宋_GB2312"/>
          <w:color w:val="000000"/>
          <w:kern w:val="0"/>
          <w:sz w:val="30"/>
          <w:szCs w:val="32"/>
          <w:highlight w:val="none"/>
        </w:rPr>
        <w:t>外。预付款担保可采用银行保函、担保公司担保等形式，具体由合同当事人在专用合同条款中约定。在预付款完全扣回之前，承包人应保证预付款担保持续有效。</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发包人在工程款中逐期扣回预付款后，预付款担保额度应相应减少，但剩余的预付款担保金额不得低于未被扣回的预付款金额。</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707" w:name="_Toc28920"/>
      <w:bookmarkStart w:id="708" w:name="_Toc32176"/>
      <w:bookmarkStart w:id="709" w:name="_Toc337558802"/>
      <w:r>
        <w:rPr>
          <w:rFonts w:ascii="Times New Roman" w:hAnsi="Times New Roman" w:eastAsia="黑体"/>
          <w:b w:val="0"/>
          <w:color w:val="000000"/>
          <w:sz w:val="30"/>
          <w:szCs w:val="32"/>
          <w:highlight w:val="none"/>
        </w:rPr>
        <w:t>12.3计量</w:t>
      </w:r>
      <w:bookmarkEnd w:id="707"/>
      <w:bookmarkEnd w:id="708"/>
    </w:p>
    <w:bookmarkEnd w:id="709"/>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12.3.1 计量原则</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工程量计量按照合同约定的工程量计算规则、图纸及变更指示</w:t>
      </w:r>
      <w:r>
        <w:rPr>
          <w:rFonts w:hint="eastAsia" w:ascii="Times New Roman" w:hAnsi="Times New Roman" w:eastAsia="仿宋_GB2312"/>
          <w:color w:val="000000"/>
          <w:kern w:val="0"/>
          <w:sz w:val="30"/>
          <w:szCs w:val="32"/>
          <w:highlight w:val="none"/>
        </w:rPr>
        <w:t>等</w:t>
      </w:r>
      <w:r>
        <w:rPr>
          <w:rFonts w:ascii="Times New Roman" w:hAnsi="Times New Roman" w:eastAsia="仿宋_GB2312"/>
          <w:color w:val="000000"/>
          <w:kern w:val="0"/>
          <w:sz w:val="30"/>
          <w:szCs w:val="32"/>
          <w:highlight w:val="none"/>
        </w:rPr>
        <w:t>进行计量。工程量计算规则应以相关的国家标准、行业标准</w:t>
      </w:r>
      <w:r>
        <w:rPr>
          <w:rFonts w:hint="eastAsia" w:ascii="Times New Roman" w:hAnsi="Times New Roman" w:eastAsia="仿宋_GB2312"/>
          <w:color w:val="000000"/>
          <w:kern w:val="0"/>
          <w:sz w:val="30"/>
          <w:szCs w:val="32"/>
          <w:highlight w:val="none"/>
        </w:rPr>
        <w:t>等</w:t>
      </w:r>
      <w:r>
        <w:rPr>
          <w:rFonts w:ascii="Times New Roman" w:hAnsi="Times New Roman" w:eastAsia="仿宋_GB2312"/>
          <w:color w:val="000000"/>
          <w:kern w:val="0"/>
          <w:sz w:val="30"/>
          <w:szCs w:val="32"/>
          <w:highlight w:val="none"/>
        </w:rPr>
        <w:t>为依据，由合同当事人在专用合同条款中约定。</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12.3.2 计量周期</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除专用合同条款另有约定外，工程量的计量按月进行。</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12.3.3 单价合同的计量</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除专用合同条款另有约定外，单价合同的计量按照本项约定执行：</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（1）承包人应于每月25日向监理人报送上月20日至当月19日已完成的工程量报告，并附具进度付款申请单、已完成工程量报表和有关资料。</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（3）监理人未在收到承包人提交的工程量报表后的7天内完成审核的，承包人报送的工程量报告中的工程量视为承包人实际完成的工程量，据此计算工程价款。</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12.3.4 总价合同的计量</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除专用合同条款另有约定外，按</w:t>
      </w:r>
      <w:r>
        <w:rPr>
          <w:rFonts w:hint="eastAsia" w:ascii="Times New Roman" w:hAnsi="Times New Roman" w:eastAsia="仿宋_GB2312"/>
          <w:color w:val="000000"/>
          <w:kern w:val="0"/>
          <w:sz w:val="30"/>
          <w:szCs w:val="32"/>
          <w:highlight w:val="none"/>
        </w:rPr>
        <w:t>月计量支付</w:t>
      </w:r>
      <w:r>
        <w:rPr>
          <w:rFonts w:ascii="Times New Roman" w:hAnsi="Times New Roman" w:eastAsia="仿宋_GB2312"/>
          <w:color w:val="000000"/>
          <w:kern w:val="0"/>
          <w:sz w:val="30"/>
          <w:szCs w:val="32"/>
          <w:highlight w:val="none"/>
        </w:rPr>
        <w:t>的总价合同，按照本项约定执行：</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（1）承包人应于每月25日向监理人报送上月20日至当月19日已完成的工程量报告，并附具进度付款申请单、已完成工程量报表和有关资料。</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（3）监理人未在收到承包人提交的工程量报表后的7天内完成复核的，承包人提交的工程量报告中的工程量视为承包人实际完成的工程量。</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12.3.5 总价合同采用支付分解表计量支付的，可以按照第12.3.4项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总价合同的计量</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约定进行计量，但合同价款按照支付分解表进行支付。</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12.3.6 其他价格形式合同的计量</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合同当事人可在专用合同条款中约定其他价格形式合同的计量方式和程序。</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710" w:name="_Toc296503101"/>
      <w:bookmarkStart w:id="711" w:name="_Toc296346602"/>
      <w:bookmarkStart w:id="712" w:name="_Toc21278"/>
      <w:bookmarkStart w:id="713" w:name="_Toc32501"/>
      <w:bookmarkStart w:id="714" w:name="_Toc337558803"/>
      <w:r>
        <w:rPr>
          <w:rFonts w:ascii="Times New Roman" w:hAnsi="Times New Roman" w:eastAsia="黑体"/>
          <w:b w:val="0"/>
          <w:color w:val="000000"/>
          <w:sz w:val="30"/>
          <w:szCs w:val="32"/>
          <w:highlight w:val="none"/>
        </w:rPr>
        <w:t>12.4工程进度款支</w:t>
      </w:r>
      <w:bookmarkEnd w:id="710"/>
      <w:bookmarkEnd w:id="711"/>
      <w:r>
        <w:rPr>
          <w:rFonts w:ascii="Times New Roman" w:hAnsi="Times New Roman" w:eastAsia="黑体"/>
          <w:b w:val="0"/>
          <w:color w:val="000000"/>
          <w:sz w:val="30"/>
          <w:szCs w:val="32"/>
          <w:highlight w:val="none"/>
        </w:rPr>
        <w:t>付</w:t>
      </w:r>
      <w:bookmarkEnd w:id="712"/>
      <w:bookmarkEnd w:id="713"/>
    </w:p>
    <w:bookmarkEnd w:id="714"/>
    <w:p>
      <w:pPr>
        <w:autoSpaceDE w:val="0"/>
        <w:autoSpaceDN w:val="0"/>
        <w:adjustRightInd w:val="0"/>
        <w:spacing w:line="360" w:lineRule="auto"/>
        <w:ind w:firstLine="600" w:firstLineChars="200"/>
        <w:jc w:val="left"/>
        <w:outlineLvl w:val="0"/>
        <w:rPr>
          <w:rFonts w:ascii="Times New Roman" w:hAnsi="Times New Roman" w:eastAsia="仿宋_GB2312"/>
          <w:color w:val="000000"/>
          <w:kern w:val="0"/>
          <w:sz w:val="30"/>
          <w:szCs w:val="32"/>
          <w:highlight w:val="none"/>
        </w:rPr>
      </w:pPr>
      <w:bookmarkStart w:id="715" w:name="_Toc27303"/>
      <w:bookmarkStart w:id="716" w:name="_Toc15949"/>
      <w:bookmarkStart w:id="717" w:name="_Toc24298"/>
      <w:bookmarkStart w:id="718" w:name="_Toc18896"/>
      <w:r>
        <w:rPr>
          <w:rFonts w:ascii="Times New Roman" w:hAnsi="Times New Roman" w:eastAsia="仿宋_GB2312"/>
          <w:color w:val="000000"/>
          <w:sz w:val="30"/>
          <w:szCs w:val="32"/>
          <w:highlight w:val="none"/>
        </w:rPr>
        <w:t>12.4</w:t>
      </w:r>
      <w:r>
        <w:rPr>
          <w:rFonts w:ascii="Times New Roman" w:hAnsi="Times New Roman" w:eastAsia="仿宋_GB2312"/>
          <w:color w:val="000000"/>
          <w:kern w:val="0"/>
          <w:sz w:val="30"/>
          <w:szCs w:val="32"/>
          <w:highlight w:val="none"/>
        </w:rPr>
        <w:t>.1 付款周期</w:t>
      </w:r>
      <w:bookmarkEnd w:id="715"/>
      <w:bookmarkEnd w:id="716"/>
      <w:bookmarkEnd w:id="717"/>
      <w:bookmarkEnd w:id="718"/>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除专用合同条款另有约定外，付款周期应按照第12.3.2</w:t>
      </w:r>
      <w:r>
        <w:rPr>
          <w:rFonts w:hint="eastAsia" w:ascii="Times New Roman" w:hAnsi="Times New Roman" w:eastAsia="仿宋_GB2312"/>
          <w:color w:val="000000"/>
          <w:kern w:val="0"/>
          <w:sz w:val="30"/>
          <w:szCs w:val="32"/>
          <w:highlight w:val="none"/>
        </w:rPr>
        <w:t>项〔</w:t>
      </w:r>
      <w:r>
        <w:rPr>
          <w:rFonts w:ascii="Times New Roman" w:hAnsi="Times New Roman" w:eastAsia="仿宋_GB2312"/>
          <w:color w:val="000000"/>
          <w:kern w:val="0"/>
          <w:sz w:val="30"/>
          <w:szCs w:val="32"/>
          <w:highlight w:val="none"/>
        </w:rPr>
        <w:t>计量周期</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的约定与计量周期保持一致。</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sz w:val="30"/>
          <w:szCs w:val="32"/>
          <w:highlight w:val="none"/>
        </w:rPr>
        <w:t>12.4</w:t>
      </w:r>
      <w:r>
        <w:rPr>
          <w:rFonts w:ascii="Times New Roman" w:hAnsi="Times New Roman" w:eastAsia="仿宋_GB2312"/>
          <w:color w:val="000000"/>
          <w:kern w:val="0"/>
          <w:sz w:val="30"/>
          <w:szCs w:val="32"/>
          <w:highlight w:val="none"/>
        </w:rPr>
        <w:t>.2 进度付款申请单的编制</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除专用合同条款另有约定外，进度付款申请单应包括下列内容：</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（1）截至本次付款周期已完成工作对应的金额；</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（2）根据第10条</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变更</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应增加和扣减的变更金额；</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（3）根据第12.2款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预付款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约定应支付的预付款和扣减的返还预付款；</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（4）根据第15.3款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质量保证金</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约定应扣减的质量保证金；</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（5）根据第19条</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索赔</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应增加和扣减的索赔金额；</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（6）对已签发的进度款支付证书中出现错误的修正，应在本次进度付款中支付或扣除的金额；</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（7）根据合同约定应增加和扣减的其他金额。</w:t>
      </w:r>
    </w:p>
    <w:p>
      <w:pPr>
        <w:autoSpaceDE w:val="0"/>
        <w:autoSpaceDN w:val="0"/>
        <w:adjustRightInd w:val="0"/>
        <w:spacing w:line="360" w:lineRule="auto"/>
        <w:ind w:firstLine="600" w:firstLineChars="200"/>
        <w:jc w:val="left"/>
        <w:outlineLvl w:val="0"/>
        <w:rPr>
          <w:rFonts w:ascii="Times New Roman" w:hAnsi="Times New Roman" w:eastAsia="仿宋_GB2312"/>
          <w:color w:val="000000"/>
          <w:kern w:val="0"/>
          <w:sz w:val="30"/>
          <w:szCs w:val="32"/>
          <w:highlight w:val="none"/>
        </w:rPr>
      </w:pPr>
      <w:bookmarkStart w:id="719" w:name="_Toc26504"/>
      <w:bookmarkStart w:id="720" w:name="_Toc16400"/>
      <w:bookmarkStart w:id="721" w:name="_Toc2106"/>
      <w:bookmarkStart w:id="722" w:name="_Toc13183"/>
      <w:r>
        <w:rPr>
          <w:rFonts w:ascii="Times New Roman" w:hAnsi="Times New Roman" w:eastAsia="仿宋_GB2312"/>
          <w:color w:val="000000"/>
          <w:kern w:val="0"/>
          <w:sz w:val="30"/>
          <w:szCs w:val="32"/>
          <w:highlight w:val="none"/>
        </w:rPr>
        <w:t>12.4.3 进度付款申请单的提交</w:t>
      </w:r>
      <w:bookmarkEnd w:id="719"/>
      <w:bookmarkEnd w:id="720"/>
      <w:bookmarkEnd w:id="721"/>
      <w:bookmarkEnd w:id="722"/>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（1）单价合同进度付款申请单的提交</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单价合同的进度付款申请单，按照第12.3.3项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单价合同的计量</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约定的时间按月向监理人提交，并附上已完成工程量报表和有关资料。单价合同中的总价项目按月进行支付分解，并汇总列入当期进度付款申请单。</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（2）总价合同进度付款申请单的提交</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总价合同按</w:t>
      </w:r>
      <w:r>
        <w:rPr>
          <w:rFonts w:hint="eastAsia" w:ascii="Times New Roman" w:hAnsi="Times New Roman" w:eastAsia="仿宋_GB2312"/>
          <w:color w:val="000000"/>
          <w:kern w:val="0"/>
          <w:sz w:val="30"/>
          <w:szCs w:val="32"/>
          <w:highlight w:val="none"/>
        </w:rPr>
        <w:t>月计量支付的</w:t>
      </w:r>
      <w:r>
        <w:rPr>
          <w:rFonts w:ascii="Times New Roman" w:hAnsi="Times New Roman" w:eastAsia="仿宋_GB2312"/>
          <w:color w:val="000000"/>
          <w:kern w:val="0"/>
          <w:sz w:val="30"/>
          <w:szCs w:val="32"/>
          <w:highlight w:val="none"/>
        </w:rPr>
        <w:t>，承包人按照第12.3.4项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总价合同的计量</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约定的时间按月向监理人提交进度付款申请单，并附上已完成工程量报表和有关资料。</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总价合同按支付分解表支付的，承包人应按照第12.4.6项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支付分解表</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及第12.4.2项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进度付款申请单的编制</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的约定向监理人提交进度付款申请单。</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（3）其他价格形式合同的进度付款申请单的提交</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合同当事人可在专用合同条款中约定其他价格形式合同的进度付款申请单的编制和提交程序。</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sz w:val="30"/>
          <w:szCs w:val="32"/>
          <w:highlight w:val="none"/>
        </w:rPr>
        <w:t>12.4</w:t>
      </w:r>
      <w:r>
        <w:rPr>
          <w:rFonts w:ascii="Times New Roman" w:hAnsi="Times New Roman" w:eastAsia="仿宋_GB2312"/>
          <w:color w:val="000000"/>
          <w:kern w:val="0"/>
          <w:sz w:val="30"/>
          <w:szCs w:val="32"/>
          <w:highlight w:val="none"/>
        </w:rPr>
        <w:t>.4 进度款审核和支付</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（1）除专用合同条款另有约定外，监理人应在收到承包人进度付款申请单以及相关资料后7天内完成审查并报送发包人，发包人应在收到后7天内完成审批并签发进度款支付证书。发包人逾期未完成</w:t>
      </w:r>
      <w:r>
        <w:rPr>
          <w:rFonts w:hint="eastAsia" w:ascii="Times New Roman" w:hAnsi="Times New Roman" w:eastAsia="仿宋_GB2312"/>
          <w:color w:val="000000"/>
          <w:kern w:val="0"/>
          <w:sz w:val="30"/>
          <w:szCs w:val="32"/>
          <w:highlight w:val="none"/>
        </w:rPr>
        <w:t>审批</w:t>
      </w:r>
      <w:r>
        <w:rPr>
          <w:rFonts w:ascii="Times New Roman" w:hAnsi="Times New Roman" w:eastAsia="仿宋_GB2312"/>
          <w:color w:val="000000"/>
          <w:kern w:val="0"/>
          <w:sz w:val="30"/>
          <w:szCs w:val="32"/>
          <w:highlight w:val="none"/>
        </w:rPr>
        <w:t>且未提出异议的，视为已签发进度款支付证书。</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争议解决</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的约定处理。</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（3）发包人签发进度款支付证书或临时进度款支付证书，不表明发包人已同意、批准或接受了承包人完成的相应部分的工作。</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12.4.5 进度付款的修正</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在对已签发的进度款支付证书进行阶段汇总和复核中发现错误、遗漏或重复的，发包人和承包人均有权提出修正申请。经发包人和承包人同意的修正，应在下期进度付款中支付或扣除。</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12.4.6 支付分解表</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支付分解表的编制要求</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（1）支付分解表中所列的每期付款金额，应为第12.4.2项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进度付款申请单的编制</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第（1）</w:t>
      </w:r>
      <w:r>
        <w:rPr>
          <w:rFonts w:hint="eastAsia" w:ascii="Times New Roman" w:hAnsi="Times New Roman" w:eastAsia="仿宋_GB2312"/>
          <w:color w:val="000000"/>
          <w:kern w:val="0"/>
          <w:sz w:val="30"/>
          <w:szCs w:val="32"/>
          <w:highlight w:val="none"/>
        </w:rPr>
        <w:t>目</w:t>
      </w:r>
      <w:r>
        <w:rPr>
          <w:rFonts w:ascii="Times New Roman" w:hAnsi="Times New Roman" w:eastAsia="仿宋_GB2312"/>
          <w:color w:val="000000"/>
          <w:kern w:val="0"/>
          <w:sz w:val="30"/>
          <w:szCs w:val="32"/>
          <w:highlight w:val="none"/>
        </w:rPr>
        <w:t>的估算金额；</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（2）实际进度与施工进度计划不一致的，合同当事人可按照第4.4款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商定或确定</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修改支付分解表；</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（3）不采用支付分解表的，承包人应向发包人和监理人提交按季度编制的支付估算分解表，用于支付参考。</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总价合同支付分解表的编制与审批</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（1）除专用合同条款另有约定外，承包人应根据第7.2款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施工进度计划</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（2）监理人应在收到支付分解表后7天内完成审核并报送发包人。发包人应在收到经监理人审核的支付分解表后7天内完成审批，经发包人批准的支付分解表为有约束力的支付分解表。</w:t>
      </w:r>
    </w:p>
    <w:p>
      <w:pPr>
        <w:spacing w:line="360" w:lineRule="auto"/>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 xml:space="preserve">    （3）发包人逾期未完成支付分解表</w:t>
      </w:r>
      <w:r>
        <w:rPr>
          <w:rFonts w:hint="eastAsia" w:ascii="Times New Roman" w:hAnsi="Times New Roman" w:eastAsia="仿宋_GB2312"/>
          <w:color w:val="000000"/>
          <w:kern w:val="0"/>
          <w:sz w:val="30"/>
          <w:szCs w:val="32"/>
          <w:highlight w:val="none"/>
        </w:rPr>
        <w:t>审批</w:t>
      </w:r>
      <w:r>
        <w:rPr>
          <w:rFonts w:ascii="Times New Roman" w:hAnsi="Times New Roman" w:eastAsia="仿宋_GB2312"/>
          <w:color w:val="000000"/>
          <w:kern w:val="0"/>
          <w:sz w:val="30"/>
          <w:szCs w:val="32"/>
          <w:highlight w:val="none"/>
        </w:rPr>
        <w:t>的，也未及时要求承包人进行修正和提供补充资料的，则承包人提交的支付分解表视为已经获得发包人批准。</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单价合同的总价项目支付分解表的编制与审批</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723" w:name="_Toc3198"/>
      <w:bookmarkStart w:id="724" w:name="_Toc3886"/>
      <w:r>
        <w:rPr>
          <w:rFonts w:ascii="Times New Roman" w:hAnsi="Times New Roman" w:eastAsia="黑体"/>
          <w:b w:val="0"/>
          <w:color w:val="000000"/>
          <w:sz w:val="30"/>
          <w:szCs w:val="32"/>
          <w:highlight w:val="none"/>
        </w:rPr>
        <w:t>12.5支付账户</w:t>
      </w:r>
      <w:bookmarkEnd w:id="723"/>
      <w:bookmarkEnd w:id="724"/>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发包人应将合同价款支付至合同协议书中约定的承包人账户。</w:t>
      </w:r>
    </w:p>
    <w:p>
      <w:pPr>
        <w:pStyle w:val="5"/>
        <w:spacing w:before="120" w:after="120" w:line="360" w:lineRule="auto"/>
        <w:rPr>
          <w:rFonts w:ascii="Times New Roman" w:hAnsi="Times New Roman" w:eastAsia="黑体"/>
          <w:b w:val="0"/>
          <w:color w:val="000000"/>
          <w:sz w:val="32"/>
          <w:szCs w:val="32"/>
          <w:highlight w:val="none"/>
        </w:rPr>
      </w:pPr>
      <w:bookmarkStart w:id="725" w:name="_Toc30374"/>
      <w:bookmarkStart w:id="726" w:name="_Toc30807"/>
      <w:bookmarkStart w:id="727" w:name="_Toc337558804"/>
      <w:bookmarkStart w:id="728" w:name="_Toc322522574"/>
      <w:bookmarkStart w:id="729" w:name="_Toc296503106"/>
      <w:bookmarkStart w:id="730" w:name="_Toc296346607"/>
      <w:r>
        <w:rPr>
          <w:rFonts w:ascii="Times New Roman" w:hAnsi="Times New Roman" w:eastAsia="黑体"/>
          <w:b w:val="0"/>
          <w:color w:val="000000"/>
          <w:sz w:val="32"/>
          <w:szCs w:val="32"/>
          <w:highlight w:val="none"/>
        </w:rPr>
        <w:t>13. 验收和工程试车</w:t>
      </w:r>
      <w:bookmarkEnd w:id="725"/>
      <w:bookmarkEnd w:id="726"/>
    </w:p>
    <w:bookmarkEnd w:id="727"/>
    <w:bookmarkEnd w:id="728"/>
    <w:bookmarkEnd w:id="729"/>
    <w:bookmarkEnd w:id="730"/>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731" w:name="_Toc17010"/>
      <w:bookmarkStart w:id="732" w:name="_Toc11919"/>
      <w:bookmarkStart w:id="733" w:name="_Toc337558805"/>
      <w:bookmarkStart w:id="734" w:name="_Toc296503110"/>
      <w:bookmarkStart w:id="735" w:name="_Toc296346611"/>
      <w:r>
        <w:rPr>
          <w:rFonts w:ascii="Times New Roman" w:hAnsi="Times New Roman" w:eastAsia="黑体"/>
          <w:b w:val="0"/>
          <w:color w:val="000000"/>
          <w:sz w:val="30"/>
          <w:szCs w:val="32"/>
          <w:highlight w:val="none"/>
        </w:rPr>
        <w:t>13.1分部分项工程验收</w:t>
      </w:r>
      <w:bookmarkEnd w:id="731"/>
      <w:bookmarkEnd w:id="732"/>
    </w:p>
    <w:bookmarkEnd w:id="733"/>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13.1.1 分部分项工程质量应符合国家有关工程施工验收规范、标准及合同约定，承包人应按照施工组织设计的要求完成分部分项工程施工。</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13.1.2 除专用合同条款另有约定外，分部分项工程经承包人自检合格并具备验收条件的，承包人应提前48小时通知监理人进行验收。</w:t>
      </w:r>
      <w:r>
        <w:rPr>
          <w:rFonts w:ascii="Times New Roman" w:hAnsi="Times New Roman" w:eastAsia="仿宋_GB2312"/>
          <w:color w:val="000000"/>
          <w:kern w:val="0"/>
          <w:sz w:val="30"/>
          <w:szCs w:val="32"/>
          <w:highlight w:val="none"/>
        </w:rPr>
        <w:t>监理人不能按时进行验收的，应在验收前24小时向承包人提交书面延期要求，但延期不能超过48小时。监理人未按时进行验收，也未提出延期要求的，承包人有权自行验收，监理人应认可验收结果。</w:t>
      </w:r>
      <w:r>
        <w:rPr>
          <w:rFonts w:ascii="Times New Roman" w:hAnsi="Times New Roman" w:eastAsia="仿宋_GB2312"/>
          <w:color w:val="000000"/>
          <w:sz w:val="30"/>
          <w:szCs w:val="32"/>
          <w:highlight w:val="none"/>
        </w:rPr>
        <w:t>分部分项工程未经验收的，不得进入下一道工序施工。</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分部分项工程的验收资料应当作为竣工资料的组成部分。</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736" w:name="_Toc16592"/>
      <w:bookmarkStart w:id="737" w:name="_Toc13026"/>
      <w:bookmarkStart w:id="738" w:name="_Toc337558806"/>
      <w:r>
        <w:rPr>
          <w:rFonts w:ascii="Times New Roman" w:hAnsi="Times New Roman" w:eastAsia="黑体"/>
          <w:b w:val="0"/>
          <w:color w:val="000000"/>
          <w:sz w:val="30"/>
          <w:szCs w:val="32"/>
          <w:highlight w:val="none"/>
        </w:rPr>
        <w:t>13.2竣工验收</w:t>
      </w:r>
      <w:bookmarkEnd w:id="736"/>
      <w:bookmarkEnd w:id="737"/>
    </w:p>
    <w:bookmarkEnd w:id="734"/>
    <w:bookmarkEnd w:id="735"/>
    <w:bookmarkEnd w:id="738"/>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13.2.1竣工验收条件</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工程具备以下条件的，承包人可以申请竣工验收：</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（1）除发包人同意的甩项</w:t>
      </w:r>
      <w:r>
        <w:rPr>
          <w:rFonts w:hint="eastAsia" w:ascii="Times New Roman" w:hAnsi="Times New Roman" w:eastAsia="仿宋_GB2312"/>
          <w:color w:val="000000"/>
          <w:kern w:val="0"/>
          <w:sz w:val="30"/>
          <w:szCs w:val="32"/>
          <w:highlight w:val="none"/>
        </w:rPr>
        <w:t>工作</w:t>
      </w:r>
      <w:r>
        <w:rPr>
          <w:rFonts w:ascii="Times New Roman" w:hAnsi="Times New Roman" w:eastAsia="仿宋_GB2312"/>
          <w:color w:val="000000"/>
          <w:kern w:val="0"/>
          <w:sz w:val="30"/>
          <w:szCs w:val="32"/>
          <w:highlight w:val="none"/>
        </w:rPr>
        <w:t>和缺陷修补工作外，合同范围内的全部工程以及有关工作，包括合同要求的试验、试运行以及检验均已完成，并符合合同要求；</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（2）已按合同约定编制了甩项</w:t>
      </w:r>
      <w:r>
        <w:rPr>
          <w:rFonts w:hint="eastAsia" w:ascii="Times New Roman" w:hAnsi="Times New Roman" w:eastAsia="仿宋_GB2312"/>
          <w:color w:val="000000"/>
          <w:kern w:val="0"/>
          <w:sz w:val="30"/>
          <w:szCs w:val="32"/>
          <w:highlight w:val="none"/>
        </w:rPr>
        <w:t>工作</w:t>
      </w:r>
      <w:r>
        <w:rPr>
          <w:rFonts w:ascii="Times New Roman" w:hAnsi="Times New Roman" w:eastAsia="仿宋_GB2312"/>
          <w:color w:val="000000"/>
          <w:kern w:val="0"/>
          <w:sz w:val="30"/>
          <w:szCs w:val="32"/>
          <w:highlight w:val="none"/>
        </w:rPr>
        <w:t>和缺陷修补工作清单以及相应的施工计划；</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（3）已按合同约定的内容和份数备齐竣工资料。</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13.2.2竣工验收程序</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除专用合同条款另有约定外，承包人申请竣工验收的，应当按照以下程序进行：</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（2）监理人审查后认为已具备竣工验收条件的，应将竣工验收申请报告提交发包人，发包人应在收到</w:t>
      </w:r>
      <w:r>
        <w:rPr>
          <w:rFonts w:hint="eastAsia" w:ascii="Times New Roman" w:hAnsi="Times New Roman" w:eastAsia="仿宋_GB2312"/>
          <w:color w:val="000000"/>
          <w:kern w:val="0"/>
          <w:sz w:val="30"/>
          <w:szCs w:val="32"/>
          <w:highlight w:val="none"/>
        </w:rPr>
        <w:t>经</w:t>
      </w:r>
      <w:r>
        <w:rPr>
          <w:rFonts w:ascii="Times New Roman" w:hAnsi="Times New Roman" w:eastAsia="仿宋_GB2312"/>
          <w:color w:val="000000"/>
          <w:kern w:val="0"/>
          <w:sz w:val="30"/>
          <w:szCs w:val="32"/>
          <w:highlight w:val="none"/>
        </w:rPr>
        <w:t>监理人审核的竣工验收申请报告后28天内</w:t>
      </w:r>
      <w:r>
        <w:rPr>
          <w:rFonts w:hint="eastAsia" w:ascii="Times New Roman" w:hAnsi="Times New Roman" w:eastAsia="仿宋_GB2312"/>
          <w:color w:val="000000"/>
          <w:kern w:val="0"/>
          <w:sz w:val="30"/>
          <w:szCs w:val="32"/>
          <w:highlight w:val="none"/>
        </w:rPr>
        <w:t>审批</w:t>
      </w:r>
      <w:r>
        <w:rPr>
          <w:rFonts w:ascii="Times New Roman" w:hAnsi="Times New Roman" w:eastAsia="仿宋_GB2312"/>
          <w:color w:val="000000"/>
          <w:kern w:val="0"/>
          <w:sz w:val="30"/>
          <w:szCs w:val="32"/>
          <w:highlight w:val="none"/>
        </w:rPr>
        <w:t>完毕并组织监理人、承包人、设计人等相关单位完成竣工验收。</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（3）竣工验收合格的，发包人应在验收合格后14天内向承包人签发工程接收证书。发包人无正当理由逾期不颁发工程接收证书的，自验收合格后第15天起视为已颁发工程接收证书。</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除专用合同条款另有约定外，发包人不按照本项约定组织竣工验收、颁发工程接收证书的，每逾期一天，应以签约合同价为基数，按照中国人民银行发布的同期同类贷款基准利率支付违约金。</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13.2.3竣工日期</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工程经竣工验收合格的，以承包人提交竣工验收申请报告之日为实际竣工日期，并在工程接收证书中载明；因发包人原因，未在监理人收到承包人提交的竣工验收申请报告42天内完成</w:t>
      </w:r>
      <w:r>
        <w:rPr>
          <w:rFonts w:hint="eastAsia" w:ascii="Times New Roman" w:hAnsi="Times New Roman" w:eastAsia="仿宋_GB2312"/>
          <w:color w:val="000000"/>
          <w:kern w:val="0"/>
          <w:sz w:val="30"/>
          <w:szCs w:val="32"/>
          <w:highlight w:val="none"/>
        </w:rPr>
        <w:t>竣工</w:t>
      </w:r>
      <w:r>
        <w:rPr>
          <w:rFonts w:ascii="Times New Roman" w:hAnsi="Times New Roman" w:eastAsia="仿宋_GB2312"/>
          <w:color w:val="000000"/>
          <w:kern w:val="0"/>
          <w:sz w:val="30"/>
          <w:szCs w:val="32"/>
          <w:highlight w:val="none"/>
        </w:rPr>
        <w:t>验收</w:t>
      </w:r>
      <w:r>
        <w:rPr>
          <w:rFonts w:hint="eastAsia" w:ascii="Times New Roman" w:hAnsi="Times New Roman" w:eastAsia="仿宋_GB2312"/>
          <w:color w:val="000000"/>
          <w:kern w:val="0"/>
          <w:sz w:val="30"/>
          <w:szCs w:val="32"/>
          <w:highlight w:val="none"/>
        </w:rPr>
        <w:t>，或完成竣工验收不予签发工程接收证书</w:t>
      </w:r>
      <w:r>
        <w:rPr>
          <w:rFonts w:ascii="Times New Roman" w:hAnsi="Times New Roman" w:eastAsia="仿宋_GB2312"/>
          <w:color w:val="000000"/>
          <w:kern w:val="0"/>
          <w:sz w:val="30"/>
          <w:szCs w:val="32"/>
          <w:highlight w:val="none"/>
        </w:rPr>
        <w:t>的，以提交竣工验</w:t>
      </w:r>
      <w:bookmarkStart w:id="739" w:name="#go14"/>
      <w:bookmarkEnd w:id="739"/>
      <w:r>
        <w:rPr>
          <w:rFonts w:ascii="Times New Roman" w:hAnsi="Times New Roman" w:eastAsia="仿宋_GB2312"/>
          <w:color w:val="000000"/>
          <w:kern w:val="0"/>
          <w:sz w:val="30"/>
          <w:szCs w:val="32"/>
          <w:highlight w:val="none"/>
        </w:rPr>
        <w:t>收申请报告的日期为实际竣工日期；工程未经竣工验收，发包人擅自使用的，以转移占有工程之日为实际竣工日期。</w:t>
      </w:r>
    </w:p>
    <w:p>
      <w:pPr>
        <w:spacing w:line="360" w:lineRule="auto"/>
        <w:ind w:firstLine="600" w:firstLineChars="200"/>
        <w:jc w:val="left"/>
        <w:outlineLvl w:val="0"/>
        <w:rPr>
          <w:rFonts w:ascii="Times New Roman" w:hAnsi="Times New Roman" w:eastAsia="仿宋_GB2312"/>
          <w:color w:val="000000"/>
          <w:kern w:val="0"/>
          <w:sz w:val="30"/>
          <w:szCs w:val="32"/>
          <w:highlight w:val="none"/>
        </w:rPr>
      </w:pPr>
      <w:bookmarkStart w:id="740" w:name="_Toc26253"/>
      <w:bookmarkStart w:id="741" w:name="_Toc5829"/>
      <w:bookmarkStart w:id="742" w:name="_Toc9576"/>
      <w:bookmarkStart w:id="743" w:name="_Toc17605"/>
      <w:r>
        <w:rPr>
          <w:rFonts w:ascii="Times New Roman" w:hAnsi="Times New Roman" w:eastAsia="仿宋_GB2312"/>
          <w:color w:val="000000"/>
          <w:kern w:val="0"/>
          <w:sz w:val="30"/>
          <w:szCs w:val="32"/>
          <w:highlight w:val="none"/>
        </w:rPr>
        <w:t>13.2.4 拒绝接收全部或部分工程</w:t>
      </w:r>
      <w:bookmarkEnd w:id="740"/>
      <w:bookmarkEnd w:id="741"/>
      <w:bookmarkEnd w:id="742"/>
      <w:bookmarkEnd w:id="743"/>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对于竣工验收不合格的工程，承包人完成整改后，</w:t>
      </w:r>
      <w:r>
        <w:rPr>
          <w:rFonts w:hint="eastAsia" w:ascii="Times New Roman" w:hAnsi="Times New Roman" w:eastAsia="仿宋_GB2312"/>
          <w:color w:val="000000"/>
          <w:kern w:val="0"/>
          <w:sz w:val="30"/>
          <w:szCs w:val="32"/>
          <w:highlight w:val="none"/>
        </w:rPr>
        <w:t>应当</w:t>
      </w:r>
      <w:r>
        <w:rPr>
          <w:rFonts w:ascii="Times New Roman" w:hAnsi="Times New Roman" w:eastAsia="仿宋_GB2312"/>
          <w:color w:val="000000"/>
          <w:kern w:val="0"/>
          <w:sz w:val="30"/>
          <w:szCs w:val="32"/>
          <w:highlight w:val="none"/>
        </w:rPr>
        <w:t>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13.2.5 移交、接收全部与部分工程</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hint="eastAsia" w:ascii="Times New Roman" w:hAnsi="Times New Roman" w:eastAsia="仿宋_GB2312"/>
          <w:color w:val="000000"/>
          <w:kern w:val="0"/>
          <w:sz w:val="30"/>
          <w:szCs w:val="32"/>
          <w:highlight w:val="none"/>
        </w:rPr>
        <w:t>除专用合同条款另有约定外，</w:t>
      </w:r>
      <w:r>
        <w:rPr>
          <w:rFonts w:ascii="Times New Roman" w:hAnsi="Times New Roman" w:eastAsia="仿宋_GB2312"/>
          <w:color w:val="000000"/>
          <w:kern w:val="0"/>
          <w:sz w:val="30"/>
          <w:szCs w:val="32"/>
          <w:highlight w:val="none"/>
        </w:rPr>
        <w:t>合同当事人应当在颁发工程接收证书</w:t>
      </w:r>
      <w:r>
        <w:rPr>
          <w:rFonts w:hint="eastAsia" w:ascii="Times New Roman" w:hAnsi="Times New Roman" w:eastAsia="仿宋_GB2312"/>
          <w:color w:val="000000"/>
          <w:kern w:val="0"/>
          <w:sz w:val="30"/>
          <w:szCs w:val="32"/>
          <w:highlight w:val="none"/>
        </w:rPr>
        <w:t>后7天内</w:t>
      </w:r>
      <w:r>
        <w:rPr>
          <w:rFonts w:ascii="Times New Roman" w:hAnsi="Times New Roman" w:eastAsia="仿宋_GB2312"/>
          <w:color w:val="000000"/>
          <w:kern w:val="0"/>
          <w:sz w:val="30"/>
          <w:szCs w:val="32"/>
          <w:highlight w:val="none"/>
        </w:rPr>
        <w:t>完成工程的移交。</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发包人无正当理由不接收工程的，发包人自</w:t>
      </w:r>
      <w:r>
        <w:rPr>
          <w:rFonts w:hint="eastAsia" w:ascii="Times New Roman" w:hAnsi="Times New Roman" w:eastAsia="仿宋_GB2312"/>
          <w:color w:val="000000"/>
          <w:kern w:val="0"/>
          <w:sz w:val="30"/>
          <w:szCs w:val="32"/>
          <w:highlight w:val="none"/>
        </w:rPr>
        <w:t>应当接收工程</w:t>
      </w:r>
      <w:r>
        <w:rPr>
          <w:rFonts w:ascii="Times New Roman" w:hAnsi="Times New Roman" w:eastAsia="仿宋_GB2312"/>
          <w:color w:val="000000"/>
          <w:kern w:val="0"/>
          <w:sz w:val="30"/>
          <w:szCs w:val="32"/>
          <w:highlight w:val="none"/>
        </w:rPr>
        <w:t>之日起，承担工程照管、成品保护、保管等与工程有关的各项费用</w:t>
      </w:r>
      <w:r>
        <w:rPr>
          <w:rFonts w:hint="eastAsia" w:ascii="Times New Roman" w:hAnsi="Times New Roman" w:eastAsia="仿宋_GB2312"/>
          <w:color w:val="000000"/>
          <w:kern w:val="0"/>
          <w:sz w:val="30"/>
          <w:szCs w:val="32"/>
          <w:highlight w:val="none"/>
        </w:rPr>
        <w:t>，合同当事人可以在专用合同条款中另行约定发包人逾期接收工程的违约责任</w:t>
      </w:r>
      <w:r>
        <w:rPr>
          <w:rFonts w:ascii="Times New Roman" w:hAnsi="Times New Roman" w:eastAsia="仿宋_GB2312"/>
          <w:color w:val="000000"/>
          <w:kern w:val="0"/>
          <w:sz w:val="30"/>
          <w:szCs w:val="32"/>
          <w:highlight w:val="none"/>
        </w:rPr>
        <w:t>。</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承包人无正当理由不移交工程的，</w:t>
      </w:r>
      <w:r>
        <w:rPr>
          <w:rFonts w:hint="eastAsia" w:ascii="Times New Roman" w:hAnsi="Times New Roman" w:eastAsia="仿宋_GB2312"/>
          <w:color w:val="000000"/>
          <w:kern w:val="0"/>
          <w:sz w:val="30"/>
          <w:szCs w:val="32"/>
          <w:highlight w:val="none"/>
        </w:rPr>
        <w:t>承包人应承担</w:t>
      </w:r>
      <w:r>
        <w:rPr>
          <w:rFonts w:ascii="Times New Roman" w:hAnsi="Times New Roman" w:eastAsia="仿宋_GB2312"/>
          <w:color w:val="000000"/>
          <w:kern w:val="0"/>
          <w:sz w:val="30"/>
          <w:szCs w:val="32"/>
          <w:highlight w:val="none"/>
        </w:rPr>
        <w:t>工程照管、成品保护、保管等与工程有关的各项费用</w:t>
      </w:r>
      <w:r>
        <w:rPr>
          <w:rFonts w:hint="eastAsia" w:ascii="Times New Roman" w:hAnsi="Times New Roman" w:eastAsia="仿宋_GB2312"/>
          <w:color w:val="000000"/>
          <w:kern w:val="0"/>
          <w:sz w:val="30"/>
          <w:szCs w:val="32"/>
          <w:highlight w:val="none"/>
        </w:rPr>
        <w:t>，合同当事人可以在专用合同条款中另行约定承包人无正当理由不移交工程的违约责任</w:t>
      </w:r>
      <w:r>
        <w:rPr>
          <w:rFonts w:ascii="Times New Roman" w:hAnsi="Times New Roman" w:eastAsia="仿宋_GB2312"/>
          <w:color w:val="000000"/>
          <w:kern w:val="0"/>
          <w:sz w:val="30"/>
          <w:szCs w:val="32"/>
          <w:highlight w:val="none"/>
        </w:rPr>
        <w:t>。</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744" w:name="_Toc15465"/>
      <w:bookmarkStart w:id="745" w:name="_Toc31091"/>
      <w:bookmarkStart w:id="746" w:name="_Toc296346612"/>
      <w:bookmarkStart w:id="747" w:name="_Toc337558807"/>
      <w:bookmarkStart w:id="748" w:name="_Toc296503111"/>
      <w:r>
        <w:rPr>
          <w:rFonts w:ascii="Times New Roman" w:hAnsi="Times New Roman" w:eastAsia="黑体"/>
          <w:b w:val="0"/>
          <w:color w:val="000000"/>
          <w:sz w:val="30"/>
          <w:szCs w:val="32"/>
          <w:highlight w:val="none"/>
        </w:rPr>
        <w:t>13.3工程试车</w:t>
      </w:r>
      <w:bookmarkEnd w:id="744"/>
      <w:bookmarkEnd w:id="745"/>
    </w:p>
    <w:bookmarkEnd w:id="746"/>
    <w:bookmarkEnd w:id="747"/>
    <w:bookmarkEnd w:id="748"/>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13.3.1试车程序</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工程需要试车的，除专用合同条款另有约定外，试车内容应与承包人承包范围相一致，试车费用由承包人承担。工程试车应按如下程序进行：</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13.3.2 试车中的责任</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13.3.3 投料试车</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hint="eastAsia" w:ascii="Times New Roman" w:hAnsi="Times New Roman" w:eastAsia="仿宋_GB2312"/>
          <w:color w:val="000000"/>
          <w:kern w:val="0"/>
          <w:sz w:val="30"/>
          <w:szCs w:val="32"/>
          <w:highlight w:val="none"/>
        </w:rPr>
        <w:t>如需进行投料试车的，</w:t>
      </w:r>
      <w:r>
        <w:rPr>
          <w:rFonts w:ascii="Times New Roman" w:hAnsi="Times New Roman" w:eastAsia="仿宋_GB2312"/>
          <w:color w:val="000000"/>
          <w:kern w:val="0"/>
          <w:sz w:val="30"/>
          <w:szCs w:val="32"/>
          <w:highlight w:val="none"/>
        </w:rPr>
        <w:t>发包人</w:t>
      </w:r>
      <w:r>
        <w:rPr>
          <w:rFonts w:hint="eastAsia" w:ascii="Times New Roman" w:hAnsi="Times New Roman" w:eastAsia="仿宋_GB2312"/>
          <w:color w:val="000000"/>
          <w:kern w:val="0"/>
          <w:sz w:val="30"/>
          <w:szCs w:val="32"/>
          <w:highlight w:val="none"/>
        </w:rPr>
        <w:t>应在</w:t>
      </w:r>
      <w:r>
        <w:rPr>
          <w:rFonts w:ascii="Times New Roman" w:hAnsi="Times New Roman" w:eastAsia="仿宋_GB2312"/>
          <w:color w:val="000000"/>
          <w:kern w:val="0"/>
          <w:sz w:val="30"/>
          <w:szCs w:val="32"/>
          <w:highlight w:val="none"/>
        </w:rPr>
        <w:t>工程竣工验收后</w:t>
      </w:r>
      <w:r>
        <w:rPr>
          <w:rFonts w:hint="eastAsia" w:ascii="Times New Roman" w:hAnsi="Times New Roman" w:eastAsia="仿宋_GB2312"/>
          <w:color w:val="000000"/>
          <w:kern w:val="0"/>
          <w:sz w:val="30"/>
          <w:szCs w:val="32"/>
          <w:highlight w:val="none"/>
        </w:rPr>
        <w:t>组织</w:t>
      </w:r>
      <w:r>
        <w:rPr>
          <w:rFonts w:ascii="Times New Roman" w:hAnsi="Times New Roman" w:eastAsia="仿宋_GB2312"/>
          <w:color w:val="000000"/>
          <w:kern w:val="0"/>
          <w:sz w:val="30"/>
          <w:szCs w:val="32"/>
          <w:highlight w:val="none"/>
        </w:rPr>
        <w:t>投料试车</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发包人要求在工程竣工验收前进行或需要承包人配合时，应征得承包人同意</w:t>
      </w:r>
      <w:r>
        <w:rPr>
          <w:rFonts w:hint="eastAsia" w:ascii="Times New Roman" w:hAnsi="Times New Roman" w:eastAsia="仿宋_GB2312"/>
          <w:color w:val="000000"/>
          <w:kern w:val="0"/>
          <w:sz w:val="30"/>
          <w:szCs w:val="32"/>
          <w:highlight w:val="none"/>
        </w:rPr>
        <w:t>，并在专用合同条款中约定有关事项</w:t>
      </w:r>
      <w:r>
        <w:rPr>
          <w:rFonts w:ascii="Times New Roman" w:hAnsi="Times New Roman" w:eastAsia="仿宋_GB2312"/>
          <w:color w:val="000000"/>
          <w:kern w:val="0"/>
          <w:sz w:val="30"/>
          <w:szCs w:val="32"/>
          <w:highlight w:val="none"/>
        </w:rPr>
        <w:t>。</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投料试车合格的，费用由发包人承担；因承包人原因造成投料试车不合格的，承包人应按照发包人要求进行整改，由此产生的整改费用由承包人承担；非因承包人原因导致投料试车不合格的，</w:t>
      </w:r>
      <w:r>
        <w:rPr>
          <w:rFonts w:hint="eastAsia" w:ascii="Times New Roman" w:hAnsi="Times New Roman" w:eastAsia="仿宋_GB2312"/>
          <w:color w:val="000000"/>
          <w:kern w:val="0"/>
          <w:sz w:val="30"/>
          <w:szCs w:val="32"/>
          <w:highlight w:val="none"/>
        </w:rPr>
        <w:t>如</w:t>
      </w:r>
      <w:r>
        <w:rPr>
          <w:rFonts w:ascii="Times New Roman" w:hAnsi="Times New Roman" w:eastAsia="仿宋_GB2312"/>
          <w:color w:val="000000"/>
          <w:kern w:val="0"/>
          <w:sz w:val="30"/>
          <w:szCs w:val="32"/>
          <w:highlight w:val="none"/>
        </w:rPr>
        <w:t>发包人要求承包人进行整改</w:t>
      </w:r>
      <w:r>
        <w:rPr>
          <w:rFonts w:hint="eastAsia" w:ascii="Times New Roman" w:hAnsi="Times New Roman" w:eastAsia="仿宋_GB2312"/>
          <w:color w:val="000000"/>
          <w:kern w:val="0"/>
          <w:sz w:val="30"/>
          <w:szCs w:val="32"/>
          <w:highlight w:val="none"/>
        </w:rPr>
        <w:t>的</w:t>
      </w:r>
      <w:r>
        <w:rPr>
          <w:rFonts w:ascii="Times New Roman" w:hAnsi="Times New Roman" w:eastAsia="仿宋_GB2312"/>
          <w:color w:val="000000"/>
          <w:kern w:val="0"/>
          <w:sz w:val="30"/>
          <w:szCs w:val="32"/>
          <w:highlight w:val="none"/>
        </w:rPr>
        <w:t>，由此产生的费用由发包人承担。</w:t>
      </w:r>
    </w:p>
    <w:p>
      <w:pPr>
        <w:pStyle w:val="6"/>
        <w:spacing w:before="120" w:after="120" w:line="360" w:lineRule="auto"/>
        <w:rPr>
          <w:rFonts w:ascii="Times New Roman" w:hAnsi="Times New Roman" w:eastAsia="黑体"/>
          <w:b w:val="0"/>
          <w:color w:val="000000"/>
          <w:sz w:val="30"/>
          <w:szCs w:val="32"/>
          <w:highlight w:val="none"/>
        </w:rPr>
      </w:pPr>
      <w:bookmarkStart w:id="749" w:name="_Toc337558808"/>
      <w:r>
        <w:rPr>
          <w:rFonts w:ascii="Times New Roman" w:hAnsi="Times New Roman" w:eastAsia="黑体"/>
          <w:b w:val="0"/>
          <w:color w:val="000000"/>
          <w:sz w:val="30"/>
          <w:szCs w:val="32"/>
          <w:highlight w:val="none"/>
        </w:rPr>
        <w:t xml:space="preserve">    </w:t>
      </w:r>
      <w:bookmarkStart w:id="750" w:name="_Toc23698"/>
      <w:bookmarkStart w:id="751" w:name="_Toc28642"/>
      <w:r>
        <w:rPr>
          <w:rFonts w:ascii="Times New Roman" w:hAnsi="Times New Roman" w:eastAsia="黑体"/>
          <w:b w:val="0"/>
          <w:color w:val="000000"/>
          <w:sz w:val="30"/>
          <w:szCs w:val="32"/>
          <w:highlight w:val="none"/>
        </w:rPr>
        <w:t>13.4提前交付单位工程的验收</w:t>
      </w:r>
      <w:bookmarkEnd w:id="750"/>
      <w:bookmarkEnd w:id="751"/>
    </w:p>
    <w:bookmarkEnd w:id="749"/>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13.4.1 发包人需要在工程竣工前使用单位工程的，或承包人提出提前交付已经竣工的单位工程且经发包人同意的，可进行单位工程验收，验收的程序按照第13.2款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竣工验收</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的约定进行。</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13.4.2 发包人要求在工程竣工前交付单位工程，由此导致承包人费用增加和（或）工期延误的，由发包人承担由此增加的费用和（或）延误的工期，并支付承包人合理的利润。</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752" w:name="_Toc22399"/>
      <w:bookmarkStart w:id="753" w:name="_Toc12077"/>
      <w:r>
        <w:rPr>
          <w:rFonts w:ascii="Times New Roman" w:hAnsi="Times New Roman" w:eastAsia="黑体"/>
          <w:b w:val="0"/>
          <w:color w:val="000000"/>
          <w:sz w:val="30"/>
          <w:szCs w:val="32"/>
          <w:highlight w:val="none"/>
        </w:rPr>
        <w:t>13.5 施工期运行</w:t>
      </w:r>
      <w:bookmarkEnd w:id="752"/>
      <w:bookmarkEnd w:id="753"/>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13.5.1 施工期运行是指合同工程尚未全部竣工，其中某项或某几项单位工程或工程设备安装已竣工，根据专用合同条款约定，需要投入施工期运行的，经发包人按第13.4款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提前交付单位工程的验收</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的约定验收合格，证明能确保安全后，才能在施工期投入运行。</w:t>
      </w:r>
    </w:p>
    <w:p>
      <w:pPr>
        <w:spacing w:line="360" w:lineRule="auto"/>
        <w:ind w:firstLine="600" w:firstLineChars="200"/>
        <w:jc w:val="left"/>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13.5.2 在施工期运行中发现工程或工程设备损坏或存在缺陷的，由承包人按第15.2款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缺陷责任期</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约定进行修复。</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754" w:name="_Toc296346613"/>
      <w:bookmarkStart w:id="755" w:name="_Toc296503112"/>
      <w:bookmarkStart w:id="756" w:name="_Toc26365"/>
      <w:bookmarkStart w:id="757" w:name="_Toc11049"/>
      <w:bookmarkStart w:id="758" w:name="_Toc337558809"/>
      <w:r>
        <w:rPr>
          <w:rFonts w:ascii="Times New Roman" w:hAnsi="Times New Roman" w:eastAsia="黑体"/>
          <w:b w:val="0"/>
          <w:color w:val="000000"/>
          <w:sz w:val="30"/>
          <w:szCs w:val="32"/>
          <w:highlight w:val="none"/>
        </w:rPr>
        <w:t>13.6 竣工退</w:t>
      </w:r>
      <w:bookmarkEnd w:id="754"/>
      <w:bookmarkEnd w:id="755"/>
      <w:r>
        <w:rPr>
          <w:rFonts w:ascii="Times New Roman" w:hAnsi="Times New Roman" w:eastAsia="黑体"/>
          <w:b w:val="0"/>
          <w:color w:val="000000"/>
          <w:sz w:val="30"/>
          <w:szCs w:val="32"/>
          <w:highlight w:val="none"/>
        </w:rPr>
        <w:t>场</w:t>
      </w:r>
      <w:bookmarkEnd w:id="756"/>
      <w:bookmarkEnd w:id="757"/>
    </w:p>
    <w:bookmarkEnd w:id="758"/>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13.6.1 竣工退场</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颁发工程接收证书后，承包人应按以下要求对施工现场进行清理：</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（1）施工现场内残留的垃圾已全部清除出场；</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（2）临时工程已拆除，场地已进行清理、平整或复原；</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（3）按合同约定应撤离的人员、承包人施工设备和剩余的材料，包括废弃的施工设备和材料，已按计划撤离施工现场；</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（4）施工现场周边及其附近道路、河道的施工堆积物，已全部清理；</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（5）施工现场其他场地清理工作已全部完成。</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13.6.2 地表还原</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pPr>
        <w:pStyle w:val="5"/>
        <w:spacing w:before="120" w:after="120" w:line="360" w:lineRule="auto"/>
        <w:rPr>
          <w:rFonts w:ascii="Times New Roman" w:hAnsi="Times New Roman" w:eastAsia="黑体"/>
          <w:b w:val="0"/>
          <w:color w:val="000000"/>
          <w:sz w:val="32"/>
          <w:szCs w:val="32"/>
          <w:highlight w:val="none"/>
        </w:rPr>
      </w:pPr>
      <w:bookmarkStart w:id="759" w:name="_Toc16433"/>
      <w:bookmarkStart w:id="760" w:name="_Toc25789"/>
      <w:bookmarkStart w:id="761" w:name="_Toc337558810"/>
      <w:bookmarkStart w:id="762" w:name="_Toc296503113"/>
      <w:bookmarkStart w:id="763" w:name="_Toc296346614"/>
      <w:r>
        <w:rPr>
          <w:rFonts w:ascii="Times New Roman" w:hAnsi="Times New Roman" w:eastAsia="黑体"/>
          <w:b w:val="0"/>
          <w:color w:val="000000"/>
          <w:sz w:val="32"/>
          <w:szCs w:val="32"/>
          <w:highlight w:val="none"/>
        </w:rPr>
        <w:t>14. 竣工结算</w:t>
      </w:r>
      <w:bookmarkEnd w:id="759"/>
      <w:bookmarkEnd w:id="760"/>
    </w:p>
    <w:bookmarkEnd w:id="761"/>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764" w:name="_Toc21658"/>
      <w:bookmarkStart w:id="765" w:name="_Toc19843"/>
      <w:bookmarkStart w:id="766" w:name="_Toc337558811"/>
      <w:r>
        <w:rPr>
          <w:rFonts w:ascii="Times New Roman" w:hAnsi="Times New Roman" w:eastAsia="黑体"/>
          <w:b w:val="0"/>
          <w:color w:val="000000"/>
          <w:sz w:val="30"/>
          <w:szCs w:val="32"/>
          <w:highlight w:val="none"/>
        </w:rPr>
        <w:t>14.1 竣工结算申请</w:t>
      </w:r>
      <w:bookmarkEnd w:id="764"/>
      <w:bookmarkEnd w:id="765"/>
    </w:p>
    <w:bookmarkEnd w:id="766"/>
    <w:p>
      <w:pPr>
        <w:autoSpaceDE w:val="0"/>
        <w:autoSpaceDN w:val="0"/>
        <w:adjustRightInd w:val="0"/>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kern w:val="0"/>
          <w:sz w:val="30"/>
          <w:szCs w:val="32"/>
          <w:highlight w:val="none"/>
        </w:rPr>
        <w:t>除专用合同条款另有约定外，</w:t>
      </w:r>
      <w:r>
        <w:rPr>
          <w:rFonts w:ascii="Times New Roman" w:hAnsi="Times New Roman" w:eastAsia="仿宋_GB2312"/>
          <w:color w:val="000000"/>
          <w:sz w:val="30"/>
          <w:szCs w:val="32"/>
          <w:highlight w:val="none"/>
        </w:rPr>
        <w:t>承包人应在工程竣工验收合格后28天内向发包人和监理人提交竣工结算申请单，并提交完整的结算资料，</w:t>
      </w:r>
      <w:r>
        <w:rPr>
          <w:rFonts w:hint="eastAsia" w:ascii="Times New Roman" w:hAnsi="Times New Roman" w:eastAsia="仿宋_GB2312"/>
          <w:color w:val="000000"/>
          <w:sz w:val="30"/>
          <w:szCs w:val="32"/>
          <w:highlight w:val="none"/>
        </w:rPr>
        <w:t>有关</w:t>
      </w:r>
      <w:r>
        <w:rPr>
          <w:rFonts w:ascii="Times New Roman" w:hAnsi="Times New Roman" w:eastAsia="仿宋_GB2312"/>
          <w:color w:val="000000"/>
          <w:sz w:val="30"/>
          <w:szCs w:val="32"/>
          <w:highlight w:val="none"/>
        </w:rPr>
        <w:t>竣工结算申请单</w:t>
      </w:r>
      <w:r>
        <w:rPr>
          <w:rFonts w:hint="eastAsia" w:ascii="Times New Roman" w:hAnsi="Times New Roman" w:eastAsia="仿宋_GB2312"/>
          <w:color w:val="000000"/>
          <w:sz w:val="30"/>
          <w:szCs w:val="32"/>
          <w:highlight w:val="none"/>
        </w:rPr>
        <w:t>的资料清单和</w:t>
      </w:r>
      <w:r>
        <w:rPr>
          <w:rFonts w:ascii="Times New Roman" w:hAnsi="Times New Roman" w:eastAsia="仿宋_GB2312"/>
          <w:color w:val="000000"/>
          <w:sz w:val="30"/>
          <w:szCs w:val="32"/>
          <w:highlight w:val="none"/>
        </w:rPr>
        <w:t>份数</w:t>
      </w:r>
      <w:r>
        <w:rPr>
          <w:rFonts w:hint="eastAsia" w:ascii="Times New Roman" w:hAnsi="Times New Roman" w:eastAsia="仿宋_GB2312"/>
          <w:color w:val="000000"/>
          <w:sz w:val="30"/>
          <w:szCs w:val="32"/>
          <w:highlight w:val="none"/>
        </w:rPr>
        <w:t>等要求</w:t>
      </w:r>
      <w:r>
        <w:rPr>
          <w:rFonts w:ascii="Times New Roman" w:hAnsi="Times New Roman" w:eastAsia="仿宋_GB2312"/>
          <w:color w:val="000000"/>
          <w:sz w:val="30"/>
          <w:szCs w:val="32"/>
          <w:highlight w:val="none"/>
        </w:rPr>
        <w:t>由合同当事人在专用合同条款中约定。</w:t>
      </w:r>
    </w:p>
    <w:p>
      <w:pPr>
        <w:autoSpaceDE w:val="0"/>
        <w:autoSpaceDN w:val="0"/>
        <w:adjustRightInd w:val="0"/>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除专用合同条款另有约定外，竣工结算申请单应包括以下内容：</w:t>
      </w:r>
    </w:p>
    <w:p>
      <w:pPr>
        <w:autoSpaceDE w:val="0"/>
        <w:autoSpaceDN w:val="0"/>
        <w:adjustRightInd w:val="0"/>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（1）竣工结算合同价格；</w:t>
      </w:r>
    </w:p>
    <w:p>
      <w:pPr>
        <w:autoSpaceDE w:val="0"/>
        <w:autoSpaceDN w:val="0"/>
        <w:adjustRightInd w:val="0"/>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（2）发包人已支付承包人的款项；</w:t>
      </w:r>
    </w:p>
    <w:p>
      <w:pPr>
        <w:autoSpaceDE w:val="0"/>
        <w:autoSpaceDN w:val="0"/>
        <w:adjustRightInd w:val="0"/>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（3）应扣留的质量保证金</w:t>
      </w:r>
      <w:r>
        <w:rPr>
          <w:rFonts w:hint="eastAsia" w:eastAsia="仿宋_GB2312"/>
          <w:color w:val="000000"/>
          <w:sz w:val="30"/>
          <w:szCs w:val="32"/>
          <w:highlight w:val="none"/>
        </w:rPr>
        <w:t>。已缴纳履约保证金的或提供其他工程质量担保方式的除外</w:t>
      </w:r>
      <w:r>
        <w:rPr>
          <w:rFonts w:ascii="Times New Roman" w:hAnsi="Times New Roman" w:eastAsia="仿宋_GB2312"/>
          <w:color w:val="000000"/>
          <w:sz w:val="30"/>
          <w:szCs w:val="32"/>
          <w:highlight w:val="none"/>
        </w:rPr>
        <w:t xml:space="preserve">； </w:t>
      </w:r>
    </w:p>
    <w:p>
      <w:pPr>
        <w:autoSpaceDE w:val="0"/>
        <w:autoSpaceDN w:val="0"/>
        <w:adjustRightInd w:val="0"/>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（4）发包人应支付承包人的合同价款。</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767" w:name="_Toc32680"/>
      <w:bookmarkStart w:id="768" w:name="_Toc2801"/>
      <w:bookmarkStart w:id="769" w:name="_Toc337558812"/>
      <w:r>
        <w:rPr>
          <w:rFonts w:ascii="Times New Roman" w:hAnsi="Times New Roman" w:eastAsia="黑体"/>
          <w:b w:val="0"/>
          <w:color w:val="000000"/>
          <w:sz w:val="30"/>
          <w:szCs w:val="32"/>
          <w:highlight w:val="none"/>
        </w:rPr>
        <w:t>14.2 竣工结算审核</w:t>
      </w:r>
      <w:bookmarkEnd w:id="767"/>
      <w:bookmarkEnd w:id="768"/>
    </w:p>
    <w:bookmarkEnd w:id="769"/>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（1）除专用合同条款另有约定外，监理人应在收到竣工结算申请单后14天内完成核查并报送发包人。发包人应在收到监理人提交的经审核的竣工结算申请单后14天内完成</w:t>
      </w:r>
      <w:r>
        <w:rPr>
          <w:rFonts w:hint="eastAsia" w:ascii="Times New Roman" w:hAnsi="Times New Roman" w:eastAsia="仿宋_GB2312"/>
          <w:color w:val="000000"/>
          <w:kern w:val="0"/>
          <w:sz w:val="30"/>
          <w:szCs w:val="32"/>
          <w:highlight w:val="none"/>
        </w:rPr>
        <w:t>审批</w:t>
      </w:r>
      <w:r>
        <w:rPr>
          <w:rFonts w:ascii="Times New Roman" w:hAnsi="Times New Roman" w:eastAsia="仿宋_GB2312"/>
          <w:color w:val="000000"/>
          <w:kern w:val="0"/>
          <w:sz w:val="30"/>
          <w:szCs w:val="32"/>
          <w:highlight w:val="none"/>
        </w:rPr>
        <w:t>，并由监理人向承包人签发经发包人签认的竣工付款证书。监理人或</w:t>
      </w:r>
      <w:r>
        <w:rPr>
          <w:rFonts w:ascii="Times New Roman" w:hAnsi="Times New Roman" w:eastAsia="仿宋_GB2312"/>
          <w:color w:val="000000"/>
          <w:sz w:val="30"/>
          <w:szCs w:val="32"/>
          <w:highlight w:val="none"/>
        </w:rPr>
        <w:t>发包人对竣工</w:t>
      </w:r>
      <w:r>
        <w:rPr>
          <w:rFonts w:ascii="Times New Roman" w:hAnsi="Times New Roman" w:eastAsia="仿宋_GB2312"/>
          <w:color w:val="000000"/>
          <w:kern w:val="0"/>
          <w:sz w:val="30"/>
          <w:szCs w:val="32"/>
          <w:highlight w:val="none"/>
        </w:rPr>
        <w:t>结算</w:t>
      </w:r>
      <w:r>
        <w:rPr>
          <w:rFonts w:ascii="Times New Roman" w:hAnsi="Times New Roman" w:eastAsia="仿宋_GB2312"/>
          <w:color w:val="000000"/>
          <w:sz w:val="30"/>
          <w:szCs w:val="32"/>
          <w:highlight w:val="none"/>
        </w:rPr>
        <w:t>申请单有异议的，有权要求承包人进行修正和提供补充资料，承包人应提交修正后的竣工</w:t>
      </w:r>
      <w:r>
        <w:rPr>
          <w:rFonts w:ascii="Times New Roman" w:hAnsi="Times New Roman" w:eastAsia="仿宋_GB2312"/>
          <w:color w:val="000000"/>
          <w:kern w:val="0"/>
          <w:sz w:val="30"/>
          <w:szCs w:val="32"/>
          <w:highlight w:val="none"/>
        </w:rPr>
        <w:t>结算</w:t>
      </w:r>
      <w:r>
        <w:rPr>
          <w:rFonts w:ascii="Times New Roman" w:hAnsi="Times New Roman" w:eastAsia="仿宋_GB2312"/>
          <w:color w:val="000000"/>
          <w:sz w:val="30"/>
          <w:szCs w:val="32"/>
          <w:highlight w:val="none"/>
        </w:rPr>
        <w:t>申请单。</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发包人在收到承包人提交竣工结算申请书后28天</w:t>
      </w:r>
      <w:r>
        <w:rPr>
          <w:rFonts w:hint="eastAsia" w:ascii="Times New Roman" w:hAnsi="Times New Roman" w:eastAsia="仿宋_GB2312"/>
          <w:color w:val="000000"/>
          <w:kern w:val="0"/>
          <w:sz w:val="30"/>
          <w:szCs w:val="32"/>
          <w:highlight w:val="none"/>
        </w:rPr>
        <w:t>内</w:t>
      </w:r>
      <w:r>
        <w:rPr>
          <w:rFonts w:ascii="Times New Roman" w:hAnsi="Times New Roman" w:eastAsia="仿宋_GB2312"/>
          <w:color w:val="000000"/>
          <w:kern w:val="0"/>
          <w:sz w:val="30"/>
          <w:szCs w:val="32"/>
          <w:highlight w:val="none"/>
        </w:rPr>
        <w:t>未完成</w:t>
      </w:r>
      <w:r>
        <w:rPr>
          <w:rFonts w:hint="eastAsia" w:ascii="Times New Roman" w:hAnsi="Times New Roman" w:eastAsia="仿宋_GB2312"/>
          <w:color w:val="000000"/>
          <w:kern w:val="0"/>
          <w:sz w:val="30"/>
          <w:szCs w:val="32"/>
          <w:highlight w:val="none"/>
        </w:rPr>
        <w:t>审批</w:t>
      </w:r>
      <w:r>
        <w:rPr>
          <w:rFonts w:ascii="Times New Roman" w:hAnsi="Times New Roman" w:eastAsia="仿宋_GB2312"/>
          <w:color w:val="000000"/>
          <w:kern w:val="0"/>
          <w:sz w:val="30"/>
          <w:szCs w:val="32"/>
          <w:highlight w:val="none"/>
        </w:rPr>
        <w:t>且未提出异议的，视为发包人认可承包人提交的竣工结算申请单，并自发包人收到承包人提交的竣工结算申请单后第29天起视为已签发竣工付款证书。</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（3）承包人对发包人签认的竣工付款证书有异议的，对于有异议部分应在收到发包人签认的竣工付款证书后7天内提出异议，并由合同当事人按照专用合同条款约定</w:t>
      </w:r>
      <w:r>
        <w:rPr>
          <w:rFonts w:hint="eastAsia" w:ascii="Times New Roman" w:hAnsi="Times New Roman" w:eastAsia="仿宋_GB2312"/>
          <w:color w:val="000000"/>
          <w:kern w:val="0"/>
          <w:sz w:val="30"/>
          <w:szCs w:val="32"/>
          <w:highlight w:val="none"/>
        </w:rPr>
        <w:t>的方式和程序</w:t>
      </w:r>
      <w:r>
        <w:rPr>
          <w:rFonts w:ascii="Times New Roman" w:hAnsi="Times New Roman" w:eastAsia="仿宋_GB2312"/>
          <w:color w:val="000000"/>
          <w:kern w:val="0"/>
          <w:sz w:val="30"/>
          <w:szCs w:val="32"/>
          <w:highlight w:val="none"/>
        </w:rPr>
        <w:t>进行复核，或按照第20条</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争议解决</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约定处理。对于无异议部分，发包人应签发临时竣工付款证书，并按本款第（2）项完成付款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承包人逾期未提出异议的，视为认可发包人的</w:t>
      </w:r>
      <w:r>
        <w:rPr>
          <w:rFonts w:hint="eastAsia" w:ascii="Times New Roman" w:hAnsi="Times New Roman" w:eastAsia="仿宋_GB2312"/>
          <w:color w:val="000000"/>
          <w:kern w:val="0"/>
          <w:sz w:val="30"/>
          <w:szCs w:val="32"/>
          <w:highlight w:val="none"/>
        </w:rPr>
        <w:t>审批</w:t>
      </w:r>
      <w:r>
        <w:rPr>
          <w:rFonts w:ascii="Times New Roman" w:hAnsi="Times New Roman" w:eastAsia="仿宋_GB2312"/>
          <w:color w:val="000000"/>
          <w:kern w:val="0"/>
          <w:sz w:val="30"/>
          <w:szCs w:val="32"/>
          <w:highlight w:val="none"/>
        </w:rPr>
        <w:t>结果。</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770" w:name="_Toc23874"/>
      <w:bookmarkStart w:id="771" w:name="_Toc20968"/>
      <w:bookmarkStart w:id="772" w:name="_Toc337558813"/>
      <w:r>
        <w:rPr>
          <w:rFonts w:ascii="Times New Roman" w:hAnsi="Times New Roman" w:eastAsia="黑体"/>
          <w:b w:val="0"/>
          <w:color w:val="000000"/>
          <w:sz w:val="30"/>
          <w:szCs w:val="32"/>
          <w:highlight w:val="none"/>
        </w:rPr>
        <w:t>14.3 甩项竣工协议</w:t>
      </w:r>
      <w:bookmarkEnd w:id="770"/>
      <w:bookmarkEnd w:id="771"/>
    </w:p>
    <w:bookmarkEnd w:id="772"/>
    <w:p>
      <w:pPr>
        <w:autoSpaceDE w:val="0"/>
        <w:autoSpaceDN w:val="0"/>
        <w:adjustRightInd w:val="0"/>
        <w:spacing w:line="360" w:lineRule="auto"/>
        <w:ind w:firstLine="588" w:firstLineChars="196"/>
        <w:jc w:val="left"/>
        <w:rPr>
          <w:rFonts w:ascii="Times New Roman" w:hAnsi="Times New Roman" w:eastAsia="仿宋_GB2312"/>
          <w:color w:val="000000"/>
          <w:kern w:val="0"/>
          <w:sz w:val="30"/>
          <w:szCs w:val="32"/>
          <w:highlight w:val="none"/>
        </w:rPr>
      </w:pPr>
      <w:r>
        <w:rPr>
          <w:rFonts w:ascii="Times New Roman" w:hAnsi="Times New Roman" w:eastAsia="仿宋_GB2312"/>
          <w:sz w:val="30"/>
          <w:szCs w:val="32"/>
          <w:highlight w:val="none"/>
        </w:rPr>
        <w:t>发包人要求甩项竣工的，合同当事人应签订甩项竣工协议。在甩项竣工协议中应明确，合同当事人按照第14.1款</w:t>
      </w:r>
      <w:r>
        <w:rPr>
          <w:rFonts w:hint="eastAsia" w:ascii="Times New Roman" w:hAnsi="Times New Roman" w:eastAsia="仿宋_GB2312"/>
          <w:sz w:val="30"/>
          <w:szCs w:val="32"/>
          <w:highlight w:val="none"/>
        </w:rPr>
        <w:t>〔</w:t>
      </w:r>
      <w:r>
        <w:rPr>
          <w:rFonts w:ascii="Times New Roman" w:hAnsi="Times New Roman" w:eastAsia="仿宋_GB2312"/>
          <w:sz w:val="30"/>
          <w:szCs w:val="32"/>
          <w:highlight w:val="none"/>
        </w:rPr>
        <w:t>竣工</w:t>
      </w:r>
      <w:r>
        <w:rPr>
          <w:rFonts w:hint="eastAsia" w:ascii="Times New Roman" w:hAnsi="Times New Roman" w:eastAsia="仿宋_GB2312"/>
          <w:sz w:val="30"/>
          <w:szCs w:val="32"/>
          <w:highlight w:val="none"/>
        </w:rPr>
        <w:t>结算</w:t>
      </w:r>
      <w:r>
        <w:rPr>
          <w:rFonts w:ascii="Times New Roman" w:hAnsi="Times New Roman" w:eastAsia="仿宋_GB2312"/>
          <w:sz w:val="30"/>
          <w:szCs w:val="32"/>
          <w:highlight w:val="none"/>
        </w:rPr>
        <w:t>申请</w:t>
      </w:r>
      <w:r>
        <w:rPr>
          <w:rFonts w:hint="eastAsia" w:ascii="Times New Roman" w:hAnsi="Times New Roman" w:eastAsia="仿宋_GB2312"/>
          <w:sz w:val="30"/>
          <w:szCs w:val="32"/>
          <w:highlight w:val="none"/>
        </w:rPr>
        <w:t>〕</w:t>
      </w:r>
      <w:r>
        <w:rPr>
          <w:rFonts w:ascii="Times New Roman" w:hAnsi="Times New Roman" w:eastAsia="仿宋_GB2312"/>
          <w:sz w:val="30"/>
          <w:szCs w:val="32"/>
          <w:highlight w:val="none"/>
        </w:rPr>
        <w:t>及14.2款</w:t>
      </w:r>
      <w:r>
        <w:rPr>
          <w:rFonts w:hint="eastAsia" w:ascii="Times New Roman" w:hAnsi="Times New Roman" w:eastAsia="仿宋_GB2312"/>
          <w:sz w:val="30"/>
          <w:szCs w:val="32"/>
          <w:highlight w:val="none"/>
        </w:rPr>
        <w:t>〔</w:t>
      </w:r>
      <w:r>
        <w:rPr>
          <w:rFonts w:ascii="Times New Roman" w:hAnsi="Times New Roman" w:eastAsia="仿宋_GB2312"/>
          <w:sz w:val="30"/>
          <w:szCs w:val="32"/>
          <w:highlight w:val="none"/>
        </w:rPr>
        <w:t>竣工结算审核</w:t>
      </w:r>
      <w:r>
        <w:rPr>
          <w:rFonts w:hint="eastAsia" w:ascii="Times New Roman" w:hAnsi="Times New Roman" w:eastAsia="仿宋_GB2312"/>
          <w:sz w:val="30"/>
          <w:szCs w:val="32"/>
          <w:highlight w:val="none"/>
        </w:rPr>
        <w:t>〕</w:t>
      </w:r>
      <w:r>
        <w:rPr>
          <w:rFonts w:ascii="Times New Roman" w:hAnsi="Times New Roman" w:eastAsia="仿宋_GB2312"/>
          <w:sz w:val="30"/>
          <w:szCs w:val="32"/>
          <w:highlight w:val="none"/>
        </w:rPr>
        <w:t>的约定，</w:t>
      </w:r>
      <w:r>
        <w:rPr>
          <w:rFonts w:hint="eastAsia" w:ascii="Times New Roman" w:hAnsi="Times New Roman" w:eastAsia="仿宋_GB2312"/>
          <w:sz w:val="30"/>
          <w:szCs w:val="32"/>
          <w:highlight w:val="none"/>
        </w:rPr>
        <w:t>对已</w:t>
      </w:r>
      <w:r>
        <w:rPr>
          <w:rFonts w:ascii="Times New Roman" w:hAnsi="Times New Roman" w:eastAsia="仿宋_GB2312"/>
          <w:sz w:val="30"/>
          <w:szCs w:val="32"/>
          <w:highlight w:val="none"/>
        </w:rPr>
        <w:t>完合格工程</w:t>
      </w:r>
      <w:r>
        <w:rPr>
          <w:rFonts w:hint="eastAsia" w:ascii="Times New Roman" w:hAnsi="Times New Roman" w:eastAsia="仿宋_GB2312"/>
          <w:sz w:val="30"/>
          <w:szCs w:val="32"/>
          <w:highlight w:val="none"/>
        </w:rPr>
        <w:t>进行</w:t>
      </w:r>
      <w:r>
        <w:rPr>
          <w:rFonts w:ascii="Times New Roman" w:hAnsi="Times New Roman" w:eastAsia="仿宋_GB2312"/>
          <w:sz w:val="30"/>
          <w:szCs w:val="32"/>
          <w:highlight w:val="none"/>
        </w:rPr>
        <w:t>结算，并支付相应</w:t>
      </w:r>
      <w:r>
        <w:rPr>
          <w:rFonts w:hint="eastAsia" w:ascii="Times New Roman" w:hAnsi="Times New Roman" w:eastAsia="仿宋_GB2312"/>
          <w:sz w:val="30"/>
          <w:szCs w:val="32"/>
          <w:highlight w:val="none"/>
        </w:rPr>
        <w:t>合同</w:t>
      </w:r>
      <w:r>
        <w:rPr>
          <w:rFonts w:ascii="Times New Roman" w:hAnsi="Times New Roman" w:eastAsia="仿宋_GB2312"/>
          <w:sz w:val="30"/>
          <w:szCs w:val="32"/>
          <w:highlight w:val="none"/>
        </w:rPr>
        <w:t>价款。</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773" w:name="_Toc31767"/>
      <w:bookmarkStart w:id="774" w:name="_Toc12527"/>
      <w:bookmarkStart w:id="775" w:name="_Toc337558814"/>
      <w:r>
        <w:rPr>
          <w:rFonts w:ascii="Times New Roman" w:hAnsi="Times New Roman" w:eastAsia="黑体"/>
          <w:b w:val="0"/>
          <w:color w:val="000000"/>
          <w:sz w:val="30"/>
          <w:szCs w:val="32"/>
          <w:highlight w:val="none"/>
        </w:rPr>
        <w:t>14.4 最终结清</w:t>
      </w:r>
      <w:bookmarkEnd w:id="773"/>
      <w:bookmarkEnd w:id="774"/>
    </w:p>
    <w:bookmarkEnd w:id="775"/>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14.4.1 最终结清申请单</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（1）除专用合同条款另有约定外，承包人应在缺陷责任期终止证书颁发后7天内，按专用合同条款约定的份数向发包人提交最终结清申请单，并提供相关证明材料。</w:t>
      </w:r>
    </w:p>
    <w:p>
      <w:pPr>
        <w:autoSpaceDE w:val="0"/>
        <w:autoSpaceDN w:val="0"/>
        <w:adjustRightInd w:val="0"/>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除专用合同条款另有约定外，</w:t>
      </w:r>
      <w:r>
        <w:rPr>
          <w:rFonts w:ascii="Times New Roman" w:hAnsi="Times New Roman" w:eastAsia="仿宋_GB2312"/>
          <w:color w:val="000000"/>
          <w:kern w:val="0"/>
          <w:sz w:val="30"/>
          <w:szCs w:val="32"/>
          <w:highlight w:val="none"/>
        </w:rPr>
        <w:t>最终结清申请单</w:t>
      </w:r>
      <w:r>
        <w:rPr>
          <w:rFonts w:ascii="Times New Roman" w:hAnsi="Times New Roman" w:eastAsia="仿宋_GB2312"/>
          <w:color w:val="000000"/>
          <w:sz w:val="30"/>
          <w:szCs w:val="32"/>
          <w:highlight w:val="none"/>
        </w:rPr>
        <w:t>应列明质量保证金、应扣除的质量保证金、缺陷责任期内发生的增减费用。</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（2）发包人对最终结清申请单内容有异议的，有权要求承包人进行修正和提供补充资料，承包人应向发包人提交修正后的最终结清申请单。</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14.4.2 最终结清证书和支付</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（1）除专用合同条款另有约定外，发包人应在收到承包人提交的最终结清申请单后14天内完成审批并向承包人颁发最终结清证书。发包人逾期未完成</w:t>
      </w:r>
      <w:r>
        <w:rPr>
          <w:rFonts w:hint="eastAsia" w:ascii="Times New Roman" w:hAnsi="Times New Roman" w:eastAsia="仿宋_GB2312"/>
          <w:color w:val="000000"/>
          <w:kern w:val="0"/>
          <w:sz w:val="30"/>
          <w:szCs w:val="32"/>
          <w:highlight w:val="none"/>
        </w:rPr>
        <w:t>审批</w:t>
      </w:r>
      <w:r>
        <w:rPr>
          <w:rFonts w:ascii="Times New Roman" w:hAnsi="Times New Roman" w:eastAsia="仿宋_GB2312"/>
          <w:color w:val="000000"/>
          <w:kern w:val="0"/>
          <w:sz w:val="30"/>
          <w:szCs w:val="32"/>
          <w:highlight w:val="none"/>
        </w:rPr>
        <w:t>，又未提出修改意见的，视为发包人同意承包人提交的最终结清申请单，且自发包人收到承包人提交的最终结清申请单后15天起视为已颁发最终结清证书。</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（3）承包人对发包人颁发的最终结清证书有异议的，按第20条</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争议解决</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的约定办理。</w:t>
      </w:r>
    </w:p>
    <w:p>
      <w:pPr>
        <w:pStyle w:val="5"/>
        <w:spacing w:before="120" w:after="120" w:line="360" w:lineRule="auto"/>
        <w:rPr>
          <w:rFonts w:ascii="Times New Roman" w:hAnsi="Times New Roman" w:eastAsia="黑体"/>
          <w:b w:val="0"/>
          <w:color w:val="000000"/>
          <w:sz w:val="32"/>
          <w:szCs w:val="32"/>
          <w:highlight w:val="none"/>
        </w:rPr>
      </w:pPr>
      <w:bookmarkStart w:id="776" w:name="_Toc8961"/>
      <w:bookmarkStart w:id="777" w:name="_Toc15582"/>
      <w:bookmarkStart w:id="778" w:name="_Toc337558815"/>
      <w:r>
        <w:rPr>
          <w:rFonts w:ascii="Times New Roman" w:hAnsi="Times New Roman" w:eastAsia="黑体"/>
          <w:b w:val="0"/>
          <w:color w:val="000000"/>
          <w:sz w:val="32"/>
          <w:szCs w:val="32"/>
          <w:highlight w:val="none"/>
        </w:rPr>
        <w:t>15. 缺陷责任与保修</w:t>
      </w:r>
      <w:bookmarkEnd w:id="776"/>
      <w:bookmarkEnd w:id="777"/>
    </w:p>
    <w:bookmarkEnd w:id="762"/>
    <w:bookmarkEnd w:id="763"/>
    <w:bookmarkEnd w:id="778"/>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779" w:name="_Toc5670"/>
      <w:bookmarkStart w:id="780" w:name="_Toc24200"/>
      <w:bookmarkStart w:id="781" w:name="_Toc337558816"/>
      <w:bookmarkStart w:id="782" w:name="_Toc296346615"/>
      <w:bookmarkStart w:id="783" w:name="_Toc296503114"/>
      <w:r>
        <w:rPr>
          <w:rFonts w:ascii="Times New Roman" w:hAnsi="Times New Roman" w:eastAsia="黑体"/>
          <w:b w:val="0"/>
          <w:color w:val="000000"/>
          <w:sz w:val="30"/>
          <w:szCs w:val="32"/>
          <w:highlight w:val="none"/>
        </w:rPr>
        <w:t>15.1 工程保修的原则</w:t>
      </w:r>
      <w:bookmarkEnd w:id="779"/>
      <w:bookmarkEnd w:id="780"/>
    </w:p>
    <w:bookmarkEnd w:id="781"/>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在工程移交发包人后，因承包人原因产生的质量缺陷，承包人应承担质量缺陷责任和保修义务。缺陷责任期届满，承包人仍应按合同约定的工程各部位保修年限承担保修义务。</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784" w:name="_Toc31017"/>
      <w:bookmarkStart w:id="785" w:name="_Toc7460"/>
      <w:bookmarkStart w:id="786" w:name="_Toc337558817"/>
      <w:r>
        <w:rPr>
          <w:rFonts w:ascii="Times New Roman" w:hAnsi="Times New Roman" w:eastAsia="黑体"/>
          <w:b w:val="0"/>
          <w:color w:val="000000"/>
          <w:sz w:val="30"/>
          <w:szCs w:val="32"/>
          <w:highlight w:val="none"/>
        </w:rPr>
        <w:t>15.2 缺陷责任期</w:t>
      </w:r>
      <w:bookmarkEnd w:id="782"/>
      <w:bookmarkEnd w:id="783"/>
      <w:bookmarkEnd w:id="784"/>
      <w:bookmarkEnd w:id="785"/>
    </w:p>
    <w:bookmarkEnd w:id="786"/>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15.2.1 缺陷责任期</w:t>
      </w:r>
      <w:r>
        <w:rPr>
          <w:rFonts w:hint="eastAsia" w:eastAsia="仿宋_GB2312"/>
          <w:color w:val="000000"/>
          <w:kern w:val="0"/>
          <w:sz w:val="30"/>
          <w:szCs w:val="32"/>
          <w:highlight w:val="none"/>
        </w:rPr>
        <w:t>从工程通过竣工验收之日</w:t>
      </w:r>
      <w:r>
        <w:rPr>
          <w:rFonts w:ascii="Times New Roman" w:hAnsi="Times New Roman" w:eastAsia="仿宋_GB2312"/>
          <w:color w:val="000000"/>
          <w:kern w:val="0"/>
          <w:sz w:val="30"/>
          <w:szCs w:val="32"/>
          <w:highlight w:val="none"/>
        </w:rPr>
        <w:t>起计算，合同当事人应在专用合同条款约定缺陷责任期的具体期限，但该期限最长不超过24个月。</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单位工程先于全部工程进行验收，经验收合格并交付使用的，该单位工程缺陷责任期自单位工程验收合格之日起算。</w:t>
      </w:r>
      <w:r>
        <w:rPr>
          <w:rFonts w:hint="eastAsia" w:eastAsia="仿宋_GB2312"/>
          <w:color w:val="000000"/>
          <w:kern w:val="0"/>
          <w:sz w:val="30"/>
          <w:szCs w:val="32"/>
          <w:highlight w:val="none"/>
        </w:rPr>
        <w:t>因承包人原因导致工程无法按合同约定期限进行竣工验收的，缺陷责任期从实际通过竣工验收之日起计算。</w:t>
      </w:r>
      <w:r>
        <w:rPr>
          <w:rFonts w:ascii="Times New Roman" w:hAnsi="Times New Roman" w:eastAsia="仿宋_GB2312"/>
          <w:color w:val="000000"/>
          <w:kern w:val="0"/>
          <w:sz w:val="30"/>
          <w:szCs w:val="32"/>
          <w:highlight w:val="none"/>
        </w:rPr>
        <w:t>因发包人原因导致工程无法按合同约定期限进行竣工验收的，</w:t>
      </w:r>
      <w:r>
        <w:rPr>
          <w:rFonts w:hint="eastAsia" w:eastAsia="仿宋_GB2312"/>
          <w:color w:val="000000"/>
          <w:kern w:val="0"/>
          <w:sz w:val="30"/>
          <w:szCs w:val="32"/>
          <w:highlight w:val="none"/>
        </w:rPr>
        <w:t>在承包人提交竣工验收报告90天后，工程自动进入缺陷责任期</w:t>
      </w:r>
      <w:r>
        <w:rPr>
          <w:rFonts w:ascii="Times New Roman" w:hAnsi="Times New Roman" w:eastAsia="仿宋_GB2312"/>
          <w:color w:val="000000"/>
          <w:kern w:val="0"/>
          <w:sz w:val="30"/>
          <w:szCs w:val="32"/>
          <w:highlight w:val="none"/>
        </w:rPr>
        <w:t>；发包人未经竣工验收擅自使用工程的，缺陷责任期自工程转移占有之日起开始计算。</w:t>
      </w:r>
    </w:p>
    <w:p>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15.2.2</w:t>
      </w:r>
      <w:r>
        <w:rPr>
          <w:rFonts w:hint="eastAsia" w:eastAsia="仿宋_GB2312"/>
          <w:color w:val="000000"/>
          <w:kern w:val="0"/>
          <w:sz w:val="30"/>
          <w:szCs w:val="32"/>
          <w:highlight w:val="none"/>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w:t>
      </w:r>
      <w:r>
        <w:rPr>
          <w:rFonts w:ascii="Times New Roman" w:hAnsi="Times New Roman" w:eastAsia="仿宋_GB2312"/>
          <w:color w:val="000000"/>
          <w:kern w:val="0"/>
          <w:sz w:val="30"/>
          <w:szCs w:val="32"/>
          <w:highlight w:val="none"/>
        </w:rPr>
        <w:t>发包人有权要求承</w:t>
      </w:r>
      <w:r>
        <w:rPr>
          <w:rFonts w:ascii="Times New Roman" w:hAnsi="Times New Roman" w:eastAsia="仿宋_GB2312"/>
          <w:bCs/>
          <w:color w:val="000000"/>
          <w:sz w:val="30"/>
          <w:szCs w:val="32"/>
          <w:highlight w:val="none"/>
        </w:rPr>
        <w:t>包人延长缺陷责任期，</w:t>
      </w:r>
      <w:r>
        <w:rPr>
          <w:rFonts w:ascii="Times New Roman" w:hAnsi="Times New Roman" w:eastAsia="仿宋_GB2312"/>
          <w:color w:val="000000"/>
          <w:kern w:val="0"/>
          <w:sz w:val="30"/>
          <w:szCs w:val="32"/>
          <w:highlight w:val="none"/>
        </w:rPr>
        <w:t>并应在原缺陷责任期届满前发出延长通知</w:t>
      </w:r>
      <w:r>
        <w:rPr>
          <w:rFonts w:hint="eastAsia" w:ascii="Times New Roman" w:hAnsi="Times New Roman" w:eastAsia="仿宋_GB2312"/>
          <w:color w:val="000000"/>
          <w:kern w:val="0"/>
          <w:sz w:val="30"/>
          <w:szCs w:val="32"/>
          <w:highlight w:val="none"/>
        </w:rPr>
        <w:t>。</w:t>
      </w:r>
      <w:r>
        <w:rPr>
          <w:rFonts w:ascii="Times New Roman" w:hAnsi="Times New Roman" w:eastAsia="仿宋_GB2312"/>
          <w:bCs/>
          <w:color w:val="000000"/>
          <w:sz w:val="30"/>
          <w:szCs w:val="32"/>
          <w:highlight w:val="none"/>
        </w:rPr>
        <w:t>但缺陷责任期</w:t>
      </w:r>
      <w:r>
        <w:rPr>
          <w:rFonts w:hint="eastAsia" w:ascii="Times New Roman" w:hAnsi="Times New Roman" w:eastAsia="仿宋_GB2312"/>
          <w:bCs/>
          <w:color w:val="000000"/>
          <w:sz w:val="30"/>
          <w:szCs w:val="32"/>
          <w:highlight w:val="none"/>
        </w:rPr>
        <w:t>（含延长部分）</w:t>
      </w:r>
      <w:r>
        <w:rPr>
          <w:rFonts w:ascii="Times New Roman" w:hAnsi="Times New Roman" w:eastAsia="仿宋_GB2312"/>
          <w:bCs/>
          <w:color w:val="000000"/>
          <w:sz w:val="30"/>
          <w:szCs w:val="32"/>
          <w:highlight w:val="none"/>
        </w:rPr>
        <w:t>最长</w:t>
      </w:r>
      <w:r>
        <w:rPr>
          <w:rFonts w:ascii="Times New Roman" w:hAnsi="Times New Roman" w:eastAsia="仿宋_GB2312"/>
          <w:color w:val="000000"/>
          <w:kern w:val="0"/>
          <w:sz w:val="30"/>
          <w:szCs w:val="32"/>
          <w:highlight w:val="none"/>
        </w:rPr>
        <w:t>不能超过24个月。</w:t>
      </w:r>
    </w:p>
    <w:p>
      <w:pPr>
        <w:autoSpaceDE w:val="0"/>
        <w:autoSpaceDN w:val="0"/>
        <w:adjustRightInd w:val="0"/>
        <w:spacing w:line="360" w:lineRule="auto"/>
        <w:ind w:firstLine="600" w:firstLineChars="200"/>
        <w:jc w:val="left"/>
        <w:rPr>
          <w:rFonts w:eastAsia="仿宋_GB2312"/>
          <w:color w:val="000000"/>
          <w:kern w:val="0"/>
          <w:sz w:val="30"/>
          <w:szCs w:val="32"/>
          <w:highlight w:val="none"/>
        </w:rPr>
      </w:pPr>
      <w:r>
        <w:rPr>
          <w:rFonts w:hint="eastAsia" w:eastAsia="仿宋_GB2312"/>
          <w:color w:val="000000"/>
          <w:kern w:val="0"/>
          <w:sz w:val="30"/>
          <w:szCs w:val="32"/>
          <w:highlight w:val="none"/>
        </w:rPr>
        <w:t>由他人原因造成的缺陷，发包人负责组织维修，承包人不承担费用，且发包人不得从保证金中扣除费用。</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15.2.3 任何一项缺陷或损坏修复后，经检查证明其影响了工程或工程设备的使用性能，承包人应重新进行合同约定的试验和试运行，试验和试运行的全部费用应由责任方承担。</w:t>
      </w:r>
    </w:p>
    <w:p>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15.2.4</w:t>
      </w:r>
      <w:r>
        <w:rPr>
          <w:rFonts w:hint="eastAsia" w:ascii="Times New Roman" w:hAnsi="Times New Roman" w:eastAsia="仿宋_GB2312"/>
          <w:color w:val="000000"/>
          <w:kern w:val="0"/>
          <w:sz w:val="30"/>
          <w:szCs w:val="32"/>
          <w:highlight w:val="none"/>
        </w:rPr>
        <w:t xml:space="preserve"> </w:t>
      </w:r>
      <w:r>
        <w:rPr>
          <w:rFonts w:ascii="Times New Roman" w:hAnsi="Times New Roman" w:eastAsia="仿宋_GB2312"/>
          <w:color w:val="000000"/>
          <w:kern w:val="0"/>
          <w:sz w:val="30"/>
          <w:szCs w:val="32"/>
          <w:highlight w:val="none"/>
        </w:rPr>
        <w:t>除专用合同条款另有约定外，承包人应于缺陷责任期届满后7天内向发包人发出缺陷责任期</w:t>
      </w:r>
      <w:r>
        <w:rPr>
          <w:rFonts w:hint="eastAsia" w:ascii="Times New Roman" w:hAnsi="Times New Roman" w:eastAsia="仿宋_GB2312"/>
          <w:color w:val="000000"/>
          <w:kern w:val="0"/>
          <w:sz w:val="30"/>
          <w:szCs w:val="32"/>
          <w:highlight w:val="none"/>
        </w:rPr>
        <w:t>届</w:t>
      </w:r>
      <w:r>
        <w:rPr>
          <w:rFonts w:ascii="Times New Roman" w:hAnsi="Times New Roman" w:eastAsia="仿宋_GB2312"/>
          <w:color w:val="000000"/>
          <w:kern w:val="0"/>
          <w:sz w:val="30"/>
          <w:szCs w:val="32"/>
          <w:highlight w:val="none"/>
        </w:rPr>
        <w:t>满通知，发包人应在</w:t>
      </w:r>
      <w:r>
        <w:rPr>
          <w:rFonts w:hint="eastAsia" w:ascii="Times New Roman" w:hAnsi="Times New Roman" w:eastAsia="仿宋_GB2312"/>
          <w:color w:val="000000"/>
          <w:kern w:val="0"/>
          <w:sz w:val="30"/>
          <w:szCs w:val="32"/>
          <w:highlight w:val="none"/>
        </w:rPr>
        <w:t>收</w:t>
      </w:r>
      <w:r>
        <w:rPr>
          <w:rFonts w:ascii="Times New Roman" w:hAnsi="Times New Roman" w:eastAsia="仿宋_GB2312"/>
          <w:color w:val="000000"/>
          <w:kern w:val="0"/>
          <w:sz w:val="30"/>
          <w:szCs w:val="32"/>
          <w:highlight w:val="none"/>
        </w:rPr>
        <w:t>到缺陷责任期满通知后14天内核实承包人是否履行缺陷</w:t>
      </w:r>
      <w:r>
        <w:rPr>
          <w:rFonts w:hint="eastAsia" w:ascii="Times New Roman" w:hAnsi="Times New Roman" w:eastAsia="仿宋_GB2312"/>
          <w:color w:val="000000"/>
          <w:kern w:val="0"/>
          <w:sz w:val="30"/>
          <w:szCs w:val="32"/>
          <w:highlight w:val="none"/>
        </w:rPr>
        <w:t>修复</w:t>
      </w:r>
      <w:r>
        <w:rPr>
          <w:rFonts w:ascii="Times New Roman" w:hAnsi="Times New Roman" w:eastAsia="仿宋_GB2312"/>
          <w:color w:val="000000"/>
          <w:kern w:val="0"/>
          <w:sz w:val="30"/>
          <w:szCs w:val="32"/>
          <w:highlight w:val="none"/>
        </w:rPr>
        <w:t>义务，承包人未能履行缺陷</w:t>
      </w:r>
      <w:r>
        <w:rPr>
          <w:rFonts w:hint="eastAsia" w:ascii="Times New Roman" w:hAnsi="Times New Roman" w:eastAsia="仿宋_GB2312"/>
          <w:color w:val="000000"/>
          <w:kern w:val="0"/>
          <w:sz w:val="30"/>
          <w:szCs w:val="32"/>
          <w:highlight w:val="none"/>
        </w:rPr>
        <w:t>修复</w:t>
      </w:r>
      <w:r>
        <w:rPr>
          <w:rFonts w:ascii="Times New Roman" w:hAnsi="Times New Roman" w:eastAsia="仿宋_GB2312"/>
          <w:color w:val="000000"/>
          <w:kern w:val="0"/>
          <w:sz w:val="30"/>
          <w:szCs w:val="32"/>
          <w:highlight w:val="none"/>
        </w:rPr>
        <w:t>义务的，发包人有权扣除相应金额的维修费用。发包人应在</w:t>
      </w:r>
      <w:r>
        <w:rPr>
          <w:rFonts w:hint="eastAsia" w:ascii="Times New Roman" w:hAnsi="Times New Roman" w:eastAsia="仿宋_GB2312"/>
          <w:color w:val="000000"/>
          <w:kern w:val="0"/>
          <w:sz w:val="30"/>
          <w:szCs w:val="32"/>
          <w:highlight w:val="none"/>
        </w:rPr>
        <w:t>收到</w:t>
      </w:r>
      <w:r>
        <w:rPr>
          <w:rFonts w:ascii="Times New Roman" w:hAnsi="Times New Roman" w:eastAsia="仿宋_GB2312"/>
          <w:color w:val="000000"/>
          <w:kern w:val="0"/>
          <w:sz w:val="30"/>
          <w:szCs w:val="32"/>
          <w:highlight w:val="none"/>
        </w:rPr>
        <w:t>缺陷责任期</w:t>
      </w:r>
      <w:r>
        <w:rPr>
          <w:rFonts w:hint="eastAsia" w:ascii="Times New Roman" w:hAnsi="Times New Roman" w:eastAsia="仿宋_GB2312"/>
          <w:color w:val="000000"/>
          <w:kern w:val="0"/>
          <w:sz w:val="30"/>
          <w:szCs w:val="32"/>
          <w:highlight w:val="none"/>
        </w:rPr>
        <w:t>届</w:t>
      </w:r>
      <w:r>
        <w:rPr>
          <w:rFonts w:ascii="Times New Roman" w:hAnsi="Times New Roman" w:eastAsia="仿宋_GB2312"/>
          <w:color w:val="000000"/>
          <w:kern w:val="0"/>
          <w:sz w:val="30"/>
          <w:szCs w:val="32"/>
          <w:highlight w:val="none"/>
        </w:rPr>
        <w:t>满</w:t>
      </w:r>
      <w:r>
        <w:rPr>
          <w:rFonts w:hint="eastAsia" w:ascii="Times New Roman" w:hAnsi="Times New Roman" w:eastAsia="仿宋_GB2312"/>
          <w:color w:val="000000"/>
          <w:kern w:val="0"/>
          <w:sz w:val="30"/>
          <w:szCs w:val="32"/>
          <w:highlight w:val="none"/>
        </w:rPr>
        <w:t>通知后</w:t>
      </w:r>
      <w:r>
        <w:rPr>
          <w:rFonts w:ascii="Times New Roman" w:hAnsi="Times New Roman" w:eastAsia="仿宋_GB2312"/>
          <w:color w:val="000000"/>
          <w:kern w:val="0"/>
          <w:sz w:val="30"/>
          <w:szCs w:val="32"/>
          <w:highlight w:val="none"/>
        </w:rPr>
        <w:t>14天内，向承包人颁发缺陷责任期终止证</w:t>
      </w:r>
      <w:r>
        <w:rPr>
          <w:rFonts w:hint="eastAsia" w:ascii="Times New Roman" w:hAnsi="Times New Roman" w:eastAsia="仿宋_GB2312"/>
          <w:color w:val="000000"/>
          <w:kern w:val="0"/>
          <w:sz w:val="30"/>
          <w:szCs w:val="32"/>
          <w:highlight w:val="none"/>
        </w:rPr>
        <w:t>书</w:t>
      </w:r>
      <w:r>
        <w:rPr>
          <w:rFonts w:ascii="Times New Roman" w:hAnsi="Times New Roman" w:eastAsia="仿宋_GB2312"/>
          <w:color w:val="000000"/>
          <w:kern w:val="0"/>
          <w:sz w:val="30"/>
          <w:szCs w:val="32"/>
          <w:highlight w:val="none"/>
        </w:rPr>
        <w:t>。</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787" w:name="_Toc31315"/>
      <w:bookmarkStart w:id="788" w:name="_Toc24214"/>
      <w:bookmarkStart w:id="789" w:name="_Toc337558818"/>
      <w:bookmarkStart w:id="790" w:name="_Toc296346616"/>
      <w:bookmarkStart w:id="791" w:name="_Toc296503115"/>
      <w:r>
        <w:rPr>
          <w:rFonts w:ascii="Times New Roman" w:hAnsi="Times New Roman" w:eastAsia="黑体"/>
          <w:b w:val="0"/>
          <w:color w:val="000000"/>
          <w:sz w:val="30"/>
          <w:szCs w:val="32"/>
          <w:highlight w:val="none"/>
        </w:rPr>
        <w:t>15.3 质量保证金</w:t>
      </w:r>
      <w:bookmarkEnd w:id="787"/>
      <w:bookmarkEnd w:id="788"/>
    </w:p>
    <w:bookmarkEnd w:id="789"/>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hint="eastAsia" w:ascii="Times New Roman" w:hAnsi="Times New Roman" w:eastAsia="仿宋_GB2312"/>
          <w:color w:val="000000"/>
          <w:kern w:val="0"/>
          <w:sz w:val="30"/>
          <w:szCs w:val="32"/>
          <w:highlight w:val="none"/>
        </w:rPr>
        <w:t>经合同当事人协商一致扣留质量保证金的，应在专用合同条款中予以明确。</w:t>
      </w:r>
    </w:p>
    <w:p>
      <w:pPr>
        <w:spacing w:line="360" w:lineRule="auto"/>
        <w:ind w:firstLine="600" w:firstLineChars="200"/>
        <w:jc w:val="left"/>
        <w:rPr>
          <w:rFonts w:eastAsia="仿宋_GB2312"/>
          <w:color w:val="000000"/>
          <w:sz w:val="30"/>
          <w:szCs w:val="32"/>
          <w:highlight w:val="none"/>
        </w:rPr>
      </w:pPr>
      <w:r>
        <w:rPr>
          <w:rFonts w:hint="eastAsia" w:eastAsia="仿宋_GB2312"/>
          <w:color w:val="000000"/>
          <w:sz w:val="30"/>
          <w:szCs w:val="32"/>
          <w:highlight w:val="none"/>
        </w:rPr>
        <w:t>在工程项目竣工前，承包人已经提供履约担保的，发包人不得同时预留工程质量保证金。</w:t>
      </w:r>
    </w:p>
    <w:p>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highlight w:val="none"/>
        </w:rPr>
      </w:pP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 xml:space="preserve">15.3.1 </w:t>
      </w:r>
      <w:r>
        <w:rPr>
          <w:rFonts w:hint="eastAsia" w:ascii="Times New Roman" w:hAnsi="Times New Roman" w:eastAsia="仿宋_GB2312"/>
          <w:color w:val="000000"/>
          <w:kern w:val="0"/>
          <w:sz w:val="30"/>
          <w:szCs w:val="32"/>
          <w:highlight w:val="none"/>
        </w:rPr>
        <w:t>承包人提供</w:t>
      </w:r>
      <w:r>
        <w:rPr>
          <w:rFonts w:ascii="Times New Roman" w:hAnsi="Times New Roman" w:eastAsia="仿宋_GB2312"/>
          <w:color w:val="000000"/>
          <w:kern w:val="0"/>
          <w:sz w:val="30"/>
          <w:szCs w:val="32"/>
          <w:highlight w:val="none"/>
        </w:rPr>
        <w:t>质量保证金的</w:t>
      </w:r>
      <w:r>
        <w:rPr>
          <w:rFonts w:hint="eastAsia" w:ascii="Times New Roman" w:hAnsi="Times New Roman" w:eastAsia="仿宋_GB2312"/>
          <w:color w:val="000000"/>
          <w:kern w:val="0"/>
          <w:sz w:val="30"/>
          <w:szCs w:val="32"/>
          <w:highlight w:val="none"/>
        </w:rPr>
        <w:t>方</w:t>
      </w:r>
      <w:r>
        <w:rPr>
          <w:rFonts w:ascii="Times New Roman" w:hAnsi="Times New Roman" w:eastAsia="仿宋_GB2312"/>
          <w:color w:val="000000"/>
          <w:kern w:val="0"/>
          <w:sz w:val="30"/>
          <w:szCs w:val="32"/>
          <w:highlight w:val="none"/>
        </w:rPr>
        <w:t>式</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hint="eastAsia" w:ascii="Times New Roman" w:hAnsi="Times New Roman" w:eastAsia="仿宋_GB2312"/>
          <w:color w:val="000000"/>
          <w:kern w:val="0"/>
          <w:sz w:val="30"/>
          <w:szCs w:val="32"/>
          <w:highlight w:val="none"/>
        </w:rPr>
        <w:t>承包人提供</w:t>
      </w:r>
      <w:r>
        <w:rPr>
          <w:rFonts w:ascii="Times New Roman" w:hAnsi="Times New Roman" w:eastAsia="仿宋_GB2312"/>
          <w:color w:val="000000"/>
          <w:kern w:val="0"/>
          <w:sz w:val="30"/>
          <w:szCs w:val="32"/>
          <w:highlight w:val="none"/>
        </w:rPr>
        <w:t>质量保证金</w:t>
      </w:r>
      <w:r>
        <w:rPr>
          <w:rFonts w:hint="eastAsia" w:ascii="Times New Roman" w:hAnsi="Times New Roman" w:eastAsia="仿宋_GB2312"/>
          <w:color w:val="000000"/>
          <w:kern w:val="0"/>
          <w:sz w:val="30"/>
          <w:szCs w:val="32"/>
          <w:highlight w:val="none"/>
        </w:rPr>
        <w:t>有</w:t>
      </w:r>
      <w:r>
        <w:rPr>
          <w:rFonts w:ascii="Times New Roman" w:hAnsi="Times New Roman" w:eastAsia="仿宋_GB2312"/>
          <w:color w:val="000000"/>
          <w:kern w:val="0"/>
          <w:sz w:val="30"/>
          <w:szCs w:val="32"/>
          <w:highlight w:val="none"/>
        </w:rPr>
        <w:t>以下</w:t>
      </w:r>
      <w:r>
        <w:rPr>
          <w:rFonts w:hint="eastAsia" w:ascii="Times New Roman" w:hAnsi="Times New Roman" w:eastAsia="仿宋_GB2312"/>
          <w:color w:val="000000"/>
          <w:kern w:val="0"/>
          <w:sz w:val="30"/>
          <w:szCs w:val="32"/>
          <w:highlight w:val="none"/>
        </w:rPr>
        <w:t>三种方</w:t>
      </w:r>
      <w:r>
        <w:rPr>
          <w:rFonts w:ascii="Times New Roman" w:hAnsi="Times New Roman" w:eastAsia="仿宋_GB2312"/>
          <w:color w:val="000000"/>
          <w:kern w:val="0"/>
          <w:sz w:val="30"/>
          <w:szCs w:val="32"/>
          <w:highlight w:val="none"/>
        </w:rPr>
        <w:t>式：</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 xml:space="preserve">（1）质量保证金保函； </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2）相应比例的工程款；</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（3）双方约定的其他</w:t>
      </w:r>
      <w:r>
        <w:rPr>
          <w:rFonts w:hint="eastAsia" w:ascii="Times New Roman" w:hAnsi="Times New Roman" w:eastAsia="仿宋_GB2312"/>
          <w:color w:val="000000"/>
          <w:kern w:val="0"/>
          <w:sz w:val="30"/>
          <w:szCs w:val="32"/>
          <w:highlight w:val="none"/>
        </w:rPr>
        <w:t>方</w:t>
      </w:r>
      <w:r>
        <w:rPr>
          <w:rFonts w:ascii="Times New Roman" w:hAnsi="Times New Roman" w:eastAsia="仿宋_GB2312"/>
          <w:color w:val="000000"/>
          <w:kern w:val="0"/>
          <w:sz w:val="30"/>
          <w:szCs w:val="32"/>
          <w:highlight w:val="none"/>
        </w:rPr>
        <w:t>式。</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除专用合同条款另有约定外，质量保证金</w:t>
      </w:r>
      <w:r>
        <w:rPr>
          <w:rFonts w:hint="eastAsia" w:ascii="Times New Roman" w:hAnsi="Times New Roman" w:eastAsia="仿宋_GB2312"/>
          <w:color w:val="000000"/>
          <w:kern w:val="0"/>
          <w:sz w:val="30"/>
          <w:szCs w:val="32"/>
          <w:highlight w:val="none"/>
        </w:rPr>
        <w:t>原则上</w:t>
      </w:r>
      <w:r>
        <w:rPr>
          <w:rFonts w:ascii="Times New Roman" w:hAnsi="Times New Roman" w:eastAsia="仿宋_GB2312"/>
          <w:color w:val="000000"/>
          <w:kern w:val="0"/>
          <w:sz w:val="30"/>
          <w:szCs w:val="32"/>
          <w:highlight w:val="none"/>
        </w:rPr>
        <w:t>采</w:t>
      </w:r>
      <w:r>
        <w:rPr>
          <w:rFonts w:hint="eastAsia" w:ascii="Times New Roman" w:hAnsi="Times New Roman" w:eastAsia="仿宋_GB2312"/>
          <w:color w:val="000000"/>
          <w:kern w:val="0"/>
          <w:sz w:val="30"/>
          <w:szCs w:val="32"/>
          <w:highlight w:val="none"/>
        </w:rPr>
        <w:t>用上述</w:t>
      </w:r>
      <w:r>
        <w:rPr>
          <w:rFonts w:ascii="Times New Roman" w:hAnsi="Times New Roman" w:eastAsia="仿宋_GB2312"/>
          <w:color w:val="000000"/>
          <w:kern w:val="0"/>
          <w:sz w:val="30"/>
          <w:szCs w:val="32"/>
          <w:highlight w:val="none"/>
        </w:rPr>
        <w:t>第（1）种</w:t>
      </w:r>
      <w:r>
        <w:rPr>
          <w:rFonts w:hint="eastAsia" w:ascii="Times New Roman" w:hAnsi="Times New Roman" w:eastAsia="仿宋_GB2312"/>
          <w:color w:val="000000"/>
          <w:kern w:val="0"/>
          <w:sz w:val="30"/>
          <w:szCs w:val="32"/>
          <w:highlight w:val="none"/>
        </w:rPr>
        <w:t>方式。</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15.3.2 质量保证金的扣留</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质量保证金</w:t>
      </w:r>
      <w:r>
        <w:rPr>
          <w:rFonts w:hint="eastAsia" w:ascii="Times New Roman" w:hAnsi="Times New Roman" w:eastAsia="仿宋_GB2312"/>
          <w:color w:val="000000"/>
          <w:kern w:val="0"/>
          <w:sz w:val="30"/>
          <w:szCs w:val="32"/>
          <w:highlight w:val="none"/>
        </w:rPr>
        <w:t>的</w:t>
      </w:r>
      <w:r>
        <w:rPr>
          <w:rFonts w:ascii="Times New Roman" w:hAnsi="Times New Roman" w:eastAsia="仿宋_GB2312"/>
          <w:color w:val="000000"/>
          <w:kern w:val="0"/>
          <w:sz w:val="30"/>
          <w:szCs w:val="32"/>
          <w:highlight w:val="none"/>
        </w:rPr>
        <w:t>扣留</w:t>
      </w:r>
      <w:r>
        <w:rPr>
          <w:rFonts w:hint="eastAsia" w:ascii="Times New Roman" w:hAnsi="Times New Roman" w:eastAsia="仿宋_GB2312"/>
          <w:color w:val="000000"/>
          <w:kern w:val="0"/>
          <w:sz w:val="30"/>
          <w:szCs w:val="32"/>
          <w:highlight w:val="none"/>
        </w:rPr>
        <w:t>有</w:t>
      </w:r>
      <w:r>
        <w:rPr>
          <w:rFonts w:ascii="Times New Roman" w:hAnsi="Times New Roman" w:eastAsia="仿宋_GB2312"/>
          <w:color w:val="000000"/>
          <w:kern w:val="0"/>
          <w:sz w:val="30"/>
          <w:szCs w:val="32"/>
          <w:highlight w:val="none"/>
        </w:rPr>
        <w:t>以下</w:t>
      </w:r>
      <w:r>
        <w:rPr>
          <w:rFonts w:hint="eastAsia" w:ascii="Times New Roman" w:hAnsi="Times New Roman" w:eastAsia="仿宋_GB2312"/>
          <w:color w:val="000000"/>
          <w:kern w:val="0"/>
          <w:sz w:val="30"/>
          <w:szCs w:val="32"/>
          <w:highlight w:val="none"/>
        </w:rPr>
        <w:t>三</w:t>
      </w:r>
      <w:r>
        <w:rPr>
          <w:rFonts w:ascii="Times New Roman" w:hAnsi="Times New Roman" w:eastAsia="仿宋_GB2312"/>
          <w:color w:val="000000"/>
          <w:kern w:val="0"/>
          <w:sz w:val="30"/>
          <w:szCs w:val="32"/>
          <w:highlight w:val="none"/>
        </w:rPr>
        <w:t>种</w:t>
      </w:r>
      <w:r>
        <w:rPr>
          <w:rFonts w:hint="eastAsia" w:ascii="Times New Roman" w:hAnsi="Times New Roman" w:eastAsia="仿宋_GB2312"/>
          <w:color w:val="000000"/>
          <w:kern w:val="0"/>
          <w:sz w:val="30"/>
          <w:szCs w:val="32"/>
          <w:highlight w:val="none"/>
        </w:rPr>
        <w:t>方式</w:t>
      </w:r>
      <w:r>
        <w:rPr>
          <w:rFonts w:ascii="Times New Roman" w:hAnsi="Times New Roman" w:eastAsia="仿宋_GB2312"/>
          <w:color w:val="000000"/>
          <w:kern w:val="0"/>
          <w:sz w:val="30"/>
          <w:szCs w:val="32"/>
          <w:highlight w:val="none"/>
        </w:rPr>
        <w:t>：</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（1）在支付工程进度款时逐次扣留，在此情形下，质量保证金的计算基数不包括预付款的支付、扣回以及价格调整的金额；</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（2）工</w:t>
      </w:r>
      <w:bookmarkStart w:id="792" w:name="#go6"/>
      <w:bookmarkEnd w:id="792"/>
      <w:r>
        <w:rPr>
          <w:rFonts w:ascii="Times New Roman" w:hAnsi="Times New Roman" w:eastAsia="仿宋_GB2312"/>
          <w:color w:val="000000"/>
          <w:kern w:val="0"/>
          <w:sz w:val="30"/>
          <w:szCs w:val="32"/>
          <w:highlight w:val="none"/>
        </w:rPr>
        <w:t>程竣工结算时一次性扣留质量保证金；</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（3）双方约定的其他扣留方式。</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除专用合同条款另有约定外，质量保证金</w:t>
      </w:r>
      <w:r>
        <w:rPr>
          <w:rFonts w:hint="eastAsia" w:ascii="Times New Roman" w:hAnsi="Times New Roman" w:eastAsia="仿宋_GB2312"/>
          <w:color w:val="000000"/>
          <w:kern w:val="0"/>
          <w:sz w:val="30"/>
          <w:szCs w:val="32"/>
          <w:highlight w:val="none"/>
        </w:rPr>
        <w:t>的</w:t>
      </w:r>
      <w:r>
        <w:rPr>
          <w:rFonts w:ascii="Times New Roman" w:hAnsi="Times New Roman" w:eastAsia="仿宋_GB2312"/>
          <w:color w:val="000000"/>
          <w:kern w:val="0"/>
          <w:sz w:val="30"/>
          <w:szCs w:val="32"/>
          <w:highlight w:val="none"/>
        </w:rPr>
        <w:t>扣留</w:t>
      </w:r>
      <w:r>
        <w:rPr>
          <w:rFonts w:hint="eastAsia" w:ascii="Times New Roman" w:hAnsi="Times New Roman" w:eastAsia="仿宋_GB2312"/>
          <w:color w:val="000000"/>
          <w:kern w:val="0"/>
          <w:sz w:val="30"/>
          <w:szCs w:val="32"/>
          <w:highlight w:val="none"/>
        </w:rPr>
        <w:t>原则上</w:t>
      </w:r>
      <w:r>
        <w:rPr>
          <w:rFonts w:ascii="Times New Roman" w:hAnsi="Times New Roman" w:eastAsia="仿宋_GB2312"/>
          <w:color w:val="000000"/>
          <w:kern w:val="0"/>
          <w:sz w:val="30"/>
          <w:szCs w:val="32"/>
          <w:highlight w:val="none"/>
        </w:rPr>
        <w:t>采</w:t>
      </w:r>
      <w:r>
        <w:rPr>
          <w:rFonts w:hint="eastAsia" w:ascii="Times New Roman" w:hAnsi="Times New Roman" w:eastAsia="仿宋_GB2312"/>
          <w:color w:val="000000"/>
          <w:kern w:val="0"/>
          <w:sz w:val="30"/>
          <w:szCs w:val="32"/>
          <w:highlight w:val="none"/>
        </w:rPr>
        <w:t>用上述</w:t>
      </w:r>
      <w:r>
        <w:rPr>
          <w:rFonts w:ascii="Times New Roman" w:hAnsi="Times New Roman" w:eastAsia="仿宋_GB2312"/>
          <w:color w:val="000000"/>
          <w:kern w:val="0"/>
          <w:sz w:val="30"/>
          <w:szCs w:val="32"/>
          <w:highlight w:val="none"/>
        </w:rPr>
        <w:t>第（1）种方式</w:t>
      </w:r>
      <w:r>
        <w:rPr>
          <w:rFonts w:hint="eastAsia" w:ascii="Times New Roman" w:hAnsi="Times New Roman" w:eastAsia="仿宋_GB2312"/>
          <w:color w:val="000000"/>
          <w:kern w:val="0"/>
          <w:sz w:val="30"/>
          <w:szCs w:val="32"/>
          <w:highlight w:val="none"/>
        </w:rPr>
        <w:t>。</w:t>
      </w:r>
    </w:p>
    <w:p>
      <w:pPr>
        <w:autoSpaceDE w:val="0"/>
        <w:autoSpaceDN w:val="0"/>
        <w:adjustRightInd w:val="0"/>
        <w:spacing w:line="360" w:lineRule="auto"/>
        <w:ind w:firstLine="600" w:firstLineChars="200"/>
        <w:jc w:val="left"/>
        <w:rPr>
          <w:rFonts w:eastAsia="仿宋_GB2312"/>
          <w:color w:val="000000"/>
          <w:kern w:val="0"/>
          <w:sz w:val="30"/>
          <w:szCs w:val="32"/>
          <w:highlight w:val="none"/>
        </w:rPr>
      </w:pPr>
      <w:r>
        <w:rPr>
          <w:rFonts w:ascii="Times New Roman" w:hAnsi="Times New Roman" w:eastAsia="仿宋_GB2312"/>
          <w:color w:val="000000"/>
          <w:kern w:val="0"/>
          <w:sz w:val="30"/>
          <w:szCs w:val="32"/>
          <w:highlight w:val="none"/>
        </w:rPr>
        <w:t>发</w:t>
      </w:r>
      <w:bookmarkStart w:id="793" w:name="#go4"/>
      <w:bookmarkEnd w:id="793"/>
      <w:r>
        <w:rPr>
          <w:rFonts w:ascii="Times New Roman" w:hAnsi="Times New Roman" w:eastAsia="仿宋_GB2312"/>
          <w:color w:val="000000"/>
          <w:kern w:val="0"/>
          <w:sz w:val="30"/>
          <w:szCs w:val="32"/>
          <w:highlight w:val="none"/>
        </w:rPr>
        <w:t>包人累计扣留的质量保证金不得超过</w:t>
      </w:r>
      <w:r>
        <w:rPr>
          <w:rFonts w:hint="eastAsia" w:ascii="Times New Roman" w:hAnsi="Times New Roman" w:eastAsia="仿宋_GB2312"/>
          <w:color w:val="000000"/>
          <w:kern w:val="0"/>
          <w:sz w:val="30"/>
          <w:szCs w:val="32"/>
          <w:highlight w:val="none"/>
        </w:rPr>
        <w:t>工程价款结算总额</w:t>
      </w:r>
      <w:r>
        <w:rPr>
          <w:rFonts w:ascii="Times New Roman" w:hAnsi="Times New Roman" w:eastAsia="仿宋_GB2312"/>
          <w:color w:val="000000"/>
          <w:kern w:val="0"/>
          <w:sz w:val="30"/>
          <w:szCs w:val="32"/>
          <w:highlight w:val="none"/>
        </w:rPr>
        <w:t>的3%</w:t>
      </w:r>
      <w:r>
        <w:rPr>
          <w:rFonts w:hint="eastAsia" w:ascii="Times New Roman" w:hAnsi="Times New Roman" w:eastAsia="仿宋_GB2312"/>
          <w:color w:val="000000"/>
          <w:kern w:val="0"/>
          <w:sz w:val="30"/>
          <w:szCs w:val="32"/>
          <w:highlight w:val="none"/>
        </w:rPr>
        <w:t>。如</w:t>
      </w:r>
      <w:r>
        <w:rPr>
          <w:rFonts w:ascii="Times New Roman" w:hAnsi="Times New Roman" w:eastAsia="仿宋_GB2312"/>
          <w:color w:val="000000"/>
          <w:kern w:val="0"/>
          <w:sz w:val="30"/>
          <w:szCs w:val="32"/>
          <w:highlight w:val="none"/>
        </w:rPr>
        <w:t>承包人在发包人签发竣工付款证书后28天内提交质量保证金保函，发包人应同时退还扣留的作为质量保证金的工程价款</w:t>
      </w:r>
      <w:r>
        <w:rPr>
          <w:rFonts w:hint="eastAsia" w:eastAsia="仿宋_GB2312"/>
          <w:color w:val="000000"/>
          <w:kern w:val="0"/>
          <w:sz w:val="30"/>
          <w:szCs w:val="32"/>
          <w:highlight w:val="none"/>
        </w:rPr>
        <w:t>；保函金额不得超过工程价款结算总额的3%</w:t>
      </w:r>
      <w:r>
        <w:rPr>
          <w:rFonts w:eastAsia="仿宋_GB2312"/>
          <w:color w:val="000000"/>
          <w:kern w:val="0"/>
          <w:sz w:val="30"/>
          <w:szCs w:val="32"/>
          <w:highlight w:val="none"/>
        </w:rPr>
        <w:t>。</w:t>
      </w:r>
    </w:p>
    <w:p>
      <w:pPr>
        <w:autoSpaceDE w:val="0"/>
        <w:autoSpaceDN w:val="0"/>
        <w:adjustRightInd w:val="0"/>
        <w:spacing w:line="360" w:lineRule="auto"/>
        <w:ind w:firstLine="600" w:firstLineChars="200"/>
        <w:jc w:val="left"/>
        <w:rPr>
          <w:rFonts w:eastAsia="仿宋_GB2312"/>
          <w:color w:val="000000"/>
          <w:kern w:val="0"/>
          <w:sz w:val="30"/>
          <w:szCs w:val="32"/>
          <w:highlight w:val="none"/>
        </w:rPr>
      </w:pPr>
      <w:r>
        <w:rPr>
          <w:rFonts w:hint="eastAsia" w:eastAsia="仿宋_GB2312"/>
          <w:color w:val="000000"/>
          <w:kern w:val="0"/>
          <w:sz w:val="30"/>
          <w:szCs w:val="32"/>
          <w:highlight w:val="none"/>
        </w:rPr>
        <w:t>发包人在退还质量保证金的同时</w:t>
      </w:r>
      <w:r>
        <w:rPr>
          <w:rFonts w:eastAsia="仿宋_GB2312"/>
          <w:color w:val="000000"/>
          <w:kern w:val="0"/>
          <w:sz w:val="30"/>
          <w:szCs w:val="32"/>
          <w:highlight w:val="none"/>
        </w:rPr>
        <w:t>按照中国人民银行发布的同期同类贷款基准利率支付</w:t>
      </w:r>
      <w:r>
        <w:rPr>
          <w:rFonts w:hint="eastAsia" w:eastAsia="仿宋_GB2312"/>
          <w:color w:val="000000"/>
          <w:kern w:val="0"/>
          <w:sz w:val="30"/>
          <w:szCs w:val="32"/>
          <w:highlight w:val="none"/>
        </w:rPr>
        <w:t>利息。</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 xml:space="preserve">15.3.3 </w:t>
      </w:r>
      <w:r>
        <w:rPr>
          <w:rFonts w:ascii="Times New Roman" w:hAnsi="Times New Roman" w:eastAsia="仿宋_GB2312"/>
          <w:color w:val="000000"/>
          <w:sz w:val="30"/>
          <w:szCs w:val="32"/>
          <w:highlight w:val="none"/>
        </w:rPr>
        <w:t>质量保证金</w:t>
      </w:r>
      <w:r>
        <w:rPr>
          <w:rFonts w:ascii="Times New Roman" w:hAnsi="Times New Roman" w:eastAsia="仿宋_GB2312"/>
          <w:color w:val="000000"/>
          <w:kern w:val="0"/>
          <w:sz w:val="30"/>
          <w:szCs w:val="32"/>
          <w:highlight w:val="none"/>
        </w:rPr>
        <w:t>的退还</w:t>
      </w:r>
    </w:p>
    <w:p>
      <w:pPr>
        <w:autoSpaceDE w:val="0"/>
        <w:autoSpaceDN w:val="0"/>
        <w:adjustRightInd w:val="0"/>
        <w:spacing w:line="360" w:lineRule="auto"/>
        <w:ind w:firstLine="600" w:firstLineChars="200"/>
        <w:jc w:val="left"/>
        <w:rPr>
          <w:rFonts w:eastAsia="仿宋_GB2312"/>
          <w:color w:val="000000"/>
          <w:kern w:val="0"/>
          <w:sz w:val="30"/>
          <w:szCs w:val="32"/>
          <w:highlight w:val="none"/>
        </w:rPr>
      </w:pPr>
      <w:r>
        <w:rPr>
          <w:rFonts w:hint="eastAsia" w:eastAsia="仿宋_GB2312"/>
          <w:color w:val="000000"/>
          <w:kern w:val="0"/>
          <w:sz w:val="30"/>
          <w:szCs w:val="32"/>
          <w:highlight w:val="none"/>
        </w:rPr>
        <w:t>缺陷责任期内，承包人认真履行合同约定的责任，到期后，承包人可向发包人申请返还保证金。</w:t>
      </w:r>
    </w:p>
    <w:p>
      <w:pPr>
        <w:autoSpaceDE w:val="0"/>
        <w:autoSpaceDN w:val="0"/>
        <w:adjustRightInd w:val="0"/>
        <w:spacing w:line="360" w:lineRule="auto"/>
        <w:ind w:firstLine="600" w:firstLineChars="200"/>
        <w:jc w:val="left"/>
        <w:rPr>
          <w:rFonts w:eastAsia="仿宋_GB2312"/>
          <w:color w:val="000000"/>
          <w:kern w:val="0"/>
          <w:sz w:val="30"/>
          <w:szCs w:val="32"/>
          <w:highlight w:val="none"/>
        </w:rPr>
      </w:pPr>
      <w:r>
        <w:rPr>
          <w:rFonts w:hint="eastAsia" w:eastAsia="仿宋_GB2312"/>
          <w:color w:val="000000"/>
          <w:kern w:val="0"/>
          <w:sz w:val="30"/>
          <w:szCs w:val="32"/>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hint="eastAsia" w:eastAsia="仿宋_GB2312"/>
          <w:color w:val="000000"/>
          <w:kern w:val="0"/>
          <w:sz w:val="30"/>
          <w:szCs w:val="32"/>
          <w:highlight w:val="none"/>
        </w:rPr>
        <w:t>发包人和承包人对保证金预留、返还以及工程维修质量、费用有争议的，按本合同第20条约定的争议和纠纷解决程序处理</w:t>
      </w:r>
      <w:r>
        <w:rPr>
          <w:rFonts w:ascii="Times New Roman" w:hAnsi="Times New Roman" w:eastAsia="仿宋_GB2312"/>
          <w:color w:val="000000"/>
          <w:kern w:val="0"/>
          <w:sz w:val="30"/>
          <w:szCs w:val="32"/>
          <w:highlight w:val="none"/>
        </w:rPr>
        <w:t>。</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794" w:name="_Toc6560"/>
      <w:bookmarkStart w:id="795" w:name="_Toc10799"/>
      <w:bookmarkStart w:id="796" w:name="_Toc337558819"/>
      <w:r>
        <w:rPr>
          <w:rFonts w:ascii="Times New Roman" w:hAnsi="Times New Roman" w:eastAsia="黑体"/>
          <w:b w:val="0"/>
          <w:color w:val="000000"/>
          <w:sz w:val="30"/>
          <w:szCs w:val="32"/>
          <w:highlight w:val="none"/>
        </w:rPr>
        <w:t>15.4 保修</w:t>
      </w:r>
      <w:bookmarkEnd w:id="794"/>
      <w:bookmarkEnd w:id="795"/>
    </w:p>
    <w:bookmarkEnd w:id="790"/>
    <w:bookmarkEnd w:id="791"/>
    <w:bookmarkEnd w:id="796"/>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15.4.1保修责任</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发包人未经竣工验收擅自使用工程的，保修期自</w:t>
      </w:r>
      <w:r>
        <w:rPr>
          <w:rFonts w:ascii="Times New Roman" w:hAnsi="Times New Roman" w:eastAsia="仿宋_GB2312"/>
          <w:color w:val="000000"/>
          <w:kern w:val="0"/>
          <w:sz w:val="30"/>
          <w:szCs w:val="32"/>
          <w:highlight w:val="none"/>
        </w:rPr>
        <w:t>转移占有之日起算</w:t>
      </w:r>
      <w:r>
        <w:rPr>
          <w:rFonts w:ascii="Times New Roman" w:hAnsi="Times New Roman" w:eastAsia="仿宋_GB2312"/>
          <w:color w:val="000000"/>
          <w:sz w:val="30"/>
          <w:szCs w:val="32"/>
          <w:highlight w:val="none"/>
        </w:rPr>
        <w:t>。</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15.4.2 修复费用</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保修期内，修复的费用按照以下约定处理：</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（1）保修期内，因承包人原因造成工程的缺陷、损坏，承包人应负责修复，并承担修复的费用以及因工程的缺陷、损坏造成的人身伤害和财产损失；</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（2）保修期内，因发包人使用不当造成工程的缺陷、损坏，可以委托承包人修复，但发包人应承担修复的费用，并支付承包人合理利润；</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（3）因其他原因造成工程的缺陷、损坏，可以委托承包人修复，发包人应承担修复的费用，并支付承包人合理的利润，因工程的缺陷、损坏造成的人身伤害和财产损失由责任方承担。</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15.4.3 修复通知</w:t>
      </w:r>
    </w:p>
    <w:p>
      <w:pPr>
        <w:spacing w:line="360" w:lineRule="auto"/>
        <w:ind w:firstLine="600" w:firstLineChars="200"/>
        <w:jc w:val="left"/>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15.4.4 未能修复</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因承包人原因造成工程的缺陷或损坏，承包人拒绝维修或未能在合理期限内修复缺陷或损坏，且经发包人书面催告后仍未修复的，发包人有权自行修复或委托第三方修复，所需费用由承包人承担。</w:t>
      </w:r>
      <w:r>
        <w:rPr>
          <w:rFonts w:hint="eastAsia" w:ascii="Times New Roman" w:hAnsi="Times New Roman" w:eastAsia="仿宋_GB2312"/>
          <w:color w:val="000000"/>
          <w:kern w:val="0"/>
          <w:sz w:val="30"/>
          <w:szCs w:val="32"/>
          <w:highlight w:val="none"/>
        </w:rPr>
        <w:t>但修复范围超出缺陷或损坏范围的，超出范围部分的修复费用由发包人承担。</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15.4.5 承包人出入权</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pPr>
        <w:pStyle w:val="5"/>
        <w:spacing w:before="120" w:after="120" w:line="360" w:lineRule="auto"/>
        <w:rPr>
          <w:rFonts w:ascii="Times New Roman" w:hAnsi="Times New Roman" w:eastAsia="黑体"/>
          <w:b w:val="0"/>
          <w:color w:val="000000"/>
          <w:sz w:val="32"/>
          <w:szCs w:val="32"/>
          <w:highlight w:val="none"/>
        </w:rPr>
      </w:pPr>
      <w:bookmarkStart w:id="797" w:name="_Toc7688"/>
      <w:bookmarkStart w:id="798" w:name="_Toc20876"/>
      <w:bookmarkStart w:id="799" w:name="_Toc337558820"/>
      <w:r>
        <w:rPr>
          <w:rFonts w:ascii="Times New Roman" w:hAnsi="Times New Roman" w:eastAsia="黑体"/>
          <w:b w:val="0"/>
          <w:color w:val="000000"/>
          <w:sz w:val="32"/>
          <w:szCs w:val="32"/>
          <w:highlight w:val="none"/>
        </w:rPr>
        <w:t>16. 违约</w:t>
      </w:r>
      <w:bookmarkEnd w:id="797"/>
      <w:bookmarkEnd w:id="798"/>
    </w:p>
    <w:bookmarkEnd w:id="799"/>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800" w:name="_Toc296503129"/>
      <w:bookmarkStart w:id="801" w:name="_Toc296346630"/>
      <w:bookmarkStart w:id="802" w:name="_Toc11711"/>
      <w:bookmarkStart w:id="803" w:name="_Toc27457"/>
      <w:bookmarkStart w:id="804" w:name="_Toc337558821"/>
      <w:r>
        <w:rPr>
          <w:rFonts w:ascii="Times New Roman" w:hAnsi="Times New Roman" w:eastAsia="黑体"/>
          <w:b w:val="0"/>
          <w:color w:val="000000"/>
          <w:sz w:val="30"/>
          <w:szCs w:val="32"/>
          <w:highlight w:val="none"/>
        </w:rPr>
        <w:t>16.1 发</w:t>
      </w:r>
      <w:bookmarkEnd w:id="800"/>
      <w:bookmarkEnd w:id="801"/>
      <w:r>
        <w:rPr>
          <w:rFonts w:ascii="Times New Roman" w:hAnsi="Times New Roman" w:eastAsia="黑体"/>
          <w:b w:val="0"/>
          <w:color w:val="000000"/>
          <w:sz w:val="30"/>
          <w:szCs w:val="32"/>
          <w:highlight w:val="none"/>
        </w:rPr>
        <w:t>包人违约</w:t>
      </w:r>
      <w:bookmarkEnd w:id="802"/>
      <w:bookmarkEnd w:id="803"/>
    </w:p>
    <w:bookmarkEnd w:id="804"/>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16.1.1 发包人违约的情形</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在合同履行过程中发生的下列情形，属于发包人违约：</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（1）因发包人原因未能在计划开工日期前7天内下达开工通知的；</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（2）因发包人原因未能按合同约定支付合同价款的；</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（3）发包人违反第10.1款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变更的范围</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第（2）项约定，自行实施被取消的工作或转由他人实施的；</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（4）发包人提供的材料、工程设备的规格、数量或质量不符合合同约定，或因发包人原因导致交货日期延误或交货地点变更等情况的；</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（5）因发包人违反合同约定造成暂停施工的；</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（6）发包人无正当理由没有在约定期限内发出复工指示，导致承包人无法复工的；</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（7）发包人明确表示或者以其行为表明不履行合同主要义务的；</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（8）发包人未能按照合同约定履行其他义务的。</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16.1.2 发包人违约的责任</w:t>
      </w:r>
    </w:p>
    <w:p>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发包人应承担因其违约给承包人增加的费用和（或）延误的工期，并支付承包人合理的利润。此外，合同当事人可在专用合同条款中另行约定发包人违约责任的承担方式和计算方法。</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16.1.3 因发包人违约解除合同</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除专用合同条款另有约定外，承包人按第16.1.1项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发包人违约的情形</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约定暂停施工满28天后</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发包人仍不纠正其违约行为并致使合同目的不能实现的，</w:t>
      </w:r>
      <w:r>
        <w:rPr>
          <w:rFonts w:hint="eastAsia" w:ascii="Times New Roman" w:hAnsi="Times New Roman" w:eastAsia="仿宋_GB2312"/>
          <w:color w:val="000000"/>
          <w:kern w:val="0"/>
          <w:sz w:val="30"/>
          <w:szCs w:val="32"/>
          <w:highlight w:val="none"/>
        </w:rPr>
        <w:t>或</w:t>
      </w:r>
      <w:r>
        <w:rPr>
          <w:rFonts w:ascii="Times New Roman" w:hAnsi="Times New Roman" w:eastAsia="仿宋_GB2312"/>
          <w:color w:val="000000"/>
          <w:kern w:val="0"/>
          <w:sz w:val="30"/>
          <w:szCs w:val="32"/>
          <w:highlight w:val="none"/>
        </w:rPr>
        <w:t>出现第16.1.1项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发包人违约的情形</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第（7）目约定的违约情况，承包人有权解除合同，发包人应承担由此增加的费用，并支付承包人合理的利润。</w:t>
      </w:r>
    </w:p>
    <w:p>
      <w:pPr>
        <w:autoSpaceDE w:val="0"/>
        <w:autoSpaceDN w:val="0"/>
        <w:adjustRightInd w:val="0"/>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kern w:val="0"/>
          <w:sz w:val="30"/>
          <w:szCs w:val="32"/>
          <w:highlight w:val="none"/>
        </w:rPr>
        <w:t>16.1.4 因发包人违约解除合同后的付款</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承包人按照本款约定解除合同的，发包人应在解除合同后28天内支付下列款项，并解除履约担保：</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（1）合同解除前所完成工作的价款；</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（2）承包人为工程施工订购并已付款的材料、工程设备和其他物品的价款；</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（3）承包人撤离施工现场以及遣散承包人人员的款项；</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（4）按照合同约定在合同解除前应支付的违约金；</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（5）按照合同约定应当支付给承包人的其他款项；</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（6）按照合同约定应退还的质量保证金；</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（7）因解除合同给承包人造成的损失。</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合同当事人未能就解除合同后的结清达成一致的，按照第20条</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争议解决</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的约定处理。</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承包人应妥善做好已完工程和与工程有关的已购材料、工程设备的保护和移交工作，并将施工设备和人员撤出施工现场，发包人应为承包人撤出提供必要条件。</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805" w:name="_Toc31982"/>
      <w:bookmarkStart w:id="806" w:name="_Toc17205"/>
      <w:bookmarkStart w:id="807" w:name="_Toc337558822"/>
      <w:bookmarkStart w:id="808" w:name="_Toc296503131"/>
      <w:bookmarkStart w:id="809" w:name="_Toc296346632"/>
      <w:r>
        <w:rPr>
          <w:rFonts w:ascii="Times New Roman" w:hAnsi="Times New Roman" w:eastAsia="黑体"/>
          <w:b w:val="0"/>
          <w:color w:val="000000"/>
          <w:sz w:val="30"/>
          <w:szCs w:val="32"/>
          <w:highlight w:val="none"/>
        </w:rPr>
        <w:t>16.2 承包人违约</w:t>
      </w:r>
      <w:bookmarkEnd w:id="805"/>
      <w:bookmarkEnd w:id="806"/>
    </w:p>
    <w:bookmarkEnd w:id="807"/>
    <w:bookmarkEnd w:id="808"/>
    <w:bookmarkEnd w:id="809"/>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16.2.1 承包人违约的情形</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在合同履行过程中发生的下列情形，属于承包人违约：</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（1）承包人违反合同约定进行转包或违法分包的；</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（2）承包人违反合同约定采购和使用不合格的材料和工程设备的；</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 xml:space="preserve">（3）因承包人原因导致工程质量不符合合同要求的； </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（4）承包人违反第8.9款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材料与设备专用</w:t>
      </w:r>
      <w:r>
        <w:rPr>
          <w:rFonts w:hint="eastAsia" w:ascii="Times New Roman" w:hAnsi="Times New Roman" w:eastAsia="仿宋_GB2312"/>
          <w:color w:val="000000"/>
          <w:kern w:val="0"/>
          <w:sz w:val="30"/>
          <w:szCs w:val="32"/>
          <w:highlight w:val="none"/>
        </w:rPr>
        <w:t>要求〕</w:t>
      </w:r>
      <w:r>
        <w:rPr>
          <w:rFonts w:ascii="Times New Roman" w:hAnsi="Times New Roman" w:eastAsia="仿宋_GB2312"/>
          <w:color w:val="000000"/>
          <w:kern w:val="0"/>
          <w:sz w:val="30"/>
          <w:szCs w:val="32"/>
          <w:highlight w:val="none"/>
        </w:rPr>
        <w:t>的约定，未经批准，私自将已按照合同约定进入施工现场的材料或设备撤离施工现场的；</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（5）承包人未能按施工进度计划及时完成合同约定的工作，造成工期延误的；</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（6）承包人在缺陷责任期及保修期内，未能在合理期限对工程缺陷进行修复，或拒绝按发包人要求进行修复的；</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（7）承包人明确表示或者以其行为表明不履行合同主要义务的；</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（8）承包人未能按照合同约定履行其他义务的。</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承包人发生除本项第（7）目约定以外的其他违约情况时，监理人可向承包人发出整改通知，要求其在指定的期限内改正。</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16.2.2 承包人违约的责任</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承包人应承担因其违约行为而增加的费用</w:t>
      </w:r>
      <w:r>
        <w:rPr>
          <w:rFonts w:hint="eastAsia" w:ascii="Times New Roman" w:hAnsi="Times New Roman" w:eastAsia="仿宋_GB2312"/>
          <w:color w:val="000000"/>
          <w:kern w:val="0"/>
          <w:sz w:val="30"/>
          <w:szCs w:val="32"/>
          <w:highlight w:val="none"/>
        </w:rPr>
        <w:t>和（或）延误的</w:t>
      </w:r>
      <w:r>
        <w:rPr>
          <w:rFonts w:ascii="Times New Roman" w:hAnsi="Times New Roman" w:eastAsia="仿宋_GB2312"/>
          <w:color w:val="000000"/>
          <w:kern w:val="0"/>
          <w:sz w:val="30"/>
          <w:szCs w:val="32"/>
          <w:highlight w:val="none"/>
        </w:rPr>
        <w:t>工期。此外，合同当事人可在专用合同条款中另行约定承包人违约责任的承担方式和计算方法。</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16.2.3 因承包人违约解除合同</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除专用合同条款另有约定外，出现第16.2.1项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承包人违约的情形</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w:t>
      </w:r>
      <w:r>
        <w:rPr>
          <w:rFonts w:hint="eastAsia" w:ascii="Times New Roman" w:hAnsi="Times New Roman" w:eastAsia="仿宋_GB2312"/>
          <w:color w:val="000000"/>
          <w:kern w:val="0"/>
          <w:sz w:val="30"/>
          <w:szCs w:val="32"/>
          <w:highlight w:val="none"/>
        </w:rPr>
        <w:t>合同当事人应在专用合同条款约定相应费用的承担方式。</w:t>
      </w:r>
      <w:r>
        <w:rPr>
          <w:rFonts w:ascii="Times New Roman" w:hAnsi="Times New Roman" w:eastAsia="仿宋_GB2312"/>
          <w:color w:val="000000"/>
          <w:kern w:val="0"/>
          <w:sz w:val="30"/>
          <w:szCs w:val="32"/>
          <w:highlight w:val="none"/>
        </w:rPr>
        <w:t>发包人</w:t>
      </w:r>
      <w:r>
        <w:rPr>
          <w:rFonts w:hint="eastAsia" w:ascii="Times New Roman" w:hAnsi="Times New Roman" w:eastAsia="仿宋_GB2312"/>
          <w:color w:val="000000"/>
          <w:kern w:val="0"/>
          <w:sz w:val="30"/>
          <w:szCs w:val="32"/>
          <w:highlight w:val="none"/>
        </w:rPr>
        <w:t>继续使用的</w:t>
      </w:r>
      <w:r>
        <w:rPr>
          <w:rFonts w:ascii="Times New Roman" w:hAnsi="Times New Roman" w:eastAsia="仿宋_GB2312"/>
          <w:color w:val="000000"/>
          <w:kern w:val="0"/>
          <w:sz w:val="30"/>
          <w:szCs w:val="32"/>
          <w:highlight w:val="none"/>
        </w:rPr>
        <w:t>行为不免除或减轻承包人应承担的违约责任。</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16.2.4因承包人违约解除合同后的处理</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因承包人原因导致合同解除的，则合同当事人应在合同解除后28天内完成估价、付款和清算，并按以下约定执行：</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（1）合同解除后，按第4.4款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商定或确定</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商定或确定承包人实际完成工作对应的合同价款，以及承包人已提供的材料、工程设备、施工设备和临时工程等的价值；</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（2）合同解除后，承包人应支付的违约金；</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（3）合同解除后，因解除合同给发包人造成的损失；</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（4）合同解除后，承包人应按照发包人要求和监理人的指示完成现场的清理和撤离；</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（5）发包人和承包人应在合同解除后进行清算，出具最终结清付款证书，结清全部款项。</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hint="eastAsia" w:ascii="Times New Roman" w:hAnsi="Times New Roman" w:eastAsia="仿宋_GB2312"/>
          <w:color w:val="000000"/>
          <w:kern w:val="0"/>
          <w:sz w:val="30"/>
          <w:szCs w:val="32"/>
          <w:highlight w:val="none"/>
        </w:rPr>
        <w:t>因承包人违约解除合同的，</w:t>
      </w:r>
      <w:r>
        <w:rPr>
          <w:rFonts w:ascii="Times New Roman" w:hAnsi="Times New Roman" w:eastAsia="仿宋_GB2312"/>
          <w:color w:val="000000"/>
          <w:kern w:val="0"/>
          <w:sz w:val="30"/>
          <w:szCs w:val="32"/>
          <w:highlight w:val="none"/>
        </w:rPr>
        <w:t>发包人有权暂停对承包人的付款，查清各项付款和已扣款项。发包人和承包人未能就合同解除后的清算和款项支付达成一致的，按照第20条</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争议解决</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的约定处理。</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16.2.5采购合同权益转让</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810" w:name="_Toc3756"/>
      <w:bookmarkStart w:id="811" w:name="_Toc21755"/>
      <w:r>
        <w:rPr>
          <w:rFonts w:ascii="Times New Roman" w:hAnsi="Times New Roman" w:eastAsia="黑体"/>
          <w:b w:val="0"/>
          <w:color w:val="000000"/>
          <w:sz w:val="30"/>
          <w:szCs w:val="32"/>
          <w:highlight w:val="none"/>
        </w:rPr>
        <w:t>16.3 第三人造成的违约</w:t>
      </w:r>
      <w:bookmarkEnd w:id="810"/>
      <w:bookmarkEnd w:id="811"/>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在履行合同过程中，一方当事人因第三人的原因造成违约的，应当向对方当事人承担违约责任。一方当事人和第三人之间的纠纷，依照法律规定或者按照约定解决。</w:t>
      </w:r>
    </w:p>
    <w:p>
      <w:pPr>
        <w:pStyle w:val="5"/>
        <w:spacing w:before="120" w:after="120" w:line="360" w:lineRule="auto"/>
        <w:rPr>
          <w:rFonts w:ascii="Times New Roman" w:hAnsi="Times New Roman" w:eastAsia="黑体"/>
          <w:b w:val="0"/>
          <w:color w:val="000000"/>
          <w:sz w:val="32"/>
          <w:szCs w:val="32"/>
          <w:highlight w:val="none"/>
        </w:rPr>
      </w:pPr>
      <w:bookmarkStart w:id="812" w:name="_Toc26934"/>
      <w:bookmarkStart w:id="813" w:name="_Toc15292"/>
      <w:bookmarkStart w:id="814" w:name="_Toc296503116"/>
      <w:bookmarkStart w:id="815" w:name="_Toc337558823"/>
      <w:bookmarkStart w:id="816" w:name="_Toc296346617"/>
      <w:r>
        <w:rPr>
          <w:rFonts w:ascii="Times New Roman" w:hAnsi="Times New Roman" w:eastAsia="黑体"/>
          <w:b w:val="0"/>
          <w:color w:val="000000"/>
          <w:sz w:val="32"/>
          <w:szCs w:val="32"/>
          <w:highlight w:val="none"/>
        </w:rPr>
        <w:t>17. 不可抗力</w:t>
      </w:r>
      <w:bookmarkEnd w:id="812"/>
      <w:bookmarkEnd w:id="813"/>
      <w:r>
        <w:rPr>
          <w:rFonts w:ascii="Times New Roman" w:hAnsi="Times New Roman" w:eastAsia="黑体"/>
          <w:b w:val="0"/>
          <w:color w:val="000000"/>
          <w:sz w:val="32"/>
          <w:szCs w:val="32"/>
          <w:highlight w:val="none"/>
        </w:rPr>
        <w:t xml:space="preserve"> </w:t>
      </w:r>
      <w:bookmarkEnd w:id="814"/>
      <w:bookmarkEnd w:id="815"/>
      <w:bookmarkEnd w:id="816"/>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817" w:name="_Toc10717"/>
      <w:bookmarkStart w:id="818" w:name="_Toc2279"/>
      <w:bookmarkStart w:id="819" w:name="_Toc296503117"/>
      <w:bookmarkStart w:id="820" w:name="_Toc337558824"/>
      <w:bookmarkStart w:id="821" w:name="_Toc296346618"/>
      <w:r>
        <w:rPr>
          <w:rFonts w:ascii="Times New Roman" w:hAnsi="Times New Roman" w:eastAsia="黑体"/>
          <w:b w:val="0"/>
          <w:color w:val="000000"/>
          <w:sz w:val="30"/>
          <w:szCs w:val="32"/>
          <w:highlight w:val="none"/>
        </w:rPr>
        <w:t>17.1 不可抗力的确认</w:t>
      </w:r>
      <w:bookmarkEnd w:id="817"/>
      <w:bookmarkEnd w:id="818"/>
    </w:p>
    <w:bookmarkEnd w:id="819"/>
    <w:bookmarkEnd w:id="820"/>
    <w:bookmarkEnd w:id="821"/>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不可抗力发生后，发包人和承包人应收集证明不可抗力发生及不可抗力造成损失的证据，并及时认真统计所造成的损失。合同当事人对是否属于不可抗力或其损失的意见不一致的，由监理人按第4.4款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商定或确定</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的约定处理。发生争议时，按第20条</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争议解决</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的约定处理。</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822" w:name="_Toc21624"/>
      <w:bookmarkStart w:id="823" w:name="_Toc21230"/>
      <w:bookmarkStart w:id="824" w:name="_Toc296503118"/>
      <w:bookmarkStart w:id="825" w:name="_Toc337558825"/>
      <w:bookmarkStart w:id="826" w:name="_Toc296346619"/>
      <w:r>
        <w:rPr>
          <w:rFonts w:ascii="Times New Roman" w:hAnsi="Times New Roman" w:eastAsia="黑体"/>
          <w:b w:val="0"/>
          <w:color w:val="000000"/>
          <w:sz w:val="30"/>
          <w:szCs w:val="32"/>
          <w:highlight w:val="none"/>
        </w:rPr>
        <w:t>17.2 不可抗力的通知</w:t>
      </w:r>
      <w:bookmarkEnd w:id="822"/>
      <w:bookmarkEnd w:id="823"/>
    </w:p>
    <w:bookmarkEnd w:id="824"/>
    <w:bookmarkEnd w:id="825"/>
    <w:bookmarkEnd w:id="826"/>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hint="eastAsia" w:ascii="Times New Roman" w:hAnsi="Times New Roman" w:eastAsia="仿宋_GB2312"/>
          <w:color w:val="000000"/>
          <w:kern w:val="0"/>
          <w:sz w:val="30"/>
          <w:szCs w:val="32"/>
          <w:highlight w:val="none"/>
        </w:rPr>
        <w:t>合同</w:t>
      </w:r>
      <w:r>
        <w:rPr>
          <w:rFonts w:ascii="Times New Roman" w:hAnsi="Times New Roman" w:eastAsia="仿宋_GB2312"/>
          <w:color w:val="000000"/>
          <w:kern w:val="0"/>
          <w:sz w:val="30"/>
          <w:szCs w:val="32"/>
          <w:highlight w:val="none"/>
        </w:rPr>
        <w:t>一方当事人遇到不可抗力事件，使其履行合同义务受到阻碍时，应立即通知合同另一方当事人和监理人，书面说明不可抗力和受阻碍的详细情况，并提供必要的证明。</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不可抗力持续发生的，合同一方当事人应及时向合同另一方当事人和监理人提交中间报告，说明不可抗力和履行合同受阻的情况，并于不可抗力事件结束后28天内提交最终报告及有关资料。</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827" w:name="_Toc14044"/>
      <w:bookmarkStart w:id="828" w:name="_Toc8455"/>
      <w:bookmarkStart w:id="829" w:name="_Toc296346620"/>
      <w:bookmarkStart w:id="830" w:name="_Toc296503119"/>
      <w:bookmarkStart w:id="831" w:name="_Toc337558826"/>
      <w:r>
        <w:rPr>
          <w:rFonts w:ascii="Times New Roman" w:hAnsi="Times New Roman" w:eastAsia="黑体"/>
          <w:b w:val="0"/>
          <w:color w:val="000000"/>
          <w:sz w:val="30"/>
          <w:szCs w:val="32"/>
          <w:highlight w:val="none"/>
        </w:rPr>
        <w:t>17.3 不可抗力后果的承担</w:t>
      </w:r>
      <w:bookmarkEnd w:id="827"/>
      <w:bookmarkEnd w:id="828"/>
    </w:p>
    <w:bookmarkEnd w:id="829"/>
    <w:bookmarkEnd w:id="830"/>
    <w:bookmarkEnd w:id="831"/>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 xml:space="preserve">17.3.1 </w:t>
      </w:r>
      <w:r>
        <w:rPr>
          <w:rFonts w:hint="eastAsia" w:ascii="Times New Roman" w:hAnsi="Times New Roman" w:eastAsia="仿宋_GB2312"/>
          <w:color w:val="000000"/>
          <w:kern w:val="0"/>
          <w:sz w:val="30"/>
          <w:szCs w:val="32"/>
          <w:highlight w:val="none"/>
        </w:rPr>
        <w:t>不可抗力引起的后果及造成的损失由合同当事人按照法律规定及合同约定各自承担。</w:t>
      </w:r>
      <w:r>
        <w:rPr>
          <w:rFonts w:ascii="Times New Roman" w:hAnsi="Times New Roman" w:eastAsia="仿宋_GB2312"/>
          <w:color w:val="000000"/>
          <w:kern w:val="0"/>
          <w:sz w:val="30"/>
          <w:szCs w:val="32"/>
          <w:highlight w:val="none"/>
        </w:rPr>
        <w:t>不可抗力发生前已完</w:t>
      </w:r>
      <w:r>
        <w:rPr>
          <w:rFonts w:hint="eastAsia" w:ascii="Times New Roman" w:hAnsi="Times New Roman" w:eastAsia="仿宋_GB2312"/>
          <w:color w:val="000000"/>
          <w:kern w:val="0"/>
          <w:sz w:val="30"/>
          <w:szCs w:val="32"/>
          <w:highlight w:val="none"/>
        </w:rPr>
        <w:t>成的</w:t>
      </w:r>
      <w:r>
        <w:rPr>
          <w:rFonts w:ascii="Times New Roman" w:hAnsi="Times New Roman" w:eastAsia="仿宋_GB2312"/>
          <w:color w:val="000000"/>
          <w:kern w:val="0"/>
          <w:sz w:val="30"/>
          <w:szCs w:val="32"/>
          <w:highlight w:val="none"/>
        </w:rPr>
        <w:t>工程应当按照合同约定进行计量</w:t>
      </w:r>
      <w:r>
        <w:rPr>
          <w:rFonts w:hint="eastAsia" w:ascii="Times New Roman" w:hAnsi="Times New Roman" w:eastAsia="仿宋_GB2312"/>
          <w:color w:val="000000"/>
          <w:kern w:val="0"/>
          <w:sz w:val="30"/>
          <w:szCs w:val="32"/>
          <w:highlight w:val="none"/>
        </w:rPr>
        <w:t>支付</w:t>
      </w:r>
      <w:r>
        <w:rPr>
          <w:rFonts w:ascii="Times New Roman" w:hAnsi="Times New Roman" w:eastAsia="仿宋_GB2312"/>
          <w:color w:val="000000"/>
          <w:kern w:val="0"/>
          <w:sz w:val="30"/>
          <w:szCs w:val="32"/>
          <w:highlight w:val="none"/>
        </w:rPr>
        <w:t>。</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17.3.2 不可抗力导致的人员伤亡、财产损失、费用增加和（或）工期延误等后果，由合同当事人按以下原则承担：</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（1）永久工程、已运至施工现场的材料和工程设备的损坏，以及因工程损坏造成的第三人人员伤亡和财产损失由发包人承担；</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（2）承包人施工设备的损坏由承包人承担；</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（3）发包人和承包人承担各自人员伤亡和财产的损失；</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（5）因不可抗力引起或将引起工期延误，发包人要求赶工的，由此增加的赶工费用由发包人承担；</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（6）承包人在停工期间按照发包人要求照管、清理和修复工程的费用由发包人承担。</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不可抗力发生后，合同当事人均应采取措施尽量避免和减少损失的扩大，任何一方当事人没有采取有效措施导致损失扩大的，应对扩大的损失承担责任。</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因合同一方迟延履行合同义务，在迟延履行期间遭遇不可抗力的，不免除其违约责任。</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832" w:name="_Toc25988"/>
      <w:bookmarkStart w:id="833" w:name="_Toc19868"/>
      <w:bookmarkStart w:id="834" w:name="_Toc337558827"/>
      <w:r>
        <w:rPr>
          <w:rFonts w:ascii="Times New Roman" w:hAnsi="Times New Roman" w:eastAsia="黑体"/>
          <w:b w:val="0"/>
          <w:color w:val="000000"/>
          <w:sz w:val="30"/>
          <w:szCs w:val="32"/>
          <w:highlight w:val="none"/>
        </w:rPr>
        <w:t>17.4 因不可抗力解除合同</w:t>
      </w:r>
      <w:bookmarkEnd w:id="832"/>
      <w:bookmarkEnd w:id="833"/>
    </w:p>
    <w:bookmarkEnd w:id="834"/>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因不可抗力导致合同无法履行连续超过84天或累计超过140天的，发包人和承包人均有权解除合同。合同解除后，由双方当事人按照第4.4款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商定或确定</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商定或确定发包人应支付的款项，该款项包括：</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（1）合同解除前承包人已完成工作的价款；</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（2）承包人为工程订购的并已交付给承包人，或承包人有责任接受交付的材料、工程设备和其他物品的价款；</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（3）发包人要求承包人退货或解除订货合同而产生的费用，或因不能退货或解除合同而产生的损失；</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（4）承包人撤离施工现场以及遣散承包人人员的费用；</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（5）按照合同约定在合同解除前应支付给承包人的其他款项；</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（6）扣减承包人按照合同约定应向发包人支付的款项；</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（7）双方商定或确定的其他款项。</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除专用合同条款另有约定外，合同解除后，发包人应在商定或确定上述款项后28天内完成上述款项的支付。</w:t>
      </w:r>
    </w:p>
    <w:p>
      <w:pPr>
        <w:pStyle w:val="5"/>
        <w:spacing w:before="120" w:after="120" w:line="360" w:lineRule="auto"/>
        <w:rPr>
          <w:rFonts w:ascii="Times New Roman" w:hAnsi="Times New Roman" w:eastAsia="黑体"/>
          <w:b w:val="0"/>
          <w:color w:val="000000"/>
          <w:sz w:val="32"/>
          <w:szCs w:val="32"/>
          <w:highlight w:val="none"/>
        </w:rPr>
      </w:pPr>
      <w:bookmarkStart w:id="835" w:name="_Toc28911"/>
      <w:bookmarkStart w:id="836" w:name="_Toc8899"/>
      <w:bookmarkStart w:id="837" w:name="_Toc296346621"/>
      <w:bookmarkStart w:id="838" w:name="_Toc296503120"/>
      <w:bookmarkStart w:id="839" w:name="_Toc337558828"/>
      <w:r>
        <w:rPr>
          <w:rFonts w:ascii="Times New Roman" w:hAnsi="Times New Roman" w:eastAsia="黑体"/>
          <w:b w:val="0"/>
          <w:color w:val="000000"/>
          <w:sz w:val="32"/>
          <w:szCs w:val="32"/>
          <w:highlight w:val="none"/>
        </w:rPr>
        <w:t>18. 保险</w:t>
      </w:r>
      <w:bookmarkEnd w:id="835"/>
      <w:bookmarkEnd w:id="836"/>
    </w:p>
    <w:bookmarkEnd w:id="837"/>
    <w:bookmarkEnd w:id="838"/>
    <w:bookmarkEnd w:id="839"/>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840" w:name="_Toc691"/>
      <w:bookmarkStart w:id="841" w:name="_Toc28496"/>
      <w:bookmarkStart w:id="842" w:name="_Toc296346622"/>
      <w:bookmarkStart w:id="843" w:name="_Toc337558829"/>
      <w:bookmarkStart w:id="844" w:name="_Toc296503121"/>
      <w:r>
        <w:rPr>
          <w:rFonts w:ascii="Times New Roman" w:hAnsi="Times New Roman" w:eastAsia="黑体"/>
          <w:b w:val="0"/>
          <w:color w:val="000000"/>
          <w:sz w:val="30"/>
          <w:szCs w:val="32"/>
          <w:highlight w:val="none"/>
        </w:rPr>
        <w:t>18.1 工程保险</w:t>
      </w:r>
      <w:bookmarkEnd w:id="840"/>
      <w:bookmarkEnd w:id="841"/>
    </w:p>
    <w:bookmarkEnd w:id="842"/>
    <w:bookmarkEnd w:id="843"/>
    <w:bookmarkEnd w:id="844"/>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除专用合同条款另有约定外，发包人应投保建筑工程一切险或安装工程一切险；发包人委托承包人投保的，因投保产生的保险费和其他相关费用由发包人承担。</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845" w:name="_Toc13662"/>
      <w:bookmarkStart w:id="846" w:name="_Toc7418"/>
      <w:bookmarkStart w:id="847" w:name="_Toc296346623"/>
      <w:bookmarkStart w:id="848" w:name="_Toc337558830"/>
      <w:bookmarkStart w:id="849" w:name="_Toc296503122"/>
      <w:r>
        <w:rPr>
          <w:rFonts w:ascii="Times New Roman" w:hAnsi="Times New Roman" w:eastAsia="黑体"/>
          <w:b w:val="0"/>
          <w:color w:val="000000"/>
          <w:sz w:val="30"/>
          <w:szCs w:val="32"/>
          <w:highlight w:val="none"/>
        </w:rPr>
        <w:t>18.2 工伤保险</w:t>
      </w:r>
      <w:bookmarkEnd w:id="845"/>
      <w:bookmarkEnd w:id="846"/>
    </w:p>
    <w:bookmarkEnd w:id="847"/>
    <w:bookmarkEnd w:id="848"/>
    <w:bookmarkEnd w:id="849"/>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18.2.1 发包人应依照法律规定参加工伤保险，并为在施工现场的全部员工办理工伤保险，缴纳工伤保险费，并要求监理人及由发包人为履行合同聘请的第三方依法参加工伤保险。</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18.2.2 承包人应依照法律规定参加工伤保险，并为其履行合同的全部员工办理工伤保险，缴纳工伤保险费，并要求分包人及由承包人为履行合同聘请的第三方依法参加工伤保险。</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850" w:name="_Toc14713"/>
      <w:bookmarkStart w:id="851" w:name="_Toc5090"/>
      <w:bookmarkStart w:id="852" w:name="_Toc337558831"/>
      <w:bookmarkStart w:id="853" w:name="_Toc296503125"/>
      <w:bookmarkStart w:id="854" w:name="_Toc296346626"/>
      <w:r>
        <w:rPr>
          <w:rFonts w:ascii="Times New Roman" w:hAnsi="Times New Roman" w:eastAsia="黑体"/>
          <w:b w:val="0"/>
          <w:color w:val="000000"/>
          <w:sz w:val="30"/>
          <w:szCs w:val="32"/>
          <w:highlight w:val="none"/>
        </w:rPr>
        <w:t>18.3其他保险</w:t>
      </w:r>
      <w:bookmarkEnd w:id="850"/>
      <w:bookmarkEnd w:id="851"/>
    </w:p>
    <w:bookmarkEnd w:id="852"/>
    <w:bookmarkEnd w:id="853"/>
    <w:bookmarkEnd w:id="854"/>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发包人和承包人可以为其施工现场的全部人员办理意外伤害保险并支付保险费，包括其员工及为履行合同聘请的第三方的人员，具体事项由合同当事人在专用合同条款约定。</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除专用合同条款另有约定外，承包人应为其施工设备等办理财产保险。</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855" w:name="_Toc18806"/>
      <w:bookmarkStart w:id="856" w:name="_Toc5431"/>
      <w:r>
        <w:rPr>
          <w:rFonts w:ascii="Times New Roman" w:hAnsi="Times New Roman" w:eastAsia="黑体"/>
          <w:b w:val="0"/>
          <w:color w:val="000000"/>
          <w:sz w:val="30"/>
          <w:szCs w:val="32"/>
          <w:highlight w:val="none"/>
        </w:rPr>
        <w:t>18.4持续保险</w:t>
      </w:r>
      <w:bookmarkEnd w:id="855"/>
      <w:bookmarkEnd w:id="856"/>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合同当事人应与保险人保持联系，使保险人能够随时了解工程实施中的变动，并确保按保险合同条款要求持续保险。</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857" w:name="_Toc22347"/>
      <w:bookmarkStart w:id="858" w:name="_Toc18751"/>
      <w:bookmarkStart w:id="859" w:name="_Toc296346627"/>
      <w:bookmarkStart w:id="860" w:name="_Toc337558832"/>
      <w:bookmarkStart w:id="861" w:name="_Toc296503126"/>
      <w:r>
        <w:rPr>
          <w:rFonts w:ascii="Times New Roman" w:hAnsi="Times New Roman" w:eastAsia="黑体"/>
          <w:b w:val="0"/>
          <w:color w:val="000000"/>
          <w:sz w:val="30"/>
          <w:szCs w:val="32"/>
          <w:highlight w:val="none"/>
        </w:rPr>
        <w:t>18.5 保险凭证</w:t>
      </w:r>
      <w:bookmarkEnd w:id="857"/>
      <w:bookmarkEnd w:id="858"/>
    </w:p>
    <w:bookmarkEnd w:id="859"/>
    <w:bookmarkEnd w:id="860"/>
    <w:bookmarkEnd w:id="861"/>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合同当事人应及时向另一方当事人提交其已投保的各项保险的凭证和保险单复印件。</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862" w:name="_Toc31818"/>
      <w:bookmarkStart w:id="863" w:name="_Toc1680"/>
      <w:bookmarkStart w:id="864" w:name="_Toc296346628"/>
      <w:bookmarkStart w:id="865" w:name="_Toc296503127"/>
      <w:bookmarkStart w:id="866" w:name="_Toc337558833"/>
      <w:r>
        <w:rPr>
          <w:rFonts w:ascii="Times New Roman" w:hAnsi="Times New Roman" w:eastAsia="黑体"/>
          <w:b w:val="0"/>
          <w:color w:val="000000"/>
          <w:sz w:val="30"/>
          <w:szCs w:val="32"/>
          <w:highlight w:val="none"/>
        </w:rPr>
        <w:t>18.6 未按约定投保的补救</w:t>
      </w:r>
      <w:bookmarkEnd w:id="862"/>
      <w:bookmarkEnd w:id="863"/>
    </w:p>
    <w:bookmarkEnd w:id="864"/>
    <w:bookmarkEnd w:id="865"/>
    <w:bookmarkEnd w:id="866"/>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18.6.1发包人未按合同约定办理保险，或未能使保险持续有效的，则承包人可代为办理，所需费用由发包人承担。发包人未按合同约定办理保险，导致未能得到足额赔偿的，由发包人负责补足。</w:t>
      </w:r>
    </w:p>
    <w:p>
      <w:pPr>
        <w:spacing w:line="360" w:lineRule="auto"/>
        <w:ind w:firstLine="600" w:firstLineChars="200"/>
        <w:jc w:val="left"/>
        <w:rPr>
          <w:rFonts w:hint="eastAsia"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18.6.2承包人未按合同约定办理保险，或未能使保险持续有效的，则发包人可代为办理，所需费用由承包人承担。承包人未按合同约定办理保险，导致未能得到足额赔偿的，由承包人负责补足。</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867" w:name="_Toc29903"/>
      <w:bookmarkStart w:id="868" w:name="_Toc21317"/>
      <w:bookmarkStart w:id="869" w:name="_Toc337558834"/>
      <w:r>
        <w:rPr>
          <w:rFonts w:ascii="Times New Roman" w:hAnsi="Times New Roman" w:eastAsia="黑体"/>
          <w:b w:val="0"/>
          <w:color w:val="000000"/>
          <w:sz w:val="30"/>
          <w:szCs w:val="32"/>
          <w:highlight w:val="none"/>
        </w:rPr>
        <w:t>18.7 通知义务</w:t>
      </w:r>
      <w:bookmarkEnd w:id="867"/>
      <w:bookmarkEnd w:id="868"/>
    </w:p>
    <w:bookmarkEnd w:id="869"/>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保险事故发生时，投保人应按照保险合同规定的条件和期限及时向保险人报告。发包人和承包人应当在知道保险事故发生后及时通知对方。</w:t>
      </w:r>
    </w:p>
    <w:p>
      <w:pPr>
        <w:pStyle w:val="5"/>
        <w:spacing w:before="120" w:after="120" w:line="360" w:lineRule="auto"/>
        <w:rPr>
          <w:rFonts w:ascii="Times New Roman" w:hAnsi="Times New Roman" w:eastAsia="黑体"/>
          <w:b w:val="0"/>
          <w:color w:val="000000"/>
          <w:sz w:val="32"/>
          <w:szCs w:val="32"/>
          <w:highlight w:val="none"/>
        </w:rPr>
      </w:pPr>
      <w:bookmarkStart w:id="870" w:name="_Toc10271"/>
      <w:bookmarkStart w:id="871" w:name="_Toc24619"/>
      <w:bookmarkStart w:id="872" w:name="_Toc337558835"/>
      <w:bookmarkStart w:id="873" w:name="_Toc296346641"/>
      <w:bookmarkStart w:id="874" w:name="_Toc296503140"/>
      <w:r>
        <w:rPr>
          <w:rFonts w:ascii="Times New Roman" w:hAnsi="Times New Roman" w:eastAsia="黑体"/>
          <w:b w:val="0"/>
          <w:color w:val="000000"/>
          <w:sz w:val="32"/>
          <w:szCs w:val="32"/>
          <w:highlight w:val="none"/>
        </w:rPr>
        <w:t>19. 索赔</w:t>
      </w:r>
      <w:bookmarkEnd w:id="870"/>
      <w:bookmarkEnd w:id="871"/>
    </w:p>
    <w:bookmarkEnd w:id="872"/>
    <w:bookmarkEnd w:id="873"/>
    <w:bookmarkEnd w:id="874"/>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875" w:name="_Toc16828"/>
      <w:bookmarkStart w:id="876" w:name="_Toc22816"/>
      <w:bookmarkStart w:id="877" w:name="_Toc337558836"/>
      <w:bookmarkStart w:id="878" w:name="_Toc296503141"/>
      <w:bookmarkStart w:id="879" w:name="_Toc296346642"/>
      <w:r>
        <w:rPr>
          <w:rFonts w:ascii="Times New Roman" w:hAnsi="Times New Roman" w:eastAsia="黑体"/>
          <w:b w:val="0"/>
          <w:color w:val="000000"/>
          <w:sz w:val="30"/>
          <w:szCs w:val="32"/>
          <w:highlight w:val="none"/>
        </w:rPr>
        <w:t>19.1承包人的索赔</w:t>
      </w:r>
      <w:bookmarkEnd w:id="875"/>
      <w:bookmarkEnd w:id="876"/>
    </w:p>
    <w:bookmarkEnd w:id="877"/>
    <w:bookmarkEnd w:id="878"/>
    <w:bookmarkEnd w:id="879"/>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根据合同约定，承包人认为有权得到追加付款和（或）延长工期的，应按以下程序向</w:t>
      </w:r>
      <w:r>
        <w:rPr>
          <w:rFonts w:hint="eastAsia" w:ascii="Times New Roman" w:hAnsi="Times New Roman" w:eastAsia="仿宋_GB2312"/>
          <w:color w:val="000000"/>
          <w:kern w:val="0"/>
          <w:sz w:val="30"/>
          <w:szCs w:val="32"/>
          <w:highlight w:val="none"/>
        </w:rPr>
        <w:t>发包</w:t>
      </w:r>
      <w:r>
        <w:rPr>
          <w:rFonts w:ascii="Times New Roman" w:hAnsi="Times New Roman" w:eastAsia="仿宋_GB2312"/>
          <w:color w:val="000000"/>
          <w:kern w:val="0"/>
          <w:sz w:val="30"/>
          <w:szCs w:val="32"/>
          <w:highlight w:val="none"/>
        </w:rPr>
        <w:t>人提出索赔：</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（2）承包人应在发出索赔意向通知书后28天内，向监理人正式递交索赔报告；索赔报告应详细说明索赔理由以及要求追加的付款金额和（或）延长的工期，并附必要的记录和证明材料；</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（3）索赔事件具有持续影响的，承包人应按合理时间间隔继续递交延续索赔通知，说明持续影响的实际情况和记录，列出累计的追加付款金额和（或）工期延长天数；</w:t>
      </w:r>
    </w:p>
    <w:p>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（4）在索赔事件影响结束后28天内，承包人应向监理人递交最终索赔报告，说明最终要求索赔的追加付款金额和（或）延长的工期，并附必要的记录和证明材料。</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880" w:name="_Toc8264"/>
      <w:bookmarkStart w:id="881" w:name="_Toc16541"/>
      <w:bookmarkStart w:id="882" w:name="_Toc296503142"/>
      <w:bookmarkStart w:id="883" w:name="_Toc337558837"/>
      <w:bookmarkStart w:id="884" w:name="_Toc296346643"/>
      <w:r>
        <w:rPr>
          <w:rFonts w:ascii="Times New Roman" w:hAnsi="Times New Roman" w:eastAsia="黑体"/>
          <w:b w:val="0"/>
          <w:color w:val="000000"/>
          <w:sz w:val="30"/>
          <w:szCs w:val="32"/>
          <w:highlight w:val="none"/>
        </w:rPr>
        <w:t>19.2 对承包人索赔的处理</w:t>
      </w:r>
      <w:bookmarkEnd w:id="880"/>
      <w:bookmarkEnd w:id="881"/>
    </w:p>
    <w:bookmarkEnd w:id="882"/>
    <w:bookmarkEnd w:id="883"/>
    <w:bookmarkEnd w:id="884"/>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对承包人索赔的处理如下：</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（1）监理人应在收到索赔报告后14天内完成审查并报送发包人。监理人对索赔报告存在异议的，有权要求承包人提交全部原始记录副本；</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（2）发包人应在监理人收到索赔报告或有关索赔的进一步证明材料后的28天内，由监理人向承包人出具经发包人签认的索赔处理结果。发包人逾期答复的，则视为认可承包人的索赔要求；</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（3）承包人接受索赔处理结果的，索赔款项在当期进度款中进行支付；承包人不接受索赔处理结果的，按照第20条</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争议解决</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约定处理。</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885" w:name="_Toc28762"/>
      <w:bookmarkStart w:id="886" w:name="_Toc16155"/>
      <w:bookmarkStart w:id="887" w:name="_Toc296503143"/>
      <w:bookmarkStart w:id="888" w:name="_Toc337558838"/>
      <w:bookmarkStart w:id="889" w:name="_Toc296346644"/>
      <w:r>
        <w:rPr>
          <w:rFonts w:ascii="Times New Roman" w:hAnsi="Times New Roman" w:eastAsia="黑体"/>
          <w:b w:val="0"/>
          <w:color w:val="000000"/>
          <w:sz w:val="30"/>
          <w:szCs w:val="32"/>
          <w:highlight w:val="none"/>
        </w:rPr>
        <w:t>19.3发包人的索赔</w:t>
      </w:r>
      <w:bookmarkEnd w:id="885"/>
      <w:bookmarkEnd w:id="886"/>
    </w:p>
    <w:bookmarkEnd w:id="887"/>
    <w:bookmarkEnd w:id="888"/>
    <w:bookmarkEnd w:id="889"/>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根据合同约定，发包人认为有权得到赔付金额和（或）延长缺陷责任期的，监理人应向承包人发出通知并附有详细的证明。</w:t>
      </w:r>
    </w:p>
    <w:p>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890" w:name="_Toc30578"/>
      <w:bookmarkStart w:id="891" w:name="_Toc7350"/>
      <w:bookmarkStart w:id="892" w:name="_Toc296346645"/>
      <w:bookmarkStart w:id="893" w:name="_Toc296503144"/>
      <w:bookmarkStart w:id="894" w:name="_Toc337558839"/>
      <w:r>
        <w:rPr>
          <w:rFonts w:ascii="Times New Roman" w:hAnsi="Times New Roman" w:eastAsia="黑体"/>
          <w:b w:val="0"/>
          <w:color w:val="000000"/>
          <w:sz w:val="30"/>
          <w:szCs w:val="32"/>
          <w:highlight w:val="none"/>
        </w:rPr>
        <w:t>19.4 对发包人索赔的处理</w:t>
      </w:r>
      <w:bookmarkEnd w:id="890"/>
      <w:bookmarkEnd w:id="891"/>
    </w:p>
    <w:bookmarkEnd w:id="892"/>
    <w:bookmarkEnd w:id="893"/>
    <w:bookmarkEnd w:id="894"/>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对发包人索赔的处理如下：</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（1）承包人收到发包人提交的索赔报告后，应及时审查索赔报告的内容、查验发包人证明材料；</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（2）承包人应在收到索赔报告或有关索赔的进一步证明材料后28天内，将索赔处理结果答复发包人。如果承包人未在上述期限内作出答复的，则视为对发包人索赔要求的认可；</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（3）承包人接受索赔处理结果的，发包人可从应支付给承包人的合同价款中扣除赔付的金额或延长缺陷责任期；发包人不接受索赔处理结果的，按第20条</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争议解决</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约定处理。</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895" w:name="_Toc25305"/>
      <w:bookmarkStart w:id="896" w:name="_Toc31464"/>
      <w:r>
        <w:rPr>
          <w:rFonts w:ascii="Times New Roman" w:hAnsi="Times New Roman" w:eastAsia="黑体"/>
          <w:b w:val="0"/>
          <w:color w:val="000000"/>
          <w:sz w:val="30"/>
          <w:szCs w:val="32"/>
          <w:highlight w:val="none"/>
        </w:rPr>
        <w:t>19.5 提出索赔的期限</w:t>
      </w:r>
      <w:bookmarkEnd w:id="895"/>
      <w:bookmarkEnd w:id="896"/>
    </w:p>
    <w:p>
      <w:pPr>
        <w:spacing w:line="360" w:lineRule="auto"/>
        <w:ind w:firstLine="600" w:firstLineChars="200"/>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（1）承包人按第14.2款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竣工结算审核</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约定接收竣工付款证书后，应被视为已无权再提出在工程接收证书颁发前所发生的任何索赔。</w:t>
      </w:r>
    </w:p>
    <w:p>
      <w:pPr>
        <w:spacing w:line="360" w:lineRule="auto"/>
        <w:ind w:firstLine="600" w:firstLineChars="200"/>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（2）承包人按第14.4款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最终结清</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提交的最终结清申请单中，只限于提出工程接收证书颁发后发生的索赔。提出索赔的期限自接受最终结清证书时终止。</w:t>
      </w:r>
    </w:p>
    <w:p>
      <w:pPr>
        <w:pStyle w:val="5"/>
        <w:spacing w:before="120" w:after="120" w:line="360" w:lineRule="auto"/>
        <w:rPr>
          <w:rFonts w:ascii="Times New Roman" w:hAnsi="Times New Roman" w:eastAsia="黑体"/>
          <w:b w:val="0"/>
          <w:color w:val="000000"/>
          <w:sz w:val="32"/>
          <w:szCs w:val="32"/>
          <w:highlight w:val="none"/>
        </w:rPr>
      </w:pPr>
      <w:bookmarkStart w:id="897" w:name="_Toc3070"/>
      <w:bookmarkStart w:id="898" w:name="_Toc21314"/>
      <w:r>
        <w:rPr>
          <w:rFonts w:ascii="Times New Roman" w:hAnsi="Times New Roman" w:eastAsia="黑体"/>
          <w:b w:val="0"/>
          <w:color w:val="000000"/>
          <w:sz w:val="32"/>
          <w:szCs w:val="32"/>
          <w:highlight w:val="none"/>
        </w:rPr>
        <w:t>20</w:t>
      </w:r>
      <w:bookmarkStart w:id="899" w:name="_Toc337558840"/>
      <w:bookmarkStart w:id="900" w:name="_Toc296346647"/>
      <w:bookmarkStart w:id="901" w:name="_Toc296503146"/>
      <w:r>
        <w:rPr>
          <w:rFonts w:ascii="Times New Roman" w:hAnsi="Times New Roman" w:eastAsia="黑体"/>
          <w:b w:val="0"/>
          <w:color w:val="000000"/>
          <w:sz w:val="32"/>
          <w:szCs w:val="32"/>
          <w:highlight w:val="none"/>
        </w:rPr>
        <w:t>. 争议解决</w:t>
      </w:r>
      <w:bookmarkEnd w:id="897"/>
      <w:bookmarkEnd w:id="898"/>
    </w:p>
    <w:bookmarkEnd w:id="899"/>
    <w:bookmarkEnd w:id="900"/>
    <w:bookmarkEnd w:id="901"/>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902" w:name="_Toc18001"/>
      <w:bookmarkStart w:id="903" w:name="_Toc10612"/>
      <w:bookmarkStart w:id="904" w:name="_Toc337558841"/>
      <w:bookmarkStart w:id="905" w:name="_Toc296346648"/>
      <w:bookmarkStart w:id="906" w:name="_Toc296503147"/>
      <w:r>
        <w:rPr>
          <w:rFonts w:ascii="Times New Roman" w:hAnsi="Times New Roman" w:eastAsia="黑体"/>
          <w:b w:val="0"/>
          <w:color w:val="000000"/>
          <w:sz w:val="30"/>
          <w:szCs w:val="32"/>
          <w:highlight w:val="none"/>
        </w:rPr>
        <w:t>20.1和解</w:t>
      </w:r>
      <w:bookmarkEnd w:id="902"/>
      <w:bookmarkEnd w:id="903"/>
    </w:p>
    <w:bookmarkEnd w:id="904"/>
    <w:bookmarkEnd w:id="905"/>
    <w:bookmarkEnd w:id="906"/>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合同当事人可以就争议自行和解，自行和解达成协议的经双方签字并盖章后作为合同补充文件，双方均应遵照执行。</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907" w:name="_Toc13010"/>
      <w:bookmarkStart w:id="908" w:name="_Toc15553"/>
      <w:r>
        <w:rPr>
          <w:rFonts w:ascii="Times New Roman" w:hAnsi="Times New Roman" w:eastAsia="黑体"/>
          <w:b w:val="0"/>
          <w:color w:val="000000"/>
          <w:sz w:val="30"/>
          <w:szCs w:val="32"/>
          <w:highlight w:val="none"/>
        </w:rPr>
        <w:t>20</w:t>
      </w:r>
      <w:bookmarkStart w:id="909" w:name="_Toc296503148"/>
      <w:bookmarkStart w:id="910" w:name="_Toc337558842"/>
      <w:bookmarkStart w:id="911" w:name="_Toc296346649"/>
      <w:r>
        <w:rPr>
          <w:rFonts w:ascii="Times New Roman" w:hAnsi="Times New Roman" w:eastAsia="黑体"/>
          <w:b w:val="0"/>
          <w:color w:val="000000"/>
          <w:sz w:val="30"/>
          <w:szCs w:val="32"/>
          <w:highlight w:val="none"/>
        </w:rPr>
        <w:t>.2调解</w:t>
      </w:r>
      <w:bookmarkEnd w:id="907"/>
      <w:bookmarkEnd w:id="908"/>
    </w:p>
    <w:bookmarkEnd w:id="909"/>
    <w:bookmarkEnd w:id="910"/>
    <w:bookmarkEnd w:id="911"/>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合同当事人可以就争议请求建设行政主管部门</w:t>
      </w:r>
      <w:r>
        <w:rPr>
          <w:rFonts w:hint="eastAsia" w:ascii="Times New Roman" w:hAnsi="Times New Roman" w:eastAsia="仿宋_GB2312"/>
          <w:color w:val="000000"/>
          <w:kern w:val="0"/>
          <w:sz w:val="30"/>
          <w:szCs w:val="32"/>
          <w:highlight w:val="none"/>
        </w:rPr>
        <w:t>、行业协会</w:t>
      </w:r>
      <w:r>
        <w:rPr>
          <w:rFonts w:ascii="Times New Roman" w:hAnsi="Times New Roman" w:eastAsia="仿宋_GB2312"/>
          <w:color w:val="000000"/>
          <w:kern w:val="0"/>
          <w:sz w:val="30"/>
          <w:szCs w:val="32"/>
          <w:highlight w:val="none"/>
        </w:rPr>
        <w:t>或</w:t>
      </w:r>
      <w:r>
        <w:rPr>
          <w:rFonts w:hint="eastAsia" w:ascii="Times New Roman" w:hAnsi="Times New Roman" w:eastAsia="仿宋_GB2312"/>
          <w:color w:val="000000"/>
          <w:kern w:val="0"/>
          <w:sz w:val="30"/>
          <w:szCs w:val="32"/>
          <w:highlight w:val="none"/>
        </w:rPr>
        <w:t>其他</w:t>
      </w:r>
      <w:r>
        <w:rPr>
          <w:rFonts w:ascii="Times New Roman" w:hAnsi="Times New Roman" w:eastAsia="仿宋_GB2312"/>
          <w:color w:val="000000"/>
          <w:kern w:val="0"/>
          <w:sz w:val="30"/>
          <w:szCs w:val="32"/>
          <w:highlight w:val="none"/>
        </w:rPr>
        <w:t>第三方进行调解，调解达成协议的，经双方签字并盖章后作为合同补充文件，双方均应遵照执行。</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912" w:name="_Toc21795"/>
      <w:bookmarkStart w:id="913" w:name="_Toc13772"/>
      <w:bookmarkStart w:id="914" w:name="_Toc296503149"/>
      <w:bookmarkStart w:id="915" w:name="_Toc296346650"/>
      <w:bookmarkStart w:id="916" w:name="_Toc337558843"/>
      <w:r>
        <w:rPr>
          <w:rFonts w:ascii="Times New Roman" w:hAnsi="Times New Roman" w:eastAsia="黑体"/>
          <w:b w:val="0"/>
          <w:color w:val="000000"/>
          <w:sz w:val="30"/>
          <w:szCs w:val="32"/>
          <w:highlight w:val="none"/>
        </w:rPr>
        <w:t>20.3争议评审</w:t>
      </w:r>
      <w:bookmarkEnd w:id="912"/>
      <w:bookmarkEnd w:id="913"/>
    </w:p>
    <w:bookmarkEnd w:id="914"/>
    <w:bookmarkEnd w:id="915"/>
    <w:bookmarkEnd w:id="916"/>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合同当事人在专用合同条款中约定采取争议评审方式解决争议</w:t>
      </w:r>
      <w:r>
        <w:rPr>
          <w:rFonts w:hint="eastAsia" w:ascii="Times New Roman" w:hAnsi="Times New Roman" w:eastAsia="仿宋_GB2312"/>
          <w:color w:val="000000"/>
          <w:kern w:val="0"/>
          <w:sz w:val="30"/>
          <w:szCs w:val="32"/>
          <w:highlight w:val="none"/>
        </w:rPr>
        <w:t>以及评审规则，并</w:t>
      </w:r>
      <w:r>
        <w:rPr>
          <w:rFonts w:ascii="Times New Roman" w:hAnsi="Times New Roman" w:eastAsia="仿宋_GB2312"/>
          <w:color w:val="000000"/>
          <w:kern w:val="0"/>
          <w:sz w:val="30"/>
          <w:szCs w:val="32"/>
          <w:highlight w:val="none"/>
        </w:rPr>
        <w:t xml:space="preserve">按下列约定执行： </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20.3.1 争议评审小组的确定</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合同当事人可以共同选择一名或三名争议评审员，组成争议评审小组。除专用合同条款另有约定外，合同当事人应当自合同签订后28天内，或者争议发生后14天内，选定争议评审员。</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Pr>
          <w:rFonts w:hint="eastAsia" w:ascii="Times New Roman" w:hAnsi="Times New Roman" w:eastAsia="仿宋_GB2312"/>
          <w:color w:val="000000"/>
          <w:kern w:val="0"/>
          <w:sz w:val="30"/>
          <w:szCs w:val="32"/>
          <w:highlight w:val="none"/>
        </w:rPr>
        <w:t>评审</w:t>
      </w:r>
      <w:r>
        <w:rPr>
          <w:rFonts w:ascii="Times New Roman" w:hAnsi="Times New Roman" w:eastAsia="仿宋_GB2312"/>
          <w:color w:val="000000"/>
          <w:kern w:val="0"/>
          <w:sz w:val="30"/>
          <w:szCs w:val="32"/>
          <w:highlight w:val="none"/>
        </w:rPr>
        <w:t xml:space="preserve">机构指定第三名首席争议评审员。 </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除专用合同条款另有约定外，评审员报酬由发包人和承包人各承担一半。</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20.3.2 争议评审小组的决定</w:t>
      </w:r>
    </w:p>
    <w:p>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20.3.3 争议评审小组决定的效力</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争议评审小组作出的书面决定经合同当事人签字确认后，对双方具有约束力，双方应遵照执行。</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任何一方当事人不接受争议评审小组决定</w:t>
      </w:r>
      <w:r>
        <w:rPr>
          <w:rFonts w:hint="eastAsia" w:ascii="Times New Roman" w:hAnsi="Times New Roman" w:eastAsia="仿宋_GB2312"/>
          <w:color w:val="000000"/>
          <w:kern w:val="0"/>
          <w:sz w:val="30"/>
          <w:szCs w:val="32"/>
          <w:highlight w:val="none"/>
        </w:rPr>
        <w:t>或不履行争议评审小组决定的</w:t>
      </w:r>
      <w:r>
        <w:rPr>
          <w:rFonts w:ascii="Times New Roman" w:hAnsi="Times New Roman" w:eastAsia="仿宋_GB2312"/>
          <w:color w:val="000000"/>
          <w:kern w:val="0"/>
          <w:sz w:val="30"/>
          <w:szCs w:val="32"/>
          <w:highlight w:val="none"/>
        </w:rPr>
        <w:t>，双方可选择采用其他争议解决方式。</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917" w:name="_Toc5401"/>
      <w:bookmarkStart w:id="918" w:name="_Toc18128"/>
      <w:bookmarkStart w:id="919" w:name="_Toc296503150"/>
      <w:bookmarkStart w:id="920" w:name="_Toc337558844"/>
      <w:bookmarkStart w:id="921" w:name="_Toc296346651"/>
      <w:r>
        <w:rPr>
          <w:rFonts w:ascii="Times New Roman" w:hAnsi="Times New Roman" w:eastAsia="黑体"/>
          <w:b w:val="0"/>
          <w:color w:val="000000"/>
          <w:sz w:val="30"/>
          <w:szCs w:val="32"/>
          <w:highlight w:val="none"/>
        </w:rPr>
        <w:t>20.4仲裁或诉讼</w:t>
      </w:r>
      <w:bookmarkEnd w:id="917"/>
      <w:bookmarkEnd w:id="918"/>
    </w:p>
    <w:bookmarkEnd w:id="919"/>
    <w:bookmarkEnd w:id="920"/>
    <w:bookmarkEnd w:id="921"/>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因合同及合同有关事项产生的争议，合同当事人可以在专用合同条款中约定以下一种方式解决争议：</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（1）向约定的仲裁委员会申请仲裁；</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（2）向有管辖权的人民法院起诉。</w:t>
      </w:r>
    </w:p>
    <w:p>
      <w:pPr>
        <w:pStyle w:val="6"/>
        <w:spacing w:before="120" w:after="120" w:line="360" w:lineRule="auto"/>
        <w:ind w:firstLine="600" w:firstLineChars="200"/>
        <w:rPr>
          <w:rFonts w:ascii="Times New Roman" w:hAnsi="Times New Roman" w:eastAsia="黑体"/>
          <w:b w:val="0"/>
          <w:color w:val="000000"/>
          <w:sz w:val="30"/>
          <w:szCs w:val="32"/>
          <w:highlight w:val="none"/>
        </w:rPr>
      </w:pPr>
      <w:bookmarkStart w:id="922" w:name="_Toc1363"/>
      <w:bookmarkStart w:id="923" w:name="_Toc8282"/>
      <w:bookmarkStart w:id="924" w:name="_Toc296503152"/>
      <w:bookmarkStart w:id="925" w:name="_Toc337558845"/>
      <w:bookmarkStart w:id="926" w:name="_Toc296346653"/>
      <w:r>
        <w:rPr>
          <w:rFonts w:ascii="Times New Roman" w:hAnsi="Times New Roman" w:eastAsia="黑体"/>
          <w:b w:val="0"/>
          <w:color w:val="000000"/>
          <w:sz w:val="30"/>
          <w:szCs w:val="32"/>
          <w:highlight w:val="none"/>
        </w:rPr>
        <w:t>20.5争议解决条款效力</w:t>
      </w:r>
      <w:bookmarkEnd w:id="922"/>
      <w:bookmarkEnd w:id="923"/>
    </w:p>
    <w:bookmarkEnd w:id="924"/>
    <w:bookmarkEnd w:id="925"/>
    <w:bookmarkEnd w:id="926"/>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 xml:space="preserve">合同有关争议解决的条款独立存在，合同的变更、解除、终止、无效或者被撤销均不影响其效力。 </w:t>
      </w:r>
    </w:p>
    <w:p>
      <w:pPr>
        <w:pStyle w:val="4"/>
        <w:jc w:val="center"/>
        <w:rPr>
          <w:rFonts w:ascii="宋体" w:hAnsi="宋体"/>
          <w:sz w:val="44"/>
          <w:szCs w:val="44"/>
          <w:highlight w:val="none"/>
        </w:rPr>
      </w:pPr>
      <w:r>
        <w:rPr>
          <w:rFonts w:ascii="华文中宋" w:hAnsi="华文中宋" w:eastAsia="华文中宋"/>
          <w:sz w:val="44"/>
          <w:szCs w:val="44"/>
          <w:highlight w:val="none"/>
        </w:rPr>
        <w:br w:type="page"/>
      </w:r>
      <w:bookmarkStart w:id="927" w:name="_Toc18971"/>
      <w:bookmarkStart w:id="928" w:name="_Toc25763"/>
      <w:bookmarkStart w:id="929" w:name="_Toc7854"/>
      <w:bookmarkStart w:id="930" w:name="_Toc516"/>
      <w:r>
        <w:rPr>
          <w:rFonts w:ascii="宋体" w:hAnsi="宋体"/>
          <w:sz w:val="44"/>
          <w:szCs w:val="44"/>
          <w:highlight w:val="none"/>
        </w:rPr>
        <w:t xml:space="preserve">第三部分 </w:t>
      </w:r>
      <w:r>
        <w:rPr>
          <w:rFonts w:hint="eastAsia" w:ascii="宋体" w:hAnsi="宋体"/>
          <w:sz w:val="44"/>
          <w:szCs w:val="44"/>
          <w:highlight w:val="none"/>
        </w:rPr>
        <w:t>专用合同条款</w:t>
      </w:r>
      <w:bookmarkEnd w:id="927"/>
      <w:bookmarkEnd w:id="928"/>
      <w:bookmarkEnd w:id="929"/>
      <w:bookmarkEnd w:id="930"/>
    </w:p>
    <w:p>
      <w:pPr>
        <w:pStyle w:val="5"/>
        <w:spacing w:before="120" w:after="120" w:line="360" w:lineRule="auto"/>
        <w:rPr>
          <w:rFonts w:ascii="Times New Roman" w:hAnsi="Times New Roman" w:eastAsia="黑体"/>
          <w:b w:val="0"/>
          <w:color w:val="000000"/>
          <w:sz w:val="32"/>
          <w:szCs w:val="32"/>
          <w:highlight w:val="none"/>
        </w:rPr>
      </w:pPr>
      <w:bookmarkStart w:id="931" w:name="_Toc12490"/>
      <w:bookmarkStart w:id="932" w:name="_Toc19146"/>
      <w:r>
        <w:rPr>
          <w:rFonts w:ascii="Times New Roman" w:hAnsi="Times New Roman" w:eastAsia="黑体"/>
          <w:b w:val="0"/>
          <w:color w:val="000000"/>
          <w:sz w:val="32"/>
          <w:szCs w:val="32"/>
          <w:highlight w:val="none"/>
        </w:rPr>
        <w:t>1</w:t>
      </w:r>
      <w:bookmarkStart w:id="933" w:name="_Toc296890984"/>
      <w:bookmarkStart w:id="934" w:name="_Toc292559361"/>
      <w:bookmarkStart w:id="935" w:name="_Toc297120456"/>
      <w:bookmarkStart w:id="936" w:name="_Toc292559866"/>
      <w:bookmarkStart w:id="937" w:name="_Toc296347155"/>
      <w:bookmarkStart w:id="938" w:name="_Toc296891196"/>
      <w:bookmarkStart w:id="939" w:name="_Toc297048342"/>
      <w:bookmarkStart w:id="940" w:name="_Toc296944495"/>
      <w:bookmarkStart w:id="941" w:name="_Toc296346657"/>
      <w:bookmarkStart w:id="942" w:name="_Toc296503156"/>
      <w:r>
        <w:rPr>
          <w:rFonts w:ascii="Times New Roman" w:hAnsi="Times New Roman" w:eastAsia="黑体"/>
          <w:b w:val="0"/>
          <w:color w:val="000000"/>
          <w:sz w:val="32"/>
          <w:szCs w:val="32"/>
          <w:highlight w:val="none"/>
        </w:rPr>
        <w:t>. 一般约定</w:t>
      </w:r>
      <w:bookmarkEnd w:id="931"/>
      <w:bookmarkEnd w:id="932"/>
    </w:p>
    <w:bookmarkEnd w:id="933"/>
    <w:bookmarkEnd w:id="934"/>
    <w:bookmarkEnd w:id="935"/>
    <w:bookmarkEnd w:id="936"/>
    <w:bookmarkEnd w:id="937"/>
    <w:bookmarkEnd w:id="938"/>
    <w:bookmarkEnd w:id="939"/>
    <w:bookmarkEnd w:id="940"/>
    <w:bookmarkEnd w:id="941"/>
    <w:bookmarkEnd w:id="942"/>
    <w:p>
      <w:pPr>
        <w:spacing w:after="120" w:line="360" w:lineRule="auto"/>
        <w:ind w:firstLine="600" w:firstLineChars="200"/>
        <w:outlineLvl w:val="0"/>
        <w:rPr>
          <w:rFonts w:ascii="Times New Roman" w:hAnsi="Times New Roman" w:eastAsia="黑体"/>
          <w:color w:val="000000"/>
          <w:sz w:val="30"/>
          <w:szCs w:val="32"/>
          <w:highlight w:val="none"/>
        </w:rPr>
      </w:pPr>
      <w:bookmarkStart w:id="943" w:name="_Toc30930"/>
      <w:bookmarkStart w:id="944" w:name="_Toc32540"/>
      <w:bookmarkStart w:id="945" w:name="_Toc2398"/>
      <w:bookmarkStart w:id="946" w:name="_Toc31804"/>
      <w:r>
        <w:rPr>
          <w:rFonts w:ascii="Times New Roman" w:hAnsi="Times New Roman" w:eastAsia="黑体"/>
          <w:color w:val="000000"/>
          <w:sz w:val="30"/>
          <w:szCs w:val="32"/>
          <w:highlight w:val="none"/>
        </w:rPr>
        <w:t>1.1 词语定义</w:t>
      </w:r>
      <w:bookmarkEnd w:id="943"/>
      <w:bookmarkEnd w:id="944"/>
      <w:bookmarkEnd w:id="945"/>
      <w:bookmarkEnd w:id="946"/>
    </w:p>
    <w:p>
      <w:pPr>
        <w:spacing w:line="360" w:lineRule="auto"/>
        <w:ind w:firstLine="600" w:firstLineChars="200"/>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1.1.1合同</w:t>
      </w:r>
    </w:p>
    <w:p>
      <w:pPr>
        <w:spacing w:line="360" w:lineRule="auto"/>
        <w:ind w:firstLine="600" w:firstLineChars="200"/>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1.1.1.10其他合同文件包括：</w:t>
      </w:r>
      <w:r>
        <w:rPr>
          <w:rFonts w:ascii="Times New Roman" w:hAnsi="Times New Roman" w:eastAsia="仿宋_GB2312"/>
          <w:color w:val="000000"/>
          <w:sz w:val="30"/>
          <w:szCs w:val="32"/>
          <w:highlight w:val="none"/>
          <w:u w:val="single"/>
        </w:rPr>
        <w:t xml:space="preserve">                      </w:t>
      </w:r>
    </w:p>
    <w:p>
      <w:pPr>
        <w:spacing w:line="360" w:lineRule="auto"/>
        <w:ind w:left="1650" w:hanging="1650" w:hangingChars="550"/>
        <w:rPr>
          <w:rFonts w:hint="eastAsia"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p>
    <w:p>
      <w:pPr>
        <w:spacing w:line="360" w:lineRule="auto"/>
        <w:ind w:left="1650" w:hanging="1650" w:hangingChars="550"/>
        <w:rPr>
          <w:rFonts w:ascii="Times New Roman" w:hAnsi="Times New Roman" w:eastAsia="仿宋_GB2312"/>
          <w:color w:val="000000"/>
          <w:kern w:val="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1.1.2 合同当事人及其他相关方</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1.1.2.4监理人：</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名    称：</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资质类别和等级：</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联系电话：</w:t>
      </w:r>
      <w:r>
        <w:rPr>
          <w:rFonts w:ascii="Times New Roman" w:hAnsi="Times New Roman" w:eastAsia="仿宋_GB2312"/>
          <w:color w:val="000000"/>
          <w:sz w:val="30"/>
          <w:szCs w:val="32"/>
          <w:highlight w:val="none"/>
          <w:u w:val="single"/>
        </w:rPr>
        <w:t>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电子信箱：</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通信地址：</w:t>
      </w:r>
      <w:r>
        <w:rPr>
          <w:rFonts w:ascii="Times New Roman" w:hAnsi="Times New Roman" w:eastAsia="仿宋_GB2312"/>
          <w:color w:val="000000"/>
          <w:sz w:val="30"/>
          <w:szCs w:val="32"/>
          <w:highlight w:val="none"/>
          <w:u w:val="single"/>
        </w:rPr>
        <w:t>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1.1.2.5 设计人：</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名    称：</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资质类别和等级：</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联系电话：</w:t>
      </w:r>
      <w:r>
        <w:rPr>
          <w:rFonts w:ascii="Times New Roman" w:hAnsi="Times New Roman" w:eastAsia="仿宋_GB2312"/>
          <w:color w:val="000000"/>
          <w:sz w:val="30"/>
          <w:szCs w:val="32"/>
          <w:highlight w:val="none"/>
          <w:u w:val="single"/>
        </w:rPr>
        <w:t>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电子信箱：</w:t>
      </w:r>
      <w:r>
        <w:rPr>
          <w:rFonts w:ascii="Times New Roman" w:hAnsi="Times New Roman" w:eastAsia="仿宋_GB2312"/>
          <w:color w:val="000000"/>
          <w:sz w:val="30"/>
          <w:szCs w:val="32"/>
          <w:highlight w:val="none"/>
          <w:u w:val="single"/>
        </w:rPr>
        <w:t>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rPr>
          <w:rFonts w:hint="eastAsia"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通信地址：</w:t>
      </w:r>
      <w:r>
        <w:rPr>
          <w:rFonts w:ascii="Times New Roman" w:hAnsi="Times New Roman" w:eastAsia="仿宋_GB2312"/>
          <w:color w:val="000000"/>
          <w:sz w:val="30"/>
          <w:szCs w:val="32"/>
          <w:highlight w:val="none"/>
          <w:u w:val="single"/>
        </w:rPr>
        <w:t>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1.1.3 工程和设备</w:t>
      </w:r>
    </w:p>
    <w:p>
      <w:pPr>
        <w:spacing w:line="360" w:lineRule="auto"/>
        <w:ind w:firstLine="600" w:firstLineChars="200"/>
        <w:rPr>
          <w:rFonts w:hint="eastAsia"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1.1.3.7 作为施工现场组成部分的其他场所包括：</w:t>
      </w:r>
      <w:r>
        <w:rPr>
          <w:rFonts w:hint="eastAsia" w:ascii="Times New Roman" w:hAnsi="Times New Roman" w:eastAsia="仿宋_GB2312"/>
          <w:color w:val="000000"/>
          <w:sz w:val="30"/>
          <w:szCs w:val="32"/>
          <w:highlight w:val="none"/>
          <w:u w:val="single"/>
        </w:rPr>
        <w:t xml:space="preserve">           </w:t>
      </w:r>
    </w:p>
    <w:p>
      <w:pPr>
        <w:spacing w:line="360" w:lineRule="auto"/>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1.1.3.9 永久占地包括：</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 </w:t>
      </w:r>
      <w:r>
        <w:rPr>
          <w:rFonts w:ascii="Times New Roman" w:hAnsi="Times New Roman" w:eastAsia="仿宋_GB2312"/>
          <w:color w:val="000000"/>
          <w:kern w:val="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kern w:val="0"/>
          <w:sz w:val="30"/>
          <w:szCs w:val="32"/>
          <w:highlight w:val="none"/>
        </w:rPr>
        <w:t>1.1.3.10 临时占地包括：</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 </w:t>
      </w:r>
      <w:r>
        <w:rPr>
          <w:rFonts w:ascii="Times New Roman" w:hAnsi="Times New Roman" w:eastAsia="仿宋_GB2312"/>
          <w:color w:val="000000"/>
          <w:kern w:val="0"/>
          <w:sz w:val="30"/>
          <w:szCs w:val="32"/>
          <w:highlight w:val="none"/>
        </w:rPr>
        <w:t>。</w:t>
      </w:r>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 xml:space="preserve">1.3法律 </w:t>
      </w:r>
    </w:p>
    <w:p>
      <w:pPr>
        <w:autoSpaceDE w:val="0"/>
        <w:autoSpaceDN w:val="0"/>
        <w:adjustRightInd w:val="0"/>
        <w:spacing w:line="360" w:lineRule="auto"/>
        <w:ind w:left="625" w:leftChars="284"/>
        <w:jc w:val="left"/>
        <w:rPr>
          <w:rFonts w:hint="eastAsia"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适用于合同的其他规范性文件：</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p>
    <w:p>
      <w:pPr>
        <w:autoSpaceDE w:val="0"/>
        <w:autoSpaceDN w:val="0"/>
        <w:adjustRightInd w:val="0"/>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1.4 标准和规范</w:t>
      </w:r>
    </w:p>
    <w:p>
      <w:pPr>
        <w:spacing w:line="360" w:lineRule="auto"/>
        <w:ind w:left="625" w:leftChars="284"/>
        <w:rPr>
          <w:rFonts w:hint="eastAsia"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1.4.1适用于工程的标准规范包括：</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sz w:val="30"/>
          <w:szCs w:val="32"/>
          <w:highlight w:val="none"/>
        </w:rPr>
        <w:t xml:space="preserve"> </w:t>
      </w:r>
    </w:p>
    <w:p>
      <w:pPr>
        <w:spacing w:line="360" w:lineRule="auto"/>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outlineLvl w:val="0"/>
        <w:rPr>
          <w:rFonts w:ascii="Times New Roman" w:hAnsi="Times New Roman" w:eastAsia="仿宋_GB2312"/>
          <w:color w:val="000000"/>
          <w:kern w:val="0"/>
          <w:sz w:val="30"/>
          <w:szCs w:val="32"/>
          <w:highlight w:val="none"/>
          <w:u w:val="single"/>
        </w:rPr>
      </w:pPr>
      <w:bookmarkStart w:id="947" w:name="_Toc5287"/>
      <w:bookmarkStart w:id="948" w:name="_Toc14596"/>
      <w:bookmarkStart w:id="949" w:name="_Toc28759"/>
      <w:bookmarkStart w:id="950" w:name="_Toc1337"/>
      <w:r>
        <w:rPr>
          <w:rFonts w:ascii="Times New Roman" w:hAnsi="Times New Roman" w:eastAsia="仿宋_GB2312"/>
          <w:color w:val="000000"/>
          <w:kern w:val="0"/>
          <w:sz w:val="30"/>
          <w:szCs w:val="32"/>
          <w:highlight w:val="none"/>
        </w:rPr>
        <w:t>1.4.2 发包人提供国外标准、规范的名称：</w:t>
      </w:r>
      <w:bookmarkEnd w:id="947"/>
      <w:bookmarkEnd w:id="948"/>
      <w:bookmarkEnd w:id="949"/>
      <w:bookmarkEnd w:id="950"/>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p>
    <w:p>
      <w:pPr>
        <w:spacing w:line="360" w:lineRule="auto"/>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w:t>
      </w:r>
    </w:p>
    <w:p>
      <w:pPr>
        <w:spacing w:line="360" w:lineRule="auto"/>
        <w:ind w:firstLine="600" w:firstLineChars="200"/>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发包人提供国外标准、规范的份数：</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kern w:val="0"/>
          <w:sz w:val="30"/>
          <w:szCs w:val="32"/>
          <w:highlight w:val="none"/>
        </w:rPr>
        <w:t>发包人提供国外标准、规范的名称：</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w:t>
      </w:r>
    </w:p>
    <w:p>
      <w:pPr>
        <w:spacing w:line="360" w:lineRule="auto"/>
        <w:ind w:left="625" w:leftChars="284"/>
        <w:rPr>
          <w:rFonts w:hint="eastAsia"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1.4.3发包人对工程的技术标准和功能要求的特殊要求：</w:t>
      </w:r>
    </w:p>
    <w:p>
      <w:pPr>
        <w:spacing w:line="360" w:lineRule="auto"/>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after="120" w:line="360" w:lineRule="auto"/>
        <w:ind w:firstLine="600" w:firstLineChars="200"/>
        <w:outlineLvl w:val="0"/>
        <w:rPr>
          <w:rFonts w:ascii="Times New Roman" w:hAnsi="Times New Roman" w:eastAsia="黑体"/>
          <w:color w:val="000000"/>
          <w:sz w:val="30"/>
          <w:szCs w:val="32"/>
          <w:highlight w:val="none"/>
        </w:rPr>
      </w:pPr>
      <w:bookmarkStart w:id="951" w:name="_Toc24881"/>
      <w:bookmarkStart w:id="952" w:name="_Toc11686"/>
      <w:bookmarkStart w:id="953" w:name="_Toc26704"/>
      <w:bookmarkStart w:id="954" w:name="_Toc20731"/>
      <w:r>
        <w:rPr>
          <w:rFonts w:ascii="Times New Roman" w:hAnsi="Times New Roman" w:eastAsia="黑体"/>
          <w:color w:val="000000"/>
          <w:sz w:val="30"/>
          <w:szCs w:val="32"/>
          <w:highlight w:val="none"/>
        </w:rPr>
        <w:t>1.5 合同文件的优先顺序</w:t>
      </w:r>
      <w:bookmarkEnd w:id="951"/>
      <w:bookmarkEnd w:id="952"/>
      <w:bookmarkEnd w:id="953"/>
      <w:bookmarkEnd w:id="954"/>
    </w:p>
    <w:p>
      <w:pPr>
        <w:spacing w:line="360" w:lineRule="auto"/>
        <w:ind w:firstLine="600" w:firstLineChars="200"/>
        <w:rPr>
          <w:rFonts w:hint="eastAsia"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合同文件组成及优先顺序为：</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sz w:val="30"/>
          <w:szCs w:val="32"/>
          <w:highlight w:val="non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w:t>
      </w:r>
      <w:r>
        <w:rPr>
          <w:rFonts w:ascii="Times New Roman" w:hAnsi="Times New Roman" w:eastAsia="仿宋_GB2312"/>
          <w:color w:val="000000"/>
          <w:sz w:val="30"/>
          <w:szCs w:val="32"/>
          <w:highlight w:val="none"/>
        </w:rPr>
        <w:t>。</w:t>
      </w:r>
    </w:p>
    <w:p>
      <w:pPr>
        <w:spacing w:after="120" w:line="360" w:lineRule="auto"/>
        <w:ind w:firstLine="600" w:firstLineChars="200"/>
        <w:outlineLvl w:val="0"/>
        <w:rPr>
          <w:rFonts w:ascii="Times New Roman" w:hAnsi="Times New Roman" w:eastAsia="黑体"/>
          <w:color w:val="000000"/>
          <w:sz w:val="30"/>
          <w:szCs w:val="32"/>
          <w:highlight w:val="none"/>
        </w:rPr>
      </w:pPr>
      <w:bookmarkStart w:id="955" w:name="_Toc28756"/>
      <w:bookmarkStart w:id="956" w:name="_Toc9730"/>
      <w:bookmarkStart w:id="957" w:name="_Toc28094"/>
      <w:bookmarkStart w:id="958" w:name="_Toc20634"/>
      <w:r>
        <w:rPr>
          <w:rFonts w:ascii="Times New Roman" w:hAnsi="Times New Roman" w:eastAsia="黑体"/>
          <w:color w:val="000000"/>
          <w:sz w:val="30"/>
          <w:szCs w:val="32"/>
          <w:highlight w:val="none"/>
        </w:rPr>
        <w:t>1.6 图纸和承包人文件</w:t>
      </w:r>
      <w:bookmarkEnd w:id="955"/>
      <w:bookmarkEnd w:id="956"/>
      <w:bookmarkEnd w:id="957"/>
      <w:bookmarkEnd w:id="958"/>
      <w:r>
        <w:rPr>
          <w:rFonts w:ascii="Times New Roman" w:hAnsi="Times New Roman" w:eastAsia="黑体"/>
          <w:color w:val="000000"/>
          <w:sz w:val="30"/>
          <w:szCs w:val="32"/>
          <w:highlight w:val="none"/>
        </w:rPr>
        <w:tab/>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1.6.1 图纸的提供</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发包人向承包人提供图纸的期限：</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发包人向承包人提供图纸的数量：</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发包人向承包人提供图纸的内容：</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1.6.4 承包人文件</w:t>
      </w:r>
    </w:p>
    <w:p>
      <w:pPr>
        <w:spacing w:line="360" w:lineRule="auto"/>
        <w:ind w:left="625" w:leftChars="284"/>
        <w:jc w:val="left"/>
        <w:rPr>
          <w:rFonts w:hint="eastAsia"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需要由承包人提供的文件，包括：</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p>
    <w:p>
      <w:pPr>
        <w:spacing w:line="360" w:lineRule="auto"/>
        <w:ind w:left="625" w:leftChars="284"/>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承包人提供的文件的期限为：</w:t>
      </w:r>
      <w:r>
        <w:rPr>
          <w:rFonts w:ascii="Times New Roman" w:hAnsi="Times New Roman" w:eastAsia="仿宋_GB2312"/>
          <w:color w:val="000000"/>
          <w:sz w:val="30"/>
          <w:szCs w:val="32"/>
          <w:highlight w:val="none"/>
          <w:u w:val="single"/>
        </w:rPr>
        <w:t>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承包人提供的文件的数量为：</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承包人提供的文件的形式为：</w:t>
      </w:r>
      <w:r>
        <w:rPr>
          <w:rFonts w:ascii="Times New Roman" w:hAnsi="Times New Roman" w:eastAsia="仿宋_GB2312"/>
          <w:color w:val="000000"/>
          <w:sz w:val="30"/>
          <w:szCs w:val="32"/>
          <w:highlight w:val="none"/>
          <w:u w:val="single"/>
        </w:rPr>
        <w:t>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发包人</w:t>
      </w:r>
      <w:r>
        <w:rPr>
          <w:rFonts w:hint="eastAsia" w:ascii="Times New Roman" w:hAnsi="Times New Roman" w:eastAsia="仿宋_GB2312"/>
          <w:color w:val="000000"/>
          <w:sz w:val="30"/>
          <w:szCs w:val="32"/>
          <w:highlight w:val="none"/>
        </w:rPr>
        <w:t>审批</w:t>
      </w:r>
      <w:r>
        <w:rPr>
          <w:rFonts w:ascii="Times New Roman" w:hAnsi="Times New Roman" w:eastAsia="仿宋_GB2312"/>
          <w:color w:val="000000"/>
          <w:sz w:val="30"/>
          <w:szCs w:val="32"/>
          <w:highlight w:val="none"/>
        </w:rPr>
        <w:t>承包人文件的期限：</w:t>
      </w:r>
      <w:r>
        <w:rPr>
          <w:rFonts w:ascii="Times New Roman" w:hAnsi="Times New Roman" w:eastAsia="仿宋_GB2312"/>
          <w:color w:val="000000"/>
          <w:sz w:val="30"/>
          <w:szCs w:val="32"/>
          <w:highlight w:val="none"/>
          <w:u w:val="single"/>
        </w:rPr>
        <w:t>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1.6.5 现场图纸准备</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关于现场图纸准备的约定：</w:t>
      </w:r>
      <w:r>
        <w:rPr>
          <w:rFonts w:ascii="Times New Roman" w:hAnsi="Times New Roman" w:eastAsia="仿宋_GB2312"/>
          <w:color w:val="000000"/>
          <w:sz w:val="30"/>
          <w:szCs w:val="32"/>
          <w:highlight w:val="none"/>
          <w:u w:val="single"/>
        </w:rPr>
        <w:t>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sz w:val="30"/>
          <w:szCs w:val="32"/>
          <w:highlight w:val="none"/>
        </w:rPr>
        <w:t>。</w:t>
      </w:r>
    </w:p>
    <w:p>
      <w:pPr>
        <w:spacing w:after="120" w:line="360" w:lineRule="auto"/>
        <w:ind w:firstLine="600" w:firstLineChars="200"/>
        <w:outlineLvl w:val="0"/>
        <w:rPr>
          <w:rFonts w:ascii="Times New Roman" w:hAnsi="Times New Roman" w:eastAsia="黑体"/>
          <w:color w:val="000000"/>
          <w:sz w:val="30"/>
          <w:szCs w:val="32"/>
          <w:highlight w:val="none"/>
        </w:rPr>
      </w:pPr>
      <w:bookmarkStart w:id="959" w:name="_Toc13994"/>
      <w:bookmarkStart w:id="960" w:name="_Toc11720"/>
      <w:bookmarkStart w:id="961" w:name="_Toc12344"/>
      <w:bookmarkStart w:id="962" w:name="_Toc9691"/>
      <w:r>
        <w:rPr>
          <w:rFonts w:ascii="Times New Roman" w:hAnsi="Times New Roman" w:eastAsia="黑体"/>
          <w:color w:val="000000"/>
          <w:sz w:val="30"/>
          <w:szCs w:val="32"/>
          <w:highlight w:val="none"/>
        </w:rPr>
        <w:t>1.7 联络</w:t>
      </w:r>
      <w:bookmarkEnd w:id="959"/>
      <w:bookmarkEnd w:id="960"/>
      <w:bookmarkEnd w:id="961"/>
      <w:bookmarkEnd w:id="962"/>
    </w:p>
    <w:p>
      <w:pPr>
        <w:spacing w:line="360" w:lineRule="auto"/>
        <w:ind w:firstLine="600" w:firstLineChars="200"/>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1.7.1发包人和承包人应当在</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kern w:val="0"/>
          <w:sz w:val="30"/>
          <w:szCs w:val="32"/>
          <w:highlight w:val="none"/>
        </w:rPr>
        <w:t>天内将与合同有关的通知、批准、证明、证书、指示、指令、要求、请求、同意、意见、确定和决定等书面函件送达对方当事人</w:t>
      </w:r>
      <w:r>
        <w:rPr>
          <w:rFonts w:hint="eastAsia" w:ascii="Times New Roman" w:hAnsi="Times New Roman" w:eastAsia="仿宋_GB2312"/>
          <w:color w:val="000000"/>
          <w:kern w:val="0"/>
          <w:sz w:val="30"/>
          <w:szCs w:val="32"/>
          <w:highlight w:val="none"/>
        </w:rPr>
        <w:t>。</w:t>
      </w:r>
    </w:p>
    <w:p>
      <w:pPr>
        <w:spacing w:line="360" w:lineRule="auto"/>
        <w:ind w:firstLine="600" w:firstLineChars="200"/>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1.7.2 发包人接收文件的地点：</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kern w:val="0"/>
          <w:sz w:val="30"/>
          <w:szCs w:val="32"/>
          <w:highlight w:val="none"/>
        </w:rPr>
        <w:t>；</w:t>
      </w:r>
    </w:p>
    <w:p>
      <w:pPr>
        <w:spacing w:line="360" w:lineRule="auto"/>
        <w:ind w:firstLine="600" w:firstLineChars="200"/>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发包人指定的接收人为：</w:t>
      </w:r>
      <w:r>
        <w:rPr>
          <w:rFonts w:ascii="Times New Roman" w:hAnsi="Times New Roman" w:eastAsia="仿宋_GB2312"/>
          <w:color w:val="000000"/>
          <w:sz w:val="30"/>
          <w:szCs w:val="32"/>
          <w:highlight w:val="none"/>
          <w:u w:val="single"/>
        </w:rPr>
        <w:t>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kern w:val="0"/>
          <w:sz w:val="30"/>
          <w:szCs w:val="32"/>
          <w:highlight w:val="none"/>
        </w:rPr>
        <w:t>。</w:t>
      </w:r>
    </w:p>
    <w:p>
      <w:pPr>
        <w:spacing w:line="360" w:lineRule="auto"/>
        <w:ind w:firstLine="600" w:firstLineChars="200"/>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承包人接收文件的地点：</w:t>
      </w:r>
      <w:r>
        <w:rPr>
          <w:rFonts w:ascii="Times New Roman" w:hAnsi="Times New Roman" w:eastAsia="仿宋_GB2312"/>
          <w:color w:val="000000"/>
          <w:sz w:val="30"/>
          <w:szCs w:val="32"/>
          <w:highlight w:val="none"/>
          <w:u w:val="single"/>
        </w:rPr>
        <w:t>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kern w:val="0"/>
          <w:sz w:val="30"/>
          <w:szCs w:val="32"/>
          <w:highlight w:val="none"/>
        </w:rPr>
        <w:t>；</w:t>
      </w:r>
    </w:p>
    <w:p>
      <w:pPr>
        <w:spacing w:line="360" w:lineRule="auto"/>
        <w:ind w:firstLine="600" w:firstLineChars="200"/>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承包人指定的接收人为：</w:t>
      </w:r>
      <w:r>
        <w:rPr>
          <w:rFonts w:ascii="Times New Roman" w:hAnsi="Times New Roman" w:eastAsia="仿宋_GB2312"/>
          <w:color w:val="000000"/>
          <w:sz w:val="30"/>
          <w:szCs w:val="32"/>
          <w:highlight w:val="none"/>
          <w:u w:val="single"/>
        </w:rPr>
        <w:t>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kern w:val="0"/>
          <w:sz w:val="30"/>
          <w:szCs w:val="32"/>
          <w:highlight w:val="none"/>
        </w:rPr>
        <w:t>。</w:t>
      </w:r>
    </w:p>
    <w:p>
      <w:pPr>
        <w:spacing w:line="360" w:lineRule="auto"/>
        <w:ind w:firstLine="600" w:firstLineChars="200"/>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监理人接收文件的地点：</w:t>
      </w:r>
      <w:r>
        <w:rPr>
          <w:rFonts w:ascii="Times New Roman" w:hAnsi="Times New Roman" w:eastAsia="仿宋_GB2312"/>
          <w:color w:val="000000"/>
          <w:sz w:val="30"/>
          <w:szCs w:val="32"/>
          <w:highlight w:val="none"/>
          <w:u w:val="single"/>
        </w:rPr>
        <w:t>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kern w:val="0"/>
          <w:sz w:val="30"/>
          <w:szCs w:val="32"/>
          <w:highlight w:val="none"/>
        </w:rPr>
        <w:t>；</w:t>
      </w:r>
    </w:p>
    <w:p>
      <w:pPr>
        <w:spacing w:line="360" w:lineRule="auto"/>
        <w:ind w:firstLine="600" w:firstLineChars="200"/>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监理人指定的接收人为：</w:t>
      </w:r>
      <w:r>
        <w:rPr>
          <w:rFonts w:ascii="Times New Roman" w:hAnsi="Times New Roman" w:eastAsia="仿宋_GB2312"/>
          <w:color w:val="000000"/>
          <w:sz w:val="30"/>
          <w:szCs w:val="32"/>
          <w:highlight w:val="none"/>
          <w:u w:val="single"/>
        </w:rPr>
        <w:t>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kern w:val="0"/>
          <w:sz w:val="30"/>
          <w:szCs w:val="32"/>
          <w:highlight w:val="none"/>
        </w:rPr>
        <w:t>。</w:t>
      </w:r>
    </w:p>
    <w:p>
      <w:pPr>
        <w:spacing w:after="120" w:line="360" w:lineRule="auto"/>
        <w:ind w:firstLine="600" w:firstLineChars="200"/>
        <w:outlineLvl w:val="0"/>
        <w:rPr>
          <w:rFonts w:ascii="Times New Roman" w:hAnsi="Times New Roman" w:eastAsia="黑体"/>
          <w:color w:val="000000"/>
          <w:sz w:val="30"/>
          <w:szCs w:val="32"/>
          <w:highlight w:val="none"/>
        </w:rPr>
      </w:pPr>
      <w:bookmarkStart w:id="963" w:name="_Toc14397"/>
      <w:bookmarkStart w:id="964" w:name="_Toc7649"/>
      <w:bookmarkStart w:id="965" w:name="_Toc9582"/>
      <w:bookmarkStart w:id="966" w:name="_Toc22205"/>
      <w:r>
        <w:rPr>
          <w:rFonts w:ascii="Times New Roman" w:hAnsi="Times New Roman" w:eastAsia="黑体"/>
          <w:color w:val="000000"/>
          <w:sz w:val="30"/>
          <w:szCs w:val="32"/>
          <w:highlight w:val="none"/>
        </w:rPr>
        <w:t>1.10 交通运输</w:t>
      </w:r>
      <w:bookmarkEnd w:id="963"/>
      <w:bookmarkEnd w:id="964"/>
      <w:bookmarkEnd w:id="965"/>
      <w:bookmarkEnd w:id="966"/>
    </w:p>
    <w:p>
      <w:pPr>
        <w:spacing w:line="360" w:lineRule="auto"/>
        <w:ind w:firstLine="600" w:firstLineChars="200"/>
        <w:outlineLvl w:val="0"/>
        <w:rPr>
          <w:rFonts w:ascii="Times New Roman" w:hAnsi="Times New Roman" w:eastAsia="仿宋_GB2312"/>
          <w:sz w:val="30"/>
          <w:szCs w:val="32"/>
          <w:highlight w:val="none"/>
        </w:rPr>
      </w:pPr>
      <w:bookmarkStart w:id="967" w:name="_Toc24232"/>
      <w:bookmarkStart w:id="968" w:name="_Toc842"/>
      <w:bookmarkStart w:id="969" w:name="_Toc685"/>
      <w:bookmarkStart w:id="970" w:name="_Toc21797"/>
      <w:r>
        <w:rPr>
          <w:rFonts w:ascii="Times New Roman" w:hAnsi="Times New Roman" w:eastAsia="仿宋_GB2312"/>
          <w:sz w:val="30"/>
          <w:szCs w:val="32"/>
          <w:highlight w:val="none"/>
        </w:rPr>
        <w:t>1</w:t>
      </w:r>
      <w:bookmarkStart w:id="971" w:name="_Toc300934943"/>
      <w:bookmarkStart w:id="972" w:name="_Toc312677986"/>
      <w:bookmarkStart w:id="973" w:name="_Toc303539100"/>
      <w:bookmarkStart w:id="974" w:name="_Toc304295521"/>
      <w:bookmarkStart w:id="975" w:name="_Toc318581155"/>
      <w:r>
        <w:rPr>
          <w:rFonts w:ascii="Times New Roman" w:hAnsi="Times New Roman" w:eastAsia="仿宋_GB2312"/>
          <w:sz w:val="30"/>
          <w:szCs w:val="32"/>
          <w:highlight w:val="none"/>
        </w:rPr>
        <w:t>.10.1 出入现场的权利</w:t>
      </w:r>
      <w:bookmarkEnd w:id="967"/>
      <w:bookmarkEnd w:id="968"/>
      <w:bookmarkEnd w:id="969"/>
      <w:bookmarkEnd w:id="970"/>
    </w:p>
    <w:p>
      <w:pPr>
        <w:spacing w:line="360" w:lineRule="auto"/>
        <w:ind w:left="625" w:leftChars="284"/>
        <w:rPr>
          <w:rFonts w:hint="eastAsia" w:ascii="Times New Roman" w:hAnsi="Times New Roman" w:eastAsia="仿宋_GB2312"/>
          <w:color w:val="000000"/>
          <w:sz w:val="30"/>
          <w:szCs w:val="32"/>
          <w:highlight w:val="none"/>
          <w:u w:val="single"/>
        </w:rPr>
      </w:pPr>
      <w:r>
        <w:rPr>
          <w:rFonts w:ascii="Times New Roman" w:hAnsi="Times New Roman" w:eastAsia="仿宋_GB2312"/>
          <w:sz w:val="30"/>
          <w:szCs w:val="32"/>
          <w:highlight w:val="none"/>
        </w:rPr>
        <w:t>关于出入现场的权利的约定：</w:t>
      </w:r>
      <w:r>
        <w:rPr>
          <w:rFonts w:ascii="Times New Roman" w:hAnsi="Times New Roman" w:eastAsia="仿宋_GB2312"/>
          <w:color w:val="000000"/>
          <w:sz w:val="30"/>
          <w:szCs w:val="32"/>
          <w:highlight w:val="none"/>
          <w:u w:val="single"/>
        </w:rPr>
        <w:t>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p>
    <w:p>
      <w:pPr>
        <w:spacing w:line="360" w:lineRule="auto"/>
        <w:rPr>
          <w:rFonts w:ascii="Times New Roman" w:hAnsi="Times New Roman" w:eastAsia="仿宋_GB2312"/>
          <w:sz w:val="30"/>
          <w:szCs w:val="32"/>
          <w:highlight w:val="none"/>
        </w:rPr>
      </w:pPr>
      <w:r>
        <w:rPr>
          <w:rFonts w:ascii="Times New Roman" w:hAnsi="Times New Roman" w:eastAsia="仿宋_GB2312"/>
          <w:color w:val="000000"/>
          <w:sz w:val="30"/>
          <w:szCs w:val="32"/>
          <w:highlight w:val="none"/>
          <w:u w:val="single"/>
        </w:rPr>
        <w:t>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sz w:val="30"/>
          <w:szCs w:val="32"/>
          <w:highlight w:val="none"/>
        </w:rPr>
        <w:t>。</w:t>
      </w:r>
    </w:p>
    <w:bookmarkEnd w:id="971"/>
    <w:bookmarkEnd w:id="972"/>
    <w:bookmarkEnd w:id="973"/>
    <w:bookmarkEnd w:id="974"/>
    <w:bookmarkEnd w:id="975"/>
    <w:p>
      <w:pPr>
        <w:spacing w:line="360" w:lineRule="auto"/>
        <w:ind w:firstLine="600" w:firstLineChars="200"/>
        <w:jc w:val="left"/>
        <w:outlineLvl w:val="0"/>
        <w:rPr>
          <w:rFonts w:ascii="Times New Roman" w:hAnsi="Times New Roman" w:eastAsia="仿宋_GB2312"/>
          <w:sz w:val="30"/>
          <w:szCs w:val="32"/>
          <w:highlight w:val="none"/>
        </w:rPr>
      </w:pPr>
      <w:bookmarkStart w:id="976" w:name="_Toc9295"/>
      <w:bookmarkStart w:id="977" w:name="_Toc3093"/>
      <w:bookmarkStart w:id="978" w:name="_Toc31608"/>
      <w:bookmarkStart w:id="979" w:name="_Toc19365"/>
      <w:r>
        <w:rPr>
          <w:rFonts w:ascii="Times New Roman" w:hAnsi="Times New Roman" w:eastAsia="仿宋_GB2312"/>
          <w:sz w:val="30"/>
          <w:szCs w:val="32"/>
          <w:highlight w:val="none"/>
        </w:rPr>
        <w:t>1</w:t>
      </w:r>
      <w:bookmarkStart w:id="980" w:name="_Toc303539101"/>
      <w:bookmarkStart w:id="981" w:name="_Toc304295522"/>
      <w:bookmarkStart w:id="982" w:name="_Toc318581156"/>
      <w:bookmarkStart w:id="983" w:name="_Toc312677987"/>
      <w:bookmarkStart w:id="984" w:name="_Toc300934944"/>
      <w:r>
        <w:rPr>
          <w:rFonts w:ascii="Times New Roman" w:hAnsi="Times New Roman" w:eastAsia="仿宋_GB2312"/>
          <w:sz w:val="30"/>
          <w:szCs w:val="32"/>
          <w:highlight w:val="none"/>
        </w:rPr>
        <w:t>.10.3 场内交通</w:t>
      </w:r>
      <w:bookmarkEnd w:id="976"/>
      <w:bookmarkEnd w:id="977"/>
      <w:bookmarkEnd w:id="978"/>
      <w:bookmarkEnd w:id="979"/>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关于场外交通和场内交通的边界的约定：</w:t>
      </w:r>
      <w:r>
        <w:rPr>
          <w:rFonts w:ascii="Times New Roman" w:hAnsi="Times New Roman" w:eastAsia="仿宋_GB2312"/>
          <w:color w:val="000000"/>
          <w:sz w:val="30"/>
          <w:szCs w:val="32"/>
          <w:highlight w:val="none"/>
          <w:u w:val="single"/>
        </w:rPr>
        <w:t>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sz w:val="30"/>
          <w:szCs w:val="32"/>
          <w:highlight w:val="none"/>
        </w:rPr>
        <w:t>。</w:t>
      </w:r>
    </w:p>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关于发包人向承包人免费提供满足工程施工需要的场内道路和交通设施的约定：</w:t>
      </w:r>
      <w:r>
        <w:rPr>
          <w:rFonts w:ascii="Times New Roman" w:hAnsi="Times New Roman" w:eastAsia="仿宋_GB2312"/>
          <w:color w:val="000000"/>
          <w:sz w:val="30"/>
          <w:szCs w:val="32"/>
          <w:highlight w:val="none"/>
          <w:u w:val="single"/>
        </w:rPr>
        <w:t>  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sz w:val="30"/>
          <w:szCs w:val="32"/>
          <w:highlight w:val="none"/>
        </w:rPr>
        <w:t>。</w:t>
      </w:r>
      <w:bookmarkEnd w:id="980"/>
      <w:bookmarkEnd w:id="981"/>
      <w:bookmarkEnd w:id="982"/>
      <w:bookmarkEnd w:id="983"/>
      <w:bookmarkEnd w:id="984"/>
      <w:r>
        <w:rPr>
          <w:rFonts w:ascii="Times New Roman" w:hAnsi="Times New Roman" w:eastAsia="仿宋_GB2312"/>
          <w:sz w:val="30"/>
          <w:szCs w:val="32"/>
          <w:highlight w:val="none"/>
        </w:rPr>
        <w:t xml:space="preserve">  </w:t>
      </w:r>
      <w:bookmarkStart w:id="985" w:name="_Toc318581157"/>
    </w:p>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1.10.4超大件和超重件的运输</w:t>
      </w:r>
    </w:p>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运输超大件或超重件所需的道路和桥梁临时加固改造费用和其他有关费用由</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承担。</w:t>
      </w:r>
    </w:p>
    <w:bookmarkEnd w:id="985"/>
    <w:p>
      <w:pPr>
        <w:spacing w:after="120" w:line="360" w:lineRule="auto"/>
        <w:ind w:firstLine="600" w:firstLineChars="200"/>
        <w:outlineLvl w:val="0"/>
        <w:rPr>
          <w:rFonts w:ascii="Times New Roman" w:hAnsi="Times New Roman" w:eastAsia="黑体"/>
          <w:color w:val="000000"/>
          <w:sz w:val="30"/>
          <w:szCs w:val="32"/>
          <w:highlight w:val="none"/>
        </w:rPr>
      </w:pPr>
      <w:bookmarkStart w:id="986" w:name="_Toc26063"/>
      <w:bookmarkStart w:id="987" w:name="_Toc14865"/>
      <w:bookmarkStart w:id="988" w:name="_Toc3873"/>
      <w:bookmarkStart w:id="989" w:name="_Toc12609"/>
      <w:r>
        <w:rPr>
          <w:rFonts w:ascii="Times New Roman" w:hAnsi="Times New Roman" w:eastAsia="黑体"/>
          <w:color w:val="000000"/>
          <w:sz w:val="30"/>
          <w:szCs w:val="32"/>
          <w:highlight w:val="none"/>
        </w:rPr>
        <w:t>1.11 知识产权</w:t>
      </w:r>
      <w:bookmarkEnd w:id="986"/>
      <w:bookmarkEnd w:id="987"/>
      <w:bookmarkEnd w:id="988"/>
      <w:bookmarkEnd w:id="989"/>
    </w:p>
    <w:p>
      <w:pPr>
        <w:spacing w:line="360" w:lineRule="auto"/>
        <w:ind w:firstLine="600" w:firstLineChars="200"/>
        <w:rPr>
          <w:rFonts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1.11.1关于发包人提供给承包人的图纸、发包人为实施工程自行编制或委托编制的技术规范以及反映发包人关于合同要求或其他类似性质的文件的著作权的归属：</w:t>
      </w:r>
      <w:r>
        <w:rPr>
          <w:rFonts w:ascii="Times New Roman" w:hAnsi="Times New Roman" w:eastAsia="仿宋_GB2312"/>
          <w:color w:val="000000"/>
          <w:sz w:val="30"/>
          <w:szCs w:val="32"/>
          <w:highlight w:val="none"/>
          <w:u w:val="single"/>
        </w:rPr>
        <w:t>                     </w:t>
      </w:r>
    </w:p>
    <w:p>
      <w:pPr>
        <w:spacing w:line="360" w:lineRule="auto"/>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left="625" w:leftChars="284"/>
        <w:rPr>
          <w:rFonts w:hint="eastAsia"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关于发包人提供的上述文件的使用限制的要求：</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p>
    <w:p>
      <w:pPr>
        <w:spacing w:line="360" w:lineRule="auto"/>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left="625" w:leftChars="284"/>
        <w:outlineLvl w:val="0"/>
        <w:rPr>
          <w:rFonts w:hint="eastAsia" w:ascii="Times New Roman" w:hAnsi="Times New Roman" w:eastAsia="仿宋_GB2312"/>
          <w:color w:val="000000"/>
          <w:sz w:val="30"/>
          <w:szCs w:val="32"/>
          <w:highlight w:val="none"/>
        </w:rPr>
      </w:pPr>
      <w:bookmarkStart w:id="990" w:name="_Toc26633"/>
      <w:bookmarkStart w:id="991" w:name="_Toc20872"/>
      <w:bookmarkStart w:id="992" w:name="_Toc15540"/>
      <w:bookmarkStart w:id="993" w:name="_Toc20053"/>
      <w:r>
        <w:rPr>
          <w:rFonts w:ascii="Times New Roman" w:hAnsi="Times New Roman" w:eastAsia="仿宋_GB2312"/>
          <w:color w:val="000000"/>
          <w:sz w:val="30"/>
          <w:szCs w:val="32"/>
          <w:highlight w:val="none"/>
        </w:rPr>
        <w:t>1.11.2 关于承包人为实施工程所编制文件的著作权的归属：</w:t>
      </w:r>
      <w:bookmarkEnd w:id="990"/>
      <w:bookmarkEnd w:id="991"/>
      <w:bookmarkEnd w:id="992"/>
      <w:bookmarkEnd w:id="993"/>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p>
    <w:p>
      <w:pPr>
        <w:spacing w:line="360" w:lineRule="auto"/>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关于承包人提供的上述文件的使用限制的要求：</w:t>
      </w:r>
      <w:r>
        <w:rPr>
          <w:rFonts w:ascii="Times New Roman" w:hAnsi="Times New Roman" w:eastAsia="仿宋_GB2312"/>
          <w:color w:val="000000"/>
          <w:sz w:val="30"/>
          <w:szCs w:val="32"/>
          <w:highlight w:val="none"/>
          <w:u w:val="single"/>
        </w:rPr>
        <w:t>   </w:t>
      </w:r>
    </w:p>
    <w:p>
      <w:pPr>
        <w:spacing w:line="360" w:lineRule="auto"/>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outlineLvl w:val="0"/>
        <w:rPr>
          <w:rFonts w:ascii="Times New Roman" w:hAnsi="Times New Roman" w:eastAsia="仿宋_GB2312"/>
          <w:color w:val="000000"/>
          <w:kern w:val="0"/>
          <w:sz w:val="30"/>
          <w:szCs w:val="32"/>
          <w:highlight w:val="none"/>
        </w:rPr>
      </w:pPr>
      <w:bookmarkStart w:id="994" w:name="_Toc7669"/>
      <w:bookmarkStart w:id="995" w:name="_Toc7949"/>
      <w:bookmarkStart w:id="996" w:name="_Toc1557"/>
      <w:bookmarkStart w:id="997" w:name="_Toc27433"/>
      <w:r>
        <w:rPr>
          <w:rFonts w:ascii="Times New Roman" w:hAnsi="Times New Roman" w:eastAsia="仿宋_GB2312"/>
          <w:color w:val="000000"/>
          <w:sz w:val="30"/>
          <w:szCs w:val="32"/>
          <w:highlight w:val="none"/>
        </w:rPr>
        <w:t>1.11.4 承包人在施工过程中所采用的专利、专有技术、技术秘密的使用费的承担方式：</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kern w:val="0"/>
          <w:sz w:val="30"/>
          <w:szCs w:val="32"/>
          <w:highlight w:val="none"/>
        </w:rPr>
        <w:t>。</w:t>
      </w:r>
      <w:bookmarkEnd w:id="994"/>
      <w:bookmarkEnd w:id="995"/>
      <w:bookmarkEnd w:id="996"/>
      <w:bookmarkEnd w:id="997"/>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1.13工程量清单错误的修正</w:t>
      </w:r>
    </w:p>
    <w:p>
      <w:pPr>
        <w:spacing w:line="360" w:lineRule="auto"/>
        <w:ind w:firstLine="600" w:firstLineChars="200"/>
        <w:rPr>
          <w:rFonts w:ascii="Times New Roman" w:hAnsi="Times New Roman" w:eastAsia="仿宋_GB2312"/>
          <w:color w:val="000000"/>
          <w:sz w:val="30"/>
          <w:szCs w:val="32"/>
          <w:highlight w:val="none"/>
        </w:rPr>
      </w:pPr>
      <w:r>
        <w:rPr>
          <w:rFonts w:hint="eastAsia" w:ascii="Times New Roman" w:hAnsi="Times New Roman" w:eastAsia="仿宋_GB2312"/>
          <w:color w:val="000000"/>
          <w:sz w:val="30"/>
          <w:szCs w:val="32"/>
          <w:highlight w:val="none"/>
        </w:rPr>
        <w:t>出现工程量清单错误时，是否调整合同价格：</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  </w:t>
      </w:r>
      <w:r>
        <w:rPr>
          <w:rFonts w:ascii="Times New Roman" w:hAnsi="Times New Roman" w:eastAsia="仿宋_GB2312"/>
          <w:color w:val="000000"/>
          <w:kern w:val="0"/>
          <w:sz w:val="30"/>
          <w:szCs w:val="32"/>
          <w:highlight w:val="none"/>
        </w:rPr>
        <w:t>。</w:t>
      </w:r>
    </w:p>
    <w:p>
      <w:pPr>
        <w:spacing w:line="360" w:lineRule="auto"/>
        <w:ind w:firstLine="600" w:firstLineChars="200"/>
        <w:rPr>
          <w:rFonts w:hint="eastAsia"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允许调整合同价格的工程量偏差范围：</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p>
    <w:p>
      <w:pPr>
        <w:spacing w:line="360" w:lineRule="auto"/>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  </w:t>
      </w:r>
      <w:r>
        <w:rPr>
          <w:rFonts w:ascii="Times New Roman" w:hAnsi="Times New Roman" w:eastAsia="仿宋_GB2312"/>
          <w:color w:val="000000"/>
          <w:kern w:val="0"/>
          <w:sz w:val="30"/>
          <w:szCs w:val="32"/>
          <w:highlight w:val="none"/>
        </w:rPr>
        <w:t>。</w:t>
      </w:r>
    </w:p>
    <w:p>
      <w:pPr>
        <w:pStyle w:val="5"/>
        <w:spacing w:before="120" w:after="120" w:line="360" w:lineRule="auto"/>
        <w:rPr>
          <w:rFonts w:ascii="Times New Roman" w:hAnsi="Times New Roman" w:eastAsia="黑体"/>
          <w:b w:val="0"/>
          <w:color w:val="000000"/>
          <w:sz w:val="32"/>
          <w:szCs w:val="32"/>
          <w:highlight w:val="none"/>
        </w:rPr>
      </w:pPr>
      <w:bookmarkStart w:id="998" w:name="_Toc4208"/>
      <w:bookmarkStart w:id="999" w:name="_Toc20961"/>
      <w:r>
        <w:rPr>
          <w:rFonts w:ascii="Times New Roman" w:hAnsi="Times New Roman" w:eastAsia="黑体"/>
          <w:b w:val="0"/>
          <w:color w:val="000000"/>
          <w:sz w:val="32"/>
          <w:szCs w:val="32"/>
          <w:highlight w:val="none"/>
        </w:rPr>
        <w:t>2</w:t>
      </w:r>
      <w:bookmarkStart w:id="1000" w:name="_Toc296503157"/>
      <w:bookmarkStart w:id="1001" w:name="_Toc296347156"/>
      <w:bookmarkStart w:id="1002" w:name="_Toc297048343"/>
      <w:bookmarkStart w:id="1003" w:name="_Toc297120457"/>
      <w:bookmarkStart w:id="1004" w:name="_Toc296944496"/>
      <w:bookmarkStart w:id="1005" w:name="_Toc296346658"/>
      <w:bookmarkStart w:id="1006" w:name="_Toc296891197"/>
      <w:bookmarkStart w:id="1007" w:name="_Toc292559867"/>
      <w:bookmarkStart w:id="1008" w:name="_Toc292559362"/>
      <w:bookmarkStart w:id="1009" w:name="_Toc296890985"/>
      <w:r>
        <w:rPr>
          <w:rFonts w:ascii="Times New Roman" w:hAnsi="Times New Roman" w:eastAsia="黑体"/>
          <w:b w:val="0"/>
          <w:color w:val="000000"/>
          <w:sz w:val="32"/>
          <w:szCs w:val="32"/>
          <w:highlight w:val="none"/>
        </w:rPr>
        <w:t>. 发包人</w:t>
      </w:r>
      <w:bookmarkEnd w:id="998"/>
      <w:bookmarkEnd w:id="999"/>
    </w:p>
    <w:bookmarkEnd w:id="1000"/>
    <w:bookmarkEnd w:id="1001"/>
    <w:bookmarkEnd w:id="1002"/>
    <w:bookmarkEnd w:id="1003"/>
    <w:bookmarkEnd w:id="1004"/>
    <w:bookmarkEnd w:id="1005"/>
    <w:bookmarkEnd w:id="1006"/>
    <w:bookmarkEnd w:id="1007"/>
    <w:bookmarkEnd w:id="1008"/>
    <w:bookmarkEnd w:id="1009"/>
    <w:p>
      <w:pPr>
        <w:spacing w:after="120" w:line="360" w:lineRule="auto"/>
        <w:ind w:firstLine="600" w:firstLineChars="200"/>
        <w:outlineLvl w:val="0"/>
        <w:rPr>
          <w:rFonts w:ascii="Times New Roman" w:hAnsi="Times New Roman" w:eastAsia="黑体"/>
          <w:color w:val="000000"/>
          <w:sz w:val="30"/>
          <w:szCs w:val="32"/>
          <w:highlight w:val="none"/>
        </w:rPr>
      </w:pPr>
      <w:bookmarkStart w:id="1010" w:name="_Toc6647"/>
      <w:bookmarkStart w:id="1011" w:name="_Toc13697"/>
      <w:bookmarkStart w:id="1012" w:name="_Toc19477"/>
      <w:bookmarkStart w:id="1013" w:name="_Toc22901"/>
      <w:r>
        <w:rPr>
          <w:rFonts w:ascii="Times New Roman" w:hAnsi="Times New Roman" w:eastAsia="黑体"/>
          <w:color w:val="000000"/>
          <w:sz w:val="30"/>
          <w:szCs w:val="32"/>
          <w:highlight w:val="none"/>
        </w:rPr>
        <w:t>2.2 发包人代表</w:t>
      </w:r>
      <w:bookmarkEnd w:id="1010"/>
      <w:bookmarkEnd w:id="1011"/>
      <w:bookmarkEnd w:id="1012"/>
      <w:bookmarkEnd w:id="1013"/>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发包人代表：</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姓    名：</w:t>
      </w:r>
      <w:r>
        <w:rPr>
          <w:rFonts w:ascii="Times New Roman" w:hAnsi="Times New Roman" w:eastAsia="仿宋_GB2312"/>
          <w:color w:val="000000"/>
          <w:sz w:val="30"/>
          <w:szCs w:val="32"/>
          <w:highlight w:val="none"/>
          <w:u w:val="single"/>
        </w:rPr>
        <w:t xml:space="preserve"> 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身份证号：</w:t>
      </w:r>
      <w:r>
        <w:rPr>
          <w:rFonts w:ascii="Times New Roman" w:hAnsi="Times New Roman" w:eastAsia="仿宋_GB2312"/>
          <w:color w:val="000000"/>
          <w:sz w:val="30"/>
          <w:szCs w:val="32"/>
          <w:highlight w:val="none"/>
          <w:u w:val="single"/>
        </w:rPr>
        <w:t xml:space="preserve"> 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职    务：</w:t>
      </w:r>
      <w:r>
        <w:rPr>
          <w:rFonts w:ascii="Times New Roman" w:hAnsi="Times New Roman" w:eastAsia="仿宋_GB2312"/>
          <w:color w:val="000000"/>
          <w:sz w:val="30"/>
          <w:szCs w:val="32"/>
          <w:highlight w:val="none"/>
          <w:u w:val="single"/>
        </w:rPr>
        <w:t>   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联系电话：</w:t>
      </w:r>
      <w:r>
        <w:rPr>
          <w:rFonts w:ascii="Times New Roman" w:hAnsi="Times New Roman" w:eastAsia="仿宋_GB2312"/>
          <w:color w:val="000000"/>
          <w:sz w:val="30"/>
          <w:szCs w:val="32"/>
          <w:highlight w:val="none"/>
          <w:u w:val="single"/>
        </w:rPr>
        <w:t>  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电子信箱：</w:t>
      </w:r>
      <w:r>
        <w:rPr>
          <w:rFonts w:ascii="Times New Roman" w:hAnsi="Times New Roman" w:eastAsia="仿宋_GB2312"/>
          <w:color w:val="000000"/>
          <w:sz w:val="30"/>
          <w:szCs w:val="32"/>
          <w:highlight w:val="none"/>
          <w:u w:val="single"/>
        </w:rPr>
        <w:t>  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通信地址：</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发包人对发包人代表的授权范围如下：</w:t>
      </w:r>
      <w:r>
        <w:rPr>
          <w:rFonts w:ascii="Times New Roman" w:hAnsi="Times New Roman" w:eastAsia="仿宋_GB2312"/>
          <w:color w:val="000000"/>
          <w:sz w:val="30"/>
          <w:szCs w:val="32"/>
          <w:highlight w:val="none"/>
          <w:u w:val="single"/>
        </w:rPr>
        <w:t>     </w:t>
      </w:r>
    </w:p>
    <w:p>
      <w:pPr>
        <w:spacing w:line="360" w:lineRule="auto"/>
        <w:rPr>
          <w:rFonts w:ascii="Times New Roman" w:hAnsi="Times New Roman" w:eastAsia="仿宋_GB2312"/>
          <w:b/>
          <w:color w:val="000000"/>
          <w:sz w:val="30"/>
          <w:szCs w:val="32"/>
          <w:highlight w:val="none"/>
        </w:rPr>
      </w:pP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after="120" w:line="360" w:lineRule="auto"/>
        <w:ind w:firstLine="600" w:firstLineChars="200"/>
        <w:outlineLvl w:val="0"/>
        <w:rPr>
          <w:rFonts w:ascii="Times New Roman" w:hAnsi="Times New Roman" w:eastAsia="黑体"/>
          <w:color w:val="000000"/>
          <w:sz w:val="30"/>
          <w:szCs w:val="32"/>
          <w:highlight w:val="none"/>
        </w:rPr>
      </w:pPr>
      <w:bookmarkStart w:id="1014" w:name="_Toc17327"/>
      <w:bookmarkStart w:id="1015" w:name="_Toc29490"/>
      <w:bookmarkStart w:id="1016" w:name="_Toc14631"/>
      <w:bookmarkStart w:id="1017" w:name="_Toc12391"/>
      <w:r>
        <w:rPr>
          <w:rFonts w:ascii="Times New Roman" w:hAnsi="Times New Roman" w:eastAsia="黑体"/>
          <w:color w:val="000000"/>
          <w:sz w:val="30"/>
          <w:szCs w:val="32"/>
          <w:highlight w:val="none"/>
        </w:rPr>
        <w:t>2.4 施工现场、施工条件和基础资料的提供</w:t>
      </w:r>
      <w:bookmarkEnd w:id="1014"/>
      <w:bookmarkEnd w:id="1015"/>
      <w:bookmarkEnd w:id="1016"/>
      <w:bookmarkEnd w:id="1017"/>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2.4.1 提供施工现场</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关于发包人移交施工现场的期限要求：</w:t>
      </w:r>
      <w:r>
        <w:rPr>
          <w:rFonts w:ascii="Times New Roman" w:hAnsi="Times New Roman" w:eastAsia="仿宋_GB2312"/>
          <w:color w:val="000000"/>
          <w:sz w:val="30"/>
          <w:szCs w:val="32"/>
          <w:highlight w:val="none"/>
          <w:u w:val="single"/>
        </w:rPr>
        <w:t>             </w:t>
      </w:r>
      <w:r>
        <w:rPr>
          <w:rFonts w:ascii="Times New Roman" w:hAnsi="Times New Roman" w:eastAsia="仿宋_GB2312"/>
          <w:color w:val="000000"/>
          <w:sz w:val="30"/>
          <w:szCs w:val="32"/>
          <w:highlight w:val="non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2.4.2 提供施工条件</w:t>
      </w:r>
    </w:p>
    <w:p>
      <w:pPr>
        <w:spacing w:line="360" w:lineRule="auto"/>
        <w:ind w:firstLine="600" w:firstLineChars="200"/>
        <w:rPr>
          <w:rFonts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关于发包人应负责提供施工</w:t>
      </w:r>
      <w:r>
        <w:rPr>
          <w:rFonts w:hint="eastAsia" w:ascii="Times New Roman" w:hAnsi="Times New Roman" w:eastAsia="仿宋_GB2312"/>
          <w:color w:val="000000"/>
          <w:sz w:val="30"/>
          <w:szCs w:val="32"/>
          <w:highlight w:val="none"/>
        </w:rPr>
        <w:t>所需要的条件，</w:t>
      </w:r>
      <w:r>
        <w:rPr>
          <w:rFonts w:ascii="Times New Roman" w:hAnsi="Times New Roman" w:eastAsia="仿宋_GB2312"/>
          <w:color w:val="000000"/>
          <w:sz w:val="30"/>
          <w:szCs w:val="32"/>
          <w:highlight w:val="none"/>
        </w:rPr>
        <w:t>包括：</w:t>
      </w:r>
      <w:r>
        <w:rPr>
          <w:rFonts w:ascii="Times New Roman" w:hAnsi="Times New Roman" w:eastAsia="仿宋_GB2312"/>
          <w:color w:val="000000"/>
          <w:sz w:val="30"/>
          <w:szCs w:val="32"/>
          <w:highlight w:val="none"/>
          <w:u w:val="single"/>
        </w:rPr>
        <w:t xml:space="preserve">  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after="120" w:line="360" w:lineRule="auto"/>
        <w:ind w:firstLine="600" w:firstLineChars="200"/>
        <w:outlineLvl w:val="0"/>
        <w:rPr>
          <w:rFonts w:ascii="Times New Roman" w:hAnsi="Times New Roman" w:eastAsia="黑体"/>
          <w:color w:val="000000"/>
          <w:sz w:val="30"/>
          <w:szCs w:val="32"/>
          <w:highlight w:val="none"/>
        </w:rPr>
      </w:pPr>
      <w:bookmarkStart w:id="1018" w:name="_Toc29088"/>
      <w:bookmarkStart w:id="1019" w:name="_Toc5642"/>
      <w:bookmarkStart w:id="1020" w:name="_Toc12448"/>
      <w:bookmarkStart w:id="1021" w:name="_Toc23701"/>
      <w:r>
        <w:rPr>
          <w:rFonts w:ascii="Times New Roman" w:hAnsi="Times New Roman" w:eastAsia="黑体"/>
          <w:color w:val="000000"/>
          <w:sz w:val="30"/>
          <w:szCs w:val="32"/>
          <w:highlight w:val="none"/>
        </w:rPr>
        <w:t>2.5 资金来源证明及支付担保</w:t>
      </w:r>
      <w:bookmarkEnd w:id="1018"/>
      <w:bookmarkEnd w:id="1019"/>
      <w:bookmarkEnd w:id="1020"/>
      <w:bookmarkEnd w:id="1021"/>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发包人提供资金来源证明的期限要求：</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发包人是否提供支付担保：</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发包人提供支付担保的形式：</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pStyle w:val="5"/>
        <w:spacing w:before="120" w:after="120" w:line="360" w:lineRule="auto"/>
        <w:rPr>
          <w:rFonts w:ascii="Times New Roman" w:hAnsi="Times New Roman" w:eastAsia="黑体"/>
          <w:b w:val="0"/>
          <w:color w:val="000000"/>
          <w:sz w:val="32"/>
          <w:szCs w:val="32"/>
          <w:highlight w:val="none"/>
        </w:rPr>
      </w:pPr>
      <w:bookmarkStart w:id="1022" w:name="_Toc31070"/>
      <w:bookmarkStart w:id="1023" w:name="_Toc3991"/>
      <w:r>
        <w:rPr>
          <w:rFonts w:ascii="Times New Roman" w:hAnsi="Times New Roman" w:eastAsia="黑体"/>
          <w:b w:val="0"/>
          <w:color w:val="000000"/>
          <w:sz w:val="32"/>
          <w:szCs w:val="32"/>
          <w:highlight w:val="none"/>
        </w:rPr>
        <w:t>3</w:t>
      </w:r>
      <w:bookmarkStart w:id="1024" w:name="_Toc296503158"/>
      <w:bookmarkStart w:id="1025" w:name="_Toc296347157"/>
      <w:bookmarkStart w:id="1026" w:name="_Toc296890986"/>
      <w:bookmarkStart w:id="1027" w:name="_Toc296944497"/>
      <w:bookmarkStart w:id="1028" w:name="_Toc296346659"/>
      <w:bookmarkStart w:id="1029" w:name="_Toc297120458"/>
      <w:bookmarkStart w:id="1030" w:name="_Toc292559868"/>
      <w:bookmarkStart w:id="1031" w:name="_Toc297048344"/>
      <w:bookmarkStart w:id="1032" w:name="_Toc292559363"/>
      <w:bookmarkStart w:id="1033" w:name="_Toc296891198"/>
      <w:r>
        <w:rPr>
          <w:rFonts w:ascii="Times New Roman" w:hAnsi="Times New Roman" w:eastAsia="黑体"/>
          <w:b w:val="0"/>
          <w:color w:val="000000"/>
          <w:sz w:val="32"/>
          <w:szCs w:val="32"/>
          <w:highlight w:val="none"/>
        </w:rPr>
        <w:t>. 承包人</w:t>
      </w:r>
      <w:bookmarkEnd w:id="1022"/>
      <w:bookmarkEnd w:id="1023"/>
    </w:p>
    <w:bookmarkEnd w:id="1024"/>
    <w:bookmarkEnd w:id="1025"/>
    <w:bookmarkEnd w:id="1026"/>
    <w:bookmarkEnd w:id="1027"/>
    <w:bookmarkEnd w:id="1028"/>
    <w:bookmarkEnd w:id="1029"/>
    <w:bookmarkEnd w:id="1030"/>
    <w:bookmarkEnd w:id="1031"/>
    <w:bookmarkEnd w:id="1032"/>
    <w:bookmarkEnd w:id="1033"/>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3.1 承包人的一般义务</w:t>
      </w:r>
    </w:p>
    <w:p>
      <w:pPr>
        <w:spacing w:line="360" w:lineRule="auto"/>
        <w:ind w:firstLine="600" w:firstLineChars="200"/>
        <w:jc w:val="left"/>
        <w:rPr>
          <w:rFonts w:ascii="Times New Roman" w:hAnsi="Times New Roman" w:eastAsia="仿宋_GB2312"/>
          <w:color w:val="000000"/>
          <w:sz w:val="30"/>
          <w:szCs w:val="32"/>
          <w:highlight w:val="none"/>
          <w:u w:val="single"/>
        </w:rPr>
      </w:pPr>
      <w:r>
        <w:rPr>
          <w:rFonts w:ascii="Times New Roman" w:hAnsi="Times New Roman" w:eastAsia="仿宋_GB2312"/>
          <w:color w:val="000000"/>
          <w:kern w:val="0"/>
          <w:sz w:val="30"/>
          <w:szCs w:val="32"/>
          <w:highlight w:val="none"/>
        </w:rPr>
        <w:t>（</w:t>
      </w:r>
      <w:r>
        <w:rPr>
          <w:rFonts w:hint="eastAsia" w:ascii="Times New Roman" w:hAnsi="Times New Roman" w:eastAsia="仿宋_GB2312"/>
          <w:color w:val="000000"/>
          <w:kern w:val="0"/>
          <w:sz w:val="30"/>
          <w:szCs w:val="32"/>
          <w:highlight w:val="none"/>
        </w:rPr>
        <w:t>9</w:t>
      </w:r>
      <w:r>
        <w:rPr>
          <w:rFonts w:ascii="Times New Roman" w:hAnsi="Times New Roman" w:eastAsia="仿宋_GB2312"/>
          <w:color w:val="000000"/>
          <w:kern w:val="0"/>
          <w:sz w:val="30"/>
          <w:szCs w:val="32"/>
          <w:highlight w:val="none"/>
        </w:rPr>
        <w:t>）</w:t>
      </w:r>
      <w:r>
        <w:rPr>
          <w:rFonts w:ascii="Times New Roman" w:hAnsi="Times New Roman" w:eastAsia="仿宋_GB2312"/>
          <w:color w:val="000000"/>
          <w:sz w:val="30"/>
          <w:szCs w:val="32"/>
          <w:highlight w:val="none"/>
        </w:rPr>
        <w:t>承包人提交的竣工资料的内容：</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 xml:space="preserve"> </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承包人需要提交的竣工资料套数：</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left="669" w:leftChars="304"/>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承包人提交的竣工资料的费用承担：</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left="669" w:leftChars="304"/>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承包人提交的竣工资料移交时间：</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hint="eastAsia"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承包人提交的竣工资料形式要求：</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kern w:val="0"/>
          <w:sz w:val="30"/>
          <w:szCs w:val="32"/>
          <w:highlight w:val="none"/>
        </w:rPr>
        <w:t>（</w:t>
      </w:r>
      <w:r>
        <w:rPr>
          <w:rFonts w:hint="eastAsia" w:ascii="Times New Roman" w:hAnsi="Times New Roman" w:eastAsia="仿宋_GB2312"/>
          <w:color w:val="000000"/>
          <w:kern w:val="0"/>
          <w:sz w:val="30"/>
          <w:szCs w:val="32"/>
          <w:highlight w:val="none"/>
        </w:rPr>
        <w:t>10</w:t>
      </w:r>
      <w:r>
        <w:rPr>
          <w:rFonts w:ascii="Times New Roman" w:hAnsi="Times New Roman" w:eastAsia="仿宋_GB2312"/>
          <w:color w:val="000000"/>
          <w:kern w:val="0"/>
          <w:sz w:val="30"/>
          <w:szCs w:val="32"/>
          <w:highlight w:val="none"/>
        </w:rPr>
        <w:t>）承包人应履行的其他义务：</w:t>
      </w:r>
      <w:r>
        <w:rPr>
          <w:rFonts w:ascii="Times New Roman" w:hAnsi="Times New Roman" w:eastAsia="仿宋_GB2312"/>
          <w:color w:val="000000"/>
          <w:sz w:val="30"/>
          <w:szCs w:val="32"/>
          <w:highlight w:val="none"/>
          <w:u w:val="single"/>
        </w:rPr>
        <w:t>             </w:t>
      </w:r>
      <w:r>
        <w:rPr>
          <w:rFonts w:ascii="Times New Roman" w:hAnsi="Times New Roman" w:eastAsia="仿宋_GB2312"/>
          <w:color w:val="000000"/>
          <w:sz w:val="30"/>
          <w:szCs w:val="32"/>
          <w:highlight w:val="none"/>
        </w:rPr>
        <w:t xml:space="preserve">              </w:t>
      </w:r>
      <w:r>
        <w:rPr>
          <w:rFonts w:ascii="Times New Roman" w:hAnsi="Times New Roman" w:eastAsia="仿宋_GB2312"/>
          <w:color w:val="000000"/>
          <w:sz w:val="30"/>
          <w:szCs w:val="32"/>
          <w:highlight w:val="none"/>
          <w:u w:val="single"/>
        </w:rPr>
        <w:t xml:space="preserve">          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3.2 项目经理</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kern w:val="0"/>
          <w:sz w:val="30"/>
          <w:szCs w:val="32"/>
          <w:highlight w:val="none"/>
        </w:rPr>
        <w:t xml:space="preserve">3.2.1 </w:t>
      </w:r>
      <w:r>
        <w:rPr>
          <w:rFonts w:ascii="Times New Roman" w:hAnsi="Times New Roman" w:eastAsia="仿宋_GB2312"/>
          <w:color w:val="000000"/>
          <w:sz w:val="30"/>
          <w:szCs w:val="32"/>
          <w:highlight w:val="none"/>
        </w:rPr>
        <w:t>项目经理：</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姓    名：</w:t>
      </w:r>
      <w:r>
        <w:rPr>
          <w:rFonts w:ascii="Times New Roman" w:hAnsi="Times New Roman" w:eastAsia="仿宋_GB2312"/>
          <w:color w:val="000000"/>
          <w:sz w:val="30"/>
          <w:szCs w:val="32"/>
          <w:highlight w:val="none"/>
          <w:u w:val="single"/>
        </w:rPr>
        <w:t>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身份证号：</w:t>
      </w:r>
      <w:r>
        <w:rPr>
          <w:rFonts w:ascii="Times New Roman" w:hAnsi="Times New Roman" w:eastAsia="仿宋_GB2312"/>
          <w:color w:val="000000"/>
          <w:sz w:val="30"/>
          <w:szCs w:val="32"/>
          <w:highlight w:val="none"/>
          <w:u w:val="single"/>
        </w:rPr>
        <w:t>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建造师执业资格等级：</w:t>
      </w:r>
      <w:r>
        <w:rPr>
          <w:rFonts w:ascii="Times New Roman" w:hAnsi="Times New Roman" w:eastAsia="仿宋_GB2312"/>
          <w:color w:val="000000"/>
          <w:sz w:val="30"/>
          <w:szCs w:val="32"/>
          <w:highlight w:val="none"/>
          <w:u w:val="single"/>
        </w:rPr>
        <w:t>  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建造师注册证书号：</w:t>
      </w:r>
      <w:r>
        <w:rPr>
          <w:rFonts w:ascii="Times New Roman" w:hAnsi="Times New Roman" w:eastAsia="仿宋_GB2312"/>
          <w:color w:val="000000"/>
          <w:sz w:val="30"/>
          <w:szCs w:val="32"/>
          <w:highlight w:val="none"/>
          <w:u w:val="single"/>
        </w:rPr>
        <w:t>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建造师执业印章号：</w:t>
      </w:r>
      <w:r>
        <w:rPr>
          <w:rFonts w:ascii="Times New Roman" w:hAnsi="Times New Roman" w:eastAsia="仿宋_GB2312"/>
          <w:color w:val="000000"/>
          <w:sz w:val="30"/>
          <w:szCs w:val="32"/>
          <w:highlight w:val="none"/>
          <w:u w:val="single"/>
        </w:rPr>
        <w:t>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安全生产考核合格证书号：</w:t>
      </w:r>
      <w:r>
        <w:rPr>
          <w:rFonts w:ascii="Times New Roman" w:hAnsi="Times New Roman" w:eastAsia="仿宋_GB2312"/>
          <w:color w:val="000000"/>
          <w:sz w:val="30"/>
          <w:szCs w:val="32"/>
          <w:highlight w:val="none"/>
          <w:u w:val="single"/>
        </w:rPr>
        <w:t>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联系电话：</w:t>
      </w:r>
      <w:r>
        <w:rPr>
          <w:rFonts w:ascii="Times New Roman" w:hAnsi="Times New Roman" w:eastAsia="仿宋_GB2312"/>
          <w:color w:val="000000"/>
          <w:sz w:val="30"/>
          <w:szCs w:val="32"/>
          <w:highlight w:val="none"/>
          <w:u w:val="single"/>
        </w:rPr>
        <w:t>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电子信箱：</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通信地址：</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承包人对项目经理的授权范围如下：</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关于项目经理每月在施工现场的时间要求：</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 xml:space="preserve">   </w:t>
      </w:r>
      <w:r>
        <w:rPr>
          <w:rFonts w:ascii="Times New Roman" w:hAnsi="Times New Roman" w:eastAsia="仿宋_GB2312"/>
          <w:color w:val="000000"/>
          <w:sz w:val="30"/>
          <w:szCs w:val="32"/>
          <w:highlight w:val="none"/>
          <w:u w:val="single"/>
        </w:rPr>
        <w:t xml:space="preserve">     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承包人未提交劳动合同，以及没有为项目经理缴纳社会保险证明的违约责任：</w:t>
      </w:r>
      <w:r>
        <w:rPr>
          <w:rFonts w:ascii="Times New Roman" w:hAnsi="Times New Roman" w:eastAsia="仿宋_GB2312"/>
          <w:color w:val="000000"/>
          <w:sz w:val="30"/>
          <w:szCs w:val="32"/>
          <w:highlight w:val="none"/>
          <w:u w:val="single"/>
        </w:rPr>
        <w:t xml:space="preserve">                    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u w:val="single"/>
        </w:rPr>
      </w:pPr>
      <w:r>
        <w:rPr>
          <w:rFonts w:ascii="Times New Roman" w:hAnsi="Times New Roman" w:eastAsia="仿宋_GB2312"/>
          <w:color w:val="000000"/>
          <w:kern w:val="0"/>
          <w:sz w:val="30"/>
          <w:szCs w:val="32"/>
          <w:highlight w:val="none"/>
        </w:rPr>
        <w:t>项目经理未经批准，擅自离开施工现场的违约责任：</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sz w:val="30"/>
          <w:szCs w:val="32"/>
          <w:highlight w:val="none"/>
        </w:rPr>
        <w:t xml:space="preserve">     </w:t>
      </w:r>
      <w:r>
        <w:rPr>
          <w:rFonts w:ascii="Times New Roman" w:hAnsi="Times New Roman" w:eastAsia="仿宋_GB2312"/>
          <w:color w:val="000000"/>
          <w:sz w:val="30"/>
          <w:szCs w:val="32"/>
          <w:highlight w:val="none"/>
          <w:u w:val="single"/>
        </w:rPr>
        <w:t xml:space="preserve">          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3.2.3 承包人擅自更换项目经理的违约责任：</w:t>
      </w:r>
      <w:r>
        <w:rPr>
          <w:rFonts w:ascii="Times New Roman" w:hAnsi="Times New Roman" w:eastAsia="仿宋_GB2312"/>
          <w:color w:val="000000"/>
          <w:sz w:val="30"/>
          <w:szCs w:val="32"/>
          <w:highlight w:val="none"/>
          <w:u w:val="single"/>
        </w:rPr>
        <w:t xml:space="preserve">              </w:t>
      </w:r>
    </w:p>
    <w:p>
      <w:pPr>
        <w:spacing w:line="360" w:lineRule="auto"/>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     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outlineLvl w:val="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 xml:space="preserve">    </w:t>
      </w:r>
      <w:bookmarkStart w:id="1034" w:name="_Toc24130"/>
      <w:bookmarkStart w:id="1035" w:name="_Toc5943"/>
      <w:bookmarkStart w:id="1036" w:name="_Toc5341"/>
      <w:bookmarkStart w:id="1037" w:name="_Toc15517"/>
      <w:r>
        <w:rPr>
          <w:rFonts w:ascii="Times New Roman" w:hAnsi="Times New Roman" w:eastAsia="仿宋_GB2312"/>
          <w:color w:val="000000"/>
          <w:sz w:val="30"/>
          <w:szCs w:val="32"/>
          <w:highlight w:val="none"/>
        </w:rPr>
        <w:t>3.2.4 承包人无正当理由拒绝更换项目经理的违约责任：</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 xml:space="preserve">     </w:t>
      </w:r>
      <w:r>
        <w:rPr>
          <w:rFonts w:ascii="Times New Roman" w:hAnsi="Times New Roman" w:eastAsia="仿宋_GB2312"/>
          <w:color w:val="000000"/>
          <w:sz w:val="30"/>
          <w:szCs w:val="32"/>
          <w:highlight w:val="none"/>
          <w:u w:val="single"/>
        </w:rPr>
        <w:t xml:space="preserve">                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bookmarkEnd w:id="1034"/>
      <w:bookmarkEnd w:id="1035"/>
      <w:bookmarkEnd w:id="1036"/>
      <w:bookmarkEnd w:id="1037"/>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3.3 承包人人员</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3.3.1 承包人提交项目管理机构及施工现场管理人员安排报告的期限：</w:t>
      </w:r>
      <w:r>
        <w:rPr>
          <w:rFonts w:ascii="Times New Roman" w:hAnsi="Times New Roman" w:eastAsia="仿宋_GB2312"/>
          <w:color w:val="000000"/>
          <w:sz w:val="30"/>
          <w:szCs w:val="32"/>
          <w:highlight w:val="none"/>
          <w:u w:val="single"/>
        </w:rPr>
        <w:t xml:space="preserve">  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3.3.3 承包人无正当理由拒绝撤换主要施工管理人员的违约责任：</w:t>
      </w:r>
      <w:r>
        <w:rPr>
          <w:rFonts w:ascii="Times New Roman" w:hAnsi="Times New Roman" w:eastAsia="仿宋_GB2312"/>
          <w:color w:val="000000"/>
          <w:sz w:val="30"/>
          <w:szCs w:val="32"/>
          <w:highlight w:val="none"/>
          <w:u w:val="single"/>
        </w:rPr>
        <w:t xml:space="preserve">  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 xml:space="preserve">3.3.4 承包人主要施工管理人员离开施工现场的批准要求：   </w:t>
      </w:r>
      <w:r>
        <w:rPr>
          <w:rFonts w:ascii="Times New Roman" w:hAnsi="Times New Roman" w:eastAsia="仿宋_GB2312"/>
          <w:color w:val="000000"/>
          <w:sz w:val="30"/>
          <w:szCs w:val="32"/>
          <w:highlight w:val="none"/>
          <w:u w:val="single"/>
        </w:rPr>
        <w:t></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3.3.5承包人擅自更换主要施工管理人员的违约责任：</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承包人主要施工管理人员擅自离开施工现场的违约责任：</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3</w:t>
      </w:r>
      <w:bookmarkStart w:id="1038" w:name="_Toc296347158"/>
      <w:bookmarkStart w:id="1039" w:name="_Toc297120459"/>
      <w:bookmarkStart w:id="1040" w:name="_Toc292559364"/>
      <w:bookmarkStart w:id="1041" w:name="_Toc297048345"/>
      <w:bookmarkStart w:id="1042" w:name="_Toc304295523"/>
      <w:bookmarkStart w:id="1043" w:name="_Toc296891199"/>
      <w:bookmarkStart w:id="1044" w:name="_Toc296944498"/>
      <w:bookmarkStart w:id="1045" w:name="_Toc297216151"/>
      <w:bookmarkStart w:id="1046" w:name="_Toc303539102"/>
      <w:bookmarkStart w:id="1047" w:name="_Toc296346660"/>
      <w:bookmarkStart w:id="1048" w:name="_Toc296503159"/>
      <w:bookmarkStart w:id="1049" w:name="_Toc296890987"/>
      <w:bookmarkStart w:id="1050" w:name="_Toc292559869"/>
      <w:bookmarkStart w:id="1051" w:name="_Toc312677988"/>
      <w:bookmarkStart w:id="1052" w:name="_Toc297123492"/>
      <w:bookmarkStart w:id="1053" w:name="_Toc300934945"/>
      <w:r>
        <w:rPr>
          <w:rFonts w:ascii="Times New Roman" w:hAnsi="Times New Roman" w:eastAsia="黑体"/>
          <w:color w:val="000000"/>
          <w:sz w:val="30"/>
          <w:szCs w:val="32"/>
          <w:highlight w:val="none"/>
        </w:rPr>
        <w:t>.5 分包</w:t>
      </w:r>
    </w:p>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Pr>
        <w:spacing w:line="360" w:lineRule="auto"/>
        <w:ind w:firstLine="600" w:firstLineChars="200"/>
        <w:rPr>
          <w:rFonts w:ascii="Times New Roman" w:hAnsi="Times New Roman" w:eastAsia="仿宋_GB2312"/>
          <w:sz w:val="30"/>
          <w:szCs w:val="32"/>
          <w:highlight w:val="none"/>
        </w:rPr>
      </w:pPr>
      <w:r>
        <w:rPr>
          <w:rFonts w:ascii="Times New Roman" w:hAnsi="Times New Roman" w:eastAsia="仿宋_GB2312"/>
          <w:sz w:val="30"/>
          <w:szCs w:val="32"/>
          <w:highlight w:val="none"/>
        </w:rPr>
        <w:t>3</w:t>
      </w:r>
      <w:bookmarkStart w:id="1054" w:name="_Toc296503160"/>
      <w:bookmarkStart w:id="1055" w:name="_Toc296890988"/>
      <w:bookmarkStart w:id="1056" w:name="_Toc297048346"/>
      <w:bookmarkStart w:id="1057" w:name="_Toc296891200"/>
      <w:bookmarkStart w:id="1058" w:name="_Toc296346661"/>
      <w:bookmarkStart w:id="1059" w:name="_Toc297123493"/>
      <w:bookmarkStart w:id="1060" w:name="_Toc300934946"/>
      <w:bookmarkStart w:id="1061" w:name="_Toc296944499"/>
      <w:bookmarkStart w:id="1062" w:name="_Toc297120460"/>
      <w:bookmarkStart w:id="1063" w:name="_Toc303539103"/>
      <w:bookmarkStart w:id="1064" w:name="_Toc292559870"/>
      <w:bookmarkStart w:id="1065" w:name="_Toc304295524"/>
      <w:bookmarkStart w:id="1066" w:name="_Toc297216152"/>
      <w:bookmarkStart w:id="1067" w:name="_Toc296347159"/>
      <w:bookmarkStart w:id="1068" w:name="_Toc292559365"/>
      <w:bookmarkStart w:id="1069" w:name="_Toc312677989"/>
      <w:bookmarkStart w:id="1070" w:name="_Toc318581158"/>
      <w:r>
        <w:rPr>
          <w:rFonts w:ascii="Times New Roman" w:hAnsi="Times New Roman" w:eastAsia="仿宋_GB2312"/>
          <w:sz w:val="30"/>
          <w:szCs w:val="32"/>
          <w:highlight w:val="none"/>
        </w:rPr>
        <w:t>.5.1 分包的一般约定</w:t>
      </w:r>
    </w:p>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禁止分包的工程包括：</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hint="eastAsia" w:ascii="Times New Roman" w:hAnsi="Times New Roman" w:eastAsia="仿宋_GB2312"/>
          <w:color w:val="000000"/>
          <w:sz w:val="30"/>
          <w:szCs w:val="32"/>
          <w:highlight w:val="none"/>
          <w:u w:val="single"/>
        </w:rPr>
      </w:pPr>
      <w:r>
        <w:rPr>
          <w:rFonts w:ascii="Times New Roman" w:hAnsi="Times New Roman" w:eastAsia="仿宋_GB2312"/>
          <w:sz w:val="30"/>
          <w:szCs w:val="32"/>
          <w:highlight w:val="none"/>
        </w:rPr>
        <w:t>主体结构、关键性工作的范围：</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p>
    <w:p>
      <w:pPr>
        <w:spacing w:line="360" w:lineRule="auto"/>
        <w:jc w:val="left"/>
        <w:rPr>
          <w:rFonts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Start w:id="1071" w:name="_Toc296347160"/>
      <w:bookmarkStart w:id="1072" w:name="_Toc297048347"/>
      <w:bookmarkStart w:id="1073" w:name="_Toc303539104"/>
      <w:bookmarkStart w:id="1074" w:name="_Toc296891201"/>
      <w:bookmarkStart w:id="1075" w:name="_Toc297123494"/>
      <w:bookmarkStart w:id="1076" w:name="_Toc297216153"/>
      <w:bookmarkStart w:id="1077" w:name="_Toc300934947"/>
      <w:bookmarkStart w:id="1078" w:name="_Toc296503161"/>
      <w:bookmarkStart w:id="1079" w:name="_Toc296346662"/>
      <w:bookmarkStart w:id="1080" w:name="_Toc296944500"/>
      <w:bookmarkStart w:id="1081" w:name="_Toc304295525"/>
      <w:bookmarkStart w:id="1082" w:name="_Toc297120461"/>
      <w:bookmarkStart w:id="1083" w:name="_Toc296890989"/>
    </w:p>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Pr>
        <w:spacing w:line="360" w:lineRule="auto"/>
        <w:rPr>
          <w:rFonts w:ascii="Times New Roman" w:hAnsi="Times New Roman" w:eastAsia="仿宋_GB2312"/>
          <w:sz w:val="30"/>
          <w:szCs w:val="32"/>
          <w:highlight w:val="none"/>
        </w:rPr>
      </w:pPr>
      <w:r>
        <w:rPr>
          <w:rFonts w:ascii="Times New Roman" w:hAnsi="Times New Roman" w:eastAsia="仿宋_GB2312"/>
          <w:sz w:val="30"/>
          <w:szCs w:val="32"/>
          <w:highlight w:val="none"/>
        </w:rPr>
        <w:t xml:space="preserve">    3</w:t>
      </w:r>
      <w:bookmarkStart w:id="1084" w:name="_Toc318581159"/>
      <w:bookmarkStart w:id="1085" w:name="_Toc312677990"/>
      <w:r>
        <w:rPr>
          <w:rFonts w:ascii="Times New Roman" w:hAnsi="Times New Roman" w:eastAsia="仿宋_GB2312"/>
          <w:sz w:val="30"/>
          <w:szCs w:val="32"/>
          <w:highlight w:val="none"/>
        </w:rPr>
        <w:t>.5.2分包的确定</w:t>
      </w:r>
    </w:p>
    <w:p>
      <w:pPr>
        <w:spacing w:line="360" w:lineRule="auto"/>
        <w:ind w:firstLine="600" w:firstLineChars="200"/>
        <w:rPr>
          <w:rFonts w:ascii="Times New Roman" w:hAnsi="Times New Roman" w:eastAsia="仿宋_GB2312"/>
          <w:color w:val="000000"/>
          <w:sz w:val="30"/>
          <w:szCs w:val="32"/>
          <w:highlight w:val="none"/>
          <w:u w:val="single"/>
        </w:rPr>
      </w:pPr>
      <w:r>
        <w:rPr>
          <w:rFonts w:ascii="Times New Roman" w:hAnsi="Times New Roman" w:eastAsia="仿宋_GB2312"/>
          <w:sz w:val="30"/>
          <w:szCs w:val="32"/>
          <w:highlight w:val="none"/>
        </w:rPr>
        <w:t>允许分包的专业工程包括：</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rPr>
          <w:rFonts w:hint="eastAsia"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其他关于分包的约定：</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p>
    <w:p>
      <w:pPr>
        <w:spacing w:line="360" w:lineRule="auto"/>
        <w:rPr>
          <w:rFonts w:ascii="Times New Roman" w:hAnsi="Times New Roman" w:eastAsia="仿宋_GB2312"/>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sz w:val="30"/>
          <w:szCs w:val="32"/>
          <w:highlight w:val="none"/>
        </w:rPr>
      </w:pPr>
      <w:r>
        <w:rPr>
          <w:rFonts w:ascii="Times New Roman" w:hAnsi="Times New Roman" w:eastAsia="仿宋_GB2312"/>
          <w:sz w:val="30"/>
          <w:szCs w:val="32"/>
          <w:highlight w:val="none"/>
        </w:rPr>
        <w:t>3.5.4 分包合同价款</w:t>
      </w:r>
    </w:p>
    <w:p>
      <w:pPr>
        <w:spacing w:line="360" w:lineRule="auto"/>
        <w:ind w:firstLine="600" w:firstLineChars="200"/>
        <w:rPr>
          <w:rFonts w:ascii="Times New Roman" w:hAnsi="Times New Roman" w:eastAsia="仿宋_GB2312"/>
          <w:sz w:val="30"/>
          <w:szCs w:val="32"/>
          <w:highlight w:val="none"/>
        </w:rPr>
      </w:pPr>
      <w:r>
        <w:rPr>
          <w:rFonts w:ascii="Times New Roman" w:hAnsi="Times New Roman" w:eastAsia="仿宋_GB2312"/>
          <w:sz w:val="30"/>
          <w:szCs w:val="32"/>
          <w:highlight w:val="none"/>
        </w:rPr>
        <w:t>关于分包合同价款支付的约定：</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bookmarkEnd w:id="1084"/>
    <w:bookmarkEnd w:id="1085"/>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3.6 工程照管与成品、半成品保护</w:t>
      </w:r>
    </w:p>
    <w:p>
      <w:pPr>
        <w:spacing w:before="120" w:after="120" w:line="360" w:lineRule="auto"/>
        <w:ind w:firstLine="600" w:firstLineChars="200"/>
        <w:rPr>
          <w:rFonts w:ascii="Times New Roman" w:hAnsi="Times New Roman" w:eastAsia="仿宋_GB2312"/>
          <w:color w:val="000000"/>
          <w:kern w:val="0"/>
          <w:sz w:val="30"/>
          <w:szCs w:val="32"/>
          <w:highlight w:val="none"/>
          <w:u w:val="single"/>
        </w:rPr>
      </w:pPr>
      <w:r>
        <w:rPr>
          <w:rFonts w:ascii="Times New Roman" w:hAnsi="Times New Roman" w:eastAsia="仿宋_GB2312"/>
          <w:color w:val="000000"/>
          <w:kern w:val="0"/>
          <w:sz w:val="30"/>
          <w:szCs w:val="32"/>
          <w:highlight w:val="none"/>
        </w:rPr>
        <w:t>承包人负责照管工程及工程相关的材料、工程设备的起始时间：</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w:t>
      </w:r>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3.7 履约担保</w:t>
      </w:r>
    </w:p>
    <w:p>
      <w:pPr>
        <w:spacing w:line="360" w:lineRule="auto"/>
        <w:ind w:firstLine="600" w:firstLineChars="200"/>
        <w:jc w:val="left"/>
        <w:rPr>
          <w:rFonts w:hint="eastAsia" w:ascii="Times New Roman" w:hAnsi="Times New Roman" w:eastAsia="仿宋_GB2312"/>
          <w:color w:val="000000"/>
          <w:sz w:val="30"/>
          <w:szCs w:val="32"/>
          <w:highlight w:val="none"/>
        </w:rPr>
      </w:pPr>
      <w:r>
        <w:rPr>
          <w:rFonts w:hint="eastAsia" w:ascii="Times New Roman" w:hAnsi="Times New Roman" w:eastAsia="仿宋_GB2312"/>
          <w:color w:val="000000"/>
          <w:sz w:val="30"/>
          <w:szCs w:val="32"/>
          <w:highlight w:val="none"/>
        </w:rPr>
        <w:t>承包人是否提供履约担保：</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hint="eastAsia"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承包人提供履约担保的形式</w:t>
      </w:r>
      <w:r>
        <w:rPr>
          <w:rFonts w:hint="eastAsia" w:ascii="Times New Roman" w:hAnsi="Times New Roman" w:eastAsia="仿宋_GB2312"/>
          <w:color w:val="000000"/>
          <w:sz w:val="30"/>
          <w:szCs w:val="32"/>
          <w:highlight w:val="none"/>
        </w:rPr>
        <w:t>、金额及期限的</w:t>
      </w:r>
      <w:r>
        <w:rPr>
          <w:rFonts w:ascii="Times New Roman" w:hAnsi="Times New Roman" w:eastAsia="仿宋_GB2312"/>
          <w:color w:val="000000"/>
          <w:sz w:val="30"/>
          <w:szCs w:val="32"/>
          <w:highlight w:val="none"/>
        </w:rPr>
        <w:t>：</w:t>
      </w:r>
      <w:r>
        <w:rPr>
          <w:rFonts w:ascii="Times New Roman" w:hAnsi="Times New Roman" w:eastAsia="仿宋_GB2312"/>
          <w:color w:val="000000"/>
          <w:sz w:val="30"/>
          <w:szCs w:val="32"/>
          <w:highlight w:val="none"/>
          <w:u w:val="single"/>
        </w:rPr>
        <w:t xml:space="preserve">              </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pStyle w:val="5"/>
        <w:spacing w:before="120" w:after="120" w:line="360" w:lineRule="auto"/>
        <w:rPr>
          <w:rFonts w:ascii="Times New Roman" w:hAnsi="Times New Roman" w:eastAsia="黑体"/>
          <w:b w:val="0"/>
          <w:color w:val="000000"/>
          <w:sz w:val="32"/>
          <w:szCs w:val="32"/>
          <w:highlight w:val="none"/>
        </w:rPr>
      </w:pPr>
      <w:bookmarkStart w:id="1086" w:name="_Toc20542"/>
      <w:bookmarkStart w:id="1087" w:name="_Toc1212"/>
      <w:r>
        <w:rPr>
          <w:rFonts w:ascii="Times New Roman" w:hAnsi="Times New Roman" w:eastAsia="黑体"/>
          <w:b w:val="0"/>
          <w:color w:val="000000"/>
          <w:sz w:val="32"/>
          <w:szCs w:val="32"/>
          <w:highlight w:val="none"/>
        </w:rPr>
        <w:t>4</w:t>
      </w:r>
      <w:bookmarkStart w:id="1088" w:name="_Toc296890990"/>
      <w:bookmarkStart w:id="1089" w:name="_Toc296347161"/>
      <w:bookmarkStart w:id="1090" w:name="_Toc297120462"/>
      <w:bookmarkStart w:id="1091" w:name="_Toc296503162"/>
      <w:bookmarkStart w:id="1092" w:name="_Toc296891202"/>
      <w:bookmarkStart w:id="1093" w:name="_Toc292559366"/>
      <w:bookmarkStart w:id="1094" w:name="_Toc296346663"/>
      <w:bookmarkStart w:id="1095" w:name="_Toc292559871"/>
      <w:bookmarkStart w:id="1096" w:name="_Toc297048348"/>
      <w:bookmarkStart w:id="1097" w:name="_Toc296944501"/>
      <w:bookmarkStart w:id="1098" w:name="_Toc267251413"/>
      <w:r>
        <w:rPr>
          <w:rFonts w:ascii="Times New Roman" w:hAnsi="Times New Roman" w:eastAsia="黑体"/>
          <w:b w:val="0"/>
          <w:color w:val="000000"/>
          <w:sz w:val="32"/>
          <w:szCs w:val="32"/>
          <w:highlight w:val="none"/>
        </w:rPr>
        <w:t>. 监</w:t>
      </w:r>
      <w:bookmarkEnd w:id="1088"/>
      <w:bookmarkEnd w:id="1089"/>
      <w:bookmarkEnd w:id="1090"/>
      <w:bookmarkEnd w:id="1091"/>
      <w:bookmarkEnd w:id="1092"/>
      <w:bookmarkEnd w:id="1093"/>
      <w:bookmarkEnd w:id="1094"/>
      <w:bookmarkEnd w:id="1095"/>
      <w:bookmarkEnd w:id="1096"/>
      <w:bookmarkEnd w:id="1097"/>
      <w:bookmarkEnd w:id="1098"/>
      <w:r>
        <w:rPr>
          <w:rFonts w:ascii="Times New Roman" w:hAnsi="Times New Roman" w:eastAsia="黑体"/>
          <w:b w:val="0"/>
          <w:color w:val="000000"/>
          <w:sz w:val="32"/>
          <w:szCs w:val="32"/>
          <w:highlight w:val="none"/>
        </w:rPr>
        <w:t>理人</w:t>
      </w:r>
      <w:bookmarkEnd w:id="1086"/>
      <w:bookmarkEnd w:id="1087"/>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4.1监理人的一般规定</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关于监理人的监理内容：</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关于监理人的监理权限：</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 xml:space="preserve">。 </w:t>
      </w:r>
    </w:p>
    <w:p>
      <w:pPr>
        <w:spacing w:line="360" w:lineRule="auto"/>
        <w:ind w:firstLine="600" w:firstLineChars="200"/>
        <w:rPr>
          <w:rFonts w:hint="eastAsia"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关于监理人在施工现场的办公场所、生活场所的提供和费用承担的约定：</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p>
    <w:p>
      <w:pPr>
        <w:spacing w:line="360" w:lineRule="auto"/>
        <w:rPr>
          <w:rFonts w:hint="eastAsia"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4.2 监理人员</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总监理工程师：</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姓    名：</w:t>
      </w:r>
      <w:r>
        <w:rPr>
          <w:rFonts w:ascii="Times New Roman" w:hAnsi="Times New Roman" w:eastAsia="仿宋_GB2312"/>
          <w:color w:val="000000"/>
          <w:sz w:val="30"/>
          <w:szCs w:val="32"/>
          <w:highlight w:val="none"/>
          <w:u w:val="single"/>
        </w:rPr>
        <w:t>  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职    务：</w:t>
      </w:r>
      <w:r>
        <w:rPr>
          <w:rFonts w:ascii="Times New Roman" w:hAnsi="Times New Roman" w:eastAsia="仿宋_GB2312"/>
          <w:color w:val="000000"/>
          <w:sz w:val="30"/>
          <w:szCs w:val="32"/>
          <w:highlight w:val="none"/>
          <w:u w:val="single"/>
        </w:rPr>
        <w:t>  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监理工程师执业资格证书号：</w:t>
      </w:r>
      <w:r>
        <w:rPr>
          <w:rFonts w:ascii="Times New Roman" w:hAnsi="Times New Roman" w:eastAsia="仿宋_GB2312"/>
          <w:color w:val="000000"/>
          <w:sz w:val="30"/>
          <w:szCs w:val="32"/>
          <w:highlight w:val="none"/>
          <w:u w:val="single"/>
        </w:rPr>
        <w:t>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联系电话：</w:t>
      </w:r>
      <w:r>
        <w:rPr>
          <w:rFonts w:ascii="Times New Roman" w:hAnsi="Times New Roman" w:eastAsia="仿宋_GB2312"/>
          <w:color w:val="000000"/>
          <w:sz w:val="30"/>
          <w:szCs w:val="32"/>
          <w:highlight w:val="none"/>
          <w:u w:val="single"/>
        </w:rPr>
        <w:t>  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电子信箱：</w:t>
      </w:r>
      <w:r>
        <w:rPr>
          <w:rFonts w:ascii="Times New Roman" w:hAnsi="Times New Roman" w:eastAsia="仿宋_GB2312"/>
          <w:color w:val="000000"/>
          <w:sz w:val="30"/>
          <w:szCs w:val="32"/>
          <w:highlight w:val="none"/>
          <w:u w:val="single"/>
        </w:rPr>
        <w:t>  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通信地址：</w:t>
      </w:r>
      <w:r>
        <w:rPr>
          <w:rFonts w:ascii="Times New Roman" w:hAnsi="Times New Roman" w:eastAsia="仿宋_GB2312"/>
          <w:color w:val="000000"/>
          <w:sz w:val="30"/>
          <w:szCs w:val="32"/>
          <w:highlight w:val="none"/>
          <w:u w:val="single"/>
        </w:rPr>
        <w:t>   </w:t>
      </w:r>
      <w:r>
        <w:rPr>
          <w:rFonts w:ascii="Times New Roman" w:hAnsi="Times New Roman" w:eastAsia="仿宋_GB2312"/>
          <w:color w:val="000000"/>
          <w:sz w:val="30"/>
          <w:szCs w:val="32"/>
          <w:highlight w:val="none"/>
        </w:rPr>
        <w:t>；</w:t>
      </w:r>
    </w:p>
    <w:p>
      <w:pPr>
        <w:spacing w:line="360" w:lineRule="auto"/>
        <w:ind w:firstLine="600" w:firstLineChars="200"/>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关于监理人的其他约定：</w:t>
      </w:r>
      <w:r>
        <w:rPr>
          <w:rFonts w:ascii="Times New Roman" w:hAnsi="Times New Roman" w:eastAsia="仿宋_GB2312"/>
          <w:color w:val="000000"/>
          <w:sz w:val="30"/>
          <w:szCs w:val="32"/>
          <w:highlight w:val="none"/>
          <w:u w:val="single"/>
        </w:rPr>
        <w:t>   </w:t>
      </w:r>
      <w:r>
        <w:rPr>
          <w:rFonts w:ascii="Times New Roman" w:hAnsi="Times New Roman" w:eastAsia="仿宋_GB2312"/>
          <w:color w:val="000000"/>
          <w:sz w:val="30"/>
          <w:szCs w:val="32"/>
          <w:highlight w:val="none"/>
        </w:rPr>
        <w:t>。</w:t>
      </w:r>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4.4 商定或确定</w:t>
      </w:r>
    </w:p>
    <w:p>
      <w:pPr>
        <w:spacing w:line="360" w:lineRule="auto"/>
        <w:ind w:firstLine="600" w:firstLineChars="200"/>
        <w:rPr>
          <w:rFonts w:ascii="Times New Roman" w:hAnsi="Times New Roman" w:eastAsia="仿宋_GB2312"/>
          <w:color w:val="000000"/>
          <w:sz w:val="30"/>
          <w:szCs w:val="32"/>
          <w:highlight w:val="none"/>
        </w:rPr>
      </w:pPr>
      <w:bookmarkStart w:id="1099" w:name="_Toc267251418"/>
      <w:r>
        <w:rPr>
          <w:rFonts w:ascii="Times New Roman" w:hAnsi="Times New Roman" w:eastAsia="仿宋_GB2312"/>
          <w:color w:val="000000"/>
          <w:sz w:val="30"/>
          <w:szCs w:val="32"/>
          <w:highlight w:val="none"/>
        </w:rPr>
        <w:t>在发包人和承包人不能通过协商达成一致意见时，发包人授权监理人对以下事项进行确定：</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pStyle w:val="5"/>
        <w:spacing w:before="120" w:after="120" w:line="360" w:lineRule="auto"/>
        <w:rPr>
          <w:rFonts w:ascii="Times New Roman" w:hAnsi="Times New Roman" w:eastAsia="黑体"/>
          <w:b w:val="0"/>
          <w:color w:val="000000"/>
          <w:sz w:val="32"/>
          <w:szCs w:val="32"/>
          <w:highlight w:val="none"/>
        </w:rPr>
      </w:pPr>
      <w:bookmarkStart w:id="1100" w:name="_Toc15340"/>
      <w:bookmarkStart w:id="1101" w:name="_Toc15934"/>
      <w:r>
        <w:rPr>
          <w:rFonts w:ascii="Times New Roman" w:hAnsi="Times New Roman" w:eastAsia="黑体"/>
          <w:b w:val="0"/>
          <w:color w:val="000000"/>
          <w:sz w:val="32"/>
          <w:szCs w:val="32"/>
          <w:highlight w:val="none"/>
        </w:rPr>
        <w:t>5</w:t>
      </w:r>
      <w:bookmarkEnd w:id="1099"/>
      <w:bookmarkStart w:id="1102" w:name="_Toc296346664"/>
      <w:bookmarkStart w:id="1103" w:name="_Toc297048349"/>
      <w:bookmarkStart w:id="1104" w:name="_Toc292559872"/>
      <w:bookmarkStart w:id="1105" w:name="_Toc296890991"/>
      <w:bookmarkStart w:id="1106" w:name="_Toc296503163"/>
      <w:bookmarkStart w:id="1107" w:name="_Toc292559367"/>
      <w:bookmarkStart w:id="1108" w:name="_Toc296347162"/>
      <w:bookmarkStart w:id="1109" w:name="_Toc296944502"/>
      <w:bookmarkStart w:id="1110" w:name="_Toc297120463"/>
      <w:bookmarkStart w:id="1111" w:name="_Toc296891203"/>
      <w:r>
        <w:rPr>
          <w:rFonts w:ascii="Times New Roman" w:hAnsi="Times New Roman" w:eastAsia="黑体"/>
          <w:b w:val="0"/>
          <w:color w:val="000000"/>
          <w:sz w:val="32"/>
          <w:szCs w:val="32"/>
          <w:highlight w:val="none"/>
        </w:rPr>
        <w:t>. 工程质量</w:t>
      </w:r>
      <w:bookmarkEnd w:id="1100"/>
      <w:bookmarkEnd w:id="1101"/>
    </w:p>
    <w:p>
      <w:pPr>
        <w:spacing w:after="120" w:line="360" w:lineRule="auto"/>
        <w:ind w:firstLine="600" w:firstLineChars="200"/>
        <w:outlineLvl w:val="0"/>
        <w:rPr>
          <w:rFonts w:ascii="Times New Roman" w:hAnsi="Times New Roman" w:eastAsia="黑体"/>
          <w:color w:val="000000"/>
          <w:sz w:val="30"/>
          <w:szCs w:val="32"/>
          <w:highlight w:val="none"/>
        </w:rPr>
      </w:pPr>
      <w:bookmarkStart w:id="1112" w:name="_Toc2947"/>
      <w:bookmarkStart w:id="1113" w:name="_Toc20115"/>
      <w:bookmarkStart w:id="1114" w:name="_Toc2854"/>
      <w:bookmarkStart w:id="1115" w:name="_Toc22609"/>
      <w:r>
        <w:rPr>
          <w:rFonts w:ascii="Times New Roman" w:hAnsi="Times New Roman" w:eastAsia="黑体"/>
          <w:color w:val="000000"/>
          <w:sz w:val="30"/>
          <w:szCs w:val="32"/>
          <w:highlight w:val="none"/>
        </w:rPr>
        <w:t>5.1 质量要求</w:t>
      </w:r>
      <w:bookmarkEnd w:id="1112"/>
      <w:bookmarkEnd w:id="1113"/>
      <w:bookmarkEnd w:id="1114"/>
      <w:bookmarkEnd w:id="1115"/>
    </w:p>
    <w:p>
      <w:pPr>
        <w:spacing w:line="360" w:lineRule="auto"/>
        <w:ind w:firstLine="600" w:firstLineChars="200"/>
        <w:jc w:val="left"/>
        <w:rPr>
          <w:rFonts w:hint="eastAsia" w:ascii="Times New Roman" w:hAnsi="Times New Roman" w:eastAsia="仿宋_GB2312"/>
          <w:sz w:val="30"/>
          <w:szCs w:val="32"/>
          <w:highlight w:val="none"/>
          <w:u w:val="single"/>
        </w:rPr>
      </w:pPr>
      <w:r>
        <w:rPr>
          <w:rFonts w:ascii="Times New Roman" w:hAnsi="Times New Roman" w:eastAsia="仿宋_GB2312"/>
          <w:sz w:val="30"/>
          <w:szCs w:val="32"/>
          <w:highlight w:val="none"/>
        </w:rPr>
        <w:t>5</w:t>
      </w:r>
      <w:bookmarkStart w:id="1116" w:name="_Toc304295527"/>
      <w:bookmarkStart w:id="1117" w:name="_Toc297216155"/>
      <w:bookmarkStart w:id="1118" w:name="_Toc297123496"/>
      <w:bookmarkStart w:id="1119" w:name="_Toc318581164"/>
      <w:bookmarkStart w:id="1120" w:name="_Toc312677997"/>
      <w:bookmarkStart w:id="1121" w:name="_Toc300934949"/>
      <w:bookmarkStart w:id="1122" w:name="_Toc303539106"/>
      <w:r>
        <w:rPr>
          <w:rFonts w:ascii="Times New Roman" w:hAnsi="Times New Roman" w:eastAsia="仿宋_GB2312"/>
          <w:sz w:val="30"/>
          <w:szCs w:val="32"/>
          <w:highlight w:val="none"/>
        </w:rPr>
        <w:t>.1.1 特殊质量标准和要求：</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p>
    <w:p>
      <w:pPr>
        <w:spacing w:line="360" w:lineRule="auto"/>
        <w:jc w:val="left"/>
        <w:rPr>
          <w:rFonts w:ascii="Times New Roman" w:hAnsi="Times New Roman" w:eastAsia="仿宋_GB2312"/>
          <w:sz w:val="30"/>
          <w:szCs w:val="32"/>
          <w:highlight w:val="none"/>
        </w:rPr>
      </w:pP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line="360" w:lineRule="auto"/>
        <w:ind w:firstLine="600" w:firstLineChars="200"/>
        <w:jc w:val="left"/>
        <w:rPr>
          <w:rFonts w:hint="eastAsia" w:ascii="Times New Roman" w:hAnsi="Times New Roman" w:eastAsia="仿宋_GB2312"/>
          <w:sz w:val="30"/>
          <w:szCs w:val="32"/>
          <w:highlight w:val="none"/>
          <w:u w:val="single"/>
        </w:rPr>
      </w:pPr>
      <w:r>
        <w:rPr>
          <w:rFonts w:ascii="Times New Roman" w:hAnsi="Times New Roman" w:eastAsia="仿宋_GB2312"/>
          <w:sz w:val="30"/>
          <w:szCs w:val="32"/>
          <w:highlight w:val="none"/>
        </w:rPr>
        <w:t>关于工程奖项的约定：</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p>
    <w:p>
      <w:pPr>
        <w:spacing w:line="360" w:lineRule="auto"/>
        <w:jc w:val="left"/>
        <w:rPr>
          <w:rFonts w:hint="eastAsia" w:ascii="Times New Roman" w:hAnsi="Times New Roman" w:eastAsia="黑体"/>
          <w:color w:val="000000"/>
          <w:sz w:val="30"/>
          <w:szCs w:val="32"/>
          <w:highlight w:val="none"/>
        </w:rPr>
      </w:pP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after="120" w:line="360" w:lineRule="auto"/>
        <w:ind w:firstLine="600" w:firstLineChars="200"/>
        <w:outlineLvl w:val="0"/>
        <w:rPr>
          <w:rFonts w:ascii="Times New Roman" w:hAnsi="Times New Roman" w:eastAsia="黑体"/>
          <w:color w:val="000000"/>
          <w:sz w:val="30"/>
          <w:szCs w:val="32"/>
          <w:highlight w:val="none"/>
        </w:rPr>
      </w:pPr>
      <w:bookmarkStart w:id="1123" w:name="_Toc14773"/>
      <w:bookmarkStart w:id="1124" w:name="_Toc23559"/>
      <w:bookmarkStart w:id="1125" w:name="_Toc4795"/>
      <w:bookmarkStart w:id="1126" w:name="_Toc18213"/>
      <w:r>
        <w:rPr>
          <w:rFonts w:ascii="Times New Roman" w:hAnsi="Times New Roman" w:eastAsia="黑体"/>
          <w:color w:val="000000"/>
          <w:sz w:val="30"/>
          <w:szCs w:val="32"/>
          <w:highlight w:val="none"/>
        </w:rPr>
        <w:t>5.3 隐蔽工程检查</w:t>
      </w:r>
      <w:bookmarkEnd w:id="1123"/>
      <w:bookmarkEnd w:id="1124"/>
      <w:bookmarkEnd w:id="1125"/>
      <w:bookmarkEnd w:id="1126"/>
    </w:p>
    <w:p>
      <w:pPr>
        <w:spacing w:line="360" w:lineRule="auto"/>
        <w:ind w:firstLine="600" w:firstLineChars="200"/>
        <w:jc w:val="left"/>
        <w:rPr>
          <w:rFonts w:ascii="Times New Roman" w:hAnsi="Times New Roman" w:eastAsia="仿宋_GB2312"/>
          <w:sz w:val="30"/>
          <w:szCs w:val="32"/>
          <w:highlight w:val="none"/>
          <w:u w:val="single"/>
        </w:rPr>
      </w:pPr>
      <w:r>
        <w:rPr>
          <w:rFonts w:ascii="Times New Roman" w:hAnsi="Times New Roman" w:eastAsia="仿宋_GB2312"/>
          <w:sz w:val="30"/>
          <w:szCs w:val="32"/>
          <w:highlight w:val="none"/>
        </w:rPr>
        <w:t>5.3.2承包人提前通知监理人隐蔽工程检查的期限的约定：</w:t>
      </w:r>
      <w:r>
        <w:rPr>
          <w:rFonts w:ascii="Times New Roman" w:hAnsi="Times New Roman" w:eastAsia="仿宋_GB2312"/>
          <w:sz w:val="30"/>
          <w:szCs w:val="32"/>
          <w:highlight w:val="none"/>
          <w:u w:val="single"/>
        </w:rPr>
        <w:t xml:space="preserve">    </w:t>
      </w:r>
    </w:p>
    <w:p>
      <w:pPr>
        <w:spacing w:line="360" w:lineRule="auto"/>
        <w:jc w:val="left"/>
        <w:rPr>
          <w:rFonts w:ascii="Times New Roman" w:hAnsi="Times New Roman" w:eastAsia="仿宋_GB2312"/>
          <w:sz w:val="30"/>
          <w:szCs w:val="32"/>
          <w:highlight w:val="none"/>
        </w:rPr>
      </w:pP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监理人不能按时进行检查时，应提前</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小时提交书面延期要求。</w:t>
      </w:r>
    </w:p>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关于延期最长不得超过：</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小时。</w:t>
      </w:r>
    </w:p>
    <w:p>
      <w:pPr>
        <w:pStyle w:val="5"/>
        <w:spacing w:before="120" w:after="120" w:line="360" w:lineRule="auto"/>
        <w:rPr>
          <w:rFonts w:ascii="Times New Roman" w:hAnsi="Times New Roman" w:eastAsia="黑体"/>
          <w:b w:val="0"/>
          <w:color w:val="000000"/>
          <w:sz w:val="32"/>
          <w:szCs w:val="32"/>
          <w:highlight w:val="none"/>
        </w:rPr>
      </w:pPr>
      <w:bookmarkStart w:id="1127" w:name="_Toc15487"/>
      <w:bookmarkStart w:id="1128" w:name="_Toc20484"/>
      <w:r>
        <w:rPr>
          <w:rFonts w:ascii="Times New Roman" w:hAnsi="Times New Roman" w:eastAsia="黑体"/>
          <w:b w:val="0"/>
          <w:color w:val="000000"/>
          <w:sz w:val="32"/>
          <w:szCs w:val="32"/>
          <w:highlight w:val="none"/>
        </w:rPr>
        <w:t>6. 安全文明施工与环境保护</w:t>
      </w:r>
      <w:bookmarkEnd w:id="1127"/>
      <w:bookmarkEnd w:id="1128"/>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6.1安全文明施工</w:t>
      </w:r>
    </w:p>
    <w:p>
      <w:pPr>
        <w:spacing w:line="360" w:lineRule="auto"/>
        <w:ind w:firstLine="600" w:firstLineChars="200"/>
        <w:jc w:val="left"/>
        <w:rPr>
          <w:rFonts w:ascii="Times New Roman" w:hAnsi="Times New Roman" w:eastAsia="仿宋_GB2312"/>
          <w:sz w:val="30"/>
          <w:szCs w:val="32"/>
          <w:highlight w:val="none"/>
          <w:u w:val="single"/>
        </w:rPr>
      </w:pPr>
      <w:r>
        <w:rPr>
          <w:rFonts w:ascii="Times New Roman" w:hAnsi="Times New Roman" w:eastAsia="仿宋_GB2312"/>
          <w:sz w:val="30"/>
          <w:szCs w:val="32"/>
          <w:highlight w:val="none"/>
        </w:rPr>
        <w:t>6.1.1</w:t>
      </w:r>
      <w:r>
        <w:rPr>
          <w:rFonts w:ascii="Times New Roman" w:hAnsi="Times New Roman" w:eastAsia="仿宋_GB2312"/>
          <w:color w:val="000000"/>
          <w:sz w:val="30"/>
          <w:szCs w:val="32"/>
          <w:highlight w:val="none"/>
        </w:rPr>
        <w:t xml:space="preserve"> 项目安全生产的达标目标及相应事项的约定：</w:t>
      </w:r>
      <w:r>
        <w:rPr>
          <w:rFonts w:ascii="Times New Roman" w:hAnsi="Times New Roman" w:eastAsia="仿宋_GB2312"/>
          <w:sz w:val="30"/>
          <w:szCs w:val="32"/>
          <w:highlight w:val="none"/>
          <w:u w:val="single"/>
        </w:rPr>
        <w:t xml:space="preserve">         </w:t>
      </w:r>
    </w:p>
    <w:p>
      <w:pPr>
        <w:spacing w:line="360" w:lineRule="auto"/>
        <w:jc w:val="left"/>
        <w:rPr>
          <w:rFonts w:ascii="Times New Roman" w:hAnsi="Times New Roman" w:eastAsia="仿宋_GB2312"/>
          <w:sz w:val="30"/>
          <w:szCs w:val="32"/>
          <w:highlight w:val="none"/>
        </w:rPr>
      </w:pP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line="360" w:lineRule="auto"/>
        <w:ind w:firstLine="600" w:firstLineChars="200"/>
        <w:jc w:val="left"/>
        <w:rPr>
          <w:rFonts w:ascii="Times New Roman" w:hAnsi="Times New Roman" w:eastAsia="仿宋_GB2312"/>
          <w:sz w:val="30"/>
          <w:szCs w:val="32"/>
          <w:highlight w:val="none"/>
          <w:u w:val="single"/>
        </w:rPr>
      </w:pPr>
      <w:r>
        <w:rPr>
          <w:rFonts w:ascii="Times New Roman" w:hAnsi="Times New Roman" w:eastAsia="仿宋_GB2312"/>
          <w:sz w:val="30"/>
          <w:szCs w:val="32"/>
          <w:highlight w:val="none"/>
        </w:rPr>
        <w:t>6.1.4 关于治安保卫的特别约定：</w:t>
      </w:r>
      <w:r>
        <w:rPr>
          <w:rFonts w:ascii="Times New Roman" w:hAnsi="Times New Roman" w:eastAsia="仿宋_GB2312"/>
          <w:sz w:val="30"/>
          <w:szCs w:val="32"/>
          <w:highlight w:val="none"/>
          <w:u w:val="single"/>
        </w:rPr>
        <w:t xml:space="preserve">                         </w:t>
      </w:r>
    </w:p>
    <w:p>
      <w:pPr>
        <w:spacing w:line="360" w:lineRule="auto"/>
        <w:jc w:val="left"/>
        <w:rPr>
          <w:rFonts w:ascii="Times New Roman" w:hAnsi="Times New Roman" w:eastAsia="仿宋_GB2312"/>
          <w:sz w:val="30"/>
          <w:szCs w:val="32"/>
          <w:highlight w:val="none"/>
        </w:rPr>
      </w:pP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line="360" w:lineRule="auto"/>
        <w:ind w:firstLine="600" w:firstLineChars="200"/>
        <w:jc w:val="left"/>
        <w:rPr>
          <w:rFonts w:hint="eastAsia" w:ascii="Times New Roman" w:hAnsi="Times New Roman" w:eastAsia="仿宋_GB2312"/>
          <w:sz w:val="30"/>
          <w:szCs w:val="32"/>
          <w:highlight w:val="none"/>
          <w:u w:val="single"/>
          <w:lang w:eastAsia="zh-CN"/>
        </w:rPr>
      </w:pPr>
      <w:r>
        <w:rPr>
          <w:rFonts w:ascii="Times New Roman" w:hAnsi="Times New Roman" w:eastAsia="仿宋_GB2312"/>
          <w:sz w:val="30"/>
          <w:szCs w:val="32"/>
          <w:highlight w:val="none"/>
        </w:rPr>
        <w:t>关于编制施工场地治安管理计划的约定：</w:t>
      </w:r>
      <w:r>
        <w:rPr>
          <w:rFonts w:ascii="Times New Roman" w:hAnsi="Times New Roman" w:eastAsia="仿宋_GB2312"/>
          <w:sz w:val="30"/>
          <w:szCs w:val="32"/>
          <w:highlight w:val="none"/>
          <w:u w:val="single"/>
        </w:rPr>
        <w:t xml:space="preserve">                  </w:t>
      </w:r>
    </w:p>
    <w:p>
      <w:pPr>
        <w:spacing w:line="360" w:lineRule="auto"/>
        <w:ind w:firstLine="600" w:firstLineChars="200"/>
        <w:jc w:val="left"/>
        <w:rPr>
          <w:rFonts w:hint="eastAsia" w:ascii="Times New Roman" w:hAnsi="Times New Roman" w:eastAsia="仿宋_GB2312"/>
          <w:sz w:val="30"/>
          <w:szCs w:val="32"/>
          <w:highlight w:val="none"/>
        </w:rPr>
      </w:pP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line="360" w:lineRule="auto"/>
        <w:ind w:firstLine="600" w:firstLineChars="200"/>
        <w:jc w:val="left"/>
        <w:rPr>
          <w:rFonts w:hint="eastAsia" w:ascii="Times New Roman" w:hAnsi="Times New Roman" w:eastAsia="仿宋_GB2312"/>
          <w:sz w:val="30"/>
          <w:szCs w:val="32"/>
          <w:highlight w:val="none"/>
        </w:rPr>
      </w:pPr>
      <w:r>
        <w:rPr>
          <w:rFonts w:hint="eastAsia" w:ascii="Times New Roman" w:hAnsi="Times New Roman" w:eastAsia="仿宋_GB2312"/>
          <w:sz w:val="30"/>
          <w:szCs w:val="32"/>
          <w:highlight w:val="none"/>
        </w:rPr>
        <w:t>6.1.5 文明施工</w:t>
      </w:r>
    </w:p>
    <w:p>
      <w:pPr>
        <w:spacing w:line="360" w:lineRule="auto"/>
        <w:ind w:firstLine="600" w:firstLineChars="200"/>
        <w:jc w:val="left"/>
        <w:rPr>
          <w:rFonts w:hint="eastAsia" w:ascii="Times New Roman" w:hAnsi="Times New Roman" w:eastAsia="仿宋_GB2312"/>
          <w:sz w:val="30"/>
          <w:szCs w:val="32"/>
          <w:highlight w:val="none"/>
          <w:u w:val="single"/>
        </w:rPr>
      </w:pPr>
      <w:r>
        <w:rPr>
          <w:rFonts w:hint="eastAsia" w:ascii="Times New Roman" w:hAnsi="Times New Roman" w:eastAsia="仿宋_GB2312"/>
          <w:sz w:val="30"/>
          <w:szCs w:val="32"/>
          <w:highlight w:val="none"/>
        </w:rPr>
        <w:t>合同当事人对文明施工的要求：</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p>
    <w:p>
      <w:pPr>
        <w:spacing w:line="360" w:lineRule="auto"/>
        <w:jc w:val="left"/>
        <w:rPr>
          <w:rFonts w:ascii="Times New Roman" w:hAnsi="Times New Roman" w:eastAsia="仿宋_GB2312"/>
          <w:sz w:val="30"/>
          <w:szCs w:val="32"/>
          <w:highlight w:val="none"/>
        </w:rPr>
      </w:pPr>
      <w:r>
        <w:rPr>
          <w:rFonts w:hint="eastAsia"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rPr>
        <w:t>。</w:t>
      </w:r>
    </w:p>
    <w:p>
      <w:pPr>
        <w:spacing w:line="360" w:lineRule="auto"/>
        <w:ind w:firstLine="600" w:firstLineChars="200"/>
        <w:jc w:val="left"/>
        <w:rPr>
          <w:rFonts w:hint="eastAsia" w:ascii="Times New Roman" w:hAnsi="Times New Roman" w:eastAsia="仿宋_GB2312"/>
          <w:sz w:val="30"/>
          <w:szCs w:val="32"/>
          <w:highlight w:val="none"/>
        </w:rPr>
      </w:pPr>
      <w:r>
        <w:rPr>
          <w:rFonts w:ascii="Times New Roman" w:hAnsi="Times New Roman" w:eastAsia="仿宋_GB2312"/>
          <w:sz w:val="30"/>
          <w:szCs w:val="32"/>
          <w:highlight w:val="none"/>
        </w:rPr>
        <w:t>6.1.6 关于安全文明施工费支付比例和支付期限的约定：</w:t>
      </w:r>
      <w:r>
        <w:rPr>
          <w:rFonts w:ascii="Times New Roman" w:hAnsi="Times New Roman" w:eastAsia="仿宋_GB2312"/>
          <w:sz w:val="30"/>
          <w:szCs w:val="32"/>
          <w:highlight w:val="none"/>
          <w:u w:val="single"/>
        </w:rPr>
        <w:t xml:space="preserve">     </w:t>
      </w:r>
    </w:p>
    <w:p>
      <w:pPr>
        <w:spacing w:line="360" w:lineRule="auto"/>
        <w:jc w:val="left"/>
        <w:rPr>
          <w:rFonts w:ascii="Times New Roman" w:hAnsi="Times New Roman" w:eastAsia="仿宋_GB2312"/>
          <w:sz w:val="30"/>
          <w:szCs w:val="32"/>
          <w:highlight w:val="none"/>
        </w:rPr>
      </w:pP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bookmarkEnd w:id="1116"/>
    <w:bookmarkEnd w:id="1117"/>
    <w:bookmarkEnd w:id="1118"/>
    <w:bookmarkEnd w:id="1119"/>
    <w:bookmarkEnd w:id="1120"/>
    <w:bookmarkEnd w:id="1121"/>
    <w:bookmarkEnd w:id="1122"/>
    <w:p>
      <w:pPr>
        <w:pStyle w:val="5"/>
        <w:spacing w:before="120" w:after="120" w:line="360" w:lineRule="auto"/>
        <w:rPr>
          <w:rFonts w:ascii="Times New Roman" w:hAnsi="Times New Roman" w:eastAsia="黑体"/>
          <w:b w:val="0"/>
          <w:color w:val="000000"/>
          <w:sz w:val="32"/>
          <w:szCs w:val="32"/>
          <w:highlight w:val="none"/>
        </w:rPr>
      </w:pPr>
      <w:bookmarkStart w:id="1129" w:name="_Toc22511"/>
      <w:bookmarkStart w:id="1130" w:name="_Toc7980"/>
      <w:r>
        <w:rPr>
          <w:rFonts w:ascii="Times New Roman" w:hAnsi="Times New Roman" w:eastAsia="黑体"/>
          <w:b w:val="0"/>
          <w:color w:val="000000"/>
          <w:sz w:val="32"/>
          <w:szCs w:val="32"/>
          <w:highlight w:val="none"/>
        </w:rPr>
        <w:t>7. 工期和进度</w:t>
      </w:r>
      <w:bookmarkEnd w:id="1129"/>
      <w:bookmarkEnd w:id="1130"/>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7.1 施工组织设计</w:t>
      </w:r>
    </w:p>
    <w:p>
      <w:pPr>
        <w:autoSpaceDE w:val="0"/>
        <w:autoSpaceDN w:val="0"/>
        <w:adjustRightInd w:val="0"/>
        <w:spacing w:line="360" w:lineRule="auto"/>
        <w:ind w:firstLine="600" w:firstLineChars="200"/>
        <w:jc w:val="left"/>
        <w:rPr>
          <w:rFonts w:hint="eastAsia" w:ascii="Times New Roman" w:hAnsi="Times New Roman" w:eastAsia="仿宋_GB2312"/>
          <w:sz w:val="30"/>
          <w:szCs w:val="32"/>
          <w:highlight w:val="none"/>
          <w:u w:val="single"/>
        </w:rPr>
      </w:pPr>
      <w:r>
        <w:rPr>
          <w:rFonts w:ascii="Times New Roman" w:hAnsi="Times New Roman" w:eastAsia="仿宋_GB2312"/>
          <w:sz w:val="30"/>
          <w:szCs w:val="32"/>
          <w:highlight w:val="none"/>
        </w:rPr>
        <w:t>7.1.</w:t>
      </w:r>
      <w:r>
        <w:rPr>
          <w:rFonts w:hint="eastAsia" w:ascii="Times New Roman" w:hAnsi="Times New Roman" w:eastAsia="仿宋_GB2312"/>
          <w:sz w:val="30"/>
          <w:szCs w:val="32"/>
          <w:highlight w:val="none"/>
        </w:rPr>
        <w:t xml:space="preserve">1 </w:t>
      </w:r>
      <w:r>
        <w:rPr>
          <w:rFonts w:hint="eastAsia" w:ascii="Times New Roman" w:hAnsi="Times New Roman" w:eastAsia="仿宋_GB2312"/>
          <w:color w:val="000000"/>
          <w:sz w:val="30"/>
          <w:szCs w:val="32"/>
          <w:highlight w:val="none"/>
        </w:rPr>
        <w:t>合</w:t>
      </w:r>
      <w:r>
        <w:rPr>
          <w:rFonts w:hint="eastAsia" w:ascii="Times New Roman" w:hAnsi="Times New Roman" w:eastAsia="仿宋_GB2312"/>
          <w:color w:val="000000"/>
          <w:kern w:val="0"/>
          <w:sz w:val="30"/>
          <w:szCs w:val="32"/>
          <w:highlight w:val="none"/>
        </w:rPr>
        <w:t>同当事人约定的</w:t>
      </w:r>
      <w:r>
        <w:rPr>
          <w:rFonts w:ascii="Times New Roman" w:hAnsi="Times New Roman" w:eastAsia="仿宋_GB2312"/>
          <w:color w:val="000000"/>
          <w:kern w:val="0"/>
          <w:sz w:val="30"/>
          <w:szCs w:val="32"/>
          <w:highlight w:val="none"/>
        </w:rPr>
        <w:t>施工组织设计</w:t>
      </w:r>
      <w:r>
        <w:rPr>
          <w:rFonts w:hint="eastAsia" w:ascii="Times New Roman" w:hAnsi="Times New Roman" w:eastAsia="仿宋_GB2312"/>
          <w:color w:val="000000"/>
          <w:kern w:val="0"/>
          <w:sz w:val="30"/>
          <w:szCs w:val="32"/>
          <w:highlight w:val="none"/>
        </w:rPr>
        <w:t>应包括的其他内容</w:t>
      </w:r>
      <w:r>
        <w:rPr>
          <w:rFonts w:ascii="Times New Roman" w:hAnsi="Times New Roman" w:eastAsia="仿宋_GB2312"/>
          <w:color w:val="000000"/>
          <w:kern w:val="0"/>
          <w:sz w:val="30"/>
          <w:szCs w:val="32"/>
          <w:highlight w:val="none"/>
        </w:rPr>
        <w:t>：</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p>
    <w:p>
      <w:pPr>
        <w:autoSpaceDE w:val="0"/>
        <w:autoSpaceDN w:val="0"/>
        <w:adjustRightInd w:val="0"/>
        <w:spacing w:line="360" w:lineRule="auto"/>
        <w:jc w:val="left"/>
        <w:rPr>
          <w:rFonts w:ascii="Times New Roman" w:hAnsi="Times New Roman" w:eastAsia="仿宋_GB2312"/>
          <w:color w:val="000000"/>
          <w:kern w:val="0"/>
          <w:sz w:val="30"/>
          <w:szCs w:val="32"/>
          <w:highlight w:val="none"/>
        </w:rPr>
      </w:pP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sz w:val="30"/>
          <w:szCs w:val="32"/>
          <w:highlight w:val="none"/>
        </w:rPr>
        <w:t>7.1.2</w:t>
      </w:r>
      <w:r>
        <w:rPr>
          <w:rFonts w:ascii="Times New Roman" w:hAnsi="Times New Roman" w:eastAsia="仿宋_GB2312"/>
          <w:color w:val="000000"/>
          <w:sz w:val="30"/>
          <w:szCs w:val="32"/>
          <w:highlight w:val="none"/>
        </w:rPr>
        <w:t xml:space="preserve"> </w:t>
      </w:r>
      <w:r>
        <w:rPr>
          <w:rFonts w:ascii="Times New Roman" w:hAnsi="Times New Roman" w:eastAsia="仿宋_GB2312"/>
          <w:color w:val="000000"/>
          <w:kern w:val="0"/>
          <w:sz w:val="30"/>
          <w:szCs w:val="32"/>
          <w:highlight w:val="none"/>
        </w:rPr>
        <w:t>施工组织设计的提交和修改</w:t>
      </w:r>
    </w:p>
    <w:p>
      <w:pPr>
        <w:autoSpaceDE w:val="0"/>
        <w:autoSpaceDN w:val="0"/>
        <w:adjustRightInd w:val="0"/>
        <w:spacing w:line="360" w:lineRule="auto"/>
        <w:ind w:firstLine="600" w:firstLineChars="200"/>
        <w:jc w:val="left"/>
        <w:rPr>
          <w:rFonts w:hint="eastAsia" w:ascii="Times New Roman" w:hAnsi="Times New Roman" w:eastAsia="仿宋_GB2312"/>
          <w:sz w:val="30"/>
          <w:szCs w:val="32"/>
          <w:highlight w:val="none"/>
          <w:u w:val="single"/>
        </w:rPr>
      </w:pPr>
      <w:r>
        <w:rPr>
          <w:rFonts w:ascii="Times New Roman" w:hAnsi="Times New Roman" w:eastAsia="仿宋_GB2312"/>
          <w:color w:val="000000"/>
          <w:kern w:val="0"/>
          <w:sz w:val="30"/>
          <w:szCs w:val="32"/>
          <w:highlight w:val="none"/>
        </w:rPr>
        <w:t>承包人提交详细施工组织设计的期限的约定：</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p>
    <w:p>
      <w:pPr>
        <w:autoSpaceDE w:val="0"/>
        <w:autoSpaceDN w:val="0"/>
        <w:adjustRightInd w:val="0"/>
        <w:spacing w:line="360" w:lineRule="auto"/>
        <w:jc w:val="left"/>
        <w:rPr>
          <w:rFonts w:hint="eastAsia" w:ascii="Times New Roman" w:hAnsi="Times New Roman" w:eastAsia="仿宋_GB2312"/>
          <w:sz w:val="30"/>
          <w:szCs w:val="32"/>
          <w:highlight w:val="none"/>
        </w:rPr>
      </w:pP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发包人和监理人在收到</w:t>
      </w:r>
      <w:r>
        <w:rPr>
          <w:rFonts w:hint="eastAsia" w:ascii="Times New Roman" w:hAnsi="Times New Roman" w:eastAsia="仿宋_GB2312"/>
          <w:color w:val="000000"/>
          <w:sz w:val="30"/>
          <w:szCs w:val="32"/>
          <w:highlight w:val="none"/>
        </w:rPr>
        <w:t>详细的施工组织设计</w:t>
      </w:r>
      <w:r>
        <w:rPr>
          <w:rFonts w:ascii="Times New Roman" w:hAnsi="Times New Roman" w:eastAsia="仿宋_GB2312"/>
          <w:color w:val="000000"/>
          <w:sz w:val="30"/>
          <w:szCs w:val="32"/>
          <w:highlight w:val="none"/>
        </w:rPr>
        <w:t>后确认或提出修改意见的期限：</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7</w:t>
      </w:r>
      <w:bookmarkStart w:id="1131" w:name="_Toc297216173"/>
      <w:bookmarkStart w:id="1132" w:name="_Toc300934966"/>
      <w:bookmarkStart w:id="1133" w:name="_Toc297123514"/>
      <w:bookmarkStart w:id="1134" w:name="_Toc312677479"/>
      <w:bookmarkStart w:id="1135" w:name="_Toc303539123"/>
      <w:bookmarkStart w:id="1136" w:name="_Toc312678005"/>
      <w:bookmarkStart w:id="1137" w:name="_Toc304295541"/>
      <w:r>
        <w:rPr>
          <w:rFonts w:ascii="Times New Roman" w:hAnsi="Times New Roman" w:eastAsia="黑体"/>
          <w:color w:val="000000"/>
          <w:sz w:val="30"/>
          <w:szCs w:val="32"/>
          <w:highlight w:val="none"/>
        </w:rPr>
        <w:t>.2 施工进度计划</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7.2.2 施工进度计划的修订</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发包人和监理人在收到修订的施工进度计划后确认或提出修改意见的期限：</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7.3 开工</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7.3.1 开工准备</w:t>
      </w:r>
    </w:p>
    <w:p>
      <w:pPr>
        <w:spacing w:line="360" w:lineRule="auto"/>
        <w:ind w:firstLine="645"/>
        <w:jc w:val="left"/>
        <w:rPr>
          <w:rFonts w:ascii="Times New Roman" w:hAnsi="Times New Roman" w:eastAsia="仿宋_GB2312"/>
          <w:sz w:val="30"/>
          <w:szCs w:val="32"/>
          <w:highlight w:val="none"/>
          <w:u w:val="single"/>
        </w:rPr>
      </w:pPr>
      <w:r>
        <w:rPr>
          <w:rFonts w:ascii="Times New Roman" w:hAnsi="Times New Roman" w:eastAsia="仿宋_GB2312"/>
          <w:color w:val="000000"/>
          <w:sz w:val="30"/>
          <w:szCs w:val="32"/>
          <w:highlight w:val="none"/>
        </w:rPr>
        <w:t>关于承包人提交</w:t>
      </w:r>
      <w:r>
        <w:rPr>
          <w:rFonts w:ascii="Times New Roman" w:hAnsi="Times New Roman" w:eastAsia="仿宋_GB2312"/>
          <w:color w:val="000000"/>
          <w:kern w:val="0"/>
          <w:sz w:val="30"/>
          <w:szCs w:val="32"/>
          <w:highlight w:val="none"/>
        </w:rPr>
        <w:t>工程开工报审表的期限：</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line="360" w:lineRule="auto"/>
        <w:ind w:firstLine="645"/>
        <w:jc w:val="left"/>
        <w:rPr>
          <w:rFonts w:ascii="Times New Roman" w:hAnsi="Times New Roman" w:eastAsia="仿宋_GB2312"/>
          <w:sz w:val="30"/>
          <w:szCs w:val="32"/>
          <w:highlight w:val="none"/>
          <w:u w:val="single"/>
        </w:rPr>
      </w:pPr>
      <w:r>
        <w:rPr>
          <w:rFonts w:ascii="Times New Roman" w:hAnsi="Times New Roman" w:eastAsia="仿宋_GB2312"/>
          <w:color w:val="000000"/>
          <w:sz w:val="30"/>
          <w:szCs w:val="32"/>
          <w:highlight w:val="none"/>
        </w:rPr>
        <w:t>关于发包人应完成的其他开工准备工作及期限：</w:t>
      </w:r>
      <w:r>
        <w:rPr>
          <w:rFonts w:ascii="Times New Roman" w:hAnsi="Times New Roman" w:eastAsia="仿宋_GB2312"/>
          <w:sz w:val="30"/>
          <w:szCs w:val="32"/>
          <w:highlight w:val="none"/>
          <w:u w:val="single"/>
        </w:rPr>
        <w:t xml:space="preserve">             </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line="360" w:lineRule="auto"/>
        <w:ind w:firstLine="600" w:firstLineChars="200"/>
        <w:jc w:val="left"/>
        <w:rPr>
          <w:rFonts w:hint="eastAsia" w:ascii="Times New Roman" w:hAnsi="Times New Roman" w:eastAsia="仿宋_GB2312"/>
          <w:sz w:val="30"/>
          <w:szCs w:val="32"/>
          <w:highlight w:val="none"/>
          <w:u w:val="single"/>
        </w:rPr>
      </w:pPr>
      <w:r>
        <w:rPr>
          <w:rFonts w:ascii="Times New Roman" w:hAnsi="Times New Roman" w:eastAsia="仿宋_GB2312"/>
          <w:color w:val="000000"/>
          <w:sz w:val="30"/>
          <w:szCs w:val="32"/>
          <w:highlight w:val="none"/>
        </w:rPr>
        <w:t>关于承包人应完成的其他开工准备工作及期限：</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p>
    <w:p>
      <w:pPr>
        <w:spacing w:line="360" w:lineRule="auto"/>
        <w:jc w:val="left"/>
        <w:rPr>
          <w:rFonts w:ascii="Times New Roman" w:hAnsi="Times New Roman" w:eastAsia="仿宋_GB2312"/>
          <w:sz w:val="30"/>
          <w:szCs w:val="32"/>
          <w:highlight w:val="none"/>
        </w:rPr>
      </w:pP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7.3.2开工通知</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因发包人原因造成监理人未能在计划开工日期之日起</w:t>
      </w:r>
      <w:r>
        <w:rPr>
          <w:rFonts w:ascii="Times New Roman" w:hAnsi="Times New Roman" w:eastAsia="仿宋_GB2312"/>
          <w:sz w:val="30"/>
          <w:szCs w:val="32"/>
          <w:highlight w:val="none"/>
          <w:u w:val="single"/>
        </w:rPr>
        <w:t xml:space="preserve">     </w:t>
      </w:r>
      <w:r>
        <w:rPr>
          <w:rFonts w:ascii="Times New Roman" w:hAnsi="Times New Roman" w:eastAsia="仿宋_GB2312"/>
          <w:color w:val="000000"/>
          <w:sz w:val="30"/>
          <w:szCs w:val="32"/>
          <w:highlight w:val="none"/>
        </w:rPr>
        <w:t>天内发出开工通知的，承包人有权提出价格调整要求，或者解除合同。</w:t>
      </w:r>
    </w:p>
    <w:bookmarkEnd w:id="1131"/>
    <w:bookmarkEnd w:id="1132"/>
    <w:bookmarkEnd w:id="1133"/>
    <w:bookmarkEnd w:id="1134"/>
    <w:bookmarkEnd w:id="1135"/>
    <w:bookmarkEnd w:id="1136"/>
    <w:bookmarkEnd w:id="1137"/>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7.4 测量放线</w:t>
      </w:r>
    </w:p>
    <w:p>
      <w:pPr>
        <w:spacing w:line="360" w:lineRule="auto"/>
        <w:ind w:firstLine="600" w:firstLineChars="200"/>
        <w:jc w:val="left"/>
        <w:rPr>
          <w:rFonts w:hint="eastAsia" w:ascii="Times New Roman" w:hAnsi="Times New Roman" w:eastAsia="仿宋_GB2312"/>
          <w:sz w:val="30"/>
          <w:szCs w:val="32"/>
          <w:highlight w:val="none"/>
          <w:u w:val="single"/>
        </w:rPr>
      </w:pPr>
      <w:r>
        <w:rPr>
          <w:rFonts w:ascii="Times New Roman" w:hAnsi="Times New Roman" w:eastAsia="仿宋_GB2312"/>
          <w:sz w:val="30"/>
          <w:szCs w:val="32"/>
          <w:highlight w:val="none"/>
        </w:rPr>
        <w:t>7.4.1发包人通过监理人向承包人提供测量基准点、基准线和水准点及其书面资料的期限：</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7</w:t>
      </w:r>
      <w:bookmarkStart w:id="1138" w:name="_Toc312677484"/>
      <w:bookmarkStart w:id="1139" w:name="_Toc300934968"/>
      <w:bookmarkStart w:id="1140" w:name="_Toc312678010"/>
      <w:bookmarkStart w:id="1141" w:name="_Toc297123516"/>
      <w:bookmarkStart w:id="1142" w:name="_Toc297216175"/>
      <w:bookmarkStart w:id="1143" w:name="_Toc303539125"/>
      <w:bookmarkStart w:id="1144" w:name="_Toc304295546"/>
      <w:r>
        <w:rPr>
          <w:rFonts w:ascii="Times New Roman" w:hAnsi="Times New Roman" w:eastAsia="黑体"/>
          <w:color w:val="000000"/>
          <w:sz w:val="30"/>
          <w:szCs w:val="32"/>
          <w:highlight w:val="none"/>
        </w:rPr>
        <w:t>.5 工期延误</w:t>
      </w:r>
    </w:p>
    <w:bookmarkEnd w:id="1138"/>
    <w:bookmarkEnd w:id="1139"/>
    <w:bookmarkEnd w:id="1140"/>
    <w:bookmarkEnd w:id="1141"/>
    <w:bookmarkEnd w:id="1142"/>
    <w:bookmarkEnd w:id="1143"/>
    <w:bookmarkEnd w:id="1144"/>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7.5.1 因发包人原因导致工期延误</w:t>
      </w:r>
    </w:p>
    <w:p>
      <w:pPr>
        <w:spacing w:line="360" w:lineRule="auto"/>
        <w:ind w:firstLine="600" w:firstLineChars="200"/>
        <w:jc w:val="left"/>
        <w:rPr>
          <w:rFonts w:ascii="Times New Roman" w:hAnsi="Times New Roman" w:eastAsia="仿宋_GB2312"/>
          <w:sz w:val="30"/>
          <w:szCs w:val="32"/>
          <w:highlight w:val="none"/>
          <w:u w:val="single"/>
        </w:rPr>
      </w:pPr>
      <w:r>
        <w:rPr>
          <w:rFonts w:ascii="Times New Roman" w:hAnsi="Times New Roman" w:eastAsia="仿宋_GB2312"/>
          <w:sz w:val="30"/>
          <w:szCs w:val="32"/>
          <w:highlight w:val="none"/>
        </w:rPr>
        <w:t>（7）因发包人原因导致工期延误的其他情形：</w:t>
      </w:r>
      <w:r>
        <w:rPr>
          <w:rFonts w:ascii="Times New Roman" w:hAnsi="Times New Roman" w:eastAsia="仿宋_GB2312"/>
          <w:sz w:val="30"/>
          <w:szCs w:val="32"/>
          <w:highlight w:val="none"/>
          <w:u w:val="single"/>
        </w:rPr>
        <w:t xml:space="preserve">              </w:t>
      </w:r>
    </w:p>
    <w:p>
      <w:pPr>
        <w:spacing w:line="360" w:lineRule="auto"/>
        <w:jc w:val="left"/>
        <w:rPr>
          <w:rFonts w:ascii="Times New Roman" w:hAnsi="Times New Roman" w:eastAsia="仿宋_GB2312"/>
          <w:sz w:val="30"/>
          <w:szCs w:val="32"/>
          <w:highlight w:val="none"/>
        </w:rPr>
      </w:pP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7</w:t>
      </w:r>
      <w:bookmarkStart w:id="1145" w:name="_Toc318581169"/>
      <w:bookmarkStart w:id="1146" w:name="_Toc312677486"/>
      <w:bookmarkStart w:id="1147" w:name="_Toc312678012"/>
      <w:bookmarkStart w:id="1148" w:name="_Toc297123518"/>
      <w:bookmarkStart w:id="1149" w:name="_Toc297216177"/>
      <w:bookmarkStart w:id="1150" w:name="_Toc300934970"/>
      <w:bookmarkStart w:id="1151" w:name="_Toc304295548"/>
      <w:bookmarkStart w:id="1152" w:name="_Toc303539127"/>
      <w:r>
        <w:rPr>
          <w:rFonts w:ascii="Times New Roman" w:hAnsi="Times New Roman" w:eastAsia="仿宋_GB2312"/>
          <w:sz w:val="30"/>
          <w:szCs w:val="32"/>
          <w:highlight w:val="none"/>
        </w:rPr>
        <w:t>.5.2 因承包人原因导致工期延误</w:t>
      </w:r>
    </w:p>
    <w:bookmarkEnd w:id="1145"/>
    <w:bookmarkEnd w:id="1146"/>
    <w:bookmarkEnd w:id="1147"/>
    <w:p>
      <w:pPr>
        <w:spacing w:line="360" w:lineRule="auto"/>
        <w:ind w:firstLine="600" w:firstLineChars="200"/>
        <w:jc w:val="left"/>
        <w:rPr>
          <w:rFonts w:hint="eastAsia" w:ascii="Times New Roman" w:hAnsi="Times New Roman" w:eastAsia="仿宋_GB2312"/>
          <w:sz w:val="30"/>
          <w:szCs w:val="32"/>
          <w:highlight w:val="none"/>
          <w:u w:val="single"/>
        </w:rPr>
      </w:pPr>
      <w:r>
        <w:rPr>
          <w:rFonts w:ascii="Times New Roman" w:hAnsi="Times New Roman" w:eastAsia="仿宋_GB2312"/>
          <w:sz w:val="30"/>
          <w:szCs w:val="32"/>
          <w:highlight w:val="none"/>
        </w:rPr>
        <w:t>因</w:t>
      </w:r>
      <w:bookmarkStart w:id="1153" w:name="_Toc312678013"/>
      <w:bookmarkStart w:id="1154" w:name="_Toc312677487"/>
      <w:bookmarkStart w:id="1155" w:name="_Toc318581170"/>
      <w:r>
        <w:rPr>
          <w:rFonts w:ascii="Times New Roman" w:hAnsi="Times New Roman" w:eastAsia="仿宋_GB2312"/>
          <w:sz w:val="30"/>
          <w:szCs w:val="32"/>
          <w:highlight w:val="none"/>
        </w:rPr>
        <w:t>承包人原因造成工期延误，逾期竣工违约金的计算方法为：</w:t>
      </w:r>
    </w:p>
    <w:p>
      <w:pPr>
        <w:spacing w:line="360" w:lineRule="auto"/>
        <w:jc w:val="left"/>
        <w:rPr>
          <w:rFonts w:ascii="Times New Roman" w:hAnsi="Times New Roman" w:eastAsia="仿宋_GB2312"/>
          <w:sz w:val="30"/>
          <w:szCs w:val="32"/>
          <w:highlight w:val="none"/>
        </w:rPr>
      </w:pP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bookmarkEnd w:id="1148"/>
      <w:bookmarkEnd w:id="1149"/>
      <w:bookmarkEnd w:id="1150"/>
      <w:bookmarkEnd w:id="1151"/>
      <w:bookmarkEnd w:id="1152"/>
      <w:bookmarkEnd w:id="1153"/>
      <w:bookmarkEnd w:id="1154"/>
    </w:p>
    <w:bookmarkEnd w:id="1155"/>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因承包人原因造成工期延误，逾</w:t>
      </w:r>
      <w:bookmarkStart w:id="1156" w:name="_Toc312678014"/>
      <w:bookmarkStart w:id="1157" w:name="_Toc318581171"/>
      <w:r>
        <w:rPr>
          <w:rFonts w:ascii="Times New Roman" w:hAnsi="Times New Roman" w:eastAsia="仿宋_GB2312"/>
          <w:sz w:val="30"/>
          <w:szCs w:val="32"/>
          <w:highlight w:val="none"/>
        </w:rPr>
        <w:t>期竣工违约金的上限：</w:t>
      </w:r>
      <w:r>
        <w:rPr>
          <w:rFonts w:ascii="Times New Roman" w:hAnsi="Times New Roman" w:eastAsia="仿宋_GB2312"/>
          <w:sz w:val="30"/>
          <w:szCs w:val="32"/>
          <w:highlight w:val="none"/>
          <w:u w:val="single"/>
        </w:rPr>
        <w:t xml:space="preserve">       </w:t>
      </w:r>
    </w:p>
    <w:p>
      <w:pPr>
        <w:spacing w:line="360" w:lineRule="auto"/>
        <w:jc w:val="left"/>
        <w:rPr>
          <w:rFonts w:ascii="Times New Roman" w:hAnsi="Times New Roman" w:eastAsia="仿宋_GB2312"/>
          <w:sz w:val="30"/>
          <w:szCs w:val="32"/>
          <w:highlight w:val="none"/>
        </w:rPr>
      </w:pP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bookmarkEnd w:id="1156"/>
    <w:bookmarkEnd w:id="1157"/>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7</w:t>
      </w:r>
      <w:bookmarkStart w:id="1158" w:name="_Toc312678015"/>
      <w:bookmarkStart w:id="1159" w:name="_Toc297123519"/>
      <w:bookmarkStart w:id="1160" w:name="_Toc303539128"/>
      <w:bookmarkStart w:id="1161" w:name="_Toc300934971"/>
      <w:bookmarkStart w:id="1162" w:name="_Toc297216178"/>
      <w:bookmarkStart w:id="1163" w:name="_Toc304295549"/>
      <w:r>
        <w:rPr>
          <w:rFonts w:ascii="Times New Roman" w:hAnsi="Times New Roman" w:eastAsia="黑体"/>
          <w:color w:val="000000"/>
          <w:sz w:val="30"/>
          <w:szCs w:val="32"/>
          <w:highlight w:val="none"/>
        </w:rPr>
        <w:t>.6 不</w:t>
      </w:r>
      <w:bookmarkEnd w:id="1158"/>
      <w:bookmarkEnd w:id="1159"/>
      <w:bookmarkEnd w:id="1160"/>
      <w:bookmarkEnd w:id="1161"/>
      <w:bookmarkEnd w:id="1162"/>
      <w:bookmarkEnd w:id="1163"/>
      <w:r>
        <w:rPr>
          <w:rFonts w:ascii="Times New Roman" w:hAnsi="Times New Roman" w:eastAsia="黑体"/>
          <w:color w:val="000000"/>
          <w:sz w:val="30"/>
          <w:szCs w:val="32"/>
          <w:highlight w:val="none"/>
        </w:rPr>
        <w:t>利物质条件</w:t>
      </w:r>
    </w:p>
    <w:p>
      <w:pPr>
        <w:spacing w:line="360" w:lineRule="auto"/>
        <w:ind w:firstLine="600" w:firstLineChars="200"/>
        <w:jc w:val="left"/>
        <w:rPr>
          <w:rFonts w:ascii="Times New Roman" w:hAnsi="Times New Roman" w:eastAsia="仿宋_GB2312"/>
          <w:sz w:val="30"/>
          <w:szCs w:val="32"/>
          <w:highlight w:val="none"/>
          <w:u w:val="single"/>
        </w:rPr>
      </w:pPr>
      <w:bookmarkStart w:id="1164" w:name="_Toc318581172"/>
      <w:bookmarkStart w:id="1165" w:name="_Toc312678016"/>
      <w:bookmarkStart w:id="1166" w:name="_Toc303539129"/>
      <w:bookmarkStart w:id="1167" w:name="_Toc297216179"/>
      <w:bookmarkStart w:id="1168" w:name="_Toc297123520"/>
      <w:bookmarkStart w:id="1169" w:name="_Toc300934972"/>
      <w:bookmarkStart w:id="1170" w:name="_Toc304295550"/>
      <w:r>
        <w:rPr>
          <w:rFonts w:ascii="Times New Roman" w:hAnsi="Times New Roman" w:eastAsia="仿宋_GB2312"/>
          <w:sz w:val="30"/>
          <w:szCs w:val="32"/>
          <w:highlight w:val="none"/>
        </w:rPr>
        <w:t>不利物质条件的其他情形和有关约定：</w:t>
      </w:r>
      <w:r>
        <w:rPr>
          <w:rFonts w:ascii="Times New Roman" w:hAnsi="Times New Roman" w:eastAsia="仿宋_GB2312"/>
          <w:sz w:val="30"/>
          <w:szCs w:val="32"/>
          <w:highlight w:val="none"/>
          <w:u w:val="single"/>
        </w:rPr>
        <w:t xml:space="preserve">                    </w:t>
      </w:r>
    </w:p>
    <w:p>
      <w:pPr>
        <w:spacing w:line="360" w:lineRule="auto"/>
        <w:jc w:val="left"/>
        <w:rPr>
          <w:rFonts w:ascii="Times New Roman" w:hAnsi="Times New Roman" w:eastAsia="仿宋_GB2312"/>
          <w:sz w:val="30"/>
          <w:szCs w:val="32"/>
          <w:highlight w:val="none"/>
        </w:rPr>
      </w:pP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bookmarkEnd w:id="1164"/>
    <w:bookmarkEnd w:id="1165"/>
    <w:bookmarkEnd w:id="1166"/>
    <w:bookmarkEnd w:id="1167"/>
    <w:bookmarkEnd w:id="1168"/>
    <w:bookmarkEnd w:id="1169"/>
    <w:bookmarkEnd w:id="1170"/>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7</w:t>
      </w:r>
      <w:bookmarkStart w:id="1171" w:name="_Toc303539130"/>
      <w:bookmarkStart w:id="1172" w:name="_Toc312678017"/>
      <w:bookmarkStart w:id="1173" w:name="_Toc300934973"/>
      <w:bookmarkStart w:id="1174" w:name="_Toc297123521"/>
      <w:bookmarkStart w:id="1175" w:name="_Toc297216180"/>
      <w:bookmarkStart w:id="1176" w:name="_Toc304295551"/>
      <w:r>
        <w:rPr>
          <w:rFonts w:ascii="Times New Roman" w:hAnsi="Times New Roman" w:eastAsia="黑体"/>
          <w:color w:val="000000"/>
          <w:sz w:val="30"/>
          <w:szCs w:val="32"/>
          <w:highlight w:val="none"/>
        </w:rPr>
        <w:t>.7异常恶劣的气候条件</w:t>
      </w:r>
    </w:p>
    <w:bookmarkEnd w:id="1171"/>
    <w:bookmarkEnd w:id="1172"/>
    <w:bookmarkEnd w:id="1173"/>
    <w:bookmarkEnd w:id="1174"/>
    <w:bookmarkEnd w:id="1175"/>
    <w:bookmarkEnd w:id="1176"/>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发包人和承包人同意以下情形视为异常恶劣的气候条件：</w:t>
      </w:r>
    </w:p>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（1）</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（2）</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（3）</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after="120" w:line="360" w:lineRule="auto"/>
        <w:ind w:firstLine="600" w:firstLineChars="200"/>
        <w:outlineLvl w:val="0"/>
        <w:rPr>
          <w:rFonts w:ascii="Times New Roman" w:hAnsi="Times New Roman" w:eastAsia="黑体"/>
          <w:color w:val="000000"/>
          <w:sz w:val="30"/>
          <w:szCs w:val="32"/>
          <w:highlight w:val="none"/>
        </w:rPr>
      </w:pPr>
      <w:bookmarkStart w:id="1177" w:name="_Toc22070"/>
      <w:bookmarkStart w:id="1178" w:name="_Toc2736"/>
      <w:bookmarkStart w:id="1179" w:name="_Toc23899"/>
      <w:bookmarkStart w:id="1180" w:name="_Toc10677"/>
      <w:r>
        <w:rPr>
          <w:rFonts w:ascii="Times New Roman" w:hAnsi="Times New Roman" w:eastAsia="黑体"/>
          <w:color w:val="000000"/>
          <w:sz w:val="30"/>
          <w:szCs w:val="32"/>
          <w:highlight w:val="none"/>
        </w:rPr>
        <w:t>7.9 提前竣工的奖励</w:t>
      </w:r>
      <w:bookmarkEnd w:id="1177"/>
      <w:bookmarkEnd w:id="1178"/>
      <w:bookmarkEnd w:id="1179"/>
      <w:bookmarkEnd w:id="1180"/>
    </w:p>
    <w:p>
      <w:pPr>
        <w:spacing w:line="360" w:lineRule="auto"/>
        <w:ind w:firstLine="600" w:firstLineChars="200"/>
        <w:jc w:val="left"/>
        <w:rPr>
          <w:rFonts w:hint="eastAsia" w:ascii="Times New Roman" w:hAnsi="Times New Roman" w:eastAsia="仿宋_GB2312"/>
          <w:sz w:val="30"/>
          <w:szCs w:val="32"/>
          <w:highlight w:val="none"/>
        </w:rPr>
      </w:pPr>
      <w:r>
        <w:rPr>
          <w:rFonts w:ascii="Times New Roman" w:hAnsi="Times New Roman" w:eastAsia="仿宋_GB2312"/>
          <w:sz w:val="30"/>
          <w:szCs w:val="32"/>
          <w:highlight w:val="none"/>
        </w:rPr>
        <w:t>7.9.2提前竣工的奖励：</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pStyle w:val="5"/>
        <w:spacing w:before="120" w:after="120" w:line="360" w:lineRule="auto"/>
        <w:rPr>
          <w:rFonts w:ascii="Times New Roman" w:hAnsi="Times New Roman" w:eastAsia="黑体"/>
          <w:b w:val="0"/>
          <w:color w:val="000000"/>
          <w:sz w:val="32"/>
          <w:szCs w:val="32"/>
          <w:highlight w:val="none"/>
        </w:rPr>
      </w:pPr>
      <w:bookmarkStart w:id="1181" w:name="_Toc30787"/>
      <w:bookmarkStart w:id="1182" w:name="_Toc29524"/>
      <w:r>
        <w:rPr>
          <w:rFonts w:ascii="Times New Roman" w:hAnsi="Times New Roman" w:eastAsia="黑体"/>
          <w:b w:val="0"/>
          <w:color w:val="000000"/>
          <w:sz w:val="32"/>
          <w:szCs w:val="32"/>
          <w:highlight w:val="none"/>
        </w:rPr>
        <w:t>8. 材料与设备</w:t>
      </w:r>
      <w:bookmarkEnd w:id="1181"/>
      <w:bookmarkEnd w:id="1182"/>
    </w:p>
    <w:bookmarkEnd w:id="1102"/>
    <w:bookmarkEnd w:id="1103"/>
    <w:bookmarkEnd w:id="1104"/>
    <w:bookmarkEnd w:id="1105"/>
    <w:bookmarkEnd w:id="1106"/>
    <w:bookmarkEnd w:id="1107"/>
    <w:bookmarkEnd w:id="1108"/>
    <w:bookmarkEnd w:id="1109"/>
    <w:bookmarkEnd w:id="1110"/>
    <w:bookmarkEnd w:id="1111"/>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8</w:t>
      </w:r>
      <w:bookmarkStart w:id="1183" w:name="_Toc297048353"/>
      <w:bookmarkStart w:id="1184" w:name="_Toc297216186"/>
      <w:bookmarkStart w:id="1185" w:name="_Toc296346668"/>
      <w:bookmarkStart w:id="1186" w:name="_Toc304295556"/>
      <w:bookmarkStart w:id="1187" w:name="_Toc296891207"/>
      <w:bookmarkStart w:id="1188" w:name="_Toc297123527"/>
      <w:bookmarkStart w:id="1189" w:name="_Toc312677493"/>
      <w:bookmarkStart w:id="1190" w:name="_Toc312678019"/>
      <w:bookmarkStart w:id="1191" w:name="_Toc296347166"/>
      <w:bookmarkStart w:id="1192" w:name="_Toc300934979"/>
      <w:bookmarkStart w:id="1193" w:name="_Toc303539136"/>
      <w:bookmarkStart w:id="1194" w:name="_Toc296503167"/>
      <w:bookmarkStart w:id="1195" w:name="_Toc296944506"/>
      <w:bookmarkStart w:id="1196" w:name="_Toc297120467"/>
      <w:bookmarkStart w:id="1197" w:name="_Toc292559877"/>
      <w:bookmarkStart w:id="1198" w:name="_Toc296890995"/>
      <w:bookmarkStart w:id="1199" w:name="_Toc280868654"/>
      <w:bookmarkStart w:id="1200" w:name="_Toc292559372"/>
      <w:bookmarkStart w:id="1201" w:name="_Toc280868655"/>
      <w:bookmarkStart w:id="1202" w:name="_Toc280868656"/>
      <w:bookmarkStart w:id="1203" w:name="_Toc267251424"/>
      <w:r>
        <w:rPr>
          <w:rFonts w:ascii="Times New Roman" w:hAnsi="Times New Roman" w:eastAsia="黑体"/>
          <w:color w:val="000000"/>
          <w:sz w:val="30"/>
          <w:szCs w:val="32"/>
          <w:highlight w:val="none"/>
        </w:rPr>
        <w:t>.4材料与工程设备的保管与使用</w:t>
      </w:r>
    </w:p>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Pr>
        <w:spacing w:line="360" w:lineRule="auto"/>
        <w:ind w:firstLine="600" w:firstLineChars="200"/>
        <w:jc w:val="left"/>
        <w:rPr>
          <w:rFonts w:ascii="Times New Roman" w:hAnsi="Times New Roman" w:eastAsia="仿宋_GB2312"/>
          <w:sz w:val="30"/>
          <w:szCs w:val="32"/>
          <w:highlight w:val="none"/>
          <w:u w:val="single"/>
        </w:rPr>
      </w:pPr>
      <w:r>
        <w:rPr>
          <w:rFonts w:ascii="Times New Roman" w:hAnsi="Times New Roman" w:eastAsia="仿宋_GB2312"/>
          <w:sz w:val="30"/>
          <w:szCs w:val="32"/>
          <w:highlight w:val="none"/>
        </w:rPr>
        <w:t>8</w:t>
      </w:r>
      <w:bookmarkStart w:id="1204" w:name="_Toc292559373"/>
      <w:bookmarkStart w:id="1205" w:name="_Toc292559878"/>
      <w:bookmarkStart w:id="1206" w:name="_Toc297048354"/>
      <w:bookmarkStart w:id="1207" w:name="_Toc296347167"/>
      <w:bookmarkStart w:id="1208" w:name="_Toc318581173"/>
      <w:bookmarkStart w:id="1209" w:name="_Toc312678020"/>
      <w:bookmarkStart w:id="1210" w:name="_Toc297120468"/>
      <w:bookmarkStart w:id="1211" w:name="_Toc296891208"/>
      <w:bookmarkStart w:id="1212" w:name="_Toc297123528"/>
      <w:bookmarkStart w:id="1213" w:name="_Toc304295557"/>
      <w:bookmarkStart w:id="1214" w:name="_Toc296346669"/>
      <w:bookmarkStart w:id="1215" w:name="_Toc296944507"/>
      <w:bookmarkStart w:id="1216" w:name="_Toc296890996"/>
      <w:bookmarkStart w:id="1217" w:name="_Toc296503168"/>
      <w:bookmarkStart w:id="1218" w:name="_Toc300934980"/>
      <w:bookmarkStart w:id="1219" w:name="_Toc303539137"/>
      <w:bookmarkStart w:id="1220" w:name="_Toc312677494"/>
      <w:bookmarkStart w:id="1221" w:name="_Toc297216187"/>
      <w:r>
        <w:rPr>
          <w:rFonts w:ascii="Times New Roman" w:hAnsi="Times New Roman" w:eastAsia="仿宋_GB2312"/>
          <w:sz w:val="30"/>
          <w:szCs w:val="32"/>
          <w:highlight w:val="none"/>
        </w:rPr>
        <w:t>.4.1发包人供应的材料设备的保管费用的承担：</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p>
    <w:p>
      <w:pPr>
        <w:spacing w:line="360" w:lineRule="auto"/>
        <w:jc w:val="left"/>
        <w:rPr>
          <w:rFonts w:ascii="Times New Roman" w:hAnsi="Times New Roman" w:eastAsia="仿宋_GB2312"/>
          <w:sz w:val="30"/>
          <w:szCs w:val="32"/>
          <w:highlight w:val="none"/>
        </w:rPr>
      </w:pP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bookmarkEnd w:id="1204"/>
      <w:bookmarkEnd w:id="1205"/>
    </w:p>
    <w:p>
      <w:pPr>
        <w:spacing w:after="120" w:line="360" w:lineRule="auto"/>
        <w:ind w:firstLine="600" w:firstLineChars="200"/>
        <w:outlineLvl w:val="0"/>
        <w:rPr>
          <w:rFonts w:ascii="Times New Roman" w:hAnsi="Times New Roman" w:eastAsia="黑体"/>
          <w:color w:val="000000"/>
          <w:sz w:val="30"/>
          <w:szCs w:val="32"/>
          <w:highlight w:val="none"/>
        </w:rPr>
      </w:pPr>
      <w:bookmarkStart w:id="1222" w:name="_Toc20075"/>
      <w:bookmarkStart w:id="1223" w:name="_Toc5178"/>
      <w:bookmarkStart w:id="1224" w:name="_Toc30452"/>
      <w:bookmarkStart w:id="1225" w:name="_Toc14159"/>
      <w:r>
        <w:rPr>
          <w:rFonts w:ascii="Times New Roman" w:hAnsi="Times New Roman" w:eastAsia="黑体"/>
          <w:color w:val="000000"/>
          <w:sz w:val="30"/>
          <w:szCs w:val="32"/>
          <w:highlight w:val="none"/>
        </w:rPr>
        <w:t>8.6 样品</w:t>
      </w:r>
      <w:bookmarkEnd w:id="1222"/>
      <w:bookmarkEnd w:id="1223"/>
      <w:bookmarkEnd w:id="1224"/>
      <w:bookmarkEnd w:id="1225"/>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8.6.1</w:t>
      </w:r>
      <w:r>
        <w:rPr>
          <w:rFonts w:ascii="Times New Roman" w:hAnsi="Times New Roman" w:eastAsia="仿宋_GB2312"/>
          <w:color w:val="000000"/>
          <w:kern w:val="0"/>
          <w:sz w:val="30"/>
          <w:szCs w:val="32"/>
          <w:highlight w:val="none"/>
        </w:rPr>
        <w:tab/>
      </w:r>
      <w:r>
        <w:rPr>
          <w:rFonts w:ascii="Times New Roman" w:hAnsi="Times New Roman" w:eastAsia="仿宋_GB2312"/>
          <w:color w:val="000000"/>
          <w:kern w:val="0"/>
          <w:sz w:val="30"/>
          <w:szCs w:val="32"/>
          <w:highlight w:val="none"/>
        </w:rPr>
        <w:t>样品的报送</w:t>
      </w:r>
      <w:r>
        <w:rPr>
          <w:rFonts w:hint="eastAsia" w:ascii="Times New Roman" w:hAnsi="Times New Roman" w:eastAsia="仿宋_GB2312"/>
          <w:color w:val="000000"/>
          <w:kern w:val="0"/>
          <w:sz w:val="30"/>
          <w:szCs w:val="32"/>
          <w:highlight w:val="none"/>
        </w:rPr>
        <w:t>与封存</w:t>
      </w:r>
    </w:p>
    <w:p>
      <w:pPr>
        <w:autoSpaceDE w:val="0"/>
        <w:autoSpaceDN w:val="0"/>
        <w:adjustRightInd w:val="0"/>
        <w:spacing w:line="360" w:lineRule="auto"/>
        <w:ind w:firstLine="600" w:firstLineChars="200"/>
        <w:jc w:val="left"/>
        <w:rPr>
          <w:rFonts w:hint="eastAsia" w:ascii="Times New Roman" w:hAnsi="Times New Roman" w:eastAsia="仿宋_GB2312"/>
          <w:sz w:val="30"/>
          <w:szCs w:val="32"/>
          <w:highlight w:val="none"/>
          <w:u w:val="single"/>
        </w:rPr>
      </w:pPr>
      <w:r>
        <w:rPr>
          <w:rFonts w:ascii="Times New Roman" w:hAnsi="Times New Roman" w:eastAsia="仿宋_GB2312"/>
          <w:color w:val="000000"/>
          <w:kern w:val="0"/>
          <w:sz w:val="30"/>
          <w:szCs w:val="32"/>
          <w:highlight w:val="none"/>
        </w:rPr>
        <w:t>需要承包人报送样品的材料或工程设备，样品的种类、名称、规格、数量要求：</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p>
    <w:p>
      <w:pPr>
        <w:autoSpaceDE w:val="0"/>
        <w:autoSpaceDN w:val="0"/>
        <w:adjustRightInd w:val="0"/>
        <w:spacing w:line="360" w:lineRule="auto"/>
        <w:jc w:val="left"/>
        <w:rPr>
          <w:rFonts w:ascii="Times New Roman" w:hAnsi="Times New Roman" w:eastAsia="仿宋_GB2312"/>
          <w:sz w:val="30"/>
          <w:szCs w:val="32"/>
          <w:highlight w:val="none"/>
        </w:rPr>
      </w:pP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after="120" w:line="360" w:lineRule="auto"/>
        <w:ind w:firstLine="600" w:firstLineChars="200"/>
        <w:outlineLvl w:val="0"/>
        <w:rPr>
          <w:rFonts w:ascii="Times New Roman" w:hAnsi="Times New Roman" w:eastAsia="黑体"/>
          <w:color w:val="000000"/>
          <w:sz w:val="30"/>
          <w:szCs w:val="32"/>
          <w:highlight w:val="none"/>
        </w:rPr>
      </w:pPr>
      <w:bookmarkStart w:id="1226" w:name="_Toc13847"/>
      <w:bookmarkStart w:id="1227" w:name="_Toc8744"/>
      <w:bookmarkStart w:id="1228" w:name="_Toc2676"/>
      <w:bookmarkStart w:id="1229" w:name="_Toc17168"/>
      <w:r>
        <w:rPr>
          <w:rFonts w:ascii="Times New Roman" w:hAnsi="Times New Roman" w:eastAsia="黑体"/>
          <w:color w:val="000000"/>
          <w:sz w:val="30"/>
          <w:szCs w:val="32"/>
          <w:highlight w:val="none"/>
        </w:rPr>
        <w:t>8.8 施工设备和临时设施</w:t>
      </w:r>
      <w:bookmarkEnd w:id="1226"/>
      <w:bookmarkEnd w:id="1227"/>
      <w:bookmarkEnd w:id="1228"/>
      <w:bookmarkEnd w:id="1229"/>
    </w:p>
    <w:p>
      <w:pPr>
        <w:autoSpaceDE w:val="0"/>
        <w:autoSpaceDN w:val="0"/>
        <w:adjustRightInd w:val="0"/>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8.8.1 承包人提供的施工设备和临时设施</w:t>
      </w:r>
    </w:p>
    <w:p>
      <w:pPr>
        <w:autoSpaceDE w:val="0"/>
        <w:autoSpaceDN w:val="0"/>
        <w:adjustRightInd w:val="0"/>
        <w:spacing w:line="360" w:lineRule="auto"/>
        <w:ind w:firstLine="600" w:firstLineChars="200"/>
        <w:jc w:val="left"/>
        <w:rPr>
          <w:rFonts w:hint="eastAsia" w:ascii="Times New Roman" w:hAnsi="Times New Roman" w:eastAsia="仿宋_GB2312"/>
          <w:sz w:val="30"/>
          <w:szCs w:val="32"/>
          <w:highlight w:val="none"/>
          <w:u w:val="single"/>
        </w:rPr>
      </w:pPr>
      <w:r>
        <w:rPr>
          <w:rFonts w:ascii="Times New Roman" w:hAnsi="Times New Roman" w:eastAsia="仿宋_GB2312"/>
          <w:sz w:val="30"/>
          <w:szCs w:val="32"/>
          <w:highlight w:val="none"/>
        </w:rPr>
        <w:t>关于修建临时设施费用承担的约定：</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p>
    <w:p>
      <w:pPr>
        <w:autoSpaceDE w:val="0"/>
        <w:autoSpaceDN w:val="0"/>
        <w:adjustRightInd w:val="0"/>
        <w:spacing w:line="360" w:lineRule="auto"/>
        <w:jc w:val="left"/>
        <w:rPr>
          <w:rFonts w:ascii="Times New Roman" w:hAnsi="Times New Roman" w:eastAsia="仿宋_GB2312"/>
          <w:sz w:val="30"/>
          <w:szCs w:val="32"/>
          <w:highlight w:val="none"/>
        </w:rPr>
      </w:pP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Pr>
        <w:pStyle w:val="5"/>
        <w:spacing w:before="120" w:after="120" w:line="360" w:lineRule="auto"/>
        <w:rPr>
          <w:rFonts w:ascii="Times New Roman" w:hAnsi="Times New Roman" w:eastAsia="黑体"/>
          <w:b w:val="0"/>
          <w:color w:val="000000"/>
          <w:sz w:val="32"/>
          <w:szCs w:val="32"/>
          <w:highlight w:val="none"/>
        </w:rPr>
      </w:pPr>
      <w:bookmarkStart w:id="1230" w:name="_Toc12128"/>
      <w:bookmarkStart w:id="1231" w:name="_Toc18904"/>
      <w:r>
        <w:rPr>
          <w:rFonts w:ascii="Times New Roman" w:hAnsi="Times New Roman" w:eastAsia="黑体"/>
          <w:b w:val="0"/>
          <w:color w:val="000000"/>
          <w:sz w:val="32"/>
          <w:szCs w:val="32"/>
          <w:highlight w:val="none"/>
        </w:rPr>
        <w:t>9</w:t>
      </w:r>
      <w:bookmarkEnd w:id="1201"/>
      <w:bookmarkEnd w:id="1202"/>
      <w:bookmarkEnd w:id="1203"/>
      <w:bookmarkStart w:id="1232" w:name="_Toc297123533"/>
      <w:bookmarkStart w:id="1233" w:name="_Toc312677495"/>
      <w:bookmarkStart w:id="1234" w:name="_Toc300934982"/>
      <w:bookmarkStart w:id="1235" w:name="_Toc312678021"/>
      <w:bookmarkStart w:id="1236" w:name="_Toc303539139"/>
      <w:bookmarkStart w:id="1237" w:name="_Toc304295559"/>
      <w:bookmarkStart w:id="1238" w:name="_Toc297216192"/>
      <w:bookmarkStart w:id="1239" w:name="_Toc297048359"/>
      <w:bookmarkStart w:id="1240" w:name="_Toc296346674"/>
      <w:bookmarkStart w:id="1241" w:name="_Toc267251427"/>
      <w:bookmarkStart w:id="1242" w:name="_Toc296891213"/>
      <w:bookmarkStart w:id="1243" w:name="_Toc296503173"/>
      <w:bookmarkStart w:id="1244" w:name="_Toc297120473"/>
      <w:bookmarkStart w:id="1245" w:name="_Toc296944512"/>
      <w:bookmarkStart w:id="1246" w:name="_Toc292559378"/>
      <w:bookmarkStart w:id="1247" w:name="_Toc296347172"/>
      <w:bookmarkStart w:id="1248" w:name="_Toc267251428"/>
      <w:bookmarkStart w:id="1249" w:name="_Toc292559883"/>
      <w:bookmarkStart w:id="1250" w:name="_Toc296891001"/>
      <w:r>
        <w:rPr>
          <w:rFonts w:ascii="Times New Roman" w:hAnsi="Times New Roman" w:eastAsia="黑体"/>
          <w:b w:val="0"/>
          <w:color w:val="000000"/>
          <w:sz w:val="32"/>
          <w:szCs w:val="32"/>
          <w:highlight w:val="none"/>
        </w:rPr>
        <w:t>. 试验与检验</w:t>
      </w:r>
      <w:bookmarkEnd w:id="1230"/>
      <w:bookmarkEnd w:id="1231"/>
    </w:p>
    <w:bookmarkEnd w:id="1232"/>
    <w:bookmarkEnd w:id="1233"/>
    <w:bookmarkEnd w:id="1234"/>
    <w:bookmarkEnd w:id="1235"/>
    <w:bookmarkEnd w:id="1236"/>
    <w:bookmarkEnd w:id="1237"/>
    <w:bookmarkEnd w:id="1238"/>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9</w:t>
      </w:r>
      <w:bookmarkStart w:id="1251" w:name="_Toc304295560"/>
      <w:bookmarkStart w:id="1252" w:name="_Toc297123534"/>
      <w:bookmarkStart w:id="1253" w:name="_Toc297216193"/>
      <w:bookmarkStart w:id="1254" w:name="_Toc312678022"/>
      <w:bookmarkStart w:id="1255" w:name="_Toc303539140"/>
      <w:bookmarkStart w:id="1256" w:name="_Toc300934983"/>
      <w:bookmarkStart w:id="1257" w:name="_Toc312677496"/>
      <w:r>
        <w:rPr>
          <w:rFonts w:ascii="Times New Roman" w:hAnsi="Times New Roman" w:eastAsia="黑体"/>
          <w:color w:val="000000"/>
          <w:sz w:val="30"/>
          <w:szCs w:val="32"/>
          <w:highlight w:val="none"/>
        </w:rPr>
        <w:t>.1试验设备与试验人员</w:t>
      </w:r>
    </w:p>
    <w:bookmarkEnd w:id="1251"/>
    <w:bookmarkEnd w:id="1252"/>
    <w:bookmarkEnd w:id="1253"/>
    <w:bookmarkEnd w:id="1254"/>
    <w:bookmarkEnd w:id="1255"/>
    <w:bookmarkEnd w:id="1256"/>
    <w:bookmarkEnd w:id="1257"/>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9</w:t>
      </w:r>
      <w:bookmarkStart w:id="1258" w:name="_Toc297216194"/>
      <w:bookmarkStart w:id="1259" w:name="_Toc300934984"/>
      <w:bookmarkStart w:id="1260" w:name="_Toc304295561"/>
      <w:bookmarkStart w:id="1261" w:name="_Toc297123535"/>
      <w:bookmarkStart w:id="1262" w:name="_Toc312678023"/>
      <w:bookmarkStart w:id="1263" w:name="_Toc312677497"/>
      <w:bookmarkStart w:id="1264" w:name="_Toc303539141"/>
      <w:bookmarkStart w:id="1265" w:name="_Toc318581174"/>
      <w:r>
        <w:rPr>
          <w:rFonts w:ascii="Times New Roman" w:hAnsi="Times New Roman" w:eastAsia="仿宋_GB2312"/>
          <w:sz w:val="30"/>
          <w:szCs w:val="32"/>
          <w:highlight w:val="none"/>
        </w:rPr>
        <w:t>.1.2 试验设备</w:t>
      </w:r>
    </w:p>
    <w:p>
      <w:pPr>
        <w:spacing w:line="360" w:lineRule="auto"/>
        <w:ind w:firstLine="600" w:firstLineChars="200"/>
        <w:jc w:val="left"/>
        <w:rPr>
          <w:rFonts w:hint="eastAsia" w:ascii="Times New Roman" w:hAnsi="Times New Roman" w:eastAsia="仿宋_GB2312"/>
          <w:sz w:val="30"/>
          <w:szCs w:val="32"/>
          <w:highlight w:val="none"/>
          <w:u w:val="single"/>
        </w:rPr>
      </w:pPr>
      <w:r>
        <w:rPr>
          <w:rFonts w:ascii="Times New Roman" w:hAnsi="Times New Roman" w:eastAsia="仿宋_GB2312"/>
          <w:sz w:val="30"/>
          <w:szCs w:val="32"/>
          <w:highlight w:val="none"/>
        </w:rPr>
        <w:t>施工现场需要配置的试验场所：</w:t>
      </w:r>
      <w:bookmarkEnd w:id="1258"/>
      <w:bookmarkEnd w:id="1259"/>
      <w:bookmarkEnd w:id="1260"/>
      <w:bookmarkEnd w:id="1261"/>
      <w:bookmarkEnd w:id="1262"/>
      <w:bookmarkEnd w:id="1263"/>
      <w:bookmarkEnd w:id="1264"/>
      <w:bookmarkStart w:id="1266" w:name="_Toc312677498"/>
      <w:bookmarkStart w:id="1267" w:name="_Toc312678024"/>
      <w:bookmarkStart w:id="1268" w:name="_Toc297123536"/>
      <w:bookmarkStart w:id="1269" w:name="_Toc297216195"/>
      <w:bookmarkStart w:id="1270" w:name="_Toc304295562"/>
      <w:bookmarkStart w:id="1271" w:name="_Toc300934985"/>
      <w:bookmarkStart w:id="1272" w:name="_Toc303539142"/>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p>
    <w:p>
      <w:pPr>
        <w:spacing w:line="360" w:lineRule="auto"/>
        <w:jc w:val="left"/>
        <w:rPr>
          <w:rFonts w:ascii="Times New Roman" w:hAnsi="Times New Roman" w:eastAsia="仿宋_GB2312"/>
          <w:sz w:val="30"/>
          <w:szCs w:val="32"/>
          <w:highlight w:val="none"/>
        </w:rPr>
      </w:pP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r>
        <w:rPr>
          <w:rFonts w:hint="eastAsia" w:ascii="Times New Roman" w:hAnsi="Times New Roman" w:eastAsia="仿宋_GB2312"/>
          <w:sz w:val="30"/>
          <w:szCs w:val="32"/>
          <w:highlight w:val="none"/>
        </w:rPr>
        <w:t xml:space="preserve"> </w:t>
      </w:r>
    </w:p>
    <w:p>
      <w:pPr>
        <w:spacing w:line="360" w:lineRule="auto"/>
        <w:ind w:firstLine="600" w:firstLineChars="200"/>
        <w:jc w:val="left"/>
        <w:rPr>
          <w:rFonts w:hint="eastAsia" w:ascii="Times New Roman" w:hAnsi="Times New Roman" w:eastAsia="仿宋_GB2312"/>
          <w:sz w:val="30"/>
          <w:szCs w:val="32"/>
          <w:highlight w:val="none"/>
          <w:u w:val="single"/>
        </w:rPr>
      </w:pPr>
      <w:r>
        <w:rPr>
          <w:rFonts w:ascii="Times New Roman" w:hAnsi="Times New Roman" w:eastAsia="仿宋_GB2312"/>
          <w:sz w:val="30"/>
          <w:szCs w:val="32"/>
          <w:highlight w:val="none"/>
        </w:rPr>
        <w:t>施工现场需要配备的试验设备：</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p>
    <w:p>
      <w:pPr>
        <w:spacing w:line="360" w:lineRule="auto"/>
        <w:jc w:val="left"/>
        <w:rPr>
          <w:rFonts w:ascii="Times New Roman" w:hAnsi="Times New Roman" w:eastAsia="仿宋_GB2312"/>
          <w:sz w:val="30"/>
          <w:szCs w:val="32"/>
          <w:highlight w:val="none"/>
        </w:rPr>
      </w:pP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line="360" w:lineRule="auto"/>
        <w:ind w:firstLine="600" w:firstLineChars="200"/>
        <w:jc w:val="left"/>
        <w:rPr>
          <w:rFonts w:hint="eastAsia" w:ascii="Times New Roman" w:hAnsi="Times New Roman" w:eastAsia="仿宋_GB2312"/>
          <w:sz w:val="30"/>
          <w:szCs w:val="32"/>
          <w:highlight w:val="none"/>
          <w:u w:val="single"/>
        </w:rPr>
      </w:pPr>
      <w:r>
        <w:rPr>
          <w:rFonts w:ascii="Times New Roman" w:hAnsi="Times New Roman" w:eastAsia="仿宋_GB2312"/>
          <w:sz w:val="30"/>
          <w:szCs w:val="32"/>
          <w:highlight w:val="none"/>
        </w:rPr>
        <w:t>施工现场需要具备的其他试验条件：</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p>
    <w:p>
      <w:pPr>
        <w:spacing w:line="360" w:lineRule="auto"/>
        <w:jc w:val="left"/>
        <w:rPr>
          <w:rFonts w:ascii="Times New Roman" w:hAnsi="Times New Roman" w:eastAsia="仿宋_GB2312"/>
          <w:sz w:val="30"/>
          <w:szCs w:val="32"/>
          <w:highlight w:val="none"/>
        </w:rPr>
      </w:pP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after="120" w:line="360" w:lineRule="auto"/>
        <w:ind w:firstLine="600" w:firstLineChars="200"/>
        <w:outlineLvl w:val="0"/>
        <w:rPr>
          <w:rFonts w:ascii="Times New Roman" w:hAnsi="Times New Roman" w:eastAsia="黑体"/>
          <w:color w:val="000000"/>
          <w:sz w:val="30"/>
          <w:szCs w:val="32"/>
          <w:highlight w:val="none"/>
        </w:rPr>
      </w:pPr>
      <w:bookmarkStart w:id="1273" w:name="_Toc19849"/>
      <w:bookmarkStart w:id="1274" w:name="_Toc32639"/>
      <w:bookmarkStart w:id="1275" w:name="_Toc17648"/>
      <w:bookmarkStart w:id="1276" w:name="_Toc9423"/>
      <w:r>
        <w:rPr>
          <w:rFonts w:ascii="Times New Roman" w:hAnsi="Times New Roman" w:eastAsia="黑体"/>
          <w:color w:val="000000"/>
          <w:sz w:val="30"/>
          <w:szCs w:val="32"/>
          <w:highlight w:val="none"/>
        </w:rPr>
        <w:t>9.4 现场工艺试验</w:t>
      </w:r>
      <w:bookmarkEnd w:id="1273"/>
      <w:bookmarkEnd w:id="1274"/>
      <w:bookmarkEnd w:id="1275"/>
      <w:bookmarkEnd w:id="1276"/>
      <w:r>
        <w:rPr>
          <w:rFonts w:hint="eastAsia" w:ascii="Times New Roman" w:hAnsi="Times New Roman" w:eastAsia="黑体"/>
          <w:color w:val="000000"/>
          <w:sz w:val="30"/>
          <w:szCs w:val="32"/>
          <w:highlight w:val="none"/>
        </w:rPr>
        <w:t xml:space="preserve"> </w:t>
      </w:r>
    </w:p>
    <w:p>
      <w:pPr>
        <w:spacing w:line="360" w:lineRule="auto"/>
        <w:ind w:firstLine="600" w:firstLineChars="200"/>
        <w:jc w:val="left"/>
        <w:rPr>
          <w:rFonts w:hint="eastAsia" w:ascii="Times New Roman" w:hAnsi="Times New Roman" w:eastAsia="仿宋_GB2312"/>
          <w:sz w:val="30"/>
          <w:szCs w:val="32"/>
          <w:highlight w:val="none"/>
          <w:u w:val="single"/>
        </w:rPr>
      </w:pPr>
      <w:r>
        <w:rPr>
          <w:rFonts w:ascii="Times New Roman" w:hAnsi="Times New Roman" w:eastAsia="仿宋_GB2312"/>
          <w:sz w:val="30"/>
          <w:szCs w:val="32"/>
          <w:highlight w:val="none"/>
        </w:rPr>
        <w:t>现场工艺试验的有关约定：</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p>
    <w:p>
      <w:pPr>
        <w:spacing w:line="360" w:lineRule="auto"/>
        <w:jc w:val="left"/>
        <w:rPr>
          <w:rFonts w:hint="eastAsia" w:ascii="Times New Roman" w:hAnsi="Times New Roman" w:eastAsia="仿宋_GB2312"/>
          <w:sz w:val="30"/>
          <w:szCs w:val="32"/>
          <w:highlight w:val="none"/>
        </w:rPr>
      </w:pP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bookmarkEnd w:id="1265"/>
    <w:bookmarkEnd w:id="1266"/>
    <w:bookmarkEnd w:id="1267"/>
    <w:bookmarkEnd w:id="1268"/>
    <w:bookmarkEnd w:id="1269"/>
    <w:bookmarkEnd w:id="1270"/>
    <w:bookmarkEnd w:id="1271"/>
    <w:bookmarkEnd w:id="1272"/>
    <w:p>
      <w:pPr>
        <w:pStyle w:val="5"/>
        <w:spacing w:before="120" w:after="120" w:line="360" w:lineRule="auto"/>
        <w:rPr>
          <w:rFonts w:ascii="Times New Roman" w:hAnsi="Times New Roman" w:eastAsia="黑体"/>
          <w:b w:val="0"/>
          <w:color w:val="000000"/>
          <w:sz w:val="32"/>
          <w:szCs w:val="32"/>
          <w:highlight w:val="none"/>
        </w:rPr>
      </w:pPr>
      <w:bookmarkStart w:id="1277" w:name="_Toc4457"/>
      <w:bookmarkStart w:id="1278" w:name="_Toc11854"/>
      <w:r>
        <w:rPr>
          <w:rFonts w:ascii="Times New Roman" w:hAnsi="Times New Roman" w:eastAsia="黑体"/>
          <w:b w:val="0"/>
          <w:color w:val="000000"/>
          <w:sz w:val="32"/>
          <w:szCs w:val="32"/>
          <w:highlight w:val="none"/>
        </w:rPr>
        <w:t>1</w:t>
      </w:r>
      <w:bookmarkEnd w:id="1239"/>
      <w:bookmarkEnd w:id="1240"/>
      <w:bookmarkEnd w:id="1241"/>
      <w:bookmarkEnd w:id="1242"/>
      <w:bookmarkEnd w:id="1243"/>
      <w:bookmarkEnd w:id="1244"/>
      <w:bookmarkEnd w:id="1245"/>
      <w:bookmarkEnd w:id="1246"/>
      <w:bookmarkEnd w:id="1247"/>
      <w:bookmarkEnd w:id="1248"/>
      <w:bookmarkEnd w:id="1249"/>
      <w:bookmarkEnd w:id="1250"/>
      <w:bookmarkStart w:id="1279" w:name="_Toc296891021"/>
      <w:bookmarkStart w:id="1280" w:name="_Toc296503193"/>
      <w:bookmarkStart w:id="1281" w:name="_Toc296944532"/>
      <w:bookmarkStart w:id="1282" w:name="_Toc304295566"/>
      <w:bookmarkStart w:id="1283" w:name="_Toc296346694"/>
      <w:bookmarkStart w:id="1284" w:name="_Toc292559398"/>
      <w:bookmarkStart w:id="1285" w:name="_Toc296347192"/>
      <w:bookmarkStart w:id="1286" w:name="_Toc297216199"/>
      <w:bookmarkStart w:id="1287" w:name="_Toc296891233"/>
      <w:bookmarkStart w:id="1288" w:name="_Toc297123540"/>
      <w:bookmarkStart w:id="1289" w:name="_Toc297048379"/>
      <w:bookmarkStart w:id="1290" w:name="_Toc297120493"/>
      <w:bookmarkStart w:id="1291" w:name="_Toc300934989"/>
      <w:bookmarkStart w:id="1292" w:name="_Toc303539146"/>
      <w:bookmarkStart w:id="1293" w:name="_Toc292559903"/>
      <w:bookmarkStart w:id="1294" w:name="_Toc312678025"/>
      <w:bookmarkStart w:id="1295" w:name="_Toc312677499"/>
      <w:bookmarkStart w:id="1296" w:name="_Toc267251439"/>
      <w:bookmarkStart w:id="1297" w:name="_Toc267251440"/>
      <w:bookmarkStart w:id="1298" w:name="_Toc267251437"/>
      <w:bookmarkStart w:id="1299" w:name="_Toc267251435"/>
      <w:bookmarkStart w:id="1300" w:name="_Toc267251433"/>
      <w:bookmarkStart w:id="1301" w:name="_Toc267251441"/>
      <w:bookmarkStart w:id="1302" w:name="_Toc267251442"/>
      <w:r>
        <w:rPr>
          <w:rFonts w:ascii="Times New Roman" w:hAnsi="Times New Roman" w:eastAsia="黑体"/>
          <w:b w:val="0"/>
          <w:color w:val="000000"/>
          <w:sz w:val="32"/>
          <w:szCs w:val="32"/>
          <w:highlight w:val="none"/>
        </w:rPr>
        <w:t>0. 变更</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bookmarkEnd w:id="1294"/>
    <w:bookmarkEnd w:id="1295"/>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1</w:t>
      </w:r>
      <w:bookmarkStart w:id="1303" w:name="_Toc296503194"/>
      <w:bookmarkStart w:id="1304" w:name="_Toc292559904"/>
      <w:bookmarkStart w:id="1305" w:name="_Toc296347193"/>
      <w:bookmarkStart w:id="1306" w:name="_Toc292559399"/>
      <w:bookmarkStart w:id="1307" w:name="_Toc297120494"/>
      <w:bookmarkStart w:id="1308" w:name="_Toc312677500"/>
      <w:bookmarkStart w:id="1309" w:name="_Toc300934990"/>
      <w:bookmarkStart w:id="1310" w:name="_Toc296944533"/>
      <w:bookmarkStart w:id="1311" w:name="_Toc296891022"/>
      <w:bookmarkStart w:id="1312" w:name="_Toc297216200"/>
      <w:bookmarkStart w:id="1313" w:name="_Toc297048380"/>
      <w:bookmarkStart w:id="1314" w:name="_Toc303539147"/>
      <w:bookmarkStart w:id="1315" w:name="_Toc296346695"/>
      <w:bookmarkStart w:id="1316" w:name="_Toc312678026"/>
      <w:bookmarkStart w:id="1317" w:name="_Toc296891234"/>
      <w:bookmarkStart w:id="1318" w:name="_Toc297123541"/>
      <w:bookmarkStart w:id="1319" w:name="_Toc304295567"/>
      <w:r>
        <w:rPr>
          <w:rFonts w:ascii="Times New Roman" w:hAnsi="Times New Roman" w:eastAsia="黑体"/>
          <w:color w:val="000000"/>
          <w:sz w:val="30"/>
          <w:szCs w:val="32"/>
          <w:highlight w:val="none"/>
        </w:rPr>
        <w:t>0.1变更的范围</w:t>
      </w:r>
    </w:p>
    <w:p>
      <w:pPr>
        <w:spacing w:line="360" w:lineRule="auto"/>
        <w:ind w:firstLine="600"/>
        <w:jc w:val="left"/>
        <w:rPr>
          <w:rFonts w:hint="eastAsia"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关于变更的范围的约定：</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p>
    <w:p>
      <w:pPr>
        <w:spacing w:line="360" w:lineRule="auto"/>
        <w:jc w:val="left"/>
        <w:rPr>
          <w:rFonts w:ascii="Times New Roman" w:hAnsi="Times New Roman" w:eastAsia="仿宋_GB2312"/>
          <w:color w:val="000000"/>
          <w:sz w:val="30"/>
          <w:szCs w:val="32"/>
          <w:highlight w:val="none"/>
        </w:rPr>
      </w:pP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after="120" w:line="360" w:lineRule="auto"/>
        <w:ind w:firstLine="600" w:firstLineChars="200"/>
        <w:outlineLvl w:val="0"/>
        <w:rPr>
          <w:rFonts w:ascii="Times New Roman" w:hAnsi="Times New Roman" w:eastAsia="黑体"/>
          <w:color w:val="000000"/>
          <w:sz w:val="30"/>
          <w:szCs w:val="32"/>
          <w:highlight w:val="none"/>
        </w:rPr>
      </w:pPr>
      <w:bookmarkStart w:id="1320" w:name="_Toc2640"/>
      <w:bookmarkStart w:id="1321" w:name="_Toc761"/>
      <w:bookmarkStart w:id="1322" w:name="_Toc22534"/>
      <w:bookmarkStart w:id="1323" w:name="_Toc3685"/>
      <w:r>
        <w:rPr>
          <w:rFonts w:ascii="Times New Roman" w:hAnsi="Times New Roman" w:eastAsia="黑体"/>
          <w:color w:val="000000"/>
          <w:sz w:val="30"/>
          <w:szCs w:val="32"/>
          <w:highlight w:val="none"/>
        </w:rPr>
        <w:t>10.4 变更估价</w:t>
      </w:r>
      <w:bookmarkEnd w:id="1320"/>
      <w:bookmarkEnd w:id="1321"/>
      <w:bookmarkEnd w:id="1322"/>
      <w:bookmarkEnd w:id="1323"/>
    </w:p>
    <w:p>
      <w:pPr>
        <w:spacing w:line="360" w:lineRule="auto"/>
        <w:ind w:firstLine="600" w:firstLineChars="200"/>
        <w:jc w:val="left"/>
        <w:rPr>
          <w:rFonts w:hint="eastAsia" w:ascii="Times New Roman" w:hAnsi="Times New Roman" w:eastAsia="仿宋_GB2312"/>
          <w:sz w:val="30"/>
          <w:szCs w:val="32"/>
          <w:highlight w:val="none"/>
        </w:rPr>
      </w:pPr>
      <w:r>
        <w:rPr>
          <w:rFonts w:hint="eastAsia" w:ascii="Times New Roman" w:hAnsi="Times New Roman" w:eastAsia="仿宋_GB2312"/>
          <w:sz w:val="30"/>
          <w:szCs w:val="32"/>
          <w:highlight w:val="none"/>
        </w:rPr>
        <w:t>10.4.1 变更估价原则</w:t>
      </w:r>
    </w:p>
    <w:p>
      <w:pPr>
        <w:spacing w:line="360" w:lineRule="auto"/>
        <w:ind w:firstLine="600" w:firstLineChars="200"/>
        <w:jc w:val="left"/>
        <w:rPr>
          <w:rFonts w:hint="eastAsia"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 xml:space="preserve">关于变更估价的约定: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p>
    <w:p>
      <w:pPr>
        <w:spacing w:line="360" w:lineRule="auto"/>
        <w:jc w:val="left"/>
        <w:rPr>
          <w:rFonts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1</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Start w:id="1324" w:name="_Toc296891237"/>
      <w:bookmarkStart w:id="1325" w:name="_Toc297216203"/>
      <w:bookmarkStart w:id="1326" w:name="_Toc297120497"/>
      <w:bookmarkStart w:id="1327" w:name="_Toc296503197"/>
      <w:bookmarkStart w:id="1328" w:name="_Toc297048383"/>
      <w:bookmarkStart w:id="1329" w:name="_Toc296944536"/>
      <w:bookmarkStart w:id="1330" w:name="_Toc296891025"/>
      <w:bookmarkStart w:id="1331" w:name="_Toc292559907"/>
      <w:bookmarkStart w:id="1332" w:name="_Toc296346698"/>
      <w:bookmarkStart w:id="1333" w:name="_Toc296347196"/>
      <w:bookmarkStart w:id="1334" w:name="_Toc303539150"/>
      <w:bookmarkStart w:id="1335" w:name="_Toc297123544"/>
      <w:bookmarkStart w:id="1336" w:name="_Toc300934993"/>
      <w:bookmarkStart w:id="1337" w:name="_Toc292559402"/>
      <w:bookmarkStart w:id="1338" w:name="_Toc312677503"/>
      <w:bookmarkStart w:id="1339" w:name="_Toc304295570"/>
      <w:bookmarkStart w:id="1340" w:name="_Toc312678029"/>
      <w:r>
        <w:rPr>
          <w:rFonts w:ascii="Times New Roman" w:hAnsi="Times New Roman" w:eastAsia="黑体"/>
          <w:color w:val="000000"/>
          <w:sz w:val="30"/>
          <w:szCs w:val="32"/>
          <w:highlight w:val="none"/>
        </w:rPr>
        <w:t>0.5承</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Start w:id="1341" w:name="_Toc296346704"/>
      <w:bookmarkStart w:id="1342" w:name="_Toc296944542"/>
      <w:bookmarkStart w:id="1343" w:name="_Toc296891031"/>
      <w:bookmarkStart w:id="1344" w:name="_Toc297120503"/>
      <w:bookmarkStart w:id="1345" w:name="_Toc296503203"/>
      <w:bookmarkStart w:id="1346" w:name="_Toc297216204"/>
      <w:bookmarkStart w:id="1347" w:name="_Toc296891243"/>
      <w:bookmarkStart w:id="1348" w:name="_Toc303539151"/>
      <w:bookmarkStart w:id="1349" w:name="_Toc292559408"/>
      <w:bookmarkStart w:id="1350" w:name="_Toc297123545"/>
      <w:bookmarkStart w:id="1351" w:name="_Toc296347202"/>
      <w:bookmarkStart w:id="1352" w:name="_Toc300934994"/>
      <w:bookmarkStart w:id="1353" w:name="_Toc297048389"/>
      <w:bookmarkStart w:id="1354" w:name="_Toc292559913"/>
      <w:r>
        <w:rPr>
          <w:rFonts w:ascii="Times New Roman" w:hAnsi="Times New Roman" w:eastAsia="黑体"/>
          <w:color w:val="000000"/>
          <w:sz w:val="30"/>
          <w:szCs w:val="32"/>
          <w:highlight w:val="none"/>
        </w:rPr>
        <w:t>包人的合理化建议</w:t>
      </w:r>
    </w:p>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监理人审查承包人合理化建议的期限：</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发包人审批承包人合理化建议的期限：</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line="360" w:lineRule="auto"/>
        <w:ind w:firstLine="600" w:firstLineChars="200"/>
        <w:jc w:val="left"/>
        <w:rPr>
          <w:rFonts w:hint="eastAsia" w:ascii="Times New Roman" w:hAnsi="Times New Roman" w:eastAsia="仿宋_GB2312"/>
          <w:sz w:val="30"/>
          <w:szCs w:val="32"/>
          <w:highlight w:val="none"/>
          <w:u w:val="single"/>
        </w:rPr>
      </w:pPr>
      <w:r>
        <w:rPr>
          <w:rFonts w:ascii="Times New Roman" w:hAnsi="Times New Roman" w:eastAsia="仿宋_GB2312"/>
          <w:sz w:val="30"/>
          <w:szCs w:val="32"/>
          <w:highlight w:val="none"/>
        </w:rPr>
        <w:t>承</w:t>
      </w:r>
      <w:bookmarkStart w:id="1355" w:name="_Toc312678030"/>
      <w:bookmarkStart w:id="1356" w:name="_Toc297216205"/>
      <w:bookmarkStart w:id="1357" w:name="_Toc296891032"/>
      <w:bookmarkStart w:id="1358" w:name="_Toc296346705"/>
      <w:bookmarkStart w:id="1359" w:name="_Toc292559914"/>
      <w:bookmarkStart w:id="1360" w:name="_Toc304295571"/>
      <w:bookmarkStart w:id="1361" w:name="_Toc297120504"/>
      <w:bookmarkStart w:id="1362" w:name="_Toc296503204"/>
      <w:bookmarkStart w:id="1363" w:name="_Toc297123546"/>
      <w:bookmarkStart w:id="1364" w:name="_Toc297048390"/>
      <w:bookmarkStart w:id="1365" w:name="_Toc318581175"/>
      <w:bookmarkStart w:id="1366" w:name="_Toc292559409"/>
      <w:bookmarkStart w:id="1367" w:name="_Toc296347203"/>
      <w:bookmarkStart w:id="1368" w:name="_Toc296891244"/>
      <w:bookmarkStart w:id="1369" w:name="_Toc296944543"/>
      <w:bookmarkStart w:id="1370" w:name="_Toc300934995"/>
      <w:bookmarkStart w:id="1371" w:name="_Toc303539152"/>
      <w:bookmarkStart w:id="1372" w:name="_Toc312677504"/>
      <w:r>
        <w:rPr>
          <w:rFonts w:ascii="Times New Roman" w:hAnsi="Times New Roman" w:eastAsia="仿宋_GB2312"/>
          <w:sz w:val="30"/>
          <w:szCs w:val="32"/>
          <w:highlight w:val="none"/>
        </w:rPr>
        <w:t>包人提出的合理化建议降低了合同价格或者提高了工程经济效益的奖励的方法和金额为：</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p>
    <w:p>
      <w:pPr>
        <w:spacing w:line="360" w:lineRule="auto"/>
        <w:jc w:val="left"/>
        <w:rPr>
          <w:rFonts w:ascii="Times New Roman" w:hAnsi="Times New Roman" w:eastAsia="仿宋_GB2312"/>
          <w:sz w:val="30"/>
          <w:szCs w:val="32"/>
          <w:highlight w:val="none"/>
          <w:u w:val="single"/>
        </w:rPr>
      </w:pP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Pr>
        <w:spacing w:after="120" w:line="360" w:lineRule="auto"/>
        <w:ind w:firstLine="600" w:firstLineChars="200"/>
        <w:outlineLvl w:val="0"/>
        <w:rPr>
          <w:rFonts w:ascii="Times New Roman" w:hAnsi="Times New Roman" w:eastAsia="黑体"/>
          <w:color w:val="000000"/>
          <w:sz w:val="30"/>
          <w:szCs w:val="32"/>
          <w:highlight w:val="none"/>
        </w:rPr>
      </w:pPr>
      <w:bookmarkStart w:id="1373" w:name="_Toc22265"/>
      <w:bookmarkStart w:id="1374" w:name="_Toc21790"/>
      <w:bookmarkStart w:id="1375" w:name="_Toc27126"/>
      <w:bookmarkStart w:id="1376" w:name="_Toc17809"/>
      <w:r>
        <w:rPr>
          <w:rFonts w:ascii="Times New Roman" w:hAnsi="Times New Roman" w:eastAsia="黑体"/>
          <w:color w:val="000000"/>
          <w:sz w:val="30"/>
          <w:szCs w:val="32"/>
          <w:highlight w:val="none"/>
        </w:rPr>
        <w:t>1</w:t>
      </w:r>
      <w:bookmarkStart w:id="1377" w:name="_Toc297123548"/>
      <w:bookmarkStart w:id="1378" w:name="_Toc296891027"/>
      <w:bookmarkStart w:id="1379" w:name="_Toc296891239"/>
      <w:bookmarkStart w:id="1380" w:name="_Toc296346700"/>
      <w:bookmarkStart w:id="1381" w:name="_Toc303539154"/>
      <w:bookmarkStart w:id="1382" w:name="_Toc296944538"/>
      <w:bookmarkStart w:id="1383" w:name="_Toc297120499"/>
      <w:bookmarkStart w:id="1384" w:name="_Toc297216207"/>
      <w:bookmarkStart w:id="1385" w:name="_Toc297048385"/>
      <w:bookmarkStart w:id="1386" w:name="_Toc292559404"/>
      <w:bookmarkStart w:id="1387" w:name="_Toc304295574"/>
      <w:bookmarkStart w:id="1388" w:name="_Toc312677507"/>
      <w:bookmarkStart w:id="1389" w:name="_Toc296347198"/>
      <w:bookmarkStart w:id="1390" w:name="_Toc292559909"/>
      <w:bookmarkStart w:id="1391" w:name="_Toc296503199"/>
      <w:bookmarkStart w:id="1392" w:name="_Toc300934997"/>
      <w:bookmarkStart w:id="1393" w:name="_Toc312678033"/>
      <w:r>
        <w:rPr>
          <w:rFonts w:ascii="Times New Roman" w:hAnsi="Times New Roman" w:eastAsia="黑体"/>
          <w:color w:val="000000"/>
          <w:sz w:val="30"/>
          <w:szCs w:val="32"/>
          <w:highlight w:val="none"/>
        </w:rPr>
        <w:t>0.7 暂估价</w:t>
      </w:r>
      <w:bookmarkEnd w:id="1373"/>
      <w:bookmarkEnd w:id="1374"/>
      <w:bookmarkEnd w:id="1375"/>
      <w:bookmarkEnd w:id="1376"/>
    </w:p>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kern w:val="0"/>
          <w:sz w:val="30"/>
          <w:szCs w:val="32"/>
          <w:highlight w:val="none"/>
        </w:rPr>
        <w:t>暂</w:t>
      </w:r>
      <w:bookmarkStart w:id="1394" w:name="_Toc312678034"/>
      <w:bookmarkStart w:id="1395" w:name="_Toc318581176"/>
      <w:bookmarkStart w:id="1396" w:name="_Toc312677508"/>
      <w:r>
        <w:rPr>
          <w:rFonts w:ascii="Times New Roman" w:hAnsi="Times New Roman" w:eastAsia="仿宋_GB2312"/>
          <w:kern w:val="0"/>
          <w:sz w:val="30"/>
          <w:szCs w:val="32"/>
          <w:highlight w:val="none"/>
        </w:rPr>
        <w:t>估价材料和工程设备的明细详见附件</w:t>
      </w:r>
      <w:r>
        <w:rPr>
          <w:rFonts w:hint="eastAsia" w:ascii="Times New Roman" w:hAnsi="Times New Roman" w:eastAsia="仿宋_GB2312"/>
          <w:kern w:val="0"/>
          <w:sz w:val="30"/>
          <w:szCs w:val="32"/>
          <w:highlight w:val="none"/>
        </w:rPr>
        <w:t>11：《</w:t>
      </w:r>
      <w:r>
        <w:rPr>
          <w:rFonts w:ascii="Times New Roman" w:hAnsi="Times New Roman" w:eastAsia="仿宋_GB2312"/>
          <w:color w:val="000000"/>
          <w:sz w:val="30"/>
          <w:szCs w:val="32"/>
          <w:highlight w:val="none"/>
        </w:rPr>
        <w:t>暂估价一览表</w:t>
      </w:r>
      <w:r>
        <w:rPr>
          <w:rFonts w:hint="eastAsia" w:ascii="Times New Roman" w:hAnsi="Times New Roman" w:eastAsia="仿宋_GB2312"/>
          <w:color w:val="000000"/>
          <w:sz w:val="30"/>
          <w:szCs w:val="32"/>
          <w:highlight w:val="none"/>
        </w:rPr>
        <w:t>》</w:t>
      </w:r>
      <w:r>
        <w:rPr>
          <w:rFonts w:hint="eastAsia" w:ascii="Times New Roman" w:hAnsi="Times New Roman" w:eastAsia="仿宋_GB2312"/>
          <w:kern w:val="0"/>
          <w:sz w:val="30"/>
          <w:szCs w:val="32"/>
          <w:highlight w:val="none"/>
        </w:rPr>
        <w:t>。</w:t>
      </w:r>
    </w:p>
    <w:bookmarkEnd w:id="1394"/>
    <w:bookmarkEnd w:id="1395"/>
    <w:bookmarkEnd w:id="1396"/>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1</w:t>
      </w:r>
      <w:bookmarkStart w:id="1397" w:name="_Toc312678035"/>
      <w:bookmarkStart w:id="1398" w:name="_Toc318581177"/>
      <w:bookmarkStart w:id="1399" w:name="_Toc312677509"/>
      <w:r>
        <w:rPr>
          <w:rFonts w:ascii="Times New Roman" w:hAnsi="Times New Roman" w:eastAsia="仿宋_GB2312"/>
          <w:sz w:val="30"/>
          <w:szCs w:val="32"/>
          <w:highlight w:val="none"/>
        </w:rPr>
        <w:t>0.7.1 依法必须招标的暂估价项目</w:t>
      </w:r>
    </w:p>
    <w:bookmarkEnd w:id="1397"/>
    <w:bookmarkEnd w:id="1398"/>
    <w:bookmarkEnd w:id="1399"/>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对于依法必须招标的暂估价项目的确认和批准采取第</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种方式确定。</w:t>
      </w:r>
    </w:p>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10.7.2 不属于依法必须招标的暂估价项目</w:t>
      </w:r>
    </w:p>
    <w:p>
      <w:pPr>
        <w:spacing w:line="360" w:lineRule="auto"/>
        <w:ind w:firstLine="600" w:firstLineChars="200"/>
        <w:jc w:val="left"/>
        <w:rPr>
          <w:rFonts w:hint="eastAsia" w:ascii="Times New Roman" w:hAnsi="Times New Roman" w:eastAsia="仿宋_GB2312"/>
          <w:sz w:val="30"/>
          <w:szCs w:val="32"/>
          <w:highlight w:val="none"/>
        </w:rPr>
      </w:pPr>
      <w:r>
        <w:rPr>
          <w:rFonts w:ascii="Times New Roman" w:hAnsi="Times New Roman" w:eastAsia="仿宋_GB2312"/>
          <w:sz w:val="30"/>
          <w:szCs w:val="32"/>
          <w:highlight w:val="none"/>
        </w:rPr>
        <w:t>对于不属于依法必须招标的暂估价项目的确认和批准采取第</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 xml:space="preserve"> 种方式确定。</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sz w:val="30"/>
          <w:szCs w:val="32"/>
          <w:highlight w:val="none"/>
        </w:rPr>
        <w:t>第3种方式：</w:t>
      </w:r>
      <w:r>
        <w:rPr>
          <w:rFonts w:ascii="Times New Roman" w:hAnsi="Times New Roman" w:eastAsia="仿宋_GB2312"/>
          <w:color w:val="000000"/>
          <w:kern w:val="0"/>
          <w:sz w:val="30"/>
          <w:szCs w:val="32"/>
          <w:highlight w:val="none"/>
        </w:rPr>
        <w:t>承包人直接实施的暂估价项目</w:t>
      </w:r>
    </w:p>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承包人直接实施的暂估价项目的约定：</w:t>
      </w:r>
      <w:r>
        <w:rPr>
          <w:rFonts w:ascii="Times New Roman" w:hAnsi="Times New Roman" w:eastAsia="仿宋_GB2312"/>
          <w:sz w:val="30"/>
          <w:szCs w:val="32"/>
          <w:highlight w:val="none"/>
          <w:u w:val="single"/>
        </w:rPr>
        <w:t xml:space="preserve">                     </w:t>
      </w:r>
    </w:p>
    <w:p>
      <w:pPr>
        <w:spacing w:line="360" w:lineRule="auto"/>
        <w:jc w:val="left"/>
        <w:rPr>
          <w:rFonts w:hint="eastAsia" w:ascii="Times New Roman" w:hAnsi="Times New Roman" w:eastAsia="仿宋_GB2312"/>
          <w:sz w:val="30"/>
          <w:szCs w:val="32"/>
          <w:highlight w:val="none"/>
        </w:rPr>
      </w:pPr>
      <w:r>
        <w:rPr>
          <w:rFonts w:hint="eastAsia"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10.8 暂列金额</w:t>
      </w:r>
    </w:p>
    <w:p>
      <w:pPr>
        <w:autoSpaceDE w:val="0"/>
        <w:autoSpaceDN w:val="0"/>
        <w:adjustRightInd w:val="0"/>
        <w:spacing w:line="360" w:lineRule="auto"/>
        <w:ind w:firstLine="600" w:firstLineChars="200"/>
        <w:jc w:val="left"/>
        <w:rPr>
          <w:rFonts w:hint="eastAsia" w:ascii="Times New Roman" w:hAnsi="Times New Roman" w:eastAsia="仿宋_GB2312"/>
          <w:sz w:val="30"/>
          <w:szCs w:val="32"/>
          <w:highlight w:val="none"/>
          <w:u w:val="single"/>
        </w:rPr>
      </w:pPr>
      <w:r>
        <w:rPr>
          <w:rFonts w:hint="eastAsia" w:ascii="Times New Roman" w:hAnsi="Times New Roman" w:eastAsia="仿宋_GB2312"/>
          <w:color w:val="000000"/>
          <w:kern w:val="0"/>
          <w:sz w:val="30"/>
          <w:szCs w:val="32"/>
          <w:highlight w:val="none"/>
        </w:rPr>
        <w:t>合同当事人关于暂列金额使用的约定：</w:t>
      </w:r>
      <w:r>
        <w:rPr>
          <w:rFonts w:ascii="Times New Roman" w:hAnsi="Times New Roman" w:eastAsia="仿宋_GB2312"/>
          <w:sz w:val="30"/>
          <w:szCs w:val="32"/>
          <w:highlight w:val="none"/>
          <w:u w:val="single"/>
        </w:rPr>
        <w:t xml:space="preserve">               </w:t>
      </w:r>
      <w:r>
        <w:rPr>
          <w:rFonts w:hint="eastAsia" w:ascii="Times New Roman" w:hAnsi="Times New Roman" w:eastAsia="仿宋_GB2312"/>
          <w:sz w:val="30"/>
          <w:szCs w:val="32"/>
          <w:highlight w:val="none"/>
          <w:u w:val="single"/>
        </w:rPr>
        <w:t xml:space="preserve">      </w:t>
      </w:r>
    </w:p>
    <w:p>
      <w:pPr>
        <w:autoSpaceDE w:val="0"/>
        <w:autoSpaceDN w:val="0"/>
        <w:adjustRightInd w:val="0"/>
        <w:spacing w:line="360" w:lineRule="auto"/>
        <w:jc w:val="left"/>
        <w:rPr>
          <w:rFonts w:ascii="Times New Roman" w:hAnsi="Times New Roman" w:eastAsia="仿宋_GB2312"/>
          <w:color w:val="000000"/>
          <w:kern w:val="0"/>
          <w:sz w:val="30"/>
          <w:szCs w:val="32"/>
          <w:highlight w:val="none"/>
        </w:rPr>
      </w:pPr>
      <w:r>
        <w:rPr>
          <w:rFonts w:hint="eastAsia" w:ascii="Times New Roman" w:hAnsi="Times New Roman" w:eastAsia="仿宋_GB2312"/>
          <w:sz w:val="30"/>
          <w:szCs w:val="32"/>
          <w:highlight w:val="none"/>
          <w:u w:val="single"/>
        </w:rPr>
        <w:t xml:space="preserve">                                                         </w:t>
      </w:r>
      <w:r>
        <w:rPr>
          <w:rFonts w:hint="eastAsia" w:ascii="Times New Roman" w:hAnsi="Times New Roman" w:eastAsia="仿宋_GB2312"/>
          <w:color w:val="000000"/>
          <w:kern w:val="0"/>
          <w:sz w:val="30"/>
          <w:szCs w:val="32"/>
          <w:highlight w:val="none"/>
        </w:rPr>
        <w:t>。</w:t>
      </w:r>
    </w:p>
    <w:p>
      <w:pPr>
        <w:pStyle w:val="5"/>
        <w:spacing w:before="120" w:after="120" w:line="360" w:lineRule="auto"/>
        <w:rPr>
          <w:rFonts w:ascii="Times New Roman" w:hAnsi="Times New Roman" w:eastAsia="黑体"/>
          <w:b w:val="0"/>
          <w:color w:val="000000"/>
          <w:sz w:val="32"/>
          <w:szCs w:val="32"/>
          <w:highlight w:val="none"/>
        </w:rPr>
      </w:pPr>
      <w:bookmarkStart w:id="1400" w:name="_Toc16742"/>
      <w:bookmarkStart w:id="1401" w:name="_Toc21889"/>
      <w:r>
        <w:rPr>
          <w:rFonts w:ascii="Times New Roman" w:hAnsi="Times New Roman" w:eastAsia="黑体"/>
          <w:b w:val="0"/>
          <w:color w:val="000000"/>
          <w:sz w:val="32"/>
          <w:szCs w:val="32"/>
          <w:highlight w:val="none"/>
        </w:rPr>
        <w:t>11. 价格调整</w:t>
      </w:r>
      <w:bookmarkEnd w:id="1400"/>
      <w:bookmarkEnd w:id="1401"/>
    </w:p>
    <w:p>
      <w:pPr>
        <w:spacing w:after="120" w:line="360" w:lineRule="auto"/>
        <w:ind w:firstLine="600" w:firstLineChars="200"/>
        <w:rPr>
          <w:rFonts w:ascii="Times New Roman" w:hAnsi="Times New Roman" w:eastAsia="黑体"/>
          <w:color w:val="000000"/>
          <w:sz w:val="30"/>
          <w:szCs w:val="32"/>
          <w:highlight w:val="none"/>
        </w:rPr>
      </w:pPr>
      <w:bookmarkStart w:id="1402" w:name="_Toc296346702"/>
      <w:bookmarkStart w:id="1403" w:name="_Toc303539157"/>
      <w:bookmarkStart w:id="1404" w:name="_Toc296944540"/>
      <w:bookmarkStart w:id="1405" w:name="_Toc297216209"/>
      <w:bookmarkStart w:id="1406" w:name="_Toc312678039"/>
      <w:bookmarkStart w:id="1407" w:name="_Toc297048387"/>
      <w:bookmarkStart w:id="1408" w:name="_Toc297123550"/>
      <w:bookmarkStart w:id="1409" w:name="_Toc296347200"/>
      <w:bookmarkStart w:id="1410" w:name="_Toc292559406"/>
      <w:bookmarkStart w:id="1411" w:name="_Toc300935000"/>
      <w:bookmarkStart w:id="1412" w:name="_Toc297120501"/>
      <w:bookmarkStart w:id="1413" w:name="_Toc296503201"/>
      <w:bookmarkStart w:id="1414" w:name="_Toc296891029"/>
      <w:bookmarkStart w:id="1415" w:name="_Toc304295577"/>
      <w:bookmarkStart w:id="1416" w:name="_Toc292559911"/>
      <w:bookmarkStart w:id="1417" w:name="_Toc296891241"/>
      <w:r>
        <w:rPr>
          <w:rFonts w:ascii="Times New Roman" w:hAnsi="Times New Roman" w:eastAsia="黑体"/>
          <w:color w:val="000000"/>
          <w:sz w:val="30"/>
          <w:szCs w:val="32"/>
          <w:highlight w:val="none"/>
        </w:rPr>
        <w:t>11.1 市场价格波动引起的调整</w:t>
      </w:r>
    </w:p>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kern w:val="0"/>
          <w:sz w:val="30"/>
          <w:szCs w:val="32"/>
          <w:highlight w:val="none"/>
        </w:rPr>
        <w:t>市场价格波动是否调整合同价格的约定：</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因市场价格波动调整合同价格，采用以下</w:t>
      </w:r>
      <w:r>
        <w:rPr>
          <w:rFonts w:ascii="Times New Roman" w:hAnsi="Times New Roman" w:eastAsia="仿宋_GB2312"/>
          <w:sz w:val="30"/>
          <w:szCs w:val="32"/>
          <w:highlight w:val="none"/>
        </w:rPr>
        <w:t>第</w:t>
      </w:r>
      <w:r>
        <w:rPr>
          <w:rFonts w:ascii="Times New Roman" w:hAnsi="Times New Roman" w:eastAsia="仿宋_GB2312"/>
          <w:sz w:val="30"/>
          <w:szCs w:val="32"/>
          <w:highlight w:val="none"/>
          <w:u w:val="single"/>
        </w:rPr>
        <w:t xml:space="preserve">    </w:t>
      </w:r>
      <w:r>
        <w:rPr>
          <w:rFonts w:ascii="Times New Roman" w:hAnsi="Times New Roman" w:eastAsia="仿宋_GB2312"/>
          <w:color w:val="000000"/>
          <w:sz w:val="30"/>
          <w:szCs w:val="32"/>
          <w:highlight w:val="none"/>
        </w:rPr>
        <w:t>种方式对合同价格进行调整：</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第1种方式：采用价格指数</w:t>
      </w:r>
      <w:r>
        <w:rPr>
          <w:rFonts w:hint="eastAsia" w:ascii="Times New Roman" w:hAnsi="Times New Roman" w:eastAsia="仿宋_GB2312"/>
          <w:color w:val="000000"/>
          <w:sz w:val="30"/>
          <w:szCs w:val="32"/>
          <w:highlight w:val="none"/>
        </w:rPr>
        <w:t>进行价格</w:t>
      </w:r>
      <w:r>
        <w:rPr>
          <w:rFonts w:ascii="Times New Roman" w:hAnsi="Times New Roman" w:eastAsia="仿宋_GB2312"/>
          <w:color w:val="000000"/>
          <w:sz w:val="30"/>
          <w:szCs w:val="32"/>
          <w:highlight w:val="none"/>
        </w:rPr>
        <w:t>调整。</w:t>
      </w:r>
    </w:p>
    <w:p>
      <w:pPr>
        <w:spacing w:line="360" w:lineRule="auto"/>
        <w:ind w:firstLine="600" w:firstLineChars="200"/>
        <w:jc w:val="left"/>
        <w:rPr>
          <w:rFonts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关于各可调因子、定值和变值权重，以及基本价格指数及其来源的约定：</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 xml:space="preserve">；  </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第2种方式：采用造价信息</w:t>
      </w:r>
      <w:r>
        <w:rPr>
          <w:rFonts w:hint="eastAsia" w:ascii="Times New Roman" w:hAnsi="Times New Roman" w:eastAsia="仿宋_GB2312"/>
          <w:color w:val="000000"/>
          <w:sz w:val="30"/>
          <w:szCs w:val="32"/>
          <w:highlight w:val="none"/>
        </w:rPr>
        <w:t>进行价格</w:t>
      </w:r>
      <w:r>
        <w:rPr>
          <w:rFonts w:ascii="Times New Roman" w:hAnsi="Times New Roman" w:eastAsia="仿宋_GB2312"/>
          <w:color w:val="000000"/>
          <w:sz w:val="30"/>
          <w:szCs w:val="32"/>
          <w:highlight w:val="none"/>
        </w:rPr>
        <w:t>调整。</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（2）关于基准价格的约定：</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专用合同条款</w:t>
      </w:r>
      <w:r>
        <w:rPr>
          <w:rFonts w:hint="eastAsia" w:ascii="宋体" w:hAnsi="宋体" w:cs="宋体"/>
          <w:color w:val="000000"/>
          <w:sz w:val="30"/>
          <w:szCs w:val="32"/>
          <w:highlight w:val="none"/>
        </w:rPr>
        <w:t>①</w:t>
      </w:r>
      <w:r>
        <w:rPr>
          <w:rFonts w:ascii="Times New Roman" w:hAnsi="Times New Roman" w:eastAsia="仿宋_GB2312"/>
          <w:color w:val="000000"/>
          <w:sz w:val="30"/>
          <w:szCs w:val="32"/>
          <w:highlight w:val="none"/>
        </w:rPr>
        <w:t>承包人在已标价工程量清单或预算书中载明的材料单价低于基准价格的：专用合同条款合同履行期间材料单价涨幅以基准价格为基础超过</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%时，或材料单价跌幅以已标价工程量清单或预算书中载明材料单价为基础超过</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%时，其超过部分据实调整。</w:t>
      </w:r>
    </w:p>
    <w:p>
      <w:pPr>
        <w:spacing w:line="360" w:lineRule="auto"/>
        <w:ind w:firstLine="600" w:firstLineChars="200"/>
        <w:jc w:val="left"/>
        <w:rPr>
          <w:rFonts w:ascii="Times New Roman" w:hAnsi="Times New Roman" w:eastAsia="仿宋_GB2312"/>
          <w:color w:val="000000"/>
          <w:sz w:val="30"/>
          <w:szCs w:val="32"/>
          <w:highlight w:val="none"/>
        </w:rPr>
      </w:pPr>
      <w:r>
        <w:rPr>
          <w:rFonts w:hint="eastAsia" w:ascii="宋体" w:hAnsi="宋体" w:cs="宋体"/>
          <w:color w:val="000000"/>
          <w:sz w:val="30"/>
          <w:szCs w:val="32"/>
          <w:highlight w:val="none"/>
        </w:rPr>
        <w:t>②</w:t>
      </w:r>
      <w:r>
        <w:rPr>
          <w:rFonts w:ascii="Times New Roman" w:hAnsi="Times New Roman" w:eastAsia="仿宋_GB2312"/>
          <w:color w:val="000000"/>
          <w:sz w:val="30"/>
          <w:szCs w:val="32"/>
          <w:highlight w:val="none"/>
        </w:rPr>
        <w:t>承包人在已标价工程量清单或预算书中载明的材料单价高于基准价格的：专用合同条款合同履行期间材料单价跌幅以基准价格为基础超过</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%时，材料单价涨幅以已标价工程量清单或预算书中载明材料单价为基础超过</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%时，其超过部分据实调整。</w:t>
      </w:r>
    </w:p>
    <w:p>
      <w:pPr>
        <w:spacing w:line="360" w:lineRule="auto"/>
        <w:ind w:firstLine="645"/>
        <w:jc w:val="left"/>
        <w:rPr>
          <w:rFonts w:ascii="Times New Roman" w:hAnsi="Times New Roman" w:eastAsia="仿宋_GB2312"/>
          <w:color w:val="000000"/>
          <w:sz w:val="30"/>
          <w:szCs w:val="32"/>
          <w:highlight w:val="none"/>
        </w:rPr>
      </w:pPr>
      <w:r>
        <w:rPr>
          <w:rFonts w:hint="eastAsia" w:ascii="宋体" w:hAnsi="宋体" w:cs="宋体"/>
          <w:color w:val="000000"/>
          <w:sz w:val="30"/>
          <w:szCs w:val="32"/>
          <w:highlight w:val="none"/>
        </w:rPr>
        <w:t>③</w:t>
      </w:r>
      <w:r>
        <w:rPr>
          <w:rFonts w:ascii="Times New Roman" w:hAnsi="Times New Roman" w:eastAsia="仿宋_GB2312"/>
          <w:color w:val="000000"/>
          <w:sz w:val="30"/>
          <w:szCs w:val="32"/>
          <w:highlight w:val="none"/>
        </w:rPr>
        <w:t>承包人在已标价工程量清单或预算书中载明的材料单价等于基准单价的：专用合同条款合同履行期间材料单价涨跌幅以基准单价为基础超过±</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%时，其超过部分据实调整。</w:t>
      </w:r>
    </w:p>
    <w:p>
      <w:pPr>
        <w:spacing w:line="360" w:lineRule="auto"/>
        <w:ind w:firstLine="645"/>
        <w:jc w:val="left"/>
        <w:rPr>
          <w:rFonts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第3种方式：其他价格调整方式：</w:t>
      </w:r>
      <w:r>
        <w:rPr>
          <w:rFonts w:ascii="Times New Roman" w:hAnsi="Times New Roman" w:eastAsia="仿宋_GB2312"/>
          <w:color w:val="000000"/>
          <w:sz w:val="30"/>
          <w:szCs w:val="32"/>
          <w:highlight w:val="none"/>
          <w:u w:val="single"/>
        </w:rPr>
        <w:t xml:space="preserve">                        </w:t>
      </w:r>
    </w:p>
    <w:p>
      <w:pPr>
        <w:spacing w:line="360" w:lineRule="auto"/>
        <w:jc w:val="left"/>
        <w:rPr>
          <w:rFonts w:ascii="Times New Roman" w:hAnsi="Times New Roman" w:eastAsia="仿宋_GB2312"/>
          <w:color w:val="000000"/>
          <w:sz w:val="30"/>
          <w:szCs w:val="32"/>
          <w:highlight w:val="none"/>
        </w:rPr>
      </w:pP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bookmarkEnd w:id="1296"/>
    <w:bookmarkEnd w:id="1297"/>
    <w:bookmarkEnd w:id="1298"/>
    <w:bookmarkEnd w:id="1299"/>
    <w:bookmarkEnd w:id="1300"/>
    <w:bookmarkEnd w:id="1301"/>
    <w:p>
      <w:pPr>
        <w:pStyle w:val="5"/>
        <w:spacing w:before="120" w:after="120" w:line="360" w:lineRule="auto"/>
        <w:rPr>
          <w:rFonts w:ascii="Times New Roman" w:hAnsi="Times New Roman" w:eastAsia="黑体"/>
          <w:b w:val="0"/>
          <w:color w:val="000000"/>
          <w:sz w:val="32"/>
          <w:szCs w:val="32"/>
          <w:highlight w:val="none"/>
        </w:rPr>
      </w:pPr>
      <w:bookmarkStart w:id="1418" w:name="_Toc297048391"/>
      <w:bookmarkStart w:id="1419" w:name="_Toc297120505"/>
      <w:bookmarkStart w:id="1420" w:name="_Toc296891033"/>
      <w:bookmarkStart w:id="1421" w:name="_Toc296944544"/>
      <w:bookmarkStart w:id="1422" w:name="_Toc292559410"/>
      <w:bookmarkStart w:id="1423" w:name="_Toc296891245"/>
      <w:bookmarkStart w:id="1424" w:name="_Toc296503205"/>
      <w:bookmarkStart w:id="1425" w:name="_Toc296347204"/>
      <w:bookmarkStart w:id="1426" w:name="_Toc296346706"/>
      <w:bookmarkStart w:id="1427" w:name="_Toc292559915"/>
      <w:bookmarkStart w:id="1428" w:name="_Toc6881"/>
      <w:bookmarkStart w:id="1429" w:name="_Toc1515"/>
      <w:bookmarkStart w:id="1430" w:name="_Toc303539159"/>
      <w:bookmarkStart w:id="1431" w:name="_Toc297123552"/>
      <w:bookmarkStart w:id="1432" w:name="_Toc304295579"/>
      <w:bookmarkStart w:id="1433" w:name="_Toc312678040"/>
      <w:bookmarkStart w:id="1434" w:name="_Toc297216211"/>
      <w:bookmarkStart w:id="1435" w:name="_Toc300935002"/>
      <w:r>
        <w:rPr>
          <w:rFonts w:ascii="Times New Roman" w:hAnsi="Times New Roman" w:eastAsia="黑体"/>
          <w:b w:val="0"/>
          <w:color w:val="000000"/>
          <w:sz w:val="32"/>
          <w:szCs w:val="32"/>
          <w:highlight w:val="none"/>
        </w:rPr>
        <w:t xml:space="preserve">12. </w:t>
      </w:r>
      <w:bookmarkEnd w:id="1418"/>
      <w:bookmarkEnd w:id="1419"/>
      <w:bookmarkEnd w:id="1420"/>
      <w:bookmarkEnd w:id="1421"/>
      <w:bookmarkEnd w:id="1422"/>
      <w:bookmarkEnd w:id="1423"/>
      <w:bookmarkEnd w:id="1424"/>
      <w:bookmarkEnd w:id="1425"/>
      <w:bookmarkEnd w:id="1426"/>
      <w:bookmarkEnd w:id="1427"/>
      <w:r>
        <w:rPr>
          <w:rFonts w:ascii="Times New Roman" w:hAnsi="Times New Roman" w:eastAsia="黑体"/>
          <w:b w:val="0"/>
          <w:color w:val="000000"/>
          <w:sz w:val="32"/>
          <w:szCs w:val="32"/>
          <w:highlight w:val="none"/>
        </w:rPr>
        <w:t>合同价格、计量与支付</w:t>
      </w:r>
      <w:bookmarkEnd w:id="1428"/>
      <w:bookmarkEnd w:id="1429"/>
    </w:p>
    <w:bookmarkEnd w:id="1430"/>
    <w:bookmarkEnd w:id="1431"/>
    <w:bookmarkEnd w:id="1432"/>
    <w:bookmarkEnd w:id="1433"/>
    <w:bookmarkEnd w:id="1434"/>
    <w:bookmarkEnd w:id="1435"/>
    <w:p>
      <w:pPr>
        <w:spacing w:after="120" w:line="360" w:lineRule="auto"/>
        <w:ind w:firstLine="600" w:firstLineChars="200"/>
        <w:rPr>
          <w:rFonts w:ascii="Times New Roman" w:hAnsi="Times New Roman" w:eastAsia="黑体"/>
          <w:color w:val="000000"/>
          <w:sz w:val="30"/>
          <w:szCs w:val="32"/>
          <w:highlight w:val="none"/>
        </w:rPr>
      </w:pPr>
      <w:bookmarkStart w:id="1436" w:name="_Toc267251461"/>
      <w:bookmarkStart w:id="1437" w:name="_Toc292559411"/>
      <w:bookmarkStart w:id="1438" w:name="_Toc292559916"/>
      <w:bookmarkStart w:id="1439" w:name="_Toc296891034"/>
      <w:bookmarkStart w:id="1440" w:name="_Toc296891246"/>
      <w:bookmarkStart w:id="1441" w:name="_Toc296346707"/>
      <w:bookmarkStart w:id="1442" w:name="_Toc297120506"/>
      <w:bookmarkStart w:id="1443" w:name="_Toc296347205"/>
      <w:bookmarkStart w:id="1444" w:name="_Toc296503206"/>
      <w:bookmarkStart w:id="1445" w:name="_Toc297048392"/>
      <w:bookmarkStart w:id="1446" w:name="_Toc296944545"/>
      <w:bookmarkStart w:id="1447" w:name="_Toc303539160"/>
      <w:bookmarkStart w:id="1448" w:name="_Toc304295580"/>
      <w:bookmarkStart w:id="1449" w:name="_Toc300935003"/>
      <w:bookmarkStart w:id="1450" w:name="_Toc312678041"/>
      <w:bookmarkStart w:id="1451" w:name="_Toc297216212"/>
      <w:bookmarkStart w:id="1452" w:name="_Toc297123553"/>
      <w:r>
        <w:rPr>
          <w:rFonts w:ascii="Times New Roman" w:hAnsi="Times New Roman" w:eastAsia="黑体"/>
          <w:color w:val="000000"/>
          <w:sz w:val="30"/>
          <w:szCs w:val="32"/>
          <w:highlight w:val="none"/>
        </w:rPr>
        <w:t>12.1 合</w:t>
      </w:r>
      <w:bookmarkEnd w:id="1436"/>
      <w:bookmarkEnd w:id="1437"/>
      <w:bookmarkEnd w:id="1438"/>
      <w:r>
        <w:rPr>
          <w:rFonts w:ascii="Times New Roman" w:hAnsi="Times New Roman" w:eastAsia="黑体"/>
          <w:color w:val="000000"/>
          <w:sz w:val="30"/>
          <w:szCs w:val="32"/>
          <w:highlight w:val="none"/>
        </w:rPr>
        <w:t>同价</w:t>
      </w:r>
      <w:bookmarkEnd w:id="1439"/>
      <w:bookmarkEnd w:id="1440"/>
      <w:bookmarkEnd w:id="1441"/>
      <w:bookmarkEnd w:id="1442"/>
      <w:bookmarkEnd w:id="1443"/>
      <w:bookmarkEnd w:id="1444"/>
      <w:bookmarkEnd w:id="1445"/>
      <w:bookmarkEnd w:id="1446"/>
      <w:r>
        <w:rPr>
          <w:rFonts w:ascii="Times New Roman" w:hAnsi="Times New Roman" w:eastAsia="黑体"/>
          <w:color w:val="000000"/>
          <w:sz w:val="30"/>
          <w:szCs w:val="32"/>
          <w:highlight w:val="none"/>
        </w:rPr>
        <w:t>格形式</w:t>
      </w:r>
    </w:p>
    <w:bookmarkEnd w:id="1447"/>
    <w:bookmarkEnd w:id="1448"/>
    <w:bookmarkEnd w:id="1449"/>
    <w:bookmarkEnd w:id="1450"/>
    <w:bookmarkEnd w:id="1451"/>
    <w:bookmarkEnd w:id="1452"/>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1、单价合同。</w:t>
      </w:r>
    </w:p>
    <w:p>
      <w:pPr>
        <w:spacing w:line="360" w:lineRule="auto"/>
        <w:ind w:firstLine="600" w:firstLineChars="200"/>
        <w:jc w:val="left"/>
        <w:rPr>
          <w:rFonts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综合单价包含的风险范围：</w:t>
      </w:r>
      <w:r>
        <w:rPr>
          <w:rFonts w:ascii="Times New Roman" w:hAnsi="Times New Roman" w:eastAsia="仿宋_GB2312"/>
          <w:color w:val="000000"/>
          <w:sz w:val="30"/>
          <w:szCs w:val="32"/>
          <w:highlight w:val="none"/>
          <w:u w:val="single"/>
        </w:rPr>
        <w:t xml:space="preserve">                               </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风险费用的计算方法：</w:t>
      </w:r>
      <w:r>
        <w:rPr>
          <w:rFonts w:ascii="Times New Roman" w:hAnsi="Times New Roman" w:eastAsia="仿宋_GB2312"/>
          <w:color w:val="000000"/>
          <w:sz w:val="30"/>
          <w:szCs w:val="32"/>
          <w:highlight w:val="none"/>
          <w:u w:val="single"/>
        </w:rPr>
        <w:t xml:space="preserve">                                  </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风险范围以外合同价格的调整方法：</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 xml:space="preserve">       </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2、总价合同。</w:t>
      </w:r>
    </w:p>
    <w:p>
      <w:pPr>
        <w:spacing w:line="360" w:lineRule="auto"/>
        <w:ind w:firstLine="600" w:firstLineChars="200"/>
        <w:jc w:val="left"/>
        <w:rPr>
          <w:rFonts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总价包含的风险范围：</w:t>
      </w:r>
      <w:r>
        <w:rPr>
          <w:rFonts w:ascii="Times New Roman" w:hAnsi="Times New Roman" w:eastAsia="仿宋_GB2312"/>
          <w:color w:val="000000"/>
          <w:sz w:val="30"/>
          <w:szCs w:val="32"/>
          <w:highlight w:val="none"/>
          <w:u w:val="single"/>
        </w:rPr>
        <w:t xml:space="preserve">                                   </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风险费用的计算方法：</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p>
    <w:p>
      <w:pPr>
        <w:spacing w:line="360" w:lineRule="auto"/>
        <w:jc w:val="left"/>
        <w:rPr>
          <w:rFonts w:hint="eastAsia"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风险范围以外合同价格的调整方法：</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 xml:space="preserve">        </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3、其他价格方式：</w:t>
      </w:r>
      <w:r>
        <w:rPr>
          <w:rFonts w:ascii="Times New Roman" w:hAnsi="Times New Roman" w:eastAsia="仿宋_GB2312"/>
          <w:color w:val="000000"/>
          <w:sz w:val="30"/>
          <w:szCs w:val="32"/>
          <w:highlight w:val="none"/>
          <w:u w:val="single"/>
        </w:rPr>
        <w:t xml:space="preserve">                                     </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after="120" w:line="360" w:lineRule="auto"/>
        <w:ind w:firstLine="600" w:firstLineChars="200"/>
        <w:rPr>
          <w:rFonts w:ascii="Times New Roman" w:hAnsi="Times New Roman" w:eastAsia="黑体"/>
          <w:color w:val="000000"/>
          <w:sz w:val="30"/>
          <w:szCs w:val="32"/>
          <w:highlight w:val="none"/>
        </w:rPr>
      </w:pPr>
      <w:bookmarkStart w:id="1453" w:name="_Toc297123554"/>
      <w:bookmarkStart w:id="1454" w:name="_Toc304295581"/>
      <w:bookmarkStart w:id="1455" w:name="_Toc300935004"/>
      <w:bookmarkStart w:id="1456" w:name="_Toc303539161"/>
      <w:bookmarkStart w:id="1457" w:name="_Toc297216213"/>
      <w:bookmarkStart w:id="1458" w:name="_Toc312678042"/>
      <w:bookmarkStart w:id="1459" w:name="_Toc292559917"/>
      <w:bookmarkStart w:id="1460" w:name="_Toc297048393"/>
      <w:bookmarkStart w:id="1461" w:name="_Toc296347206"/>
      <w:bookmarkStart w:id="1462" w:name="_Toc296503207"/>
      <w:bookmarkStart w:id="1463" w:name="_Toc297120507"/>
      <w:bookmarkStart w:id="1464" w:name="_Toc296891247"/>
      <w:bookmarkStart w:id="1465" w:name="_Toc296891035"/>
      <w:bookmarkStart w:id="1466" w:name="_Toc296346708"/>
      <w:bookmarkStart w:id="1467" w:name="_Toc296944546"/>
      <w:bookmarkStart w:id="1468" w:name="_Toc292559412"/>
      <w:r>
        <w:rPr>
          <w:rFonts w:ascii="Times New Roman" w:hAnsi="Times New Roman" w:eastAsia="黑体"/>
          <w:color w:val="000000"/>
          <w:sz w:val="30"/>
          <w:szCs w:val="32"/>
          <w:highlight w:val="none"/>
        </w:rPr>
        <w:t>12.2 预付款</w:t>
      </w:r>
    </w:p>
    <w:bookmarkEnd w:id="1453"/>
    <w:bookmarkEnd w:id="1454"/>
    <w:bookmarkEnd w:id="1455"/>
    <w:bookmarkEnd w:id="1456"/>
    <w:bookmarkEnd w:id="1457"/>
    <w:bookmarkEnd w:id="1458"/>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12.2.1 预付款的支付</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预付款支付比例或金额：</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预付款支付期限：</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预付款扣回的方式：</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12.2.2 预付款担保</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承包人提交预付款担保的期限：</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预付款担保的形式为：</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bookmarkEnd w:id="1459"/>
    <w:bookmarkEnd w:id="1460"/>
    <w:bookmarkEnd w:id="1461"/>
    <w:bookmarkEnd w:id="1462"/>
    <w:bookmarkEnd w:id="1463"/>
    <w:bookmarkEnd w:id="1464"/>
    <w:bookmarkEnd w:id="1465"/>
    <w:bookmarkEnd w:id="1466"/>
    <w:bookmarkEnd w:id="1467"/>
    <w:bookmarkEnd w:id="1468"/>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12.3 计量</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12.3.1 计量原则</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工程量计算规则：</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12.3.2 计量周期</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关于计量周期的约定：</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12.3.3 单价合同的计量</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关于单价合同计量的约定：</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12.3.4 总价合同的计量</w:t>
      </w:r>
    </w:p>
    <w:p>
      <w:pPr>
        <w:spacing w:line="360" w:lineRule="auto"/>
        <w:ind w:firstLine="600" w:firstLineChars="200"/>
        <w:jc w:val="left"/>
        <w:rPr>
          <w:rFonts w:hint="eastAsia"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关于总价合同计量的约定：</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12.3.5总价合同采用支付分解表计量支付的，是否适用第</w:t>
      </w:r>
      <w:r>
        <w:rPr>
          <w:rFonts w:ascii="Times New Roman" w:hAnsi="Times New Roman" w:eastAsia="仿宋_GB2312"/>
          <w:color w:val="000000"/>
          <w:kern w:val="0"/>
          <w:sz w:val="30"/>
          <w:szCs w:val="32"/>
          <w:highlight w:val="none"/>
        </w:rPr>
        <w:t xml:space="preserve">12.3.4 </w:t>
      </w:r>
      <w:r>
        <w:rPr>
          <w:rFonts w:ascii="Times New Roman" w:hAnsi="Times New Roman" w:eastAsia="仿宋_GB2312"/>
          <w:color w:val="000000"/>
          <w:sz w:val="30"/>
          <w:szCs w:val="32"/>
          <w:highlight w:val="none"/>
        </w:rPr>
        <w:t>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总价合同的计量</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sz w:val="30"/>
          <w:szCs w:val="32"/>
          <w:highlight w:val="none"/>
        </w:rPr>
        <w:t>约定</w:t>
      </w:r>
      <w:r>
        <w:rPr>
          <w:rFonts w:hint="eastAsia" w:ascii="Times New Roman" w:hAnsi="Times New Roman" w:eastAsia="仿宋_GB2312"/>
          <w:color w:val="000000"/>
          <w:sz w:val="30"/>
          <w:szCs w:val="32"/>
          <w:highlight w:val="none"/>
        </w:rPr>
        <w:t>进行计量：</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12.3.6 其他价格形式合同的计量</w:t>
      </w:r>
    </w:p>
    <w:p>
      <w:pPr>
        <w:spacing w:line="360" w:lineRule="auto"/>
        <w:ind w:firstLine="600" w:firstLineChars="200"/>
        <w:jc w:val="left"/>
        <w:rPr>
          <w:rFonts w:hint="eastAsia"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其他价格形式的计量方式和程序：</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12.4 工程进度款支付</w:t>
      </w:r>
    </w:p>
    <w:p>
      <w:pPr>
        <w:spacing w:line="360" w:lineRule="auto"/>
        <w:ind w:firstLine="600" w:firstLineChars="200"/>
        <w:jc w:val="left"/>
        <w:rPr>
          <w:rFonts w:ascii="Times New Roman" w:hAnsi="Times New Roman" w:eastAsia="仿宋_GB2312"/>
          <w:color w:val="000000"/>
          <w:sz w:val="30"/>
          <w:szCs w:val="32"/>
          <w:highlight w:val="none"/>
        </w:rPr>
      </w:pPr>
      <w:bookmarkStart w:id="1469" w:name="_Toc296944550"/>
      <w:bookmarkStart w:id="1470" w:name="_Toc297123556"/>
      <w:bookmarkStart w:id="1471" w:name="_Toc296347210"/>
      <w:bookmarkStart w:id="1472" w:name="_Toc297048397"/>
      <w:bookmarkStart w:id="1473" w:name="_Toc303539163"/>
      <w:bookmarkStart w:id="1474" w:name="_Toc296891039"/>
      <w:bookmarkStart w:id="1475" w:name="_Toc300935006"/>
      <w:bookmarkStart w:id="1476" w:name="_Toc296503211"/>
      <w:bookmarkStart w:id="1477" w:name="_Toc292559416"/>
      <w:bookmarkStart w:id="1478" w:name="_Toc297120511"/>
      <w:bookmarkStart w:id="1479" w:name="_Toc297216215"/>
      <w:bookmarkStart w:id="1480" w:name="_Toc296346712"/>
      <w:bookmarkStart w:id="1481" w:name="_Toc296891251"/>
      <w:bookmarkStart w:id="1482" w:name="_Toc292559921"/>
      <w:r>
        <w:rPr>
          <w:rFonts w:ascii="Times New Roman" w:hAnsi="Times New Roman" w:eastAsia="仿宋_GB2312"/>
          <w:color w:val="000000"/>
          <w:sz w:val="30"/>
          <w:szCs w:val="32"/>
          <w:highlight w:val="none"/>
        </w:rPr>
        <w:t>12.4.1 付款周期</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关于付款周期的约定：</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12.4.2 进度付款申请单的编制</w:t>
      </w:r>
    </w:p>
    <w:p>
      <w:pPr>
        <w:spacing w:line="360" w:lineRule="auto"/>
        <w:ind w:firstLine="600" w:firstLineChars="200"/>
        <w:jc w:val="left"/>
        <w:rPr>
          <w:rFonts w:hint="eastAsia"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关于进度付款申请单编制的约定：</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r>
        <w:rPr>
          <w:rFonts w:ascii="Times New Roman" w:hAnsi="Times New Roman" w:eastAsia="仿宋_GB2312"/>
          <w:color w:val="000000"/>
          <w:sz w:val="30"/>
          <w:szCs w:val="32"/>
          <w:highlight w:val="none"/>
        </w:rPr>
        <w:t>2.4.3 进度付款申请单的提交</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（1）单价合同进度付款申请单提交的约定</w:t>
      </w:r>
      <w:r>
        <w:rPr>
          <w:rFonts w:hint="eastAsia" w:ascii="Times New Roman" w:hAnsi="Times New Roman" w:eastAsia="仿宋_GB2312"/>
          <w:color w:val="000000"/>
          <w:sz w:val="30"/>
          <w:szCs w:val="32"/>
          <w:highlight w:val="none"/>
        </w:rPr>
        <w:t>：</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（2）总价合同进度付款申请单提交的约定</w:t>
      </w:r>
      <w:r>
        <w:rPr>
          <w:rFonts w:hint="eastAsia" w:ascii="Times New Roman" w:hAnsi="Times New Roman" w:eastAsia="仿宋_GB2312"/>
          <w:color w:val="000000"/>
          <w:sz w:val="30"/>
          <w:szCs w:val="32"/>
          <w:highlight w:val="none"/>
        </w:rPr>
        <w:t>：</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（3）其他价格形式合同进度付款申请单提交的约定：</w:t>
      </w:r>
      <w:r>
        <w:rPr>
          <w:rFonts w:ascii="Times New Roman" w:hAnsi="Times New Roman" w:eastAsia="仿宋_GB2312"/>
          <w:color w:val="000000"/>
          <w:sz w:val="30"/>
          <w:szCs w:val="32"/>
          <w:highlight w:val="none"/>
          <w:u w:val="single"/>
        </w:rPr>
        <w:t xml:space="preserve">       </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12.4.4 进度款审核和支付</w:t>
      </w:r>
    </w:p>
    <w:p>
      <w:pPr>
        <w:spacing w:line="360" w:lineRule="auto"/>
        <w:ind w:firstLine="600" w:firstLineChars="200"/>
        <w:jc w:val="left"/>
        <w:rPr>
          <w:rFonts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（1）监理人审查并报送发包人的期限：</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hint="eastAsia"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发包人完成审批并签发进度款支付证书的期限：</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（2）发包人支付进度款的期限：</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750" w:firstLineChars="250"/>
        <w:jc w:val="left"/>
        <w:rPr>
          <w:rFonts w:hint="eastAsia"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发包人逾期支付进度款的违约金的计算方式：</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p>
    <w:p>
      <w:pPr>
        <w:spacing w:line="360" w:lineRule="auto"/>
        <w:jc w:val="left"/>
        <w:rPr>
          <w:rFonts w:hint="eastAsia"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750" w:firstLineChars="250"/>
        <w:jc w:val="left"/>
        <w:rPr>
          <w:rFonts w:hint="eastAsia"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12.4.6 支付分解表的编制</w:t>
      </w:r>
    </w:p>
    <w:p>
      <w:pPr>
        <w:spacing w:line="360" w:lineRule="auto"/>
        <w:ind w:firstLine="600" w:firstLineChars="200"/>
        <w:jc w:val="left"/>
        <w:rPr>
          <w:rFonts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2、总价合同支付分解表的编制与审批：</w:t>
      </w:r>
      <w:r>
        <w:rPr>
          <w:rFonts w:ascii="Times New Roman" w:hAnsi="Times New Roman" w:eastAsia="仿宋_GB2312"/>
          <w:color w:val="000000"/>
          <w:sz w:val="30"/>
          <w:szCs w:val="32"/>
          <w:highlight w:val="none"/>
          <w:u w:val="single"/>
        </w:rPr>
        <w:t xml:space="preserve">                  </w:t>
      </w:r>
    </w:p>
    <w:p>
      <w:pPr>
        <w:spacing w:line="360" w:lineRule="auto"/>
        <w:ind w:left="6000" w:hanging="6000" w:hangingChars="20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3、单价合同的总价项目支付分解表的编制与审批：</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 xml:space="preserve">   </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bookmarkEnd w:id="1302"/>
    <w:p>
      <w:pPr>
        <w:pStyle w:val="5"/>
        <w:spacing w:before="120" w:after="120" w:line="360" w:lineRule="auto"/>
        <w:rPr>
          <w:rFonts w:ascii="Times New Roman" w:hAnsi="Times New Roman" w:eastAsia="黑体"/>
          <w:b w:val="0"/>
          <w:color w:val="000000"/>
          <w:sz w:val="32"/>
          <w:szCs w:val="32"/>
          <w:highlight w:val="none"/>
        </w:rPr>
      </w:pPr>
      <w:bookmarkStart w:id="1483" w:name="_Toc21606"/>
      <w:bookmarkStart w:id="1484" w:name="_Toc22061"/>
      <w:bookmarkStart w:id="1485" w:name="_Toc296891259"/>
      <w:bookmarkStart w:id="1486" w:name="_Toc312678053"/>
      <w:bookmarkStart w:id="1487" w:name="_Toc296891047"/>
      <w:bookmarkStart w:id="1488" w:name="_Toc297216223"/>
      <w:bookmarkStart w:id="1489" w:name="_Toc292559929"/>
      <w:bookmarkStart w:id="1490" w:name="_Toc297048405"/>
      <w:bookmarkStart w:id="1491" w:name="_Toc292559424"/>
      <w:bookmarkStart w:id="1492" w:name="_Toc303539172"/>
      <w:bookmarkStart w:id="1493" w:name="_Toc296346720"/>
      <w:bookmarkStart w:id="1494" w:name="_Toc297123564"/>
      <w:bookmarkStart w:id="1495" w:name="_Toc304295593"/>
      <w:bookmarkStart w:id="1496" w:name="_Toc296944558"/>
      <w:bookmarkStart w:id="1497" w:name="_Toc296503219"/>
      <w:bookmarkStart w:id="1498" w:name="_Toc300935015"/>
      <w:bookmarkStart w:id="1499" w:name="_Toc297120519"/>
      <w:bookmarkStart w:id="1500" w:name="_Toc296347218"/>
      <w:r>
        <w:rPr>
          <w:rFonts w:ascii="Times New Roman" w:hAnsi="Times New Roman" w:eastAsia="黑体"/>
          <w:b w:val="0"/>
          <w:color w:val="000000"/>
          <w:sz w:val="32"/>
          <w:szCs w:val="32"/>
          <w:highlight w:val="none"/>
        </w:rPr>
        <w:t>13.</w:t>
      </w:r>
      <w:r>
        <w:rPr>
          <w:rFonts w:hint="eastAsia" w:ascii="Times New Roman" w:hAnsi="Times New Roman" w:eastAsia="黑体"/>
          <w:b w:val="0"/>
          <w:color w:val="000000"/>
          <w:sz w:val="32"/>
          <w:szCs w:val="32"/>
          <w:highlight w:val="none"/>
        </w:rPr>
        <w:t xml:space="preserve"> </w:t>
      </w:r>
      <w:r>
        <w:rPr>
          <w:rFonts w:ascii="Times New Roman" w:hAnsi="Times New Roman" w:eastAsia="黑体"/>
          <w:b w:val="0"/>
          <w:color w:val="000000"/>
          <w:sz w:val="32"/>
          <w:szCs w:val="32"/>
          <w:highlight w:val="none"/>
        </w:rPr>
        <w:t>验收和工程试车</w:t>
      </w:r>
      <w:bookmarkEnd w:id="1483"/>
      <w:bookmarkEnd w:id="1484"/>
    </w:p>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13.1 分部分项工程验收</w:t>
      </w:r>
    </w:p>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13.1.2监理人不能按时进行验收时，应提前</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小时提交书面延期要求。</w:t>
      </w:r>
    </w:p>
    <w:p>
      <w:pPr>
        <w:spacing w:line="360" w:lineRule="auto"/>
        <w:ind w:firstLine="600" w:firstLineChars="200"/>
        <w:jc w:val="left"/>
        <w:rPr>
          <w:rFonts w:ascii="Times New Roman" w:hAnsi="Times New Roman" w:eastAsia="仿宋_GB2312"/>
          <w:b/>
          <w:color w:val="000000"/>
          <w:sz w:val="30"/>
          <w:szCs w:val="32"/>
          <w:highlight w:val="none"/>
        </w:rPr>
      </w:pPr>
      <w:r>
        <w:rPr>
          <w:rFonts w:ascii="Times New Roman" w:hAnsi="Times New Roman" w:eastAsia="仿宋_GB2312"/>
          <w:sz w:val="30"/>
          <w:szCs w:val="32"/>
          <w:highlight w:val="none"/>
        </w:rPr>
        <w:t>关于延期最长不得超过：</w:t>
      </w:r>
      <w:r>
        <w:rPr>
          <w:rFonts w:ascii="Times New Roman" w:hAnsi="Times New Roman" w:eastAsia="仿宋_GB2312"/>
          <w:sz w:val="30"/>
          <w:szCs w:val="32"/>
          <w:highlight w:val="none"/>
          <w:u w:val="single"/>
        </w:rPr>
        <w:t xml:space="preserve">         </w:t>
      </w:r>
      <w:r>
        <w:rPr>
          <w:rFonts w:ascii="Times New Roman" w:hAnsi="Times New Roman" w:eastAsia="仿宋_GB2312"/>
          <w:sz w:val="30"/>
          <w:szCs w:val="32"/>
          <w:highlight w:val="none"/>
        </w:rPr>
        <w:t>小时。</w:t>
      </w:r>
    </w:p>
    <w:p>
      <w:pPr>
        <w:spacing w:after="120" w:line="360" w:lineRule="auto"/>
        <w:ind w:firstLine="600" w:firstLineChars="200"/>
        <w:rPr>
          <w:rFonts w:ascii="Times New Roman" w:hAnsi="Times New Roman" w:eastAsia="黑体"/>
          <w:color w:val="000000"/>
          <w:sz w:val="30"/>
          <w:szCs w:val="32"/>
          <w:highlight w:val="none"/>
        </w:rPr>
      </w:pPr>
      <w:bookmarkStart w:id="1501" w:name="_Toc297048409"/>
      <w:bookmarkStart w:id="1502" w:name="_Toc297216224"/>
      <w:bookmarkStart w:id="1503" w:name="_Toc296891051"/>
      <w:bookmarkStart w:id="1504" w:name="_Toc292559933"/>
      <w:bookmarkStart w:id="1505" w:name="_Toc297120523"/>
      <w:bookmarkStart w:id="1506" w:name="_Toc296944562"/>
      <w:bookmarkStart w:id="1507" w:name="_Toc297123565"/>
      <w:bookmarkStart w:id="1508" w:name="_Toc296347222"/>
      <w:bookmarkStart w:id="1509" w:name="_Toc296503223"/>
      <w:bookmarkStart w:id="1510" w:name="_Toc296891263"/>
      <w:bookmarkStart w:id="1511" w:name="_Toc292559428"/>
      <w:bookmarkStart w:id="1512" w:name="_Toc312678056"/>
      <w:bookmarkStart w:id="1513" w:name="_Toc296346724"/>
      <w:bookmarkStart w:id="1514" w:name="_Toc303539173"/>
      <w:bookmarkStart w:id="1515" w:name="_Toc304295596"/>
      <w:bookmarkStart w:id="1516" w:name="_Toc300935016"/>
      <w:bookmarkStart w:id="1517" w:name="_Toc267251474"/>
      <w:bookmarkStart w:id="1518" w:name="_Toc267251470"/>
      <w:bookmarkStart w:id="1519" w:name="_Toc267251473"/>
      <w:bookmarkStart w:id="1520" w:name="_Toc267251471"/>
      <w:bookmarkStart w:id="1521" w:name="_Toc267251475"/>
      <w:bookmarkStart w:id="1522" w:name="_Toc267251472"/>
      <w:bookmarkStart w:id="1523" w:name="_Toc267251476"/>
      <w:r>
        <w:rPr>
          <w:rFonts w:ascii="Times New Roman" w:hAnsi="Times New Roman" w:eastAsia="黑体"/>
          <w:color w:val="000000"/>
          <w:sz w:val="30"/>
          <w:szCs w:val="32"/>
          <w:highlight w:val="none"/>
        </w:rPr>
        <w:t>13.2 竣工验收</w:t>
      </w:r>
    </w:p>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p>
      <w:pPr>
        <w:spacing w:line="360" w:lineRule="auto"/>
        <w:ind w:firstLine="600" w:firstLineChars="200"/>
        <w:jc w:val="left"/>
        <w:rPr>
          <w:rFonts w:ascii="Times New Roman" w:hAnsi="Times New Roman" w:eastAsia="仿宋_GB2312"/>
          <w:color w:val="000000"/>
          <w:sz w:val="30"/>
          <w:szCs w:val="32"/>
          <w:highlight w:val="none"/>
        </w:rPr>
      </w:pPr>
      <w:bookmarkStart w:id="1524" w:name="_Toc280868704"/>
      <w:bookmarkStart w:id="1525" w:name="_Toc280868705"/>
      <w:bookmarkStart w:id="1526" w:name="_Toc280868706"/>
      <w:bookmarkStart w:id="1527" w:name="_Toc280868707"/>
      <w:bookmarkStart w:id="1528" w:name="_Toc280868708"/>
      <w:bookmarkStart w:id="1529" w:name="_Toc280868709"/>
      <w:r>
        <w:rPr>
          <w:rFonts w:ascii="Times New Roman" w:hAnsi="Times New Roman" w:eastAsia="仿宋_GB2312"/>
          <w:color w:val="000000"/>
          <w:sz w:val="30"/>
          <w:szCs w:val="32"/>
          <w:highlight w:val="none"/>
        </w:rPr>
        <w:t>13.2.2竣工验收程序</w:t>
      </w:r>
    </w:p>
    <w:bookmarkEnd w:id="1524"/>
    <w:p>
      <w:pPr>
        <w:spacing w:line="360" w:lineRule="auto"/>
        <w:ind w:firstLine="600" w:firstLineChars="200"/>
        <w:jc w:val="left"/>
        <w:rPr>
          <w:rFonts w:ascii="Times New Roman" w:hAnsi="Times New Roman" w:eastAsia="仿宋_GB2312"/>
          <w:color w:val="000000"/>
          <w:sz w:val="30"/>
          <w:szCs w:val="32"/>
          <w:highlight w:val="none"/>
          <w:u w:val="single"/>
        </w:rPr>
      </w:pPr>
      <w:r>
        <w:rPr>
          <w:rFonts w:ascii="Times New Roman" w:hAnsi="Times New Roman" w:eastAsia="仿宋_GB2312"/>
          <w:color w:val="000000"/>
          <w:kern w:val="0"/>
          <w:sz w:val="30"/>
          <w:szCs w:val="32"/>
          <w:highlight w:val="none"/>
        </w:rPr>
        <w:t>关于竣工验收程序的约定：</w:t>
      </w:r>
      <w:r>
        <w:rPr>
          <w:rFonts w:ascii="Times New Roman" w:hAnsi="Times New Roman" w:eastAsia="仿宋_GB2312"/>
          <w:color w:val="000000"/>
          <w:sz w:val="30"/>
          <w:szCs w:val="32"/>
          <w:highlight w:val="none"/>
          <w:u w:val="single"/>
        </w:rPr>
        <w:t xml:space="preserve">                              </w:t>
      </w:r>
    </w:p>
    <w:p>
      <w:pPr>
        <w:spacing w:line="360" w:lineRule="auto"/>
        <w:ind w:left="6000" w:hanging="6000" w:hangingChars="20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hint="eastAsia" w:ascii="Times New Roman" w:hAnsi="Times New Roman" w:eastAsia="仿宋_GB2312"/>
          <w:color w:val="000000"/>
          <w:sz w:val="30"/>
          <w:szCs w:val="32"/>
          <w:highlight w:val="none"/>
          <w:u w:val="single"/>
        </w:rPr>
      </w:pPr>
      <w:r>
        <w:rPr>
          <w:rFonts w:ascii="Times New Roman" w:hAnsi="Times New Roman" w:eastAsia="仿宋_GB2312"/>
          <w:color w:val="000000"/>
          <w:kern w:val="0"/>
          <w:sz w:val="30"/>
          <w:szCs w:val="32"/>
          <w:highlight w:val="none"/>
        </w:rPr>
        <w:t>发包人不按照本项约定组织竣工验收、颁发工程接收证书的违约金的计算方法：</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p>
    <w:p>
      <w:pPr>
        <w:spacing w:line="360" w:lineRule="auto"/>
        <w:jc w:val="left"/>
        <w:rPr>
          <w:rFonts w:hint="eastAsia"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bookmarkEnd w:id="1525"/>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13.2.5移交、接收全部与部分工程</w:t>
      </w:r>
    </w:p>
    <w:bookmarkEnd w:id="1526"/>
    <w:p>
      <w:pPr>
        <w:spacing w:line="360" w:lineRule="auto"/>
        <w:ind w:firstLine="600" w:firstLineChars="200"/>
        <w:jc w:val="left"/>
        <w:rPr>
          <w:rFonts w:hint="eastAsia" w:ascii="Times New Roman" w:hAnsi="Times New Roman" w:eastAsia="仿宋_GB2312"/>
          <w:color w:val="000000"/>
          <w:kern w:val="0"/>
          <w:sz w:val="30"/>
          <w:szCs w:val="32"/>
          <w:highlight w:val="none"/>
        </w:rPr>
      </w:pPr>
      <w:r>
        <w:rPr>
          <w:rFonts w:hint="eastAsia" w:ascii="Times New Roman" w:hAnsi="Times New Roman" w:eastAsia="仿宋_GB2312"/>
          <w:color w:val="000000"/>
          <w:kern w:val="0"/>
          <w:sz w:val="30"/>
          <w:szCs w:val="32"/>
          <w:highlight w:val="none"/>
        </w:rPr>
        <w:t>承包人向发包人移交工程的期限：</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u w:val="single"/>
        </w:rPr>
      </w:pPr>
      <w:r>
        <w:rPr>
          <w:rFonts w:ascii="Times New Roman" w:hAnsi="Times New Roman" w:eastAsia="仿宋_GB2312"/>
          <w:color w:val="000000"/>
          <w:kern w:val="0"/>
          <w:sz w:val="30"/>
          <w:szCs w:val="32"/>
          <w:highlight w:val="none"/>
        </w:rPr>
        <w:t>发包人未按本合同约定接收全部或部分工程的，违约金的计算方法为：</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bookmarkEnd w:id="1527"/>
    <w:p>
      <w:pPr>
        <w:spacing w:line="360" w:lineRule="auto"/>
        <w:ind w:firstLine="600" w:firstLineChars="200"/>
        <w:jc w:val="left"/>
        <w:rPr>
          <w:rFonts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承包人未按时移交工程的，违约金的计算方法为：</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13.3 工程试车</w:t>
      </w:r>
    </w:p>
    <w:bookmarkEnd w:id="1528"/>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13.3.1 试车程序</w:t>
      </w:r>
    </w:p>
    <w:p>
      <w:pPr>
        <w:spacing w:line="360" w:lineRule="auto"/>
        <w:ind w:firstLine="600" w:firstLineChars="200"/>
        <w:jc w:val="left"/>
        <w:rPr>
          <w:rFonts w:hint="eastAsia" w:ascii="Times New Roman" w:hAnsi="Times New Roman" w:eastAsia="仿宋_GB2312"/>
          <w:color w:val="000000"/>
          <w:sz w:val="30"/>
          <w:szCs w:val="32"/>
          <w:highlight w:val="none"/>
          <w:u w:val="single"/>
        </w:rPr>
      </w:pPr>
      <w:r>
        <w:rPr>
          <w:rFonts w:ascii="Times New Roman" w:hAnsi="Times New Roman" w:eastAsia="仿宋_GB2312"/>
          <w:color w:val="000000"/>
          <w:kern w:val="0"/>
          <w:sz w:val="30"/>
          <w:szCs w:val="32"/>
          <w:highlight w:val="none"/>
        </w:rPr>
        <w:t>工程试车内容：</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p>
    <w:p>
      <w:pPr>
        <w:spacing w:line="360" w:lineRule="auto"/>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（1）单机无负荷试车费用由</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kern w:val="0"/>
          <w:sz w:val="30"/>
          <w:szCs w:val="32"/>
          <w:highlight w:val="none"/>
        </w:rPr>
        <w:t>承担；</w:t>
      </w:r>
    </w:p>
    <w:p>
      <w:pPr>
        <w:spacing w:line="360" w:lineRule="auto"/>
        <w:ind w:firstLine="600" w:firstLineChars="200"/>
        <w:jc w:val="left"/>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（2）无负荷联动试车费用由</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kern w:val="0"/>
          <w:sz w:val="30"/>
          <w:szCs w:val="32"/>
          <w:highlight w:val="none"/>
        </w:rPr>
        <w:t>承担。</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13.3.3 投料试车</w:t>
      </w:r>
    </w:p>
    <w:p>
      <w:pPr>
        <w:spacing w:line="360" w:lineRule="auto"/>
        <w:ind w:firstLine="600" w:firstLineChars="200"/>
        <w:jc w:val="left"/>
        <w:rPr>
          <w:rFonts w:hint="eastAsia" w:ascii="Times New Roman" w:hAnsi="Times New Roman" w:eastAsia="仿宋_GB2312"/>
          <w:color w:val="000000"/>
          <w:sz w:val="30"/>
          <w:szCs w:val="32"/>
          <w:highlight w:val="none"/>
          <w:u w:val="single"/>
        </w:rPr>
      </w:pPr>
      <w:r>
        <w:rPr>
          <w:rFonts w:hint="eastAsia" w:ascii="Times New Roman" w:hAnsi="Times New Roman" w:eastAsia="仿宋_GB2312"/>
          <w:color w:val="000000"/>
          <w:kern w:val="0"/>
          <w:sz w:val="30"/>
          <w:szCs w:val="32"/>
          <w:highlight w:val="none"/>
        </w:rPr>
        <w:t>关于投料试车相关事项的约定：</w:t>
      </w:r>
      <w:r>
        <w:rPr>
          <w:rFonts w:hint="eastAsia" w:ascii="Times New Roman" w:hAnsi="Times New Roman" w:eastAsia="仿宋_GB2312"/>
          <w:color w:val="000000"/>
          <w:sz w:val="30"/>
          <w:szCs w:val="32"/>
          <w:highlight w:val="none"/>
          <w:u w:val="single"/>
        </w:rPr>
        <w:t xml:space="preserve">                           </w:t>
      </w:r>
    </w:p>
    <w:p>
      <w:pPr>
        <w:spacing w:line="360" w:lineRule="auto"/>
        <w:jc w:val="left"/>
        <w:rPr>
          <w:rFonts w:ascii="Times New Roman" w:hAnsi="Times New Roman" w:eastAsia="仿宋_GB2312"/>
          <w:color w:val="000000"/>
          <w:kern w:val="0"/>
          <w:sz w:val="30"/>
          <w:szCs w:val="32"/>
          <w:highlight w:val="none"/>
        </w:rPr>
      </w:pP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after="120" w:line="360" w:lineRule="auto"/>
        <w:ind w:firstLine="600" w:firstLineChars="200"/>
        <w:outlineLvl w:val="0"/>
        <w:rPr>
          <w:rFonts w:ascii="Times New Roman" w:hAnsi="Times New Roman" w:eastAsia="黑体"/>
          <w:color w:val="000000"/>
          <w:sz w:val="30"/>
          <w:szCs w:val="32"/>
          <w:highlight w:val="none"/>
        </w:rPr>
      </w:pPr>
      <w:bookmarkStart w:id="1530" w:name="_Toc20713"/>
      <w:bookmarkStart w:id="1531" w:name="_Toc25971"/>
      <w:bookmarkStart w:id="1532" w:name="_Toc13096"/>
      <w:bookmarkStart w:id="1533" w:name="_Toc31319"/>
      <w:r>
        <w:rPr>
          <w:rFonts w:ascii="Times New Roman" w:hAnsi="Times New Roman" w:eastAsia="黑体"/>
          <w:color w:val="000000"/>
          <w:sz w:val="30"/>
          <w:szCs w:val="32"/>
          <w:highlight w:val="none"/>
        </w:rPr>
        <w:t>13.6 竣工退场</w:t>
      </w:r>
      <w:bookmarkEnd w:id="1530"/>
      <w:bookmarkEnd w:id="1531"/>
      <w:bookmarkEnd w:id="1532"/>
      <w:bookmarkEnd w:id="1533"/>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13.6.1 竣工退场</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承包人完成竣工退场的期限：</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kern w:val="0"/>
          <w:sz w:val="30"/>
          <w:szCs w:val="32"/>
          <w:highlight w:val="none"/>
        </w:rPr>
        <w:t>。</w:t>
      </w:r>
    </w:p>
    <w:p>
      <w:pPr>
        <w:pStyle w:val="5"/>
        <w:spacing w:before="120" w:after="120" w:line="360" w:lineRule="auto"/>
        <w:rPr>
          <w:rFonts w:ascii="Times New Roman" w:hAnsi="Times New Roman" w:eastAsia="黑体"/>
          <w:b w:val="0"/>
          <w:color w:val="000000"/>
          <w:sz w:val="32"/>
          <w:szCs w:val="32"/>
          <w:highlight w:val="none"/>
        </w:rPr>
      </w:pPr>
      <w:bookmarkStart w:id="1534" w:name="_Toc7524"/>
      <w:bookmarkStart w:id="1535" w:name="_Toc25269"/>
      <w:r>
        <w:rPr>
          <w:rFonts w:ascii="Times New Roman" w:hAnsi="Times New Roman" w:eastAsia="黑体"/>
          <w:b w:val="0"/>
          <w:color w:val="000000"/>
          <w:sz w:val="32"/>
          <w:szCs w:val="32"/>
          <w:highlight w:val="none"/>
        </w:rPr>
        <w:t>14. 竣工结算</w:t>
      </w:r>
      <w:bookmarkEnd w:id="1534"/>
      <w:bookmarkEnd w:id="1535"/>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14.1 竣工</w:t>
      </w:r>
      <w:r>
        <w:rPr>
          <w:rFonts w:hint="eastAsia" w:ascii="Times New Roman" w:hAnsi="Times New Roman" w:eastAsia="黑体"/>
          <w:color w:val="000000"/>
          <w:sz w:val="30"/>
          <w:szCs w:val="32"/>
          <w:highlight w:val="none"/>
        </w:rPr>
        <w:t>结算</w:t>
      </w:r>
      <w:r>
        <w:rPr>
          <w:rFonts w:ascii="Times New Roman" w:hAnsi="Times New Roman" w:eastAsia="黑体"/>
          <w:color w:val="000000"/>
          <w:sz w:val="30"/>
          <w:szCs w:val="32"/>
          <w:highlight w:val="none"/>
        </w:rPr>
        <w:t>申请</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sz w:val="30"/>
          <w:szCs w:val="32"/>
          <w:highlight w:val="none"/>
        </w:rPr>
        <w:t>承包人提交竣工</w:t>
      </w:r>
      <w:r>
        <w:rPr>
          <w:rFonts w:hint="eastAsia" w:ascii="Times New Roman" w:hAnsi="Times New Roman" w:eastAsia="仿宋_GB2312"/>
          <w:sz w:val="30"/>
          <w:szCs w:val="32"/>
          <w:highlight w:val="none"/>
        </w:rPr>
        <w:t>结算</w:t>
      </w:r>
      <w:r>
        <w:rPr>
          <w:rFonts w:ascii="Times New Roman" w:hAnsi="Times New Roman" w:eastAsia="仿宋_GB2312"/>
          <w:sz w:val="30"/>
          <w:szCs w:val="32"/>
          <w:highlight w:val="none"/>
        </w:rPr>
        <w:t>申请单的期限：</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hint="eastAsia"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竣工</w:t>
      </w:r>
      <w:r>
        <w:rPr>
          <w:rFonts w:hint="eastAsia" w:ascii="Times New Roman" w:hAnsi="Times New Roman" w:eastAsia="仿宋_GB2312"/>
          <w:color w:val="000000"/>
          <w:sz w:val="30"/>
          <w:szCs w:val="32"/>
          <w:highlight w:val="none"/>
        </w:rPr>
        <w:t>结算</w:t>
      </w:r>
      <w:r>
        <w:rPr>
          <w:rFonts w:ascii="Times New Roman" w:hAnsi="Times New Roman" w:eastAsia="仿宋_GB2312"/>
          <w:color w:val="000000"/>
          <w:sz w:val="30"/>
          <w:szCs w:val="32"/>
          <w:highlight w:val="none"/>
        </w:rPr>
        <w:t>申请单应包括的内容：</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p>
    <w:p>
      <w:pPr>
        <w:spacing w:line="360" w:lineRule="auto"/>
        <w:jc w:val="left"/>
        <w:rPr>
          <w:rFonts w:ascii="Times New Roman" w:hAnsi="Times New Roman" w:eastAsia="仿宋_GB2312"/>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after="120" w:line="360" w:lineRule="auto"/>
        <w:ind w:firstLine="600" w:firstLineChars="200"/>
        <w:outlineLvl w:val="0"/>
        <w:rPr>
          <w:rFonts w:ascii="Times New Roman" w:hAnsi="Times New Roman" w:eastAsia="黑体"/>
          <w:color w:val="000000"/>
          <w:sz w:val="30"/>
          <w:szCs w:val="32"/>
          <w:highlight w:val="none"/>
        </w:rPr>
      </w:pPr>
      <w:bookmarkStart w:id="1536" w:name="_Toc4570"/>
      <w:bookmarkStart w:id="1537" w:name="_Toc2768"/>
      <w:bookmarkStart w:id="1538" w:name="_Toc22727"/>
      <w:bookmarkStart w:id="1539" w:name="_Toc12278"/>
      <w:r>
        <w:rPr>
          <w:rFonts w:ascii="Times New Roman" w:hAnsi="Times New Roman" w:eastAsia="黑体"/>
          <w:color w:val="000000"/>
          <w:sz w:val="30"/>
          <w:szCs w:val="32"/>
          <w:highlight w:val="none"/>
        </w:rPr>
        <w:t>14.2 竣工结算审核</w:t>
      </w:r>
      <w:bookmarkEnd w:id="1536"/>
      <w:bookmarkEnd w:id="1537"/>
      <w:bookmarkEnd w:id="1538"/>
      <w:bookmarkEnd w:id="1539"/>
    </w:p>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发包人</w:t>
      </w:r>
      <w:r>
        <w:rPr>
          <w:rFonts w:hint="eastAsia" w:ascii="Times New Roman" w:hAnsi="Times New Roman" w:eastAsia="仿宋_GB2312"/>
          <w:sz w:val="30"/>
          <w:szCs w:val="32"/>
          <w:highlight w:val="none"/>
        </w:rPr>
        <w:t>审批</w:t>
      </w:r>
      <w:r>
        <w:rPr>
          <w:rFonts w:ascii="Times New Roman" w:hAnsi="Times New Roman" w:eastAsia="仿宋_GB2312"/>
          <w:sz w:val="30"/>
          <w:szCs w:val="32"/>
          <w:highlight w:val="none"/>
        </w:rPr>
        <w:t>竣工付款申请单的期限：</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hint="eastAsia" w:ascii="Times New Roman" w:hAnsi="Times New Roman" w:eastAsia="仿宋_GB2312"/>
          <w:color w:val="000000"/>
          <w:sz w:val="30"/>
          <w:szCs w:val="32"/>
          <w:highlight w:val="none"/>
        </w:rPr>
      </w:pPr>
      <w:r>
        <w:rPr>
          <w:rFonts w:ascii="Times New Roman" w:hAnsi="Times New Roman" w:eastAsia="仿宋_GB2312"/>
          <w:sz w:val="30"/>
          <w:szCs w:val="32"/>
          <w:highlight w:val="none"/>
        </w:rPr>
        <w:t>发包人完成竣工付款的期限：</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hint="eastAsia" w:ascii="Times New Roman" w:hAnsi="Times New Roman" w:eastAsia="仿宋_GB2312"/>
          <w:color w:val="000000"/>
          <w:sz w:val="30"/>
          <w:szCs w:val="32"/>
          <w:highlight w:val="none"/>
          <w:u w:val="single"/>
        </w:rPr>
      </w:pPr>
      <w:r>
        <w:rPr>
          <w:rFonts w:hint="eastAsia" w:ascii="Times New Roman" w:hAnsi="Times New Roman" w:eastAsia="仿宋_GB2312"/>
          <w:color w:val="000000"/>
          <w:sz w:val="30"/>
          <w:szCs w:val="32"/>
          <w:highlight w:val="none"/>
        </w:rPr>
        <w:t>关于竣工付款证书异议部分复核的方式和程序：</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14.4 最终结清</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14.4.1 最终结清申请单</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承包人提交最终结清申请单的份数：</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color w:val="000000"/>
          <w:kern w:val="0"/>
          <w:sz w:val="30"/>
          <w:szCs w:val="32"/>
          <w:highlight w:val="none"/>
        </w:rPr>
        <w:t>承包人提交最终结算申请单的期限：</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r>
        <w:rPr>
          <w:rFonts w:ascii="Times New Roman" w:hAnsi="Times New Roman" w:eastAsia="仿宋_GB2312"/>
          <w:sz w:val="30"/>
          <w:szCs w:val="32"/>
          <w:highlight w:val="none"/>
        </w:rPr>
        <w:t xml:space="preserve"> </w:t>
      </w:r>
    </w:p>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14.4.2 最终结清证书和支付</w:t>
      </w:r>
    </w:p>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（1）发包人完成最终结清申请单的</w:t>
      </w:r>
      <w:r>
        <w:rPr>
          <w:rFonts w:hint="eastAsia" w:ascii="Times New Roman" w:hAnsi="Times New Roman" w:eastAsia="仿宋_GB2312"/>
          <w:sz w:val="30"/>
          <w:szCs w:val="32"/>
          <w:highlight w:val="none"/>
        </w:rPr>
        <w:t>审批</w:t>
      </w:r>
      <w:r>
        <w:rPr>
          <w:rFonts w:ascii="Times New Roman" w:hAnsi="Times New Roman" w:eastAsia="仿宋_GB2312"/>
          <w:sz w:val="30"/>
          <w:szCs w:val="32"/>
          <w:highlight w:val="none"/>
        </w:rPr>
        <w:t>并颁发最终结清证书的期限：</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sz w:val="30"/>
          <w:szCs w:val="32"/>
          <w:highlight w:val="none"/>
        </w:rPr>
      </w:pPr>
      <w:r>
        <w:rPr>
          <w:rFonts w:ascii="Times New Roman" w:hAnsi="Times New Roman" w:eastAsia="仿宋_GB2312"/>
          <w:sz w:val="30"/>
          <w:szCs w:val="32"/>
          <w:highlight w:val="none"/>
        </w:rPr>
        <w:t>（2）发包人完成支付的期限：</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bookmarkEnd w:id="1517"/>
    <w:bookmarkEnd w:id="1518"/>
    <w:bookmarkEnd w:id="1519"/>
    <w:bookmarkEnd w:id="1520"/>
    <w:bookmarkEnd w:id="1521"/>
    <w:bookmarkEnd w:id="1522"/>
    <w:bookmarkEnd w:id="1523"/>
    <w:bookmarkEnd w:id="1529"/>
    <w:p>
      <w:pPr>
        <w:pStyle w:val="5"/>
        <w:spacing w:before="120" w:after="120" w:line="360" w:lineRule="auto"/>
        <w:rPr>
          <w:rFonts w:ascii="Times New Roman" w:hAnsi="Times New Roman" w:eastAsia="黑体"/>
          <w:b w:val="0"/>
          <w:color w:val="000000"/>
          <w:sz w:val="32"/>
          <w:szCs w:val="32"/>
          <w:highlight w:val="none"/>
        </w:rPr>
      </w:pPr>
      <w:bookmarkStart w:id="1540" w:name="_Toc1768"/>
      <w:bookmarkStart w:id="1541" w:name="_Toc26196"/>
      <w:bookmarkStart w:id="1542" w:name="_Toc267251483"/>
      <w:bookmarkStart w:id="1543" w:name="_Toc267251482"/>
      <w:bookmarkStart w:id="1544" w:name="_Toc267251484"/>
      <w:bookmarkStart w:id="1545" w:name="_Toc267251485"/>
      <w:bookmarkStart w:id="1546" w:name="_Toc267251489"/>
      <w:bookmarkStart w:id="1547" w:name="_Toc267251486"/>
      <w:bookmarkStart w:id="1548" w:name="_Toc267251488"/>
      <w:bookmarkStart w:id="1549" w:name="_Toc267251490"/>
      <w:bookmarkStart w:id="1550" w:name="_Toc267251494"/>
      <w:bookmarkStart w:id="1551" w:name="_Toc267251499"/>
      <w:bookmarkStart w:id="1552" w:name="_Toc267251495"/>
      <w:bookmarkStart w:id="1553" w:name="_Toc267251501"/>
      <w:bookmarkStart w:id="1554" w:name="_Toc267251498"/>
      <w:bookmarkStart w:id="1555" w:name="_Toc267251502"/>
      <w:bookmarkStart w:id="1556" w:name="_Toc267251497"/>
      <w:bookmarkStart w:id="1557" w:name="_Toc267251492"/>
      <w:bookmarkStart w:id="1558" w:name="_Toc267251491"/>
      <w:bookmarkStart w:id="1559" w:name="_Toc267251496"/>
      <w:bookmarkStart w:id="1560" w:name="_Toc267251493"/>
      <w:bookmarkStart w:id="1561" w:name="_Toc267251503"/>
      <w:bookmarkStart w:id="1562" w:name="_Toc267251504"/>
      <w:bookmarkStart w:id="1563" w:name="_Toc267251506"/>
      <w:bookmarkStart w:id="1564" w:name="_Toc267251507"/>
      <w:bookmarkStart w:id="1565" w:name="_Toc267251508"/>
      <w:bookmarkStart w:id="1566" w:name="_Toc267251509"/>
      <w:bookmarkStart w:id="1567" w:name="_Toc267251513"/>
      <w:bookmarkStart w:id="1568" w:name="_Toc267251510"/>
      <w:bookmarkStart w:id="1569" w:name="_Toc267251511"/>
      <w:bookmarkStart w:id="1570" w:name="_Toc267251514"/>
      <w:bookmarkStart w:id="1571" w:name="_Toc267251515"/>
      <w:r>
        <w:rPr>
          <w:rFonts w:ascii="Times New Roman" w:hAnsi="Times New Roman" w:eastAsia="黑体"/>
          <w:b w:val="0"/>
          <w:color w:val="000000"/>
          <w:sz w:val="32"/>
          <w:szCs w:val="32"/>
          <w:highlight w:val="none"/>
        </w:rPr>
        <w:t>15. 缺陷责任期与保修</w:t>
      </w:r>
      <w:bookmarkEnd w:id="1540"/>
      <w:bookmarkEnd w:id="1541"/>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15.2缺陷责任期</w:t>
      </w:r>
      <w:bookmarkEnd w:id="1542"/>
    </w:p>
    <w:p>
      <w:pPr>
        <w:spacing w:line="360" w:lineRule="auto"/>
        <w:ind w:firstLine="600" w:firstLineChars="200"/>
        <w:jc w:val="left"/>
        <w:rPr>
          <w:rFonts w:hint="eastAsia"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缺陷责任期的具体期限：</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after="120" w:line="360" w:lineRule="auto"/>
        <w:ind w:firstLine="600" w:firstLineChars="200"/>
        <w:outlineLvl w:val="0"/>
        <w:rPr>
          <w:rFonts w:ascii="Times New Roman" w:hAnsi="Times New Roman" w:eastAsia="黑体"/>
          <w:color w:val="000000"/>
          <w:sz w:val="30"/>
          <w:szCs w:val="32"/>
          <w:highlight w:val="none"/>
        </w:rPr>
      </w:pPr>
      <w:bookmarkStart w:id="1572" w:name="_Toc20363"/>
      <w:bookmarkStart w:id="1573" w:name="_Toc11418"/>
      <w:bookmarkStart w:id="1574" w:name="_Toc10227"/>
      <w:bookmarkStart w:id="1575" w:name="_Toc5450"/>
      <w:r>
        <w:rPr>
          <w:rFonts w:ascii="Times New Roman" w:hAnsi="Times New Roman" w:eastAsia="黑体"/>
          <w:color w:val="000000"/>
          <w:sz w:val="30"/>
          <w:szCs w:val="32"/>
          <w:highlight w:val="none"/>
        </w:rPr>
        <w:t>15.3 质量保证金</w:t>
      </w:r>
      <w:bookmarkEnd w:id="1572"/>
      <w:bookmarkEnd w:id="1573"/>
      <w:bookmarkEnd w:id="1574"/>
      <w:bookmarkEnd w:id="1575"/>
    </w:p>
    <w:p>
      <w:pPr>
        <w:spacing w:line="360" w:lineRule="auto"/>
        <w:ind w:firstLine="600" w:firstLineChars="200"/>
        <w:jc w:val="left"/>
        <w:rPr>
          <w:rFonts w:eastAsia="仿宋_GB2312"/>
          <w:color w:val="000000"/>
          <w:sz w:val="30"/>
          <w:szCs w:val="32"/>
          <w:highlight w:val="none"/>
        </w:rPr>
      </w:pPr>
      <w:r>
        <w:rPr>
          <w:rFonts w:hint="eastAsia" w:ascii="Times New Roman" w:hAnsi="Times New Roman" w:eastAsia="仿宋_GB2312"/>
          <w:color w:val="000000"/>
          <w:sz w:val="30"/>
          <w:szCs w:val="32"/>
          <w:highlight w:val="none"/>
        </w:rPr>
        <w:t>关于是否扣留质量保证金的约定：</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r>
        <w:rPr>
          <w:rFonts w:hint="eastAsia" w:eastAsia="仿宋_GB2312"/>
          <w:color w:val="000000"/>
          <w:sz w:val="30"/>
          <w:szCs w:val="32"/>
          <w:highlight w:val="none"/>
        </w:rPr>
        <w:t>在工程项目竣工前，承包人按专用合同条款第3.7条提供履约担保的，发包人不得同时预留工程质量保证金。</w:t>
      </w:r>
    </w:p>
    <w:p>
      <w:pPr>
        <w:spacing w:line="360" w:lineRule="auto"/>
        <w:ind w:firstLine="600" w:firstLineChars="200"/>
        <w:jc w:val="left"/>
        <w:rPr>
          <w:rFonts w:hint="eastAsia" w:ascii="Times New Roman" w:hAnsi="Times New Roman" w:eastAsia="仿宋_GB2312"/>
          <w:color w:val="000000"/>
          <w:sz w:val="30"/>
          <w:szCs w:val="32"/>
          <w:highlight w:val="none"/>
        </w:rPr>
      </w:pPr>
    </w:p>
    <w:p>
      <w:pPr>
        <w:spacing w:line="360" w:lineRule="auto"/>
        <w:ind w:firstLine="600" w:firstLineChars="200"/>
        <w:jc w:val="left"/>
        <w:outlineLvl w:val="0"/>
        <w:rPr>
          <w:rFonts w:ascii="Times New Roman" w:hAnsi="Times New Roman" w:eastAsia="仿宋_GB2312"/>
          <w:color w:val="000000"/>
          <w:sz w:val="30"/>
          <w:szCs w:val="32"/>
          <w:highlight w:val="none"/>
        </w:rPr>
      </w:pPr>
      <w:bookmarkStart w:id="1576" w:name="_Toc11769"/>
      <w:bookmarkStart w:id="1577" w:name="_Toc19690"/>
      <w:bookmarkStart w:id="1578" w:name="_Toc30815"/>
      <w:bookmarkStart w:id="1579" w:name="_Toc28326"/>
      <w:r>
        <w:rPr>
          <w:rFonts w:ascii="Times New Roman" w:hAnsi="Times New Roman" w:eastAsia="仿宋_GB2312"/>
          <w:color w:val="000000"/>
          <w:sz w:val="30"/>
          <w:szCs w:val="32"/>
          <w:highlight w:val="none"/>
        </w:rPr>
        <w:t xml:space="preserve">15.3.1 </w:t>
      </w:r>
      <w:r>
        <w:rPr>
          <w:rFonts w:hint="eastAsia" w:ascii="Times New Roman" w:hAnsi="Times New Roman" w:eastAsia="仿宋_GB2312"/>
          <w:color w:val="000000"/>
          <w:sz w:val="30"/>
          <w:szCs w:val="32"/>
          <w:highlight w:val="none"/>
        </w:rPr>
        <w:t>承包人提供</w:t>
      </w:r>
      <w:r>
        <w:rPr>
          <w:rFonts w:ascii="Times New Roman" w:hAnsi="Times New Roman" w:eastAsia="仿宋_GB2312"/>
          <w:color w:val="000000"/>
          <w:sz w:val="30"/>
          <w:szCs w:val="32"/>
          <w:highlight w:val="none"/>
        </w:rPr>
        <w:t>质量保证金的</w:t>
      </w:r>
      <w:r>
        <w:rPr>
          <w:rFonts w:hint="eastAsia" w:ascii="Times New Roman" w:hAnsi="Times New Roman" w:eastAsia="仿宋_GB2312"/>
          <w:color w:val="000000"/>
          <w:sz w:val="30"/>
          <w:szCs w:val="32"/>
          <w:highlight w:val="none"/>
        </w:rPr>
        <w:t>方</w:t>
      </w:r>
      <w:r>
        <w:rPr>
          <w:rFonts w:ascii="Times New Roman" w:hAnsi="Times New Roman" w:eastAsia="仿宋_GB2312"/>
          <w:color w:val="000000"/>
          <w:sz w:val="30"/>
          <w:szCs w:val="32"/>
          <w:highlight w:val="none"/>
        </w:rPr>
        <w:t>式</w:t>
      </w:r>
      <w:bookmarkEnd w:id="1576"/>
      <w:bookmarkEnd w:id="1577"/>
      <w:bookmarkEnd w:id="1578"/>
      <w:bookmarkEnd w:id="1579"/>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质量保证金采用以下第</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种方式：</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（1）质量保证金保函，保证金额为：</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 xml:space="preserve">； </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w:t>
      </w:r>
      <w:r>
        <w:rPr>
          <w:rFonts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%的工程款；</w:t>
      </w:r>
    </w:p>
    <w:p>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（3）其他</w:t>
      </w:r>
      <w:r>
        <w:rPr>
          <w:rFonts w:hint="eastAsia" w:ascii="Times New Roman" w:hAnsi="Times New Roman" w:eastAsia="仿宋_GB2312"/>
          <w:color w:val="000000"/>
          <w:kern w:val="0"/>
          <w:sz w:val="30"/>
          <w:szCs w:val="32"/>
          <w:highlight w:val="none"/>
        </w:rPr>
        <w:t>方</w:t>
      </w:r>
      <w:r>
        <w:rPr>
          <w:rFonts w:ascii="Times New Roman" w:hAnsi="Times New Roman" w:eastAsia="仿宋_GB2312"/>
          <w:color w:val="000000"/>
          <w:kern w:val="0"/>
          <w:sz w:val="30"/>
          <w:szCs w:val="32"/>
          <w:highlight w:val="none"/>
        </w:rPr>
        <w:t>式:</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w:t>
      </w:r>
    </w:p>
    <w:p>
      <w:pPr>
        <w:spacing w:line="360" w:lineRule="auto"/>
        <w:ind w:firstLine="600" w:firstLineChars="200"/>
        <w:jc w:val="left"/>
        <w:outlineLvl w:val="0"/>
        <w:rPr>
          <w:rFonts w:ascii="Times New Roman" w:hAnsi="Times New Roman" w:eastAsia="仿宋_GB2312"/>
          <w:color w:val="000000"/>
          <w:sz w:val="30"/>
          <w:szCs w:val="32"/>
          <w:highlight w:val="none"/>
        </w:rPr>
      </w:pPr>
      <w:bookmarkStart w:id="1580" w:name="_Toc11992"/>
      <w:bookmarkStart w:id="1581" w:name="_Toc15406"/>
      <w:bookmarkStart w:id="1582" w:name="_Toc26737"/>
      <w:bookmarkStart w:id="1583" w:name="_Toc16641"/>
      <w:r>
        <w:rPr>
          <w:rFonts w:ascii="Times New Roman" w:hAnsi="Times New Roman" w:eastAsia="仿宋_GB2312"/>
          <w:color w:val="000000"/>
          <w:sz w:val="30"/>
          <w:szCs w:val="32"/>
          <w:highlight w:val="none"/>
        </w:rPr>
        <w:t>15.3.2 质量保证金的扣留</w:t>
      </w:r>
      <w:bookmarkEnd w:id="1580"/>
      <w:bookmarkEnd w:id="1581"/>
      <w:bookmarkEnd w:id="1582"/>
      <w:bookmarkEnd w:id="1583"/>
      <w:r>
        <w:rPr>
          <w:rFonts w:ascii="Times New Roman" w:hAnsi="Times New Roman" w:eastAsia="仿宋_GB2312"/>
          <w:color w:val="000000"/>
          <w:sz w:val="30"/>
          <w:szCs w:val="32"/>
          <w:highlight w:val="none"/>
        </w:rPr>
        <w:t xml:space="preserve"> </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质量保证金的扣留采取以下第</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种方式：</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（1）在支付工程进度款时逐次扣留，在此情形下，质量保证金的计算基数不包括预付款的支付、扣回以及价格调整的金额；</w:t>
      </w:r>
    </w:p>
    <w:p>
      <w:pPr>
        <w:autoSpaceDE w:val="0"/>
        <w:autoSpaceDN w:val="0"/>
        <w:adjustRightInd w:val="0"/>
        <w:spacing w:line="360" w:lineRule="auto"/>
        <w:ind w:firstLine="600" w:firstLineChars="200"/>
        <w:jc w:val="left"/>
        <w:outlineLvl w:val="0"/>
        <w:rPr>
          <w:rFonts w:ascii="Times New Roman" w:hAnsi="Times New Roman" w:eastAsia="仿宋_GB2312"/>
          <w:color w:val="000000"/>
          <w:kern w:val="0"/>
          <w:sz w:val="30"/>
          <w:szCs w:val="32"/>
          <w:highlight w:val="none"/>
        </w:rPr>
      </w:pPr>
      <w:bookmarkStart w:id="1584" w:name="_Toc24282"/>
      <w:bookmarkStart w:id="1585" w:name="_Toc8289"/>
      <w:bookmarkStart w:id="1586" w:name="_Toc8795"/>
      <w:bookmarkStart w:id="1587" w:name="_Toc24213"/>
      <w:r>
        <w:rPr>
          <w:rFonts w:ascii="Times New Roman" w:hAnsi="Times New Roman" w:eastAsia="仿宋_GB2312"/>
          <w:color w:val="000000"/>
          <w:kern w:val="0"/>
          <w:sz w:val="30"/>
          <w:szCs w:val="32"/>
          <w:highlight w:val="none"/>
        </w:rPr>
        <w:t>（2）工程竣工结算时一次性扣留质量保证金；</w:t>
      </w:r>
      <w:bookmarkEnd w:id="1584"/>
      <w:bookmarkEnd w:id="1585"/>
      <w:bookmarkEnd w:id="1586"/>
      <w:bookmarkEnd w:id="1587"/>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（3）其他扣留方式:</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w:t>
      </w:r>
    </w:p>
    <w:p>
      <w:pPr>
        <w:spacing w:line="360" w:lineRule="auto"/>
        <w:ind w:firstLine="600" w:firstLineChars="200"/>
        <w:jc w:val="left"/>
        <w:rPr>
          <w:rFonts w:hint="eastAsia" w:ascii="Times New Roman" w:hAnsi="Times New Roman" w:eastAsia="仿宋_GB2312"/>
          <w:color w:val="000000"/>
          <w:kern w:val="0"/>
          <w:sz w:val="30"/>
          <w:szCs w:val="32"/>
          <w:highlight w:val="none"/>
          <w:u w:val="single"/>
        </w:rPr>
      </w:pPr>
      <w:r>
        <w:rPr>
          <w:rFonts w:ascii="Times New Roman" w:hAnsi="Times New Roman" w:eastAsia="仿宋_GB2312"/>
          <w:color w:val="000000"/>
          <w:sz w:val="30"/>
          <w:szCs w:val="32"/>
          <w:highlight w:val="none"/>
        </w:rPr>
        <w:t>关于质量保证金的补充约定：</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p>
    <w:p>
      <w:pPr>
        <w:spacing w:line="360" w:lineRule="auto"/>
        <w:jc w:val="left"/>
        <w:rPr>
          <w:rFonts w:ascii="Times New Roman" w:hAnsi="Times New Roman" w:eastAsia="仿宋_GB2312"/>
          <w:color w:val="000000"/>
          <w:sz w:val="30"/>
          <w:szCs w:val="32"/>
          <w:highlight w:val="none"/>
        </w:rPr>
      </w:pP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w:t>
      </w:r>
    </w:p>
    <w:bookmarkEnd w:id="1543"/>
    <w:bookmarkEnd w:id="1544"/>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15.4保修</w:t>
      </w:r>
    </w:p>
    <w:bookmarkEnd w:id="1545"/>
    <w:p>
      <w:pPr>
        <w:spacing w:line="360" w:lineRule="auto"/>
        <w:ind w:firstLine="585" w:firstLineChars="195"/>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15.4.1 保修责任</w:t>
      </w:r>
    </w:p>
    <w:p>
      <w:pPr>
        <w:spacing w:line="360" w:lineRule="auto"/>
        <w:ind w:firstLine="585" w:firstLineChars="195"/>
        <w:jc w:val="left"/>
        <w:rPr>
          <w:rFonts w:ascii="Times New Roman" w:hAnsi="Times New Roman" w:eastAsia="仿宋_GB2312"/>
          <w:color w:val="000000"/>
          <w:kern w:val="0"/>
          <w:sz w:val="30"/>
          <w:szCs w:val="32"/>
          <w:highlight w:val="none"/>
          <w:u w:val="single"/>
        </w:rPr>
      </w:pPr>
      <w:r>
        <w:rPr>
          <w:rFonts w:ascii="Times New Roman" w:hAnsi="Times New Roman" w:eastAsia="仿宋_GB2312"/>
          <w:color w:val="000000"/>
          <w:sz w:val="30"/>
          <w:szCs w:val="32"/>
          <w:highlight w:val="none"/>
        </w:rPr>
        <w:t>工程保修期为：</w:t>
      </w:r>
      <w:r>
        <w:rPr>
          <w:rFonts w:ascii="Times New Roman" w:hAnsi="Times New Roman" w:eastAsia="仿宋_GB2312"/>
          <w:color w:val="000000"/>
          <w:kern w:val="0"/>
          <w:sz w:val="30"/>
          <w:szCs w:val="32"/>
          <w:highlight w:val="none"/>
          <w:u w:val="single"/>
        </w:rPr>
        <w:t xml:space="preserve">                                        </w:t>
      </w:r>
    </w:p>
    <w:p>
      <w:pPr>
        <w:spacing w:line="360" w:lineRule="auto"/>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w:t>
      </w:r>
    </w:p>
    <w:p>
      <w:pPr>
        <w:spacing w:line="360" w:lineRule="auto"/>
        <w:ind w:firstLine="585" w:firstLineChars="195"/>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15.4.3 修复通知</w:t>
      </w:r>
    </w:p>
    <w:p>
      <w:pPr>
        <w:spacing w:line="360" w:lineRule="auto"/>
        <w:ind w:firstLine="585" w:firstLineChars="195"/>
        <w:jc w:val="left"/>
        <w:rPr>
          <w:rFonts w:ascii="Times New Roman" w:hAnsi="Times New Roman" w:eastAsia="仿宋_GB2312"/>
          <w:color w:val="000000"/>
          <w:kern w:val="0"/>
          <w:sz w:val="30"/>
          <w:szCs w:val="32"/>
          <w:highlight w:val="none"/>
          <w:u w:val="single"/>
        </w:rPr>
      </w:pPr>
      <w:r>
        <w:rPr>
          <w:rFonts w:ascii="Times New Roman" w:hAnsi="Times New Roman" w:eastAsia="仿宋_GB2312"/>
          <w:color w:val="000000"/>
          <w:kern w:val="0"/>
          <w:sz w:val="30"/>
          <w:szCs w:val="32"/>
          <w:highlight w:val="none"/>
        </w:rPr>
        <w:t>承包人收到保修通知并到达工程现场的合理时间：</w:t>
      </w:r>
      <w:r>
        <w:rPr>
          <w:rFonts w:ascii="Times New Roman" w:hAnsi="Times New Roman" w:eastAsia="仿宋_GB2312"/>
          <w:color w:val="000000"/>
          <w:kern w:val="0"/>
          <w:sz w:val="30"/>
          <w:szCs w:val="32"/>
          <w:highlight w:val="none"/>
          <w:u w:val="single"/>
        </w:rPr>
        <w:t xml:space="preserve">          </w:t>
      </w:r>
    </w:p>
    <w:p>
      <w:pPr>
        <w:spacing w:line="360" w:lineRule="auto"/>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w:t>
      </w:r>
    </w:p>
    <w:bookmarkEnd w:id="1546"/>
    <w:bookmarkEnd w:id="1547"/>
    <w:bookmarkEnd w:id="1548"/>
    <w:bookmarkEnd w:id="1549"/>
    <w:p>
      <w:pPr>
        <w:pStyle w:val="5"/>
        <w:spacing w:before="120" w:after="120" w:line="360" w:lineRule="auto"/>
        <w:rPr>
          <w:rFonts w:ascii="Times New Roman" w:hAnsi="Times New Roman" w:eastAsia="黑体"/>
          <w:b w:val="0"/>
          <w:color w:val="000000"/>
          <w:sz w:val="32"/>
          <w:szCs w:val="32"/>
          <w:highlight w:val="none"/>
        </w:rPr>
      </w:pPr>
      <w:bookmarkStart w:id="1588" w:name="_Toc9784"/>
      <w:bookmarkStart w:id="1589" w:name="_Toc12310"/>
      <w:bookmarkStart w:id="1590" w:name="_Toc280868717"/>
      <w:bookmarkStart w:id="1591" w:name="_Toc280868718"/>
      <w:r>
        <w:rPr>
          <w:rFonts w:ascii="Times New Roman" w:hAnsi="Times New Roman" w:eastAsia="黑体"/>
          <w:b w:val="0"/>
          <w:color w:val="000000"/>
          <w:sz w:val="32"/>
          <w:szCs w:val="32"/>
          <w:highlight w:val="none"/>
        </w:rPr>
        <w:t>16. 违约</w:t>
      </w:r>
      <w:bookmarkEnd w:id="1588"/>
      <w:bookmarkEnd w:id="1589"/>
    </w:p>
    <w:p>
      <w:pPr>
        <w:spacing w:after="120" w:line="360" w:lineRule="auto"/>
        <w:ind w:firstLine="600" w:firstLineChars="200"/>
        <w:outlineLvl w:val="0"/>
        <w:rPr>
          <w:rFonts w:ascii="Times New Roman" w:hAnsi="Times New Roman" w:eastAsia="黑体"/>
          <w:color w:val="000000"/>
          <w:sz w:val="30"/>
          <w:szCs w:val="32"/>
          <w:highlight w:val="none"/>
        </w:rPr>
      </w:pPr>
      <w:bookmarkStart w:id="1592" w:name="_Toc12456"/>
      <w:bookmarkStart w:id="1593" w:name="_Toc21986"/>
      <w:bookmarkStart w:id="1594" w:name="_Toc3717"/>
      <w:bookmarkStart w:id="1595" w:name="_Toc14034"/>
      <w:r>
        <w:rPr>
          <w:rFonts w:ascii="Times New Roman" w:hAnsi="Times New Roman" w:eastAsia="黑体"/>
          <w:color w:val="000000"/>
          <w:sz w:val="30"/>
          <w:szCs w:val="32"/>
          <w:highlight w:val="none"/>
        </w:rPr>
        <w:t>16.1 发包人违约</w:t>
      </w:r>
      <w:bookmarkEnd w:id="1592"/>
      <w:bookmarkEnd w:id="1593"/>
      <w:bookmarkEnd w:id="1594"/>
      <w:bookmarkEnd w:id="1595"/>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16.1.1发包人违约的情形</w:t>
      </w:r>
    </w:p>
    <w:p>
      <w:pPr>
        <w:spacing w:line="360" w:lineRule="auto"/>
        <w:ind w:firstLine="600" w:firstLineChars="200"/>
        <w:jc w:val="left"/>
        <w:rPr>
          <w:rFonts w:ascii="Times New Roman" w:hAnsi="Times New Roman" w:eastAsia="仿宋_GB2312"/>
          <w:color w:val="000000"/>
          <w:kern w:val="0"/>
          <w:sz w:val="30"/>
          <w:szCs w:val="32"/>
          <w:highlight w:val="none"/>
          <w:u w:val="single"/>
        </w:rPr>
      </w:pPr>
      <w:r>
        <w:rPr>
          <w:rFonts w:ascii="Times New Roman" w:hAnsi="Times New Roman" w:eastAsia="仿宋_GB2312"/>
          <w:color w:val="000000"/>
          <w:kern w:val="0"/>
          <w:sz w:val="30"/>
          <w:szCs w:val="32"/>
          <w:highlight w:val="none"/>
        </w:rPr>
        <w:t>发包人违约的其他情形：</w:t>
      </w:r>
      <w:r>
        <w:rPr>
          <w:rFonts w:ascii="Times New Roman" w:hAnsi="Times New Roman" w:eastAsia="仿宋_GB2312"/>
          <w:color w:val="000000"/>
          <w:kern w:val="0"/>
          <w:sz w:val="30"/>
          <w:szCs w:val="32"/>
          <w:highlight w:val="none"/>
          <w:u w:val="single"/>
        </w:rPr>
        <w:t xml:space="preserve">                                </w:t>
      </w:r>
    </w:p>
    <w:p>
      <w:pPr>
        <w:spacing w:line="360" w:lineRule="auto"/>
        <w:ind w:left="1500" w:hanging="1500" w:hangingChars="500"/>
        <w:jc w:val="left"/>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w:t>
      </w:r>
    </w:p>
    <w:p>
      <w:pPr>
        <w:spacing w:line="360" w:lineRule="auto"/>
        <w:ind w:left="1500" w:hanging="1500" w:hangingChars="5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 xml:space="preserve">    16.1.2 发包人违约的责任</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发包人违约责任的承担方式和计算方法：</w:t>
      </w:r>
    </w:p>
    <w:p>
      <w:pPr>
        <w:spacing w:line="360" w:lineRule="auto"/>
        <w:ind w:firstLine="600" w:firstLineChars="200"/>
        <w:jc w:val="left"/>
        <w:rPr>
          <w:rFonts w:ascii="Times New Roman" w:hAnsi="Times New Roman" w:eastAsia="仿宋_GB2312"/>
          <w:color w:val="000000"/>
          <w:kern w:val="0"/>
          <w:sz w:val="30"/>
          <w:szCs w:val="32"/>
          <w:highlight w:val="none"/>
          <w:u w:val="single"/>
        </w:rPr>
      </w:pPr>
      <w:r>
        <w:rPr>
          <w:rFonts w:ascii="Times New Roman" w:hAnsi="Times New Roman" w:eastAsia="仿宋_GB2312"/>
          <w:color w:val="000000"/>
          <w:kern w:val="0"/>
          <w:sz w:val="30"/>
          <w:szCs w:val="32"/>
          <w:highlight w:val="none"/>
        </w:rPr>
        <w:t>（1）因发包人原因未能在计划开工日期前7天内下达开工通知的违约责任：</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（2）因发包人原因未能按合同约定支付合同价款的违约责任：</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w:t>
      </w:r>
    </w:p>
    <w:p>
      <w:pPr>
        <w:spacing w:line="360" w:lineRule="auto"/>
        <w:ind w:firstLine="600" w:firstLineChars="200"/>
        <w:jc w:val="left"/>
        <w:rPr>
          <w:rFonts w:hint="eastAsia" w:ascii="Times New Roman" w:hAnsi="Times New Roman" w:eastAsia="仿宋_GB2312"/>
          <w:color w:val="000000"/>
          <w:kern w:val="0"/>
          <w:sz w:val="30"/>
          <w:szCs w:val="32"/>
          <w:highlight w:val="none"/>
          <w:u w:val="single"/>
        </w:rPr>
      </w:pPr>
      <w:r>
        <w:rPr>
          <w:rFonts w:ascii="Times New Roman" w:hAnsi="Times New Roman" w:eastAsia="仿宋_GB2312"/>
          <w:color w:val="000000"/>
          <w:kern w:val="0"/>
          <w:sz w:val="30"/>
          <w:szCs w:val="32"/>
          <w:highlight w:val="none"/>
        </w:rPr>
        <w:t>（3）发包人违反第10.1款</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变更的范围</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第（2）项约定，自行实施被取消的工作或转由他人实施的违约责任：</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p>
    <w:p>
      <w:pPr>
        <w:spacing w:line="360" w:lineRule="auto"/>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（4）发包人提供的材料、工程设备的规格、数量或质量不符合合同约定，或因发包人原因导致交货日期延误或交货地点变更等情况的违约责任：</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w:t>
      </w:r>
    </w:p>
    <w:p>
      <w:pPr>
        <w:spacing w:line="360" w:lineRule="auto"/>
        <w:ind w:firstLine="600" w:firstLineChars="200"/>
        <w:jc w:val="left"/>
        <w:rPr>
          <w:rFonts w:ascii="Times New Roman" w:hAnsi="Times New Roman" w:eastAsia="仿宋_GB2312"/>
          <w:color w:val="000000"/>
          <w:kern w:val="0"/>
          <w:sz w:val="30"/>
          <w:szCs w:val="32"/>
          <w:highlight w:val="none"/>
          <w:u w:val="single"/>
        </w:rPr>
      </w:pPr>
      <w:r>
        <w:rPr>
          <w:rFonts w:ascii="Times New Roman" w:hAnsi="Times New Roman" w:eastAsia="仿宋_GB2312"/>
          <w:color w:val="000000"/>
          <w:kern w:val="0"/>
          <w:sz w:val="30"/>
          <w:szCs w:val="32"/>
          <w:highlight w:val="none"/>
        </w:rPr>
        <w:t>（5）因发包人违反合同约定造成暂停施工的违约责任：</w:t>
      </w:r>
      <w:r>
        <w:rPr>
          <w:rFonts w:ascii="Times New Roman" w:hAnsi="Times New Roman" w:eastAsia="仿宋_GB2312"/>
          <w:color w:val="000000"/>
          <w:kern w:val="0"/>
          <w:sz w:val="30"/>
          <w:szCs w:val="32"/>
          <w:highlight w:val="none"/>
          <w:u w:val="single"/>
        </w:rPr>
        <w:t xml:space="preserve">     </w:t>
      </w:r>
    </w:p>
    <w:p>
      <w:pPr>
        <w:spacing w:line="360" w:lineRule="auto"/>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（6）发包人无正当理由没有在约定期限内发出复工指示，导致承包人无法复工的违约责任：</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（7）</w:t>
      </w:r>
      <w:r>
        <w:rPr>
          <w:rFonts w:hint="eastAsia" w:ascii="Times New Roman" w:hAnsi="Times New Roman" w:eastAsia="仿宋_GB2312"/>
          <w:color w:val="000000"/>
          <w:kern w:val="0"/>
          <w:sz w:val="30"/>
          <w:szCs w:val="32"/>
          <w:highlight w:val="none"/>
        </w:rPr>
        <w:t>其他：</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16.1.3 因发包人违约解除合同</w:t>
      </w:r>
    </w:p>
    <w:p>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承包人按16.1.1项</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发包人违约的情形</w:t>
      </w:r>
      <w:r>
        <w:rPr>
          <w:rFonts w:hint="eastAsia"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rPr>
        <w:t>约定暂停施工满</w:t>
      </w:r>
      <w:r>
        <w:rPr>
          <w:rFonts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天后发包人仍不纠正其违约行为并致使合同目的不能实现的，承包人有权解除合同。</w:t>
      </w:r>
    </w:p>
    <w:p>
      <w:pPr>
        <w:spacing w:after="120" w:line="360" w:lineRule="auto"/>
        <w:ind w:firstLine="600" w:firstLineChars="200"/>
        <w:outlineLvl w:val="0"/>
        <w:rPr>
          <w:rFonts w:ascii="Times New Roman" w:hAnsi="Times New Roman" w:eastAsia="黑体"/>
          <w:color w:val="000000"/>
          <w:sz w:val="30"/>
          <w:szCs w:val="32"/>
          <w:highlight w:val="none"/>
        </w:rPr>
      </w:pPr>
      <w:bookmarkStart w:id="1596" w:name="_Toc14800"/>
      <w:bookmarkStart w:id="1597" w:name="_Toc23824"/>
      <w:bookmarkStart w:id="1598" w:name="_Toc3690"/>
      <w:bookmarkStart w:id="1599" w:name="_Toc24129"/>
      <w:r>
        <w:rPr>
          <w:rFonts w:ascii="Times New Roman" w:hAnsi="Times New Roman" w:eastAsia="黑体"/>
          <w:color w:val="000000"/>
          <w:sz w:val="30"/>
          <w:szCs w:val="32"/>
          <w:highlight w:val="none"/>
        </w:rPr>
        <w:t>16.2 承包人违约</w:t>
      </w:r>
      <w:bookmarkEnd w:id="1596"/>
      <w:bookmarkEnd w:id="1597"/>
      <w:bookmarkEnd w:id="1598"/>
      <w:bookmarkEnd w:id="1599"/>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16.2.1 承包人违约的情形</w:t>
      </w:r>
    </w:p>
    <w:p>
      <w:pPr>
        <w:spacing w:line="360" w:lineRule="auto"/>
        <w:ind w:firstLine="600" w:firstLineChars="200"/>
        <w:jc w:val="left"/>
        <w:rPr>
          <w:rFonts w:ascii="Times New Roman" w:hAnsi="Times New Roman" w:eastAsia="仿宋_GB2312"/>
          <w:color w:val="000000"/>
          <w:kern w:val="0"/>
          <w:sz w:val="30"/>
          <w:szCs w:val="32"/>
          <w:highlight w:val="none"/>
          <w:u w:val="single"/>
        </w:rPr>
      </w:pPr>
      <w:r>
        <w:rPr>
          <w:rFonts w:ascii="Times New Roman" w:hAnsi="Times New Roman" w:eastAsia="仿宋_GB2312"/>
          <w:color w:val="000000"/>
          <w:kern w:val="0"/>
          <w:sz w:val="30"/>
          <w:szCs w:val="32"/>
          <w:highlight w:val="none"/>
        </w:rPr>
        <w:t>承包人违约的其他情形：</w:t>
      </w:r>
      <w:r>
        <w:rPr>
          <w:rFonts w:ascii="Times New Roman" w:hAnsi="Times New Roman" w:eastAsia="仿宋_GB2312"/>
          <w:color w:val="000000"/>
          <w:kern w:val="0"/>
          <w:sz w:val="30"/>
          <w:szCs w:val="32"/>
          <w:highlight w:val="none"/>
          <w:u w:val="single"/>
        </w:rPr>
        <w:t xml:space="preserve">                                </w:t>
      </w:r>
    </w:p>
    <w:p>
      <w:pPr>
        <w:spacing w:line="360" w:lineRule="auto"/>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w:t>
      </w:r>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16.2.2承包人违约的责任</w:t>
      </w:r>
    </w:p>
    <w:p>
      <w:pPr>
        <w:spacing w:line="360" w:lineRule="auto"/>
        <w:ind w:firstLine="600" w:firstLineChars="200"/>
        <w:jc w:val="left"/>
        <w:rPr>
          <w:rFonts w:ascii="Times New Roman" w:hAnsi="Times New Roman" w:eastAsia="仿宋_GB2312"/>
          <w:color w:val="000000"/>
          <w:kern w:val="0"/>
          <w:sz w:val="30"/>
          <w:szCs w:val="32"/>
          <w:highlight w:val="none"/>
          <w:u w:val="single"/>
        </w:rPr>
      </w:pPr>
      <w:r>
        <w:rPr>
          <w:rFonts w:ascii="Times New Roman" w:hAnsi="Times New Roman" w:eastAsia="仿宋_GB2312"/>
          <w:color w:val="000000"/>
          <w:kern w:val="0"/>
          <w:sz w:val="30"/>
          <w:szCs w:val="32"/>
          <w:highlight w:val="none"/>
        </w:rPr>
        <w:t>承包人违约责任的承担方式和计算方法：</w:t>
      </w:r>
      <w:r>
        <w:rPr>
          <w:rFonts w:ascii="Times New Roman" w:hAnsi="Times New Roman" w:eastAsia="仿宋_GB2312"/>
          <w:color w:val="000000"/>
          <w:kern w:val="0"/>
          <w:sz w:val="30"/>
          <w:szCs w:val="32"/>
          <w:highlight w:val="none"/>
          <w:u w:val="single"/>
        </w:rPr>
        <w:t xml:space="preserve">                  </w:t>
      </w:r>
    </w:p>
    <w:p>
      <w:pPr>
        <w:spacing w:line="360" w:lineRule="auto"/>
        <w:ind w:left="1500" w:hanging="1500" w:hangingChars="500"/>
        <w:jc w:val="left"/>
        <w:rPr>
          <w:rFonts w:ascii="Times New Roman" w:hAnsi="Times New Roman" w:eastAsia="仿宋_GB2312"/>
          <w:color w:val="000000"/>
          <w:kern w:val="0"/>
          <w:sz w:val="30"/>
          <w:szCs w:val="32"/>
          <w:highlight w:val="none"/>
          <w:u w:val="single"/>
        </w:rPr>
      </w:pPr>
      <w:r>
        <w:rPr>
          <w:rFonts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w:t>
      </w:r>
      <w:r>
        <w:rPr>
          <w:rFonts w:ascii="Times New Roman" w:hAnsi="Times New Roman" w:eastAsia="仿宋_GB2312"/>
          <w:color w:val="000000"/>
          <w:sz w:val="30"/>
          <w:szCs w:val="32"/>
          <w:highlight w:val="none"/>
        </w:rPr>
        <w:t xml:space="preserve">    </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16.2.3 因承包人违约解除合同</w:t>
      </w:r>
    </w:p>
    <w:p>
      <w:pPr>
        <w:spacing w:before="120" w:after="120" w:line="360" w:lineRule="auto"/>
        <w:ind w:firstLine="600" w:firstLineChars="200"/>
        <w:rPr>
          <w:rFonts w:hint="eastAsia" w:ascii="Times New Roman" w:hAnsi="Times New Roman" w:eastAsia="仿宋_GB2312"/>
          <w:color w:val="000000"/>
          <w:kern w:val="0"/>
          <w:sz w:val="30"/>
          <w:szCs w:val="32"/>
          <w:highlight w:val="none"/>
          <w:u w:val="single"/>
        </w:rPr>
      </w:pPr>
      <w:r>
        <w:rPr>
          <w:rFonts w:ascii="Times New Roman" w:hAnsi="Times New Roman" w:eastAsia="仿宋_GB2312"/>
          <w:color w:val="000000"/>
          <w:kern w:val="0"/>
          <w:sz w:val="30"/>
          <w:szCs w:val="32"/>
          <w:highlight w:val="none"/>
        </w:rPr>
        <w:t>关于承包人违约解除合同的特别约定：</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p>
    <w:p>
      <w:pPr>
        <w:spacing w:before="120" w:after="120" w:line="360" w:lineRule="auto"/>
        <w:rPr>
          <w:rFonts w:hint="eastAsia"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w:t>
      </w:r>
    </w:p>
    <w:p>
      <w:pPr>
        <w:spacing w:before="120" w:after="120" w:line="360" w:lineRule="auto"/>
        <w:ind w:firstLine="600" w:firstLineChars="200"/>
        <w:rPr>
          <w:rFonts w:ascii="Times New Roman" w:hAnsi="Times New Roman" w:eastAsia="仿宋_GB2312"/>
          <w:color w:val="000000"/>
          <w:kern w:val="0"/>
          <w:sz w:val="30"/>
          <w:szCs w:val="32"/>
          <w:highlight w:val="none"/>
        </w:rPr>
      </w:pPr>
      <w:r>
        <w:rPr>
          <w:rFonts w:ascii="Times New Roman" w:hAnsi="Times New Roman" w:eastAsia="仿宋_GB2312"/>
          <w:color w:val="000000"/>
          <w:kern w:val="0"/>
          <w:sz w:val="30"/>
          <w:szCs w:val="32"/>
          <w:highlight w:val="none"/>
        </w:rPr>
        <w:t>发包人</w:t>
      </w:r>
      <w:r>
        <w:rPr>
          <w:rFonts w:hint="eastAsia" w:ascii="Times New Roman" w:hAnsi="Times New Roman" w:eastAsia="仿宋_GB2312"/>
          <w:color w:val="000000"/>
          <w:kern w:val="0"/>
          <w:sz w:val="30"/>
          <w:szCs w:val="32"/>
          <w:highlight w:val="none"/>
        </w:rPr>
        <w:t>继续</w:t>
      </w:r>
      <w:r>
        <w:rPr>
          <w:rFonts w:ascii="Times New Roman" w:hAnsi="Times New Roman" w:eastAsia="仿宋_GB2312"/>
          <w:color w:val="000000"/>
          <w:kern w:val="0"/>
          <w:sz w:val="30"/>
          <w:szCs w:val="32"/>
          <w:highlight w:val="none"/>
        </w:rPr>
        <w:t>使用承包人在施工现场的材料、设备、临时工程、承包人文件和由承包人或以其名义编制的其他文件</w:t>
      </w:r>
      <w:r>
        <w:rPr>
          <w:rFonts w:hint="eastAsia" w:ascii="Times New Roman" w:hAnsi="Times New Roman" w:eastAsia="仿宋_GB2312"/>
          <w:color w:val="000000"/>
          <w:kern w:val="0"/>
          <w:sz w:val="30"/>
          <w:szCs w:val="32"/>
          <w:highlight w:val="none"/>
        </w:rPr>
        <w:t>的费用承担方式</w:t>
      </w:r>
      <w:r>
        <w:rPr>
          <w:rFonts w:ascii="Times New Roman" w:hAnsi="Times New Roman" w:eastAsia="仿宋_GB2312"/>
          <w:color w:val="000000"/>
          <w:kern w:val="0"/>
          <w:sz w:val="30"/>
          <w:szCs w:val="32"/>
          <w:highlight w:val="none"/>
        </w:rPr>
        <w:t>：</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rPr>
        <w:t>。</w:t>
      </w:r>
    </w:p>
    <w:p>
      <w:pPr>
        <w:pStyle w:val="5"/>
        <w:spacing w:before="120" w:after="120" w:line="360" w:lineRule="auto"/>
        <w:rPr>
          <w:rFonts w:ascii="Times New Roman" w:hAnsi="Times New Roman" w:eastAsia="黑体"/>
          <w:b w:val="0"/>
          <w:color w:val="000000"/>
          <w:sz w:val="32"/>
          <w:szCs w:val="32"/>
          <w:highlight w:val="none"/>
        </w:rPr>
      </w:pPr>
      <w:bookmarkStart w:id="1600" w:name="_Toc27822"/>
      <w:bookmarkStart w:id="1601" w:name="_Toc1843"/>
      <w:r>
        <w:rPr>
          <w:rFonts w:ascii="Times New Roman" w:hAnsi="Times New Roman" w:eastAsia="黑体"/>
          <w:b w:val="0"/>
          <w:color w:val="000000"/>
          <w:sz w:val="32"/>
          <w:szCs w:val="32"/>
          <w:highlight w:val="none"/>
        </w:rPr>
        <w:t>17. 不可抗力</w:t>
      </w:r>
      <w:bookmarkEnd w:id="1600"/>
      <w:bookmarkEnd w:id="1601"/>
      <w:r>
        <w:rPr>
          <w:rFonts w:ascii="Times New Roman" w:hAnsi="Times New Roman" w:eastAsia="黑体"/>
          <w:b w:val="0"/>
          <w:color w:val="000000"/>
          <w:sz w:val="32"/>
          <w:szCs w:val="32"/>
          <w:highlight w:val="none"/>
        </w:rPr>
        <w:t xml:space="preserve"> </w:t>
      </w:r>
      <w:bookmarkEnd w:id="1590"/>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17.1 不可抗力的确认</w:t>
      </w:r>
    </w:p>
    <w:p>
      <w:pPr>
        <w:spacing w:line="360" w:lineRule="auto"/>
        <w:ind w:firstLine="600" w:firstLineChars="200"/>
        <w:jc w:val="left"/>
        <w:rPr>
          <w:rFonts w:ascii="Times New Roman" w:hAnsi="Times New Roman" w:eastAsia="仿宋_GB2312"/>
          <w:color w:val="000000"/>
          <w:kern w:val="0"/>
          <w:sz w:val="30"/>
          <w:szCs w:val="32"/>
          <w:highlight w:val="none"/>
          <w:u w:val="single"/>
        </w:rPr>
      </w:pPr>
      <w:r>
        <w:rPr>
          <w:rFonts w:ascii="Times New Roman" w:hAnsi="Times New Roman" w:eastAsia="仿宋_GB2312"/>
          <w:color w:val="000000"/>
          <w:sz w:val="30"/>
          <w:szCs w:val="32"/>
          <w:highlight w:val="none"/>
        </w:rPr>
        <w:t xml:space="preserve">除通用合同条款约定的不可抗力事件之外，视为不可抗力的其他情形： </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w:t>
      </w:r>
    </w:p>
    <w:p>
      <w:pPr>
        <w:spacing w:after="120" w:line="360" w:lineRule="auto"/>
        <w:ind w:firstLine="600" w:firstLineChars="200"/>
        <w:outlineLvl w:val="0"/>
        <w:rPr>
          <w:rFonts w:ascii="Times New Roman" w:hAnsi="Times New Roman" w:eastAsia="黑体"/>
          <w:color w:val="000000"/>
          <w:sz w:val="30"/>
          <w:szCs w:val="32"/>
          <w:highlight w:val="none"/>
        </w:rPr>
      </w:pPr>
      <w:bookmarkStart w:id="1602" w:name="_Toc25028"/>
      <w:bookmarkStart w:id="1603" w:name="_Toc25256"/>
      <w:bookmarkStart w:id="1604" w:name="_Toc32180"/>
      <w:bookmarkStart w:id="1605" w:name="_Toc9158"/>
      <w:r>
        <w:rPr>
          <w:rFonts w:ascii="Times New Roman" w:hAnsi="Times New Roman" w:eastAsia="黑体"/>
          <w:color w:val="000000"/>
          <w:sz w:val="30"/>
          <w:szCs w:val="32"/>
          <w:highlight w:val="none"/>
        </w:rPr>
        <w:t>17.4 因不可抗力解除合同</w:t>
      </w:r>
      <w:bookmarkEnd w:id="1602"/>
      <w:bookmarkEnd w:id="1603"/>
      <w:bookmarkEnd w:id="1604"/>
      <w:bookmarkEnd w:id="1605"/>
    </w:p>
    <w:p>
      <w:pPr>
        <w:spacing w:line="360" w:lineRule="auto"/>
        <w:ind w:firstLine="600" w:firstLineChars="200"/>
        <w:jc w:val="left"/>
        <w:rPr>
          <w:rFonts w:hint="eastAsia"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合同解除后，发包人应在商定或确定发包人应支付款项后</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天内完成款项的支付。</w:t>
      </w:r>
    </w:p>
    <w:p>
      <w:pPr>
        <w:pStyle w:val="5"/>
        <w:spacing w:before="120" w:after="120" w:line="360" w:lineRule="auto"/>
        <w:rPr>
          <w:rFonts w:ascii="Times New Roman" w:hAnsi="Times New Roman" w:eastAsia="黑体"/>
          <w:b w:val="0"/>
          <w:color w:val="000000"/>
          <w:sz w:val="32"/>
          <w:szCs w:val="32"/>
          <w:highlight w:val="none"/>
        </w:rPr>
      </w:pPr>
      <w:bookmarkStart w:id="1606" w:name="_Toc24485"/>
      <w:bookmarkStart w:id="1607" w:name="_Toc12134"/>
      <w:r>
        <w:rPr>
          <w:rFonts w:ascii="Times New Roman" w:hAnsi="Times New Roman" w:eastAsia="黑体"/>
          <w:b w:val="0"/>
          <w:color w:val="000000"/>
          <w:sz w:val="32"/>
          <w:szCs w:val="32"/>
          <w:highlight w:val="none"/>
        </w:rPr>
        <w:t>18. 保险</w:t>
      </w:r>
      <w:bookmarkEnd w:id="1606"/>
      <w:bookmarkEnd w:id="1607"/>
    </w:p>
    <w:bookmarkEnd w:id="1591"/>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18.1 工程保险</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关于工程保险的特别约定：</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w:t>
      </w:r>
    </w:p>
    <w:p>
      <w:pPr>
        <w:spacing w:after="120" w:line="360" w:lineRule="auto"/>
        <w:ind w:firstLine="600" w:firstLineChars="200"/>
        <w:outlineLvl w:val="0"/>
        <w:rPr>
          <w:rFonts w:ascii="Times New Roman" w:hAnsi="Times New Roman" w:eastAsia="黑体"/>
          <w:color w:val="000000"/>
          <w:sz w:val="30"/>
          <w:szCs w:val="32"/>
          <w:highlight w:val="none"/>
        </w:rPr>
      </w:pPr>
      <w:bookmarkStart w:id="1608" w:name="_Toc13761"/>
      <w:bookmarkStart w:id="1609" w:name="_Toc1319"/>
      <w:bookmarkStart w:id="1610" w:name="_Toc8460"/>
      <w:bookmarkStart w:id="1611" w:name="_Toc27512"/>
      <w:r>
        <w:rPr>
          <w:rFonts w:ascii="Times New Roman" w:hAnsi="Times New Roman" w:eastAsia="黑体"/>
          <w:color w:val="000000"/>
          <w:sz w:val="30"/>
          <w:szCs w:val="32"/>
          <w:highlight w:val="none"/>
        </w:rPr>
        <w:t>18.3 其他保险</w:t>
      </w:r>
      <w:bookmarkEnd w:id="1608"/>
      <w:bookmarkEnd w:id="1609"/>
      <w:bookmarkEnd w:id="1610"/>
      <w:bookmarkEnd w:id="1611"/>
    </w:p>
    <w:p>
      <w:pPr>
        <w:spacing w:line="360" w:lineRule="auto"/>
        <w:ind w:firstLine="600" w:firstLineChars="200"/>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sz w:val="30"/>
          <w:szCs w:val="32"/>
          <w:highlight w:val="none"/>
        </w:rPr>
        <w:t>关于其他保险的约定：</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hint="eastAsia"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u w:val="single"/>
        </w:rPr>
        <w:t xml:space="preserve">     </w:t>
      </w:r>
      <w:r>
        <w:rPr>
          <w:rFonts w:ascii="Times New Roman" w:hAnsi="Times New Roman" w:eastAsia="仿宋_GB2312"/>
          <w:color w:val="000000"/>
          <w:kern w:val="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承包人是否应为其施工设备等办理财产保险：</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p>
    <w:p>
      <w:pPr>
        <w:spacing w:line="360" w:lineRule="auto"/>
        <w:jc w:val="left"/>
        <w:rPr>
          <w:rFonts w:ascii="Times New Roman" w:hAnsi="Times New Roman" w:eastAsia="仿宋_GB2312"/>
          <w:color w:val="000000"/>
          <w:kern w:val="0"/>
          <w:sz w:val="30"/>
          <w:szCs w:val="32"/>
          <w:highlight w:val="none"/>
        </w:rPr>
      </w:pP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黑体"/>
          <w:color w:val="000000"/>
          <w:sz w:val="30"/>
          <w:szCs w:val="32"/>
          <w:highlight w:val="none"/>
        </w:rPr>
        <w:t>18.7 通知义务</w:t>
      </w:r>
    </w:p>
    <w:p>
      <w:pPr>
        <w:spacing w:line="360" w:lineRule="auto"/>
        <w:ind w:firstLine="600" w:firstLineChars="200"/>
        <w:jc w:val="left"/>
        <w:rPr>
          <w:rFonts w:hint="eastAsia" w:ascii="Times New Roman" w:hAnsi="Times New Roman" w:eastAsia="仿宋_GB2312"/>
          <w:color w:val="000000"/>
          <w:sz w:val="30"/>
          <w:szCs w:val="32"/>
          <w:highlight w:val="none"/>
          <w:u w:val="single"/>
        </w:rPr>
      </w:pPr>
      <w:r>
        <w:rPr>
          <w:rFonts w:ascii="Times New Roman" w:hAnsi="Times New Roman" w:eastAsia="仿宋_GB2312"/>
          <w:color w:val="000000"/>
          <w:kern w:val="0"/>
          <w:sz w:val="30"/>
          <w:szCs w:val="32"/>
          <w:highlight w:val="none"/>
        </w:rPr>
        <w:t>关于变更保险合同时的通知义务的约定：</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bookmarkEnd w:id="1550"/>
    <w:bookmarkEnd w:id="1551"/>
    <w:bookmarkEnd w:id="1552"/>
    <w:bookmarkEnd w:id="1553"/>
    <w:bookmarkEnd w:id="1554"/>
    <w:bookmarkEnd w:id="1555"/>
    <w:bookmarkEnd w:id="1556"/>
    <w:bookmarkEnd w:id="1557"/>
    <w:bookmarkEnd w:id="1558"/>
    <w:bookmarkEnd w:id="1559"/>
    <w:bookmarkEnd w:id="1560"/>
    <w:bookmarkEnd w:id="1561"/>
    <w:p>
      <w:pPr>
        <w:pStyle w:val="5"/>
        <w:spacing w:before="120" w:after="120" w:line="360" w:lineRule="auto"/>
        <w:rPr>
          <w:rFonts w:ascii="Times New Roman" w:hAnsi="Times New Roman" w:eastAsia="黑体"/>
          <w:b w:val="0"/>
          <w:color w:val="000000"/>
          <w:sz w:val="32"/>
          <w:szCs w:val="32"/>
          <w:highlight w:val="none"/>
        </w:rPr>
      </w:pPr>
      <w:bookmarkStart w:id="1612" w:name="_Toc8078"/>
      <w:bookmarkStart w:id="1613" w:name="_Toc13084"/>
      <w:r>
        <w:rPr>
          <w:rFonts w:ascii="Times New Roman" w:hAnsi="Times New Roman" w:eastAsia="黑体"/>
          <w:b w:val="0"/>
          <w:color w:val="000000"/>
          <w:sz w:val="32"/>
          <w:szCs w:val="32"/>
          <w:highlight w:val="none"/>
        </w:rPr>
        <w:t>20. 争议解决</w:t>
      </w:r>
      <w:bookmarkEnd w:id="1612"/>
      <w:bookmarkEnd w:id="1613"/>
    </w:p>
    <w:bookmarkEnd w:id="1562"/>
    <w:bookmarkEnd w:id="1563"/>
    <w:p>
      <w:pPr>
        <w:spacing w:after="120" w:line="360" w:lineRule="auto"/>
        <w:ind w:firstLine="600" w:firstLineChars="200"/>
        <w:outlineLvl w:val="0"/>
        <w:rPr>
          <w:rFonts w:ascii="Times New Roman" w:hAnsi="Times New Roman" w:eastAsia="黑体"/>
          <w:color w:val="000000"/>
          <w:sz w:val="30"/>
          <w:szCs w:val="32"/>
          <w:highlight w:val="none"/>
        </w:rPr>
      </w:pPr>
      <w:bookmarkStart w:id="1614" w:name="_Toc10435"/>
      <w:bookmarkStart w:id="1615" w:name="_Toc4080"/>
      <w:bookmarkStart w:id="1616" w:name="_Toc26707"/>
      <w:bookmarkStart w:id="1617" w:name="_Toc12091"/>
      <w:r>
        <w:rPr>
          <w:rFonts w:ascii="Times New Roman" w:hAnsi="Times New Roman" w:eastAsia="黑体"/>
          <w:color w:val="000000"/>
          <w:sz w:val="30"/>
          <w:szCs w:val="32"/>
          <w:highlight w:val="none"/>
        </w:rPr>
        <w:t>20.3 争</w:t>
      </w:r>
      <w:bookmarkEnd w:id="1564"/>
      <w:r>
        <w:rPr>
          <w:rFonts w:ascii="Times New Roman" w:hAnsi="Times New Roman" w:eastAsia="黑体"/>
          <w:color w:val="000000"/>
          <w:sz w:val="30"/>
          <w:szCs w:val="32"/>
          <w:highlight w:val="none"/>
        </w:rPr>
        <w:t>议评审</w:t>
      </w:r>
      <w:bookmarkEnd w:id="1614"/>
      <w:bookmarkEnd w:id="1615"/>
      <w:bookmarkEnd w:id="1616"/>
      <w:bookmarkEnd w:id="1617"/>
    </w:p>
    <w:p>
      <w:pPr>
        <w:spacing w:line="360" w:lineRule="auto"/>
        <w:ind w:left="156" w:leftChars="71" w:firstLine="450" w:firstLineChars="150"/>
        <w:jc w:val="left"/>
        <w:rPr>
          <w:rFonts w:hint="eastAsia"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合同当事人是否同意将工程争议提交争议评审小组决</w:t>
      </w:r>
      <w:r>
        <w:rPr>
          <w:rFonts w:hint="eastAsia" w:ascii="Times New Roman" w:hAnsi="Times New Roman" w:eastAsia="仿宋_GB2312"/>
          <w:color w:val="000000"/>
          <w:sz w:val="30"/>
          <w:szCs w:val="32"/>
          <w:highlight w:val="none"/>
        </w:rPr>
        <w:t>定：</w:t>
      </w:r>
      <w:r>
        <w:rPr>
          <w:rFonts w:hint="eastAsia" w:ascii="Times New Roman" w:hAnsi="Times New Roman" w:eastAsia="仿宋_GB2312"/>
          <w:color w:val="000000"/>
          <w:sz w:val="30"/>
          <w:szCs w:val="32"/>
          <w:highlight w:val="none"/>
          <w:u w:val="single"/>
        </w:rPr>
        <w:t xml:space="preserve">    </w:t>
      </w:r>
    </w:p>
    <w:p>
      <w:pPr>
        <w:spacing w:line="360" w:lineRule="auto"/>
        <w:jc w:val="left"/>
        <w:rPr>
          <w:rFonts w:ascii="Times New Roman" w:hAnsi="Times New Roman" w:eastAsia="仿宋_GB2312"/>
          <w:color w:val="000000"/>
          <w:sz w:val="30"/>
          <w:szCs w:val="32"/>
          <w:highlight w:val="none"/>
        </w:rPr>
      </w:pPr>
      <w:r>
        <w:rPr>
          <w:rFonts w:hint="eastAsia"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rPr>
        <w:t xml:space="preserve">。  </w:t>
      </w:r>
    </w:p>
    <w:p>
      <w:pPr>
        <w:spacing w:line="360" w:lineRule="auto"/>
        <w:ind w:firstLine="600" w:firstLineChars="200"/>
        <w:jc w:val="left"/>
        <w:outlineLvl w:val="0"/>
        <w:rPr>
          <w:rFonts w:ascii="Times New Roman" w:hAnsi="Times New Roman" w:eastAsia="仿宋_GB2312"/>
          <w:color w:val="000000"/>
          <w:sz w:val="30"/>
          <w:szCs w:val="32"/>
          <w:highlight w:val="none"/>
        </w:rPr>
      </w:pPr>
      <w:bookmarkStart w:id="1618" w:name="_Toc22612"/>
      <w:bookmarkStart w:id="1619" w:name="_Toc11773"/>
      <w:bookmarkStart w:id="1620" w:name="_Toc29382"/>
      <w:bookmarkStart w:id="1621" w:name="_Toc24542"/>
      <w:r>
        <w:rPr>
          <w:rFonts w:ascii="Times New Roman" w:hAnsi="Times New Roman" w:eastAsia="仿宋_GB2312"/>
          <w:color w:val="000000"/>
          <w:sz w:val="30"/>
          <w:szCs w:val="32"/>
          <w:highlight w:val="none"/>
        </w:rPr>
        <w:t>20.3.1 争议评审小组的确定</w:t>
      </w:r>
      <w:bookmarkEnd w:id="1618"/>
      <w:bookmarkEnd w:id="1619"/>
      <w:bookmarkEnd w:id="1620"/>
      <w:bookmarkEnd w:id="1621"/>
    </w:p>
    <w:p>
      <w:pPr>
        <w:spacing w:line="360" w:lineRule="auto"/>
        <w:ind w:firstLine="600" w:firstLineChars="200"/>
        <w:jc w:val="left"/>
        <w:rPr>
          <w:rFonts w:ascii="Times New Roman" w:hAnsi="Times New Roman" w:eastAsia="仿宋_GB2312"/>
          <w:color w:val="000000"/>
          <w:sz w:val="30"/>
          <w:szCs w:val="32"/>
          <w:highlight w:val="none"/>
          <w:u w:val="single"/>
        </w:rPr>
      </w:pPr>
      <w:r>
        <w:rPr>
          <w:rFonts w:ascii="Times New Roman" w:hAnsi="Times New Roman" w:eastAsia="仿宋_GB2312"/>
          <w:color w:val="000000"/>
          <w:sz w:val="30"/>
          <w:szCs w:val="32"/>
          <w:highlight w:val="none"/>
        </w:rPr>
        <w:t>争议评审小组成员的确定：</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选定争议评审员的期限：</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争议评审小组成员的报酬承担方式：</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其他事项的约定：</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autoSpaceDE w:val="0"/>
        <w:autoSpaceDN w:val="0"/>
        <w:adjustRightInd w:val="0"/>
        <w:spacing w:line="360" w:lineRule="auto"/>
        <w:ind w:firstLine="600" w:firstLineChars="200"/>
        <w:jc w:val="left"/>
        <w:outlineLvl w:val="0"/>
        <w:rPr>
          <w:rFonts w:ascii="Times New Roman" w:hAnsi="Times New Roman" w:eastAsia="仿宋_GB2312"/>
          <w:color w:val="000000"/>
          <w:kern w:val="0"/>
          <w:sz w:val="30"/>
          <w:szCs w:val="32"/>
          <w:highlight w:val="none"/>
        </w:rPr>
      </w:pPr>
      <w:bookmarkStart w:id="1622" w:name="_Toc10943"/>
      <w:bookmarkStart w:id="1623" w:name="_Toc12570"/>
      <w:bookmarkStart w:id="1624" w:name="_Toc10567"/>
      <w:bookmarkStart w:id="1625" w:name="_Toc29361"/>
      <w:r>
        <w:rPr>
          <w:rFonts w:ascii="Times New Roman" w:hAnsi="Times New Roman" w:eastAsia="仿宋_GB2312"/>
          <w:color w:val="000000"/>
          <w:kern w:val="0"/>
          <w:sz w:val="30"/>
          <w:szCs w:val="32"/>
          <w:highlight w:val="none"/>
        </w:rPr>
        <w:t>20.3.2 争议评审小组的决定</w:t>
      </w:r>
      <w:bookmarkEnd w:id="1622"/>
      <w:bookmarkEnd w:id="1623"/>
      <w:bookmarkEnd w:id="1624"/>
      <w:bookmarkEnd w:id="1625"/>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合同当事人关于本项的约定：</w:t>
      </w:r>
      <w:r>
        <w:rPr>
          <w:rFonts w:ascii="Times New Roman" w:hAnsi="Times New Roman" w:eastAsia="仿宋_GB2312"/>
          <w:color w:val="000000"/>
          <w:sz w:val="30"/>
          <w:szCs w:val="32"/>
          <w:highlight w:val="none"/>
          <w:u w:val="single"/>
        </w:rPr>
        <w:t xml:space="preserve">                      </w:t>
      </w:r>
      <w:r>
        <w:rPr>
          <w:rFonts w:hint="eastAsia"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w:t>
      </w:r>
    </w:p>
    <w:p>
      <w:pPr>
        <w:spacing w:after="120" w:line="360" w:lineRule="auto"/>
        <w:ind w:firstLine="600" w:firstLineChars="200"/>
        <w:outlineLvl w:val="0"/>
        <w:rPr>
          <w:rFonts w:hint="eastAsia" w:ascii="Times New Roman" w:hAnsi="Times New Roman" w:eastAsia="黑体"/>
          <w:color w:val="000000"/>
          <w:sz w:val="30"/>
          <w:szCs w:val="32"/>
          <w:highlight w:val="none"/>
        </w:rPr>
      </w:pPr>
      <w:bookmarkStart w:id="1626" w:name="_Toc7654"/>
      <w:bookmarkStart w:id="1627" w:name="_Toc5339"/>
      <w:bookmarkStart w:id="1628" w:name="_Toc20279"/>
      <w:bookmarkStart w:id="1629" w:name="_Toc2071"/>
      <w:r>
        <w:rPr>
          <w:rFonts w:ascii="Times New Roman" w:hAnsi="Times New Roman" w:eastAsia="黑体"/>
          <w:color w:val="000000"/>
          <w:sz w:val="30"/>
          <w:szCs w:val="32"/>
          <w:highlight w:val="none"/>
        </w:rPr>
        <w:t>20.4仲裁或诉讼</w:t>
      </w:r>
      <w:bookmarkEnd w:id="1565"/>
      <w:bookmarkEnd w:id="1626"/>
      <w:bookmarkEnd w:id="1627"/>
      <w:bookmarkEnd w:id="1628"/>
      <w:bookmarkEnd w:id="1629"/>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仿宋_GB2312"/>
          <w:color w:val="000000"/>
          <w:sz w:val="30"/>
          <w:szCs w:val="32"/>
          <w:highlight w:val="none"/>
        </w:rPr>
        <w:t>因合同及合同有关事项发生的争议，按下列第</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种方式</w:t>
      </w:r>
      <w:r>
        <w:rPr>
          <w:rFonts w:hint="eastAsia" w:ascii="Times New Roman" w:hAnsi="Times New Roman" w:eastAsia="仿宋_GB2312"/>
          <w:color w:val="000000"/>
          <w:sz w:val="30"/>
          <w:szCs w:val="32"/>
          <w:highlight w:val="none"/>
        </w:rPr>
        <w:t>解</w:t>
      </w:r>
      <w:r>
        <w:rPr>
          <w:rFonts w:ascii="Times New Roman" w:hAnsi="Times New Roman" w:eastAsia="仿宋_GB2312"/>
          <w:color w:val="000000"/>
          <w:sz w:val="30"/>
          <w:szCs w:val="32"/>
          <w:highlight w:val="none"/>
        </w:rPr>
        <w:t>决：</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（1）向</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仲裁委员会申请仲裁；</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（2）向</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人民法院起诉。</w:t>
      </w:r>
      <w:bookmarkEnd w:id="1566"/>
      <w:bookmarkEnd w:id="1567"/>
      <w:bookmarkEnd w:id="1568"/>
      <w:bookmarkEnd w:id="1569"/>
      <w:bookmarkEnd w:id="1570"/>
      <w:bookmarkEnd w:id="1571"/>
    </w:p>
    <w:p>
      <w:pPr>
        <w:spacing w:line="360" w:lineRule="auto"/>
        <w:jc w:val="left"/>
        <w:rPr>
          <w:rFonts w:ascii="Times New Roman" w:hAnsi="Times New Roman" w:eastAsia="黑体"/>
          <w:b/>
          <w:color w:val="000000"/>
          <w:sz w:val="32"/>
          <w:szCs w:val="32"/>
          <w:highlight w:val="none"/>
        </w:rPr>
      </w:pPr>
      <w:r>
        <w:rPr>
          <w:rFonts w:ascii="Times New Roman" w:hAnsi="Times New Roman" w:eastAsia="仿宋_GB2312"/>
          <w:color w:val="000000"/>
          <w:sz w:val="30"/>
          <w:szCs w:val="32"/>
          <w:highlight w:val="none"/>
        </w:rPr>
        <w:br w:type="page"/>
      </w:r>
      <w:r>
        <w:rPr>
          <w:rFonts w:ascii="Times New Roman" w:hAnsi="Times New Roman" w:eastAsia="黑体"/>
          <w:b/>
          <w:color w:val="000000"/>
          <w:sz w:val="32"/>
          <w:szCs w:val="32"/>
          <w:highlight w:val="none"/>
        </w:rPr>
        <w:t>附件</w:t>
      </w:r>
    </w:p>
    <w:p>
      <w:pPr>
        <w:spacing w:line="360" w:lineRule="auto"/>
        <w:jc w:val="left"/>
        <w:rPr>
          <w:rFonts w:hint="eastAsia" w:ascii="Times New Roman" w:hAnsi="Times New Roman" w:eastAsia="仿宋_GB2312"/>
          <w:color w:val="000000"/>
          <w:sz w:val="30"/>
          <w:szCs w:val="32"/>
          <w:highlight w:val="none"/>
        </w:rPr>
      </w:pPr>
      <w:r>
        <w:rPr>
          <w:rFonts w:hint="eastAsia" w:ascii="Times New Roman" w:hAnsi="Times New Roman" w:eastAsia="仿宋_GB2312"/>
          <w:color w:val="000000"/>
          <w:sz w:val="30"/>
          <w:szCs w:val="32"/>
          <w:highlight w:val="none"/>
        </w:rPr>
        <w:t>协议书附件：</w:t>
      </w:r>
    </w:p>
    <w:p>
      <w:pPr>
        <w:spacing w:line="360" w:lineRule="auto"/>
        <w:jc w:val="left"/>
        <w:rPr>
          <w:rFonts w:hint="eastAsia"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附件1：承包人承揽工程项目一览表</w:t>
      </w:r>
    </w:p>
    <w:p>
      <w:pPr>
        <w:spacing w:line="360" w:lineRule="auto"/>
        <w:jc w:val="left"/>
        <w:rPr>
          <w:rFonts w:ascii="Times New Roman" w:hAnsi="Times New Roman" w:eastAsia="仿宋_GB2312"/>
          <w:color w:val="000000"/>
          <w:sz w:val="30"/>
          <w:szCs w:val="32"/>
          <w:highlight w:val="none"/>
        </w:rPr>
      </w:pPr>
      <w:r>
        <w:rPr>
          <w:rFonts w:hint="eastAsia" w:ascii="Times New Roman" w:hAnsi="Times New Roman" w:eastAsia="仿宋_GB2312"/>
          <w:color w:val="000000"/>
          <w:sz w:val="30"/>
          <w:szCs w:val="32"/>
          <w:highlight w:val="none"/>
        </w:rPr>
        <w:t>专用合同条款附件：</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附件2：发包人供应材料设备一览表</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附件3：工程质量保修书</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附件4：主要建设工程文件目录</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附件5：承包人用于本工程施工的机械设备表</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附件6：承包人主要施工管理人员表</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附件7：分包人主要施工管理人员表</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附件8：履约担保格式</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附件9：预付款担保格式</w:t>
      </w:r>
    </w:p>
    <w:p>
      <w:pPr>
        <w:spacing w:line="360" w:lineRule="auto"/>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附件10：支付担保格式</w:t>
      </w:r>
    </w:p>
    <w:p>
      <w:pPr>
        <w:spacing w:line="360" w:lineRule="auto"/>
        <w:jc w:val="left"/>
        <w:rPr>
          <w:rFonts w:ascii="Times New Roman" w:hAnsi="Times New Roman" w:eastAsia="黑体"/>
          <w:color w:val="000000"/>
          <w:sz w:val="30"/>
          <w:szCs w:val="30"/>
          <w:highlight w:val="none"/>
        </w:rPr>
        <w:sectPr>
          <w:footerReference r:id="rId8" w:type="first"/>
          <w:pgSz w:w="11906" w:h="16838"/>
          <w:pgMar w:top="1418" w:right="1555" w:bottom="1418" w:left="1531" w:header="851" w:footer="992" w:gutter="0"/>
          <w:pgNumType w:fmt="decimal"/>
          <w:cols w:space="720" w:num="1"/>
          <w:titlePg/>
          <w:docGrid w:type="lines" w:linePitch="312" w:charSpace="0"/>
        </w:sectPr>
      </w:pPr>
      <w:r>
        <w:rPr>
          <w:rFonts w:ascii="Times New Roman" w:hAnsi="Times New Roman" w:eastAsia="仿宋_GB2312"/>
          <w:color w:val="000000"/>
          <w:sz w:val="30"/>
          <w:szCs w:val="32"/>
          <w:highlight w:val="none"/>
        </w:rPr>
        <w:t>附件11：暂估价一览表</w:t>
      </w:r>
    </w:p>
    <w:p>
      <w:pPr>
        <w:spacing w:before="156" w:beforeLines="50" w:after="156" w:afterLines="50" w:line="440" w:lineRule="exact"/>
        <w:jc w:val="left"/>
        <w:rPr>
          <w:rFonts w:hint="eastAsia" w:ascii="仿宋_GB2312" w:hAnsi="Times New Roman" w:eastAsia="仿宋_GB2312"/>
          <w:color w:val="000000"/>
          <w:sz w:val="30"/>
          <w:szCs w:val="30"/>
          <w:highlight w:val="none"/>
        </w:rPr>
      </w:pPr>
      <w:r>
        <w:rPr>
          <w:rFonts w:hint="eastAsia" w:ascii="仿宋_GB2312" w:hAnsi="Times New Roman" w:eastAsia="仿宋_GB2312"/>
          <w:color w:val="000000"/>
          <w:sz w:val="30"/>
          <w:szCs w:val="30"/>
          <w:highlight w:val="none"/>
        </w:rPr>
        <w:t>附件1：</w:t>
      </w:r>
    </w:p>
    <w:p>
      <w:pPr>
        <w:spacing w:before="156" w:beforeLines="50" w:after="156" w:afterLines="50" w:line="440" w:lineRule="exact"/>
        <w:jc w:val="center"/>
        <w:rPr>
          <w:rFonts w:hint="eastAsia" w:ascii="Times New Roman" w:hAnsi="Times New Roman" w:eastAsia="黑体"/>
          <w:color w:val="000000"/>
          <w:sz w:val="30"/>
          <w:szCs w:val="30"/>
          <w:highlight w:val="none"/>
        </w:rPr>
      </w:pPr>
      <w:r>
        <w:rPr>
          <w:rFonts w:ascii="Times New Roman" w:hAnsi="Times New Roman" w:eastAsia="黑体"/>
          <w:color w:val="000000"/>
          <w:sz w:val="30"/>
          <w:szCs w:val="30"/>
          <w:highlight w:val="none"/>
        </w:rPr>
        <w:t>承包人承揽工程项目一览表</w:t>
      </w:r>
    </w:p>
    <w:tbl>
      <w:tblPr>
        <w:tblStyle w:val="25"/>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单位工程名称</w:t>
            </w:r>
          </w:p>
        </w:tc>
        <w:tc>
          <w:tcPr>
            <w:tcW w:w="1843"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建设规模</w:t>
            </w:r>
          </w:p>
        </w:tc>
        <w:tc>
          <w:tcPr>
            <w:tcW w:w="1417"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建筑面积(平方米)</w:t>
            </w:r>
          </w:p>
        </w:tc>
        <w:tc>
          <w:tcPr>
            <w:tcW w:w="2410"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结构</w:t>
            </w:r>
            <w:r>
              <w:rPr>
                <w:rFonts w:hint="eastAsia" w:eastAsia="仿宋_GB2312"/>
                <w:color w:val="000000"/>
                <w:kern w:val="2"/>
                <w:sz w:val="28"/>
                <w:szCs w:val="30"/>
                <w:highlight w:val="none"/>
                <w:lang w:val="en-US" w:eastAsia="zh-CN"/>
              </w:rPr>
              <w:t>形式</w:t>
            </w:r>
          </w:p>
        </w:tc>
        <w:tc>
          <w:tcPr>
            <w:tcW w:w="850"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层数</w:t>
            </w:r>
          </w:p>
        </w:tc>
        <w:tc>
          <w:tcPr>
            <w:tcW w:w="1560"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生产能力</w:t>
            </w:r>
          </w:p>
        </w:tc>
        <w:tc>
          <w:tcPr>
            <w:tcW w:w="2126"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设备安装内容</w:t>
            </w:r>
          </w:p>
        </w:tc>
        <w:tc>
          <w:tcPr>
            <w:tcW w:w="1417"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合同价格（元）</w:t>
            </w:r>
          </w:p>
        </w:tc>
        <w:tc>
          <w:tcPr>
            <w:tcW w:w="851"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开工日期</w:t>
            </w:r>
          </w:p>
        </w:tc>
        <w:tc>
          <w:tcPr>
            <w:tcW w:w="850"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竣工日期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843"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7"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2410"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560"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2126"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7"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843"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7"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241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56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2126"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7"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843"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7"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241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56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2126"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7"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843"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241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56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2126"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843"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7"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241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56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2126"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7"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843"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241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56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2126"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843"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7"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241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56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2126"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7"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843"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7"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241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56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2126"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7"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843"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241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56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2126"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843"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7"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241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56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2126"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7"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843"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241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56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2126"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bl>
    <w:p>
      <w:pPr>
        <w:spacing w:line="440" w:lineRule="exact"/>
        <w:rPr>
          <w:rFonts w:ascii="Times New Roman" w:hAnsi="Times New Roman" w:eastAsia="仿宋_GB2312"/>
          <w:b/>
          <w:color w:val="000000"/>
          <w:sz w:val="30"/>
          <w:szCs w:val="30"/>
          <w:highlight w:val="none"/>
        </w:rPr>
        <w:sectPr>
          <w:pgSz w:w="16838" w:h="11906" w:orient="landscape"/>
          <w:pgMar w:top="1554" w:right="1418" w:bottom="1531" w:left="1418" w:header="851" w:footer="992" w:gutter="0"/>
          <w:pgNumType w:fmt="decimal"/>
          <w:cols w:space="720" w:num="1"/>
          <w:titlePg/>
          <w:docGrid w:type="linesAndChars" w:linePitch="312" w:charSpace="0"/>
        </w:sectPr>
      </w:pPr>
    </w:p>
    <w:p>
      <w:pPr>
        <w:spacing w:line="440" w:lineRule="exact"/>
        <w:rPr>
          <w:rFonts w:ascii="Times New Roman" w:hAnsi="Times New Roman" w:eastAsia="黑体"/>
          <w:color w:val="000000"/>
          <w:sz w:val="30"/>
          <w:szCs w:val="30"/>
          <w:highlight w:val="none"/>
        </w:rPr>
      </w:pPr>
      <w:r>
        <w:rPr>
          <w:rFonts w:ascii="Times New Roman" w:hAnsi="Times New Roman" w:eastAsia="仿宋_GB2312"/>
          <w:color w:val="000000"/>
          <w:sz w:val="30"/>
          <w:szCs w:val="30"/>
          <w:highlight w:val="none"/>
        </w:rPr>
        <w:t>附</w:t>
      </w:r>
      <w:bookmarkStart w:id="1630" w:name="_Toc296891053"/>
      <w:bookmarkStart w:id="1631" w:name="_Toc296346726"/>
      <w:bookmarkStart w:id="1632" w:name="_Toc296944564"/>
      <w:bookmarkStart w:id="1633" w:name="_Toc296891265"/>
      <w:bookmarkStart w:id="1634" w:name="_Toc296503225"/>
      <w:bookmarkStart w:id="1635" w:name="_Toc296347224"/>
      <w:bookmarkStart w:id="1636" w:name="_Toc267261692"/>
      <w:r>
        <w:rPr>
          <w:rFonts w:ascii="Times New Roman" w:hAnsi="Times New Roman" w:eastAsia="仿宋_GB2312"/>
          <w:color w:val="000000"/>
          <w:sz w:val="30"/>
          <w:szCs w:val="30"/>
          <w:highlight w:val="none"/>
        </w:rPr>
        <w:t>件2：</w:t>
      </w:r>
    </w:p>
    <w:bookmarkEnd w:id="1630"/>
    <w:bookmarkEnd w:id="1631"/>
    <w:bookmarkEnd w:id="1632"/>
    <w:bookmarkEnd w:id="1633"/>
    <w:bookmarkEnd w:id="1634"/>
    <w:bookmarkEnd w:id="1635"/>
    <w:bookmarkEnd w:id="1636"/>
    <w:p>
      <w:pPr>
        <w:spacing w:before="156" w:beforeLines="50" w:after="156" w:afterLines="50" w:line="440" w:lineRule="exact"/>
        <w:jc w:val="center"/>
        <w:rPr>
          <w:rFonts w:hint="eastAsia" w:ascii="Times New Roman" w:hAnsi="Times New Roman" w:eastAsia="黑体"/>
          <w:color w:val="000000"/>
          <w:sz w:val="30"/>
          <w:szCs w:val="30"/>
          <w:highlight w:val="none"/>
        </w:rPr>
      </w:pPr>
      <w:r>
        <w:rPr>
          <w:rFonts w:ascii="Times New Roman" w:hAnsi="Times New Roman" w:eastAsia="黑体"/>
          <w:color w:val="000000"/>
          <w:sz w:val="30"/>
          <w:szCs w:val="30"/>
          <w:highlight w:val="none"/>
        </w:rPr>
        <w:t>发包人供应材料设备一览表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序号</w:t>
            </w:r>
          </w:p>
        </w:tc>
        <w:tc>
          <w:tcPr>
            <w:tcW w:w="1276" w:type="dxa"/>
            <w:tcBorders>
              <w:top w:val="single" w:color="auto" w:sz="12" w:space="0"/>
              <w:bottom w:val="double" w:color="auto" w:sz="6" w:space="0"/>
            </w:tcBorders>
            <w:noWrap w:val="0"/>
            <w:vAlign w:val="center"/>
          </w:tcPr>
          <w:p>
            <w:pPr>
              <w:pStyle w:val="12"/>
              <w:keepNext/>
              <w:spacing w:after="0" w:line="440" w:lineRule="exact"/>
              <w:ind w:left="63" w:right="63"/>
              <w:rPr>
                <w:rFonts w:hint="eastAsia" w:eastAsia="仿宋_GB2312"/>
                <w:color w:val="000000"/>
                <w:kern w:val="2"/>
                <w:sz w:val="28"/>
                <w:szCs w:val="30"/>
                <w:highlight w:val="none"/>
                <w:lang w:val="en-US" w:eastAsia="zh-CN"/>
              </w:rPr>
            </w:pPr>
            <w:r>
              <w:rPr>
                <w:rFonts w:hint="eastAsia" w:eastAsia="仿宋_GB2312"/>
                <w:color w:val="000000"/>
                <w:kern w:val="2"/>
                <w:sz w:val="28"/>
                <w:szCs w:val="30"/>
                <w:highlight w:val="none"/>
                <w:lang w:val="en-US" w:eastAsia="zh-CN"/>
              </w:rPr>
              <w:t xml:space="preserve">  </w:t>
            </w:r>
            <w:r>
              <w:rPr>
                <w:rFonts w:eastAsia="仿宋_GB2312"/>
                <w:color w:val="000000"/>
                <w:kern w:val="2"/>
                <w:sz w:val="28"/>
                <w:szCs w:val="30"/>
                <w:highlight w:val="none"/>
                <w:lang w:val="en-US" w:eastAsia="zh-CN"/>
              </w:rPr>
              <w:t>材料、</w:t>
            </w:r>
          </w:p>
          <w:p>
            <w:pPr>
              <w:pStyle w:val="12"/>
              <w:keepNext/>
              <w:spacing w:after="0" w:line="440" w:lineRule="exact"/>
              <w:ind w:left="0" w:leftChars="0" w:right="63"/>
              <w:jc w:val="both"/>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设备品种</w:t>
            </w:r>
          </w:p>
        </w:tc>
        <w:tc>
          <w:tcPr>
            <w:tcW w:w="1418"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规格型号</w:t>
            </w:r>
          </w:p>
        </w:tc>
        <w:tc>
          <w:tcPr>
            <w:tcW w:w="940"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单位</w:t>
            </w:r>
          </w:p>
        </w:tc>
        <w:tc>
          <w:tcPr>
            <w:tcW w:w="851"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数量</w:t>
            </w:r>
          </w:p>
        </w:tc>
        <w:tc>
          <w:tcPr>
            <w:tcW w:w="1044"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单价</w:t>
            </w:r>
            <w:r>
              <w:rPr>
                <w:rFonts w:hint="eastAsia" w:eastAsia="仿宋_GB2312"/>
                <w:color w:val="000000"/>
                <w:kern w:val="2"/>
                <w:sz w:val="28"/>
                <w:szCs w:val="30"/>
                <w:highlight w:val="none"/>
                <w:lang w:val="en-US" w:eastAsia="zh-CN"/>
              </w:rPr>
              <w:t>（元）</w:t>
            </w:r>
          </w:p>
        </w:tc>
        <w:tc>
          <w:tcPr>
            <w:tcW w:w="992"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质量等级</w:t>
            </w:r>
          </w:p>
        </w:tc>
        <w:tc>
          <w:tcPr>
            <w:tcW w:w="851"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供应时间</w:t>
            </w:r>
          </w:p>
        </w:tc>
        <w:tc>
          <w:tcPr>
            <w:tcW w:w="1487"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送达地点</w:t>
            </w:r>
          </w:p>
        </w:tc>
        <w:tc>
          <w:tcPr>
            <w:tcW w:w="992"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76"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8"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40"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44"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92"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87"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92"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76"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8"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4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44"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92"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87"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92"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76"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8"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4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4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9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8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9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76"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8"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4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4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9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8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9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76"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8"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4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4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9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8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9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76"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8"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4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4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9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8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9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76"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8"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4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4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9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8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9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76"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8"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4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4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9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8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9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jc w:val="center"/>
              <w:rPr>
                <w:rFonts w:eastAsia="仿宋_GB2312"/>
                <w:color w:val="000000"/>
                <w:sz w:val="30"/>
                <w:szCs w:val="30"/>
                <w:highlight w:val="none"/>
              </w:rPr>
            </w:pPr>
          </w:p>
        </w:tc>
        <w:tc>
          <w:tcPr>
            <w:tcW w:w="1276" w:type="dxa"/>
            <w:noWrap w:val="0"/>
            <w:vAlign w:val="center"/>
          </w:tcPr>
          <w:p>
            <w:pPr>
              <w:jc w:val="center"/>
              <w:rPr>
                <w:rFonts w:eastAsia="仿宋_GB2312"/>
                <w:color w:val="000000"/>
                <w:sz w:val="30"/>
                <w:szCs w:val="30"/>
                <w:highlight w:val="none"/>
              </w:rPr>
            </w:pPr>
          </w:p>
        </w:tc>
        <w:tc>
          <w:tcPr>
            <w:tcW w:w="1418" w:type="dxa"/>
            <w:noWrap w:val="0"/>
            <w:vAlign w:val="center"/>
          </w:tcPr>
          <w:p>
            <w:pPr>
              <w:jc w:val="center"/>
              <w:rPr>
                <w:rFonts w:eastAsia="仿宋_GB2312"/>
                <w:color w:val="000000"/>
                <w:sz w:val="30"/>
                <w:szCs w:val="30"/>
                <w:highlight w:val="none"/>
              </w:rPr>
            </w:pPr>
          </w:p>
        </w:tc>
        <w:tc>
          <w:tcPr>
            <w:tcW w:w="940" w:type="dxa"/>
            <w:noWrap w:val="0"/>
            <w:vAlign w:val="center"/>
          </w:tcPr>
          <w:p>
            <w:pPr>
              <w:jc w:val="center"/>
              <w:rPr>
                <w:rFonts w:eastAsia="仿宋_GB2312"/>
                <w:color w:val="000000"/>
                <w:sz w:val="30"/>
                <w:szCs w:val="30"/>
                <w:highlight w:val="none"/>
              </w:rPr>
            </w:pPr>
          </w:p>
        </w:tc>
        <w:tc>
          <w:tcPr>
            <w:tcW w:w="851" w:type="dxa"/>
            <w:noWrap w:val="0"/>
            <w:vAlign w:val="center"/>
          </w:tcPr>
          <w:p>
            <w:pPr>
              <w:jc w:val="center"/>
              <w:rPr>
                <w:rFonts w:eastAsia="仿宋_GB2312"/>
                <w:color w:val="000000"/>
                <w:sz w:val="30"/>
                <w:szCs w:val="30"/>
                <w:highlight w:val="none"/>
              </w:rPr>
            </w:pPr>
          </w:p>
        </w:tc>
        <w:tc>
          <w:tcPr>
            <w:tcW w:w="1044" w:type="dxa"/>
            <w:noWrap w:val="0"/>
            <w:vAlign w:val="center"/>
          </w:tcPr>
          <w:p>
            <w:pPr>
              <w:jc w:val="center"/>
              <w:rPr>
                <w:rFonts w:eastAsia="仿宋_GB2312"/>
                <w:color w:val="000000"/>
                <w:sz w:val="30"/>
                <w:szCs w:val="30"/>
                <w:highlight w:val="none"/>
              </w:rPr>
            </w:pPr>
          </w:p>
        </w:tc>
        <w:tc>
          <w:tcPr>
            <w:tcW w:w="992" w:type="dxa"/>
            <w:noWrap w:val="0"/>
            <w:vAlign w:val="center"/>
          </w:tcPr>
          <w:p>
            <w:pPr>
              <w:jc w:val="center"/>
              <w:rPr>
                <w:rFonts w:eastAsia="仿宋_GB2312"/>
                <w:color w:val="000000"/>
                <w:sz w:val="30"/>
                <w:szCs w:val="30"/>
                <w:highlight w:val="none"/>
              </w:rPr>
            </w:pPr>
          </w:p>
        </w:tc>
        <w:tc>
          <w:tcPr>
            <w:tcW w:w="851" w:type="dxa"/>
            <w:noWrap w:val="0"/>
            <w:vAlign w:val="center"/>
          </w:tcPr>
          <w:p>
            <w:pPr>
              <w:jc w:val="center"/>
              <w:rPr>
                <w:rFonts w:eastAsia="仿宋_GB2312"/>
                <w:color w:val="000000"/>
                <w:sz w:val="30"/>
                <w:szCs w:val="30"/>
                <w:highlight w:val="none"/>
              </w:rPr>
            </w:pPr>
          </w:p>
        </w:tc>
        <w:tc>
          <w:tcPr>
            <w:tcW w:w="1487" w:type="dxa"/>
            <w:noWrap w:val="0"/>
            <w:vAlign w:val="center"/>
          </w:tcPr>
          <w:p>
            <w:pPr>
              <w:jc w:val="center"/>
              <w:rPr>
                <w:rFonts w:eastAsia="仿宋_GB2312"/>
                <w:color w:val="000000"/>
                <w:sz w:val="30"/>
                <w:szCs w:val="30"/>
                <w:highlight w:val="none"/>
              </w:rPr>
            </w:pPr>
          </w:p>
        </w:tc>
        <w:tc>
          <w:tcPr>
            <w:tcW w:w="992" w:type="dxa"/>
            <w:noWrap w:val="0"/>
            <w:vAlign w:val="center"/>
          </w:tcPr>
          <w:p>
            <w:pPr>
              <w:jc w:val="cente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76"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8"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4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4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9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8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9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jc w:val="center"/>
              <w:rPr>
                <w:rFonts w:eastAsia="仿宋_GB2312"/>
                <w:color w:val="000000"/>
                <w:sz w:val="30"/>
                <w:szCs w:val="30"/>
                <w:highlight w:val="none"/>
              </w:rPr>
            </w:pPr>
          </w:p>
        </w:tc>
        <w:tc>
          <w:tcPr>
            <w:tcW w:w="1276" w:type="dxa"/>
            <w:noWrap w:val="0"/>
            <w:vAlign w:val="center"/>
          </w:tcPr>
          <w:p>
            <w:pPr>
              <w:jc w:val="center"/>
              <w:rPr>
                <w:rFonts w:eastAsia="仿宋_GB2312"/>
                <w:color w:val="000000"/>
                <w:sz w:val="30"/>
                <w:szCs w:val="30"/>
                <w:highlight w:val="none"/>
              </w:rPr>
            </w:pPr>
          </w:p>
        </w:tc>
        <w:tc>
          <w:tcPr>
            <w:tcW w:w="1418" w:type="dxa"/>
            <w:noWrap w:val="0"/>
            <w:vAlign w:val="center"/>
          </w:tcPr>
          <w:p>
            <w:pPr>
              <w:jc w:val="center"/>
              <w:rPr>
                <w:rFonts w:eastAsia="仿宋_GB2312"/>
                <w:color w:val="000000"/>
                <w:sz w:val="30"/>
                <w:szCs w:val="30"/>
                <w:highlight w:val="none"/>
              </w:rPr>
            </w:pPr>
          </w:p>
        </w:tc>
        <w:tc>
          <w:tcPr>
            <w:tcW w:w="940" w:type="dxa"/>
            <w:noWrap w:val="0"/>
            <w:vAlign w:val="center"/>
          </w:tcPr>
          <w:p>
            <w:pPr>
              <w:jc w:val="center"/>
              <w:rPr>
                <w:rFonts w:eastAsia="仿宋_GB2312"/>
                <w:color w:val="000000"/>
                <w:sz w:val="30"/>
                <w:szCs w:val="30"/>
                <w:highlight w:val="none"/>
              </w:rPr>
            </w:pPr>
          </w:p>
        </w:tc>
        <w:tc>
          <w:tcPr>
            <w:tcW w:w="851" w:type="dxa"/>
            <w:noWrap w:val="0"/>
            <w:vAlign w:val="center"/>
          </w:tcPr>
          <w:p>
            <w:pPr>
              <w:jc w:val="center"/>
              <w:rPr>
                <w:rFonts w:eastAsia="仿宋_GB2312"/>
                <w:color w:val="000000"/>
                <w:sz w:val="30"/>
                <w:szCs w:val="30"/>
                <w:highlight w:val="none"/>
              </w:rPr>
            </w:pPr>
          </w:p>
        </w:tc>
        <w:tc>
          <w:tcPr>
            <w:tcW w:w="1044" w:type="dxa"/>
            <w:noWrap w:val="0"/>
            <w:vAlign w:val="center"/>
          </w:tcPr>
          <w:p>
            <w:pPr>
              <w:jc w:val="center"/>
              <w:rPr>
                <w:rFonts w:eastAsia="仿宋_GB2312"/>
                <w:color w:val="000000"/>
                <w:sz w:val="30"/>
                <w:szCs w:val="30"/>
                <w:highlight w:val="none"/>
              </w:rPr>
            </w:pPr>
          </w:p>
        </w:tc>
        <w:tc>
          <w:tcPr>
            <w:tcW w:w="992" w:type="dxa"/>
            <w:noWrap w:val="0"/>
            <w:vAlign w:val="center"/>
          </w:tcPr>
          <w:p>
            <w:pPr>
              <w:jc w:val="center"/>
              <w:rPr>
                <w:rFonts w:eastAsia="仿宋_GB2312"/>
                <w:color w:val="000000"/>
                <w:sz w:val="30"/>
                <w:szCs w:val="30"/>
                <w:highlight w:val="none"/>
              </w:rPr>
            </w:pPr>
          </w:p>
        </w:tc>
        <w:tc>
          <w:tcPr>
            <w:tcW w:w="851" w:type="dxa"/>
            <w:noWrap w:val="0"/>
            <w:vAlign w:val="center"/>
          </w:tcPr>
          <w:p>
            <w:pPr>
              <w:jc w:val="center"/>
              <w:rPr>
                <w:rFonts w:eastAsia="仿宋_GB2312"/>
                <w:color w:val="000000"/>
                <w:sz w:val="30"/>
                <w:szCs w:val="30"/>
                <w:highlight w:val="none"/>
              </w:rPr>
            </w:pPr>
          </w:p>
        </w:tc>
        <w:tc>
          <w:tcPr>
            <w:tcW w:w="1487" w:type="dxa"/>
            <w:noWrap w:val="0"/>
            <w:vAlign w:val="center"/>
          </w:tcPr>
          <w:p>
            <w:pPr>
              <w:jc w:val="center"/>
              <w:rPr>
                <w:rFonts w:eastAsia="仿宋_GB2312"/>
                <w:color w:val="000000"/>
                <w:sz w:val="30"/>
                <w:szCs w:val="30"/>
                <w:highlight w:val="none"/>
              </w:rPr>
            </w:pPr>
          </w:p>
        </w:tc>
        <w:tc>
          <w:tcPr>
            <w:tcW w:w="992" w:type="dxa"/>
            <w:noWrap w:val="0"/>
            <w:vAlign w:val="center"/>
          </w:tcPr>
          <w:p>
            <w:pPr>
              <w:jc w:val="cente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jc w:val="center"/>
              <w:rPr>
                <w:rFonts w:eastAsia="仿宋_GB2312"/>
                <w:color w:val="000000"/>
                <w:sz w:val="30"/>
                <w:szCs w:val="30"/>
                <w:highlight w:val="none"/>
              </w:rPr>
            </w:pPr>
          </w:p>
        </w:tc>
        <w:tc>
          <w:tcPr>
            <w:tcW w:w="1276" w:type="dxa"/>
            <w:noWrap w:val="0"/>
            <w:vAlign w:val="center"/>
          </w:tcPr>
          <w:p>
            <w:pPr>
              <w:jc w:val="center"/>
              <w:rPr>
                <w:rFonts w:eastAsia="仿宋_GB2312"/>
                <w:color w:val="000000"/>
                <w:sz w:val="30"/>
                <w:szCs w:val="30"/>
                <w:highlight w:val="none"/>
              </w:rPr>
            </w:pPr>
          </w:p>
        </w:tc>
        <w:tc>
          <w:tcPr>
            <w:tcW w:w="1418" w:type="dxa"/>
            <w:noWrap w:val="0"/>
            <w:vAlign w:val="center"/>
          </w:tcPr>
          <w:p>
            <w:pPr>
              <w:jc w:val="center"/>
              <w:rPr>
                <w:rFonts w:eastAsia="仿宋_GB2312"/>
                <w:color w:val="000000"/>
                <w:sz w:val="30"/>
                <w:szCs w:val="30"/>
                <w:highlight w:val="none"/>
              </w:rPr>
            </w:pPr>
          </w:p>
        </w:tc>
        <w:tc>
          <w:tcPr>
            <w:tcW w:w="940" w:type="dxa"/>
            <w:noWrap w:val="0"/>
            <w:vAlign w:val="center"/>
          </w:tcPr>
          <w:p>
            <w:pPr>
              <w:jc w:val="center"/>
              <w:rPr>
                <w:rFonts w:eastAsia="仿宋_GB2312"/>
                <w:color w:val="000000"/>
                <w:sz w:val="30"/>
                <w:szCs w:val="30"/>
                <w:highlight w:val="none"/>
              </w:rPr>
            </w:pPr>
          </w:p>
        </w:tc>
        <w:tc>
          <w:tcPr>
            <w:tcW w:w="851" w:type="dxa"/>
            <w:noWrap w:val="0"/>
            <w:vAlign w:val="center"/>
          </w:tcPr>
          <w:p>
            <w:pPr>
              <w:jc w:val="center"/>
              <w:rPr>
                <w:rFonts w:eastAsia="仿宋_GB2312"/>
                <w:color w:val="000000"/>
                <w:sz w:val="30"/>
                <w:szCs w:val="30"/>
                <w:highlight w:val="none"/>
              </w:rPr>
            </w:pPr>
          </w:p>
        </w:tc>
        <w:tc>
          <w:tcPr>
            <w:tcW w:w="1044" w:type="dxa"/>
            <w:noWrap w:val="0"/>
            <w:vAlign w:val="center"/>
          </w:tcPr>
          <w:p>
            <w:pPr>
              <w:jc w:val="center"/>
              <w:rPr>
                <w:rFonts w:eastAsia="仿宋_GB2312"/>
                <w:color w:val="000000"/>
                <w:sz w:val="30"/>
                <w:szCs w:val="30"/>
                <w:highlight w:val="none"/>
              </w:rPr>
            </w:pPr>
          </w:p>
        </w:tc>
        <w:tc>
          <w:tcPr>
            <w:tcW w:w="992" w:type="dxa"/>
            <w:noWrap w:val="0"/>
            <w:vAlign w:val="center"/>
          </w:tcPr>
          <w:p>
            <w:pPr>
              <w:jc w:val="center"/>
              <w:rPr>
                <w:rFonts w:eastAsia="仿宋_GB2312"/>
                <w:color w:val="000000"/>
                <w:sz w:val="30"/>
                <w:szCs w:val="30"/>
                <w:highlight w:val="none"/>
              </w:rPr>
            </w:pPr>
          </w:p>
        </w:tc>
        <w:tc>
          <w:tcPr>
            <w:tcW w:w="851" w:type="dxa"/>
            <w:noWrap w:val="0"/>
            <w:vAlign w:val="center"/>
          </w:tcPr>
          <w:p>
            <w:pPr>
              <w:jc w:val="center"/>
              <w:rPr>
                <w:rFonts w:eastAsia="仿宋_GB2312"/>
                <w:color w:val="000000"/>
                <w:sz w:val="30"/>
                <w:szCs w:val="30"/>
                <w:highlight w:val="none"/>
              </w:rPr>
            </w:pPr>
          </w:p>
        </w:tc>
        <w:tc>
          <w:tcPr>
            <w:tcW w:w="1487" w:type="dxa"/>
            <w:noWrap w:val="0"/>
            <w:vAlign w:val="center"/>
          </w:tcPr>
          <w:p>
            <w:pPr>
              <w:jc w:val="center"/>
              <w:rPr>
                <w:rFonts w:eastAsia="仿宋_GB2312"/>
                <w:color w:val="000000"/>
                <w:sz w:val="30"/>
                <w:szCs w:val="30"/>
                <w:highlight w:val="none"/>
              </w:rPr>
            </w:pPr>
          </w:p>
        </w:tc>
        <w:tc>
          <w:tcPr>
            <w:tcW w:w="992" w:type="dxa"/>
            <w:noWrap w:val="0"/>
            <w:vAlign w:val="center"/>
          </w:tcPr>
          <w:p>
            <w:pPr>
              <w:jc w:val="cente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jc w:val="center"/>
              <w:rPr>
                <w:rFonts w:eastAsia="仿宋_GB2312"/>
                <w:color w:val="000000"/>
                <w:sz w:val="30"/>
                <w:szCs w:val="30"/>
                <w:highlight w:val="none"/>
              </w:rPr>
            </w:pPr>
          </w:p>
        </w:tc>
        <w:tc>
          <w:tcPr>
            <w:tcW w:w="1276" w:type="dxa"/>
            <w:noWrap w:val="0"/>
            <w:vAlign w:val="center"/>
          </w:tcPr>
          <w:p>
            <w:pPr>
              <w:jc w:val="center"/>
              <w:rPr>
                <w:rFonts w:eastAsia="仿宋_GB2312"/>
                <w:color w:val="000000"/>
                <w:sz w:val="30"/>
                <w:szCs w:val="30"/>
                <w:highlight w:val="none"/>
              </w:rPr>
            </w:pPr>
          </w:p>
        </w:tc>
        <w:tc>
          <w:tcPr>
            <w:tcW w:w="1418" w:type="dxa"/>
            <w:noWrap w:val="0"/>
            <w:vAlign w:val="center"/>
          </w:tcPr>
          <w:p>
            <w:pPr>
              <w:jc w:val="center"/>
              <w:rPr>
                <w:rFonts w:eastAsia="仿宋_GB2312"/>
                <w:color w:val="000000"/>
                <w:sz w:val="30"/>
                <w:szCs w:val="30"/>
                <w:highlight w:val="none"/>
              </w:rPr>
            </w:pPr>
          </w:p>
        </w:tc>
        <w:tc>
          <w:tcPr>
            <w:tcW w:w="940" w:type="dxa"/>
            <w:noWrap w:val="0"/>
            <w:vAlign w:val="center"/>
          </w:tcPr>
          <w:p>
            <w:pPr>
              <w:jc w:val="center"/>
              <w:rPr>
                <w:rFonts w:eastAsia="仿宋_GB2312"/>
                <w:color w:val="000000"/>
                <w:sz w:val="30"/>
                <w:szCs w:val="30"/>
                <w:highlight w:val="none"/>
              </w:rPr>
            </w:pPr>
          </w:p>
        </w:tc>
        <w:tc>
          <w:tcPr>
            <w:tcW w:w="851" w:type="dxa"/>
            <w:noWrap w:val="0"/>
            <w:vAlign w:val="center"/>
          </w:tcPr>
          <w:p>
            <w:pPr>
              <w:jc w:val="center"/>
              <w:rPr>
                <w:rFonts w:eastAsia="仿宋_GB2312"/>
                <w:color w:val="000000"/>
                <w:sz w:val="30"/>
                <w:szCs w:val="30"/>
                <w:highlight w:val="none"/>
              </w:rPr>
            </w:pPr>
          </w:p>
        </w:tc>
        <w:tc>
          <w:tcPr>
            <w:tcW w:w="1044" w:type="dxa"/>
            <w:noWrap w:val="0"/>
            <w:vAlign w:val="center"/>
          </w:tcPr>
          <w:p>
            <w:pPr>
              <w:jc w:val="center"/>
              <w:rPr>
                <w:rFonts w:eastAsia="仿宋_GB2312"/>
                <w:color w:val="000000"/>
                <w:sz w:val="30"/>
                <w:szCs w:val="30"/>
                <w:highlight w:val="none"/>
              </w:rPr>
            </w:pPr>
          </w:p>
        </w:tc>
        <w:tc>
          <w:tcPr>
            <w:tcW w:w="992" w:type="dxa"/>
            <w:noWrap w:val="0"/>
            <w:vAlign w:val="center"/>
          </w:tcPr>
          <w:p>
            <w:pPr>
              <w:jc w:val="center"/>
              <w:rPr>
                <w:rFonts w:eastAsia="仿宋_GB2312"/>
                <w:color w:val="000000"/>
                <w:sz w:val="30"/>
                <w:szCs w:val="30"/>
                <w:highlight w:val="none"/>
              </w:rPr>
            </w:pPr>
          </w:p>
        </w:tc>
        <w:tc>
          <w:tcPr>
            <w:tcW w:w="851" w:type="dxa"/>
            <w:noWrap w:val="0"/>
            <w:vAlign w:val="center"/>
          </w:tcPr>
          <w:p>
            <w:pPr>
              <w:jc w:val="center"/>
              <w:rPr>
                <w:rFonts w:eastAsia="仿宋_GB2312"/>
                <w:color w:val="000000"/>
                <w:sz w:val="30"/>
                <w:szCs w:val="30"/>
                <w:highlight w:val="none"/>
              </w:rPr>
            </w:pPr>
          </w:p>
        </w:tc>
        <w:tc>
          <w:tcPr>
            <w:tcW w:w="1487" w:type="dxa"/>
            <w:noWrap w:val="0"/>
            <w:vAlign w:val="center"/>
          </w:tcPr>
          <w:p>
            <w:pPr>
              <w:jc w:val="center"/>
              <w:rPr>
                <w:rFonts w:eastAsia="仿宋_GB2312"/>
                <w:color w:val="000000"/>
                <w:sz w:val="30"/>
                <w:szCs w:val="30"/>
                <w:highlight w:val="none"/>
              </w:rPr>
            </w:pPr>
          </w:p>
        </w:tc>
        <w:tc>
          <w:tcPr>
            <w:tcW w:w="992" w:type="dxa"/>
            <w:noWrap w:val="0"/>
            <w:vAlign w:val="center"/>
          </w:tcPr>
          <w:p>
            <w:pPr>
              <w:jc w:val="cente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jc w:val="center"/>
              <w:rPr>
                <w:rFonts w:eastAsia="仿宋_GB2312"/>
                <w:color w:val="000000"/>
                <w:sz w:val="30"/>
                <w:szCs w:val="30"/>
                <w:highlight w:val="none"/>
              </w:rPr>
            </w:pPr>
          </w:p>
        </w:tc>
        <w:tc>
          <w:tcPr>
            <w:tcW w:w="1276" w:type="dxa"/>
            <w:noWrap w:val="0"/>
            <w:vAlign w:val="center"/>
          </w:tcPr>
          <w:p>
            <w:pPr>
              <w:jc w:val="center"/>
              <w:rPr>
                <w:rFonts w:eastAsia="仿宋_GB2312"/>
                <w:color w:val="000000"/>
                <w:sz w:val="30"/>
                <w:szCs w:val="30"/>
                <w:highlight w:val="none"/>
              </w:rPr>
            </w:pPr>
          </w:p>
        </w:tc>
        <w:tc>
          <w:tcPr>
            <w:tcW w:w="1418" w:type="dxa"/>
            <w:noWrap w:val="0"/>
            <w:vAlign w:val="center"/>
          </w:tcPr>
          <w:p>
            <w:pPr>
              <w:jc w:val="center"/>
              <w:rPr>
                <w:rFonts w:eastAsia="仿宋_GB2312"/>
                <w:color w:val="000000"/>
                <w:sz w:val="30"/>
                <w:szCs w:val="30"/>
                <w:highlight w:val="none"/>
              </w:rPr>
            </w:pPr>
          </w:p>
        </w:tc>
        <w:tc>
          <w:tcPr>
            <w:tcW w:w="940" w:type="dxa"/>
            <w:noWrap w:val="0"/>
            <w:vAlign w:val="center"/>
          </w:tcPr>
          <w:p>
            <w:pPr>
              <w:jc w:val="center"/>
              <w:rPr>
                <w:rFonts w:eastAsia="仿宋_GB2312"/>
                <w:color w:val="000000"/>
                <w:sz w:val="30"/>
                <w:szCs w:val="30"/>
                <w:highlight w:val="none"/>
              </w:rPr>
            </w:pPr>
          </w:p>
        </w:tc>
        <w:tc>
          <w:tcPr>
            <w:tcW w:w="851" w:type="dxa"/>
            <w:noWrap w:val="0"/>
            <w:vAlign w:val="center"/>
          </w:tcPr>
          <w:p>
            <w:pPr>
              <w:jc w:val="center"/>
              <w:rPr>
                <w:rFonts w:eastAsia="仿宋_GB2312"/>
                <w:color w:val="000000"/>
                <w:sz w:val="30"/>
                <w:szCs w:val="30"/>
                <w:highlight w:val="none"/>
              </w:rPr>
            </w:pPr>
          </w:p>
        </w:tc>
        <w:tc>
          <w:tcPr>
            <w:tcW w:w="1044" w:type="dxa"/>
            <w:noWrap w:val="0"/>
            <w:vAlign w:val="center"/>
          </w:tcPr>
          <w:p>
            <w:pPr>
              <w:jc w:val="center"/>
              <w:rPr>
                <w:rFonts w:eastAsia="仿宋_GB2312"/>
                <w:color w:val="000000"/>
                <w:sz w:val="30"/>
                <w:szCs w:val="30"/>
                <w:highlight w:val="none"/>
              </w:rPr>
            </w:pPr>
          </w:p>
        </w:tc>
        <w:tc>
          <w:tcPr>
            <w:tcW w:w="992" w:type="dxa"/>
            <w:noWrap w:val="0"/>
            <w:vAlign w:val="center"/>
          </w:tcPr>
          <w:p>
            <w:pPr>
              <w:jc w:val="center"/>
              <w:rPr>
                <w:rFonts w:eastAsia="仿宋_GB2312"/>
                <w:color w:val="000000"/>
                <w:sz w:val="30"/>
                <w:szCs w:val="30"/>
                <w:highlight w:val="none"/>
              </w:rPr>
            </w:pPr>
          </w:p>
        </w:tc>
        <w:tc>
          <w:tcPr>
            <w:tcW w:w="851" w:type="dxa"/>
            <w:noWrap w:val="0"/>
            <w:vAlign w:val="center"/>
          </w:tcPr>
          <w:p>
            <w:pPr>
              <w:jc w:val="center"/>
              <w:rPr>
                <w:rFonts w:eastAsia="仿宋_GB2312"/>
                <w:color w:val="000000"/>
                <w:sz w:val="30"/>
                <w:szCs w:val="30"/>
                <w:highlight w:val="none"/>
              </w:rPr>
            </w:pPr>
          </w:p>
        </w:tc>
        <w:tc>
          <w:tcPr>
            <w:tcW w:w="1487" w:type="dxa"/>
            <w:noWrap w:val="0"/>
            <w:vAlign w:val="center"/>
          </w:tcPr>
          <w:p>
            <w:pPr>
              <w:jc w:val="center"/>
              <w:rPr>
                <w:rFonts w:eastAsia="仿宋_GB2312"/>
                <w:color w:val="000000"/>
                <w:sz w:val="30"/>
                <w:szCs w:val="30"/>
                <w:highlight w:val="none"/>
              </w:rPr>
            </w:pPr>
          </w:p>
        </w:tc>
        <w:tc>
          <w:tcPr>
            <w:tcW w:w="992" w:type="dxa"/>
            <w:noWrap w:val="0"/>
            <w:vAlign w:val="center"/>
          </w:tcPr>
          <w:p>
            <w:pPr>
              <w:jc w:val="cente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jc w:val="center"/>
              <w:rPr>
                <w:rFonts w:eastAsia="仿宋_GB2312"/>
                <w:color w:val="000000"/>
                <w:sz w:val="30"/>
                <w:szCs w:val="30"/>
                <w:highlight w:val="none"/>
              </w:rPr>
            </w:pPr>
          </w:p>
        </w:tc>
        <w:tc>
          <w:tcPr>
            <w:tcW w:w="1276" w:type="dxa"/>
            <w:noWrap w:val="0"/>
            <w:vAlign w:val="center"/>
          </w:tcPr>
          <w:p>
            <w:pPr>
              <w:jc w:val="center"/>
              <w:rPr>
                <w:rFonts w:eastAsia="仿宋_GB2312"/>
                <w:color w:val="000000"/>
                <w:sz w:val="30"/>
                <w:szCs w:val="30"/>
                <w:highlight w:val="none"/>
              </w:rPr>
            </w:pPr>
          </w:p>
        </w:tc>
        <w:tc>
          <w:tcPr>
            <w:tcW w:w="1418" w:type="dxa"/>
            <w:noWrap w:val="0"/>
            <w:vAlign w:val="center"/>
          </w:tcPr>
          <w:p>
            <w:pPr>
              <w:jc w:val="center"/>
              <w:rPr>
                <w:rFonts w:eastAsia="仿宋_GB2312"/>
                <w:color w:val="000000"/>
                <w:sz w:val="30"/>
                <w:szCs w:val="30"/>
                <w:highlight w:val="none"/>
              </w:rPr>
            </w:pPr>
          </w:p>
        </w:tc>
        <w:tc>
          <w:tcPr>
            <w:tcW w:w="940" w:type="dxa"/>
            <w:noWrap w:val="0"/>
            <w:vAlign w:val="center"/>
          </w:tcPr>
          <w:p>
            <w:pPr>
              <w:jc w:val="center"/>
              <w:rPr>
                <w:rFonts w:eastAsia="仿宋_GB2312"/>
                <w:color w:val="000000"/>
                <w:sz w:val="30"/>
                <w:szCs w:val="30"/>
                <w:highlight w:val="none"/>
              </w:rPr>
            </w:pPr>
          </w:p>
        </w:tc>
        <w:tc>
          <w:tcPr>
            <w:tcW w:w="851" w:type="dxa"/>
            <w:noWrap w:val="0"/>
            <w:vAlign w:val="center"/>
          </w:tcPr>
          <w:p>
            <w:pPr>
              <w:jc w:val="center"/>
              <w:rPr>
                <w:rFonts w:eastAsia="仿宋_GB2312"/>
                <w:color w:val="000000"/>
                <w:sz w:val="30"/>
                <w:szCs w:val="30"/>
                <w:highlight w:val="none"/>
              </w:rPr>
            </w:pPr>
          </w:p>
        </w:tc>
        <w:tc>
          <w:tcPr>
            <w:tcW w:w="1044" w:type="dxa"/>
            <w:noWrap w:val="0"/>
            <w:vAlign w:val="center"/>
          </w:tcPr>
          <w:p>
            <w:pPr>
              <w:jc w:val="center"/>
              <w:rPr>
                <w:rFonts w:eastAsia="仿宋_GB2312"/>
                <w:color w:val="000000"/>
                <w:sz w:val="30"/>
                <w:szCs w:val="30"/>
                <w:highlight w:val="none"/>
              </w:rPr>
            </w:pPr>
          </w:p>
        </w:tc>
        <w:tc>
          <w:tcPr>
            <w:tcW w:w="992" w:type="dxa"/>
            <w:noWrap w:val="0"/>
            <w:vAlign w:val="center"/>
          </w:tcPr>
          <w:p>
            <w:pPr>
              <w:jc w:val="center"/>
              <w:rPr>
                <w:rFonts w:eastAsia="仿宋_GB2312"/>
                <w:color w:val="000000"/>
                <w:sz w:val="30"/>
                <w:szCs w:val="30"/>
                <w:highlight w:val="none"/>
              </w:rPr>
            </w:pPr>
          </w:p>
        </w:tc>
        <w:tc>
          <w:tcPr>
            <w:tcW w:w="851" w:type="dxa"/>
            <w:noWrap w:val="0"/>
            <w:vAlign w:val="center"/>
          </w:tcPr>
          <w:p>
            <w:pPr>
              <w:jc w:val="center"/>
              <w:rPr>
                <w:rFonts w:eastAsia="仿宋_GB2312"/>
                <w:color w:val="000000"/>
                <w:sz w:val="30"/>
                <w:szCs w:val="30"/>
                <w:highlight w:val="none"/>
              </w:rPr>
            </w:pPr>
          </w:p>
        </w:tc>
        <w:tc>
          <w:tcPr>
            <w:tcW w:w="1487" w:type="dxa"/>
            <w:noWrap w:val="0"/>
            <w:vAlign w:val="center"/>
          </w:tcPr>
          <w:p>
            <w:pPr>
              <w:jc w:val="center"/>
              <w:rPr>
                <w:rFonts w:eastAsia="仿宋_GB2312"/>
                <w:color w:val="000000"/>
                <w:sz w:val="30"/>
                <w:szCs w:val="30"/>
                <w:highlight w:val="none"/>
              </w:rPr>
            </w:pPr>
          </w:p>
        </w:tc>
        <w:tc>
          <w:tcPr>
            <w:tcW w:w="992" w:type="dxa"/>
            <w:noWrap w:val="0"/>
            <w:vAlign w:val="center"/>
          </w:tcPr>
          <w:p>
            <w:pPr>
              <w:jc w:val="cente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jc w:val="center"/>
              <w:rPr>
                <w:rFonts w:eastAsia="仿宋_GB2312"/>
                <w:color w:val="000000"/>
                <w:sz w:val="30"/>
                <w:szCs w:val="30"/>
                <w:highlight w:val="none"/>
              </w:rPr>
            </w:pPr>
          </w:p>
        </w:tc>
        <w:tc>
          <w:tcPr>
            <w:tcW w:w="1276" w:type="dxa"/>
            <w:noWrap w:val="0"/>
            <w:vAlign w:val="center"/>
          </w:tcPr>
          <w:p>
            <w:pPr>
              <w:jc w:val="center"/>
              <w:rPr>
                <w:rFonts w:eastAsia="仿宋_GB2312"/>
                <w:color w:val="000000"/>
                <w:sz w:val="30"/>
                <w:szCs w:val="30"/>
                <w:highlight w:val="none"/>
              </w:rPr>
            </w:pPr>
          </w:p>
        </w:tc>
        <w:tc>
          <w:tcPr>
            <w:tcW w:w="1418" w:type="dxa"/>
            <w:noWrap w:val="0"/>
            <w:vAlign w:val="center"/>
          </w:tcPr>
          <w:p>
            <w:pPr>
              <w:jc w:val="center"/>
              <w:rPr>
                <w:rFonts w:eastAsia="仿宋_GB2312"/>
                <w:color w:val="000000"/>
                <w:sz w:val="30"/>
                <w:szCs w:val="30"/>
                <w:highlight w:val="none"/>
              </w:rPr>
            </w:pPr>
          </w:p>
        </w:tc>
        <w:tc>
          <w:tcPr>
            <w:tcW w:w="940" w:type="dxa"/>
            <w:noWrap w:val="0"/>
            <w:vAlign w:val="center"/>
          </w:tcPr>
          <w:p>
            <w:pPr>
              <w:jc w:val="center"/>
              <w:rPr>
                <w:rFonts w:eastAsia="仿宋_GB2312"/>
                <w:color w:val="000000"/>
                <w:sz w:val="30"/>
                <w:szCs w:val="30"/>
                <w:highlight w:val="none"/>
              </w:rPr>
            </w:pPr>
          </w:p>
        </w:tc>
        <w:tc>
          <w:tcPr>
            <w:tcW w:w="851" w:type="dxa"/>
            <w:noWrap w:val="0"/>
            <w:vAlign w:val="center"/>
          </w:tcPr>
          <w:p>
            <w:pPr>
              <w:jc w:val="center"/>
              <w:rPr>
                <w:rFonts w:eastAsia="仿宋_GB2312"/>
                <w:color w:val="000000"/>
                <w:sz w:val="30"/>
                <w:szCs w:val="30"/>
                <w:highlight w:val="none"/>
              </w:rPr>
            </w:pPr>
          </w:p>
        </w:tc>
        <w:tc>
          <w:tcPr>
            <w:tcW w:w="1044" w:type="dxa"/>
            <w:noWrap w:val="0"/>
            <w:vAlign w:val="center"/>
          </w:tcPr>
          <w:p>
            <w:pPr>
              <w:jc w:val="center"/>
              <w:rPr>
                <w:rFonts w:eastAsia="仿宋_GB2312"/>
                <w:color w:val="000000"/>
                <w:sz w:val="30"/>
                <w:szCs w:val="30"/>
                <w:highlight w:val="none"/>
              </w:rPr>
            </w:pPr>
          </w:p>
        </w:tc>
        <w:tc>
          <w:tcPr>
            <w:tcW w:w="992" w:type="dxa"/>
            <w:noWrap w:val="0"/>
            <w:vAlign w:val="center"/>
          </w:tcPr>
          <w:p>
            <w:pPr>
              <w:jc w:val="center"/>
              <w:rPr>
                <w:rFonts w:eastAsia="仿宋_GB2312"/>
                <w:color w:val="000000"/>
                <w:sz w:val="30"/>
                <w:szCs w:val="30"/>
                <w:highlight w:val="none"/>
              </w:rPr>
            </w:pPr>
          </w:p>
        </w:tc>
        <w:tc>
          <w:tcPr>
            <w:tcW w:w="851" w:type="dxa"/>
            <w:noWrap w:val="0"/>
            <w:vAlign w:val="center"/>
          </w:tcPr>
          <w:p>
            <w:pPr>
              <w:jc w:val="center"/>
              <w:rPr>
                <w:rFonts w:eastAsia="仿宋_GB2312"/>
                <w:color w:val="000000"/>
                <w:sz w:val="30"/>
                <w:szCs w:val="30"/>
                <w:highlight w:val="none"/>
              </w:rPr>
            </w:pPr>
          </w:p>
        </w:tc>
        <w:tc>
          <w:tcPr>
            <w:tcW w:w="1487" w:type="dxa"/>
            <w:noWrap w:val="0"/>
            <w:vAlign w:val="center"/>
          </w:tcPr>
          <w:p>
            <w:pPr>
              <w:jc w:val="center"/>
              <w:rPr>
                <w:rFonts w:eastAsia="仿宋_GB2312"/>
                <w:color w:val="000000"/>
                <w:sz w:val="30"/>
                <w:szCs w:val="30"/>
                <w:highlight w:val="none"/>
              </w:rPr>
            </w:pPr>
          </w:p>
        </w:tc>
        <w:tc>
          <w:tcPr>
            <w:tcW w:w="992" w:type="dxa"/>
            <w:noWrap w:val="0"/>
            <w:vAlign w:val="center"/>
          </w:tcPr>
          <w:p>
            <w:pPr>
              <w:jc w:val="cente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jc w:val="center"/>
              <w:rPr>
                <w:rFonts w:eastAsia="仿宋_GB2312"/>
                <w:color w:val="000000"/>
                <w:sz w:val="30"/>
                <w:szCs w:val="30"/>
                <w:highlight w:val="none"/>
              </w:rPr>
            </w:pPr>
          </w:p>
        </w:tc>
        <w:tc>
          <w:tcPr>
            <w:tcW w:w="1276" w:type="dxa"/>
            <w:noWrap w:val="0"/>
            <w:vAlign w:val="center"/>
          </w:tcPr>
          <w:p>
            <w:pPr>
              <w:jc w:val="center"/>
              <w:rPr>
                <w:rFonts w:eastAsia="仿宋_GB2312"/>
                <w:color w:val="000000"/>
                <w:sz w:val="30"/>
                <w:szCs w:val="30"/>
                <w:highlight w:val="none"/>
              </w:rPr>
            </w:pPr>
          </w:p>
        </w:tc>
        <w:tc>
          <w:tcPr>
            <w:tcW w:w="1418" w:type="dxa"/>
            <w:noWrap w:val="0"/>
            <w:vAlign w:val="center"/>
          </w:tcPr>
          <w:p>
            <w:pPr>
              <w:jc w:val="center"/>
              <w:rPr>
                <w:rFonts w:eastAsia="仿宋_GB2312"/>
                <w:color w:val="000000"/>
                <w:sz w:val="30"/>
                <w:szCs w:val="30"/>
                <w:highlight w:val="none"/>
              </w:rPr>
            </w:pPr>
          </w:p>
        </w:tc>
        <w:tc>
          <w:tcPr>
            <w:tcW w:w="940" w:type="dxa"/>
            <w:noWrap w:val="0"/>
            <w:vAlign w:val="center"/>
          </w:tcPr>
          <w:p>
            <w:pPr>
              <w:jc w:val="center"/>
              <w:rPr>
                <w:rFonts w:eastAsia="仿宋_GB2312"/>
                <w:color w:val="000000"/>
                <w:sz w:val="30"/>
                <w:szCs w:val="30"/>
                <w:highlight w:val="none"/>
              </w:rPr>
            </w:pPr>
          </w:p>
        </w:tc>
        <w:tc>
          <w:tcPr>
            <w:tcW w:w="851" w:type="dxa"/>
            <w:noWrap w:val="0"/>
            <w:vAlign w:val="center"/>
          </w:tcPr>
          <w:p>
            <w:pPr>
              <w:jc w:val="center"/>
              <w:rPr>
                <w:rFonts w:eastAsia="仿宋_GB2312"/>
                <w:color w:val="000000"/>
                <w:sz w:val="30"/>
                <w:szCs w:val="30"/>
                <w:highlight w:val="none"/>
              </w:rPr>
            </w:pPr>
          </w:p>
        </w:tc>
        <w:tc>
          <w:tcPr>
            <w:tcW w:w="1044" w:type="dxa"/>
            <w:noWrap w:val="0"/>
            <w:vAlign w:val="center"/>
          </w:tcPr>
          <w:p>
            <w:pPr>
              <w:jc w:val="center"/>
              <w:rPr>
                <w:rFonts w:eastAsia="仿宋_GB2312"/>
                <w:color w:val="000000"/>
                <w:sz w:val="30"/>
                <w:szCs w:val="30"/>
                <w:highlight w:val="none"/>
              </w:rPr>
            </w:pPr>
          </w:p>
        </w:tc>
        <w:tc>
          <w:tcPr>
            <w:tcW w:w="992" w:type="dxa"/>
            <w:noWrap w:val="0"/>
            <w:vAlign w:val="center"/>
          </w:tcPr>
          <w:p>
            <w:pPr>
              <w:jc w:val="center"/>
              <w:rPr>
                <w:rFonts w:eastAsia="仿宋_GB2312"/>
                <w:color w:val="000000"/>
                <w:sz w:val="30"/>
                <w:szCs w:val="30"/>
                <w:highlight w:val="none"/>
              </w:rPr>
            </w:pPr>
          </w:p>
        </w:tc>
        <w:tc>
          <w:tcPr>
            <w:tcW w:w="851" w:type="dxa"/>
            <w:noWrap w:val="0"/>
            <w:vAlign w:val="center"/>
          </w:tcPr>
          <w:p>
            <w:pPr>
              <w:jc w:val="center"/>
              <w:rPr>
                <w:rFonts w:eastAsia="仿宋_GB2312"/>
                <w:color w:val="000000"/>
                <w:sz w:val="30"/>
                <w:szCs w:val="30"/>
                <w:highlight w:val="none"/>
              </w:rPr>
            </w:pPr>
          </w:p>
        </w:tc>
        <w:tc>
          <w:tcPr>
            <w:tcW w:w="1487" w:type="dxa"/>
            <w:noWrap w:val="0"/>
            <w:vAlign w:val="center"/>
          </w:tcPr>
          <w:p>
            <w:pPr>
              <w:jc w:val="center"/>
              <w:rPr>
                <w:rFonts w:eastAsia="仿宋_GB2312"/>
                <w:color w:val="000000"/>
                <w:sz w:val="30"/>
                <w:szCs w:val="30"/>
                <w:highlight w:val="none"/>
              </w:rPr>
            </w:pPr>
          </w:p>
        </w:tc>
        <w:tc>
          <w:tcPr>
            <w:tcW w:w="992" w:type="dxa"/>
            <w:noWrap w:val="0"/>
            <w:vAlign w:val="center"/>
          </w:tcPr>
          <w:p>
            <w:pPr>
              <w:jc w:val="cente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jc w:val="center"/>
              <w:rPr>
                <w:rFonts w:eastAsia="仿宋_GB2312"/>
                <w:color w:val="000000"/>
                <w:sz w:val="30"/>
                <w:szCs w:val="30"/>
                <w:highlight w:val="none"/>
              </w:rPr>
            </w:pPr>
          </w:p>
        </w:tc>
        <w:tc>
          <w:tcPr>
            <w:tcW w:w="1276" w:type="dxa"/>
            <w:noWrap w:val="0"/>
            <w:vAlign w:val="center"/>
          </w:tcPr>
          <w:p>
            <w:pPr>
              <w:jc w:val="center"/>
              <w:rPr>
                <w:rFonts w:eastAsia="仿宋_GB2312"/>
                <w:color w:val="000000"/>
                <w:sz w:val="30"/>
                <w:szCs w:val="30"/>
                <w:highlight w:val="none"/>
              </w:rPr>
            </w:pPr>
          </w:p>
        </w:tc>
        <w:tc>
          <w:tcPr>
            <w:tcW w:w="1418" w:type="dxa"/>
            <w:noWrap w:val="0"/>
            <w:vAlign w:val="center"/>
          </w:tcPr>
          <w:p>
            <w:pPr>
              <w:jc w:val="center"/>
              <w:rPr>
                <w:rFonts w:eastAsia="仿宋_GB2312"/>
                <w:color w:val="000000"/>
                <w:sz w:val="30"/>
                <w:szCs w:val="30"/>
                <w:highlight w:val="none"/>
              </w:rPr>
            </w:pPr>
          </w:p>
        </w:tc>
        <w:tc>
          <w:tcPr>
            <w:tcW w:w="940" w:type="dxa"/>
            <w:noWrap w:val="0"/>
            <w:vAlign w:val="center"/>
          </w:tcPr>
          <w:p>
            <w:pPr>
              <w:jc w:val="center"/>
              <w:rPr>
                <w:rFonts w:eastAsia="仿宋_GB2312"/>
                <w:color w:val="000000"/>
                <w:sz w:val="30"/>
                <w:szCs w:val="30"/>
                <w:highlight w:val="none"/>
              </w:rPr>
            </w:pPr>
          </w:p>
        </w:tc>
        <w:tc>
          <w:tcPr>
            <w:tcW w:w="851" w:type="dxa"/>
            <w:noWrap w:val="0"/>
            <w:vAlign w:val="center"/>
          </w:tcPr>
          <w:p>
            <w:pPr>
              <w:jc w:val="center"/>
              <w:rPr>
                <w:rFonts w:eastAsia="仿宋_GB2312"/>
                <w:color w:val="000000"/>
                <w:sz w:val="30"/>
                <w:szCs w:val="30"/>
                <w:highlight w:val="none"/>
              </w:rPr>
            </w:pPr>
          </w:p>
        </w:tc>
        <w:tc>
          <w:tcPr>
            <w:tcW w:w="1044" w:type="dxa"/>
            <w:noWrap w:val="0"/>
            <w:vAlign w:val="center"/>
          </w:tcPr>
          <w:p>
            <w:pPr>
              <w:jc w:val="center"/>
              <w:rPr>
                <w:rFonts w:eastAsia="仿宋_GB2312"/>
                <w:color w:val="000000"/>
                <w:sz w:val="30"/>
                <w:szCs w:val="30"/>
                <w:highlight w:val="none"/>
              </w:rPr>
            </w:pPr>
          </w:p>
        </w:tc>
        <w:tc>
          <w:tcPr>
            <w:tcW w:w="992" w:type="dxa"/>
            <w:noWrap w:val="0"/>
            <w:vAlign w:val="center"/>
          </w:tcPr>
          <w:p>
            <w:pPr>
              <w:jc w:val="center"/>
              <w:rPr>
                <w:rFonts w:eastAsia="仿宋_GB2312"/>
                <w:color w:val="000000"/>
                <w:sz w:val="30"/>
                <w:szCs w:val="30"/>
                <w:highlight w:val="none"/>
              </w:rPr>
            </w:pPr>
          </w:p>
        </w:tc>
        <w:tc>
          <w:tcPr>
            <w:tcW w:w="851" w:type="dxa"/>
            <w:noWrap w:val="0"/>
            <w:vAlign w:val="center"/>
          </w:tcPr>
          <w:p>
            <w:pPr>
              <w:jc w:val="center"/>
              <w:rPr>
                <w:rFonts w:eastAsia="仿宋_GB2312"/>
                <w:color w:val="000000"/>
                <w:sz w:val="30"/>
                <w:szCs w:val="30"/>
                <w:highlight w:val="none"/>
              </w:rPr>
            </w:pPr>
          </w:p>
        </w:tc>
        <w:tc>
          <w:tcPr>
            <w:tcW w:w="1487" w:type="dxa"/>
            <w:noWrap w:val="0"/>
            <w:vAlign w:val="center"/>
          </w:tcPr>
          <w:p>
            <w:pPr>
              <w:jc w:val="center"/>
              <w:rPr>
                <w:rFonts w:eastAsia="仿宋_GB2312"/>
                <w:color w:val="000000"/>
                <w:sz w:val="30"/>
                <w:szCs w:val="30"/>
                <w:highlight w:val="none"/>
              </w:rPr>
            </w:pPr>
          </w:p>
        </w:tc>
        <w:tc>
          <w:tcPr>
            <w:tcW w:w="992" w:type="dxa"/>
            <w:noWrap w:val="0"/>
            <w:vAlign w:val="center"/>
          </w:tcPr>
          <w:p>
            <w:pPr>
              <w:jc w:val="center"/>
              <w:rPr>
                <w:rFonts w:eastAsia="仿宋_GB2312"/>
                <w:color w:val="000000"/>
                <w:sz w:val="30"/>
                <w:szCs w:val="30"/>
                <w:highlight w:val="none"/>
              </w:rPr>
            </w:pPr>
          </w:p>
        </w:tc>
      </w:tr>
    </w:tbl>
    <w:p>
      <w:pPr>
        <w:spacing w:line="440" w:lineRule="exact"/>
        <w:rPr>
          <w:rFonts w:ascii="Times New Roman" w:hAnsi="Times New Roman" w:eastAsia="仿宋_GB2312"/>
          <w:color w:val="000000"/>
          <w:sz w:val="30"/>
          <w:szCs w:val="30"/>
          <w:highlight w:val="none"/>
        </w:rPr>
      </w:pPr>
    </w:p>
    <w:p>
      <w:pPr>
        <w:spacing w:line="440" w:lineRule="exact"/>
        <w:rPr>
          <w:rFonts w:ascii="Times New Roman" w:hAnsi="Times New Roman" w:eastAsia="黑体"/>
          <w:color w:val="000000"/>
          <w:sz w:val="30"/>
          <w:szCs w:val="30"/>
          <w:highlight w:val="none"/>
        </w:rPr>
      </w:pPr>
      <w:r>
        <w:rPr>
          <w:rFonts w:ascii="Times New Roman" w:hAnsi="Times New Roman" w:eastAsia="仿宋_GB2312"/>
          <w:color w:val="000000"/>
          <w:sz w:val="30"/>
          <w:szCs w:val="30"/>
          <w:highlight w:val="none"/>
        </w:rPr>
        <w:t>附</w:t>
      </w:r>
      <w:bookmarkStart w:id="1637" w:name="_Toc296346727"/>
      <w:bookmarkStart w:id="1638" w:name="_Toc296347225"/>
      <w:bookmarkStart w:id="1639" w:name="_Toc296891054"/>
      <w:bookmarkStart w:id="1640" w:name="_Toc267261693"/>
      <w:bookmarkStart w:id="1641" w:name="_Toc296944565"/>
      <w:bookmarkStart w:id="1642" w:name="_Toc296503226"/>
      <w:bookmarkStart w:id="1643" w:name="_Toc296891266"/>
      <w:r>
        <w:rPr>
          <w:rFonts w:ascii="Times New Roman" w:hAnsi="Times New Roman" w:eastAsia="仿宋_GB2312"/>
          <w:color w:val="000000"/>
          <w:sz w:val="30"/>
          <w:szCs w:val="30"/>
          <w:highlight w:val="none"/>
        </w:rPr>
        <w:t>件3：</w:t>
      </w:r>
      <w:bookmarkEnd w:id="1637"/>
      <w:bookmarkEnd w:id="1638"/>
      <w:bookmarkEnd w:id="1639"/>
      <w:bookmarkEnd w:id="1640"/>
      <w:bookmarkEnd w:id="1641"/>
      <w:bookmarkEnd w:id="1642"/>
      <w:bookmarkEnd w:id="1643"/>
      <w:r>
        <w:rPr>
          <w:rFonts w:ascii="Times New Roman" w:hAnsi="Times New Roman" w:eastAsia="黑体"/>
          <w:color w:val="000000"/>
          <w:sz w:val="30"/>
          <w:szCs w:val="30"/>
          <w:highlight w:val="none"/>
        </w:rPr>
        <w:t xml:space="preserve">    </w:t>
      </w:r>
    </w:p>
    <w:p>
      <w:pPr>
        <w:spacing w:before="156" w:beforeLines="50" w:after="156" w:afterLines="50" w:line="440" w:lineRule="exact"/>
        <w:jc w:val="center"/>
        <w:rPr>
          <w:rFonts w:ascii="Times New Roman" w:hAnsi="Times New Roman" w:eastAsia="黑体"/>
          <w:color w:val="000000"/>
          <w:sz w:val="30"/>
          <w:szCs w:val="30"/>
          <w:highlight w:val="none"/>
        </w:rPr>
      </w:pPr>
      <w:r>
        <w:rPr>
          <w:rFonts w:ascii="Times New Roman" w:hAnsi="Times New Roman" w:eastAsia="黑体"/>
          <w:color w:val="000000"/>
          <w:sz w:val="30"/>
          <w:szCs w:val="30"/>
          <w:highlight w:val="none"/>
        </w:rPr>
        <w:t>工程质量保修书</w:t>
      </w:r>
    </w:p>
    <w:p>
      <w:pPr>
        <w:spacing w:line="440" w:lineRule="exact"/>
        <w:ind w:firstLine="600" w:firstLineChars="20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发包人（全称）：</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 xml:space="preserve"> </w:t>
      </w:r>
    </w:p>
    <w:p>
      <w:pPr>
        <w:spacing w:line="440" w:lineRule="exact"/>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　　承包人（全称）：</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 xml:space="preserve"> </w:t>
      </w:r>
    </w:p>
    <w:p>
      <w:pPr>
        <w:spacing w:line="440" w:lineRule="exact"/>
        <w:rPr>
          <w:rFonts w:ascii="Times New Roman" w:hAnsi="Times New Roman" w:eastAsia="仿宋_GB2312"/>
          <w:color w:val="000000"/>
          <w:sz w:val="30"/>
          <w:szCs w:val="30"/>
          <w:highlight w:val="none"/>
        </w:rPr>
      </w:pP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　　发包人和承包人根据《中华人民共和国建筑法》和《建设工程质量管理条例》，经协商一致就</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（工程全称）签订工程质量保修书。</w:t>
      </w:r>
    </w:p>
    <w:p>
      <w:pPr>
        <w:spacing w:line="360" w:lineRule="auto"/>
        <w:outlineLvl w:val="0"/>
        <w:rPr>
          <w:rFonts w:ascii="Times New Roman" w:hAnsi="Times New Roman" w:eastAsia="黑体"/>
          <w:color w:val="000000"/>
          <w:sz w:val="30"/>
          <w:szCs w:val="30"/>
          <w:highlight w:val="none"/>
        </w:rPr>
      </w:pPr>
      <w:r>
        <w:rPr>
          <w:rFonts w:ascii="Times New Roman" w:hAnsi="Times New Roman" w:eastAsia="黑体"/>
          <w:color w:val="000000"/>
          <w:sz w:val="30"/>
          <w:szCs w:val="30"/>
          <w:highlight w:val="none"/>
        </w:rPr>
        <w:t>　　</w:t>
      </w:r>
      <w:bookmarkStart w:id="1644" w:name="_Toc14098"/>
      <w:bookmarkStart w:id="1645" w:name="_Toc25862"/>
      <w:bookmarkStart w:id="1646" w:name="_Toc21277"/>
      <w:bookmarkStart w:id="1647" w:name="_Toc19062"/>
      <w:r>
        <w:rPr>
          <w:rFonts w:ascii="Times New Roman" w:hAnsi="Times New Roman" w:eastAsia="黑体"/>
          <w:color w:val="000000"/>
          <w:sz w:val="30"/>
          <w:szCs w:val="30"/>
          <w:highlight w:val="none"/>
        </w:rPr>
        <w:t>一、工程质量保修范围和内容</w:t>
      </w:r>
      <w:bookmarkEnd w:id="1644"/>
      <w:bookmarkEnd w:id="1645"/>
      <w:bookmarkEnd w:id="1646"/>
      <w:bookmarkEnd w:id="1647"/>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　　承包人在质量保修期内，按照有关法律规定和合同约定，承担工程质量保修责任。</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w:t>
      </w:r>
    </w:p>
    <w:p>
      <w:pPr>
        <w:spacing w:line="360" w:lineRule="auto"/>
        <w:outlineLvl w:val="0"/>
        <w:rPr>
          <w:rFonts w:ascii="Times New Roman" w:hAnsi="Times New Roman" w:eastAsia="黑体"/>
          <w:color w:val="000000"/>
          <w:sz w:val="30"/>
          <w:szCs w:val="30"/>
          <w:highlight w:val="none"/>
        </w:rPr>
      </w:pPr>
      <w:r>
        <w:rPr>
          <w:rFonts w:ascii="Times New Roman" w:hAnsi="Times New Roman" w:eastAsia="仿宋_GB2312"/>
          <w:b/>
          <w:color w:val="000000"/>
          <w:sz w:val="30"/>
          <w:szCs w:val="30"/>
          <w:highlight w:val="none"/>
        </w:rPr>
        <w:t>　　</w:t>
      </w:r>
      <w:bookmarkStart w:id="1648" w:name="_Toc12711"/>
      <w:bookmarkStart w:id="1649" w:name="_Toc11003"/>
      <w:bookmarkStart w:id="1650" w:name="_Toc11154"/>
      <w:bookmarkStart w:id="1651" w:name="_Toc22365"/>
      <w:r>
        <w:rPr>
          <w:rFonts w:ascii="Times New Roman" w:hAnsi="Times New Roman" w:eastAsia="黑体"/>
          <w:color w:val="000000"/>
          <w:sz w:val="30"/>
          <w:szCs w:val="30"/>
          <w:highlight w:val="none"/>
        </w:rPr>
        <w:t>二、质量保修期</w:t>
      </w:r>
      <w:bookmarkEnd w:id="1648"/>
      <w:bookmarkEnd w:id="1649"/>
      <w:bookmarkEnd w:id="1650"/>
      <w:bookmarkEnd w:id="1651"/>
    </w:p>
    <w:p>
      <w:pPr>
        <w:spacing w:line="360" w:lineRule="auto"/>
        <w:ind w:firstLine="600" w:firstLineChars="20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根据《建设工程质量管理条例》及有关规定，工程的质量保修期如下：</w:t>
      </w:r>
    </w:p>
    <w:p>
      <w:pPr>
        <w:ind w:firstLine="600" w:firstLineChars="200"/>
        <w:rPr>
          <w:rFonts w:hint="eastAsia" w:ascii="仿宋_GB2312" w:eastAsia="仿宋_GB2312"/>
          <w:sz w:val="30"/>
          <w:szCs w:val="30"/>
          <w:highlight w:val="none"/>
        </w:rPr>
      </w:pPr>
      <w:r>
        <w:rPr>
          <w:rFonts w:hint="eastAsia" w:ascii="仿宋_GB2312" w:eastAsia="仿宋_GB2312"/>
          <w:sz w:val="30"/>
          <w:szCs w:val="30"/>
          <w:highlight w:val="none"/>
        </w:rPr>
        <w:t>1</w:t>
      </w:r>
      <w:r>
        <w:rPr>
          <w:rFonts w:hint="eastAsia" w:ascii="Times New Roman" w:hAnsi="Times New Roman" w:eastAsia="仿宋_GB2312"/>
          <w:color w:val="000000"/>
          <w:sz w:val="30"/>
          <w:szCs w:val="30"/>
          <w:highlight w:val="none"/>
        </w:rPr>
        <w:t>．</w:t>
      </w:r>
      <w:r>
        <w:rPr>
          <w:rFonts w:hint="eastAsia" w:ascii="仿宋_GB2312" w:eastAsia="仿宋_GB2312"/>
          <w:sz w:val="30"/>
          <w:szCs w:val="30"/>
          <w:highlight w:val="none"/>
        </w:rPr>
        <w:t>地基基础工程和主体结构工程为设计文件规定的工程合理使用年限；</w:t>
      </w:r>
    </w:p>
    <w:p>
      <w:pPr>
        <w:spacing w:line="360" w:lineRule="auto"/>
        <w:ind w:firstLine="600" w:firstLineChars="200"/>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2</w:t>
      </w:r>
      <w:r>
        <w:rPr>
          <w:rFonts w:hint="eastAsia" w:ascii="仿宋_GB2312" w:eastAsia="仿宋_GB2312"/>
          <w:sz w:val="30"/>
          <w:szCs w:val="30"/>
          <w:highlight w:val="none"/>
        </w:rPr>
        <w:t>．</w:t>
      </w:r>
      <w:r>
        <w:rPr>
          <w:rFonts w:ascii="Times New Roman" w:hAnsi="Times New Roman" w:eastAsia="仿宋_GB2312"/>
          <w:color w:val="000000"/>
          <w:sz w:val="30"/>
          <w:szCs w:val="30"/>
          <w:highlight w:val="none"/>
        </w:rPr>
        <w:t>屋面防水工程、有防水要求的卫生间、房间和外墙面的防渗</w:t>
      </w:r>
      <w:r>
        <w:rPr>
          <w:rFonts w:hint="eastAsia" w:ascii="Times New Roman" w:hAnsi="Times New Roman" w:eastAsia="仿宋_GB2312"/>
          <w:color w:val="000000"/>
          <w:sz w:val="30"/>
          <w:szCs w:val="30"/>
          <w:highlight w:val="none"/>
        </w:rPr>
        <w:t xml:space="preserve">     为</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年；</w:t>
      </w:r>
    </w:p>
    <w:p>
      <w:pPr>
        <w:spacing w:line="360" w:lineRule="auto"/>
        <w:ind w:left="440" w:leftChars="200" w:firstLine="150" w:firstLineChars="50"/>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3</w:t>
      </w:r>
      <w:r>
        <w:rPr>
          <w:rFonts w:hint="eastAsia" w:ascii="仿宋_GB2312" w:eastAsia="仿宋_GB2312"/>
          <w:sz w:val="30"/>
          <w:szCs w:val="30"/>
          <w:highlight w:val="none"/>
        </w:rPr>
        <w:t>．</w:t>
      </w:r>
      <w:r>
        <w:rPr>
          <w:rFonts w:ascii="Times New Roman" w:hAnsi="Times New Roman" w:eastAsia="仿宋_GB2312"/>
          <w:color w:val="000000"/>
          <w:sz w:val="30"/>
          <w:szCs w:val="30"/>
          <w:highlight w:val="none"/>
        </w:rPr>
        <w:t>装修工程为</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年；</w:t>
      </w:r>
    </w:p>
    <w:p>
      <w:pPr>
        <w:spacing w:line="360" w:lineRule="auto"/>
        <w:ind w:left="440" w:leftChars="200" w:firstLine="150" w:firstLineChars="50"/>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4</w:t>
      </w:r>
      <w:r>
        <w:rPr>
          <w:rFonts w:hint="eastAsia" w:ascii="仿宋_GB2312" w:eastAsia="仿宋_GB2312"/>
          <w:sz w:val="30"/>
          <w:szCs w:val="30"/>
          <w:highlight w:val="none"/>
        </w:rPr>
        <w:t>．</w:t>
      </w:r>
      <w:r>
        <w:rPr>
          <w:rFonts w:ascii="Times New Roman" w:hAnsi="Times New Roman" w:eastAsia="仿宋_GB2312"/>
          <w:color w:val="000000"/>
          <w:sz w:val="30"/>
          <w:szCs w:val="30"/>
          <w:highlight w:val="none"/>
        </w:rPr>
        <w:t>电气管线、给排水管道、设备安装工程为</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年；</w:t>
      </w:r>
    </w:p>
    <w:p>
      <w:pPr>
        <w:spacing w:line="360" w:lineRule="auto"/>
        <w:ind w:left="440" w:leftChars="200" w:firstLine="150" w:firstLineChars="50"/>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5</w:t>
      </w:r>
      <w:r>
        <w:rPr>
          <w:rFonts w:hint="eastAsia" w:ascii="仿宋_GB2312" w:eastAsia="仿宋_GB2312"/>
          <w:sz w:val="30"/>
          <w:szCs w:val="30"/>
          <w:highlight w:val="none"/>
        </w:rPr>
        <w:t>．</w:t>
      </w:r>
      <w:r>
        <w:rPr>
          <w:rFonts w:ascii="Times New Roman" w:hAnsi="Times New Roman" w:eastAsia="仿宋_GB2312"/>
          <w:color w:val="000000"/>
          <w:sz w:val="30"/>
          <w:szCs w:val="30"/>
          <w:highlight w:val="none"/>
        </w:rPr>
        <w:t>供热与供冷系统为</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个采暖期、供冷期；</w:t>
      </w:r>
    </w:p>
    <w:p>
      <w:pPr>
        <w:spacing w:line="360" w:lineRule="auto"/>
        <w:ind w:left="440" w:leftChars="200" w:firstLine="150" w:firstLineChars="50"/>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6</w:t>
      </w:r>
      <w:r>
        <w:rPr>
          <w:rFonts w:hint="eastAsia" w:ascii="仿宋_GB2312" w:eastAsia="仿宋_GB2312"/>
          <w:sz w:val="30"/>
          <w:szCs w:val="30"/>
          <w:highlight w:val="none"/>
        </w:rPr>
        <w:t>．</w:t>
      </w:r>
      <w:r>
        <w:rPr>
          <w:rFonts w:ascii="Times New Roman" w:hAnsi="Times New Roman" w:eastAsia="仿宋_GB2312"/>
          <w:color w:val="000000"/>
          <w:sz w:val="30"/>
          <w:szCs w:val="30"/>
          <w:highlight w:val="none"/>
        </w:rPr>
        <w:t>住宅小区内的给排水设施、道路等配套工程为</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年；</w:t>
      </w:r>
    </w:p>
    <w:p>
      <w:pPr>
        <w:spacing w:line="360" w:lineRule="auto"/>
        <w:ind w:left="440" w:leftChars="200" w:firstLine="150" w:firstLineChars="50"/>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7</w:t>
      </w:r>
      <w:r>
        <w:rPr>
          <w:rFonts w:hint="eastAsia" w:ascii="仿宋_GB2312" w:eastAsia="仿宋_GB2312"/>
          <w:sz w:val="30"/>
          <w:szCs w:val="30"/>
          <w:highlight w:val="none"/>
        </w:rPr>
        <w:t>．</w:t>
      </w:r>
      <w:r>
        <w:rPr>
          <w:rFonts w:ascii="Times New Roman" w:hAnsi="Times New Roman" w:eastAsia="仿宋_GB2312"/>
          <w:color w:val="000000"/>
          <w:sz w:val="30"/>
          <w:szCs w:val="30"/>
          <w:highlight w:val="none"/>
        </w:rPr>
        <w:t>其他项目保修期限约定如下：</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　　质量保修期自工程竣工验收合格之日起计算。</w:t>
      </w:r>
    </w:p>
    <w:p>
      <w:pPr>
        <w:spacing w:line="360" w:lineRule="auto"/>
        <w:ind w:firstLine="600" w:firstLineChars="200"/>
        <w:outlineLvl w:val="0"/>
        <w:rPr>
          <w:rFonts w:ascii="Times New Roman" w:hAnsi="Times New Roman" w:eastAsia="黑体"/>
          <w:color w:val="000000"/>
          <w:sz w:val="30"/>
          <w:szCs w:val="30"/>
          <w:highlight w:val="none"/>
        </w:rPr>
      </w:pPr>
      <w:bookmarkStart w:id="1652" w:name="_Toc17700"/>
      <w:bookmarkStart w:id="1653" w:name="_Toc8577"/>
      <w:bookmarkStart w:id="1654" w:name="_Toc2184"/>
      <w:bookmarkStart w:id="1655" w:name="_Toc10559"/>
      <w:r>
        <w:rPr>
          <w:rFonts w:ascii="Times New Roman" w:hAnsi="Times New Roman" w:eastAsia="黑体"/>
          <w:color w:val="000000"/>
          <w:sz w:val="30"/>
          <w:szCs w:val="30"/>
          <w:highlight w:val="none"/>
        </w:rPr>
        <w:t>三、缺陷责任期</w:t>
      </w:r>
      <w:bookmarkEnd w:id="1652"/>
      <w:bookmarkEnd w:id="1653"/>
      <w:bookmarkEnd w:id="1654"/>
      <w:bookmarkEnd w:id="1655"/>
    </w:p>
    <w:p>
      <w:pPr>
        <w:spacing w:line="360" w:lineRule="auto"/>
        <w:ind w:firstLine="600" w:firstLineChars="20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工程缺陷责任期为</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个月，缺陷责任期自工程</w:t>
      </w:r>
      <w:r>
        <w:rPr>
          <w:rFonts w:hint="eastAsia" w:ascii="Times New Roman" w:hAnsi="Times New Roman" w:eastAsia="仿宋_GB2312"/>
          <w:color w:val="000000"/>
          <w:sz w:val="30"/>
          <w:szCs w:val="30"/>
          <w:highlight w:val="none"/>
        </w:rPr>
        <w:t>通过竣工验收</w:t>
      </w:r>
      <w:r>
        <w:rPr>
          <w:rFonts w:ascii="Times New Roman" w:hAnsi="Times New Roman" w:eastAsia="仿宋_GB2312"/>
          <w:color w:val="000000"/>
          <w:sz w:val="30"/>
          <w:szCs w:val="30"/>
          <w:highlight w:val="none"/>
        </w:rPr>
        <w:t>之日起计算。单位工程先于全部工程进行验收，单位工程缺陷责任期自单位工程验收合格之日起算。</w:t>
      </w:r>
    </w:p>
    <w:p>
      <w:pPr>
        <w:spacing w:line="360" w:lineRule="auto"/>
        <w:ind w:firstLine="600" w:firstLineChars="20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缺陷责任期终止后，发包人应退还剩余的质量保证金。</w:t>
      </w:r>
    </w:p>
    <w:p>
      <w:pPr>
        <w:spacing w:line="360" w:lineRule="auto"/>
        <w:outlineLvl w:val="0"/>
        <w:rPr>
          <w:rFonts w:ascii="Times New Roman" w:hAnsi="Times New Roman" w:eastAsia="黑体"/>
          <w:color w:val="000000"/>
          <w:sz w:val="30"/>
          <w:szCs w:val="30"/>
          <w:highlight w:val="none"/>
        </w:rPr>
      </w:pPr>
      <w:r>
        <w:rPr>
          <w:rFonts w:ascii="Times New Roman" w:hAnsi="Times New Roman" w:eastAsia="黑体"/>
          <w:color w:val="000000"/>
          <w:sz w:val="30"/>
          <w:szCs w:val="30"/>
          <w:highlight w:val="none"/>
        </w:rPr>
        <w:t xml:space="preserve">    </w:t>
      </w:r>
      <w:bookmarkStart w:id="1656" w:name="_Toc16426"/>
      <w:bookmarkStart w:id="1657" w:name="_Toc6551"/>
      <w:bookmarkStart w:id="1658" w:name="_Toc24926"/>
      <w:bookmarkStart w:id="1659" w:name="_Toc22741"/>
      <w:r>
        <w:rPr>
          <w:rFonts w:ascii="Times New Roman" w:hAnsi="Times New Roman" w:eastAsia="黑体"/>
          <w:color w:val="000000"/>
          <w:sz w:val="30"/>
          <w:szCs w:val="30"/>
          <w:highlight w:val="none"/>
        </w:rPr>
        <w:t>四、质量保修责任</w:t>
      </w:r>
      <w:bookmarkEnd w:id="1656"/>
      <w:bookmarkEnd w:id="1657"/>
      <w:bookmarkEnd w:id="1658"/>
      <w:bookmarkEnd w:id="1659"/>
    </w:p>
    <w:p>
      <w:pPr>
        <w:spacing w:line="360" w:lineRule="auto"/>
        <w:ind w:left="110" w:leftChars="50" w:firstLine="615" w:firstLineChars="205"/>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1</w:t>
      </w:r>
      <w:r>
        <w:rPr>
          <w:rFonts w:hint="eastAsia" w:ascii="仿宋_GB2312" w:eastAsia="仿宋_GB2312"/>
          <w:sz w:val="30"/>
          <w:szCs w:val="30"/>
          <w:highlight w:val="none"/>
        </w:rPr>
        <w:t>．</w:t>
      </w:r>
      <w:r>
        <w:rPr>
          <w:rFonts w:ascii="Times New Roman" w:hAnsi="Times New Roman" w:eastAsia="仿宋_GB2312"/>
          <w:color w:val="000000"/>
          <w:sz w:val="30"/>
          <w:szCs w:val="30"/>
          <w:highlight w:val="none"/>
        </w:rPr>
        <w:t>属于保修范围、内容的项目，承包人应当在接到保修通知之日起7天内派人保修。承包人不在约定期限内派人保修的，发包人可以委托他人修理。</w:t>
      </w:r>
    </w:p>
    <w:p>
      <w:pPr>
        <w:spacing w:line="360" w:lineRule="auto"/>
        <w:ind w:left="110" w:leftChars="50" w:firstLine="615" w:firstLineChars="205"/>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2</w:t>
      </w:r>
      <w:r>
        <w:rPr>
          <w:rFonts w:hint="eastAsia" w:ascii="仿宋_GB2312" w:eastAsia="仿宋_GB2312"/>
          <w:sz w:val="30"/>
          <w:szCs w:val="30"/>
          <w:highlight w:val="none"/>
        </w:rPr>
        <w:t>．</w:t>
      </w:r>
      <w:r>
        <w:rPr>
          <w:rFonts w:ascii="Times New Roman" w:hAnsi="Times New Roman" w:eastAsia="仿宋_GB2312"/>
          <w:color w:val="000000"/>
          <w:sz w:val="30"/>
          <w:szCs w:val="30"/>
          <w:highlight w:val="none"/>
        </w:rPr>
        <w:t>发生紧急事故需抢修的，承包人在接到事故通知后，应当立即到达事故现场抢修。</w:t>
      </w:r>
    </w:p>
    <w:p>
      <w:pPr>
        <w:spacing w:line="360" w:lineRule="auto"/>
        <w:ind w:left="110" w:leftChars="50" w:firstLine="615" w:firstLineChars="205"/>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3</w:t>
      </w:r>
      <w:r>
        <w:rPr>
          <w:rFonts w:hint="eastAsia" w:ascii="仿宋_GB2312" w:eastAsia="仿宋_GB2312"/>
          <w:sz w:val="30"/>
          <w:szCs w:val="30"/>
          <w:highlight w:val="none"/>
        </w:rPr>
        <w:t>．</w:t>
      </w:r>
      <w:r>
        <w:rPr>
          <w:rFonts w:ascii="Times New Roman" w:hAnsi="Times New Roman" w:eastAsia="仿宋_GB2312"/>
          <w:color w:val="000000"/>
          <w:sz w:val="30"/>
          <w:szCs w:val="30"/>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ind w:left="440" w:leftChars="200" w:firstLine="150" w:firstLineChars="50"/>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4</w:t>
      </w:r>
      <w:r>
        <w:rPr>
          <w:rFonts w:hint="eastAsia" w:ascii="仿宋_GB2312" w:eastAsia="仿宋_GB2312"/>
          <w:sz w:val="30"/>
          <w:szCs w:val="30"/>
          <w:highlight w:val="none"/>
        </w:rPr>
        <w:t>．</w:t>
      </w:r>
      <w:r>
        <w:rPr>
          <w:rFonts w:ascii="Times New Roman" w:hAnsi="Times New Roman" w:eastAsia="仿宋_GB2312"/>
          <w:color w:val="000000"/>
          <w:sz w:val="30"/>
          <w:szCs w:val="30"/>
          <w:highlight w:val="none"/>
        </w:rPr>
        <w:t>质量保修完成后，由发包人组织验收。</w:t>
      </w:r>
    </w:p>
    <w:p>
      <w:pPr>
        <w:spacing w:line="360" w:lineRule="auto"/>
        <w:outlineLvl w:val="0"/>
        <w:rPr>
          <w:rFonts w:ascii="Times New Roman" w:hAnsi="Times New Roman" w:eastAsia="黑体"/>
          <w:color w:val="000000"/>
          <w:sz w:val="30"/>
          <w:szCs w:val="30"/>
          <w:highlight w:val="none"/>
        </w:rPr>
      </w:pPr>
      <w:r>
        <w:rPr>
          <w:rFonts w:ascii="Times New Roman" w:hAnsi="Times New Roman" w:eastAsia="黑体"/>
          <w:color w:val="000000"/>
          <w:sz w:val="30"/>
          <w:szCs w:val="30"/>
          <w:highlight w:val="none"/>
        </w:rPr>
        <w:t>　　</w:t>
      </w:r>
      <w:bookmarkStart w:id="1660" w:name="_Toc15959"/>
      <w:bookmarkStart w:id="1661" w:name="_Toc13000"/>
      <w:bookmarkStart w:id="1662" w:name="_Toc9170"/>
      <w:bookmarkStart w:id="1663" w:name="_Toc10477"/>
      <w:r>
        <w:rPr>
          <w:rFonts w:ascii="Times New Roman" w:hAnsi="Times New Roman" w:eastAsia="黑体"/>
          <w:color w:val="000000"/>
          <w:sz w:val="30"/>
          <w:szCs w:val="30"/>
          <w:highlight w:val="none"/>
        </w:rPr>
        <w:t>五、保修费用</w:t>
      </w:r>
      <w:bookmarkEnd w:id="1660"/>
      <w:bookmarkEnd w:id="1661"/>
      <w:bookmarkEnd w:id="1662"/>
      <w:bookmarkEnd w:id="1663"/>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　　保修费用由造成质量缺陷的责任方承担。</w:t>
      </w:r>
    </w:p>
    <w:p>
      <w:pPr>
        <w:spacing w:line="360" w:lineRule="auto"/>
        <w:ind w:firstLine="600"/>
        <w:jc w:val="left"/>
        <w:outlineLvl w:val="0"/>
        <w:rPr>
          <w:rFonts w:ascii="Times New Roman" w:hAnsi="Times New Roman" w:eastAsia="仿宋_GB2312"/>
          <w:color w:val="000000"/>
          <w:sz w:val="30"/>
          <w:szCs w:val="30"/>
          <w:highlight w:val="none"/>
          <w:u w:val="single"/>
        </w:rPr>
      </w:pPr>
      <w:bookmarkStart w:id="1664" w:name="_Toc14207"/>
      <w:bookmarkStart w:id="1665" w:name="_Toc7969"/>
      <w:bookmarkStart w:id="1666" w:name="_Toc16190"/>
      <w:bookmarkStart w:id="1667" w:name="_Toc10363"/>
      <w:r>
        <w:rPr>
          <w:rFonts w:ascii="Times New Roman" w:hAnsi="Times New Roman" w:eastAsia="黑体"/>
          <w:b/>
          <w:color w:val="000000"/>
          <w:sz w:val="30"/>
          <w:szCs w:val="30"/>
          <w:highlight w:val="none"/>
        </w:rPr>
        <w:t>六</w:t>
      </w:r>
      <w:r>
        <w:rPr>
          <w:rFonts w:ascii="Times New Roman" w:hAnsi="Times New Roman" w:eastAsia="黑体"/>
          <w:color w:val="000000"/>
          <w:sz w:val="30"/>
          <w:szCs w:val="30"/>
          <w:highlight w:val="none"/>
        </w:rPr>
        <w:t>、双方约定的其他工程质量保修事项</w:t>
      </w:r>
      <w:r>
        <w:rPr>
          <w:rFonts w:ascii="Times New Roman" w:hAnsi="Times New Roman" w:eastAsia="仿宋_GB2312"/>
          <w:color w:val="000000"/>
          <w:sz w:val="30"/>
          <w:szCs w:val="30"/>
          <w:highlight w:val="none"/>
        </w:rPr>
        <w:t>：</w:t>
      </w:r>
      <w:bookmarkEnd w:id="1664"/>
      <w:bookmarkEnd w:id="1665"/>
      <w:bookmarkEnd w:id="1666"/>
      <w:bookmarkEnd w:id="1667"/>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p>
    <w:p>
      <w:pPr>
        <w:spacing w:line="360" w:lineRule="auto"/>
        <w:jc w:val="left"/>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w:t>
      </w:r>
    </w:p>
    <w:p>
      <w:pPr>
        <w:spacing w:line="360" w:lineRule="auto"/>
        <w:ind w:firstLine="570" w:firstLineChars="19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工程质量保修书由发包人、承包人在工程竣工验收前共同签署，作为施工合同附件，其有效期限至保修期满。</w:t>
      </w:r>
    </w:p>
    <w:p>
      <w:pPr>
        <w:spacing w:line="360" w:lineRule="auto"/>
        <w:ind w:firstLine="420"/>
        <w:rPr>
          <w:rFonts w:ascii="Times New Roman" w:hAnsi="Times New Roman" w:eastAsia="仿宋_GB2312"/>
          <w:color w:val="000000"/>
          <w:sz w:val="30"/>
          <w:szCs w:val="30"/>
          <w:highlight w:val="none"/>
        </w:rPr>
      </w:pP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发包人(公章)：</w:t>
      </w:r>
      <w:r>
        <w:rPr>
          <w:rFonts w:ascii="Times New Roman" w:hAnsi="Times New Roman" w:eastAsia="仿宋_GB2312"/>
          <w:color w:val="000000"/>
          <w:sz w:val="30"/>
          <w:szCs w:val="30"/>
          <w:highlight w:val="none"/>
          <w:u w:val="single"/>
        </w:rPr>
        <w:t xml:space="preserve">        </w:t>
      </w:r>
      <w:r>
        <w:rPr>
          <w:rFonts w:ascii="Times New Roman" w:hAnsi="Times New Roman" w:eastAsia="仿宋_GB2312"/>
          <w:color w:val="000000"/>
          <w:sz w:val="30"/>
          <w:szCs w:val="30"/>
          <w:highlight w:val="none"/>
        </w:rPr>
        <w:t xml:space="preserve"> 承包人(公章)：</w:t>
      </w:r>
      <w:r>
        <w:rPr>
          <w:rFonts w:ascii="Times New Roman" w:hAnsi="Times New Roman" w:eastAsia="仿宋_GB2312"/>
          <w:color w:val="000000"/>
          <w:sz w:val="30"/>
          <w:szCs w:val="30"/>
          <w:highlight w:val="none"/>
          <w:u w:val="single"/>
        </w:rPr>
        <w:t></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地  址：</w:t>
      </w:r>
      <w:r>
        <w:rPr>
          <w:rFonts w:ascii="Times New Roman" w:hAnsi="Times New Roman" w:eastAsia="仿宋_GB2312"/>
          <w:color w:val="000000"/>
          <w:sz w:val="30"/>
          <w:szCs w:val="30"/>
          <w:highlight w:val="none"/>
          <w:u w:val="single"/>
        </w:rPr>
        <w:t xml:space="preserve">     </w:t>
      </w:r>
      <w:r>
        <w:rPr>
          <w:rFonts w:hint="eastAsia" w:ascii="Times New Roman" w:hAnsi="Times New Roman" w:eastAsia="仿宋_GB2312"/>
          <w:color w:val="000000"/>
          <w:sz w:val="30"/>
          <w:szCs w:val="30"/>
          <w:highlight w:val="none"/>
        </w:rPr>
        <w:t xml:space="preserve"> </w:t>
      </w:r>
      <w:r>
        <w:rPr>
          <w:rFonts w:ascii="Times New Roman" w:hAnsi="Times New Roman" w:eastAsia="仿宋_GB2312"/>
          <w:color w:val="000000"/>
          <w:sz w:val="30"/>
          <w:szCs w:val="30"/>
          <w:highlight w:val="none"/>
        </w:rPr>
        <w:t>地  址：</w:t>
      </w:r>
      <w:r>
        <w:rPr>
          <w:rFonts w:ascii="Times New Roman" w:hAnsi="Times New Roman" w:eastAsia="仿宋_GB2312"/>
          <w:color w:val="000000"/>
          <w:sz w:val="30"/>
          <w:szCs w:val="30"/>
          <w:highlight w:val="none"/>
          <w:u w:val="single"/>
        </w:rPr>
        <w:t></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法定代表人(签字)：</w:t>
      </w:r>
      <w:r>
        <w:rPr>
          <w:rFonts w:ascii="Times New Roman" w:hAnsi="Times New Roman" w:eastAsia="仿宋_GB2312"/>
          <w:color w:val="000000"/>
          <w:sz w:val="30"/>
          <w:szCs w:val="30"/>
          <w:highlight w:val="none"/>
          <w:u w:val="single"/>
        </w:rPr>
        <w:t></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 xml:space="preserve"> 法定代表人(签字)：</w:t>
      </w:r>
      <w:r>
        <w:rPr>
          <w:rFonts w:ascii="Times New Roman" w:hAnsi="Times New Roman" w:eastAsia="仿宋_GB2312"/>
          <w:color w:val="000000"/>
          <w:sz w:val="30"/>
          <w:szCs w:val="30"/>
          <w:highlight w:val="none"/>
          <w:u w:val="single"/>
        </w:rPr>
        <w:t></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委托代理人(签字)：</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 xml:space="preserve"> 委托代理人(签字)：</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电  话：</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 xml:space="preserve"> 电  话：</w:t>
      </w:r>
      <w:r>
        <w:rPr>
          <w:rFonts w:ascii="Times New Roman" w:hAnsi="Times New Roman" w:eastAsia="仿宋_GB2312"/>
          <w:color w:val="000000"/>
          <w:sz w:val="30"/>
          <w:szCs w:val="30"/>
          <w:highlight w:val="none"/>
          <w:u w:val="single"/>
        </w:rPr>
        <w:t></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传  真：</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 xml:space="preserve"> 传  真：</w:t>
      </w:r>
      <w:r>
        <w:rPr>
          <w:rFonts w:ascii="Times New Roman" w:hAnsi="Times New Roman" w:eastAsia="仿宋_GB2312"/>
          <w:color w:val="000000"/>
          <w:sz w:val="30"/>
          <w:szCs w:val="30"/>
          <w:highlight w:val="none"/>
          <w:u w:val="single"/>
        </w:rPr>
        <w:t></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开户银行：</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 xml:space="preserve"> 开户银行：</w:t>
      </w:r>
      <w:r>
        <w:rPr>
          <w:rFonts w:ascii="Times New Roman" w:hAnsi="Times New Roman" w:eastAsia="仿宋_GB2312"/>
          <w:color w:val="000000"/>
          <w:sz w:val="30"/>
          <w:szCs w:val="30"/>
          <w:highlight w:val="none"/>
          <w:u w:val="single"/>
        </w:rPr>
        <w:t xml:space="preserve">   </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账  号：</w:t>
      </w:r>
      <w:r>
        <w:rPr>
          <w:rFonts w:ascii="Times New Roman" w:hAnsi="Times New Roman" w:eastAsia="仿宋_GB2312"/>
          <w:color w:val="000000"/>
          <w:sz w:val="30"/>
          <w:szCs w:val="30"/>
          <w:highlight w:val="none"/>
          <w:u w:val="single"/>
        </w:rPr>
        <w:t xml:space="preserve">       </w:t>
      </w:r>
      <w:r>
        <w:rPr>
          <w:rFonts w:hint="eastAsia" w:ascii="Times New Roman" w:hAnsi="Times New Roman" w:eastAsia="仿宋_GB2312"/>
          <w:color w:val="000000"/>
          <w:sz w:val="30"/>
          <w:szCs w:val="30"/>
          <w:highlight w:val="none"/>
        </w:rPr>
        <w:t xml:space="preserve">  </w:t>
      </w:r>
      <w:r>
        <w:rPr>
          <w:rFonts w:ascii="Times New Roman" w:hAnsi="Times New Roman" w:eastAsia="仿宋_GB2312"/>
          <w:color w:val="000000"/>
          <w:sz w:val="30"/>
          <w:szCs w:val="30"/>
          <w:highlight w:val="none"/>
        </w:rPr>
        <w:t>账</w:t>
      </w:r>
      <w:r>
        <w:rPr>
          <w:rFonts w:hint="eastAsia" w:ascii="Times New Roman" w:hAnsi="Times New Roman" w:eastAsia="仿宋_GB2312"/>
          <w:color w:val="000000"/>
          <w:sz w:val="30"/>
          <w:szCs w:val="30"/>
          <w:highlight w:val="none"/>
        </w:rPr>
        <w:t xml:space="preserve"> </w:t>
      </w:r>
      <w:r>
        <w:rPr>
          <w:rFonts w:ascii="Times New Roman" w:hAnsi="Times New Roman" w:eastAsia="仿宋_GB2312"/>
          <w:color w:val="000000"/>
          <w:sz w:val="30"/>
          <w:szCs w:val="30"/>
          <w:highlight w:val="none"/>
        </w:rPr>
        <w:t xml:space="preserve"> 号：</w:t>
      </w:r>
      <w:r>
        <w:rPr>
          <w:rFonts w:ascii="Times New Roman" w:hAnsi="Times New Roman" w:eastAsia="仿宋_GB2312"/>
          <w:color w:val="000000"/>
          <w:sz w:val="30"/>
          <w:szCs w:val="30"/>
          <w:highlight w:val="none"/>
          <w:u w:val="single"/>
        </w:rPr>
        <w:t></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邮政编码：</w:t>
      </w:r>
      <w:r>
        <w:rPr>
          <w:rFonts w:ascii="Times New Roman" w:hAnsi="Times New Roman" w:eastAsia="仿宋_GB2312"/>
          <w:color w:val="000000"/>
          <w:sz w:val="30"/>
          <w:szCs w:val="30"/>
          <w:highlight w:val="none"/>
          <w:u w:val="single"/>
        </w:rPr>
        <w:t xml:space="preserve">     </w:t>
      </w:r>
      <w:r>
        <w:rPr>
          <w:rFonts w:ascii="Times New Roman" w:hAnsi="Times New Roman" w:eastAsia="仿宋_GB2312"/>
          <w:color w:val="000000"/>
          <w:sz w:val="30"/>
          <w:szCs w:val="30"/>
          <w:highlight w:val="none"/>
        </w:rPr>
        <w:t xml:space="preserve"> 邮政编码：</w:t>
      </w:r>
      <w:r>
        <w:rPr>
          <w:rFonts w:ascii="Times New Roman" w:hAnsi="Times New Roman" w:eastAsia="仿宋_GB2312"/>
          <w:color w:val="000000"/>
          <w:sz w:val="30"/>
          <w:szCs w:val="30"/>
          <w:highlight w:val="none"/>
          <w:u w:val="single"/>
        </w:rPr>
        <w:t xml:space="preserve">   </w:t>
      </w:r>
    </w:p>
    <w:p>
      <w:pPr>
        <w:spacing w:line="440" w:lineRule="exact"/>
        <w:rPr>
          <w:rFonts w:ascii="Times New Roman" w:hAnsi="Times New Roman" w:eastAsia="黑体"/>
          <w:color w:val="000000"/>
          <w:sz w:val="30"/>
          <w:szCs w:val="30"/>
          <w:highlight w:val="none"/>
        </w:rPr>
      </w:pPr>
      <w:r>
        <w:rPr>
          <w:rFonts w:ascii="Times New Roman" w:hAnsi="Times New Roman" w:eastAsia="仿宋_GB2312"/>
          <w:b/>
          <w:color w:val="000000"/>
          <w:sz w:val="30"/>
          <w:szCs w:val="30"/>
          <w:highlight w:val="none"/>
        </w:rPr>
        <w:br w:type="page"/>
      </w:r>
      <w:r>
        <w:rPr>
          <w:rFonts w:ascii="Times New Roman" w:hAnsi="Times New Roman" w:eastAsia="仿宋_GB2312"/>
          <w:color w:val="000000"/>
          <w:sz w:val="30"/>
          <w:szCs w:val="30"/>
          <w:highlight w:val="none"/>
        </w:rPr>
        <w:t>附件4：</w:t>
      </w:r>
    </w:p>
    <w:p>
      <w:pPr>
        <w:spacing w:before="156" w:beforeLines="50" w:after="156" w:afterLines="50" w:line="440" w:lineRule="exact"/>
        <w:jc w:val="center"/>
        <w:rPr>
          <w:rFonts w:ascii="Times New Roman" w:hAnsi="Times New Roman" w:eastAsia="黑体"/>
          <w:color w:val="000000"/>
          <w:sz w:val="30"/>
          <w:szCs w:val="30"/>
          <w:highlight w:val="none"/>
        </w:rPr>
      </w:pPr>
      <w:r>
        <w:rPr>
          <w:rFonts w:ascii="Times New Roman" w:hAnsi="Times New Roman" w:eastAsia="黑体"/>
          <w:color w:val="000000"/>
          <w:sz w:val="30"/>
          <w:szCs w:val="30"/>
          <w:highlight w:val="none"/>
        </w:rPr>
        <w:t>主要建设工程文件目录</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文件名称</w:t>
            </w:r>
          </w:p>
        </w:tc>
        <w:tc>
          <w:tcPr>
            <w:tcW w:w="1276"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套数</w:t>
            </w:r>
          </w:p>
        </w:tc>
        <w:tc>
          <w:tcPr>
            <w:tcW w:w="1450"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费用</w:t>
            </w:r>
            <w:r>
              <w:rPr>
                <w:rFonts w:hint="eastAsia" w:eastAsia="仿宋_GB2312"/>
                <w:color w:val="000000"/>
                <w:kern w:val="2"/>
                <w:sz w:val="28"/>
                <w:szCs w:val="30"/>
                <w:highlight w:val="none"/>
                <w:lang w:val="en-US" w:eastAsia="zh-CN"/>
              </w:rPr>
              <w:t>（元）</w:t>
            </w:r>
          </w:p>
        </w:tc>
        <w:tc>
          <w:tcPr>
            <w:tcW w:w="1243"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质量</w:t>
            </w:r>
          </w:p>
        </w:tc>
        <w:tc>
          <w:tcPr>
            <w:tcW w:w="1450" w:type="dxa"/>
            <w:tcBorders>
              <w:top w:val="single" w:color="auto" w:sz="12" w:space="0"/>
              <w:bottom w:val="double" w:color="auto" w:sz="6" w:space="0"/>
            </w:tcBorders>
            <w:noWrap w:val="0"/>
            <w:vAlign w:val="top"/>
          </w:tcPr>
          <w:p>
            <w:pPr>
              <w:spacing w:line="440" w:lineRule="exact"/>
              <w:jc w:val="center"/>
              <w:rPr>
                <w:rFonts w:ascii="Times New Roman" w:hAnsi="Times New Roman" w:eastAsia="仿宋_GB2312"/>
                <w:color w:val="000000"/>
                <w:sz w:val="28"/>
                <w:szCs w:val="30"/>
                <w:highlight w:val="none"/>
              </w:rPr>
            </w:pPr>
            <w:r>
              <w:rPr>
                <w:rFonts w:ascii="Times New Roman" w:hAnsi="Times New Roman" w:eastAsia="仿宋_GB2312"/>
                <w:color w:val="000000"/>
                <w:sz w:val="28"/>
                <w:szCs w:val="30"/>
                <w:highlight w:val="none"/>
              </w:rPr>
              <w:t>移交时间</w:t>
            </w:r>
          </w:p>
        </w:tc>
        <w:tc>
          <w:tcPr>
            <w:tcW w:w="1667" w:type="dxa"/>
            <w:tcBorders>
              <w:top w:val="single" w:color="auto" w:sz="12" w:space="0"/>
              <w:bottom w:val="double" w:color="auto" w:sz="6" w:space="0"/>
            </w:tcBorders>
            <w:noWrap w:val="0"/>
            <w:vAlign w:val="top"/>
          </w:tcPr>
          <w:p>
            <w:pPr>
              <w:spacing w:line="440" w:lineRule="exact"/>
              <w:jc w:val="center"/>
              <w:rPr>
                <w:rFonts w:ascii="Times New Roman" w:hAnsi="Times New Roman" w:eastAsia="仿宋_GB2312"/>
                <w:color w:val="000000"/>
                <w:sz w:val="28"/>
                <w:szCs w:val="30"/>
                <w:highlight w:val="none"/>
              </w:rPr>
            </w:pPr>
            <w:r>
              <w:rPr>
                <w:rFonts w:ascii="Times New Roman" w:hAnsi="Times New Roman" w:eastAsia="仿宋_GB2312"/>
                <w:color w:val="000000"/>
                <w:sz w:val="28"/>
                <w:szCs w:val="30"/>
                <w:highlight w:val="none"/>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76"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50"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43"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50"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667"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76"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5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43"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5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667"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76"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43"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66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76"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43"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66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76"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43"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66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76"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43"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66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76"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43"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66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76"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43"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66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rPr>
                <w:rFonts w:eastAsia="仿宋_GB2312"/>
                <w:color w:val="000000"/>
                <w:sz w:val="30"/>
                <w:szCs w:val="30"/>
                <w:highlight w:val="none"/>
              </w:rPr>
            </w:pPr>
          </w:p>
        </w:tc>
        <w:tc>
          <w:tcPr>
            <w:tcW w:w="1276" w:type="dxa"/>
            <w:noWrap w:val="0"/>
            <w:vAlign w:val="top"/>
          </w:tcPr>
          <w:p>
            <w:pPr>
              <w:rPr>
                <w:rFonts w:eastAsia="仿宋_GB2312"/>
                <w:color w:val="000000"/>
                <w:sz w:val="30"/>
                <w:szCs w:val="30"/>
                <w:highlight w:val="none"/>
              </w:rPr>
            </w:pPr>
          </w:p>
        </w:tc>
        <w:tc>
          <w:tcPr>
            <w:tcW w:w="1450" w:type="dxa"/>
            <w:noWrap w:val="0"/>
            <w:vAlign w:val="top"/>
          </w:tcPr>
          <w:p>
            <w:pPr>
              <w:rPr>
                <w:rFonts w:eastAsia="仿宋_GB2312"/>
                <w:color w:val="000000"/>
                <w:sz w:val="30"/>
                <w:szCs w:val="30"/>
                <w:highlight w:val="none"/>
              </w:rPr>
            </w:pPr>
          </w:p>
        </w:tc>
        <w:tc>
          <w:tcPr>
            <w:tcW w:w="1243" w:type="dxa"/>
            <w:noWrap w:val="0"/>
            <w:vAlign w:val="top"/>
          </w:tcPr>
          <w:p>
            <w:pPr>
              <w:rPr>
                <w:rFonts w:eastAsia="仿宋_GB2312"/>
                <w:color w:val="000000"/>
                <w:sz w:val="30"/>
                <w:szCs w:val="30"/>
                <w:highlight w:val="none"/>
              </w:rPr>
            </w:pPr>
          </w:p>
        </w:tc>
        <w:tc>
          <w:tcPr>
            <w:tcW w:w="1450" w:type="dxa"/>
            <w:noWrap w:val="0"/>
            <w:vAlign w:val="top"/>
          </w:tcPr>
          <w:p>
            <w:pPr>
              <w:rPr>
                <w:rFonts w:eastAsia="仿宋_GB2312"/>
                <w:color w:val="000000"/>
                <w:sz w:val="30"/>
                <w:szCs w:val="30"/>
                <w:highlight w:val="none"/>
              </w:rPr>
            </w:pPr>
          </w:p>
        </w:tc>
        <w:tc>
          <w:tcPr>
            <w:tcW w:w="1667" w:type="dxa"/>
            <w:noWrap w:val="0"/>
            <w:vAlign w:val="top"/>
          </w:tcPr>
          <w:p>
            <w:pP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76"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243"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667"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rPr>
                <w:rFonts w:eastAsia="仿宋_GB2312"/>
                <w:color w:val="000000"/>
                <w:sz w:val="30"/>
                <w:szCs w:val="30"/>
                <w:highlight w:val="none"/>
              </w:rPr>
            </w:pPr>
          </w:p>
        </w:tc>
        <w:tc>
          <w:tcPr>
            <w:tcW w:w="1276" w:type="dxa"/>
            <w:noWrap w:val="0"/>
            <w:vAlign w:val="top"/>
          </w:tcPr>
          <w:p>
            <w:pPr>
              <w:rPr>
                <w:rFonts w:eastAsia="仿宋_GB2312"/>
                <w:color w:val="000000"/>
                <w:sz w:val="30"/>
                <w:szCs w:val="30"/>
                <w:highlight w:val="none"/>
              </w:rPr>
            </w:pPr>
          </w:p>
        </w:tc>
        <w:tc>
          <w:tcPr>
            <w:tcW w:w="1450" w:type="dxa"/>
            <w:noWrap w:val="0"/>
            <w:vAlign w:val="top"/>
          </w:tcPr>
          <w:p>
            <w:pPr>
              <w:rPr>
                <w:rFonts w:eastAsia="仿宋_GB2312"/>
                <w:color w:val="000000"/>
                <w:sz w:val="30"/>
                <w:szCs w:val="30"/>
                <w:highlight w:val="none"/>
              </w:rPr>
            </w:pPr>
          </w:p>
        </w:tc>
        <w:tc>
          <w:tcPr>
            <w:tcW w:w="1243" w:type="dxa"/>
            <w:noWrap w:val="0"/>
            <w:vAlign w:val="top"/>
          </w:tcPr>
          <w:p>
            <w:pPr>
              <w:rPr>
                <w:rFonts w:eastAsia="仿宋_GB2312"/>
                <w:color w:val="000000"/>
                <w:sz w:val="30"/>
                <w:szCs w:val="30"/>
                <w:highlight w:val="none"/>
              </w:rPr>
            </w:pPr>
          </w:p>
        </w:tc>
        <w:tc>
          <w:tcPr>
            <w:tcW w:w="1450" w:type="dxa"/>
            <w:noWrap w:val="0"/>
            <w:vAlign w:val="top"/>
          </w:tcPr>
          <w:p>
            <w:pPr>
              <w:rPr>
                <w:rFonts w:eastAsia="仿宋_GB2312"/>
                <w:color w:val="000000"/>
                <w:sz w:val="30"/>
                <w:szCs w:val="30"/>
                <w:highlight w:val="none"/>
              </w:rPr>
            </w:pPr>
          </w:p>
        </w:tc>
        <w:tc>
          <w:tcPr>
            <w:tcW w:w="1667" w:type="dxa"/>
            <w:noWrap w:val="0"/>
            <w:vAlign w:val="top"/>
          </w:tcPr>
          <w:p>
            <w:pP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rPr>
                <w:rFonts w:eastAsia="仿宋_GB2312"/>
                <w:color w:val="000000"/>
                <w:sz w:val="30"/>
                <w:szCs w:val="30"/>
                <w:highlight w:val="none"/>
              </w:rPr>
            </w:pPr>
          </w:p>
        </w:tc>
        <w:tc>
          <w:tcPr>
            <w:tcW w:w="1276" w:type="dxa"/>
            <w:noWrap w:val="0"/>
            <w:vAlign w:val="top"/>
          </w:tcPr>
          <w:p>
            <w:pPr>
              <w:rPr>
                <w:rFonts w:eastAsia="仿宋_GB2312"/>
                <w:color w:val="000000"/>
                <w:sz w:val="30"/>
                <w:szCs w:val="30"/>
                <w:highlight w:val="none"/>
              </w:rPr>
            </w:pPr>
          </w:p>
        </w:tc>
        <w:tc>
          <w:tcPr>
            <w:tcW w:w="1450" w:type="dxa"/>
            <w:noWrap w:val="0"/>
            <w:vAlign w:val="top"/>
          </w:tcPr>
          <w:p>
            <w:pPr>
              <w:rPr>
                <w:rFonts w:eastAsia="仿宋_GB2312"/>
                <w:color w:val="000000"/>
                <w:sz w:val="30"/>
                <w:szCs w:val="30"/>
                <w:highlight w:val="none"/>
              </w:rPr>
            </w:pPr>
          </w:p>
        </w:tc>
        <w:tc>
          <w:tcPr>
            <w:tcW w:w="1243" w:type="dxa"/>
            <w:noWrap w:val="0"/>
            <w:vAlign w:val="top"/>
          </w:tcPr>
          <w:p>
            <w:pPr>
              <w:rPr>
                <w:rFonts w:eastAsia="仿宋_GB2312"/>
                <w:color w:val="000000"/>
                <w:sz w:val="30"/>
                <w:szCs w:val="30"/>
                <w:highlight w:val="none"/>
              </w:rPr>
            </w:pPr>
          </w:p>
        </w:tc>
        <w:tc>
          <w:tcPr>
            <w:tcW w:w="1450" w:type="dxa"/>
            <w:noWrap w:val="0"/>
            <w:vAlign w:val="top"/>
          </w:tcPr>
          <w:p>
            <w:pPr>
              <w:rPr>
                <w:rFonts w:eastAsia="仿宋_GB2312"/>
                <w:color w:val="000000"/>
                <w:sz w:val="30"/>
                <w:szCs w:val="30"/>
                <w:highlight w:val="none"/>
              </w:rPr>
            </w:pPr>
          </w:p>
        </w:tc>
        <w:tc>
          <w:tcPr>
            <w:tcW w:w="1667" w:type="dxa"/>
            <w:noWrap w:val="0"/>
            <w:vAlign w:val="top"/>
          </w:tcPr>
          <w:p>
            <w:pP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rPr>
                <w:rFonts w:eastAsia="仿宋_GB2312"/>
                <w:color w:val="000000"/>
                <w:sz w:val="30"/>
                <w:szCs w:val="30"/>
                <w:highlight w:val="none"/>
              </w:rPr>
            </w:pPr>
          </w:p>
        </w:tc>
        <w:tc>
          <w:tcPr>
            <w:tcW w:w="1276" w:type="dxa"/>
            <w:noWrap w:val="0"/>
            <w:vAlign w:val="top"/>
          </w:tcPr>
          <w:p>
            <w:pPr>
              <w:rPr>
                <w:rFonts w:eastAsia="仿宋_GB2312"/>
                <w:color w:val="000000"/>
                <w:sz w:val="30"/>
                <w:szCs w:val="30"/>
                <w:highlight w:val="none"/>
              </w:rPr>
            </w:pPr>
          </w:p>
        </w:tc>
        <w:tc>
          <w:tcPr>
            <w:tcW w:w="1450" w:type="dxa"/>
            <w:noWrap w:val="0"/>
            <w:vAlign w:val="top"/>
          </w:tcPr>
          <w:p>
            <w:pPr>
              <w:rPr>
                <w:rFonts w:eastAsia="仿宋_GB2312"/>
                <w:color w:val="000000"/>
                <w:sz w:val="30"/>
                <w:szCs w:val="30"/>
                <w:highlight w:val="none"/>
              </w:rPr>
            </w:pPr>
          </w:p>
        </w:tc>
        <w:tc>
          <w:tcPr>
            <w:tcW w:w="1243" w:type="dxa"/>
            <w:noWrap w:val="0"/>
            <w:vAlign w:val="top"/>
          </w:tcPr>
          <w:p>
            <w:pPr>
              <w:rPr>
                <w:rFonts w:eastAsia="仿宋_GB2312"/>
                <w:color w:val="000000"/>
                <w:sz w:val="30"/>
                <w:szCs w:val="30"/>
                <w:highlight w:val="none"/>
              </w:rPr>
            </w:pPr>
          </w:p>
        </w:tc>
        <w:tc>
          <w:tcPr>
            <w:tcW w:w="1450" w:type="dxa"/>
            <w:noWrap w:val="0"/>
            <w:vAlign w:val="top"/>
          </w:tcPr>
          <w:p>
            <w:pPr>
              <w:rPr>
                <w:rFonts w:eastAsia="仿宋_GB2312"/>
                <w:color w:val="000000"/>
                <w:sz w:val="30"/>
                <w:szCs w:val="30"/>
                <w:highlight w:val="none"/>
              </w:rPr>
            </w:pPr>
          </w:p>
        </w:tc>
        <w:tc>
          <w:tcPr>
            <w:tcW w:w="1667" w:type="dxa"/>
            <w:noWrap w:val="0"/>
            <w:vAlign w:val="top"/>
          </w:tcPr>
          <w:p>
            <w:pP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rPr>
                <w:rFonts w:eastAsia="仿宋_GB2312"/>
                <w:color w:val="000000"/>
                <w:sz w:val="30"/>
                <w:szCs w:val="30"/>
                <w:highlight w:val="none"/>
              </w:rPr>
            </w:pPr>
          </w:p>
        </w:tc>
        <w:tc>
          <w:tcPr>
            <w:tcW w:w="1276" w:type="dxa"/>
            <w:noWrap w:val="0"/>
            <w:vAlign w:val="top"/>
          </w:tcPr>
          <w:p>
            <w:pPr>
              <w:rPr>
                <w:rFonts w:eastAsia="仿宋_GB2312"/>
                <w:color w:val="000000"/>
                <w:sz w:val="30"/>
                <w:szCs w:val="30"/>
                <w:highlight w:val="none"/>
              </w:rPr>
            </w:pPr>
          </w:p>
        </w:tc>
        <w:tc>
          <w:tcPr>
            <w:tcW w:w="1450" w:type="dxa"/>
            <w:noWrap w:val="0"/>
            <w:vAlign w:val="top"/>
          </w:tcPr>
          <w:p>
            <w:pPr>
              <w:rPr>
                <w:rFonts w:eastAsia="仿宋_GB2312"/>
                <w:color w:val="000000"/>
                <w:sz w:val="30"/>
                <w:szCs w:val="30"/>
                <w:highlight w:val="none"/>
              </w:rPr>
            </w:pPr>
          </w:p>
        </w:tc>
        <w:tc>
          <w:tcPr>
            <w:tcW w:w="1243" w:type="dxa"/>
            <w:noWrap w:val="0"/>
            <w:vAlign w:val="top"/>
          </w:tcPr>
          <w:p>
            <w:pPr>
              <w:rPr>
                <w:rFonts w:eastAsia="仿宋_GB2312"/>
                <w:color w:val="000000"/>
                <w:sz w:val="30"/>
                <w:szCs w:val="30"/>
                <w:highlight w:val="none"/>
              </w:rPr>
            </w:pPr>
          </w:p>
        </w:tc>
        <w:tc>
          <w:tcPr>
            <w:tcW w:w="1450" w:type="dxa"/>
            <w:noWrap w:val="0"/>
            <w:vAlign w:val="top"/>
          </w:tcPr>
          <w:p>
            <w:pPr>
              <w:rPr>
                <w:rFonts w:eastAsia="仿宋_GB2312"/>
                <w:color w:val="000000"/>
                <w:sz w:val="30"/>
                <w:szCs w:val="30"/>
                <w:highlight w:val="none"/>
              </w:rPr>
            </w:pPr>
          </w:p>
        </w:tc>
        <w:tc>
          <w:tcPr>
            <w:tcW w:w="1667" w:type="dxa"/>
            <w:noWrap w:val="0"/>
            <w:vAlign w:val="top"/>
          </w:tcPr>
          <w:p>
            <w:pP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rPr>
                <w:rFonts w:eastAsia="仿宋_GB2312"/>
                <w:color w:val="000000"/>
                <w:sz w:val="30"/>
                <w:szCs w:val="30"/>
                <w:highlight w:val="none"/>
              </w:rPr>
            </w:pPr>
          </w:p>
        </w:tc>
        <w:tc>
          <w:tcPr>
            <w:tcW w:w="1276" w:type="dxa"/>
            <w:noWrap w:val="0"/>
            <w:vAlign w:val="top"/>
          </w:tcPr>
          <w:p>
            <w:pPr>
              <w:rPr>
                <w:rFonts w:eastAsia="仿宋_GB2312"/>
                <w:color w:val="000000"/>
                <w:sz w:val="30"/>
                <w:szCs w:val="30"/>
                <w:highlight w:val="none"/>
              </w:rPr>
            </w:pPr>
          </w:p>
        </w:tc>
        <w:tc>
          <w:tcPr>
            <w:tcW w:w="1450" w:type="dxa"/>
            <w:noWrap w:val="0"/>
            <w:vAlign w:val="top"/>
          </w:tcPr>
          <w:p>
            <w:pPr>
              <w:rPr>
                <w:rFonts w:eastAsia="仿宋_GB2312"/>
                <w:color w:val="000000"/>
                <w:sz w:val="30"/>
                <w:szCs w:val="30"/>
                <w:highlight w:val="none"/>
              </w:rPr>
            </w:pPr>
          </w:p>
        </w:tc>
        <w:tc>
          <w:tcPr>
            <w:tcW w:w="1243" w:type="dxa"/>
            <w:noWrap w:val="0"/>
            <w:vAlign w:val="top"/>
          </w:tcPr>
          <w:p>
            <w:pPr>
              <w:rPr>
                <w:rFonts w:eastAsia="仿宋_GB2312"/>
                <w:color w:val="000000"/>
                <w:sz w:val="30"/>
                <w:szCs w:val="30"/>
                <w:highlight w:val="none"/>
              </w:rPr>
            </w:pPr>
          </w:p>
        </w:tc>
        <w:tc>
          <w:tcPr>
            <w:tcW w:w="1450" w:type="dxa"/>
            <w:noWrap w:val="0"/>
            <w:vAlign w:val="top"/>
          </w:tcPr>
          <w:p>
            <w:pPr>
              <w:rPr>
                <w:rFonts w:eastAsia="仿宋_GB2312"/>
                <w:color w:val="000000"/>
                <w:sz w:val="30"/>
                <w:szCs w:val="30"/>
                <w:highlight w:val="none"/>
              </w:rPr>
            </w:pPr>
          </w:p>
        </w:tc>
        <w:tc>
          <w:tcPr>
            <w:tcW w:w="1667" w:type="dxa"/>
            <w:noWrap w:val="0"/>
            <w:vAlign w:val="top"/>
          </w:tcPr>
          <w:p>
            <w:pP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rPr>
                <w:rFonts w:eastAsia="仿宋_GB2312"/>
                <w:color w:val="000000"/>
                <w:sz w:val="30"/>
                <w:szCs w:val="30"/>
                <w:highlight w:val="none"/>
              </w:rPr>
            </w:pPr>
          </w:p>
        </w:tc>
        <w:tc>
          <w:tcPr>
            <w:tcW w:w="1276" w:type="dxa"/>
            <w:noWrap w:val="0"/>
            <w:vAlign w:val="top"/>
          </w:tcPr>
          <w:p>
            <w:pPr>
              <w:rPr>
                <w:rFonts w:eastAsia="仿宋_GB2312"/>
                <w:color w:val="000000"/>
                <w:sz w:val="30"/>
                <w:szCs w:val="30"/>
                <w:highlight w:val="none"/>
              </w:rPr>
            </w:pPr>
          </w:p>
        </w:tc>
        <w:tc>
          <w:tcPr>
            <w:tcW w:w="1450" w:type="dxa"/>
            <w:noWrap w:val="0"/>
            <w:vAlign w:val="top"/>
          </w:tcPr>
          <w:p>
            <w:pPr>
              <w:rPr>
                <w:rFonts w:eastAsia="仿宋_GB2312"/>
                <w:color w:val="000000"/>
                <w:sz w:val="30"/>
                <w:szCs w:val="30"/>
                <w:highlight w:val="none"/>
              </w:rPr>
            </w:pPr>
          </w:p>
        </w:tc>
        <w:tc>
          <w:tcPr>
            <w:tcW w:w="1243" w:type="dxa"/>
            <w:noWrap w:val="0"/>
            <w:vAlign w:val="top"/>
          </w:tcPr>
          <w:p>
            <w:pPr>
              <w:rPr>
                <w:rFonts w:eastAsia="仿宋_GB2312"/>
                <w:color w:val="000000"/>
                <w:sz w:val="30"/>
                <w:szCs w:val="30"/>
                <w:highlight w:val="none"/>
              </w:rPr>
            </w:pPr>
          </w:p>
        </w:tc>
        <w:tc>
          <w:tcPr>
            <w:tcW w:w="1450" w:type="dxa"/>
            <w:noWrap w:val="0"/>
            <w:vAlign w:val="top"/>
          </w:tcPr>
          <w:p>
            <w:pPr>
              <w:rPr>
                <w:rFonts w:eastAsia="仿宋_GB2312"/>
                <w:color w:val="000000"/>
                <w:sz w:val="30"/>
                <w:szCs w:val="30"/>
                <w:highlight w:val="none"/>
              </w:rPr>
            </w:pPr>
          </w:p>
        </w:tc>
        <w:tc>
          <w:tcPr>
            <w:tcW w:w="1667" w:type="dxa"/>
            <w:noWrap w:val="0"/>
            <w:vAlign w:val="top"/>
          </w:tcPr>
          <w:p>
            <w:pP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rPr>
                <w:rFonts w:eastAsia="仿宋_GB2312"/>
                <w:color w:val="000000"/>
                <w:sz w:val="30"/>
                <w:szCs w:val="30"/>
                <w:highlight w:val="none"/>
              </w:rPr>
            </w:pPr>
          </w:p>
        </w:tc>
        <w:tc>
          <w:tcPr>
            <w:tcW w:w="1276" w:type="dxa"/>
            <w:noWrap w:val="0"/>
            <w:vAlign w:val="top"/>
          </w:tcPr>
          <w:p>
            <w:pPr>
              <w:rPr>
                <w:rFonts w:eastAsia="仿宋_GB2312"/>
                <w:color w:val="000000"/>
                <w:sz w:val="30"/>
                <w:szCs w:val="30"/>
                <w:highlight w:val="none"/>
              </w:rPr>
            </w:pPr>
          </w:p>
        </w:tc>
        <w:tc>
          <w:tcPr>
            <w:tcW w:w="1450" w:type="dxa"/>
            <w:noWrap w:val="0"/>
            <w:vAlign w:val="top"/>
          </w:tcPr>
          <w:p>
            <w:pPr>
              <w:rPr>
                <w:rFonts w:eastAsia="仿宋_GB2312"/>
                <w:color w:val="000000"/>
                <w:sz w:val="30"/>
                <w:szCs w:val="30"/>
                <w:highlight w:val="none"/>
              </w:rPr>
            </w:pPr>
          </w:p>
        </w:tc>
        <w:tc>
          <w:tcPr>
            <w:tcW w:w="1243" w:type="dxa"/>
            <w:noWrap w:val="0"/>
            <w:vAlign w:val="top"/>
          </w:tcPr>
          <w:p>
            <w:pPr>
              <w:rPr>
                <w:rFonts w:eastAsia="仿宋_GB2312"/>
                <w:color w:val="000000"/>
                <w:sz w:val="30"/>
                <w:szCs w:val="30"/>
                <w:highlight w:val="none"/>
              </w:rPr>
            </w:pPr>
          </w:p>
        </w:tc>
        <w:tc>
          <w:tcPr>
            <w:tcW w:w="1450" w:type="dxa"/>
            <w:noWrap w:val="0"/>
            <w:vAlign w:val="top"/>
          </w:tcPr>
          <w:p>
            <w:pPr>
              <w:rPr>
                <w:rFonts w:eastAsia="仿宋_GB2312"/>
                <w:color w:val="000000"/>
                <w:sz w:val="30"/>
                <w:szCs w:val="30"/>
                <w:highlight w:val="none"/>
              </w:rPr>
            </w:pPr>
          </w:p>
        </w:tc>
        <w:tc>
          <w:tcPr>
            <w:tcW w:w="1667" w:type="dxa"/>
            <w:noWrap w:val="0"/>
            <w:vAlign w:val="top"/>
          </w:tcPr>
          <w:p>
            <w:pP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rPr>
                <w:rFonts w:eastAsia="仿宋_GB2312"/>
                <w:color w:val="000000"/>
                <w:sz w:val="30"/>
                <w:szCs w:val="30"/>
                <w:highlight w:val="none"/>
              </w:rPr>
            </w:pPr>
          </w:p>
        </w:tc>
        <w:tc>
          <w:tcPr>
            <w:tcW w:w="1276" w:type="dxa"/>
            <w:noWrap w:val="0"/>
            <w:vAlign w:val="top"/>
          </w:tcPr>
          <w:p>
            <w:pPr>
              <w:rPr>
                <w:rFonts w:eastAsia="仿宋_GB2312"/>
                <w:color w:val="000000"/>
                <w:sz w:val="30"/>
                <w:szCs w:val="30"/>
                <w:highlight w:val="none"/>
              </w:rPr>
            </w:pPr>
          </w:p>
        </w:tc>
        <w:tc>
          <w:tcPr>
            <w:tcW w:w="1450" w:type="dxa"/>
            <w:noWrap w:val="0"/>
            <w:vAlign w:val="top"/>
          </w:tcPr>
          <w:p>
            <w:pPr>
              <w:rPr>
                <w:rFonts w:eastAsia="仿宋_GB2312"/>
                <w:color w:val="000000"/>
                <w:sz w:val="30"/>
                <w:szCs w:val="30"/>
                <w:highlight w:val="none"/>
              </w:rPr>
            </w:pPr>
          </w:p>
        </w:tc>
        <w:tc>
          <w:tcPr>
            <w:tcW w:w="1243" w:type="dxa"/>
            <w:noWrap w:val="0"/>
            <w:vAlign w:val="top"/>
          </w:tcPr>
          <w:p>
            <w:pPr>
              <w:rPr>
                <w:rFonts w:eastAsia="仿宋_GB2312"/>
                <w:color w:val="000000"/>
                <w:sz w:val="30"/>
                <w:szCs w:val="30"/>
                <w:highlight w:val="none"/>
              </w:rPr>
            </w:pPr>
          </w:p>
        </w:tc>
        <w:tc>
          <w:tcPr>
            <w:tcW w:w="1450" w:type="dxa"/>
            <w:noWrap w:val="0"/>
            <w:vAlign w:val="top"/>
          </w:tcPr>
          <w:p>
            <w:pPr>
              <w:rPr>
                <w:rFonts w:eastAsia="仿宋_GB2312"/>
                <w:color w:val="000000"/>
                <w:sz w:val="30"/>
                <w:szCs w:val="30"/>
                <w:highlight w:val="none"/>
              </w:rPr>
            </w:pPr>
          </w:p>
        </w:tc>
        <w:tc>
          <w:tcPr>
            <w:tcW w:w="1667" w:type="dxa"/>
            <w:noWrap w:val="0"/>
            <w:vAlign w:val="top"/>
          </w:tcPr>
          <w:p>
            <w:pP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rPr>
                <w:rFonts w:eastAsia="仿宋_GB2312"/>
                <w:color w:val="000000"/>
                <w:sz w:val="30"/>
                <w:szCs w:val="30"/>
                <w:highlight w:val="none"/>
              </w:rPr>
            </w:pPr>
          </w:p>
        </w:tc>
        <w:tc>
          <w:tcPr>
            <w:tcW w:w="1276" w:type="dxa"/>
            <w:noWrap w:val="0"/>
            <w:vAlign w:val="top"/>
          </w:tcPr>
          <w:p>
            <w:pPr>
              <w:rPr>
                <w:rFonts w:eastAsia="仿宋_GB2312"/>
                <w:color w:val="000000"/>
                <w:sz w:val="30"/>
                <w:szCs w:val="30"/>
                <w:highlight w:val="none"/>
              </w:rPr>
            </w:pPr>
          </w:p>
        </w:tc>
        <w:tc>
          <w:tcPr>
            <w:tcW w:w="1450" w:type="dxa"/>
            <w:noWrap w:val="0"/>
            <w:vAlign w:val="top"/>
          </w:tcPr>
          <w:p>
            <w:pPr>
              <w:rPr>
                <w:rFonts w:eastAsia="仿宋_GB2312"/>
                <w:color w:val="000000"/>
                <w:sz w:val="30"/>
                <w:szCs w:val="30"/>
                <w:highlight w:val="none"/>
              </w:rPr>
            </w:pPr>
          </w:p>
        </w:tc>
        <w:tc>
          <w:tcPr>
            <w:tcW w:w="1243" w:type="dxa"/>
            <w:noWrap w:val="0"/>
            <w:vAlign w:val="top"/>
          </w:tcPr>
          <w:p>
            <w:pPr>
              <w:rPr>
                <w:rFonts w:eastAsia="仿宋_GB2312"/>
                <w:color w:val="000000"/>
                <w:sz w:val="30"/>
                <w:szCs w:val="30"/>
                <w:highlight w:val="none"/>
              </w:rPr>
            </w:pPr>
          </w:p>
        </w:tc>
        <w:tc>
          <w:tcPr>
            <w:tcW w:w="1450" w:type="dxa"/>
            <w:noWrap w:val="0"/>
            <w:vAlign w:val="top"/>
          </w:tcPr>
          <w:p>
            <w:pPr>
              <w:rPr>
                <w:rFonts w:eastAsia="仿宋_GB2312"/>
                <w:color w:val="000000"/>
                <w:sz w:val="30"/>
                <w:szCs w:val="30"/>
                <w:highlight w:val="none"/>
              </w:rPr>
            </w:pPr>
          </w:p>
        </w:tc>
        <w:tc>
          <w:tcPr>
            <w:tcW w:w="1667" w:type="dxa"/>
            <w:noWrap w:val="0"/>
            <w:vAlign w:val="top"/>
          </w:tcPr>
          <w:p>
            <w:pPr>
              <w:rPr>
                <w:rFonts w:eastAsia="仿宋_GB2312"/>
                <w:color w:val="000000"/>
                <w:sz w:val="30"/>
                <w:szCs w:val="30"/>
                <w:highlight w:val="none"/>
              </w:rPr>
            </w:pPr>
          </w:p>
        </w:tc>
      </w:tr>
    </w:tbl>
    <w:p>
      <w:pPr>
        <w:spacing w:line="440" w:lineRule="exact"/>
        <w:rPr>
          <w:rFonts w:hint="eastAsia" w:ascii="Times New Roman" w:hAnsi="Times New Roman" w:eastAsia="仿宋_GB2312"/>
          <w:color w:val="000000"/>
          <w:sz w:val="30"/>
          <w:szCs w:val="30"/>
          <w:highlight w:val="none"/>
        </w:rPr>
      </w:pPr>
    </w:p>
    <w:p>
      <w:pPr>
        <w:spacing w:line="440" w:lineRule="exact"/>
        <w:rPr>
          <w:rFonts w:ascii="Times New Roman" w:hAnsi="Times New Roman" w:eastAsia="黑体"/>
          <w:color w:val="000000"/>
          <w:sz w:val="30"/>
          <w:szCs w:val="30"/>
          <w:highlight w:val="none"/>
        </w:rPr>
      </w:pPr>
      <w:r>
        <w:rPr>
          <w:rFonts w:ascii="Times New Roman" w:hAnsi="Times New Roman" w:eastAsia="仿宋_GB2312"/>
          <w:color w:val="000000"/>
          <w:sz w:val="30"/>
          <w:szCs w:val="30"/>
          <w:highlight w:val="none"/>
        </w:rPr>
        <w:br w:type="page"/>
      </w:r>
      <w:r>
        <w:rPr>
          <w:rFonts w:ascii="Times New Roman" w:hAnsi="Times New Roman" w:eastAsia="仿宋_GB2312"/>
          <w:color w:val="000000"/>
          <w:sz w:val="30"/>
          <w:szCs w:val="30"/>
          <w:highlight w:val="none"/>
        </w:rPr>
        <w:t>附</w:t>
      </w:r>
      <w:bookmarkStart w:id="1668" w:name="_Toc296891267"/>
      <w:bookmarkStart w:id="1669" w:name="_Toc296503227"/>
      <w:bookmarkStart w:id="1670" w:name="_Toc267261698"/>
      <w:bookmarkStart w:id="1671" w:name="_Toc296346728"/>
      <w:bookmarkStart w:id="1672" w:name="_Toc296347226"/>
      <w:bookmarkStart w:id="1673" w:name="_Toc296944566"/>
      <w:bookmarkStart w:id="1674" w:name="_Toc296891055"/>
      <w:r>
        <w:rPr>
          <w:rFonts w:ascii="Times New Roman" w:hAnsi="Times New Roman" w:eastAsia="仿宋_GB2312"/>
          <w:color w:val="000000"/>
          <w:sz w:val="30"/>
          <w:szCs w:val="30"/>
          <w:highlight w:val="none"/>
        </w:rPr>
        <w:t>件5：</w:t>
      </w:r>
    </w:p>
    <w:bookmarkEnd w:id="1668"/>
    <w:bookmarkEnd w:id="1669"/>
    <w:bookmarkEnd w:id="1670"/>
    <w:bookmarkEnd w:id="1671"/>
    <w:bookmarkEnd w:id="1672"/>
    <w:bookmarkEnd w:id="1673"/>
    <w:bookmarkEnd w:id="1674"/>
    <w:p>
      <w:pPr>
        <w:spacing w:before="156" w:beforeLines="50" w:after="156" w:afterLines="50" w:line="440" w:lineRule="exact"/>
        <w:jc w:val="center"/>
        <w:rPr>
          <w:rFonts w:ascii="Times New Roman" w:hAnsi="Times New Roman" w:eastAsia="黑体"/>
          <w:color w:val="000000"/>
          <w:sz w:val="30"/>
          <w:szCs w:val="30"/>
          <w:highlight w:val="none"/>
        </w:rPr>
      </w:pPr>
      <w:r>
        <w:rPr>
          <w:rFonts w:ascii="Times New Roman" w:hAnsi="Times New Roman" w:eastAsia="黑体"/>
          <w:color w:val="000000"/>
          <w:sz w:val="30"/>
          <w:szCs w:val="30"/>
          <w:highlight w:val="none"/>
        </w:rPr>
        <w:t>承包人用于本工程施工的机械设备表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序号</w:t>
            </w:r>
          </w:p>
        </w:tc>
        <w:tc>
          <w:tcPr>
            <w:tcW w:w="1418"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机械或设备名称</w:t>
            </w:r>
          </w:p>
        </w:tc>
        <w:tc>
          <w:tcPr>
            <w:tcW w:w="850"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规格型号</w:t>
            </w:r>
          </w:p>
        </w:tc>
        <w:tc>
          <w:tcPr>
            <w:tcW w:w="1058"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数量</w:t>
            </w:r>
          </w:p>
        </w:tc>
        <w:tc>
          <w:tcPr>
            <w:tcW w:w="880"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产地</w:t>
            </w:r>
          </w:p>
        </w:tc>
        <w:tc>
          <w:tcPr>
            <w:tcW w:w="1020"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制造年份</w:t>
            </w:r>
          </w:p>
        </w:tc>
        <w:tc>
          <w:tcPr>
            <w:tcW w:w="1480"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额定功率(kW)</w:t>
            </w:r>
          </w:p>
        </w:tc>
        <w:tc>
          <w:tcPr>
            <w:tcW w:w="1020"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生产能力</w:t>
            </w:r>
          </w:p>
        </w:tc>
        <w:tc>
          <w:tcPr>
            <w:tcW w:w="921"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8"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58"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80"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20"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80"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20"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21" w:type="dxa"/>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8"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58"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8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2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8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20"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21"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8"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58"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8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2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8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2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2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8"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58"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8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2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8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2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2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8"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58"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8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2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8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2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2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8"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58"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8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2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8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2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2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8"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58"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8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2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8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2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2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8"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58"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8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2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8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2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2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rPr>
                <w:rFonts w:eastAsia="仿宋_GB2312"/>
                <w:color w:val="000000"/>
                <w:sz w:val="30"/>
                <w:szCs w:val="30"/>
                <w:highlight w:val="none"/>
              </w:rPr>
            </w:pPr>
          </w:p>
        </w:tc>
        <w:tc>
          <w:tcPr>
            <w:tcW w:w="1418" w:type="dxa"/>
            <w:noWrap w:val="0"/>
            <w:vAlign w:val="top"/>
          </w:tcPr>
          <w:p>
            <w:pPr>
              <w:rPr>
                <w:rFonts w:eastAsia="仿宋_GB2312"/>
                <w:color w:val="000000"/>
                <w:sz w:val="30"/>
                <w:szCs w:val="30"/>
                <w:highlight w:val="none"/>
              </w:rPr>
            </w:pPr>
          </w:p>
        </w:tc>
        <w:tc>
          <w:tcPr>
            <w:tcW w:w="850" w:type="dxa"/>
            <w:noWrap w:val="0"/>
            <w:vAlign w:val="top"/>
          </w:tcPr>
          <w:p>
            <w:pPr>
              <w:rPr>
                <w:rFonts w:eastAsia="仿宋_GB2312"/>
                <w:color w:val="000000"/>
                <w:sz w:val="30"/>
                <w:szCs w:val="30"/>
                <w:highlight w:val="none"/>
              </w:rPr>
            </w:pPr>
          </w:p>
        </w:tc>
        <w:tc>
          <w:tcPr>
            <w:tcW w:w="1058" w:type="dxa"/>
            <w:noWrap w:val="0"/>
            <w:vAlign w:val="top"/>
          </w:tcPr>
          <w:p>
            <w:pPr>
              <w:rPr>
                <w:rFonts w:eastAsia="仿宋_GB2312"/>
                <w:color w:val="000000"/>
                <w:sz w:val="30"/>
                <w:szCs w:val="30"/>
                <w:highlight w:val="none"/>
              </w:rPr>
            </w:pPr>
          </w:p>
        </w:tc>
        <w:tc>
          <w:tcPr>
            <w:tcW w:w="880" w:type="dxa"/>
            <w:noWrap w:val="0"/>
            <w:vAlign w:val="top"/>
          </w:tcPr>
          <w:p>
            <w:pPr>
              <w:rPr>
                <w:rFonts w:eastAsia="仿宋_GB2312"/>
                <w:color w:val="000000"/>
                <w:sz w:val="30"/>
                <w:szCs w:val="30"/>
                <w:highlight w:val="none"/>
              </w:rPr>
            </w:pPr>
          </w:p>
        </w:tc>
        <w:tc>
          <w:tcPr>
            <w:tcW w:w="1020" w:type="dxa"/>
            <w:noWrap w:val="0"/>
            <w:vAlign w:val="top"/>
          </w:tcPr>
          <w:p>
            <w:pPr>
              <w:rPr>
                <w:rFonts w:eastAsia="仿宋_GB2312"/>
                <w:color w:val="000000"/>
                <w:sz w:val="30"/>
                <w:szCs w:val="30"/>
                <w:highlight w:val="none"/>
              </w:rPr>
            </w:pPr>
          </w:p>
        </w:tc>
        <w:tc>
          <w:tcPr>
            <w:tcW w:w="1480" w:type="dxa"/>
            <w:noWrap w:val="0"/>
            <w:vAlign w:val="top"/>
          </w:tcPr>
          <w:p>
            <w:pPr>
              <w:rPr>
                <w:rFonts w:eastAsia="仿宋_GB2312"/>
                <w:color w:val="000000"/>
                <w:sz w:val="30"/>
                <w:szCs w:val="30"/>
                <w:highlight w:val="none"/>
              </w:rPr>
            </w:pPr>
          </w:p>
        </w:tc>
        <w:tc>
          <w:tcPr>
            <w:tcW w:w="1020" w:type="dxa"/>
            <w:noWrap w:val="0"/>
            <w:vAlign w:val="top"/>
          </w:tcPr>
          <w:p>
            <w:pPr>
              <w:rPr>
                <w:rFonts w:eastAsia="仿宋_GB2312"/>
                <w:color w:val="000000"/>
                <w:sz w:val="30"/>
                <w:szCs w:val="30"/>
                <w:highlight w:val="none"/>
              </w:rPr>
            </w:pPr>
          </w:p>
        </w:tc>
        <w:tc>
          <w:tcPr>
            <w:tcW w:w="921" w:type="dxa"/>
            <w:noWrap w:val="0"/>
            <w:vAlign w:val="top"/>
          </w:tcPr>
          <w:p>
            <w:pP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18"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5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58"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88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2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48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020"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921"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rPr>
                <w:rFonts w:eastAsia="仿宋_GB2312"/>
                <w:color w:val="000000"/>
                <w:sz w:val="30"/>
                <w:szCs w:val="30"/>
                <w:highlight w:val="none"/>
              </w:rPr>
            </w:pPr>
          </w:p>
        </w:tc>
        <w:tc>
          <w:tcPr>
            <w:tcW w:w="1418" w:type="dxa"/>
            <w:noWrap w:val="0"/>
            <w:vAlign w:val="top"/>
          </w:tcPr>
          <w:p>
            <w:pPr>
              <w:rPr>
                <w:rFonts w:eastAsia="仿宋_GB2312"/>
                <w:color w:val="000000"/>
                <w:sz w:val="30"/>
                <w:szCs w:val="30"/>
                <w:highlight w:val="none"/>
              </w:rPr>
            </w:pPr>
          </w:p>
        </w:tc>
        <w:tc>
          <w:tcPr>
            <w:tcW w:w="850" w:type="dxa"/>
            <w:noWrap w:val="0"/>
            <w:vAlign w:val="top"/>
          </w:tcPr>
          <w:p>
            <w:pPr>
              <w:rPr>
                <w:rFonts w:eastAsia="仿宋_GB2312"/>
                <w:color w:val="000000"/>
                <w:sz w:val="30"/>
                <w:szCs w:val="30"/>
                <w:highlight w:val="none"/>
              </w:rPr>
            </w:pPr>
          </w:p>
        </w:tc>
        <w:tc>
          <w:tcPr>
            <w:tcW w:w="1058" w:type="dxa"/>
            <w:noWrap w:val="0"/>
            <w:vAlign w:val="top"/>
          </w:tcPr>
          <w:p>
            <w:pPr>
              <w:rPr>
                <w:rFonts w:eastAsia="仿宋_GB2312"/>
                <w:color w:val="000000"/>
                <w:sz w:val="30"/>
                <w:szCs w:val="30"/>
                <w:highlight w:val="none"/>
              </w:rPr>
            </w:pPr>
          </w:p>
        </w:tc>
        <w:tc>
          <w:tcPr>
            <w:tcW w:w="880" w:type="dxa"/>
            <w:noWrap w:val="0"/>
            <w:vAlign w:val="top"/>
          </w:tcPr>
          <w:p>
            <w:pPr>
              <w:rPr>
                <w:rFonts w:eastAsia="仿宋_GB2312"/>
                <w:color w:val="000000"/>
                <w:sz w:val="30"/>
                <w:szCs w:val="30"/>
                <w:highlight w:val="none"/>
              </w:rPr>
            </w:pPr>
          </w:p>
        </w:tc>
        <w:tc>
          <w:tcPr>
            <w:tcW w:w="1020" w:type="dxa"/>
            <w:noWrap w:val="0"/>
            <w:vAlign w:val="top"/>
          </w:tcPr>
          <w:p>
            <w:pPr>
              <w:rPr>
                <w:rFonts w:eastAsia="仿宋_GB2312"/>
                <w:color w:val="000000"/>
                <w:sz w:val="30"/>
                <w:szCs w:val="30"/>
                <w:highlight w:val="none"/>
              </w:rPr>
            </w:pPr>
          </w:p>
        </w:tc>
        <w:tc>
          <w:tcPr>
            <w:tcW w:w="1480" w:type="dxa"/>
            <w:noWrap w:val="0"/>
            <w:vAlign w:val="top"/>
          </w:tcPr>
          <w:p>
            <w:pPr>
              <w:rPr>
                <w:rFonts w:eastAsia="仿宋_GB2312"/>
                <w:color w:val="000000"/>
                <w:sz w:val="30"/>
                <w:szCs w:val="30"/>
                <w:highlight w:val="none"/>
              </w:rPr>
            </w:pPr>
          </w:p>
        </w:tc>
        <w:tc>
          <w:tcPr>
            <w:tcW w:w="1020" w:type="dxa"/>
            <w:noWrap w:val="0"/>
            <w:vAlign w:val="top"/>
          </w:tcPr>
          <w:p>
            <w:pPr>
              <w:rPr>
                <w:rFonts w:eastAsia="仿宋_GB2312"/>
                <w:color w:val="000000"/>
                <w:sz w:val="30"/>
                <w:szCs w:val="30"/>
                <w:highlight w:val="none"/>
              </w:rPr>
            </w:pPr>
          </w:p>
        </w:tc>
        <w:tc>
          <w:tcPr>
            <w:tcW w:w="921" w:type="dxa"/>
            <w:noWrap w:val="0"/>
            <w:vAlign w:val="top"/>
          </w:tcPr>
          <w:p>
            <w:pP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rPr>
                <w:rFonts w:eastAsia="仿宋_GB2312"/>
                <w:color w:val="000000"/>
                <w:sz w:val="30"/>
                <w:szCs w:val="30"/>
                <w:highlight w:val="none"/>
              </w:rPr>
            </w:pPr>
          </w:p>
        </w:tc>
        <w:tc>
          <w:tcPr>
            <w:tcW w:w="1418" w:type="dxa"/>
            <w:noWrap w:val="0"/>
            <w:vAlign w:val="top"/>
          </w:tcPr>
          <w:p>
            <w:pPr>
              <w:rPr>
                <w:rFonts w:eastAsia="仿宋_GB2312"/>
                <w:color w:val="000000"/>
                <w:sz w:val="30"/>
                <w:szCs w:val="30"/>
                <w:highlight w:val="none"/>
              </w:rPr>
            </w:pPr>
          </w:p>
        </w:tc>
        <w:tc>
          <w:tcPr>
            <w:tcW w:w="850" w:type="dxa"/>
            <w:noWrap w:val="0"/>
            <w:vAlign w:val="top"/>
          </w:tcPr>
          <w:p>
            <w:pPr>
              <w:rPr>
                <w:rFonts w:eastAsia="仿宋_GB2312"/>
                <w:color w:val="000000"/>
                <w:sz w:val="30"/>
                <w:szCs w:val="30"/>
                <w:highlight w:val="none"/>
              </w:rPr>
            </w:pPr>
          </w:p>
        </w:tc>
        <w:tc>
          <w:tcPr>
            <w:tcW w:w="1058" w:type="dxa"/>
            <w:noWrap w:val="0"/>
            <w:vAlign w:val="top"/>
          </w:tcPr>
          <w:p>
            <w:pPr>
              <w:rPr>
                <w:rFonts w:eastAsia="仿宋_GB2312"/>
                <w:color w:val="000000"/>
                <w:sz w:val="30"/>
                <w:szCs w:val="30"/>
                <w:highlight w:val="none"/>
              </w:rPr>
            </w:pPr>
          </w:p>
        </w:tc>
        <w:tc>
          <w:tcPr>
            <w:tcW w:w="880" w:type="dxa"/>
            <w:noWrap w:val="0"/>
            <w:vAlign w:val="top"/>
          </w:tcPr>
          <w:p>
            <w:pPr>
              <w:rPr>
                <w:rFonts w:eastAsia="仿宋_GB2312"/>
                <w:color w:val="000000"/>
                <w:sz w:val="30"/>
                <w:szCs w:val="30"/>
                <w:highlight w:val="none"/>
              </w:rPr>
            </w:pPr>
          </w:p>
        </w:tc>
        <w:tc>
          <w:tcPr>
            <w:tcW w:w="1020" w:type="dxa"/>
            <w:noWrap w:val="0"/>
            <w:vAlign w:val="top"/>
          </w:tcPr>
          <w:p>
            <w:pPr>
              <w:rPr>
                <w:rFonts w:eastAsia="仿宋_GB2312"/>
                <w:color w:val="000000"/>
                <w:sz w:val="30"/>
                <w:szCs w:val="30"/>
                <w:highlight w:val="none"/>
              </w:rPr>
            </w:pPr>
          </w:p>
        </w:tc>
        <w:tc>
          <w:tcPr>
            <w:tcW w:w="1480" w:type="dxa"/>
            <w:noWrap w:val="0"/>
            <w:vAlign w:val="top"/>
          </w:tcPr>
          <w:p>
            <w:pPr>
              <w:rPr>
                <w:rFonts w:eastAsia="仿宋_GB2312"/>
                <w:color w:val="000000"/>
                <w:sz w:val="30"/>
                <w:szCs w:val="30"/>
                <w:highlight w:val="none"/>
              </w:rPr>
            </w:pPr>
          </w:p>
        </w:tc>
        <w:tc>
          <w:tcPr>
            <w:tcW w:w="1020" w:type="dxa"/>
            <w:noWrap w:val="0"/>
            <w:vAlign w:val="top"/>
          </w:tcPr>
          <w:p>
            <w:pPr>
              <w:rPr>
                <w:rFonts w:eastAsia="仿宋_GB2312"/>
                <w:color w:val="000000"/>
                <w:sz w:val="30"/>
                <w:szCs w:val="30"/>
                <w:highlight w:val="none"/>
              </w:rPr>
            </w:pPr>
          </w:p>
        </w:tc>
        <w:tc>
          <w:tcPr>
            <w:tcW w:w="921" w:type="dxa"/>
            <w:noWrap w:val="0"/>
            <w:vAlign w:val="top"/>
          </w:tcPr>
          <w:p>
            <w:pP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rPr>
                <w:rFonts w:eastAsia="仿宋_GB2312"/>
                <w:color w:val="000000"/>
                <w:sz w:val="30"/>
                <w:szCs w:val="30"/>
                <w:highlight w:val="none"/>
              </w:rPr>
            </w:pPr>
          </w:p>
        </w:tc>
        <w:tc>
          <w:tcPr>
            <w:tcW w:w="1418" w:type="dxa"/>
            <w:noWrap w:val="0"/>
            <w:vAlign w:val="top"/>
          </w:tcPr>
          <w:p>
            <w:pPr>
              <w:rPr>
                <w:rFonts w:eastAsia="仿宋_GB2312"/>
                <w:color w:val="000000"/>
                <w:sz w:val="30"/>
                <w:szCs w:val="30"/>
                <w:highlight w:val="none"/>
              </w:rPr>
            </w:pPr>
          </w:p>
        </w:tc>
        <w:tc>
          <w:tcPr>
            <w:tcW w:w="850" w:type="dxa"/>
            <w:noWrap w:val="0"/>
            <w:vAlign w:val="top"/>
          </w:tcPr>
          <w:p>
            <w:pPr>
              <w:rPr>
                <w:rFonts w:eastAsia="仿宋_GB2312"/>
                <w:color w:val="000000"/>
                <w:sz w:val="30"/>
                <w:szCs w:val="30"/>
                <w:highlight w:val="none"/>
              </w:rPr>
            </w:pPr>
          </w:p>
        </w:tc>
        <w:tc>
          <w:tcPr>
            <w:tcW w:w="1058" w:type="dxa"/>
            <w:noWrap w:val="0"/>
            <w:vAlign w:val="top"/>
          </w:tcPr>
          <w:p>
            <w:pPr>
              <w:rPr>
                <w:rFonts w:eastAsia="仿宋_GB2312"/>
                <w:color w:val="000000"/>
                <w:sz w:val="30"/>
                <w:szCs w:val="30"/>
                <w:highlight w:val="none"/>
              </w:rPr>
            </w:pPr>
          </w:p>
        </w:tc>
        <w:tc>
          <w:tcPr>
            <w:tcW w:w="880" w:type="dxa"/>
            <w:noWrap w:val="0"/>
            <w:vAlign w:val="top"/>
          </w:tcPr>
          <w:p>
            <w:pPr>
              <w:rPr>
                <w:rFonts w:eastAsia="仿宋_GB2312"/>
                <w:color w:val="000000"/>
                <w:sz w:val="30"/>
                <w:szCs w:val="30"/>
                <w:highlight w:val="none"/>
              </w:rPr>
            </w:pPr>
          </w:p>
        </w:tc>
        <w:tc>
          <w:tcPr>
            <w:tcW w:w="1020" w:type="dxa"/>
            <w:noWrap w:val="0"/>
            <w:vAlign w:val="top"/>
          </w:tcPr>
          <w:p>
            <w:pPr>
              <w:rPr>
                <w:rFonts w:eastAsia="仿宋_GB2312"/>
                <w:color w:val="000000"/>
                <w:sz w:val="30"/>
                <w:szCs w:val="30"/>
                <w:highlight w:val="none"/>
              </w:rPr>
            </w:pPr>
          </w:p>
        </w:tc>
        <w:tc>
          <w:tcPr>
            <w:tcW w:w="1480" w:type="dxa"/>
            <w:noWrap w:val="0"/>
            <w:vAlign w:val="top"/>
          </w:tcPr>
          <w:p>
            <w:pPr>
              <w:rPr>
                <w:rFonts w:eastAsia="仿宋_GB2312"/>
                <w:color w:val="000000"/>
                <w:sz w:val="30"/>
                <w:szCs w:val="30"/>
                <w:highlight w:val="none"/>
              </w:rPr>
            </w:pPr>
          </w:p>
        </w:tc>
        <w:tc>
          <w:tcPr>
            <w:tcW w:w="1020" w:type="dxa"/>
            <w:noWrap w:val="0"/>
            <w:vAlign w:val="top"/>
          </w:tcPr>
          <w:p>
            <w:pPr>
              <w:rPr>
                <w:rFonts w:eastAsia="仿宋_GB2312"/>
                <w:color w:val="000000"/>
                <w:sz w:val="30"/>
                <w:szCs w:val="30"/>
                <w:highlight w:val="none"/>
              </w:rPr>
            </w:pPr>
          </w:p>
        </w:tc>
        <w:tc>
          <w:tcPr>
            <w:tcW w:w="921" w:type="dxa"/>
            <w:noWrap w:val="0"/>
            <w:vAlign w:val="top"/>
          </w:tcPr>
          <w:p>
            <w:pP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rPr>
                <w:rFonts w:eastAsia="仿宋_GB2312"/>
                <w:color w:val="000000"/>
                <w:sz w:val="30"/>
                <w:szCs w:val="30"/>
                <w:highlight w:val="none"/>
              </w:rPr>
            </w:pPr>
          </w:p>
        </w:tc>
        <w:tc>
          <w:tcPr>
            <w:tcW w:w="1418" w:type="dxa"/>
            <w:noWrap w:val="0"/>
            <w:vAlign w:val="top"/>
          </w:tcPr>
          <w:p>
            <w:pPr>
              <w:rPr>
                <w:rFonts w:eastAsia="仿宋_GB2312"/>
                <w:color w:val="000000"/>
                <w:sz w:val="30"/>
                <w:szCs w:val="30"/>
                <w:highlight w:val="none"/>
              </w:rPr>
            </w:pPr>
          </w:p>
        </w:tc>
        <w:tc>
          <w:tcPr>
            <w:tcW w:w="850" w:type="dxa"/>
            <w:noWrap w:val="0"/>
            <w:vAlign w:val="top"/>
          </w:tcPr>
          <w:p>
            <w:pPr>
              <w:rPr>
                <w:rFonts w:eastAsia="仿宋_GB2312"/>
                <w:color w:val="000000"/>
                <w:sz w:val="30"/>
                <w:szCs w:val="30"/>
                <w:highlight w:val="none"/>
              </w:rPr>
            </w:pPr>
          </w:p>
        </w:tc>
        <w:tc>
          <w:tcPr>
            <w:tcW w:w="1058" w:type="dxa"/>
            <w:noWrap w:val="0"/>
            <w:vAlign w:val="top"/>
          </w:tcPr>
          <w:p>
            <w:pPr>
              <w:rPr>
                <w:rFonts w:eastAsia="仿宋_GB2312"/>
                <w:color w:val="000000"/>
                <w:sz w:val="30"/>
                <w:szCs w:val="30"/>
                <w:highlight w:val="none"/>
              </w:rPr>
            </w:pPr>
          </w:p>
        </w:tc>
        <w:tc>
          <w:tcPr>
            <w:tcW w:w="880" w:type="dxa"/>
            <w:noWrap w:val="0"/>
            <w:vAlign w:val="top"/>
          </w:tcPr>
          <w:p>
            <w:pPr>
              <w:rPr>
                <w:rFonts w:eastAsia="仿宋_GB2312"/>
                <w:color w:val="000000"/>
                <w:sz w:val="30"/>
                <w:szCs w:val="30"/>
                <w:highlight w:val="none"/>
              </w:rPr>
            </w:pPr>
          </w:p>
        </w:tc>
        <w:tc>
          <w:tcPr>
            <w:tcW w:w="1020" w:type="dxa"/>
            <w:noWrap w:val="0"/>
            <w:vAlign w:val="top"/>
          </w:tcPr>
          <w:p>
            <w:pPr>
              <w:rPr>
                <w:rFonts w:eastAsia="仿宋_GB2312"/>
                <w:color w:val="000000"/>
                <w:sz w:val="30"/>
                <w:szCs w:val="30"/>
                <w:highlight w:val="none"/>
              </w:rPr>
            </w:pPr>
          </w:p>
        </w:tc>
        <w:tc>
          <w:tcPr>
            <w:tcW w:w="1480" w:type="dxa"/>
            <w:noWrap w:val="0"/>
            <w:vAlign w:val="top"/>
          </w:tcPr>
          <w:p>
            <w:pPr>
              <w:rPr>
                <w:rFonts w:eastAsia="仿宋_GB2312"/>
                <w:color w:val="000000"/>
                <w:sz w:val="30"/>
                <w:szCs w:val="30"/>
                <w:highlight w:val="none"/>
              </w:rPr>
            </w:pPr>
          </w:p>
        </w:tc>
        <w:tc>
          <w:tcPr>
            <w:tcW w:w="1020" w:type="dxa"/>
            <w:noWrap w:val="0"/>
            <w:vAlign w:val="top"/>
          </w:tcPr>
          <w:p>
            <w:pPr>
              <w:rPr>
                <w:rFonts w:eastAsia="仿宋_GB2312"/>
                <w:color w:val="000000"/>
                <w:sz w:val="30"/>
                <w:szCs w:val="30"/>
                <w:highlight w:val="none"/>
              </w:rPr>
            </w:pPr>
          </w:p>
        </w:tc>
        <w:tc>
          <w:tcPr>
            <w:tcW w:w="921" w:type="dxa"/>
            <w:noWrap w:val="0"/>
            <w:vAlign w:val="top"/>
          </w:tcPr>
          <w:p>
            <w:pP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rPr>
                <w:rFonts w:eastAsia="仿宋_GB2312"/>
                <w:color w:val="000000"/>
                <w:sz w:val="30"/>
                <w:szCs w:val="30"/>
                <w:highlight w:val="none"/>
              </w:rPr>
            </w:pPr>
          </w:p>
        </w:tc>
        <w:tc>
          <w:tcPr>
            <w:tcW w:w="1418" w:type="dxa"/>
            <w:noWrap w:val="0"/>
            <w:vAlign w:val="top"/>
          </w:tcPr>
          <w:p>
            <w:pPr>
              <w:rPr>
                <w:rFonts w:eastAsia="仿宋_GB2312"/>
                <w:color w:val="000000"/>
                <w:sz w:val="30"/>
                <w:szCs w:val="30"/>
                <w:highlight w:val="none"/>
              </w:rPr>
            </w:pPr>
          </w:p>
        </w:tc>
        <w:tc>
          <w:tcPr>
            <w:tcW w:w="850" w:type="dxa"/>
            <w:noWrap w:val="0"/>
            <w:vAlign w:val="top"/>
          </w:tcPr>
          <w:p>
            <w:pPr>
              <w:rPr>
                <w:rFonts w:eastAsia="仿宋_GB2312"/>
                <w:color w:val="000000"/>
                <w:sz w:val="30"/>
                <w:szCs w:val="30"/>
                <w:highlight w:val="none"/>
              </w:rPr>
            </w:pPr>
          </w:p>
        </w:tc>
        <w:tc>
          <w:tcPr>
            <w:tcW w:w="1058" w:type="dxa"/>
            <w:noWrap w:val="0"/>
            <w:vAlign w:val="top"/>
          </w:tcPr>
          <w:p>
            <w:pPr>
              <w:rPr>
                <w:rFonts w:eastAsia="仿宋_GB2312"/>
                <w:color w:val="000000"/>
                <w:sz w:val="30"/>
                <w:szCs w:val="30"/>
                <w:highlight w:val="none"/>
              </w:rPr>
            </w:pPr>
          </w:p>
        </w:tc>
        <w:tc>
          <w:tcPr>
            <w:tcW w:w="880" w:type="dxa"/>
            <w:noWrap w:val="0"/>
            <w:vAlign w:val="top"/>
          </w:tcPr>
          <w:p>
            <w:pPr>
              <w:rPr>
                <w:rFonts w:eastAsia="仿宋_GB2312"/>
                <w:color w:val="000000"/>
                <w:sz w:val="30"/>
                <w:szCs w:val="30"/>
                <w:highlight w:val="none"/>
              </w:rPr>
            </w:pPr>
          </w:p>
        </w:tc>
        <w:tc>
          <w:tcPr>
            <w:tcW w:w="1020" w:type="dxa"/>
            <w:noWrap w:val="0"/>
            <w:vAlign w:val="top"/>
          </w:tcPr>
          <w:p>
            <w:pPr>
              <w:rPr>
                <w:rFonts w:eastAsia="仿宋_GB2312"/>
                <w:color w:val="000000"/>
                <w:sz w:val="30"/>
                <w:szCs w:val="30"/>
                <w:highlight w:val="none"/>
              </w:rPr>
            </w:pPr>
          </w:p>
        </w:tc>
        <w:tc>
          <w:tcPr>
            <w:tcW w:w="1480" w:type="dxa"/>
            <w:noWrap w:val="0"/>
            <w:vAlign w:val="top"/>
          </w:tcPr>
          <w:p>
            <w:pPr>
              <w:rPr>
                <w:rFonts w:eastAsia="仿宋_GB2312"/>
                <w:color w:val="000000"/>
                <w:sz w:val="30"/>
                <w:szCs w:val="30"/>
                <w:highlight w:val="none"/>
              </w:rPr>
            </w:pPr>
          </w:p>
        </w:tc>
        <w:tc>
          <w:tcPr>
            <w:tcW w:w="1020" w:type="dxa"/>
            <w:noWrap w:val="0"/>
            <w:vAlign w:val="top"/>
          </w:tcPr>
          <w:p>
            <w:pPr>
              <w:rPr>
                <w:rFonts w:eastAsia="仿宋_GB2312"/>
                <w:color w:val="000000"/>
                <w:sz w:val="30"/>
                <w:szCs w:val="30"/>
                <w:highlight w:val="none"/>
              </w:rPr>
            </w:pPr>
          </w:p>
        </w:tc>
        <w:tc>
          <w:tcPr>
            <w:tcW w:w="921" w:type="dxa"/>
            <w:noWrap w:val="0"/>
            <w:vAlign w:val="top"/>
          </w:tcPr>
          <w:p>
            <w:pP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rPr>
                <w:rFonts w:eastAsia="仿宋_GB2312"/>
                <w:color w:val="000000"/>
                <w:sz w:val="30"/>
                <w:szCs w:val="30"/>
                <w:highlight w:val="none"/>
              </w:rPr>
            </w:pPr>
          </w:p>
        </w:tc>
        <w:tc>
          <w:tcPr>
            <w:tcW w:w="1418" w:type="dxa"/>
            <w:noWrap w:val="0"/>
            <w:vAlign w:val="top"/>
          </w:tcPr>
          <w:p>
            <w:pPr>
              <w:rPr>
                <w:rFonts w:eastAsia="仿宋_GB2312"/>
                <w:color w:val="000000"/>
                <w:sz w:val="30"/>
                <w:szCs w:val="30"/>
                <w:highlight w:val="none"/>
              </w:rPr>
            </w:pPr>
          </w:p>
        </w:tc>
        <w:tc>
          <w:tcPr>
            <w:tcW w:w="850" w:type="dxa"/>
            <w:noWrap w:val="0"/>
            <w:vAlign w:val="top"/>
          </w:tcPr>
          <w:p>
            <w:pPr>
              <w:rPr>
                <w:rFonts w:eastAsia="仿宋_GB2312"/>
                <w:color w:val="000000"/>
                <w:sz w:val="30"/>
                <w:szCs w:val="30"/>
                <w:highlight w:val="none"/>
              </w:rPr>
            </w:pPr>
          </w:p>
        </w:tc>
        <w:tc>
          <w:tcPr>
            <w:tcW w:w="1058" w:type="dxa"/>
            <w:noWrap w:val="0"/>
            <w:vAlign w:val="top"/>
          </w:tcPr>
          <w:p>
            <w:pPr>
              <w:rPr>
                <w:rFonts w:eastAsia="仿宋_GB2312"/>
                <w:color w:val="000000"/>
                <w:sz w:val="30"/>
                <w:szCs w:val="30"/>
                <w:highlight w:val="none"/>
              </w:rPr>
            </w:pPr>
          </w:p>
        </w:tc>
        <w:tc>
          <w:tcPr>
            <w:tcW w:w="880" w:type="dxa"/>
            <w:noWrap w:val="0"/>
            <w:vAlign w:val="top"/>
          </w:tcPr>
          <w:p>
            <w:pPr>
              <w:rPr>
                <w:rFonts w:eastAsia="仿宋_GB2312"/>
                <w:color w:val="000000"/>
                <w:sz w:val="30"/>
                <w:szCs w:val="30"/>
                <w:highlight w:val="none"/>
              </w:rPr>
            </w:pPr>
          </w:p>
        </w:tc>
        <w:tc>
          <w:tcPr>
            <w:tcW w:w="1020" w:type="dxa"/>
            <w:noWrap w:val="0"/>
            <w:vAlign w:val="top"/>
          </w:tcPr>
          <w:p>
            <w:pPr>
              <w:rPr>
                <w:rFonts w:eastAsia="仿宋_GB2312"/>
                <w:color w:val="000000"/>
                <w:sz w:val="30"/>
                <w:szCs w:val="30"/>
                <w:highlight w:val="none"/>
              </w:rPr>
            </w:pPr>
          </w:p>
        </w:tc>
        <w:tc>
          <w:tcPr>
            <w:tcW w:w="1480" w:type="dxa"/>
            <w:noWrap w:val="0"/>
            <w:vAlign w:val="top"/>
          </w:tcPr>
          <w:p>
            <w:pPr>
              <w:rPr>
                <w:rFonts w:eastAsia="仿宋_GB2312"/>
                <w:color w:val="000000"/>
                <w:sz w:val="30"/>
                <w:szCs w:val="30"/>
                <w:highlight w:val="none"/>
              </w:rPr>
            </w:pPr>
          </w:p>
        </w:tc>
        <w:tc>
          <w:tcPr>
            <w:tcW w:w="1020" w:type="dxa"/>
            <w:noWrap w:val="0"/>
            <w:vAlign w:val="top"/>
          </w:tcPr>
          <w:p>
            <w:pPr>
              <w:rPr>
                <w:rFonts w:eastAsia="仿宋_GB2312"/>
                <w:color w:val="000000"/>
                <w:sz w:val="30"/>
                <w:szCs w:val="30"/>
                <w:highlight w:val="none"/>
              </w:rPr>
            </w:pPr>
          </w:p>
        </w:tc>
        <w:tc>
          <w:tcPr>
            <w:tcW w:w="921" w:type="dxa"/>
            <w:noWrap w:val="0"/>
            <w:vAlign w:val="top"/>
          </w:tcPr>
          <w:p>
            <w:pP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rPr>
                <w:rFonts w:eastAsia="仿宋_GB2312"/>
                <w:color w:val="000000"/>
                <w:sz w:val="30"/>
                <w:szCs w:val="30"/>
                <w:highlight w:val="none"/>
              </w:rPr>
            </w:pPr>
          </w:p>
        </w:tc>
        <w:tc>
          <w:tcPr>
            <w:tcW w:w="1418" w:type="dxa"/>
            <w:noWrap w:val="0"/>
            <w:vAlign w:val="top"/>
          </w:tcPr>
          <w:p>
            <w:pPr>
              <w:rPr>
                <w:rFonts w:eastAsia="仿宋_GB2312"/>
                <w:color w:val="000000"/>
                <w:sz w:val="30"/>
                <w:szCs w:val="30"/>
                <w:highlight w:val="none"/>
              </w:rPr>
            </w:pPr>
          </w:p>
        </w:tc>
        <w:tc>
          <w:tcPr>
            <w:tcW w:w="850" w:type="dxa"/>
            <w:noWrap w:val="0"/>
            <w:vAlign w:val="top"/>
          </w:tcPr>
          <w:p>
            <w:pPr>
              <w:rPr>
                <w:rFonts w:eastAsia="仿宋_GB2312"/>
                <w:color w:val="000000"/>
                <w:sz w:val="30"/>
                <w:szCs w:val="30"/>
                <w:highlight w:val="none"/>
              </w:rPr>
            </w:pPr>
          </w:p>
        </w:tc>
        <w:tc>
          <w:tcPr>
            <w:tcW w:w="1058" w:type="dxa"/>
            <w:noWrap w:val="0"/>
            <w:vAlign w:val="top"/>
          </w:tcPr>
          <w:p>
            <w:pPr>
              <w:rPr>
                <w:rFonts w:eastAsia="仿宋_GB2312"/>
                <w:color w:val="000000"/>
                <w:sz w:val="30"/>
                <w:szCs w:val="30"/>
                <w:highlight w:val="none"/>
              </w:rPr>
            </w:pPr>
          </w:p>
        </w:tc>
        <w:tc>
          <w:tcPr>
            <w:tcW w:w="880" w:type="dxa"/>
            <w:noWrap w:val="0"/>
            <w:vAlign w:val="top"/>
          </w:tcPr>
          <w:p>
            <w:pPr>
              <w:rPr>
                <w:rFonts w:eastAsia="仿宋_GB2312"/>
                <w:color w:val="000000"/>
                <w:sz w:val="30"/>
                <w:szCs w:val="30"/>
                <w:highlight w:val="none"/>
              </w:rPr>
            </w:pPr>
          </w:p>
        </w:tc>
        <w:tc>
          <w:tcPr>
            <w:tcW w:w="1020" w:type="dxa"/>
            <w:noWrap w:val="0"/>
            <w:vAlign w:val="top"/>
          </w:tcPr>
          <w:p>
            <w:pPr>
              <w:rPr>
                <w:rFonts w:eastAsia="仿宋_GB2312"/>
                <w:color w:val="000000"/>
                <w:sz w:val="30"/>
                <w:szCs w:val="30"/>
                <w:highlight w:val="none"/>
              </w:rPr>
            </w:pPr>
          </w:p>
        </w:tc>
        <w:tc>
          <w:tcPr>
            <w:tcW w:w="1480" w:type="dxa"/>
            <w:noWrap w:val="0"/>
            <w:vAlign w:val="top"/>
          </w:tcPr>
          <w:p>
            <w:pPr>
              <w:rPr>
                <w:rFonts w:eastAsia="仿宋_GB2312"/>
                <w:color w:val="000000"/>
                <w:sz w:val="30"/>
                <w:szCs w:val="30"/>
                <w:highlight w:val="none"/>
              </w:rPr>
            </w:pPr>
          </w:p>
        </w:tc>
        <w:tc>
          <w:tcPr>
            <w:tcW w:w="1020" w:type="dxa"/>
            <w:noWrap w:val="0"/>
            <w:vAlign w:val="top"/>
          </w:tcPr>
          <w:p>
            <w:pPr>
              <w:rPr>
                <w:rFonts w:eastAsia="仿宋_GB2312"/>
                <w:color w:val="000000"/>
                <w:sz w:val="30"/>
                <w:szCs w:val="30"/>
                <w:highlight w:val="none"/>
              </w:rPr>
            </w:pPr>
          </w:p>
        </w:tc>
        <w:tc>
          <w:tcPr>
            <w:tcW w:w="921" w:type="dxa"/>
            <w:noWrap w:val="0"/>
            <w:vAlign w:val="top"/>
          </w:tcPr>
          <w:p>
            <w:pP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rPr>
                <w:rFonts w:eastAsia="仿宋_GB2312"/>
                <w:color w:val="000000"/>
                <w:sz w:val="30"/>
                <w:szCs w:val="30"/>
                <w:highlight w:val="none"/>
              </w:rPr>
            </w:pPr>
          </w:p>
        </w:tc>
        <w:tc>
          <w:tcPr>
            <w:tcW w:w="1418" w:type="dxa"/>
            <w:noWrap w:val="0"/>
            <w:vAlign w:val="top"/>
          </w:tcPr>
          <w:p>
            <w:pPr>
              <w:rPr>
                <w:rFonts w:eastAsia="仿宋_GB2312"/>
                <w:color w:val="000000"/>
                <w:sz w:val="30"/>
                <w:szCs w:val="30"/>
                <w:highlight w:val="none"/>
              </w:rPr>
            </w:pPr>
          </w:p>
        </w:tc>
        <w:tc>
          <w:tcPr>
            <w:tcW w:w="850" w:type="dxa"/>
            <w:noWrap w:val="0"/>
            <w:vAlign w:val="top"/>
          </w:tcPr>
          <w:p>
            <w:pPr>
              <w:rPr>
                <w:rFonts w:eastAsia="仿宋_GB2312"/>
                <w:color w:val="000000"/>
                <w:sz w:val="30"/>
                <w:szCs w:val="30"/>
                <w:highlight w:val="none"/>
              </w:rPr>
            </w:pPr>
          </w:p>
        </w:tc>
        <w:tc>
          <w:tcPr>
            <w:tcW w:w="1058" w:type="dxa"/>
            <w:noWrap w:val="0"/>
            <w:vAlign w:val="top"/>
          </w:tcPr>
          <w:p>
            <w:pPr>
              <w:rPr>
                <w:rFonts w:eastAsia="仿宋_GB2312"/>
                <w:color w:val="000000"/>
                <w:sz w:val="30"/>
                <w:szCs w:val="30"/>
                <w:highlight w:val="none"/>
              </w:rPr>
            </w:pPr>
          </w:p>
        </w:tc>
        <w:tc>
          <w:tcPr>
            <w:tcW w:w="880" w:type="dxa"/>
            <w:noWrap w:val="0"/>
            <w:vAlign w:val="top"/>
          </w:tcPr>
          <w:p>
            <w:pPr>
              <w:rPr>
                <w:rFonts w:eastAsia="仿宋_GB2312"/>
                <w:color w:val="000000"/>
                <w:sz w:val="30"/>
                <w:szCs w:val="30"/>
                <w:highlight w:val="none"/>
              </w:rPr>
            </w:pPr>
          </w:p>
        </w:tc>
        <w:tc>
          <w:tcPr>
            <w:tcW w:w="1020" w:type="dxa"/>
            <w:noWrap w:val="0"/>
            <w:vAlign w:val="top"/>
          </w:tcPr>
          <w:p>
            <w:pPr>
              <w:rPr>
                <w:rFonts w:eastAsia="仿宋_GB2312"/>
                <w:color w:val="000000"/>
                <w:sz w:val="30"/>
                <w:szCs w:val="30"/>
                <w:highlight w:val="none"/>
              </w:rPr>
            </w:pPr>
          </w:p>
        </w:tc>
        <w:tc>
          <w:tcPr>
            <w:tcW w:w="1480" w:type="dxa"/>
            <w:noWrap w:val="0"/>
            <w:vAlign w:val="top"/>
          </w:tcPr>
          <w:p>
            <w:pPr>
              <w:rPr>
                <w:rFonts w:eastAsia="仿宋_GB2312"/>
                <w:color w:val="000000"/>
                <w:sz w:val="30"/>
                <w:szCs w:val="30"/>
                <w:highlight w:val="none"/>
              </w:rPr>
            </w:pPr>
          </w:p>
        </w:tc>
        <w:tc>
          <w:tcPr>
            <w:tcW w:w="1020" w:type="dxa"/>
            <w:noWrap w:val="0"/>
            <w:vAlign w:val="top"/>
          </w:tcPr>
          <w:p>
            <w:pPr>
              <w:rPr>
                <w:rFonts w:eastAsia="仿宋_GB2312"/>
                <w:color w:val="000000"/>
                <w:sz w:val="30"/>
                <w:szCs w:val="30"/>
                <w:highlight w:val="none"/>
              </w:rPr>
            </w:pPr>
          </w:p>
        </w:tc>
        <w:tc>
          <w:tcPr>
            <w:tcW w:w="921" w:type="dxa"/>
            <w:noWrap w:val="0"/>
            <w:vAlign w:val="top"/>
          </w:tcPr>
          <w:p>
            <w:pPr>
              <w:rPr>
                <w:rFonts w:eastAsia="仿宋_GB2312"/>
                <w:color w:val="000000"/>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rPr>
                <w:rFonts w:eastAsia="仿宋_GB2312"/>
                <w:color w:val="000000"/>
                <w:sz w:val="30"/>
                <w:szCs w:val="30"/>
                <w:highlight w:val="none"/>
              </w:rPr>
            </w:pPr>
          </w:p>
        </w:tc>
        <w:tc>
          <w:tcPr>
            <w:tcW w:w="1418" w:type="dxa"/>
            <w:noWrap w:val="0"/>
            <w:vAlign w:val="top"/>
          </w:tcPr>
          <w:p>
            <w:pPr>
              <w:rPr>
                <w:rFonts w:eastAsia="仿宋_GB2312"/>
                <w:color w:val="000000"/>
                <w:sz w:val="30"/>
                <w:szCs w:val="30"/>
                <w:highlight w:val="none"/>
              </w:rPr>
            </w:pPr>
          </w:p>
        </w:tc>
        <w:tc>
          <w:tcPr>
            <w:tcW w:w="850" w:type="dxa"/>
            <w:noWrap w:val="0"/>
            <w:vAlign w:val="top"/>
          </w:tcPr>
          <w:p>
            <w:pPr>
              <w:rPr>
                <w:rFonts w:eastAsia="仿宋_GB2312"/>
                <w:color w:val="000000"/>
                <w:sz w:val="30"/>
                <w:szCs w:val="30"/>
                <w:highlight w:val="none"/>
              </w:rPr>
            </w:pPr>
          </w:p>
        </w:tc>
        <w:tc>
          <w:tcPr>
            <w:tcW w:w="1058" w:type="dxa"/>
            <w:noWrap w:val="0"/>
            <w:vAlign w:val="top"/>
          </w:tcPr>
          <w:p>
            <w:pPr>
              <w:rPr>
                <w:rFonts w:eastAsia="仿宋_GB2312"/>
                <w:color w:val="000000"/>
                <w:sz w:val="30"/>
                <w:szCs w:val="30"/>
                <w:highlight w:val="none"/>
              </w:rPr>
            </w:pPr>
          </w:p>
        </w:tc>
        <w:tc>
          <w:tcPr>
            <w:tcW w:w="880" w:type="dxa"/>
            <w:noWrap w:val="0"/>
            <w:vAlign w:val="top"/>
          </w:tcPr>
          <w:p>
            <w:pPr>
              <w:rPr>
                <w:rFonts w:eastAsia="仿宋_GB2312"/>
                <w:color w:val="000000"/>
                <w:sz w:val="30"/>
                <w:szCs w:val="30"/>
                <w:highlight w:val="none"/>
              </w:rPr>
            </w:pPr>
          </w:p>
        </w:tc>
        <w:tc>
          <w:tcPr>
            <w:tcW w:w="1020" w:type="dxa"/>
            <w:noWrap w:val="0"/>
            <w:vAlign w:val="top"/>
          </w:tcPr>
          <w:p>
            <w:pPr>
              <w:rPr>
                <w:rFonts w:eastAsia="仿宋_GB2312"/>
                <w:color w:val="000000"/>
                <w:sz w:val="30"/>
                <w:szCs w:val="30"/>
                <w:highlight w:val="none"/>
              </w:rPr>
            </w:pPr>
          </w:p>
        </w:tc>
        <w:tc>
          <w:tcPr>
            <w:tcW w:w="1480" w:type="dxa"/>
            <w:noWrap w:val="0"/>
            <w:vAlign w:val="top"/>
          </w:tcPr>
          <w:p>
            <w:pPr>
              <w:rPr>
                <w:rFonts w:eastAsia="仿宋_GB2312"/>
                <w:color w:val="000000"/>
                <w:sz w:val="30"/>
                <w:szCs w:val="30"/>
                <w:highlight w:val="none"/>
              </w:rPr>
            </w:pPr>
          </w:p>
        </w:tc>
        <w:tc>
          <w:tcPr>
            <w:tcW w:w="1020" w:type="dxa"/>
            <w:noWrap w:val="0"/>
            <w:vAlign w:val="top"/>
          </w:tcPr>
          <w:p>
            <w:pPr>
              <w:rPr>
                <w:rFonts w:eastAsia="仿宋_GB2312"/>
                <w:color w:val="000000"/>
                <w:sz w:val="30"/>
                <w:szCs w:val="30"/>
                <w:highlight w:val="none"/>
              </w:rPr>
            </w:pPr>
          </w:p>
        </w:tc>
        <w:tc>
          <w:tcPr>
            <w:tcW w:w="921" w:type="dxa"/>
            <w:noWrap w:val="0"/>
            <w:vAlign w:val="top"/>
          </w:tcPr>
          <w:p>
            <w:pPr>
              <w:rPr>
                <w:rFonts w:eastAsia="仿宋_GB2312"/>
                <w:color w:val="000000"/>
                <w:sz w:val="30"/>
                <w:szCs w:val="30"/>
                <w:highlight w:val="none"/>
              </w:rPr>
            </w:pPr>
          </w:p>
        </w:tc>
      </w:tr>
    </w:tbl>
    <w:p>
      <w:pPr>
        <w:spacing w:line="440" w:lineRule="exact"/>
        <w:rPr>
          <w:rFonts w:ascii="Times New Roman" w:hAnsi="Times New Roman" w:eastAsia="黑体"/>
          <w:color w:val="000000"/>
          <w:sz w:val="30"/>
          <w:szCs w:val="30"/>
          <w:highlight w:val="none"/>
        </w:rPr>
      </w:pPr>
      <w:r>
        <w:rPr>
          <w:rFonts w:ascii="Times New Roman" w:hAnsi="Times New Roman" w:eastAsia="仿宋_GB2312"/>
          <w:color w:val="000000"/>
          <w:sz w:val="30"/>
          <w:szCs w:val="30"/>
          <w:highlight w:val="none"/>
        </w:rPr>
        <w:t>附</w:t>
      </w:r>
      <w:bookmarkStart w:id="1675" w:name="_Toc296347227"/>
      <w:bookmarkStart w:id="1676" w:name="_Toc296891268"/>
      <w:bookmarkStart w:id="1677" w:name="_Toc296891056"/>
      <w:bookmarkStart w:id="1678" w:name="_Toc296346729"/>
      <w:bookmarkStart w:id="1679" w:name="_Toc296944567"/>
      <w:bookmarkStart w:id="1680" w:name="_Toc296503228"/>
      <w:bookmarkStart w:id="1681" w:name="_Toc267261699"/>
      <w:r>
        <w:rPr>
          <w:rFonts w:ascii="Times New Roman" w:hAnsi="Times New Roman" w:eastAsia="仿宋_GB2312"/>
          <w:color w:val="000000"/>
          <w:sz w:val="30"/>
          <w:szCs w:val="30"/>
          <w:highlight w:val="none"/>
        </w:rPr>
        <w:t>件6：</w:t>
      </w:r>
    </w:p>
    <w:bookmarkEnd w:id="1675"/>
    <w:bookmarkEnd w:id="1676"/>
    <w:bookmarkEnd w:id="1677"/>
    <w:bookmarkEnd w:id="1678"/>
    <w:bookmarkEnd w:id="1679"/>
    <w:bookmarkEnd w:id="1680"/>
    <w:bookmarkEnd w:id="1681"/>
    <w:p>
      <w:pPr>
        <w:spacing w:before="156" w:beforeLines="50" w:after="156" w:afterLines="50" w:line="440" w:lineRule="exact"/>
        <w:jc w:val="center"/>
        <w:rPr>
          <w:rFonts w:ascii="Times New Roman" w:hAnsi="Times New Roman" w:eastAsia="黑体"/>
          <w:color w:val="000000"/>
          <w:sz w:val="30"/>
          <w:szCs w:val="30"/>
          <w:highlight w:val="none"/>
        </w:rPr>
      </w:pPr>
      <w:r>
        <w:rPr>
          <w:rFonts w:ascii="Times New Roman" w:hAnsi="Times New Roman" w:eastAsia="黑体"/>
          <w:color w:val="000000"/>
          <w:sz w:val="30"/>
          <w:szCs w:val="30"/>
          <w:highlight w:val="none"/>
        </w:rPr>
        <w:t>承包人主要施工管理人员表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名    称</w:t>
            </w:r>
          </w:p>
        </w:tc>
        <w:tc>
          <w:tcPr>
            <w:tcW w:w="1418"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姓名</w:t>
            </w:r>
          </w:p>
        </w:tc>
        <w:tc>
          <w:tcPr>
            <w:tcW w:w="1134"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r>
              <w:rPr>
                <w:rFonts w:eastAsia="仿宋_GB2312"/>
                <w:color w:val="000000"/>
                <w:kern w:val="2"/>
                <w:sz w:val="30"/>
                <w:szCs w:val="30"/>
                <w:highlight w:val="none"/>
                <w:lang w:val="en-US" w:eastAsia="zh-CN"/>
              </w:rPr>
              <w:t>职务</w:t>
            </w:r>
          </w:p>
        </w:tc>
        <w:tc>
          <w:tcPr>
            <w:tcW w:w="1134"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r>
              <w:rPr>
                <w:rFonts w:eastAsia="仿宋_GB2312"/>
                <w:color w:val="000000"/>
                <w:kern w:val="2"/>
                <w:sz w:val="30"/>
                <w:szCs w:val="30"/>
                <w:highlight w:val="none"/>
                <w:lang w:val="en-US" w:eastAsia="zh-CN"/>
              </w:rPr>
              <w:t>职称</w:t>
            </w:r>
          </w:p>
        </w:tc>
        <w:tc>
          <w:tcPr>
            <w:tcW w:w="4252"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r>
              <w:rPr>
                <w:rFonts w:eastAsia="仿宋_GB2312"/>
                <w:color w:val="000000"/>
                <w:kern w:val="2"/>
                <w:sz w:val="30"/>
                <w:szCs w:val="30"/>
                <w:highlight w:val="none"/>
                <w:lang w:val="en-US" w:eastAsia="zh-CN"/>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项目主管</w:t>
            </w:r>
          </w:p>
        </w:tc>
        <w:tc>
          <w:tcPr>
            <w:tcW w:w="1418" w:type="dxa"/>
            <w:tcBorders>
              <w:top w:val="nil"/>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其他人员</w:t>
            </w: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项目经理</w:t>
            </w: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项目副经理</w:t>
            </w: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技术负责人</w:t>
            </w: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造价管理</w:t>
            </w: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质量管理</w:t>
            </w: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材料管理</w:t>
            </w: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计划管理</w:t>
            </w: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安全管理</w:t>
            </w: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其他人员</w:t>
            </w: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tcBorders>
              <w:bottom w:val="nil"/>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tcBorders>
              <w:bottom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tcBorders>
              <w:bottom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tcBorders>
              <w:bottom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tcBorders>
              <w:bottom w:val="single" w:color="auto" w:sz="12"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tcBorders>
              <w:bottom w:val="single" w:color="auto" w:sz="12"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tcBorders>
              <w:bottom w:val="single" w:color="auto" w:sz="12"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tcBorders>
              <w:bottom w:val="single" w:color="auto" w:sz="12"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bl>
    <w:p>
      <w:pPr>
        <w:spacing w:line="440" w:lineRule="exact"/>
        <w:rPr>
          <w:rFonts w:ascii="Times New Roman" w:hAnsi="Times New Roman" w:eastAsia="黑体"/>
          <w:color w:val="000000"/>
          <w:sz w:val="30"/>
          <w:szCs w:val="30"/>
          <w:highlight w:val="none"/>
        </w:rPr>
      </w:pPr>
      <w:r>
        <w:rPr>
          <w:rFonts w:ascii="Times New Roman" w:hAnsi="Times New Roman" w:eastAsia="仿宋_GB2312"/>
          <w:color w:val="000000"/>
          <w:sz w:val="30"/>
          <w:szCs w:val="30"/>
          <w:highlight w:val="none"/>
        </w:rPr>
        <w:br w:type="page"/>
      </w:r>
      <w:r>
        <w:rPr>
          <w:rFonts w:ascii="Times New Roman" w:hAnsi="Times New Roman" w:eastAsia="仿宋_GB2312"/>
          <w:color w:val="000000"/>
          <w:sz w:val="30"/>
          <w:szCs w:val="30"/>
          <w:highlight w:val="none"/>
        </w:rPr>
        <w:t>附</w:t>
      </w:r>
      <w:bookmarkStart w:id="1682" w:name="_Toc296944568"/>
      <w:bookmarkStart w:id="1683" w:name="_Toc296503229"/>
      <w:bookmarkStart w:id="1684" w:name="_Toc296347228"/>
      <w:bookmarkStart w:id="1685" w:name="_Toc296346730"/>
      <w:bookmarkStart w:id="1686" w:name="_Toc296891269"/>
      <w:bookmarkStart w:id="1687" w:name="_Toc296891057"/>
      <w:r>
        <w:rPr>
          <w:rFonts w:ascii="Times New Roman" w:hAnsi="Times New Roman" w:eastAsia="仿宋_GB2312"/>
          <w:color w:val="000000"/>
          <w:sz w:val="30"/>
          <w:szCs w:val="30"/>
          <w:highlight w:val="none"/>
        </w:rPr>
        <w:t>件7：</w:t>
      </w:r>
    </w:p>
    <w:bookmarkEnd w:id="1682"/>
    <w:bookmarkEnd w:id="1683"/>
    <w:bookmarkEnd w:id="1684"/>
    <w:bookmarkEnd w:id="1685"/>
    <w:bookmarkEnd w:id="1686"/>
    <w:bookmarkEnd w:id="1687"/>
    <w:p>
      <w:pPr>
        <w:spacing w:before="156" w:beforeLines="50" w:after="156" w:afterLines="50" w:line="440" w:lineRule="exact"/>
        <w:jc w:val="center"/>
        <w:rPr>
          <w:rFonts w:ascii="Times New Roman" w:hAnsi="Times New Roman" w:eastAsia="黑体"/>
          <w:color w:val="000000"/>
          <w:sz w:val="30"/>
          <w:szCs w:val="30"/>
          <w:highlight w:val="none"/>
        </w:rPr>
      </w:pPr>
      <w:r>
        <w:rPr>
          <w:rFonts w:ascii="Times New Roman" w:hAnsi="Times New Roman" w:eastAsia="黑体"/>
          <w:color w:val="000000"/>
          <w:sz w:val="30"/>
          <w:szCs w:val="30"/>
          <w:highlight w:val="none"/>
        </w:rPr>
        <w:t>分包人主要施工管理人员表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名    称</w:t>
            </w:r>
          </w:p>
        </w:tc>
        <w:tc>
          <w:tcPr>
            <w:tcW w:w="1418"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姓名</w:t>
            </w:r>
          </w:p>
        </w:tc>
        <w:tc>
          <w:tcPr>
            <w:tcW w:w="1134"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r>
              <w:rPr>
                <w:rFonts w:eastAsia="仿宋_GB2312"/>
                <w:color w:val="000000"/>
                <w:kern w:val="2"/>
                <w:sz w:val="30"/>
                <w:szCs w:val="30"/>
                <w:highlight w:val="none"/>
                <w:lang w:val="en-US" w:eastAsia="zh-CN"/>
              </w:rPr>
              <w:t>职务</w:t>
            </w:r>
          </w:p>
        </w:tc>
        <w:tc>
          <w:tcPr>
            <w:tcW w:w="1134"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r>
              <w:rPr>
                <w:rFonts w:eastAsia="仿宋_GB2312"/>
                <w:color w:val="000000"/>
                <w:kern w:val="2"/>
                <w:sz w:val="30"/>
                <w:szCs w:val="30"/>
                <w:highlight w:val="none"/>
                <w:lang w:val="en-US" w:eastAsia="zh-CN"/>
              </w:rPr>
              <w:t>职称</w:t>
            </w:r>
          </w:p>
        </w:tc>
        <w:tc>
          <w:tcPr>
            <w:tcW w:w="4252" w:type="dxa"/>
            <w:tcBorders>
              <w:top w:val="single" w:color="auto" w:sz="12" w:space="0"/>
              <w:bottom w:val="double" w:color="auto" w:sz="6"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r>
              <w:rPr>
                <w:rFonts w:eastAsia="仿宋_GB2312"/>
                <w:color w:val="000000"/>
                <w:kern w:val="2"/>
                <w:sz w:val="30"/>
                <w:szCs w:val="30"/>
                <w:highlight w:val="none"/>
                <w:lang w:val="en-US" w:eastAsia="zh-CN"/>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项目主管</w:t>
            </w:r>
          </w:p>
        </w:tc>
        <w:tc>
          <w:tcPr>
            <w:tcW w:w="1418" w:type="dxa"/>
            <w:tcBorders>
              <w:top w:val="nil"/>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tcBorders>
              <w:top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其他人员</w:t>
            </w: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项目经理</w:t>
            </w: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项目副经理</w:t>
            </w: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技术负责人</w:t>
            </w: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造价管理</w:t>
            </w: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质量管理</w:t>
            </w: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材料管理</w:t>
            </w: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计划管理</w:t>
            </w: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安全管理</w:t>
            </w: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其他人员</w:t>
            </w: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tcBorders>
              <w:bottom w:val="nil"/>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tcBorders>
              <w:bottom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tcBorders>
              <w:bottom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tcBorders>
              <w:bottom w:val="nil"/>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tcBorders>
              <w:bottom w:val="single" w:color="auto" w:sz="12" w:space="0"/>
            </w:tcBorders>
            <w:noWrap w:val="0"/>
            <w:vAlign w:val="center"/>
          </w:tcPr>
          <w:p>
            <w:pPr>
              <w:pStyle w:val="12"/>
              <w:keepNext/>
              <w:spacing w:after="0" w:line="440" w:lineRule="exact"/>
              <w:ind w:left="63" w:right="63"/>
              <w:rPr>
                <w:rFonts w:eastAsia="仿宋_GB2312"/>
                <w:color w:val="000000"/>
                <w:kern w:val="2"/>
                <w:sz w:val="28"/>
                <w:szCs w:val="30"/>
                <w:highlight w:val="none"/>
                <w:lang w:val="en-US" w:eastAsia="zh-CN"/>
              </w:rPr>
            </w:pPr>
          </w:p>
        </w:tc>
        <w:tc>
          <w:tcPr>
            <w:tcW w:w="1134" w:type="dxa"/>
            <w:tcBorders>
              <w:bottom w:val="single" w:color="auto" w:sz="12"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1134" w:type="dxa"/>
            <w:tcBorders>
              <w:bottom w:val="single" w:color="auto" w:sz="12"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c>
          <w:tcPr>
            <w:tcW w:w="4252" w:type="dxa"/>
            <w:tcBorders>
              <w:bottom w:val="single" w:color="auto" w:sz="12" w:space="0"/>
            </w:tcBorders>
            <w:noWrap w:val="0"/>
            <w:vAlign w:val="center"/>
          </w:tcPr>
          <w:p>
            <w:pPr>
              <w:pStyle w:val="12"/>
              <w:keepNext/>
              <w:spacing w:after="0" w:line="440" w:lineRule="exact"/>
              <w:ind w:left="63" w:right="63"/>
              <w:rPr>
                <w:rFonts w:eastAsia="仿宋_GB2312"/>
                <w:color w:val="000000"/>
                <w:kern w:val="2"/>
                <w:sz w:val="30"/>
                <w:szCs w:val="30"/>
                <w:highlight w:val="none"/>
                <w:lang w:val="en-US" w:eastAsia="zh-CN"/>
              </w:rPr>
            </w:pPr>
          </w:p>
        </w:tc>
      </w:tr>
    </w:tbl>
    <w:p>
      <w:pPr>
        <w:spacing w:line="440" w:lineRule="exact"/>
        <w:rPr>
          <w:rFonts w:ascii="Times New Roman" w:hAnsi="Times New Roman" w:eastAsia="黑体"/>
          <w:color w:val="000000"/>
          <w:sz w:val="30"/>
          <w:szCs w:val="30"/>
          <w:highlight w:val="none"/>
        </w:rPr>
      </w:pPr>
      <w:r>
        <w:rPr>
          <w:rFonts w:ascii="Times New Roman" w:hAnsi="Times New Roman" w:eastAsia="仿宋_GB2312"/>
          <w:color w:val="000000"/>
          <w:sz w:val="30"/>
          <w:szCs w:val="30"/>
          <w:highlight w:val="none"/>
        </w:rPr>
        <w:br w:type="page"/>
      </w:r>
      <w:bookmarkStart w:id="1688" w:name="_Toc267261701"/>
      <w:r>
        <w:rPr>
          <w:rFonts w:ascii="Times New Roman" w:hAnsi="Times New Roman" w:eastAsia="仿宋_GB2312"/>
          <w:color w:val="000000"/>
          <w:sz w:val="30"/>
          <w:szCs w:val="30"/>
          <w:highlight w:val="none"/>
        </w:rPr>
        <w:t>附</w:t>
      </w:r>
      <w:bookmarkStart w:id="1689" w:name="_Toc296944570"/>
      <w:bookmarkStart w:id="1690" w:name="_Toc296346732"/>
      <w:bookmarkStart w:id="1691" w:name="_Toc296347230"/>
      <w:bookmarkStart w:id="1692" w:name="_Toc296503231"/>
      <w:bookmarkStart w:id="1693" w:name="_Toc296891059"/>
      <w:bookmarkStart w:id="1694" w:name="_Toc296891271"/>
      <w:r>
        <w:rPr>
          <w:rFonts w:ascii="Times New Roman" w:hAnsi="Times New Roman" w:eastAsia="仿宋_GB2312"/>
          <w:color w:val="000000"/>
          <w:sz w:val="30"/>
          <w:szCs w:val="30"/>
          <w:highlight w:val="none"/>
        </w:rPr>
        <w:t>件8：</w:t>
      </w:r>
    </w:p>
    <w:bookmarkEnd w:id="1688"/>
    <w:bookmarkEnd w:id="1689"/>
    <w:bookmarkEnd w:id="1690"/>
    <w:bookmarkEnd w:id="1691"/>
    <w:bookmarkEnd w:id="1692"/>
    <w:bookmarkEnd w:id="1693"/>
    <w:bookmarkEnd w:id="1694"/>
    <w:p>
      <w:pPr>
        <w:spacing w:before="156" w:beforeLines="50" w:after="156" w:afterLines="50" w:line="440" w:lineRule="exact"/>
        <w:jc w:val="center"/>
        <w:rPr>
          <w:rFonts w:ascii="Times New Roman" w:hAnsi="Times New Roman" w:eastAsia="黑体"/>
          <w:color w:val="000000"/>
          <w:sz w:val="30"/>
          <w:szCs w:val="30"/>
          <w:highlight w:val="none"/>
        </w:rPr>
      </w:pPr>
      <w:r>
        <w:rPr>
          <w:rFonts w:ascii="Times New Roman" w:hAnsi="Times New Roman" w:eastAsia="黑体"/>
          <w:color w:val="000000"/>
          <w:sz w:val="30"/>
          <w:szCs w:val="30"/>
          <w:highlight w:val="none"/>
        </w:rPr>
        <w:t>履约担保</w:t>
      </w:r>
    </w:p>
    <w:p>
      <w:pPr>
        <w:spacing w:line="440" w:lineRule="exact"/>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ab/>
      </w:r>
      <w:r>
        <w:rPr>
          <w:rFonts w:ascii="Times New Roman" w:hAnsi="Times New Roman" w:eastAsia="仿宋_GB2312"/>
          <w:color w:val="000000"/>
          <w:sz w:val="30"/>
          <w:szCs w:val="30"/>
          <w:highlight w:val="none"/>
        </w:rPr>
        <w:t>（发包人名称）：</w:t>
      </w:r>
    </w:p>
    <w:p>
      <w:pPr>
        <w:spacing w:line="440" w:lineRule="exact"/>
        <w:rPr>
          <w:rFonts w:ascii="Times New Roman" w:hAnsi="Times New Roman" w:eastAsia="仿宋_GB2312"/>
          <w:color w:val="000000"/>
          <w:sz w:val="30"/>
          <w:szCs w:val="30"/>
          <w:highlight w:val="none"/>
        </w:rPr>
      </w:pPr>
    </w:p>
    <w:p>
      <w:pPr>
        <w:spacing w:line="360" w:lineRule="auto"/>
        <w:ind w:firstLine="600" w:firstLineChars="20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鉴于</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（发包人名称，以下简称“发包人”）与</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（承包人名称）（以下称“承包人”）于</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年</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月</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日就</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 xml:space="preserve">（工程名称）施工及有关事项协商一致共同签订《建设工程施工合同》。我方愿意无条件地、不可撤销地就承包人履行与你方签订的合同，向你方提供连带责任担保。 </w:t>
      </w:r>
    </w:p>
    <w:p>
      <w:pPr>
        <w:spacing w:line="360" w:lineRule="auto"/>
        <w:ind w:firstLine="600" w:firstLineChars="20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1. 担保金额人民币（大写）</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元（¥</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w:t>
      </w:r>
    </w:p>
    <w:p>
      <w:pPr>
        <w:spacing w:line="360" w:lineRule="auto"/>
        <w:ind w:firstLine="600" w:firstLineChars="20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2. 担保有效期自你方与承包人签订的合同生效之日起至你方签发或应签发工程接收证书之日止。</w:t>
      </w:r>
    </w:p>
    <w:p>
      <w:pPr>
        <w:spacing w:line="360" w:lineRule="auto"/>
        <w:ind w:firstLine="600" w:firstLineChars="20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3. 在本担保有效期内，因承包人违反合同约定的义务给你方造成经济损失时，我方在收到你方以书面形式提出的在担保金额内的赔偿要求后，在7天内无条件支付。</w:t>
      </w:r>
    </w:p>
    <w:p>
      <w:pPr>
        <w:spacing w:line="360" w:lineRule="auto"/>
        <w:ind w:firstLine="600" w:firstLineChars="20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4. 你方和承包人按合同约定变更合同时，我方承担本担保规定的义务不变。</w:t>
      </w:r>
    </w:p>
    <w:p>
      <w:pPr>
        <w:spacing w:line="360" w:lineRule="auto"/>
        <w:ind w:firstLine="600" w:firstLineChars="20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5. 因本保函发生的纠纷，可由双方协商解决，协商不成的，任何一方均可提请</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仲裁委员会仲裁。</w:t>
      </w:r>
    </w:p>
    <w:p>
      <w:pPr>
        <w:spacing w:line="360" w:lineRule="auto"/>
        <w:ind w:firstLine="600" w:firstLineChars="200"/>
        <w:rPr>
          <w:rFonts w:hint="eastAsia"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6. 本保函自我方法定代表人（或其授权代理人）签字并加盖公章之日起生效。</w:t>
      </w:r>
    </w:p>
    <w:p>
      <w:pPr>
        <w:spacing w:line="360" w:lineRule="auto"/>
        <w:rPr>
          <w:rFonts w:hint="eastAsia" w:ascii="Times New Roman" w:hAnsi="Times New Roman" w:eastAsia="仿宋_GB2312"/>
          <w:color w:val="000000"/>
          <w:sz w:val="30"/>
          <w:szCs w:val="30"/>
          <w:highlight w:val="none"/>
        </w:rPr>
      </w:pP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担 保 人：</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（盖单位章）</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法定代表人或其委托代理人：</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（签字）</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地    址：</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邮政编码：</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p>
    <w:p>
      <w:pPr>
        <w:spacing w:line="360" w:lineRule="auto"/>
        <w:rPr>
          <w:rFonts w:ascii="Times New Roman" w:hAnsi="Times New Roman" w:eastAsia="仿宋_GB2312"/>
          <w:color w:val="000000"/>
          <w:sz w:val="30"/>
          <w:szCs w:val="30"/>
          <w:highlight w:val="none"/>
          <w:u w:val="single"/>
        </w:rPr>
      </w:pPr>
      <w:r>
        <w:rPr>
          <w:rFonts w:ascii="Times New Roman" w:hAnsi="Times New Roman" w:eastAsia="仿宋_GB2312"/>
          <w:color w:val="000000"/>
          <w:sz w:val="30"/>
          <w:szCs w:val="30"/>
          <w:highlight w:val="none"/>
        </w:rPr>
        <w:t>电    话：</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传    真：</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p>
    <w:p>
      <w:pPr>
        <w:spacing w:line="360" w:lineRule="auto"/>
        <w:jc w:val="left"/>
        <w:rPr>
          <w:rFonts w:ascii="Times New Roman" w:hAnsi="Times New Roman" w:eastAsia="仿宋_GB2312"/>
          <w:color w:val="000000"/>
          <w:sz w:val="30"/>
          <w:szCs w:val="30"/>
          <w:highlight w:val="none"/>
          <w:u w:val="single"/>
        </w:rPr>
      </w:pPr>
    </w:p>
    <w:p>
      <w:pPr>
        <w:spacing w:line="360" w:lineRule="auto"/>
        <w:ind w:left="1899" w:hanging="1899" w:hangingChars="633"/>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 xml:space="preserve">             </w:t>
      </w:r>
      <w:r>
        <w:rPr>
          <w:rFonts w:hint="eastAsia" w:ascii="Times New Roman" w:hAnsi="Times New Roman" w:eastAsia="仿宋_GB2312"/>
          <w:color w:val="000000"/>
          <w:sz w:val="30"/>
          <w:szCs w:val="30"/>
          <w:highlight w:val="non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年</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月</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日</w:t>
      </w:r>
    </w:p>
    <w:p>
      <w:pPr>
        <w:spacing w:line="360" w:lineRule="auto"/>
        <w:ind w:left="1899" w:hanging="1899" w:hangingChars="633"/>
        <w:rPr>
          <w:rFonts w:ascii="Times New Roman" w:hAnsi="Times New Roman" w:eastAsia="仿宋_GB2312"/>
          <w:color w:val="000000"/>
          <w:sz w:val="30"/>
          <w:szCs w:val="30"/>
          <w:highlight w:val="none"/>
        </w:rPr>
      </w:pPr>
    </w:p>
    <w:p>
      <w:pPr>
        <w:spacing w:line="360" w:lineRule="auto"/>
        <w:ind w:left="1899" w:hanging="1899" w:hangingChars="633"/>
        <w:rPr>
          <w:rFonts w:ascii="Times New Roman" w:hAnsi="Times New Roman" w:eastAsia="仿宋_GB2312"/>
          <w:color w:val="000000"/>
          <w:sz w:val="30"/>
          <w:szCs w:val="30"/>
          <w:highlight w:val="none"/>
        </w:rPr>
      </w:pPr>
    </w:p>
    <w:p>
      <w:pPr>
        <w:spacing w:line="360" w:lineRule="auto"/>
        <w:ind w:left="1899" w:hanging="1899" w:hangingChars="633"/>
        <w:rPr>
          <w:rFonts w:ascii="Times New Roman" w:hAnsi="Times New Roman" w:eastAsia="仿宋_GB2312"/>
          <w:color w:val="000000"/>
          <w:sz w:val="30"/>
          <w:szCs w:val="30"/>
          <w:highlight w:val="none"/>
        </w:rPr>
      </w:pPr>
    </w:p>
    <w:p>
      <w:pPr>
        <w:spacing w:line="360" w:lineRule="auto"/>
        <w:ind w:left="1899" w:hanging="1899" w:hangingChars="633"/>
        <w:rPr>
          <w:rFonts w:ascii="Times New Roman" w:hAnsi="Times New Roman" w:eastAsia="仿宋_GB2312"/>
          <w:color w:val="000000"/>
          <w:sz w:val="30"/>
          <w:szCs w:val="30"/>
          <w:highlight w:val="none"/>
        </w:rPr>
      </w:pPr>
    </w:p>
    <w:p>
      <w:pPr>
        <w:spacing w:line="360" w:lineRule="auto"/>
        <w:ind w:left="1899" w:hanging="1899" w:hangingChars="633"/>
        <w:rPr>
          <w:rFonts w:ascii="Times New Roman" w:hAnsi="Times New Roman" w:eastAsia="仿宋_GB2312"/>
          <w:color w:val="000000"/>
          <w:sz w:val="30"/>
          <w:szCs w:val="30"/>
          <w:highlight w:val="none"/>
        </w:rPr>
      </w:pPr>
    </w:p>
    <w:p>
      <w:pPr>
        <w:spacing w:line="360" w:lineRule="auto"/>
        <w:ind w:left="1899" w:hanging="1899" w:hangingChars="633"/>
        <w:rPr>
          <w:rFonts w:ascii="Times New Roman" w:hAnsi="Times New Roman" w:eastAsia="仿宋_GB2312"/>
          <w:color w:val="000000"/>
          <w:sz w:val="30"/>
          <w:szCs w:val="30"/>
          <w:highlight w:val="none"/>
        </w:rPr>
      </w:pPr>
    </w:p>
    <w:p>
      <w:pPr>
        <w:spacing w:line="360" w:lineRule="auto"/>
        <w:ind w:left="1899" w:hanging="1899" w:hangingChars="633"/>
        <w:rPr>
          <w:rFonts w:ascii="Times New Roman" w:hAnsi="Times New Roman" w:eastAsia="仿宋_GB2312"/>
          <w:color w:val="000000"/>
          <w:sz w:val="30"/>
          <w:szCs w:val="30"/>
          <w:highlight w:val="none"/>
        </w:rPr>
      </w:pPr>
    </w:p>
    <w:p>
      <w:pPr>
        <w:spacing w:line="360" w:lineRule="auto"/>
        <w:ind w:left="1899" w:hanging="1899" w:hangingChars="633"/>
        <w:rPr>
          <w:rFonts w:ascii="Times New Roman" w:hAnsi="Times New Roman" w:eastAsia="仿宋_GB2312"/>
          <w:color w:val="000000"/>
          <w:sz w:val="30"/>
          <w:szCs w:val="30"/>
          <w:highlight w:val="none"/>
        </w:rPr>
      </w:pPr>
    </w:p>
    <w:p>
      <w:pPr>
        <w:spacing w:line="360" w:lineRule="auto"/>
        <w:ind w:left="1899" w:hanging="1899" w:hangingChars="633"/>
        <w:rPr>
          <w:rFonts w:ascii="Times New Roman" w:hAnsi="Times New Roman" w:eastAsia="仿宋_GB2312"/>
          <w:color w:val="000000"/>
          <w:sz w:val="30"/>
          <w:szCs w:val="30"/>
          <w:highlight w:val="none"/>
        </w:rPr>
      </w:pPr>
    </w:p>
    <w:p>
      <w:pPr>
        <w:spacing w:line="360" w:lineRule="auto"/>
        <w:ind w:left="1899" w:hanging="1899" w:hangingChars="633"/>
        <w:rPr>
          <w:rFonts w:ascii="Times New Roman" w:hAnsi="Times New Roman" w:eastAsia="仿宋_GB2312"/>
          <w:color w:val="000000"/>
          <w:sz w:val="30"/>
          <w:szCs w:val="30"/>
          <w:highlight w:val="none"/>
        </w:rPr>
      </w:pPr>
    </w:p>
    <w:p>
      <w:pPr>
        <w:spacing w:line="360" w:lineRule="auto"/>
        <w:ind w:left="1899" w:hanging="1899" w:hangingChars="633"/>
        <w:rPr>
          <w:rFonts w:ascii="Times New Roman" w:hAnsi="Times New Roman" w:eastAsia="仿宋_GB2312"/>
          <w:color w:val="000000"/>
          <w:sz w:val="30"/>
          <w:szCs w:val="30"/>
          <w:highlight w:val="none"/>
        </w:rPr>
      </w:pPr>
    </w:p>
    <w:p>
      <w:pPr>
        <w:spacing w:line="360" w:lineRule="auto"/>
        <w:ind w:left="1899" w:hanging="1899" w:hangingChars="633"/>
        <w:rPr>
          <w:rFonts w:hint="eastAsia" w:ascii="Times New Roman" w:hAnsi="Times New Roman" w:eastAsia="仿宋_GB2312"/>
          <w:color w:val="000000"/>
          <w:sz w:val="30"/>
          <w:szCs w:val="30"/>
          <w:highlight w:val="none"/>
        </w:rPr>
      </w:pPr>
    </w:p>
    <w:p>
      <w:pPr>
        <w:spacing w:line="360" w:lineRule="auto"/>
        <w:rPr>
          <w:rFonts w:hint="eastAsia" w:ascii="Times New Roman" w:hAnsi="Times New Roman" w:eastAsia="仿宋_GB2312"/>
          <w:color w:val="000000"/>
          <w:sz w:val="30"/>
          <w:szCs w:val="30"/>
          <w:highlight w:val="none"/>
        </w:rPr>
      </w:pPr>
    </w:p>
    <w:p>
      <w:pPr>
        <w:spacing w:line="360" w:lineRule="auto"/>
        <w:rPr>
          <w:rFonts w:ascii="Times New Roman" w:hAnsi="Times New Roman" w:eastAsia="黑体"/>
          <w:color w:val="000000"/>
          <w:sz w:val="30"/>
          <w:szCs w:val="30"/>
          <w:highlight w:val="none"/>
        </w:rPr>
      </w:pPr>
      <w:r>
        <w:rPr>
          <w:rFonts w:ascii="Times New Roman" w:hAnsi="Times New Roman" w:eastAsia="仿宋_GB2312"/>
          <w:color w:val="000000"/>
          <w:sz w:val="30"/>
          <w:szCs w:val="30"/>
          <w:highlight w:val="none"/>
        </w:rPr>
        <w:t>附</w:t>
      </w:r>
      <w:bookmarkStart w:id="1695" w:name="_Toc296891272"/>
      <w:bookmarkStart w:id="1696" w:name="_Toc296891060"/>
      <w:bookmarkStart w:id="1697" w:name="_Toc267261702"/>
      <w:bookmarkStart w:id="1698" w:name="_Toc296503232"/>
      <w:bookmarkStart w:id="1699" w:name="_Toc296347231"/>
      <w:bookmarkStart w:id="1700" w:name="_Toc296944571"/>
      <w:bookmarkStart w:id="1701" w:name="_Toc296346733"/>
      <w:r>
        <w:rPr>
          <w:rFonts w:ascii="Times New Roman" w:hAnsi="Times New Roman" w:eastAsia="仿宋_GB2312"/>
          <w:color w:val="000000"/>
          <w:sz w:val="30"/>
          <w:szCs w:val="30"/>
          <w:highlight w:val="none"/>
        </w:rPr>
        <w:t>件9 ：</w:t>
      </w:r>
    </w:p>
    <w:bookmarkEnd w:id="1695"/>
    <w:bookmarkEnd w:id="1696"/>
    <w:bookmarkEnd w:id="1697"/>
    <w:bookmarkEnd w:id="1698"/>
    <w:bookmarkEnd w:id="1699"/>
    <w:bookmarkEnd w:id="1700"/>
    <w:bookmarkEnd w:id="1701"/>
    <w:p>
      <w:pPr>
        <w:spacing w:before="156" w:beforeLines="50" w:after="156" w:afterLines="50" w:line="440" w:lineRule="exact"/>
        <w:jc w:val="center"/>
        <w:rPr>
          <w:rFonts w:ascii="Times New Roman" w:hAnsi="Times New Roman" w:eastAsia="黑体"/>
          <w:color w:val="000000"/>
          <w:sz w:val="30"/>
          <w:szCs w:val="30"/>
          <w:highlight w:val="none"/>
        </w:rPr>
      </w:pPr>
      <w:r>
        <w:rPr>
          <w:rFonts w:ascii="Times New Roman" w:hAnsi="Times New Roman" w:eastAsia="黑体"/>
          <w:color w:val="000000"/>
          <w:sz w:val="30"/>
          <w:szCs w:val="30"/>
          <w:highlight w:val="none"/>
        </w:rPr>
        <w:t>预付款担保</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ab/>
      </w:r>
      <w:r>
        <w:rPr>
          <w:rFonts w:ascii="Times New Roman" w:hAnsi="Times New Roman" w:eastAsia="仿宋_GB2312"/>
          <w:color w:val="000000"/>
          <w:sz w:val="30"/>
          <w:szCs w:val="30"/>
          <w:highlight w:val="none"/>
          <w:u w:val="single"/>
        </w:rPr>
        <w:tab/>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 xml:space="preserve"> （发包人名称）：</w:t>
      </w:r>
    </w:p>
    <w:p>
      <w:pPr>
        <w:spacing w:line="360" w:lineRule="auto"/>
        <w:rPr>
          <w:rFonts w:ascii="Times New Roman" w:hAnsi="Times New Roman" w:eastAsia="仿宋_GB2312"/>
          <w:color w:val="000000"/>
          <w:sz w:val="30"/>
          <w:szCs w:val="30"/>
          <w:highlight w:val="none"/>
        </w:rPr>
      </w:pPr>
    </w:p>
    <w:p>
      <w:pPr>
        <w:spacing w:line="360" w:lineRule="auto"/>
        <w:ind w:firstLine="600" w:firstLineChars="20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根据</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（承包人名称）（以下称</w:t>
      </w:r>
      <w:r>
        <w:rPr>
          <w:rFonts w:hint="eastAsia" w:ascii="Times New Roman" w:hAnsi="Times New Roman" w:eastAsia="仿宋_GB2312"/>
          <w:color w:val="000000"/>
          <w:sz w:val="30"/>
          <w:szCs w:val="30"/>
          <w:highlight w:val="none"/>
        </w:rPr>
        <w:t>“</w:t>
      </w:r>
      <w:r>
        <w:rPr>
          <w:rFonts w:ascii="Times New Roman" w:hAnsi="Times New Roman" w:eastAsia="仿宋_GB2312"/>
          <w:color w:val="000000"/>
          <w:sz w:val="30"/>
          <w:szCs w:val="30"/>
          <w:highlight w:val="none"/>
        </w:rPr>
        <w:t>承包人</w:t>
      </w:r>
      <w:r>
        <w:rPr>
          <w:rFonts w:hint="eastAsia" w:ascii="Times New Roman" w:hAnsi="Times New Roman" w:eastAsia="仿宋_GB2312"/>
          <w:color w:val="000000"/>
          <w:sz w:val="30"/>
          <w:szCs w:val="30"/>
          <w:highlight w:val="none"/>
        </w:rPr>
        <w:t>”</w:t>
      </w:r>
      <w:r>
        <w:rPr>
          <w:rFonts w:ascii="Times New Roman" w:hAnsi="Times New Roman" w:eastAsia="仿宋_GB2312"/>
          <w:color w:val="000000"/>
          <w:sz w:val="30"/>
          <w:szCs w:val="30"/>
          <w:highlight w:val="none"/>
        </w:rPr>
        <w:t>）与</w:t>
      </w:r>
    </w:p>
    <w:p>
      <w:pPr>
        <w:spacing w:line="360" w:lineRule="auto"/>
        <w:outlineLvl w:val="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u w:val="single"/>
        </w:rPr>
        <w:t xml:space="preserve">                        </w:t>
      </w:r>
      <w:bookmarkStart w:id="1702" w:name="_Toc10384"/>
      <w:bookmarkStart w:id="1703" w:name="_Toc3483"/>
      <w:bookmarkStart w:id="1704" w:name="_Toc27837"/>
      <w:bookmarkStart w:id="1705" w:name="_Toc9234"/>
      <w:r>
        <w:rPr>
          <w:rFonts w:ascii="Times New Roman" w:hAnsi="Times New Roman" w:eastAsia="仿宋_GB2312"/>
          <w:color w:val="000000"/>
          <w:sz w:val="30"/>
          <w:szCs w:val="30"/>
          <w:highlight w:val="none"/>
        </w:rPr>
        <w:t>（发包人名称）（以下简称</w:t>
      </w:r>
      <w:r>
        <w:rPr>
          <w:rFonts w:hint="eastAsia" w:ascii="Times New Roman" w:hAnsi="Times New Roman" w:eastAsia="仿宋_GB2312"/>
          <w:color w:val="000000"/>
          <w:sz w:val="30"/>
          <w:szCs w:val="30"/>
          <w:highlight w:val="none"/>
        </w:rPr>
        <w:t>“</w:t>
      </w:r>
      <w:r>
        <w:rPr>
          <w:rFonts w:ascii="Times New Roman" w:hAnsi="Times New Roman" w:eastAsia="仿宋_GB2312"/>
          <w:color w:val="000000"/>
          <w:sz w:val="30"/>
          <w:szCs w:val="30"/>
          <w:highlight w:val="none"/>
        </w:rPr>
        <w:t>发包人</w:t>
      </w:r>
      <w:r>
        <w:rPr>
          <w:rFonts w:hint="eastAsia" w:ascii="Times New Roman" w:hAnsi="Times New Roman" w:eastAsia="仿宋_GB2312"/>
          <w:color w:val="000000"/>
          <w:sz w:val="30"/>
          <w:szCs w:val="30"/>
          <w:highlight w:val="none"/>
        </w:rPr>
        <w:t>”</w:t>
      </w:r>
      <w:r>
        <w:rPr>
          <w:rFonts w:ascii="Times New Roman" w:hAnsi="Times New Roman" w:eastAsia="仿宋_GB2312"/>
          <w:color w:val="000000"/>
          <w:sz w:val="30"/>
          <w:szCs w:val="30"/>
          <w:highlight w:val="none"/>
        </w:rPr>
        <w:t>）</w:t>
      </w:r>
      <w:bookmarkEnd w:id="1702"/>
      <w:bookmarkEnd w:id="1703"/>
      <w:bookmarkEnd w:id="1704"/>
      <w:bookmarkEnd w:id="1705"/>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于</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年</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月</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日签订的</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（工程名称）《建设工程施工合同》，承包人按约定的金额向</w:t>
      </w:r>
      <w:r>
        <w:rPr>
          <w:rFonts w:hint="eastAsia" w:ascii="Times New Roman" w:hAnsi="Times New Roman" w:eastAsia="仿宋_GB2312"/>
          <w:color w:val="000000"/>
          <w:sz w:val="30"/>
          <w:szCs w:val="30"/>
          <w:highlight w:val="none"/>
        </w:rPr>
        <w:t>你方</w:t>
      </w:r>
      <w:r>
        <w:rPr>
          <w:rFonts w:ascii="Times New Roman" w:hAnsi="Times New Roman" w:eastAsia="仿宋_GB2312"/>
          <w:color w:val="000000"/>
          <w:sz w:val="30"/>
          <w:szCs w:val="30"/>
          <w:highlight w:val="none"/>
        </w:rPr>
        <w:t>提交一份预付款担保，即有权得到</w:t>
      </w:r>
      <w:r>
        <w:rPr>
          <w:rFonts w:hint="eastAsia" w:ascii="Times New Roman" w:hAnsi="Times New Roman" w:eastAsia="仿宋_GB2312"/>
          <w:color w:val="000000"/>
          <w:sz w:val="30"/>
          <w:szCs w:val="30"/>
          <w:highlight w:val="none"/>
        </w:rPr>
        <w:t>你方</w:t>
      </w:r>
      <w:r>
        <w:rPr>
          <w:rFonts w:ascii="Times New Roman" w:hAnsi="Times New Roman" w:eastAsia="仿宋_GB2312"/>
          <w:color w:val="000000"/>
          <w:sz w:val="30"/>
          <w:szCs w:val="30"/>
          <w:highlight w:val="none"/>
        </w:rPr>
        <w:t>支付相等金额的预付款。我方愿意就你方提供给承包人的预付款</w:t>
      </w:r>
      <w:r>
        <w:rPr>
          <w:rFonts w:hint="eastAsia" w:ascii="Times New Roman" w:hAnsi="Times New Roman" w:eastAsia="仿宋_GB2312"/>
          <w:color w:val="000000"/>
          <w:sz w:val="30"/>
          <w:szCs w:val="30"/>
          <w:highlight w:val="none"/>
        </w:rPr>
        <w:t>为承包人</w:t>
      </w:r>
      <w:r>
        <w:rPr>
          <w:rFonts w:ascii="Times New Roman" w:hAnsi="Times New Roman" w:eastAsia="仿宋_GB2312"/>
          <w:color w:val="000000"/>
          <w:sz w:val="30"/>
          <w:szCs w:val="30"/>
          <w:highlight w:val="none"/>
        </w:rPr>
        <w:t>提供连带责任担保。</w:t>
      </w:r>
    </w:p>
    <w:p>
      <w:pPr>
        <w:spacing w:line="360" w:lineRule="auto"/>
        <w:ind w:firstLine="600" w:firstLineChars="200"/>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 xml:space="preserve">1. </w:t>
      </w:r>
      <w:r>
        <w:rPr>
          <w:rFonts w:ascii="Times New Roman" w:hAnsi="Times New Roman" w:eastAsia="仿宋_GB2312"/>
          <w:color w:val="000000"/>
          <w:sz w:val="30"/>
          <w:szCs w:val="30"/>
          <w:highlight w:val="none"/>
        </w:rPr>
        <w:t>担保金额人民币（大写）</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rPr>
        <w:t>元</w:t>
      </w:r>
      <w:r>
        <w:rPr>
          <w:rFonts w:ascii="Times New Roman" w:hAnsi="Times New Roman" w:eastAsia="仿宋_GB2312"/>
          <w:color w:val="000000"/>
          <w:sz w:val="30"/>
          <w:szCs w:val="30"/>
          <w:highlight w:val="none"/>
        </w:rPr>
        <w:t>（¥</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w:t>
      </w:r>
    </w:p>
    <w:p>
      <w:pPr>
        <w:spacing w:line="360" w:lineRule="auto"/>
        <w:ind w:firstLine="600" w:firstLineChars="200"/>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 xml:space="preserve">2. </w:t>
      </w:r>
      <w:r>
        <w:rPr>
          <w:rFonts w:ascii="Times New Roman" w:hAnsi="Times New Roman" w:eastAsia="仿宋_GB2312"/>
          <w:color w:val="000000"/>
          <w:sz w:val="30"/>
          <w:szCs w:val="30"/>
          <w:highlight w:val="none"/>
        </w:rPr>
        <w:t>担保有效期自预付款支付给承包人起生效，至</w:t>
      </w:r>
      <w:r>
        <w:rPr>
          <w:rFonts w:hint="eastAsia" w:ascii="Times New Roman" w:hAnsi="Times New Roman" w:eastAsia="仿宋_GB2312"/>
          <w:color w:val="000000"/>
          <w:sz w:val="30"/>
          <w:szCs w:val="30"/>
          <w:highlight w:val="none"/>
        </w:rPr>
        <w:t>你方</w:t>
      </w:r>
      <w:r>
        <w:rPr>
          <w:rFonts w:ascii="Times New Roman" w:hAnsi="Times New Roman" w:eastAsia="仿宋_GB2312"/>
          <w:color w:val="000000"/>
          <w:sz w:val="30"/>
          <w:szCs w:val="30"/>
          <w:highlight w:val="none"/>
        </w:rPr>
        <w:t>签发的</w:t>
      </w:r>
      <w:r>
        <w:rPr>
          <w:rFonts w:hint="eastAsia" w:ascii="Times New Roman" w:hAnsi="Times New Roman" w:eastAsia="仿宋_GB2312"/>
          <w:color w:val="000000"/>
          <w:sz w:val="30"/>
          <w:szCs w:val="30"/>
          <w:highlight w:val="none"/>
        </w:rPr>
        <w:t>进</w:t>
      </w:r>
      <w:r>
        <w:rPr>
          <w:rFonts w:ascii="Times New Roman" w:hAnsi="Times New Roman" w:eastAsia="仿宋_GB2312"/>
          <w:color w:val="000000"/>
          <w:sz w:val="30"/>
          <w:szCs w:val="30"/>
          <w:highlight w:val="none"/>
        </w:rPr>
        <w:t>度款支付证书说明已完全扣清止。</w:t>
      </w:r>
    </w:p>
    <w:p>
      <w:pPr>
        <w:spacing w:line="360" w:lineRule="auto"/>
        <w:ind w:firstLine="600" w:firstLineChars="200"/>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 xml:space="preserve">3. </w:t>
      </w:r>
      <w:r>
        <w:rPr>
          <w:rFonts w:ascii="Times New Roman" w:hAnsi="Times New Roman" w:eastAsia="仿宋_GB2312"/>
          <w:color w:val="000000"/>
          <w:sz w:val="30"/>
          <w:szCs w:val="30"/>
          <w:highlight w:val="none"/>
        </w:rPr>
        <w:t>在本保函有效期内，因承包人违反合同约定的义务而要求</w:t>
      </w:r>
      <w:r>
        <w:rPr>
          <w:rFonts w:hint="eastAsia" w:ascii="Times New Roman" w:hAnsi="Times New Roman" w:eastAsia="仿宋_GB2312"/>
          <w:color w:val="000000"/>
          <w:sz w:val="30"/>
          <w:szCs w:val="30"/>
          <w:highlight w:val="none"/>
        </w:rPr>
        <w:t>收</w:t>
      </w:r>
      <w:r>
        <w:rPr>
          <w:rFonts w:ascii="Times New Roman" w:hAnsi="Times New Roman" w:eastAsia="仿宋_GB2312"/>
          <w:color w:val="000000"/>
          <w:sz w:val="30"/>
          <w:szCs w:val="30"/>
          <w:highlight w:val="none"/>
        </w:rPr>
        <w:t>回预付款时，我方在收到你方的书面通知后，在７天内无条件支付。但本保函的担保金额，在任何时候不应超过预付款金额减去</w:t>
      </w:r>
      <w:r>
        <w:rPr>
          <w:rFonts w:hint="eastAsia" w:ascii="Times New Roman" w:hAnsi="Times New Roman" w:eastAsia="仿宋_GB2312"/>
          <w:color w:val="000000"/>
          <w:sz w:val="30"/>
          <w:szCs w:val="30"/>
          <w:highlight w:val="none"/>
        </w:rPr>
        <w:t>你方</w:t>
      </w:r>
      <w:r>
        <w:rPr>
          <w:rFonts w:ascii="Times New Roman" w:hAnsi="Times New Roman" w:eastAsia="仿宋_GB2312"/>
          <w:color w:val="000000"/>
          <w:sz w:val="30"/>
          <w:szCs w:val="30"/>
          <w:highlight w:val="none"/>
        </w:rPr>
        <w:t>按合同约定在向承包人签发的进度款支付证书中扣除的金额。</w:t>
      </w:r>
    </w:p>
    <w:p>
      <w:pPr>
        <w:spacing w:line="360" w:lineRule="auto"/>
        <w:ind w:firstLine="600" w:firstLineChars="200"/>
        <w:rPr>
          <w:rFonts w:hint="eastAsia"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4. 你方</w:t>
      </w:r>
      <w:r>
        <w:rPr>
          <w:rFonts w:ascii="Times New Roman" w:hAnsi="Times New Roman" w:eastAsia="仿宋_GB2312"/>
          <w:color w:val="000000"/>
          <w:sz w:val="30"/>
          <w:szCs w:val="30"/>
          <w:highlight w:val="none"/>
        </w:rPr>
        <w:t>和承包人按合同约定变更合同时，我方承担本保函规定的义务不变。</w:t>
      </w:r>
    </w:p>
    <w:p>
      <w:pPr>
        <w:spacing w:line="360" w:lineRule="auto"/>
        <w:ind w:firstLine="600" w:firstLineChars="200"/>
        <w:jc w:val="left"/>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 xml:space="preserve">5. </w:t>
      </w:r>
      <w:r>
        <w:rPr>
          <w:rFonts w:ascii="Times New Roman" w:hAnsi="Times New Roman" w:eastAsia="仿宋_GB2312"/>
          <w:color w:val="000000"/>
          <w:sz w:val="30"/>
          <w:szCs w:val="30"/>
          <w:highlight w:val="none"/>
        </w:rPr>
        <w:t>因本保函发生的纠纷，可由双方协商解决，协商不成的，任何一方均可提请</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仲裁委员会仲裁。</w:t>
      </w:r>
    </w:p>
    <w:p>
      <w:pPr>
        <w:spacing w:line="360" w:lineRule="auto"/>
        <w:ind w:firstLine="600" w:firstLineChars="200"/>
        <w:jc w:val="left"/>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 xml:space="preserve">6. </w:t>
      </w:r>
      <w:r>
        <w:rPr>
          <w:rFonts w:ascii="Times New Roman" w:hAnsi="Times New Roman" w:eastAsia="仿宋_GB2312"/>
          <w:color w:val="000000"/>
          <w:sz w:val="30"/>
          <w:szCs w:val="30"/>
          <w:highlight w:val="none"/>
        </w:rPr>
        <w:t>本保函自我方法定代表人（或其授权代理人）签字并加盖公章之日起生效。</w:t>
      </w:r>
    </w:p>
    <w:p>
      <w:pPr>
        <w:spacing w:line="360" w:lineRule="auto"/>
        <w:rPr>
          <w:rFonts w:hint="eastAsia" w:ascii="Times New Roman" w:hAnsi="Times New Roman" w:eastAsia="仿宋_GB2312"/>
          <w:color w:val="000000"/>
          <w:sz w:val="30"/>
          <w:szCs w:val="30"/>
          <w:highlight w:val="none"/>
        </w:rPr>
      </w:pPr>
    </w:p>
    <w:p>
      <w:pPr>
        <w:spacing w:line="360" w:lineRule="auto"/>
        <w:rPr>
          <w:rFonts w:hint="eastAsia" w:ascii="Times New Roman" w:hAnsi="Times New Roman" w:eastAsia="仿宋_GB2312"/>
          <w:color w:val="000000"/>
          <w:sz w:val="30"/>
          <w:szCs w:val="30"/>
          <w:highlight w:val="none"/>
        </w:rPr>
      </w:pP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担保人：</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（盖单位章）</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法定代表人或其委托代理人：</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（签字）</w:t>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地    址：</w:t>
      </w:r>
      <w:r>
        <w:rPr>
          <w:rFonts w:ascii="Times New Roman" w:hAnsi="Times New Roman" w:eastAsia="仿宋_GB2312"/>
          <w:color w:val="000000"/>
          <w:sz w:val="30"/>
          <w:szCs w:val="30"/>
          <w:highlight w:val="none"/>
          <w:u w:val="single"/>
        </w:rPr>
        <w:tab/>
      </w:r>
      <w:r>
        <w:rPr>
          <w:rFonts w:ascii="Times New Roman" w:hAnsi="Times New Roman" w:eastAsia="仿宋_GB2312"/>
          <w:color w:val="000000"/>
          <w:sz w:val="30"/>
          <w:szCs w:val="30"/>
          <w:highlight w:val="none"/>
          <w:u w:val="single"/>
        </w:rPr>
        <w:tab/>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ab/>
      </w:r>
      <w:r>
        <w:rPr>
          <w:rFonts w:ascii="Times New Roman" w:hAnsi="Times New Roman" w:eastAsia="仿宋_GB2312"/>
          <w:color w:val="000000"/>
          <w:sz w:val="30"/>
          <w:szCs w:val="30"/>
          <w:highlight w:val="none"/>
          <w:u w:val="single"/>
        </w:rPr>
        <w:tab/>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ab/>
      </w:r>
      <w:r>
        <w:rPr>
          <w:rFonts w:ascii="Times New Roman" w:hAnsi="Times New Roman" w:eastAsia="仿宋_GB2312"/>
          <w:color w:val="000000"/>
          <w:sz w:val="30"/>
          <w:szCs w:val="30"/>
          <w:highlight w:val="none"/>
          <w:u w:val="single"/>
        </w:rPr>
        <w:tab/>
      </w:r>
      <w:r>
        <w:rPr>
          <w:rFonts w:ascii="Times New Roman" w:hAnsi="Times New Roman" w:eastAsia="仿宋_GB2312"/>
          <w:color w:val="000000"/>
          <w:sz w:val="30"/>
          <w:szCs w:val="30"/>
          <w:highlight w:val="none"/>
          <w:u w:val="single"/>
        </w:rPr>
        <w:tab/>
      </w:r>
    </w:p>
    <w:p>
      <w:pPr>
        <w:spacing w:line="360" w:lineRule="auto"/>
        <w:rPr>
          <w:rFonts w:ascii="Times New Roman" w:hAnsi="Times New Roman" w:eastAsia="仿宋_GB2312"/>
          <w:color w:val="000000"/>
          <w:sz w:val="30"/>
          <w:szCs w:val="30"/>
          <w:highlight w:val="none"/>
          <w:u w:val="single"/>
        </w:rPr>
      </w:pPr>
      <w:r>
        <w:rPr>
          <w:rFonts w:ascii="Times New Roman" w:hAnsi="Times New Roman" w:eastAsia="仿宋_GB2312"/>
          <w:color w:val="000000"/>
          <w:sz w:val="30"/>
          <w:szCs w:val="30"/>
          <w:highlight w:val="none"/>
        </w:rPr>
        <w:t>邮政编码：</w:t>
      </w:r>
      <w:r>
        <w:rPr>
          <w:rFonts w:ascii="Times New Roman" w:hAnsi="Times New Roman" w:eastAsia="仿宋_GB2312"/>
          <w:color w:val="000000"/>
          <w:sz w:val="30"/>
          <w:szCs w:val="30"/>
          <w:highlight w:val="none"/>
          <w:u w:val="single"/>
        </w:rPr>
        <w:tab/>
      </w:r>
      <w:r>
        <w:rPr>
          <w:rFonts w:ascii="Times New Roman" w:hAnsi="Times New Roman" w:eastAsia="仿宋_GB2312"/>
          <w:color w:val="000000"/>
          <w:sz w:val="30"/>
          <w:szCs w:val="30"/>
          <w:highlight w:val="none"/>
          <w:u w:val="single"/>
        </w:rPr>
        <w:tab/>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ab/>
      </w:r>
      <w:r>
        <w:rPr>
          <w:rFonts w:ascii="Times New Roman" w:hAnsi="Times New Roman" w:eastAsia="仿宋_GB2312"/>
          <w:color w:val="000000"/>
          <w:sz w:val="30"/>
          <w:szCs w:val="30"/>
          <w:highlight w:val="none"/>
          <w:u w:val="single"/>
        </w:rPr>
        <w:tab/>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ab/>
      </w:r>
      <w:r>
        <w:rPr>
          <w:rFonts w:ascii="Times New Roman" w:hAnsi="Times New Roman" w:eastAsia="仿宋_GB2312"/>
          <w:color w:val="000000"/>
          <w:sz w:val="30"/>
          <w:szCs w:val="30"/>
          <w:highlight w:val="none"/>
          <w:u w:val="single"/>
        </w:rPr>
        <w:tab/>
      </w:r>
      <w:r>
        <w:rPr>
          <w:rFonts w:ascii="Times New Roman" w:hAnsi="Times New Roman" w:eastAsia="仿宋_GB2312"/>
          <w:color w:val="000000"/>
          <w:sz w:val="30"/>
          <w:szCs w:val="30"/>
          <w:highlight w:val="none"/>
          <w:u w:val="single"/>
        </w:rPr>
        <w:tab/>
      </w:r>
    </w:p>
    <w:p>
      <w:pPr>
        <w:spacing w:line="360" w:lineRule="auto"/>
        <w:rPr>
          <w:rFonts w:ascii="Times New Roman" w:hAnsi="Times New Roman" w:eastAsia="仿宋_GB2312"/>
          <w:color w:val="000000"/>
          <w:sz w:val="30"/>
          <w:szCs w:val="30"/>
          <w:highlight w:val="none"/>
          <w:u w:val="single"/>
        </w:rPr>
      </w:pPr>
      <w:r>
        <w:rPr>
          <w:rFonts w:ascii="Times New Roman" w:hAnsi="Times New Roman" w:eastAsia="仿宋_GB2312"/>
          <w:color w:val="000000"/>
          <w:sz w:val="30"/>
          <w:szCs w:val="30"/>
          <w:highlight w:val="none"/>
        </w:rPr>
        <w:t>电    话：</w:t>
      </w:r>
      <w:r>
        <w:rPr>
          <w:rFonts w:ascii="Times New Roman" w:hAnsi="Times New Roman" w:eastAsia="仿宋_GB2312"/>
          <w:color w:val="000000"/>
          <w:sz w:val="30"/>
          <w:szCs w:val="30"/>
          <w:highlight w:val="none"/>
          <w:u w:val="single"/>
        </w:rPr>
        <w:tab/>
      </w:r>
      <w:r>
        <w:rPr>
          <w:rFonts w:ascii="Times New Roman" w:hAnsi="Times New Roman" w:eastAsia="仿宋_GB2312"/>
          <w:color w:val="000000"/>
          <w:sz w:val="30"/>
          <w:szCs w:val="30"/>
          <w:highlight w:val="none"/>
          <w:u w:val="single"/>
        </w:rPr>
        <w:tab/>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ab/>
      </w:r>
      <w:r>
        <w:rPr>
          <w:rFonts w:ascii="Times New Roman" w:hAnsi="Times New Roman" w:eastAsia="仿宋_GB2312"/>
          <w:color w:val="000000"/>
          <w:sz w:val="30"/>
          <w:szCs w:val="30"/>
          <w:highlight w:val="none"/>
          <w:u w:val="single"/>
        </w:rPr>
        <w:tab/>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ab/>
      </w:r>
      <w:r>
        <w:rPr>
          <w:rFonts w:ascii="Times New Roman" w:hAnsi="Times New Roman" w:eastAsia="仿宋_GB2312"/>
          <w:color w:val="000000"/>
          <w:sz w:val="30"/>
          <w:szCs w:val="30"/>
          <w:highlight w:val="none"/>
          <w:u w:val="single"/>
        </w:rPr>
        <w:tab/>
      </w:r>
      <w:r>
        <w:rPr>
          <w:rFonts w:ascii="Times New Roman" w:hAnsi="Times New Roman" w:eastAsia="仿宋_GB2312"/>
          <w:color w:val="000000"/>
          <w:sz w:val="30"/>
          <w:szCs w:val="30"/>
          <w:highlight w:val="none"/>
          <w:u w:val="single"/>
        </w:rPr>
        <w:tab/>
      </w:r>
    </w:p>
    <w:p>
      <w:pPr>
        <w:spacing w:line="360" w:lineRule="auto"/>
        <w:rPr>
          <w:rFonts w:ascii="Times New Roman" w:hAnsi="Times New Roman" w:eastAsia="仿宋_GB2312"/>
          <w:color w:val="000000"/>
          <w:sz w:val="30"/>
          <w:szCs w:val="30"/>
          <w:highlight w:val="none"/>
          <w:u w:val="single"/>
        </w:rPr>
      </w:pPr>
      <w:r>
        <w:rPr>
          <w:rFonts w:ascii="Times New Roman" w:hAnsi="Times New Roman" w:eastAsia="仿宋_GB2312"/>
          <w:color w:val="000000"/>
          <w:sz w:val="30"/>
          <w:szCs w:val="30"/>
          <w:highlight w:val="none"/>
        </w:rPr>
        <w:t>传    真：</w:t>
      </w:r>
      <w:r>
        <w:rPr>
          <w:rFonts w:ascii="Times New Roman" w:hAnsi="Times New Roman" w:eastAsia="仿宋_GB2312"/>
          <w:color w:val="000000"/>
          <w:sz w:val="30"/>
          <w:szCs w:val="30"/>
          <w:highlight w:val="none"/>
          <w:u w:val="single"/>
        </w:rPr>
        <w:tab/>
      </w:r>
      <w:r>
        <w:rPr>
          <w:rFonts w:ascii="Times New Roman" w:hAnsi="Times New Roman" w:eastAsia="仿宋_GB2312"/>
          <w:color w:val="000000"/>
          <w:sz w:val="30"/>
          <w:szCs w:val="30"/>
          <w:highlight w:val="none"/>
          <w:u w:val="single"/>
        </w:rPr>
        <w:tab/>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ab/>
      </w:r>
      <w:r>
        <w:rPr>
          <w:rFonts w:ascii="Times New Roman" w:hAnsi="Times New Roman" w:eastAsia="仿宋_GB2312"/>
          <w:color w:val="000000"/>
          <w:sz w:val="30"/>
          <w:szCs w:val="30"/>
          <w:highlight w:val="none"/>
          <w:u w:val="single"/>
        </w:rPr>
        <w:tab/>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ab/>
      </w:r>
      <w:r>
        <w:rPr>
          <w:rFonts w:ascii="Times New Roman" w:hAnsi="Times New Roman" w:eastAsia="仿宋_GB2312"/>
          <w:color w:val="000000"/>
          <w:sz w:val="30"/>
          <w:szCs w:val="30"/>
          <w:highlight w:val="none"/>
          <w:u w:val="single"/>
        </w:rPr>
        <w:tab/>
      </w:r>
      <w:r>
        <w:rPr>
          <w:rFonts w:ascii="Times New Roman" w:hAnsi="Times New Roman" w:eastAsia="仿宋_GB2312"/>
          <w:color w:val="000000"/>
          <w:sz w:val="30"/>
          <w:szCs w:val="30"/>
          <w:highlight w:val="none"/>
          <w:u w:val="single"/>
        </w:rPr>
        <w:tab/>
      </w: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 xml:space="preserve">  </w:t>
      </w:r>
    </w:p>
    <w:p>
      <w:pPr>
        <w:spacing w:line="360" w:lineRule="auto"/>
        <w:rPr>
          <w:rFonts w:ascii="Times New Roman" w:hAnsi="Times New Roman" w:eastAsia="仿宋_GB2312"/>
          <w:color w:val="000000"/>
          <w:sz w:val="30"/>
          <w:szCs w:val="30"/>
          <w:highlight w:val="none"/>
          <w:u w:val="single"/>
        </w:rPr>
      </w:pPr>
    </w:p>
    <w:p>
      <w:pPr>
        <w:spacing w:line="360" w:lineRule="auto"/>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年</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月</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日</w:t>
      </w:r>
    </w:p>
    <w:p>
      <w:pPr>
        <w:spacing w:line="440" w:lineRule="exact"/>
        <w:rPr>
          <w:rFonts w:ascii="Times New Roman" w:hAnsi="Times New Roman" w:eastAsia="黑体"/>
          <w:color w:val="000000"/>
          <w:sz w:val="30"/>
          <w:szCs w:val="30"/>
          <w:highlight w:val="none"/>
        </w:rPr>
      </w:pPr>
      <w:r>
        <w:rPr>
          <w:rFonts w:ascii="Times New Roman" w:hAnsi="Times New Roman" w:eastAsia="仿宋_GB2312"/>
          <w:b/>
          <w:color w:val="000000"/>
          <w:sz w:val="30"/>
          <w:szCs w:val="30"/>
          <w:highlight w:val="none"/>
        </w:rPr>
        <w:br w:type="page"/>
      </w:r>
      <w:r>
        <w:rPr>
          <w:rFonts w:ascii="Times New Roman" w:hAnsi="Times New Roman" w:eastAsia="仿宋_GB2312"/>
          <w:color w:val="000000"/>
          <w:sz w:val="30"/>
          <w:szCs w:val="30"/>
          <w:highlight w:val="none"/>
        </w:rPr>
        <w:t>附</w:t>
      </w:r>
      <w:bookmarkStart w:id="1706" w:name="_Toc296891273"/>
      <w:bookmarkStart w:id="1707" w:name="_Toc296503233"/>
      <w:bookmarkStart w:id="1708" w:name="_Toc296891061"/>
      <w:bookmarkStart w:id="1709" w:name="_Toc296944572"/>
      <w:bookmarkStart w:id="1710" w:name="_Toc296346734"/>
      <w:bookmarkStart w:id="1711" w:name="_Toc296347232"/>
      <w:r>
        <w:rPr>
          <w:rFonts w:ascii="Times New Roman" w:hAnsi="Times New Roman" w:eastAsia="仿宋_GB2312"/>
          <w:color w:val="000000"/>
          <w:sz w:val="30"/>
          <w:szCs w:val="30"/>
          <w:highlight w:val="none"/>
        </w:rPr>
        <w:t xml:space="preserve">件10: </w:t>
      </w:r>
      <w:r>
        <w:rPr>
          <w:rFonts w:ascii="Times New Roman" w:hAnsi="Times New Roman" w:eastAsia="黑体"/>
          <w:color w:val="000000"/>
          <w:sz w:val="30"/>
          <w:szCs w:val="30"/>
          <w:highlight w:val="none"/>
        </w:rPr>
        <w:t xml:space="preserve"> </w:t>
      </w:r>
    </w:p>
    <w:bookmarkEnd w:id="1706"/>
    <w:bookmarkEnd w:id="1707"/>
    <w:bookmarkEnd w:id="1708"/>
    <w:bookmarkEnd w:id="1709"/>
    <w:bookmarkEnd w:id="1710"/>
    <w:bookmarkEnd w:id="1711"/>
    <w:p>
      <w:pPr>
        <w:spacing w:before="156" w:beforeLines="50" w:after="156" w:afterLines="50" w:line="440" w:lineRule="exact"/>
        <w:jc w:val="center"/>
        <w:rPr>
          <w:rFonts w:ascii="Times New Roman" w:hAnsi="Times New Roman" w:eastAsia="黑体"/>
          <w:color w:val="000000"/>
          <w:sz w:val="30"/>
          <w:szCs w:val="30"/>
          <w:highlight w:val="none"/>
        </w:rPr>
      </w:pPr>
      <w:r>
        <w:rPr>
          <w:rFonts w:ascii="Times New Roman" w:hAnsi="Times New Roman" w:eastAsia="黑体"/>
          <w:color w:val="000000"/>
          <w:sz w:val="30"/>
          <w:szCs w:val="30"/>
          <w:highlight w:val="none"/>
        </w:rPr>
        <w:t>支付担保</w:t>
      </w:r>
    </w:p>
    <w:p>
      <w:pPr>
        <w:spacing w:line="440" w:lineRule="exact"/>
        <w:jc w:val="left"/>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（承包人）：</w:t>
      </w:r>
    </w:p>
    <w:p>
      <w:pPr>
        <w:spacing w:line="440" w:lineRule="exact"/>
        <w:jc w:val="left"/>
        <w:rPr>
          <w:rFonts w:ascii="Times New Roman" w:hAnsi="Times New Roman" w:eastAsia="仿宋_GB2312"/>
          <w:color w:val="000000"/>
          <w:sz w:val="30"/>
          <w:szCs w:val="30"/>
          <w:highlight w:val="none"/>
        </w:rPr>
      </w:pPr>
    </w:p>
    <w:p>
      <w:pPr>
        <w:spacing w:line="360" w:lineRule="auto"/>
        <w:ind w:firstLine="600" w:firstLineChars="200"/>
        <w:jc w:val="left"/>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鉴于你方作为承包人已经与</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（发包人名称）（以下称</w:t>
      </w:r>
      <w:r>
        <w:rPr>
          <w:rFonts w:hint="eastAsia" w:ascii="Times New Roman" w:hAnsi="Times New Roman" w:eastAsia="仿宋_GB2312"/>
          <w:color w:val="000000"/>
          <w:sz w:val="30"/>
          <w:szCs w:val="30"/>
          <w:highlight w:val="none"/>
        </w:rPr>
        <w:t>“</w:t>
      </w:r>
      <w:r>
        <w:rPr>
          <w:rFonts w:ascii="Times New Roman" w:hAnsi="Times New Roman" w:eastAsia="仿宋_GB2312"/>
          <w:color w:val="000000"/>
          <w:sz w:val="30"/>
          <w:szCs w:val="30"/>
          <w:highlight w:val="none"/>
        </w:rPr>
        <w:t>发包人</w:t>
      </w:r>
      <w:r>
        <w:rPr>
          <w:rFonts w:hint="eastAsia" w:ascii="Times New Roman" w:hAnsi="Times New Roman" w:eastAsia="仿宋_GB2312"/>
          <w:color w:val="000000"/>
          <w:sz w:val="30"/>
          <w:szCs w:val="30"/>
          <w:highlight w:val="none"/>
        </w:rPr>
        <w:t>”</w:t>
      </w:r>
      <w:r>
        <w:rPr>
          <w:rFonts w:ascii="Times New Roman" w:hAnsi="Times New Roman" w:eastAsia="仿宋_GB2312"/>
          <w:color w:val="000000"/>
          <w:sz w:val="30"/>
          <w:szCs w:val="30"/>
          <w:highlight w:val="none"/>
        </w:rPr>
        <w:t>）于</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年</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月</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日签订了</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（工程名称）《建设工程施工合同》（以下称</w:t>
      </w:r>
      <w:r>
        <w:rPr>
          <w:rFonts w:hint="eastAsia" w:ascii="Times New Roman" w:hAnsi="Times New Roman" w:eastAsia="仿宋_GB2312"/>
          <w:color w:val="000000"/>
          <w:sz w:val="30"/>
          <w:szCs w:val="30"/>
          <w:highlight w:val="none"/>
        </w:rPr>
        <w:t>“</w:t>
      </w:r>
      <w:r>
        <w:rPr>
          <w:rFonts w:ascii="Times New Roman" w:hAnsi="Times New Roman" w:eastAsia="仿宋_GB2312"/>
          <w:color w:val="000000"/>
          <w:sz w:val="30"/>
          <w:szCs w:val="30"/>
          <w:highlight w:val="none"/>
        </w:rPr>
        <w:t>主合同</w:t>
      </w:r>
      <w:r>
        <w:rPr>
          <w:rFonts w:hint="eastAsia" w:ascii="Times New Roman" w:hAnsi="Times New Roman" w:eastAsia="仿宋_GB2312"/>
          <w:color w:val="000000"/>
          <w:sz w:val="30"/>
          <w:szCs w:val="30"/>
          <w:highlight w:val="none"/>
        </w:rPr>
        <w:t>”</w:t>
      </w:r>
      <w:r>
        <w:rPr>
          <w:rFonts w:ascii="Times New Roman" w:hAnsi="Times New Roman" w:eastAsia="仿宋_GB2312"/>
          <w:color w:val="000000"/>
          <w:sz w:val="30"/>
          <w:szCs w:val="30"/>
          <w:highlight w:val="none"/>
        </w:rPr>
        <w:t>），应发包人的申请，我方愿就发包人履行主合同约定的工程款支付义务以保证的方式向你方提供如下担保：</w:t>
      </w:r>
    </w:p>
    <w:p>
      <w:pPr>
        <w:spacing w:line="360" w:lineRule="auto"/>
        <w:ind w:firstLine="600" w:firstLineChars="200"/>
        <w:jc w:val="left"/>
        <w:outlineLvl w:val="0"/>
        <w:rPr>
          <w:rFonts w:ascii="Times New Roman" w:hAnsi="Times New Roman" w:eastAsia="黑体"/>
          <w:color w:val="000000"/>
          <w:sz w:val="30"/>
          <w:szCs w:val="30"/>
          <w:highlight w:val="none"/>
        </w:rPr>
      </w:pPr>
      <w:bookmarkStart w:id="1712" w:name="_Toc9748"/>
      <w:bookmarkStart w:id="1713" w:name="_Toc9529"/>
      <w:bookmarkStart w:id="1714" w:name="_Toc3002"/>
      <w:bookmarkStart w:id="1715" w:name="_Toc10653"/>
      <w:r>
        <w:rPr>
          <w:rFonts w:ascii="Times New Roman" w:hAnsi="Times New Roman" w:eastAsia="黑体"/>
          <w:color w:val="000000"/>
          <w:sz w:val="30"/>
          <w:szCs w:val="30"/>
          <w:highlight w:val="none"/>
        </w:rPr>
        <w:t>一、保证的范围及保证金额</w:t>
      </w:r>
      <w:bookmarkEnd w:id="1712"/>
      <w:bookmarkEnd w:id="1713"/>
      <w:bookmarkEnd w:id="1714"/>
      <w:bookmarkEnd w:id="1715"/>
    </w:p>
    <w:p>
      <w:pPr>
        <w:spacing w:line="360" w:lineRule="auto"/>
        <w:ind w:firstLine="600" w:firstLineChars="200"/>
        <w:jc w:val="left"/>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 xml:space="preserve">1. </w:t>
      </w:r>
      <w:r>
        <w:rPr>
          <w:rFonts w:ascii="Times New Roman" w:hAnsi="Times New Roman" w:eastAsia="仿宋_GB2312"/>
          <w:color w:val="000000"/>
          <w:sz w:val="30"/>
          <w:szCs w:val="30"/>
          <w:highlight w:val="none"/>
        </w:rPr>
        <w:t>我方的保证范围是主合同约定的工程款。</w:t>
      </w:r>
    </w:p>
    <w:p>
      <w:pPr>
        <w:spacing w:line="360" w:lineRule="auto"/>
        <w:ind w:firstLine="600" w:firstLineChars="200"/>
        <w:jc w:val="left"/>
        <w:rPr>
          <w:rFonts w:hint="eastAsia"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 xml:space="preserve">2. </w:t>
      </w:r>
      <w:r>
        <w:rPr>
          <w:rFonts w:ascii="Times New Roman" w:hAnsi="Times New Roman" w:eastAsia="仿宋_GB2312"/>
          <w:color w:val="000000"/>
          <w:sz w:val="30"/>
          <w:szCs w:val="30"/>
          <w:highlight w:val="none"/>
        </w:rPr>
        <w:t>本保函所称主合同约定的工程款是指主合同约定的除工程质量保证金以外的合同价款。</w:t>
      </w:r>
    </w:p>
    <w:p>
      <w:pPr>
        <w:spacing w:line="360" w:lineRule="auto"/>
        <w:ind w:firstLine="600" w:firstLineChars="200"/>
        <w:jc w:val="left"/>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 xml:space="preserve">3. </w:t>
      </w:r>
      <w:r>
        <w:rPr>
          <w:rFonts w:ascii="Times New Roman" w:hAnsi="Times New Roman" w:eastAsia="仿宋_GB2312"/>
          <w:color w:val="000000"/>
          <w:sz w:val="30"/>
          <w:szCs w:val="30"/>
          <w:highlight w:val="none"/>
        </w:rPr>
        <w:t>我方保证的金额是主合同约定的工程款的</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%，数额最高不超过人民币元（大写：</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w:t>
      </w:r>
    </w:p>
    <w:p>
      <w:pPr>
        <w:spacing w:line="360" w:lineRule="auto"/>
        <w:ind w:firstLine="600" w:firstLineChars="200"/>
        <w:jc w:val="left"/>
        <w:outlineLvl w:val="0"/>
        <w:rPr>
          <w:rFonts w:ascii="Times New Roman" w:hAnsi="Times New Roman" w:eastAsia="黑体"/>
          <w:color w:val="000000"/>
          <w:sz w:val="30"/>
          <w:szCs w:val="30"/>
          <w:highlight w:val="none"/>
        </w:rPr>
      </w:pPr>
      <w:bookmarkStart w:id="1716" w:name="_Toc31860"/>
      <w:bookmarkStart w:id="1717" w:name="_Toc32076"/>
      <w:bookmarkStart w:id="1718" w:name="_Toc6819"/>
      <w:bookmarkStart w:id="1719" w:name="_Toc10729"/>
      <w:r>
        <w:rPr>
          <w:rFonts w:ascii="Times New Roman" w:hAnsi="Times New Roman" w:eastAsia="黑体"/>
          <w:color w:val="000000"/>
          <w:sz w:val="30"/>
          <w:szCs w:val="30"/>
          <w:highlight w:val="none"/>
        </w:rPr>
        <w:t>二、保证的方式及保证期间</w:t>
      </w:r>
      <w:bookmarkEnd w:id="1716"/>
      <w:bookmarkEnd w:id="1717"/>
      <w:bookmarkEnd w:id="1718"/>
      <w:bookmarkEnd w:id="1719"/>
    </w:p>
    <w:p>
      <w:pPr>
        <w:spacing w:line="360" w:lineRule="auto"/>
        <w:ind w:firstLine="600" w:firstLineChars="200"/>
        <w:jc w:val="left"/>
        <w:rPr>
          <w:rFonts w:hint="eastAsia"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 xml:space="preserve">1. </w:t>
      </w:r>
      <w:r>
        <w:rPr>
          <w:rFonts w:ascii="Times New Roman" w:hAnsi="Times New Roman" w:eastAsia="仿宋_GB2312"/>
          <w:color w:val="000000"/>
          <w:sz w:val="30"/>
          <w:szCs w:val="30"/>
          <w:highlight w:val="none"/>
        </w:rPr>
        <w:t>我方保证的方式为：连带责任保证。</w:t>
      </w:r>
    </w:p>
    <w:p>
      <w:pPr>
        <w:spacing w:line="360" w:lineRule="auto"/>
        <w:ind w:firstLine="600" w:firstLineChars="200"/>
        <w:jc w:val="left"/>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 xml:space="preserve">2. </w:t>
      </w:r>
      <w:r>
        <w:rPr>
          <w:rFonts w:ascii="Times New Roman" w:hAnsi="Times New Roman" w:eastAsia="仿宋_GB2312"/>
          <w:color w:val="000000"/>
          <w:sz w:val="30"/>
          <w:szCs w:val="30"/>
          <w:highlight w:val="none"/>
        </w:rPr>
        <w:t>我方保证的期间为：自本合同生效之日起至主合同约定的工程款支付完毕之日后</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日内。</w:t>
      </w:r>
    </w:p>
    <w:p>
      <w:pPr>
        <w:spacing w:line="360" w:lineRule="auto"/>
        <w:ind w:firstLine="600" w:firstLineChars="200"/>
        <w:jc w:val="left"/>
        <w:rPr>
          <w:rFonts w:hint="eastAsia"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 xml:space="preserve">3. </w:t>
      </w:r>
      <w:r>
        <w:rPr>
          <w:rFonts w:ascii="Times New Roman" w:hAnsi="Times New Roman" w:eastAsia="仿宋_GB2312"/>
          <w:color w:val="000000"/>
          <w:sz w:val="30"/>
          <w:szCs w:val="30"/>
          <w:highlight w:val="none"/>
        </w:rPr>
        <w:t>你方与发包人协议变更工程款支付日期的，经我方书面同意后，保证期间按照变更后的支付日期做相应调整。</w:t>
      </w:r>
    </w:p>
    <w:p>
      <w:pPr>
        <w:spacing w:line="360" w:lineRule="auto"/>
        <w:ind w:firstLine="600" w:firstLineChars="200"/>
        <w:jc w:val="left"/>
        <w:outlineLvl w:val="0"/>
        <w:rPr>
          <w:rFonts w:ascii="Times New Roman" w:hAnsi="Times New Roman" w:eastAsia="黑体"/>
          <w:color w:val="000000"/>
          <w:sz w:val="30"/>
          <w:szCs w:val="30"/>
          <w:highlight w:val="none"/>
        </w:rPr>
      </w:pPr>
      <w:bookmarkStart w:id="1720" w:name="_Toc27125"/>
      <w:bookmarkStart w:id="1721" w:name="_Toc28734"/>
      <w:bookmarkStart w:id="1722" w:name="_Toc667"/>
      <w:bookmarkStart w:id="1723" w:name="_Toc25245"/>
      <w:r>
        <w:rPr>
          <w:rFonts w:ascii="Times New Roman" w:hAnsi="Times New Roman" w:eastAsia="黑体"/>
          <w:color w:val="000000"/>
          <w:sz w:val="30"/>
          <w:szCs w:val="30"/>
          <w:highlight w:val="none"/>
        </w:rPr>
        <w:t>三、承担保证责任的形式</w:t>
      </w:r>
      <w:bookmarkEnd w:id="1720"/>
      <w:bookmarkEnd w:id="1721"/>
      <w:bookmarkEnd w:id="1722"/>
      <w:bookmarkEnd w:id="1723"/>
    </w:p>
    <w:p>
      <w:pPr>
        <w:spacing w:line="360" w:lineRule="auto"/>
        <w:ind w:firstLine="600" w:firstLineChars="200"/>
        <w:jc w:val="left"/>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我方承担保证责任的形式是代为支付。发包人未按主合同约定向你方支付工程款的，由我方在保证金额内代为支付。</w:t>
      </w:r>
    </w:p>
    <w:p>
      <w:pPr>
        <w:spacing w:line="360" w:lineRule="auto"/>
        <w:ind w:firstLine="600" w:firstLineChars="200"/>
        <w:jc w:val="left"/>
        <w:outlineLvl w:val="0"/>
        <w:rPr>
          <w:rFonts w:ascii="Times New Roman" w:hAnsi="Times New Roman" w:eastAsia="黑体"/>
          <w:color w:val="000000"/>
          <w:sz w:val="30"/>
          <w:szCs w:val="30"/>
          <w:highlight w:val="none"/>
        </w:rPr>
      </w:pPr>
      <w:bookmarkStart w:id="1724" w:name="_Toc8074"/>
      <w:bookmarkStart w:id="1725" w:name="_Toc21433"/>
      <w:bookmarkStart w:id="1726" w:name="_Toc16954"/>
      <w:bookmarkStart w:id="1727" w:name="_Toc1709"/>
      <w:r>
        <w:rPr>
          <w:rFonts w:ascii="Times New Roman" w:hAnsi="Times New Roman" w:eastAsia="黑体"/>
          <w:color w:val="000000"/>
          <w:sz w:val="30"/>
          <w:szCs w:val="30"/>
          <w:highlight w:val="none"/>
        </w:rPr>
        <w:t>四、代偿的安排</w:t>
      </w:r>
      <w:bookmarkEnd w:id="1724"/>
      <w:bookmarkEnd w:id="1725"/>
      <w:bookmarkEnd w:id="1726"/>
      <w:bookmarkEnd w:id="1727"/>
    </w:p>
    <w:p>
      <w:pPr>
        <w:spacing w:line="360" w:lineRule="auto"/>
        <w:ind w:firstLine="600" w:firstLineChars="200"/>
        <w:jc w:val="left"/>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 xml:space="preserve">1. </w:t>
      </w:r>
      <w:r>
        <w:rPr>
          <w:rFonts w:ascii="Times New Roman" w:hAnsi="Times New Roman" w:eastAsia="仿宋_GB2312"/>
          <w:color w:val="000000"/>
          <w:sz w:val="30"/>
          <w:szCs w:val="30"/>
          <w:highlight w:val="none"/>
        </w:rPr>
        <w:t>你方要求我方承担保证责任的，应向我方发出书面索赔通知及发包人未支付主合同约定工程款的证明材料。索赔通知应写明要求索赔的金额，支付款项应到达的账号。</w:t>
      </w:r>
    </w:p>
    <w:p>
      <w:pPr>
        <w:spacing w:line="360" w:lineRule="auto"/>
        <w:ind w:firstLine="600" w:firstLineChars="200"/>
        <w:jc w:val="left"/>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 xml:space="preserve">2. </w:t>
      </w:r>
      <w:r>
        <w:rPr>
          <w:rFonts w:ascii="Times New Roman" w:hAnsi="Times New Roman" w:eastAsia="仿宋_GB2312"/>
          <w:color w:val="000000"/>
          <w:sz w:val="30"/>
          <w:szCs w:val="30"/>
          <w:highlight w:val="none"/>
        </w:rPr>
        <w:t>在出现你方与发包人因工程质量发生争议，发包人拒绝向你方支付工程款的情形时，你方要求我方履行保证责任代为支付的，需提供符合相应条件要求的工程质量检测机构出具的质量说明材料。</w:t>
      </w:r>
    </w:p>
    <w:p>
      <w:pPr>
        <w:spacing w:line="360" w:lineRule="auto"/>
        <w:ind w:firstLine="600" w:firstLineChars="200"/>
        <w:jc w:val="left"/>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 xml:space="preserve">3. </w:t>
      </w:r>
      <w:r>
        <w:rPr>
          <w:rFonts w:ascii="Times New Roman" w:hAnsi="Times New Roman" w:eastAsia="仿宋_GB2312"/>
          <w:color w:val="000000"/>
          <w:sz w:val="30"/>
          <w:szCs w:val="30"/>
          <w:highlight w:val="none"/>
        </w:rPr>
        <w:t>我方收到你方的书面索赔通知及相应的证明材料后７天内无条件支付。</w:t>
      </w:r>
    </w:p>
    <w:p>
      <w:pPr>
        <w:spacing w:line="360" w:lineRule="auto"/>
        <w:ind w:firstLine="600" w:firstLineChars="200"/>
        <w:jc w:val="left"/>
        <w:outlineLvl w:val="0"/>
        <w:rPr>
          <w:rFonts w:ascii="Times New Roman" w:hAnsi="Times New Roman" w:eastAsia="黑体"/>
          <w:color w:val="000000"/>
          <w:sz w:val="30"/>
          <w:szCs w:val="30"/>
          <w:highlight w:val="none"/>
        </w:rPr>
      </w:pPr>
      <w:bookmarkStart w:id="1728" w:name="_Toc22568"/>
      <w:bookmarkStart w:id="1729" w:name="_Toc27788"/>
      <w:bookmarkStart w:id="1730" w:name="_Toc15726"/>
      <w:bookmarkStart w:id="1731" w:name="_Toc30580"/>
      <w:r>
        <w:rPr>
          <w:rFonts w:ascii="Times New Roman" w:hAnsi="Times New Roman" w:eastAsia="黑体"/>
          <w:color w:val="000000"/>
          <w:sz w:val="30"/>
          <w:szCs w:val="30"/>
          <w:highlight w:val="none"/>
        </w:rPr>
        <w:t>五、保证责任的解除</w:t>
      </w:r>
      <w:bookmarkEnd w:id="1728"/>
      <w:bookmarkEnd w:id="1729"/>
      <w:bookmarkEnd w:id="1730"/>
      <w:bookmarkEnd w:id="1731"/>
    </w:p>
    <w:p>
      <w:pPr>
        <w:spacing w:line="360" w:lineRule="auto"/>
        <w:ind w:firstLine="600" w:firstLineChars="200"/>
        <w:jc w:val="left"/>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 xml:space="preserve">1. </w:t>
      </w:r>
      <w:r>
        <w:rPr>
          <w:rFonts w:ascii="Times New Roman" w:hAnsi="Times New Roman" w:eastAsia="仿宋_GB2312"/>
          <w:color w:val="000000"/>
          <w:sz w:val="30"/>
          <w:szCs w:val="30"/>
          <w:highlight w:val="none"/>
        </w:rPr>
        <w:t>在本保函承诺的保证期间内，你方未书面向我方主张保证责任的，自保证期间届满次日起，我方保证责任解除。</w:t>
      </w:r>
    </w:p>
    <w:p>
      <w:pPr>
        <w:spacing w:line="360" w:lineRule="auto"/>
        <w:ind w:firstLine="600" w:firstLineChars="200"/>
        <w:jc w:val="left"/>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 xml:space="preserve">2. </w:t>
      </w:r>
      <w:r>
        <w:rPr>
          <w:rFonts w:ascii="Times New Roman" w:hAnsi="Times New Roman" w:eastAsia="仿宋_GB2312"/>
          <w:color w:val="000000"/>
          <w:sz w:val="30"/>
          <w:szCs w:val="30"/>
          <w:highlight w:val="none"/>
        </w:rPr>
        <w:t>发包人按主合同约定履行了工程款的全部支付义务的，自本保函承诺的保证期间届满次日起，我方保证责任解除。</w:t>
      </w:r>
    </w:p>
    <w:p>
      <w:pPr>
        <w:spacing w:line="360" w:lineRule="auto"/>
        <w:ind w:firstLine="600" w:firstLineChars="200"/>
        <w:jc w:val="left"/>
        <w:rPr>
          <w:rFonts w:hint="eastAsia"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 xml:space="preserve">3. </w:t>
      </w:r>
      <w:r>
        <w:rPr>
          <w:rFonts w:ascii="Times New Roman" w:hAnsi="Times New Roman" w:eastAsia="仿宋_GB2312"/>
          <w:color w:val="000000"/>
          <w:sz w:val="30"/>
          <w:szCs w:val="30"/>
          <w:highlight w:val="none"/>
        </w:rPr>
        <w:t>我方按照本保函向你方履行保证责任所支付金额达到本保函保证金额时，自我方向你方支付（支付款项从我方账户划出）之日起，保证责任即解除。</w:t>
      </w:r>
    </w:p>
    <w:p>
      <w:pPr>
        <w:spacing w:line="360" w:lineRule="auto"/>
        <w:ind w:firstLine="600" w:firstLineChars="200"/>
        <w:jc w:val="left"/>
        <w:rPr>
          <w:rFonts w:hint="eastAsia"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 xml:space="preserve">4. </w:t>
      </w:r>
      <w:r>
        <w:rPr>
          <w:rFonts w:ascii="Times New Roman" w:hAnsi="Times New Roman" w:eastAsia="仿宋_GB2312"/>
          <w:color w:val="000000"/>
          <w:sz w:val="30"/>
          <w:szCs w:val="30"/>
          <w:highlight w:val="none"/>
        </w:rPr>
        <w:t>按照法律法规的规定或出现应解除我方保证责任的其他情形的，我方在本保函项下的保证责任亦解除。</w:t>
      </w:r>
    </w:p>
    <w:p>
      <w:pPr>
        <w:spacing w:line="360" w:lineRule="auto"/>
        <w:jc w:val="left"/>
        <w:rPr>
          <w:rFonts w:hint="eastAsia" w:ascii="Times New Roman" w:hAnsi="Times New Roman" w:eastAsia="仿宋_GB2312"/>
          <w:color w:val="000000"/>
          <w:sz w:val="30"/>
          <w:szCs w:val="30"/>
          <w:highlight w:val="none"/>
        </w:rPr>
      </w:pPr>
    </w:p>
    <w:p>
      <w:pPr>
        <w:spacing w:line="360" w:lineRule="auto"/>
        <w:ind w:firstLine="600" w:firstLineChars="200"/>
        <w:jc w:val="left"/>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 xml:space="preserve">5. </w:t>
      </w:r>
      <w:r>
        <w:rPr>
          <w:rFonts w:ascii="Times New Roman" w:hAnsi="Times New Roman" w:eastAsia="仿宋_GB2312"/>
          <w:color w:val="000000"/>
          <w:sz w:val="30"/>
          <w:szCs w:val="30"/>
          <w:highlight w:val="none"/>
        </w:rPr>
        <w:t>我方解除保证责任后，你方应自我方保证责任解除之日起</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个工作日内，将本保函原件返还我方。</w:t>
      </w:r>
    </w:p>
    <w:p>
      <w:pPr>
        <w:spacing w:line="360" w:lineRule="auto"/>
        <w:ind w:firstLine="600" w:firstLineChars="200"/>
        <w:jc w:val="left"/>
        <w:outlineLvl w:val="0"/>
        <w:rPr>
          <w:rFonts w:ascii="Times New Roman" w:hAnsi="Times New Roman" w:eastAsia="黑体"/>
          <w:color w:val="000000"/>
          <w:sz w:val="30"/>
          <w:szCs w:val="30"/>
          <w:highlight w:val="none"/>
        </w:rPr>
      </w:pPr>
      <w:bookmarkStart w:id="1732" w:name="_Toc15625"/>
      <w:bookmarkStart w:id="1733" w:name="_Toc695"/>
      <w:bookmarkStart w:id="1734" w:name="_Toc22642"/>
      <w:bookmarkStart w:id="1735" w:name="_Toc29220"/>
      <w:r>
        <w:rPr>
          <w:rFonts w:ascii="Times New Roman" w:hAnsi="Times New Roman" w:eastAsia="黑体"/>
          <w:color w:val="000000"/>
          <w:sz w:val="30"/>
          <w:szCs w:val="30"/>
          <w:highlight w:val="none"/>
        </w:rPr>
        <w:t>六、免责条款</w:t>
      </w:r>
      <w:bookmarkEnd w:id="1732"/>
      <w:bookmarkEnd w:id="1733"/>
      <w:bookmarkEnd w:id="1734"/>
      <w:bookmarkEnd w:id="1735"/>
    </w:p>
    <w:p>
      <w:pPr>
        <w:spacing w:line="360" w:lineRule="auto"/>
        <w:ind w:firstLine="600" w:firstLineChars="200"/>
        <w:jc w:val="left"/>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 xml:space="preserve">1. </w:t>
      </w:r>
      <w:r>
        <w:rPr>
          <w:rFonts w:ascii="Times New Roman" w:hAnsi="Times New Roman" w:eastAsia="仿宋_GB2312"/>
          <w:color w:val="000000"/>
          <w:sz w:val="30"/>
          <w:szCs w:val="30"/>
          <w:highlight w:val="none"/>
        </w:rPr>
        <w:t>因你方违约致使发包人不能履行义务的，我方不承担保证责任。</w:t>
      </w:r>
    </w:p>
    <w:p>
      <w:pPr>
        <w:spacing w:line="360" w:lineRule="auto"/>
        <w:ind w:firstLine="600" w:firstLineChars="200"/>
        <w:jc w:val="left"/>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 xml:space="preserve">2. </w:t>
      </w:r>
      <w:r>
        <w:rPr>
          <w:rFonts w:ascii="Times New Roman" w:hAnsi="Times New Roman" w:eastAsia="仿宋_GB2312"/>
          <w:color w:val="000000"/>
          <w:sz w:val="30"/>
          <w:szCs w:val="30"/>
          <w:highlight w:val="none"/>
        </w:rPr>
        <w:t>依照法律法规的规定或你方与发包人的另行约定，免除发包人部分或全部义务的，我方亦免除其相应的保证责任。</w:t>
      </w:r>
    </w:p>
    <w:p>
      <w:pPr>
        <w:spacing w:line="360" w:lineRule="auto"/>
        <w:ind w:firstLine="600" w:firstLineChars="200"/>
        <w:jc w:val="left"/>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 xml:space="preserve">3. </w:t>
      </w:r>
      <w:r>
        <w:rPr>
          <w:rFonts w:ascii="Times New Roman" w:hAnsi="Times New Roman" w:eastAsia="仿宋_GB2312"/>
          <w:color w:val="000000"/>
          <w:sz w:val="30"/>
          <w:szCs w:val="30"/>
          <w:highlight w:val="none"/>
        </w:rPr>
        <w:t>你方与发包人协议变更主合同的，如加重发包人责任致使我方保证责任加重的，需征得我方书面同意，否则我方不再承担因此而加重部分的保证责任，但主合同第10条</w:t>
      </w:r>
      <w:r>
        <w:rPr>
          <w:rFonts w:hint="eastAsia" w:ascii="Times New Roman" w:hAnsi="Times New Roman" w:eastAsia="仿宋_GB2312"/>
          <w:color w:val="000000"/>
          <w:sz w:val="30"/>
          <w:szCs w:val="30"/>
          <w:highlight w:val="none"/>
        </w:rPr>
        <w:t>〔</w:t>
      </w:r>
      <w:r>
        <w:rPr>
          <w:rFonts w:ascii="Times New Roman" w:hAnsi="Times New Roman" w:eastAsia="仿宋_GB2312"/>
          <w:color w:val="000000"/>
          <w:sz w:val="30"/>
          <w:szCs w:val="30"/>
          <w:highlight w:val="none"/>
        </w:rPr>
        <w:t>变更</w:t>
      </w:r>
      <w:r>
        <w:rPr>
          <w:rFonts w:hint="eastAsia" w:ascii="Times New Roman" w:hAnsi="Times New Roman" w:eastAsia="仿宋_GB2312"/>
          <w:color w:val="000000"/>
          <w:sz w:val="30"/>
          <w:szCs w:val="30"/>
          <w:highlight w:val="none"/>
        </w:rPr>
        <w:t>〕</w:t>
      </w:r>
      <w:r>
        <w:rPr>
          <w:rFonts w:ascii="Times New Roman" w:hAnsi="Times New Roman" w:eastAsia="仿宋_GB2312"/>
          <w:color w:val="000000"/>
          <w:sz w:val="30"/>
          <w:szCs w:val="30"/>
          <w:highlight w:val="none"/>
        </w:rPr>
        <w:t>约定的变更不受本款限制。</w:t>
      </w:r>
    </w:p>
    <w:p>
      <w:pPr>
        <w:spacing w:line="360" w:lineRule="auto"/>
        <w:ind w:firstLine="600" w:firstLineChars="200"/>
        <w:jc w:val="left"/>
        <w:rPr>
          <w:rFonts w:ascii="Times New Roman" w:hAnsi="Times New Roman" w:eastAsia="仿宋_GB2312"/>
          <w:color w:val="000000"/>
          <w:sz w:val="30"/>
          <w:szCs w:val="30"/>
          <w:highlight w:val="none"/>
        </w:rPr>
      </w:pPr>
      <w:r>
        <w:rPr>
          <w:rFonts w:hint="eastAsia" w:ascii="Times New Roman" w:hAnsi="Times New Roman" w:eastAsia="仿宋_GB2312"/>
          <w:color w:val="000000"/>
          <w:sz w:val="30"/>
          <w:szCs w:val="30"/>
          <w:highlight w:val="none"/>
        </w:rPr>
        <w:t xml:space="preserve">4. </w:t>
      </w:r>
      <w:r>
        <w:rPr>
          <w:rFonts w:ascii="Times New Roman" w:hAnsi="Times New Roman" w:eastAsia="仿宋_GB2312"/>
          <w:color w:val="000000"/>
          <w:sz w:val="30"/>
          <w:szCs w:val="30"/>
          <w:highlight w:val="none"/>
        </w:rPr>
        <w:t>因不可抗力造成发包人不能履行义务的，我方不承担保证责任。</w:t>
      </w:r>
    </w:p>
    <w:p>
      <w:pPr>
        <w:spacing w:line="360" w:lineRule="auto"/>
        <w:ind w:firstLine="600" w:firstLineChars="200"/>
        <w:jc w:val="left"/>
        <w:outlineLvl w:val="0"/>
        <w:rPr>
          <w:rFonts w:ascii="Times New Roman" w:hAnsi="Times New Roman" w:eastAsia="黑体"/>
          <w:color w:val="000000"/>
          <w:sz w:val="30"/>
          <w:szCs w:val="30"/>
          <w:highlight w:val="none"/>
        </w:rPr>
      </w:pPr>
      <w:bookmarkStart w:id="1736" w:name="_Toc23706"/>
      <w:bookmarkStart w:id="1737" w:name="_Toc25236"/>
      <w:bookmarkStart w:id="1738" w:name="_Toc13016"/>
      <w:bookmarkStart w:id="1739" w:name="_Toc24322"/>
      <w:r>
        <w:rPr>
          <w:rFonts w:ascii="Times New Roman" w:hAnsi="Times New Roman" w:eastAsia="黑体"/>
          <w:color w:val="000000"/>
          <w:sz w:val="30"/>
          <w:szCs w:val="30"/>
          <w:highlight w:val="none"/>
        </w:rPr>
        <w:t>七、争议解决</w:t>
      </w:r>
      <w:bookmarkEnd w:id="1736"/>
      <w:bookmarkEnd w:id="1737"/>
      <w:bookmarkEnd w:id="1738"/>
      <w:bookmarkEnd w:id="1739"/>
    </w:p>
    <w:p>
      <w:pPr>
        <w:spacing w:after="120" w:line="360" w:lineRule="auto"/>
        <w:ind w:firstLine="600" w:firstLineChars="200"/>
        <w:rPr>
          <w:rFonts w:ascii="Times New Roman" w:hAnsi="Times New Roman" w:eastAsia="黑体"/>
          <w:color w:val="000000"/>
          <w:sz w:val="30"/>
          <w:szCs w:val="32"/>
          <w:highlight w:val="none"/>
        </w:rPr>
      </w:pPr>
      <w:r>
        <w:rPr>
          <w:rFonts w:ascii="Times New Roman" w:hAnsi="Times New Roman" w:eastAsia="仿宋_GB2312"/>
          <w:color w:val="000000"/>
          <w:sz w:val="30"/>
          <w:szCs w:val="30"/>
          <w:highlight w:val="none"/>
        </w:rPr>
        <w:t>因本保函</w:t>
      </w:r>
      <w:r>
        <w:rPr>
          <w:rFonts w:hint="eastAsia" w:ascii="Times New Roman" w:hAnsi="Times New Roman" w:eastAsia="仿宋_GB2312"/>
          <w:color w:val="000000"/>
          <w:sz w:val="30"/>
          <w:szCs w:val="30"/>
          <w:highlight w:val="none"/>
        </w:rPr>
        <w:t>或本保函相关事项</w:t>
      </w:r>
      <w:r>
        <w:rPr>
          <w:rFonts w:ascii="Times New Roman" w:hAnsi="Times New Roman" w:eastAsia="仿宋_GB2312"/>
          <w:color w:val="000000"/>
          <w:sz w:val="30"/>
          <w:szCs w:val="30"/>
          <w:highlight w:val="none"/>
        </w:rPr>
        <w:t>发生的纠纷，可由双方协商解决，协商不成的，</w:t>
      </w:r>
      <w:r>
        <w:rPr>
          <w:rFonts w:ascii="Times New Roman" w:hAnsi="Times New Roman" w:eastAsia="仿宋_GB2312"/>
          <w:color w:val="000000"/>
          <w:sz w:val="30"/>
          <w:szCs w:val="32"/>
          <w:highlight w:val="none"/>
        </w:rPr>
        <w:t>按下列第</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种方式</w:t>
      </w:r>
      <w:r>
        <w:rPr>
          <w:rFonts w:hint="eastAsia" w:ascii="Times New Roman" w:hAnsi="Times New Roman" w:eastAsia="仿宋_GB2312"/>
          <w:color w:val="000000"/>
          <w:sz w:val="30"/>
          <w:szCs w:val="32"/>
          <w:highlight w:val="none"/>
        </w:rPr>
        <w:t>解</w:t>
      </w:r>
      <w:r>
        <w:rPr>
          <w:rFonts w:ascii="Times New Roman" w:hAnsi="Times New Roman" w:eastAsia="仿宋_GB2312"/>
          <w:color w:val="000000"/>
          <w:sz w:val="30"/>
          <w:szCs w:val="32"/>
          <w:highlight w:val="none"/>
        </w:rPr>
        <w:t>决：</w:t>
      </w:r>
    </w:p>
    <w:p>
      <w:pPr>
        <w:spacing w:line="360" w:lineRule="auto"/>
        <w:ind w:firstLine="600" w:firstLineChars="200"/>
        <w:jc w:val="left"/>
        <w:rPr>
          <w:rFonts w:ascii="Times New Roman" w:hAnsi="Times New Roman" w:eastAsia="仿宋_GB2312"/>
          <w:color w:val="000000"/>
          <w:sz w:val="30"/>
          <w:szCs w:val="32"/>
          <w:highlight w:val="none"/>
        </w:rPr>
      </w:pPr>
      <w:r>
        <w:rPr>
          <w:rFonts w:ascii="Times New Roman" w:hAnsi="Times New Roman" w:eastAsia="仿宋_GB2312"/>
          <w:color w:val="000000"/>
          <w:sz w:val="30"/>
          <w:szCs w:val="32"/>
          <w:highlight w:val="none"/>
        </w:rPr>
        <w:t>（1）向</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仲裁委员会申请仲裁；</w:t>
      </w:r>
    </w:p>
    <w:p>
      <w:pPr>
        <w:spacing w:line="360" w:lineRule="auto"/>
        <w:ind w:firstLine="600" w:firstLineChars="200"/>
        <w:jc w:val="left"/>
        <w:rPr>
          <w:rFonts w:ascii="Times New Roman" w:hAnsi="Times New Roman" w:eastAsia="仿宋_GB2312"/>
          <w:color w:val="000000"/>
          <w:sz w:val="30"/>
          <w:szCs w:val="30"/>
          <w:highlight w:val="none"/>
        </w:rPr>
      </w:pPr>
      <w:r>
        <w:rPr>
          <w:rFonts w:ascii="Times New Roman" w:hAnsi="Times New Roman" w:eastAsia="仿宋_GB2312"/>
          <w:color w:val="000000"/>
          <w:sz w:val="30"/>
          <w:szCs w:val="32"/>
          <w:highlight w:val="none"/>
        </w:rPr>
        <w:t>（2）向</w:t>
      </w:r>
      <w:r>
        <w:rPr>
          <w:rFonts w:ascii="Times New Roman" w:hAnsi="Times New Roman" w:eastAsia="仿宋_GB2312"/>
          <w:color w:val="000000"/>
          <w:sz w:val="30"/>
          <w:szCs w:val="32"/>
          <w:highlight w:val="none"/>
          <w:u w:val="single"/>
        </w:rPr>
        <w:t xml:space="preserve">                     </w:t>
      </w:r>
      <w:r>
        <w:rPr>
          <w:rFonts w:ascii="Times New Roman" w:hAnsi="Times New Roman" w:eastAsia="仿宋_GB2312"/>
          <w:color w:val="000000"/>
          <w:sz w:val="30"/>
          <w:szCs w:val="32"/>
          <w:highlight w:val="none"/>
        </w:rPr>
        <w:t>人民法院起诉。</w:t>
      </w:r>
    </w:p>
    <w:p>
      <w:pPr>
        <w:spacing w:line="360" w:lineRule="auto"/>
        <w:ind w:firstLine="600" w:firstLineChars="200"/>
        <w:jc w:val="left"/>
        <w:outlineLvl w:val="0"/>
        <w:rPr>
          <w:rFonts w:ascii="Times New Roman" w:hAnsi="Times New Roman" w:eastAsia="黑体"/>
          <w:color w:val="000000"/>
          <w:sz w:val="30"/>
          <w:szCs w:val="30"/>
          <w:highlight w:val="none"/>
        </w:rPr>
      </w:pPr>
      <w:bookmarkStart w:id="1740" w:name="_Toc4913"/>
      <w:bookmarkStart w:id="1741" w:name="_Toc30634"/>
      <w:bookmarkStart w:id="1742" w:name="_Toc22792"/>
      <w:bookmarkStart w:id="1743" w:name="_Toc12859"/>
      <w:r>
        <w:rPr>
          <w:rFonts w:ascii="Times New Roman" w:hAnsi="Times New Roman" w:eastAsia="黑体"/>
          <w:color w:val="000000"/>
          <w:sz w:val="30"/>
          <w:szCs w:val="30"/>
          <w:highlight w:val="none"/>
        </w:rPr>
        <w:t>八、保函的生效</w:t>
      </w:r>
      <w:bookmarkEnd w:id="1740"/>
      <w:bookmarkEnd w:id="1741"/>
      <w:bookmarkEnd w:id="1742"/>
      <w:bookmarkEnd w:id="1743"/>
    </w:p>
    <w:p>
      <w:pPr>
        <w:spacing w:line="360" w:lineRule="auto"/>
        <w:ind w:firstLine="600" w:firstLineChars="200"/>
        <w:jc w:val="left"/>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本保函自我方法定代表人（或其授权代理人）签字并加盖公章之日起生效。</w:t>
      </w:r>
    </w:p>
    <w:p>
      <w:pPr>
        <w:spacing w:line="360" w:lineRule="auto"/>
        <w:ind w:firstLine="600" w:firstLineChars="200"/>
        <w:jc w:val="left"/>
        <w:rPr>
          <w:rFonts w:hint="eastAsia" w:ascii="Times New Roman" w:hAnsi="Times New Roman" w:eastAsia="仿宋_GB2312"/>
          <w:color w:val="000000"/>
          <w:sz w:val="30"/>
          <w:szCs w:val="30"/>
          <w:highlight w:val="none"/>
        </w:rPr>
      </w:pPr>
    </w:p>
    <w:p>
      <w:pPr>
        <w:spacing w:line="360" w:lineRule="auto"/>
        <w:ind w:right="600"/>
        <w:jc w:val="left"/>
        <w:rPr>
          <w:rFonts w:hint="eastAsia" w:ascii="Times New Roman" w:hAnsi="Times New Roman" w:eastAsia="仿宋_GB2312"/>
          <w:color w:val="000000"/>
          <w:sz w:val="30"/>
          <w:szCs w:val="30"/>
          <w:highlight w:val="none"/>
        </w:rPr>
      </w:pPr>
    </w:p>
    <w:p>
      <w:pPr>
        <w:spacing w:line="360" w:lineRule="auto"/>
        <w:ind w:right="600"/>
        <w:jc w:val="left"/>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担保人：</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（盖章）</w:t>
      </w:r>
    </w:p>
    <w:p>
      <w:pPr>
        <w:spacing w:line="360" w:lineRule="auto"/>
        <w:ind w:right="1200"/>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法定代表人或委托代理人：</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（签字）</w:t>
      </w:r>
    </w:p>
    <w:p>
      <w:pPr>
        <w:spacing w:line="360" w:lineRule="auto"/>
        <w:jc w:val="left"/>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地    址：</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p>
    <w:p>
      <w:pPr>
        <w:spacing w:line="360" w:lineRule="auto"/>
        <w:jc w:val="left"/>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邮政编码：</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p>
    <w:p>
      <w:pPr>
        <w:spacing w:line="360" w:lineRule="auto"/>
        <w:jc w:val="left"/>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传    真：</w:t>
      </w:r>
      <w:r>
        <w:rPr>
          <w:rFonts w:ascii="Times New Roman" w:hAnsi="Times New Roman" w:eastAsia="仿宋_GB2312"/>
          <w:color w:val="000000"/>
          <w:sz w:val="30"/>
          <w:szCs w:val="30"/>
          <w:highlight w:val="none"/>
          <w:u w:val="single"/>
        </w:rPr>
        <w:t xml:space="preserve">      </w:t>
      </w:r>
      <w:r>
        <w:rPr>
          <w:rFonts w:hint="eastAsia"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u w:val="single"/>
        </w:rPr>
        <w:t xml:space="preserve">                          </w:t>
      </w:r>
    </w:p>
    <w:p>
      <w:pPr>
        <w:spacing w:line="360" w:lineRule="auto"/>
        <w:ind w:right="150" w:firstLine="600" w:firstLineChars="200"/>
        <w:jc w:val="left"/>
        <w:rPr>
          <w:rFonts w:ascii="Times New Roman" w:hAnsi="Times New Roman" w:eastAsia="仿宋_GB2312"/>
          <w:color w:val="000000"/>
          <w:sz w:val="30"/>
          <w:szCs w:val="30"/>
          <w:highlight w:val="none"/>
          <w:u w:val="single"/>
        </w:rPr>
      </w:pPr>
    </w:p>
    <w:p>
      <w:pPr>
        <w:spacing w:line="360" w:lineRule="auto"/>
        <w:ind w:right="150" w:firstLine="600" w:firstLineChars="200"/>
        <w:jc w:val="left"/>
        <w:rPr>
          <w:rFonts w:ascii="Times New Roman" w:hAnsi="Times New Roman" w:eastAsia="仿宋_GB2312"/>
          <w:color w:val="000000"/>
          <w:sz w:val="30"/>
          <w:szCs w:val="30"/>
          <w:highlight w:val="none"/>
        </w:rPr>
      </w:pPr>
      <w:r>
        <w:rPr>
          <w:rFonts w:ascii="Times New Roman" w:hAnsi="Times New Roman" w:eastAsia="仿宋_GB2312"/>
          <w:color w:val="000000"/>
          <w:sz w:val="30"/>
          <w:szCs w:val="30"/>
          <w:highlight w:val="none"/>
        </w:rPr>
        <w:t xml:space="preserve">             </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年</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月</w:t>
      </w:r>
      <w:r>
        <w:rPr>
          <w:rFonts w:ascii="Times New Roman" w:hAnsi="Times New Roman" w:eastAsia="仿宋_GB2312"/>
          <w:color w:val="000000"/>
          <w:sz w:val="30"/>
          <w:szCs w:val="30"/>
          <w:highlight w:val="none"/>
          <w:u w:val="single"/>
        </w:rPr>
        <w:t xml:space="preserve">      </w:t>
      </w:r>
      <w:r>
        <w:rPr>
          <w:rFonts w:ascii="Times New Roman" w:hAnsi="Times New Roman" w:eastAsia="仿宋_GB2312"/>
          <w:color w:val="000000"/>
          <w:sz w:val="30"/>
          <w:szCs w:val="30"/>
          <w:highlight w:val="none"/>
        </w:rPr>
        <w:t>日</w:t>
      </w:r>
    </w:p>
    <w:p>
      <w:pPr>
        <w:spacing w:line="440" w:lineRule="exact"/>
        <w:rPr>
          <w:rFonts w:ascii="Times New Roman" w:hAnsi="Times New Roman" w:eastAsia="黑体"/>
          <w:color w:val="000000"/>
          <w:sz w:val="30"/>
          <w:szCs w:val="30"/>
          <w:highlight w:val="none"/>
        </w:rPr>
      </w:pPr>
      <w:r>
        <w:rPr>
          <w:rFonts w:ascii="Times New Roman" w:hAnsi="Times New Roman" w:eastAsia="仿宋_GB2312"/>
          <w:color w:val="000000"/>
          <w:sz w:val="30"/>
          <w:szCs w:val="30"/>
          <w:highlight w:val="none"/>
        </w:rPr>
        <w:br w:type="page"/>
      </w:r>
      <w:r>
        <w:rPr>
          <w:rFonts w:ascii="Times New Roman" w:hAnsi="Times New Roman" w:eastAsia="仿宋_GB2312"/>
          <w:color w:val="000000"/>
          <w:sz w:val="30"/>
          <w:szCs w:val="30"/>
          <w:highlight w:val="none"/>
        </w:rPr>
        <w:t>附件11：</w:t>
      </w:r>
    </w:p>
    <w:p>
      <w:pPr>
        <w:spacing w:before="156" w:beforeLines="50" w:after="156" w:afterLines="50" w:line="440" w:lineRule="exact"/>
        <w:jc w:val="center"/>
        <w:outlineLvl w:val="0"/>
        <w:rPr>
          <w:rFonts w:ascii="Times New Roman" w:hAnsi="Times New Roman" w:eastAsia="黑体"/>
          <w:color w:val="000000"/>
          <w:sz w:val="30"/>
          <w:szCs w:val="30"/>
          <w:highlight w:val="none"/>
        </w:rPr>
      </w:pPr>
      <w:bookmarkStart w:id="1744" w:name="_Toc6417"/>
      <w:bookmarkStart w:id="1745" w:name="_Toc5521"/>
      <w:bookmarkStart w:id="1746" w:name="_Toc21905"/>
      <w:bookmarkStart w:id="1747" w:name="_Toc27426"/>
      <w:r>
        <w:rPr>
          <w:rFonts w:ascii="Times New Roman" w:hAnsi="Times New Roman" w:eastAsia="黑体"/>
          <w:color w:val="000000"/>
          <w:sz w:val="30"/>
          <w:szCs w:val="30"/>
          <w:highlight w:val="none"/>
        </w:rPr>
        <w:t>11-1：材料暂估价表</w:t>
      </w:r>
      <w:bookmarkEnd w:id="1744"/>
      <w:bookmarkEnd w:id="1745"/>
      <w:bookmarkEnd w:id="1746"/>
      <w:bookmarkEnd w:id="1747"/>
    </w:p>
    <w:tbl>
      <w:tblPr>
        <w:tblStyle w:val="25"/>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序号</w:t>
            </w:r>
          </w:p>
        </w:tc>
        <w:tc>
          <w:tcPr>
            <w:tcW w:w="1984" w:type="dxa"/>
            <w:tcBorders>
              <w:top w:val="single" w:color="auto" w:sz="12" w:space="0"/>
              <w:bottom w:val="doub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名称</w:t>
            </w:r>
          </w:p>
        </w:tc>
        <w:tc>
          <w:tcPr>
            <w:tcW w:w="851" w:type="dxa"/>
            <w:tcBorders>
              <w:top w:val="single" w:color="auto" w:sz="12" w:space="0"/>
              <w:bottom w:val="doub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单位</w:t>
            </w:r>
          </w:p>
        </w:tc>
        <w:tc>
          <w:tcPr>
            <w:tcW w:w="774" w:type="dxa"/>
            <w:tcBorders>
              <w:top w:val="single" w:color="auto" w:sz="12" w:space="0"/>
              <w:bottom w:val="doub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数量</w:t>
            </w:r>
          </w:p>
        </w:tc>
        <w:tc>
          <w:tcPr>
            <w:tcW w:w="1352" w:type="dxa"/>
            <w:tcBorders>
              <w:top w:val="single" w:color="auto" w:sz="12" w:space="0"/>
              <w:bottom w:val="doub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单价</w:t>
            </w:r>
            <w:r>
              <w:rPr>
                <w:rFonts w:hint="eastAsia" w:eastAsia="仿宋_GB2312"/>
                <w:color w:val="000000"/>
                <w:kern w:val="2"/>
                <w:sz w:val="28"/>
                <w:szCs w:val="30"/>
                <w:highlight w:val="none"/>
                <w:lang w:val="en-US" w:eastAsia="zh-CN"/>
              </w:rPr>
              <w:t>（元）</w:t>
            </w:r>
          </w:p>
        </w:tc>
        <w:tc>
          <w:tcPr>
            <w:tcW w:w="1418" w:type="dxa"/>
            <w:tcBorders>
              <w:top w:val="single" w:color="auto" w:sz="12" w:space="0"/>
              <w:bottom w:val="doub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合价</w:t>
            </w:r>
            <w:r>
              <w:rPr>
                <w:rFonts w:hint="eastAsia" w:eastAsia="仿宋_GB2312"/>
                <w:color w:val="000000"/>
                <w:kern w:val="2"/>
                <w:sz w:val="28"/>
                <w:szCs w:val="30"/>
                <w:highlight w:val="none"/>
                <w:lang w:val="en-US" w:eastAsia="zh-CN"/>
              </w:rPr>
              <w:t>（元）</w:t>
            </w:r>
          </w:p>
        </w:tc>
        <w:tc>
          <w:tcPr>
            <w:tcW w:w="1701" w:type="dxa"/>
            <w:tcBorders>
              <w:top w:val="single" w:color="auto" w:sz="12" w:space="0"/>
              <w:bottom w:val="doub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tcBorders>
              <w:top w:val="double" w:color="auto" w:sz="6" w:space="0"/>
              <w:bottom w:val="sing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tcBorders>
              <w:top w:val="double" w:color="auto" w:sz="6" w:space="0"/>
              <w:bottom w:val="sing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tcBorders>
              <w:top w:val="double" w:color="auto" w:sz="6" w:space="0"/>
              <w:bottom w:val="sing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tcBorders>
              <w:top w:val="double" w:color="auto" w:sz="6" w:space="0"/>
              <w:bottom w:val="sing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tcBorders>
              <w:top w:val="double" w:color="auto" w:sz="6" w:space="0"/>
              <w:bottom w:val="sing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tcBorders>
              <w:top w:val="double" w:color="auto" w:sz="6" w:space="0"/>
              <w:bottom w:val="sing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tcBorders>
              <w:top w:val="nil"/>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tcBorders>
              <w:top w:val="nil"/>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tcBorders>
              <w:top w:val="nil"/>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tcBorders>
              <w:top w:val="nil"/>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tcBorders>
              <w:top w:val="nil"/>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tcBorders>
              <w:top w:val="nil"/>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bl>
    <w:p>
      <w:pPr>
        <w:spacing w:before="156" w:beforeLines="50" w:after="156" w:afterLines="50" w:line="440" w:lineRule="exact"/>
        <w:rPr>
          <w:rFonts w:hint="eastAsia" w:ascii="Times New Roman" w:hAnsi="Times New Roman" w:eastAsia="黑体"/>
          <w:color w:val="000000"/>
          <w:sz w:val="30"/>
          <w:szCs w:val="30"/>
          <w:highlight w:val="none"/>
        </w:rPr>
      </w:pPr>
    </w:p>
    <w:p>
      <w:pPr>
        <w:spacing w:before="156" w:beforeLines="50" w:after="156" w:afterLines="50" w:line="440" w:lineRule="exact"/>
        <w:jc w:val="center"/>
        <w:rPr>
          <w:rFonts w:ascii="Times New Roman" w:hAnsi="Times New Roman" w:eastAsia="黑体"/>
          <w:color w:val="000000"/>
          <w:sz w:val="30"/>
          <w:szCs w:val="30"/>
          <w:highlight w:val="none"/>
        </w:rPr>
      </w:pPr>
      <w:r>
        <w:rPr>
          <w:rFonts w:ascii="Times New Roman" w:hAnsi="Times New Roman" w:eastAsia="黑体"/>
          <w:color w:val="000000"/>
          <w:sz w:val="30"/>
          <w:szCs w:val="30"/>
          <w:highlight w:val="none"/>
        </w:rPr>
        <w:t>11-2：工程设备暂估价表</w:t>
      </w:r>
    </w:p>
    <w:tbl>
      <w:tblPr>
        <w:tblStyle w:val="25"/>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序号</w:t>
            </w:r>
          </w:p>
        </w:tc>
        <w:tc>
          <w:tcPr>
            <w:tcW w:w="1984" w:type="dxa"/>
            <w:tcBorders>
              <w:top w:val="single" w:color="auto" w:sz="12" w:space="0"/>
              <w:bottom w:val="doub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名称</w:t>
            </w:r>
          </w:p>
        </w:tc>
        <w:tc>
          <w:tcPr>
            <w:tcW w:w="851" w:type="dxa"/>
            <w:tcBorders>
              <w:top w:val="single" w:color="auto" w:sz="12" w:space="0"/>
              <w:bottom w:val="doub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单位</w:t>
            </w:r>
          </w:p>
        </w:tc>
        <w:tc>
          <w:tcPr>
            <w:tcW w:w="774" w:type="dxa"/>
            <w:tcBorders>
              <w:top w:val="single" w:color="auto" w:sz="12" w:space="0"/>
              <w:bottom w:val="doub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数量</w:t>
            </w:r>
          </w:p>
        </w:tc>
        <w:tc>
          <w:tcPr>
            <w:tcW w:w="1352" w:type="dxa"/>
            <w:tcBorders>
              <w:top w:val="single" w:color="auto" w:sz="12" w:space="0"/>
              <w:bottom w:val="doub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单价</w:t>
            </w:r>
            <w:r>
              <w:rPr>
                <w:rFonts w:hint="eastAsia" w:eastAsia="仿宋_GB2312"/>
                <w:color w:val="000000"/>
                <w:kern w:val="2"/>
                <w:sz w:val="28"/>
                <w:szCs w:val="30"/>
                <w:highlight w:val="none"/>
                <w:lang w:val="en-US" w:eastAsia="zh-CN"/>
              </w:rPr>
              <w:t>（元）</w:t>
            </w:r>
          </w:p>
        </w:tc>
        <w:tc>
          <w:tcPr>
            <w:tcW w:w="1418" w:type="dxa"/>
            <w:tcBorders>
              <w:top w:val="single" w:color="auto" w:sz="12" w:space="0"/>
              <w:bottom w:val="doub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合价</w:t>
            </w:r>
            <w:r>
              <w:rPr>
                <w:rFonts w:hint="eastAsia" w:eastAsia="仿宋_GB2312"/>
                <w:color w:val="000000"/>
                <w:kern w:val="2"/>
                <w:sz w:val="28"/>
                <w:szCs w:val="30"/>
                <w:highlight w:val="none"/>
                <w:lang w:val="en-US" w:eastAsia="zh-CN"/>
              </w:rPr>
              <w:t>（元）</w:t>
            </w:r>
          </w:p>
        </w:tc>
        <w:tc>
          <w:tcPr>
            <w:tcW w:w="1701" w:type="dxa"/>
            <w:tcBorders>
              <w:top w:val="single" w:color="auto" w:sz="12" w:space="0"/>
              <w:bottom w:val="doub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tcBorders>
              <w:top w:val="double" w:color="auto" w:sz="6" w:space="0"/>
              <w:bottom w:val="sing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tcBorders>
              <w:top w:val="double" w:color="auto" w:sz="6" w:space="0"/>
              <w:bottom w:val="sing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tcBorders>
              <w:top w:val="double" w:color="auto" w:sz="6" w:space="0"/>
              <w:bottom w:val="sing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tcBorders>
              <w:top w:val="double" w:color="auto" w:sz="6" w:space="0"/>
              <w:bottom w:val="sing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tcBorders>
              <w:top w:val="double" w:color="auto" w:sz="6" w:space="0"/>
              <w:bottom w:val="sing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tcBorders>
              <w:top w:val="double" w:color="auto" w:sz="6" w:space="0"/>
              <w:bottom w:val="sing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tcBorders>
              <w:top w:val="nil"/>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tcBorders>
              <w:top w:val="nil"/>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tcBorders>
              <w:top w:val="nil"/>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tcBorders>
              <w:top w:val="nil"/>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tcBorders>
              <w:top w:val="nil"/>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tcBorders>
              <w:top w:val="nil"/>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98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85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774"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352"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418"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c>
          <w:tcPr>
            <w:tcW w:w="1701" w:type="dxa"/>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p>
        </w:tc>
      </w:tr>
    </w:tbl>
    <w:p>
      <w:pPr>
        <w:spacing w:line="440" w:lineRule="exact"/>
        <w:rPr>
          <w:rFonts w:ascii="Times New Roman" w:hAnsi="Times New Roman" w:eastAsia="仿宋_GB2312"/>
          <w:color w:val="000000"/>
          <w:sz w:val="30"/>
          <w:szCs w:val="30"/>
          <w:highlight w:val="none"/>
        </w:rPr>
      </w:pPr>
    </w:p>
    <w:p>
      <w:pPr>
        <w:spacing w:before="156" w:beforeLines="50" w:after="156" w:afterLines="50" w:line="440" w:lineRule="exact"/>
        <w:jc w:val="center"/>
        <w:rPr>
          <w:rFonts w:ascii="Times New Roman" w:hAnsi="Times New Roman" w:eastAsia="黑体"/>
          <w:color w:val="000000"/>
          <w:sz w:val="30"/>
          <w:szCs w:val="30"/>
          <w:highlight w:val="none"/>
        </w:rPr>
      </w:pPr>
      <w:r>
        <w:rPr>
          <w:rFonts w:ascii="Times New Roman" w:hAnsi="Times New Roman" w:eastAsia="仿宋_GB2312"/>
          <w:color w:val="000000"/>
          <w:sz w:val="30"/>
          <w:szCs w:val="30"/>
          <w:highlight w:val="none"/>
        </w:rPr>
        <w:br w:type="page"/>
      </w:r>
      <w:r>
        <w:rPr>
          <w:rFonts w:ascii="Times New Roman" w:hAnsi="Times New Roman" w:eastAsia="黑体"/>
          <w:color w:val="000000"/>
          <w:sz w:val="30"/>
          <w:szCs w:val="30"/>
          <w:highlight w:val="none"/>
        </w:rPr>
        <w:t>11-3：专业工程暂估价表</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序号</w:t>
            </w:r>
          </w:p>
        </w:tc>
        <w:tc>
          <w:tcPr>
            <w:tcW w:w="1984" w:type="dxa"/>
            <w:tcBorders>
              <w:top w:val="single" w:color="auto" w:sz="12" w:space="0"/>
              <w:bottom w:val="doub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专业工程名称</w:t>
            </w:r>
          </w:p>
        </w:tc>
        <w:tc>
          <w:tcPr>
            <w:tcW w:w="4678" w:type="dxa"/>
            <w:tcBorders>
              <w:top w:val="single" w:color="auto" w:sz="12" w:space="0"/>
              <w:bottom w:val="doub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工程内容</w:t>
            </w:r>
          </w:p>
        </w:tc>
        <w:tc>
          <w:tcPr>
            <w:tcW w:w="1276" w:type="dxa"/>
            <w:tcBorders>
              <w:top w:val="single" w:color="auto" w:sz="12" w:space="0"/>
              <w:bottom w:val="double" w:color="auto" w:sz="6" w:space="0"/>
            </w:tcBorders>
            <w:noWrap w:val="0"/>
            <w:vAlign w:val="top"/>
          </w:tcPr>
          <w:p>
            <w:pPr>
              <w:pStyle w:val="12"/>
              <w:keepNext/>
              <w:spacing w:after="0" w:line="440" w:lineRule="exact"/>
              <w:ind w:left="63" w:right="63"/>
              <w:rPr>
                <w:rFonts w:eastAsia="仿宋_GB2312"/>
                <w:color w:val="000000"/>
                <w:kern w:val="2"/>
                <w:sz w:val="28"/>
                <w:szCs w:val="30"/>
                <w:highlight w:val="none"/>
                <w:lang w:val="en-US" w:eastAsia="zh-CN"/>
              </w:rPr>
            </w:pPr>
            <w:r>
              <w:rPr>
                <w:rFonts w:eastAsia="仿宋_GB2312"/>
                <w:color w:val="000000"/>
                <w:kern w:val="2"/>
                <w:sz w:val="28"/>
                <w:szCs w:val="30"/>
                <w:highlight w:val="none"/>
                <w:lang w:val="en-US" w:eastAsia="zh-CN"/>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tcBorders>
              <w:top w:val="double" w:color="auto" w:sz="6" w:space="0"/>
              <w:bottom w:val="single" w:color="auto" w:sz="6" w:space="0"/>
            </w:tcBorders>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tcBorders>
              <w:top w:val="double" w:color="auto" w:sz="6" w:space="0"/>
              <w:bottom w:val="single" w:color="auto" w:sz="6" w:space="0"/>
            </w:tcBorders>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tcBorders>
              <w:top w:val="double" w:color="auto" w:sz="6" w:space="0"/>
              <w:bottom w:val="single" w:color="auto" w:sz="6" w:space="0"/>
            </w:tcBorders>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tcBorders>
              <w:top w:val="nil"/>
            </w:tcBorders>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tcBorders>
              <w:top w:val="nil"/>
            </w:tcBorders>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tcBorders>
              <w:top w:val="nil"/>
            </w:tcBorders>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tcBorders>
              <w:top w:val="nil"/>
            </w:tcBorders>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tcBorders>
              <w:top w:val="nil"/>
            </w:tcBorders>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tcBorders>
              <w:top w:val="nil"/>
            </w:tcBorders>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984"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4678" w:type="dxa"/>
            <w:noWrap w:val="0"/>
            <w:vAlign w:val="top"/>
          </w:tcPr>
          <w:p>
            <w:pPr>
              <w:pStyle w:val="12"/>
              <w:keepNext/>
              <w:spacing w:after="0" w:line="440" w:lineRule="exact"/>
              <w:ind w:left="63" w:right="63"/>
              <w:rPr>
                <w:color w:val="000000"/>
                <w:kern w:val="2"/>
                <w:sz w:val="21"/>
                <w:szCs w:val="21"/>
                <w:highlight w:val="none"/>
                <w:lang w:val="en-US" w:eastAsia="zh-CN"/>
              </w:rPr>
            </w:pPr>
          </w:p>
        </w:tc>
        <w:tc>
          <w:tcPr>
            <w:tcW w:w="1276" w:type="dxa"/>
            <w:noWrap w:val="0"/>
            <w:vAlign w:val="top"/>
          </w:tcPr>
          <w:p>
            <w:pPr>
              <w:pStyle w:val="12"/>
              <w:keepNext/>
              <w:spacing w:after="0" w:line="440" w:lineRule="exact"/>
              <w:ind w:left="63" w:right="63"/>
              <w:rPr>
                <w:color w:val="00000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noWrap w:val="0"/>
            <w:vAlign w:val="top"/>
          </w:tcPr>
          <w:p>
            <w:pPr>
              <w:pStyle w:val="12"/>
              <w:keepNext/>
              <w:spacing w:after="0" w:line="440" w:lineRule="exact"/>
              <w:ind w:left="63" w:right="63"/>
              <w:rPr>
                <w:color w:val="000000"/>
                <w:kern w:val="2"/>
                <w:sz w:val="21"/>
                <w:szCs w:val="21"/>
                <w:highlight w:val="none"/>
                <w:lang w:val="en-US" w:eastAsia="zh-CN"/>
              </w:rPr>
            </w:pPr>
            <w:r>
              <w:rPr>
                <w:rFonts w:eastAsia="仿宋_GB2312"/>
                <w:color w:val="000000"/>
                <w:kern w:val="2"/>
                <w:sz w:val="28"/>
                <w:szCs w:val="30"/>
                <w:highlight w:val="none"/>
                <w:lang w:val="en-US" w:eastAsia="zh-CN"/>
              </w:rPr>
              <w:t>小计：</w:t>
            </w:r>
          </w:p>
        </w:tc>
      </w:tr>
    </w:tbl>
    <w:p>
      <w:pPr>
        <w:wordWrap w:val="0"/>
        <w:autoSpaceDE/>
        <w:autoSpaceDN/>
        <w:spacing w:line="560" w:lineRule="exact"/>
        <w:jc w:val="both"/>
        <w:rPr>
          <w:rFonts w:hint="eastAsia" w:ascii="仿宋" w:hAnsi="仿宋" w:cs="仿宋"/>
          <w:snapToGrid w:val="0"/>
          <w:color w:val="auto"/>
          <w:szCs w:val="28"/>
          <w:highlight w:val="none"/>
        </w:rPr>
      </w:pPr>
    </w:p>
    <w:p>
      <w:pPr>
        <w:pageBreakBefore/>
        <w:spacing w:line="360" w:lineRule="auto"/>
        <w:jc w:val="center"/>
        <w:outlineLvl w:val="0"/>
        <w:rPr>
          <w:rFonts w:hint="default" w:eastAsia="宋体"/>
          <w:color w:val="auto"/>
          <w:sz w:val="24"/>
          <w:szCs w:val="24"/>
          <w:highlight w:val="none"/>
          <w:lang w:val="en-US" w:eastAsia="zh-CN"/>
        </w:rPr>
      </w:pPr>
      <w:bookmarkStart w:id="1748" w:name="_Toc16138"/>
      <w:bookmarkStart w:id="1749" w:name="_Toc31551"/>
      <w:bookmarkStart w:id="1750" w:name="_Toc24968"/>
      <w:bookmarkStart w:id="1751" w:name="_Toc22210"/>
      <w:r>
        <w:rPr>
          <w:rFonts w:hint="eastAsia"/>
          <w:b/>
          <w:bCs/>
          <w:color w:val="auto"/>
          <w:sz w:val="48"/>
          <w:szCs w:val="48"/>
          <w:highlight w:val="none"/>
        </w:rPr>
        <w:t>第五部分评审程序、方法和标准</w:t>
      </w:r>
      <w:bookmarkEnd w:id="1748"/>
      <w:r>
        <w:rPr>
          <w:rFonts w:hint="eastAsia"/>
          <w:b/>
          <w:bCs/>
          <w:color w:val="auto"/>
          <w:sz w:val="48"/>
          <w:szCs w:val="48"/>
          <w:highlight w:val="none"/>
          <w:lang w:val="en-US" w:eastAsia="zh-CN"/>
        </w:rPr>
        <w:t>(A包)</w:t>
      </w:r>
      <w:bookmarkEnd w:id="1749"/>
      <w:bookmarkEnd w:id="1750"/>
      <w:bookmarkEnd w:id="1751"/>
    </w:p>
    <w:p>
      <w:pPr>
        <w:numPr>
          <w:ilvl w:val="0"/>
          <w:numId w:val="7"/>
        </w:numPr>
        <w:tabs>
          <w:tab w:val="left" w:pos="1050"/>
        </w:tabs>
        <w:spacing w:line="360" w:lineRule="auto"/>
        <w:ind w:left="964" w:hanging="482"/>
        <w:outlineLvl w:val="1"/>
        <w:rPr>
          <w:b/>
          <w:bCs/>
          <w:color w:val="auto"/>
          <w:sz w:val="24"/>
          <w:szCs w:val="24"/>
          <w:highlight w:val="none"/>
        </w:rPr>
      </w:pPr>
      <w:bookmarkStart w:id="1752" w:name="_Toc11236"/>
      <w:bookmarkStart w:id="1753" w:name="_Toc20979"/>
      <w:bookmarkStart w:id="1754" w:name="_Toc19664"/>
      <w:bookmarkStart w:id="1755" w:name="_Toc19362"/>
      <w:bookmarkStart w:id="1756" w:name="_Toc26970"/>
      <w:bookmarkStart w:id="1757" w:name="_Toc16015"/>
      <w:bookmarkStart w:id="1758" w:name="_Toc22369"/>
      <w:bookmarkStart w:id="1759" w:name="_Toc477188641"/>
      <w:bookmarkStart w:id="1760" w:name="_Toc13518"/>
      <w:bookmarkStart w:id="1761" w:name="_Toc26671"/>
      <w:bookmarkStart w:id="1762" w:name="_Toc23635"/>
      <w:bookmarkStart w:id="1763" w:name="_Toc29435"/>
      <w:bookmarkStart w:id="1764" w:name="_Toc29955"/>
      <w:bookmarkStart w:id="1765" w:name="_Toc1723"/>
      <w:bookmarkStart w:id="1766" w:name="_Toc18369"/>
      <w:bookmarkStart w:id="1767" w:name="_Toc984"/>
      <w:bookmarkStart w:id="1768" w:name="_Toc317237623"/>
      <w:r>
        <w:rPr>
          <w:rFonts w:hint="eastAsia"/>
          <w:b/>
          <w:bCs/>
          <w:color w:val="auto"/>
          <w:sz w:val="24"/>
          <w:szCs w:val="24"/>
          <w:highlight w:val="none"/>
        </w:rPr>
        <w:t>总则</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p>
    <w:p>
      <w:pPr>
        <w:spacing w:line="360" w:lineRule="auto"/>
        <w:ind w:firstLine="480" w:firstLineChars="200"/>
        <w:rPr>
          <w:color w:val="auto"/>
          <w:sz w:val="24"/>
          <w:szCs w:val="24"/>
          <w:highlight w:val="none"/>
        </w:rPr>
      </w:pPr>
      <w:r>
        <w:rPr>
          <w:color w:val="auto"/>
          <w:sz w:val="24"/>
          <w:szCs w:val="24"/>
          <w:highlight w:val="none"/>
        </w:rPr>
        <w:t xml:space="preserve">1.1 </w:t>
      </w:r>
      <w:r>
        <w:rPr>
          <w:rFonts w:hint="eastAsia"/>
          <w:color w:val="auto"/>
          <w:sz w:val="24"/>
          <w:szCs w:val="24"/>
          <w:highlight w:val="none"/>
        </w:rPr>
        <w:t>根据《中华人民共和国政府采购法》、《政府采购竞争性磋商采购方式管理暂行办法》和《政府采购货物和服务招标投标管理办法》（财政部第</w:t>
      </w:r>
      <w:r>
        <w:rPr>
          <w:color w:val="auto"/>
          <w:sz w:val="24"/>
          <w:szCs w:val="24"/>
          <w:highlight w:val="none"/>
        </w:rPr>
        <w:t>87</w:t>
      </w:r>
      <w:r>
        <w:rPr>
          <w:rFonts w:hint="eastAsia"/>
          <w:color w:val="auto"/>
          <w:sz w:val="24"/>
          <w:szCs w:val="24"/>
          <w:highlight w:val="none"/>
        </w:rPr>
        <w:t>号令）等法律和规章，结合本采购项目特点制定本评审办法。</w:t>
      </w:r>
    </w:p>
    <w:p>
      <w:pPr>
        <w:spacing w:line="360" w:lineRule="auto"/>
        <w:ind w:firstLine="480" w:firstLineChars="200"/>
        <w:rPr>
          <w:color w:val="auto"/>
          <w:sz w:val="24"/>
          <w:szCs w:val="24"/>
          <w:highlight w:val="none"/>
        </w:rPr>
      </w:pPr>
      <w:r>
        <w:rPr>
          <w:color w:val="auto"/>
          <w:sz w:val="24"/>
          <w:szCs w:val="24"/>
          <w:highlight w:val="none"/>
        </w:rPr>
        <w:t xml:space="preserve">1.2 </w:t>
      </w:r>
      <w:r>
        <w:rPr>
          <w:rFonts w:hint="eastAsia"/>
          <w:color w:val="auto"/>
          <w:sz w:val="24"/>
          <w:szCs w:val="24"/>
          <w:highlight w:val="none"/>
        </w:rPr>
        <w:t>磋商工作由采购人负责组织，评审由采购人依法组建的磋商小组负责。磋商小组由采购人代表和有关技术、经济等方面的专家组成。</w:t>
      </w:r>
    </w:p>
    <w:p>
      <w:pPr>
        <w:spacing w:line="360" w:lineRule="auto"/>
        <w:ind w:firstLine="480" w:firstLineChars="200"/>
        <w:rPr>
          <w:color w:val="auto"/>
          <w:sz w:val="24"/>
          <w:szCs w:val="24"/>
          <w:highlight w:val="none"/>
        </w:rPr>
      </w:pPr>
      <w:r>
        <w:rPr>
          <w:color w:val="auto"/>
          <w:sz w:val="24"/>
          <w:szCs w:val="24"/>
          <w:highlight w:val="none"/>
        </w:rPr>
        <w:t xml:space="preserve">1.3 </w:t>
      </w:r>
      <w:r>
        <w:rPr>
          <w:rFonts w:hint="eastAsia"/>
          <w:color w:val="auto"/>
          <w:sz w:val="24"/>
          <w:szCs w:val="24"/>
          <w:highlight w:val="none"/>
        </w:rPr>
        <w:t>磋商小组成员应当按照客观、公正、审慎的原则，根据磋商文件规定的评审程序、评审方法和评审标准进行独立评审。未实质性响应磋商文件的响应文件按无效响应处理，磋商小组应当告知提交响应文件的供应商。</w:t>
      </w:r>
    </w:p>
    <w:p>
      <w:pPr>
        <w:spacing w:line="360" w:lineRule="auto"/>
        <w:ind w:firstLine="480" w:firstLineChars="200"/>
        <w:rPr>
          <w:color w:val="auto"/>
          <w:sz w:val="24"/>
          <w:szCs w:val="24"/>
          <w:highlight w:val="none"/>
        </w:rPr>
      </w:pPr>
      <w:r>
        <w:rPr>
          <w:color w:val="auto"/>
          <w:sz w:val="24"/>
          <w:szCs w:val="24"/>
          <w:highlight w:val="none"/>
        </w:rPr>
        <w:t xml:space="preserve">1.4 </w:t>
      </w:r>
      <w:r>
        <w:rPr>
          <w:rFonts w:hint="eastAsia"/>
          <w:color w:val="auto"/>
          <w:sz w:val="24"/>
          <w:szCs w:val="24"/>
          <w:highlight w:val="none"/>
        </w:rPr>
        <w:t>评审过程严格保密。供应商对磋商小组的评审过程或合同授予决定施加影响的任何行为都可能导致其响应文件被拒绝。</w:t>
      </w:r>
    </w:p>
    <w:p>
      <w:pPr>
        <w:spacing w:line="360" w:lineRule="auto"/>
        <w:ind w:firstLine="480" w:firstLineChars="200"/>
        <w:rPr>
          <w:color w:val="auto"/>
          <w:sz w:val="24"/>
          <w:szCs w:val="24"/>
          <w:highlight w:val="none"/>
        </w:rPr>
      </w:pPr>
      <w:r>
        <w:rPr>
          <w:color w:val="auto"/>
          <w:sz w:val="24"/>
          <w:szCs w:val="24"/>
          <w:highlight w:val="none"/>
        </w:rPr>
        <w:t xml:space="preserve">1.5 </w:t>
      </w:r>
      <w:r>
        <w:rPr>
          <w:rFonts w:hint="eastAsia"/>
          <w:color w:val="auto"/>
          <w:sz w:val="24"/>
          <w:szCs w:val="24"/>
          <w:highlight w:val="none"/>
        </w:rPr>
        <w:t>磋商小组发现磋商文件表述不明确或需要说明的事项，可提请采购人书面解释说明。</w:t>
      </w:r>
    </w:p>
    <w:p>
      <w:pPr>
        <w:spacing w:line="360" w:lineRule="auto"/>
        <w:ind w:firstLine="480" w:firstLineChars="200"/>
        <w:rPr>
          <w:color w:val="auto"/>
          <w:sz w:val="24"/>
          <w:szCs w:val="24"/>
          <w:highlight w:val="none"/>
        </w:rPr>
      </w:pPr>
      <w:r>
        <w:rPr>
          <w:color w:val="auto"/>
          <w:sz w:val="24"/>
          <w:szCs w:val="24"/>
          <w:highlight w:val="none"/>
        </w:rPr>
        <w:t xml:space="preserve">1.6 </w:t>
      </w:r>
      <w:r>
        <w:rPr>
          <w:rFonts w:hint="eastAsia"/>
          <w:color w:val="auto"/>
          <w:sz w:val="24"/>
          <w:szCs w:val="24"/>
          <w:highlight w:val="none"/>
        </w:rPr>
        <w:t>磋商小组对响应文件的判定，只依据响应文件和磋商过程中认定的文件，不依据磋商后的任何外来证明。</w:t>
      </w:r>
    </w:p>
    <w:p>
      <w:pPr>
        <w:numPr>
          <w:ilvl w:val="0"/>
          <w:numId w:val="7"/>
        </w:numPr>
        <w:tabs>
          <w:tab w:val="left" w:pos="1050"/>
        </w:tabs>
        <w:spacing w:line="360" w:lineRule="auto"/>
        <w:ind w:left="964" w:hanging="482"/>
        <w:outlineLvl w:val="1"/>
        <w:rPr>
          <w:b/>
          <w:bCs/>
          <w:color w:val="auto"/>
          <w:sz w:val="24"/>
          <w:szCs w:val="24"/>
          <w:highlight w:val="none"/>
        </w:rPr>
      </w:pPr>
      <w:bookmarkStart w:id="1769" w:name="_Toc10872"/>
      <w:bookmarkStart w:id="1770" w:name="_Toc26034"/>
      <w:bookmarkStart w:id="1771" w:name="_Toc20428"/>
      <w:bookmarkStart w:id="1772" w:name="_Toc32518"/>
      <w:bookmarkStart w:id="1773" w:name="_Toc19137"/>
      <w:bookmarkStart w:id="1774" w:name="_Toc477188642"/>
      <w:bookmarkStart w:id="1775" w:name="_Toc30383"/>
      <w:bookmarkStart w:id="1776" w:name="_Toc23791"/>
      <w:bookmarkStart w:id="1777" w:name="_Toc28856"/>
      <w:bookmarkStart w:id="1778" w:name="_Toc32157"/>
      <w:bookmarkStart w:id="1779" w:name="_Toc27971"/>
      <w:bookmarkStart w:id="1780" w:name="_Toc28647"/>
      <w:bookmarkStart w:id="1781" w:name="_Toc24680"/>
      <w:bookmarkStart w:id="1782" w:name="_Toc3580"/>
      <w:bookmarkStart w:id="1783" w:name="_Toc29904"/>
      <w:bookmarkStart w:id="1784" w:name="_Toc7463"/>
      <w:r>
        <w:rPr>
          <w:rFonts w:hint="eastAsia"/>
          <w:b/>
          <w:bCs/>
          <w:color w:val="auto"/>
          <w:sz w:val="24"/>
          <w:szCs w:val="24"/>
          <w:highlight w:val="none"/>
        </w:rPr>
        <w:t>评审程序、评审方法和评审标准</w:t>
      </w:r>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p>
    <w:p>
      <w:pPr>
        <w:spacing w:line="360" w:lineRule="auto"/>
        <w:ind w:firstLine="482" w:firstLineChars="200"/>
        <w:rPr>
          <w:b/>
          <w:bCs/>
          <w:color w:val="auto"/>
          <w:sz w:val="24"/>
          <w:szCs w:val="24"/>
          <w:highlight w:val="none"/>
        </w:rPr>
      </w:pPr>
      <w:r>
        <w:rPr>
          <w:b/>
          <w:bCs/>
          <w:color w:val="auto"/>
          <w:sz w:val="24"/>
          <w:szCs w:val="24"/>
          <w:highlight w:val="none"/>
        </w:rPr>
        <w:t>1</w:t>
      </w:r>
      <w:r>
        <w:rPr>
          <w:rFonts w:hint="eastAsia"/>
          <w:b/>
          <w:bCs/>
          <w:color w:val="auto"/>
          <w:sz w:val="24"/>
          <w:szCs w:val="24"/>
          <w:highlight w:val="none"/>
        </w:rPr>
        <w:t>、响应文件的有效性、完整性和响应程度审查</w:t>
      </w:r>
    </w:p>
    <w:p>
      <w:pPr>
        <w:spacing w:line="360" w:lineRule="auto"/>
        <w:ind w:firstLine="480" w:firstLineChars="200"/>
        <w:rPr>
          <w:color w:val="auto"/>
          <w:sz w:val="24"/>
          <w:szCs w:val="24"/>
          <w:highlight w:val="none"/>
        </w:rPr>
      </w:pPr>
      <w:r>
        <w:rPr>
          <w:color w:val="auto"/>
          <w:sz w:val="24"/>
          <w:szCs w:val="24"/>
          <w:highlight w:val="none"/>
        </w:rPr>
        <w:t xml:space="preserve">1.1 </w:t>
      </w:r>
      <w:r>
        <w:rPr>
          <w:rFonts w:hint="eastAsia"/>
          <w:color w:val="auto"/>
          <w:sz w:val="24"/>
          <w:szCs w:val="24"/>
          <w:highlight w:val="none"/>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更正应当由法定代表人或其授权代表签字或者加盖公章。由授权代表签字的，应当附法定代表人授权书。供应商为自然人的，应当由本人签字并附身份证明。</w:t>
      </w:r>
    </w:p>
    <w:p>
      <w:pPr>
        <w:spacing w:line="360" w:lineRule="auto"/>
        <w:ind w:firstLine="482" w:firstLineChars="200"/>
        <w:rPr>
          <w:b/>
          <w:bCs/>
          <w:color w:val="auto"/>
          <w:sz w:val="24"/>
          <w:szCs w:val="24"/>
          <w:highlight w:val="none"/>
        </w:rPr>
      </w:pPr>
      <w:r>
        <w:rPr>
          <w:b/>
          <w:bCs/>
          <w:color w:val="auto"/>
          <w:sz w:val="24"/>
          <w:szCs w:val="24"/>
          <w:highlight w:val="none"/>
        </w:rPr>
        <w:t>2</w:t>
      </w:r>
      <w:r>
        <w:rPr>
          <w:rFonts w:hint="eastAsia"/>
          <w:b/>
          <w:bCs/>
          <w:color w:val="auto"/>
          <w:sz w:val="24"/>
          <w:szCs w:val="24"/>
          <w:highlight w:val="none"/>
        </w:rPr>
        <w:t>、分别与单一供应商进行磋商</w:t>
      </w:r>
    </w:p>
    <w:p>
      <w:pPr>
        <w:spacing w:line="360" w:lineRule="auto"/>
        <w:ind w:firstLine="480" w:firstLineChars="200"/>
        <w:rPr>
          <w:color w:val="auto"/>
          <w:sz w:val="24"/>
          <w:szCs w:val="24"/>
          <w:highlight w:val="none"/>
        </w:rPr>
      </w:pPr>
      <w:r>
        <w:rPr>
          <w:color w:val="auto"/>
          <w:sz w:val="24"/>
          <w:szCs w:val="24"/>
          <w:highlight w:val="none"/>
        </w:rPr>
        <w:t xml:space="preserve">2.1 </w:t>
      </w:r>
      <w:r>
        <w:rPr>
          <w:rFonts w:hint="eastAsia"/>
          <w:color w:val="auto"/>
          <w:sz w:val="24"/>
          <w:szCs w:val="24"/>
          <w:highlight w:val="none"/>
        </w:rPr>
        <w:t>磋商小组所有成员应当集中与单一供应商分别进行磋商，并给予所有参加磋商的供应商平等的磋商机会。</w:t>
      </w:r>
    </w:p>
    <w:p>
      <w:pPr>
        <w:spacing w:line="360" w:lineRule="auto"/>
        <w:ind w:firstLine="480" w:firstLineChars="200"/>
        <w:rPr>
          <w:color w:val="auto"/>
          <w:sz w:val="24"/>
          <w:szCs w:val="24"/>
          <w:highlight w:val="none"/>
        </w:rPr>
      </w:pPr>
      <w:r>
        <w:rPr>
          <w:color w:val="auto"/>
          <w:sz w:val="24"/>
          <w:szCs w:val="24"/>
          <w:highlight w:val="none"/>
        </w:rPr>
        <w:t xml:space="preserve">2.2 </w:t>
      </w:r>
      <w:r>
        <w:rPr>
          <w:rFonts w:hint="eastAsia"/>
          <w:color w:val="auto"/>
          <w:sz w:val="24"/>
          <w:szCs w:val="24"/>
          <w:highlight w:val="none"/>
        </w:rPr>
        <w:t>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供应商。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pPr>
        <w:spacing w:line="360" w:lineRule="auto"/>
        <w:ind w:firstLine="482" w:firstLineChars="200"/>
        <w:rPr>
          <w:b/>
          <w:bCs/>
          <w:color w:val="auto"/>
          <w:sz w:val="24"/>
          <w:szCs w:val="24"/>
          <w:highlight w:val="none"/>
        </w:rPr>
      </w:pPr>
      <w:r>
        <w:rPr>
          <w:b/>
          <w:bCs/>
          <w:color w:val="auto"/>
          <w:sz w:val="24"/>
          <w:szCs w:val="24"/>
          <w:highlight w:val="none"/>
        </w:rPr>
        <w:t>3</w:t>
      </w:r>
      <w:r>
        <w:rPr>
          <w:rFonts w:hint="eastAsia"/>
          <w:b/>
          <w:bCs/>
          <w:color w:val="auto"/>
          <w:sz w:val="24"/>
          <w:szCs w:val="24"/>
          <w:highlight w:val="none"/>
        </w:rPr>
        <w:t>、供应商提交最后报价</w:t>
      </w:r>
    </w:p>
    <w:p>
      <w:pPr>
        <w:spacing w:line="360" w:lineRule="auto"/>
        <w:ind w:firstLine="480" w:firstLineChars="200"/>
        <w:rPr>
          <w:color w:val="auto"/>
          <w:sz w:val="24"/>
          <w:szCs w:val="24"/>
          <w:highlight w:val="none"/>
        </w:rPr>
      </w:pPr>
      <w:r>
        <w:rPr>
          <w:color w:val="auto"/>
          <w:sz w:val="24"/>
          <w:szCs w:val="24"/>
          <w:highlight w:val="none"/>
        </w:rPr>
        <w:t xml:space="preserve">3.1 </w:t>
      </w:r>
      <w:r>
        <w:rPr>
          <w:rFonts w:hint="eastAsia"/>
          <w:color w:val="auto"/>
          <w:sz w:val="24"/>
          <w:szCs w:val="24"/>
          <w:highlight w:val="none"/>
        </w:rPr>
        <w:t>磋商文件能够详细列明采购标的的技术、服务要求的，磋商结束后，磋商小组应当要求所有实质性响应的供应商在规定时间内提交最后报价，提交最后报价的供应商不得少于</w:t>
      </w:r>
      <w:r>
        <w:rPr>
          <w:color w:val="auto"/>
          <w:sz w:val="24"/>
          <w:szCs w:val="24"/>
          <w:highlight w:val="none"/>
        </w:rPr>
        <w:t>3</w:t>
      </w:r>
      <w:r>
        <w:rPr>
          <w:rFonts w:hint="eastAsia"/>
          <w:color w:val="auto"/>
          <w:sz w:val="24"/>
          <w:szCs w:val="24"/>
          <w:highlight w:val="none"/>
        </w:rPr>
        <w:t>家。磋商文件不能详细列明采购标的的技术、服务要求，需经磋商由供应商提供最终设计方案或解决方案的，磋商结束后，磋商小组应当按照少数服从多数的原则投票推荐</w:t>
      </w:r>
      <w:r>
        <w:rPr>
          <w:color w:val="auto"/>
          <w:sz w:val="24"/>
          <w:szCs w:val="24"/>
          <w:highlight w:val="none"/>
        </w:rPr>
        <w:t>3</w:t>
      </w:r>
      <w:r>
        <w:rPr>
          <w:rFonts w:hint="eastAsia"/>
          <w:color w:val="auto"/>
          <w:sz w:val="24"/>
          <w:szCs w:val="24"/>
          <w:highlight w:val="none"/>
        </w:rPr>
        <w:t>家以上供应商的设计方案或者解决方案，并要求其在规定时间内提交最后报价。最后报价是供应商响应文件的有效组成部分。</w:t>
      </w:r>
    </w:p>
    <w:p>
      <w:pPr>
        <w:spacing w:line="360" w:lineRule="auto"/>
        <w:ind w:firstLine="480" w:firstLineChars="200"/>
        <w:rPr>
          <w:color w:val="auto"/>
          <w:sz w:val="24"/>
          <w:szCs w:val="24"/>
          <w:highlight w:val="none"/>
        </w:rPr>
      </w:pPr>
      <w:r>
        <w:rPr>
          <w:color w:val="auto"/>
          <w:sz w:val="24"/>
          <w:szCs w:val="24"/>
          <w:highlight w:val="none"/>
        </w:rPr>
        <w:t xml:space="preserve">3.2 </w:t>
      </w:r>
      <w:r>
        <w:rPr>
          <w:rFonts w:hint="eastAsia"/>
          <w:color w:val="auto"/>
          <w:sz w:val="24"/>
          <w:szCs w:val="24"/>
          <w:highlight w:val="none"/>
        </w:rPr>
        <w:t>已提交响应文件的供应商，在提交最后报价之前，可以根据磋商情况退出磋商。</w:t>
      </w:r>
    </w:p>
    <w:p>
      <w:pPr>
        <w:spacing w:line="360" w:lineRule="auto"/>
        <w:ind w:firstLine="480" w:firstLineChars="200"/>
        <w:rPr>
          <w:color w:val="auto"/>
          <w:sz w:val="24"/>
          <w:szCs w:val="24"/>
          <w:highlight w:val="none"/>
        </w:rPr>
      </w:pPr>
      <w:r>
        <w:rPr>
          <w:rFonts w:hint="eastAsia"/>
          <w:color w:val="auto"/>
          <w:sz w:val="24"/>
          <w:szCs w:val="24"/>
          <w:highlight w:val="none"/>
        </w:rPr>
        <w:t>3.3根据财政部、工业和信息化部2012年1月1日颁布的《政府采购促进中小企业发展暂行办法》（财库[2011]181号）第五条规定，对小、微企业予以价格评分适当优惠。若供应商为小型或微型企业者，必须提供相关部门出具的证明材料，其参与评分的投标报价取值按投标报价的</w:t>
      </w:r>
      <w:r>
        <w:rPr>
          <w:rFonts w:hint="eastAsia"/>
          <w:color w:val="auto"/>
          <w:sz w:val="24"/>
          <w:szCs w:val="24"/>
          <w:highlight w:val="none"/>
          <w:lang w:val="en-US" w:eastAsia="zh-CN"/>
        </w:rPr>
        <w:t>94</w:t>
      </w:r>
      <w:r>
        <w:rPr>
          <w:rFonts w:hint="eastAsia"/>
          <w:color w:val="auto"/>
          <w:sz w:val="24"/>
          <w:szCs w:val="24"/>
          <w:highlight w:val="none"/>
        </w:rPr>
        <w:t>%计（即按投标报价扣除</w:t>
      </w:r>
      <w:r>
        <w:rPr>
          <w:rFonts w:hint="eastAsia"/>
          <w:color w:val="auto"/>
          <w:sz w:val="24"/>
          <w:szCs w:val="24"/>
          <w:highlight w:val="none"/>
          <w:lang w:val="en-US" w:eastAsia="zh-CN"/>
        </w:rPr>
        <w:t>6</w:t>
      </w:r>
      <w:r>
        <w:rPr>
          <w:rFonts w:hint="eastAsia"/>
          <w:color w:val="auto"/>
          <w:sz w:val="24"/>
          <w:szCs w:val="24"/>
          <w:highlight w:val="none"/>
        </w:rPr>
        <w:t xml:space="preserve">%后计算）。 </w:t>
      </w:r>
    </w:p>
    <w:p>
      <w:pPr>
        <w:spacing w:line="360" w:lineRule="auto"/>
        <w:ind w:firstLine="480" w:firstLineChars="200"/>
        <w:rPr>
          <w:color w:val="auto"/>
          <w:sz w:val="24"/>
          <w:szCs w:val="24"/>
          <w:highlight w:val="none"/>
        </w:rPr>
      </w:pPr>
      <w:r>
        <w:rPr>
          <w:rFonts w:hint="eastAsia"/>
          <w:color w:val="auto"/>
          <w:sz w:val="24"/>
          <w:szCs w:val="24"/>
          <w:highlight w:val="none"/>
        </w:rPr>
        <w:t>3.4关于政策性优惠</w:t>
      </w:r>
    </w:p>
    <w:p>
      <w:pPr>
        <w:spacing w:line="360" w:lineRule="auto"/>
        <w:ind w:firstLine="480" w:firstLineChars="200"/>
        <w:rPr>
          <w:color w:val="auto"/>
          <w:sz w:val="24"/>
          <w:szCs w:val="24"/>
          <w:highlight w:val="none"/>
        </w:rPr>
      </w:pPr>
      <w:r>
        <w:rPr>
          <w:rFonts w:hint="eastAsia"/>
          <w:color w:val="auto"/>
          <w:sz w:val="24"/>
          <w:szCs w:val="24"/>
          <w:highlight w:val="none"/>
        </w:rPr>
        <w:t>3.4.1报价人为小型和微型企业（含联合体）的情况：</w:t>
      </w:r>
    </w:p>
    <w:p>
      <w:pPr>
        <w:spacing w:line="360" w:lineRule="auto"/>
        <w:ind w:firstLine="480" w:firstLineChars="200"/>
        <w:rPr>
          <w:color w:val="auto"/>
          <w:sz w:val="24"/>
          <w:szCs w:val="24"/>
          <w:highlight w:val="none"/>
        </w:rPr>
      </w:pPr>
      <w:r>
        <w:rPr>
          <w:rFonts w:hint="eastAsia"/>
          <w:color w:val="auto"/>
          <w:sz w:val="24"/>
          <w:szCs w:val="24"/>
          <w:highlight w:val="none"/>
        </w:rPr>
        <w:t>3.4.2中小企业的认定标准：</w:t>
      </w:r>
    </w:p>
    <w:p>
      <w:pPr>
        <w:spacing w:line="360" w:lineRule="auto"/>
        <w:ind w:firstLine="480" w:firstLineChars="200"/>
        <w:rPr>
          <w:color w:val="auto"/>
          <w:sz w:val="24"/>
          <w:szCs w:val="24"/>
          <w:highlight w:val="none"/>
        </w:rPr>
      </w:pPr>
      <w:r>
        <w:rPr>
          <w:rFonts w:hint="eastAsia"/>
          <w:color w:val="auto"/>
          <w:sz w:val="24"/>
          <w:szCs w:val="24"/>
          <w:highlight w:val="none"/>
        </w:rPr>
        <w:t>1）提供本企业制造的货物、承担的工程或者服务，或者提供其他中小企业制造的货物，不包括提供或使用大型企业注册商标的货物；</w:t>
      </w:r>
    </w:p>
    <w:p>
      <w:pPr>
        <w:spacing w:line="360" w:lineRule="auto"/>
        <w:ind w:firstLine="480" w:firstLineChars="200"/>
        <w:rPr>
          <w:color w:val="auto"/>
          <w:sz w:val="24"/>
          <w:szCs w:val="24"/>
          <w:highlight w:val="none"/>
        </w:rPr>
      </w:pPr>
      <w:r>
        <w:rPr>
          <w:rFonts w:hint="eastAsia"/>
          <w:color w:val="auto"/>
          <w:sz w:val="24"/>
          <w:szCs w:val="24"/>
          <w:highlight w:val="none"/>
        </w:rPr>
        <w:t>2）本规定所称中小企业划分标准，是指国务院有关部门根据企业从业人员、营业收入、资产总额等指标制定的中小企业划型标准（工信部联企业〔2011〕300号）；</w:t>
      </w:r>
    </w:p>
    <w:p>
      <w:pPr>
        <w:spacing w:line="360" w:lineRule="auto"/>
        <w:ind w:firstLine="480" w:firstLineChars="200"/>
        <w:rPr>
          <w:color w:val="auto"/>
          <w:sz w:val="24"/>
          <w:szCs w:val="24"/>
          <w:highlight w:val="none"/>
        </w:rPr>
      </w:pPr>
      <w:r>
        <w:rPr>
          <w:rFonts w:hint="eastAsia"/>
          <w:color w:val="auto"/>
          <w:sz w:val="24"/>
          <w:szCs w:val="24"/>
          <w:highlight w:val="none"/>
        </w:rPr>
        <w:t>3.4.3报价人为工信部联企业〔2011〕300号文规定的小型和微型企业（含联合体）的，必须如实填写“中小企业声明函”（内容、格式见财库〔2011〕181号），并提供中小企业认定机构的证明材料，否则无效。如有虚假骗取政策性优惠，将依法承担相应责任。</w:t>
      </w:r>
    </w:p>
    <w:p>
      <w:pPr>
        <w:spacing w:line="360" w:lineRule="auto"/>
        <w:ind w:firstLine="482" w:firstLineChars="200"/>
        <w:rPr>
          <w:b/>
          <w:bCs/>
          <w:color w:val="auto"/>
          <w:sz w:val="24"/>
          <w:szCs w:val="24"/>
          <w:highlight w:val="none"/>
        </w:rPr>
      </w:pPr>
      <w:r>
        <w:rPr>
          <w:b/>
          <w:bCs/>
          <w:color w:val="auto"/>
          <w:sz w:val="24"/>
          <w:szCs w:val="24"/>
          <w:highlight w:val="none"/>
        </w:rPr>
        <w:t>4</w:t>
      </w:r>
      <w:r>
        <w:rPr>
          <w:rFonts w:hint="eastAsia"/>
          <w:b/>
          <w:bCs/>
          <w:color w:val="auto"/>
          <w:sz w:val="24"/>
          <w:szCs w:val="24"/>
          <w:highlight w:val="none"/>
        </w:rPr>
        <w:t>、综合评分</w:t>
      </w:r>
    </w:p>
    <w:p>
      <w:pPr>
        <w:spacing w:line="360" w:lineRule="auto"/>
        <w:ind w:firstLine="480" w:firstLineChars="200"/>
        <w:rPr>
          <w:color w:val="auto"/>
          <w:sz w:val="24"/>
          <w:szCs w:val="24"/>
          <w:highlight w:val="none"/>
        </w:rPr>
      </w:pPr>
      <w:r>
        <w:rPr>
          <w:color w:val="auto"/>
          <w:sz w:val="24"/>
          <w:szCs w:val="24"/>
          <w:highlight w:val="none"/>
        </w:rPr>
        <w:t xml:space="preserve">4.1 </w:t>
      </w:r>
      <w:r>
        <w:rPr>
          <w:rFonts w:hint="eastAsia"/>
          <w:color w:val="auto"/>
          <w:sz w:val="24"/>
          <w:szCs w:val="24"/>
          <w:highlight w:val="none"/>
        </w:rPr>
        <w:t>经磋商确定最终采购需求和提交最后报价的供应商后，由磋商小组采用综合评分法对提交最后报价的供应商的响应文件和最后报价进行综合评分。</w:t>
      </w:r>
    </w:p>
    <w:p>
      <w:pPr>
        <w:spacing w:line="360" w:lineRule="auto"/>
        <w:ind w:firstLine="480" w:firstLineChars="200"/>
        <w:rPr>
          <w:color w:val="auto"/>
          <w:sz w:val="24"/>
          <w:szCs w:val="24"/>
          <w:highlight w:val="none"/>
        </w:rPr>
      </w:pPr>
      <w:r>
        <w:rPr>
          <w:rFonts w:hint="eastAsia"/>
          <w:color w:val="auto"/>
          <w:sz w:val="24"/>
          <w:szCs w:val="24"/>
          <w:highlight w:val="none"/>
        </w:rPr>
        <w:t>综合评分法，是指响应文件满足磋商文件全部实质性要求且按评审因素的量化指标评审得分最高的供应商为成交候选供应商的评审方法。</w:t>
      </w:r>
    </w:p>
    <w:p>
      <w:pPr>
        <w:spacing w:line="360" w:lineRule="auto"/>
        <w:ind w:firstLine="480" w:firstLineChars="200"/>
        <w:rPr>
          <w:color w:val="auto"/>
          <w:sz w:val="24"/>
          <w:szCs w:val="24"/>
          <w:highlight w:val="none"/>
        </w:rPr>
      </w:pPr>
      <w:r>
        <w:rPr>
          <w:color w:val="auto"/>
          <w:sz w:val="24"/>
          <w:szCs w:val="24"/>
          <w:highlight w:val="none"/>
        </w:rPr>
        <w:t xml:space="preserve">4.2 </w:t>
      </w:r>
      <w:r>
        <w:rPr>
          <w:rFonts w:hint="eastAsia"/>
          <w:color w:val="auto"/>
          <w:sz w:val="24"/>
          <w:szCs w:val="24"/>
          <w:highlight w:val="none"/>
        </w:rPr>
        <w:t>综合评分法评审标准中的分值设置应当与评审因素的量化指标相对应。磋商文件中没有规定的评审标准不得作为评审依据。</w:t>
      </w:r>
    </w:p>
    <w:p>
      <w:pPr>
        <w:spacing w:line="360" w:lineRule="auto"/>
        <w:ind w:firstLine="480" w:firstLineChars="200"/>
        <w:rPr>
          <w:color w:val="auto"/>
          <w:sz w:val="24"/>
          <w:szCs w:val="24"/>
          <w:highlight w:val="none"/>
        </w:rPr>
      </w:pPr>
      <w:r>
        <w:rPr>
          <w:rFonts w:hint="eastAsia"/>
          <w:color w:val="auto"/>
          <w:sz w:val="24"/>
          <w:szCs w:val="24"/>
          <w:highlight w:val="none"/>
        </w:rPr>
        <w:t>评审时，磋商小组各成员应当独立对每个有效响应的文件进行评价、打分，然后汇总每个供应商每项评分因素的得分。</w:t>
      </w:r>
    </w:p>
    <w:p>
      <w:pPr>
        <w:spacing w:line="360" w:lineRule="auto"/>
        <w:rPr>
          <w:b/>
          <w:bCs/>
          <w:color w:val="auto"/>
          <w:sz w:val="24"/>
          <w:szCs w:val="24"/>
          <w:highlight w:val="none"/>
        </w:rPr>
      </w:pPr>
      <w:r>
        <w:rPr>
          <w:b/>
          <w:bCs/>
          <w:color w:val="auto"/>
          <w:sz w:val="24"/>
          <w:szCs w:val="24"/>
          <w:highlight w:val="none"/>
        </w:rPr>
        <w:t>5、政府采购政策要求</w:t>
      </w:r>
    </w:p>
    <w:p>
      <w:pPr>
        <w:spacing w:line="360" w:lineRule="auto"/>
        <w:rPr>
          <w:color w:val="auto"/>
          <w:sz w:val="24"/>
          <w:szCs w:val="24"/>
          <w:highlight w:val="none"/>
        </w:rPr>
      </w:pPr>
      <w:r>
        <w:rPr>
          <w:rFonts w:hint="eastAsia"/>
          <w:color w:val="auto"/>
          <w:sz w:val="24"/>
          <w:szCs w:val="24"/>
          <w:highlight w:val="none"/>
        </w:rPr>
        <w:t>（</w:t>
      </w:r>
      <w:r>
        <w:rPr>
          <w:rFonts w:hint="eastAsia"/>
          <w:color w:val="auto"/>
          <w:sz w:val="24"/>
          <w:szCs w:val="24"/>
          <w:highlight w:val="none"/>
          <w:lang w:val="en-US"/>
        </w:rPr>
        <w:t>1</w:t>
      </w:r>
      <w:r>
        <w:rPr>
          <w:rFonts w:hint="eastAsia"/>
          <w:color w:val="auto"/>
          <w:sz w:val="24"/>
          <w:szCs w:val="24"/>
          <w:highlight w:val="none"/>
        </w:rPr>
        <w:t>）</w:t>
      </w:r>
      <w:r>
        <w:rPr>
          <w:color w:val="auto"/>
          <w:sz w:val="24"/>
          <w:szCs w:val="24"/>
          <w:highlight w:val="none"/>
        </w:rPr>
        <w:t>根据《政府采购促进中小企业发展管理办法》（财库﹝2020﹞46 号）、《财政部 司法部关于政府采购支持监狱企业发展有关问题的通知》（财库[2014]68 号）和</w:t>
      </w:r>
    </w:p>
    <w:p>
      <w:pPr>
        <w:spacing w:line="360" w:lineRule="auto"/>
        <w:rPr>
          <w:color w:val="auto"/>
          <w:sz w:val="24"/>
          <w:szCs w:val="24"/>
          <w:highlight w:val="none"/>
        </w:rPr>
      </w:pPr>
      <w:r>
        <w:rPr>
          <w:color w:val="auto"/>
          <w:sz w:val="24"/>
          <w:szCs w:val="24"/>
          <w:highlight w:val="none"/>
        </w:rPr>
        <w:t>《财政部 民政部 中国残疾人联合会关于促进残疾人就业政府采购政策的通知》（财库</w:t>
      </w:r>
    </w:p>
    <w:p>
      <w:pPr>
        <w:spacing w:line="360" w:lineRule="auto"/>
        <w:rPr>
          <w:color w:val="auto"/>
          <w:sz w:val="24"/>
          <w:szCs w:val="24"/>
          <w:highlight w:val="none"/>
        </w:rPr>
      </w:pPr>
      <w:r>
        <w:rPr>
          <w:color w:val="auto"/>
          <w:sz w:val="24"/>
          <w:szCs w:val="24"/>
          <w:highlight w:val="none"/>
        </w:rPr>
        <w:t>〔2017〕141 号）的文件规定，本项目对小微企业、监狱企业及残疾人福利性单位的投标报价给予</w:t>
      </w:r>
      <w:r>
        <w:rPr>
          <w:rFonts w:hint="eastAsia"/>
          <w:color w:val="auto"/>
          <w:sz w:val="24"/>
          <w:szCs w:val="24"/>
          <w:highlight w:val="none"/>
          <w:lang w:val="en-US" w:eastAsia="zh-CN"/>
        </w:rPr>
        <w:t>6</w:t>
      </w:r>
      <w:r>
        <w:rPr>
          <w:color w:val="auto"/>
          <w:sz w:val="24"/>
          <w:szCs w:val="24"/>
          <w:highlight w:val="none"/>
        </w:rPr>
        <w:t>%的扣除，用扣除后的价格参与价格评审。供应商同时为小微企业、监狱企业或残疾人福利性单位的，评审中只享受一次价格扣除，不重复享受价格扣除。</w:t>
      </w:r>
    </w:p>
    <w:p>
      <w:pPr>
        <w:spacing w:line="360" w:lineRule="auto"/>
        <w:rPr>
          <w:color w:val="auto"/>
          <w:sz w:val="24"/>
          <w:szCs w:val="24"/>
          <w:highlight w:val="none"/>
        </w:rPr>
      </w:pPr>
      <w:r>
        <w:rPr>
          <w:rFonts w:hint="eastAsia"/>
          <w:color w:val="auto"/>
          <w:sz w:val="24"/>
          <w:szCs w:val="24"/>
          <w:highlight w:val="none"/>
        </w:rPr>
        <w:t>（</w:t>
      </w:r>
      <w:r>
        <w:rPr>
          <w:rFonts w:hint="eastAsia"/>
          <w:color w:val="auto"/>
          <w:sz w:val="24"/>
          <w:szCs w:val="24"/>
          <w:highlight w:val="none"/>
          <w:lang w:val="en-US"/>
        </w:rPr>
        <w:t>2</w:t>
      </w:r>
      <w:r>
        <w:rPr>
          <w:rFonts w:hint="eastAsia"/>
          <w:color w:val="auto"/>
          <w:sz w:val="24"/>
          <w:szCs w:val="24"/>
          <w:highlight w:val="none"/>
        </w:rPr>
        <w:t>）</w:t>
      </w:r>
      <w:r>
        <w:rPr>
          <w:color w:val="auto"/>
          <w:sz w:val="24"/>
          <w:szCs w:val="24"/>
          <w:highlight w:val="none"/>
        </w:rPr>
        <w:t>扣除后的价格仅用来计算价格得分，成交金额以最后报价为准。</w:t>
      </w:r>
    </w:p>
    <w:p>
      <w:pPr>
        <w:spacing w:line="360" w:lineRule="auto"/>
        <w:rPr>
          <w:color w:val="auto"/>
          <w:sz w:val="24"/>
          <w:szCs w:val="24"/>
          <w:highlight w:val="none"/>
        </w:rPr>
      </w:pPr>
      <w:r>
        <w:rPr>
          <w:rFonts w:hint="eastAsia"/>
          <w:color w:val="auto"/>
          <w:sz w:val="24"/>
          <w:szCs w:val="24"/>
          <w:highlight w:val="none"/>
        </w:rPr>
        <w:t>（</w:t>
      </w:r>
      <w:r>
        <w:rPr>
          <w:rFonts w:hint="eastAsia"/>
          <w:color w:val="auto"/>
          <w:sz w:val="24"/>
          <w:szCs w:val="24"/>
          <w:highlight w:val="none"/>
          <w:lang w:val="en-US"/>
        </w:rPr>
        <w:t>3</w:t>
      </w:r>
      <w:r>
        <w:rPr>
          <w:rFonts w:hint="eastAsia"/>
          <w:color w:val="auto"/>
          <w:sz w:val="24"/>
          <w:szCs w:val="24"/>
          <w:highlight w:val="none"/>
        </w:rPr>
        <w:t>）</w:t>
      </w:r>
      <w:r>
        <w:rPr>
          <w:color w:val="auto"/>
          <w:sz w:val="24"/>
          <w:szCs w:val="24"/>
          <w:highlight w:val="none"/>
        </w:rPr>
        <w:t>供应商须按要求提供相关材料（详见第六部分响应文件格式），否则将不进行价格扣除。</w:t>
      </w:r>
    </w:p>
    <w:p>
      <w:pPr>
        <w:spacing w:line="360" w:lineRule="auto"/>
        <w:rPr>
          <w:b/>
          <w:bCs/>
          <w:color w:val="auto"/>
          <w:sz w:val="24"/>
          <w:szCs w:val="24"/>
          <w:highlight w:val="none"/>
        </w:rPr>
      </w:pPr>
      <w:r>
        <w:rPr>
          <w:rFonts w:hint="eastAsia"/>
          <w:b/>
          <w:bCs/>
          <w:color w:val="auto"/>
          <w:sz w:val="24"/>
          <w:szCs w:val="24"/>
          <w:highlight w:val="none"/>
          <w:lang w:val="en-US"/>
        </w:rPr>
        <w:t>6</w:t>
      </w:r>
      <w:r>
        <w:rPr>
          <w:rFonts w:hint="eastAsia"/>
          <w:b/>
          <w:bCs/>
          <w:color w:val="auto"/>
          <w:sz w:val="24"/>
          <w:szCs w:val="24"/>
          <w:highlight w:val="none"/>
        </w:rPr>
        <w:t>、推荐成交候选供应商</w:t>
      </w:r>
    </w:p>
    <w:p>
      <w:pPr>
        <w:spacing w:line="360" w:lineRule="auto"/>
        <w:ind w:firstLine="480" w:firstLineChars="200"/>
        <w:rPr>
          <w:color w:val="auto"/>
          <w:sz w:val="24"/>
          <w:szCs w:val="24"/>
          <w:highlight w:val="none"/>
        </w:rPr>
      </w:pPr>
      <w:r>
        <w:rPr>
          <w:rFonts w:hint="eastAsia"/>
          <w:color w:val="auto"/>
          <w:sz w:val="24"/>
          <w:szCs w:val="24"/>
          <w:highlight w:val="none"/>
          <w:lang w:val="en-US"/>
        </w:rPr>
        <w:t>6</w:t>
      </w:r>
      <w:r>
        <w:rPr>
          <w:color w:val="auto"/>
          <w:sz w:val="24"/>
          <w:szCs w:val="24"/>
          <w:highlight w:val="none"/>
        </w:rPr>
        <w:t xml:space="preserve">.1 </w:t>
      </w:r>
      <w:r>
        <w:rPr>
          <w:rFonts w:hint="eastAsia"/>
          <w:color w:val="auto"/>
          <w:sz w:val="24"/>
          <w:szCs w:val="24"/>
          <w:highlight w:val="none"/>
        </w:rPr>
        <w:t>磋商小组根据综合评分情况，按照评审得分由高到低顺序推荐</w:t>
      </w:r>
      <w:r>
        <w:rPr>
          <w:color w:val="auto"/>
          <w:sz w:val="24"/>
          <w:szCs w:val="24"/>
          <w:highlight w:val="none"/>
        </w:rPr>
        <w:t>3</w:t>
      </w:r>
      <w:r>
        <w:rPr>
          <w:rFonts w:hint="eastAsia"/>
          <w:color w:val="auto"/>
          <w:sz w:val="24"/>
          <w:szCs w:val="24"/>
          <w:highlight w:val="none"/>
        </w:rPr>
        <w:t>名以上成交候选供应商，并编写评审报告。</w:t>
      </w:r>
    </w:p>
    <w:p>
      <w:pPr>
        <w:spacing w:line="360" w:lineRule="auto"/>
        <w:ind w:firstLine="480" w:firstLineChars="200"/>
        <w:rPr>
          <w:color w:val="auto"/>
          <w:sz w:val="24"/>
          <w:szCs w:val="24"/>
          <w:highlight w:val="none"/>
        </w:rPr>
      </w:pPr>
      <w:r>
        <w:rPr>
          <w:rFonts w:hint="eastAsia"/>
          <w:color w:val="auto"/>
          <w:sz w:val="24"/>
          <w:szCs w:val="24"/>
          <w:highlight w:val="none"/>
          <w:lang w:val="en-US"/>
        </w:rPr>
        <w:t>6</w:t>
      </w:r>
      <w:r>
        <w:rPr>
          <w:color w:val="auto"/>
          <w:sz w:val="24"/>
          <w:szCs w:val="24"/>
          <w:highlight w:val="none"/>
        </w:rPr>
        <w:t>.2</w:t>
      </w:r>
      <w:r>
        <w:rPr>
          <w:rFonts w:hint="eastAsia"/>
          <w:color w:val="auto"/>
          <w:sz w:val="24"/>
          <w:szCs w:val="24"/>
          <w:highlight w:val="none"/>
        </w:rPr>
        <w:t>符合《政府采购竞争性磋商采购方式管理暂行办法》第二十一条第三款情形的，可以推荐</w:t>
      </w:r>
      <w:r>
        <w:rPr>
          <w:color w:val="auto"/>
          <w:sz w:val="24"/>
          <w:szCs w:val="24"/>
          <w:highlight w:val="none"/>
        </w:rPr>
        <w:t>2</w:t>
      </w:r>
      <w:r>
        <w:rPr>
          <w:rFonts w:hint="eastAsia"/>
          <w:color w:val="auto"/>
          <w:sz w:val="24"/>
          <w:szCs w:val="24"/>
          <w:highlight w:val="none"/>
        </w:rPr>
        <w:t>家成交候选供应商。评审得分相同的，按照最后报价由低到高的顺序推荐。评审得分且最后报价相同的，按照技术指标优劣顺序推荐。</w:t>
      </w:r>
    </w:p>
    <w:p>
      <w:pPr>
        <w:spacing w:line="360" w:lineRule="auto"/>
        <w:ind w:firstLine="482" w:firstLineChars="200"/>
        <w:rPr>
          <w:b/>
          <w:bCs/>
          <w:color w:val="auto"/>
          <w:sz w:val="24"/>
          <w:szCs w:val="24"/>
          <w:highlight w:val="none"/>
        </w:rPr>
      </w:pPr>
      <w:r>
        <w:rPr>
          <w:rFonts w:hint="eastAsia"/>
          <w:b/>
          <w:bCs/>
          <w:color w:val="auto"/>
          <w:sz w:val="24"/>
          <w:szCs w:val="24"/>
          <w:highlight w:val="none"/>
          <w:lang w:val="en-US"/>
        </w:rPr>
        <w:t>7</w:t>
      </w:r>
      <w:r>
        <w:rPr>
          <w:rFonts w:hint="eastAsia"/>
          <w:b/>
          <w:bCs/>
          <w:color w:val="auto"/>
          <w:sz w:val="24"/>
          <w:szCs w:val="24"/>
          <w:highlight w:val="none"/>
        </w:rPr>
        <w:t>、编写评审报告</w:t>
      </w:r>
    </w:p>
    <w:p>
      <w:pPr>
        <w:spacing w:line="360" w:lineRule="auto"/>
        <w:ind w:firstLine="480" w:firstLineChars="200"/>
        <w:rPr>
          <w:color w:val="auto"/>
          <w:sz w:val="24"/>
          <w:szCs w:val="24"/>
          <w:highlight w:val="none"/>
        </w:rPr>
      </w:pPr>
      <w:r>
        <w:rPr>
          <w:rFonts w:hint="eastAsia"/>
          <w:color w:val="auto"/>
          <w:sz w:val="24"/>
          <w:szCs w:val="24"/>
          <w:highlight w:val="none"/>
        </w:rPr>
        <w:t>评审报告应当包括以下主要内容：</w:t>
      </w:r>
    </w:p>
    <w:p>
      <w:pPr>
        <w:spacing w:line="360" w:lineRule="auto"/>
        <w:ind w:firstLine="480" w:firstLineChars="200"/>
        <w:rPr>
          <w:color w:val="auto"/>
          <w:sz w:val="24"/>
          <w:szCs w:val="24"/>
          <w:highlight w:val="none"/>
        </w:rPr>
      </w:pPr>
      <w:r>
        <w:rPr>
          <w:rFonts w:hint="eastAsia"/>
          <w:color w:val="auto"/>
          <w:sz w:val="24"/>
          <w:szCs w:val="24"/>
          <w:highlight w:val="none"/>
        </w:rPr>
        <w:t>（一）邀请供应商参加采购活动的具体方式和相关情况；</w:t>
      </w:r>
    </w:p>
    <w:p>
      <w:pPr>
        <w:spacing w:line="360" w:lineRule="auto"/>
        <w:ind w:firstLine="480" w:firstLineChars="200"/>
        <w:rPr>
          <w:color w:val="auto"/>
          <w:sz w:val="24"/>
          <w:szCs w:val="24"/>
          <w:highlight w:val="none"/>
        </w:rPr>
      </w:pPr>
      <w:r>
        <w:rPr>
          <w:rFonts w:hint="eastAsia"/>
          <w:color w:val="auto"/>
          <w:sz w:val="24"/>
          <w:szCs w:val="24"/>
          <w:highlight w:val="none"/>
        </w:rPr>
        <w:t>（二）响应文件开启日期和地点；</w:t>
      </w:r>
    </w:p>
    <w:p>
      <w:pPr>
        <w:spacing w:line="360" w:lineRule="auto"/>
        <w:ind w:firstLine="480" w:firstLineChars="200"/>
        <w:rPr>
          <w:color w:val="auto"/>
          <w:sz w:val="24"/>
          <w:szCs w:val="24"/>
          <w:highlight w:val="none"/>
        </w:rPr>
      </w:pPr>
      <w:r>
        <w:rPr>
          <w:rFonts w:hint="eastAsia"/>
          <w:color w:val="auto"/>
          <w:sz w:val="24"/>
          <w:szCs w:val="24"/>
          <w:highlight w:val="none"/>
        </w:rPr>
        <w:t>（三）获取磋商文件的供应商名单和磋商小组成员名单；</w:t>
      </w:r>
    </w:p>
    <w:p>
      <w:pPr>
        <w:spacing w:line="360" w:lineRule="auto"/>
        <w:ind w:firstLine="480" w:firstLineChars="200"/>
        <w:rPr>
          <w:color w:val="auto"/>
          <w:sz w:val="24"/>
          <w:szCs w:val="24"/>
          <w:highlight w:val="none"/>
        </w:rPr>
      </w:pPr>
      <w:r>
        <w:rPr>
          <w:rFonts w:hint="eastAsia"/>
          <w:color w:val="auto"/>
          <w:sz w:val="24"/>
          <w:szCs w:val="24"/>
          <w:highlight w:val="none"/>
        </w:rPr>
        <w:t>（四）评审情况记录和说明，包括对供应商的资格审查情况、供应商响应文件评审情况、磋商情况、报价情况等；</w:t>
      </w:r>
    </w:p>
    <w:p>
      <w:pPr>
        <w:spacing w:line="360" w:lineRule="auto"/>
        <w:ind w:firstLine="480" w:firstLineChars="200"/>
        <w:rPr>
          <w:color w:val="auto"/>
          <w:sz w:val="24"/>
          <w:szCs w:val="24"/>
          <w:highlight w:val="none"/>
        </w:rPr>
      </w:pPr>
      <w:r>
        <w:rPr>
          <w:rFonts w:hint="eastAsia"/>
          <w:color w:val="auto"/>
          <w:sz w:val="24"/>
          <w:szCs w:val="24"/>
          <w:highlight w:val="none"/>
        </w:rPr>
        <w:t>（五）提出的成交候选供应商的排序名单及理由。</w:t>
      </w:r>
    </w:p>
    <w:p>
      <w:pPr>
        <w:spacing w:line="360" w:lineRule="auto"/>
        <w:ind w:firstLine="482" w:firstLineChars="200"/>
        <w:rPr>
          <w:b/>
          <w:bCs/>
          <w:color w:val="auto"/>
          <w:sz w:val="24"/>
          <w:szCs w:val="24"/>
          <w:highlight w:val="none"/>
        </w:rPr>
      </w:pPr>
      <w:r>
        <w:rPr>
          <w:rFonts w:hint="eastAsia"/>
          <w:b/>
          <w:bCs/>
          <w:color w:val="auto"/>
          <w:sz w:val="24"/>
          <w:szCs w:val="24"/>
          <w:highlight w:val="none"/>
          <w:lang w:val="en-US"/>
        </w:rPr>
        <w:t>8</w:t>
      </w:r>
      <w:r>
        <w:rPr>
          <w:rFonts w:hint="eastAsia"/>
          <w:b/>
          <w:bCs/>
          <w:color w:val="auto"/>
          <w:sz w:val="24"/>
          <w:szCs w:val="24"/>
          <w:highlight w:val="none"/>
        </w:rPr>
        <w:t>、终止采购</w:t>
      </w:r>
    </w:p>
    <w:p>
      <w:pPr>
        <w:spacing w:line="360" w:lineRule="auto"/>
        <w:ind w:firstLine="480" w:firstLineChars="200"/>
        <w:rPr>
          <w:color w:val="auto"/>
          <w:sz w:val="24"/>
          <w:szCs w:val="24"/>
          <w:highlight w:val="none"/>
        </w:rPr>
      </w:pPr>
      <w:r>
        <w:rPr>
          <w:rFonts w:hint="eastAsia"/>
          <w:color w:val="auto"/>
          <w:sz w:val="24"/>
          <w:szCs w:val="24"/>
          <w:highlight w:val="none"/>
        </w:rPr>
        <w:t>出现下列情形之一的，采购人应当终止竞争性磋商采购活动，发布项目终止公告并说明原因，重新开展采购活动：</w:t>
      </w:r>
    </w:p>
    <w:p>
      <w:pPr>
        <w:spacing w:line="360" w:lineRule="auto"/>
        <w:ind w:firstLine="480" w:firstLineChars="200"/>
        <w:rPr>
          <w:color w:val="auto"/>
          <w:sz w:val="24"/>
          <w:szCs w:val="24"/>
          <w:highlight w:val="none"/>
        </w:rPr>
      </w:pPr>
      <w:r>
        <w:rPr>
          <w:rFonts w:hint="eastAsia"/>
          <w:color w:val="auto"/>
          <w:sz w:val="24"/>
          <w:szCs w:val="24"/>
          <w:highlight w:val="none"/>
        </w:rPr>
        <w:t>（一）因情况变化，不再符合规定的竞争性磋商采购方式适用情形的；</w:t>
      </w:r>
    </w:p>
    <w:p>
      <w:pPr>
        <w:spacing w:line="360" w:lineRule="auto"/>
        <w:ind w:firstLine="480" w:firstLineChars="200"/>
        <w:rPr>
          <w:color w:val="auto"/>
          <w:sz w:val="24"/>
          <w:szCs w:val="24"/>
          <w:highlight w:val="none"/>
        </w:rPr>
      </w:pPr>
      <w:r>
        <w:rPr>
          <w:rFonts w:hint="eastAsia"/>
          <w:color w:val="auto"/>
          <w:sz w:val="24"/>
          <w:szCs w:val="24"/>
          <w:highlight w:val="none"/>
        </w:rPr>
        <w:t>（二）出现影响采购公正的违法、违规行为的；</w:t>
      </w:r>
    </w:p>
    <w:p>
      <w:pPr>
        <w:spacing w:line="360" w:lineRule="auto"/>
        <w:ind w:firstLine="480" w:firstLineChars="200"/>
        <w:rPr>
          <w:color w:val="auto"/>
          <w:sz w:val="24"/>
          <w:szCs w:val="24"/>
          <w:highlight w:val="none"/>
        </w:rPr>
      </w:pPr>
      <w:r>
        <w:rPr>
          <w:rFonts w:hint="eastAsia"/>
          <w:color w:val="auto"/>
          <w:sz w:val="24"/>
          <w:szCs w:val="24"/>
          <w:highlight w:val="none"/>
        </w:rPr>
        <w:t>（三）除《政府采购竞争性磋商采购方式管理暂行办法》第二十一条第三款规定的情形外，在采购过程中符合要求的供应商或者报价未超过采购预算的供应商不足</w:t>
      </w:r>
      <w:r>
        <w:rPr>
          <w:color w:val="auto"/>
          <w:sz w:val="24"/>
          <w:szCs w:val="24"/>
          <w:highlight w:val="none"/>
        </w:rPr>
        <w:t>3</w:t>
      </w:r>
      <w:r>
        <w:rPr>
          <w:rFonts w:hint="eastAsia"/>
          <w:color w:val="auto"/>
          <w:sz w:val="24"/>
          <w:szCs w:val="24"/>
          <w:highlight w:val="none"/>
        </w:rPr>
        <w:t>家的。</w:t>
      </w:r>
    </w:p>
    <w:p>
      <w:pPr>
        <w:spacing w:line="360" w:lineRule="auto"/>
        <w:ind w:firstLine="480" w:firstLineChars="200"/>
        <w:rPr>
          <w:color w:val="auto"/>
          <w:sz w:val="24"/>
          <w:szCs w:val="24"/>
          <w:highlight w:val="none"/>
        </w:rPr>
      </w:pPr>
      <w:r>
        <w:rPr>
          <w:rFonts w:hint="eastAsia"/>
          <w:color w:val="auto"/>
          <w:sz w:val="24"/>
          <w:szCs w:val="24"/>
          <w:highlight w:val="none"/>
        </w:rPr>
        <w:t>在采购活动中因重大变故，采购任务取消的，采购人应当终止采购活动，通知所有参加采购活动的供应商，并将项目实施情况和采购任务取消原因报送本级财政部门。</w:t>
      </w:r>
    </w:p>
    <w:p>
      <w:pPr>
        <w:spacing w:line="360" w:lineRule="auto"/>
        <w:ind w:firstLine="482" w:firstLineChars="200"/>
        <w:rPr>
          <w:b/>
          <w:bCs/>
          <w:color w:val="auto"/>
          <w:sz w:val="24"/>
          <w:szCs w:val="24"/>
          <w:highlight w:val="none"/>
        </w:rPr>
        <w:sectPr>
          <w:headerReference r:id="rId9" w:type="default"/>
          <w:footerReference r:id="rId10" w:type="default"/>
          <w:pgSz w:w="11906" w:h="16838"/>
          <w:pgMar w:top="1247" w:right="1247" w:bottom="1134" w:left="1644" w:header="851" w:footer="851" w:gutter="0"/>
          <w:pgNumType w:fmt="decimal"/>
          <w:cols w:space="720" w:num="1"/>
          <w:docGrid w:type="lines" w:linePitch="312" w:charSpace="0"/>
        </w:sectPr>
      </w:pPr>
    </w:p>
    <w:p>
      <w:pPr>
        <w:spacing w:before="52"/>
        <w:ind w:left="868"/>
        <w:rPr>
          <w:b/>
          <w:color w:val="auto"/>
          <w:sz w:val="28"/>
          <w:highlight w:val="none"/>
        </w:rPr>
      </w:pPr>
      <w:r>
        <w:rPr>
          <w:b/>
          <w:color w:val="auto"/>
          <w:sz w:val="28"/>
          <w:highlight w:val="none"/>
        </w:rPr>
        <w:t xml:space="preserve">附件 </w:t>
      </w:r>
      <w:r>
        <w:rPr>
          <w:rFonts w:ascii="Times New Roman" w:eastAsia="Times New Roman"/>
          <w:b/>
          <w:color w:val="auto"/>
          <w:sz w:val="28"/>
          <w:highlight w:val="none"/>
        </w:rPr>
        <w:t>1</w:t>
      </w:r>
      <w:r>
        <w:rPr>
          <w:b/>
          <w:color w:val="auto"/>
          <w:sz w:val="28"/>
          <w:highlight w:val="none"/>
        </w:rPr>
        <w:t>：审查表</w:t>
      </w:r>
    </w:p>
    <w:p>
      <w:pPr>
        <w:pStyle w:val="12"/>
        <w:spacing w:before="11"/>
        <w:rPr>
          <w:b/>
          <w:color w:val="auto"/>
          <w:sz w:val="15"/>
          <w:highlight w:val="none"/>
        </w:rPr>
      </w:pPr>
    </w:p>
    <w:p>
      <w:pPr>
        <w:spacing w:before="62"/>
        <w:ind w:left="2" w:right="89"/>
        <w:jc w:val="center"/>
        <w:rPr>
          <w:b/>
          <w:color w:val="auto"/>
          <w:sz w:val="28"/>
          <w:highlight w:val="none"/>
        </w:rPr>
      </w:pPr>
      <w:r>
        <w:rPr>
          <w:b/>
          <w:color w:val="auto"/>
          <w:sz w:val="28"/>
          <w:highlight w:val="none"/>
        </w:rPr>
        <w:t>★响应文件审查表</w:t>
      </w:r>
    </w:p>
    <w:p>
      <w:pPr>
        <w:pStyle w:val="12"/>
        <w:spacing w:before="5"/>
        <w:rPr>
          <w:b/>
          <w:color w:val="auto"/>
          <w:sz w:val="10"/>
          <w:highlight w:val="none"/>
        </w:rPr>
      </w:pP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8"/>
        <w:gridCol w:w="1702"/>
        <w:gridCol w:w="58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08" w:type="dxa"/>
            <w:noWrap w:val="0"/>
            <w:vAlign w:val="center"/>
          </w:tcPr>
          <w:p>
            <w:pPr>
              <w:jc w:val="center"/>
              <w:rPr>
                <w:color w:val="auto"/>
                <w:highlight w:val="none"/>
              </w:rPr>
            </w:pPr>
            <w:r>
              <w:rPr>
                <w:color w:val="auto"/>
                <w:highlight w:val="none"/>
              </w:rPr>
              <w:t>序号</w:t>
            </w:r>
          </w:p>
        </w:tc>
        <w:tc>
          <w:tcPr>
            <w:tcW w:w="1702" w:type="dxa"/>
            <w:noWrap w:val="0"/>
            <w:vAlign w:val="center"/>
          </w:tcPr>
          <w:p>
            <w:pPr>
              <w:jc w:val="center"/>
              <w:rPr>
                <w:color w:val="auto"/>
                <w:highlight w:val="none"/>
              </w:rPr>
            </w:pPr>
            <w:r>
              <w:rPr>
                <w:color w:val="auto"/>
                <w:highlight w:val="none"/>
              </w:rPr>
              <w:t>评审因素</w:t>
            </w:r>
          </w:p>
        </w:tc>
        <w:tc>
          <w:tcPr>
            <w:tcW w:w="5820" w:type="dxa"/>
            <w:noWrap w:val="0"/>
            <w:vAlign w:val="center"/>
          </w:tcPr>
          <w:p>
            <w:pPr>
              <w:jc w:val="center"/>
              <w:rPr>
                <w:color w:val="auto"/>
                <w:highlight w:val="none"/>
              </w:rPr>
            </w:pPr>
            <w:r>
              <w:rPr>
                <w:color w:val="auto"/>
                <w:highlight w:val="none"/>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jc w:val="center"/>
        </w:trPr>
        <w:tc>
          <w:tcPr>
            <w:tcW w:w="808" w:type="dxa"/>
            <w:noWrap w:val="0"/>
            <w:vAlign w:val="center"/>
          </w:tcPr>
          <w:p>
            <w:pPr>
              <w:jc w:val="center"/>
              <w:rPr>
                <w:color w:val="auto"/>
                <w:highlight w:val="none"/>
              </w:rPr>
            </w:pPr>
          </w:p>
          <w:p>
            <w:pPr>
              <w:jc w:val="center"/>
              <w:rPr>
                <w:color w:val="auto"/>
                <w:highlight w:val="none"/>
              </w:rPr>
            </w:pPr>
          </w:p>
          <w:p>
            <w:pPr>
              <w:jc w:val="center"/>
              <w:rPr>
                <w:color w:val="auto"/>
                <w:highlight w:val="none"/>
              </w:rPr>
            </w:pPr>
            <w:r>
              <w:rPr>
                <w:color w:val="auto"/>
                <w:highlight w:val="none"/>
              </w:rPr>
              <w:t>1</w:t>
            </w:r>
          </w:p>
        </w:tc>
        <w:tc>
          <w:tcPr>
            <w:tcW w:w="1702" w:type="dxa"/>
            <w:noWrap w:val="0"/>
            <w:vAlign w:val="center"/>
          </w:tcPr>
          <w:p>
            <w:pPr>
              <w:jc w:val="center"/>
              <w:rPr>
                <w:color w:val="auto"/>
                <w:highlight w:val="none"/>
              </w:rPr>
            </w:pPr>
          </w:p>
          <w:p>
            <w:pPr>
              <w:jc w:val="center"/>
              <w:rPr>
                <w:color w:val="auto"/>
                <w:highlight w:val="none"/>
              </w:rPr>
            </w:pPr>
          </w:p>
          <w:p>
            <w:pPr>
              <w:jc w:val="center"/>
              <w:rPr>
                <w:color w:val="auto"/>
                <w:highlight w:val="none"/>
              </w:rPr>
            </w:pPr>
            <w:r>
              <w:rPr>
                <w:color w:val="auto"/>
                <w:highlight w:val="none"/>
              </w:rPr>
              <w:t>信用查询</w:t>
            </w:r>
          </w:p>
        </w:tc>
        <w:tc>
          <w:tcPr>
            <w:tcW w:w="5820" w:type="dxa"/>
            <w:noWrap w:val="0"/>
            <w:vAlign w:val="center"/>
          </w:tcPr>
          <w:p>
            <w:pPr>
              <w:rPr>
                <w:color w:val="auto"/>
                <w:highlight w:val="none"/>
              </w:rPr>
            </w:pPr>
            <w:r>
              <w:rPr>
                <w:rFonts w:hint="eastAsia"/>
                <w:color w:val="auto"/>
                <w:highlight w:val="none"/>
                <w:lang w:val="en-US" w:eastAsia="zh-CN"/>
              </w:rPr>
              <w:t>采购人或采购代理机构将在响应文件递交截止后查询供应商的信用记录，供应商存在不良信用记录的，其文件将被作为无效响应被否决。不良信用记录指：供应商在“信用中国”网站（www.creditchina.gov.cn）被列入失信被执行人、重大税收违法案件当事人名单、政府采购严重违法失信名单或在中国政府采购网（www.ccgp.gov.cn）被列入政府采购严重违法失信行为记录名单（需提供承诺书，并由采购人和代理机构于开标现场实时查询核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 w:hRule="atLeast"/>
          <w:jc w:val="center"/>
        </w:trPr>
        <w:tc>
          <w:tcPr>
            <w:tcW w:w="808" w:type="dxa"/>
            <w:noWrap w:val="0"/>
            <w:vAlign w:val="center"/>
          </w:tcPr>
          <w:p>
            <w:pPr>
              <w:jc w:val="center"/>
              <w:rPr>
                <w:rFonts w:hint="eastAsia" w:ascii="宋体" w:hAnsi="宋体" w:eastAsia="宋体" w:cs="宋体"/>
                <w:b w:val="0"/>
                <w:bCs w:val="0"/>
                <w:color w:val="auto"/>
                <w:sz w:val="22"/>
                <w:szCs w:val="22"/>
                <w:highlight w:val="none"/>
                <w:lang w:val="en-US" w:eastAsia="zh-CN" w:bidi="zh-CN"/>
              </w:rPr>
            </w:pPr>
            <w:r>
              <w:rPr>
                <w:rFonts w:hint="eastAsia"/>
                <w:b w:val="0"/>
                <w:bCs w:val="0"/>
                <w:color w:val="auto"/>
                <w:highlight w:val="none"/>
                <w:lang w:val="en-US" w:eastAsia="zh-CN"/>
              </w:rPr>
              <w:t>2</w:t>
            </w:r>
          </w:p>
        </w:tc>
        <w:tc>
          <w:tcPr>
            <w:tcW w:w="1702" w:type="dxa"/>
            <w:noWrap w:val="0"/>
            <w:vAlign w:val="center"/>
          </w:tcPr>
          <w:p>
            <w:pPr>
              <w:jc w:val="center"/>
              <w:rPr>
                <w:rFonts w:hint="eastAsia"/>
                <w:color w:val="auto"/>
                <w:highlight w:val="none"/>
                <w:lang w:eastAsia="zh-CN"/>
              </w:rPr>
            </w:pPr>
            <w:r>
              <w:rPr>
                <w:rFonts w:hint="eastAsia"/>
                <w:color w:val="auto"/>
                <w:highlight w:val="none"/>
                <w:lang w:eastAsia="zh-CN"/>
              </w:rPr>
              <w:t>具有独立承担民事责任能力的法人、其他组织或者自然人</w:t>
            </w:r>
          </w:p>
        </w:tc>
        <w:tc>
          <w:tcPr>
            <w:tcW w:w="5820" w:type="dxa"/>
            <w:noWrap w:val="0"/>
            <w:vAlign w:val="center"/>
          </w:tcPr>
          <w:p>
            <w:pPr>
              <w:rPr>
                <w:rFonts w:hint="eastAsia"/>
                <w:color w:val="auto"/>
                <w:highlight w:val="none"/>
              </w:rPr>
            </w:pPr>
            <w:r>
              <w:rPr>
                <w:rFonts w:hint="eastAsia"/>
                <w:color w:val="auto"/>
                <w:highlight w:val="none"/>
              </w:rPr>
              <w:t>（1）供应商为法人，应提交营业执照或法人登记书或批准文件复印件加盖公章；（2）供应商为非法人组织的，应提交依法登记证书复印件加盖公章；（3）供应商为个体工商户的，应提交个体工商户营业执照复印件加盖公章；（4）供应商为自然人的，应提交自然人的身份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0" w:hRule="atLeast"/>
          <w:jc w:val="center"/>
        </w:trPr>
        <w:tc>
          <w:tcPr>
            <w:tcW w:w="808" w:type="dxa"/>
            <w:noWrap w:val="0"/>
            <w:vAlign w:val="center"/>
          </w:tcPr>
          <w:p>
            <w:pPr>
              <w:jc w:val="center"/>
              <w:rPr>
                <w:b w:val="0"/>
                <w:bCs w:val="0"/>
                <w:color w:val="auto"/>
                <w:highlight w:val="none"/>
              </w:rPr>
            </w:pPr>
          </w:p>
          <w:p>
            <w:pPr>
              <w:jc w:val="center"/>
              <w:rPr>
                <w:rFonts w:hint="eastAsia" w:ascii="宋体" w:hAnsi="宋体" w:eastAsia="宋体" w:cs="宋体"/>
                <w:b w:val="0"/>
                <w:bCs w:val="0"/>
                <w:color w:val="auto"/>
                <w:sz w:val="22"/>
                <w:szCs w:val="22"/>
                <w:highlight w:val="none"/>
                <w:lang w:val="zh-CN" w:eastAsia="zh-CN" w:bidi="zh-CN"/>
              </w:rPr>
            </w:pPr>
            <w:r>
              <w:rPr>
                <w:rFonts w:hint="eastAsia"/>
                <w:b w:val="0"/>
                <w:bCs w:val="0"/>
                <w:color w:val="auto"/>
                <w:highlight w:val="none"/>
                <w:lang w:val="en-US" w:eastAsia="zh-CN"/>
              </w:rPr>
              <w:t>3</w:t>
            </w:r>
          </w:p>
        </w:tc>
        <w:tc>
          <w:tcPr>
            <w:tcW w:w="1702" w:type="dxa"/>
            <w:noWrap w:val="0"/>
            <w:vAlign w:val="center"/>
          </w:tcPr>
          <w:p>
            <w:pPr>
              <w:jc w:val="center"/>
              <w:rPr>
                <w:color w:val="auto"/>
                <w:highlight w:val="none"/>
              </w:rPr>
            </w:pPr>
            <w:r>
              <w:rPr>
                <w:color w:val="auto"/>
                <w:highlight w:val="none"/>
              </w:rPr>
              <w:t>财务状况</w:t>
            </w:r>
          </w:p>
        </w:tc>
        <w:tc>
          <w:tcPr>
            <w:tcW w:w="5820" w:type="dxa"/>
            <w:noWrap w:val="0"/>
            <w:vAlign w:val="center"/>
          </w:tcPr>
          <w:p>
            <w:pPr>
              <w:rPr>
                <w:color w:val="auto"/>
                <w:highlight w:val="none"/>
              </w:rPr>
            </w:pPr>
            <w:r>
              <w:rPr>
                <w:rFonts w:hint="eastAsia"/>
                <w:color w:val="auto"/>
                <w:highlight w:val="none"/>
              </w:rPr>
              <w:t>需提供资格承诺函或2020年度经审计的财务报告或2021年至今任意一个月的财务报表（含资产负债表、损益表（非盈利性单位可不提供）、现金流量表）并加盖公章；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jc w:val="center"/>
        </w:trPr>
        <w:tc>
          <w:tcPr>
            <w:tcW w:w="808" w:type="dxa"/>
            <w:noWrap w:val="0"/>
            <w:vAlign w:val="center"/>
          </w:tcPr>
          <w:p>
            <w:pPr>
              <w:jc w:val="center"/>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en-US" w:eastAsia="zh-CN"/>
              </w:rPr>
              <w:t>4</w:t>
            </w:r>
          </w:p>
        </w:tc>
        <w:tc>
          <w:tcPr>
            <w:tcW w:w="1702" w:type="dxa"/>
            <w:noWrap w:val="0"/>
            <w:vAlign w:val="center"/>
          </w:tcPr>
          <w:p>
            <w:pPr>
              <w:jc w:val="center"/>
              <w:rPr>
                <w:rFonts w:ascii="宋体" w:hAnsi="宋体" w:eastAsia="宋体" w:cs="宋体"/>
                <w:color w:val="auto"/>
                <w:highlight w:val="none"/>
              </w:rPr>
            </w:pPr>
            <w:r>
              <w:rPr>
                <w:rFonts w:ascii="宋体" w:hAnsi="宋体" w:eastAsia="宋体" w:cs="宋体"/>
                <w:color w:val="auto"/>
                <w:highlight w:val="none"/>
              </w:rPr>
              <w:t>设备和技术能力</w:t>
            </w:r>
          </w:p>
        </w:tc>
        <w:tc>
          <w:tcPr>
            <w:tcW w:w="5820" w:type="dxa"/>
            <w:noWrap w:val="0"/>
            <w:vAlign w:val="center"/>
          </w:tcPr>
          <w:p>
            <w:pPr>
              <w:rPr>
                <w:color w:val="auto"/>
                <w:highlight w:val="none"/>
              </w:rPr>
            </w:pPr>
            <w:r>
              <w:rPr>
                <w:color w:val="auto"/>
                <w:highlight w:val="none"/>
              </w:rPr>
              <w:t>具有履行合同所必需的设备和专业技术能力（提供承诺书）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808" w:type="dxa"/>
            <w:noWrap w:val="0"/>
            <w:vAlign w:val="center"/>
          </w:tcPr>
          <w:p>
            <w:pPr>
              <w:jc w:val="center"/>
              <w:rPr>
                <w:rFonts w:hint="eastAsia" w:ascii="宋体" w:hAnsi="宋体" w:eastAsia="宋体" w:cs="宋体"/>
                <w:b w:val="0"/>
                <w:bCs w:val="0"/>
                <w:color w:val="auto"/>
                <w:sz w:val="22"/>
                <w:szCs w:val="22"/>
                <w:highlight w:val="none"/>
                <w:lang w:val="zh-CN" w:eastAsia="zh-CN" w:bidi="zh-CN"/>
              </w:rPr>
            </w:pPr>
            <w:r>
              <w:rPr>
                <w:rFonts w:hint="eastAsia"/>
                <w:b w:val="0"/>
                <w:bCs w:val="0"/>
                <w:color w:val="auto"/>
                <w:highlight w:val="none"/>
                <w:lang w:val="en-US" w:eastAsia="zh-CN"/>
              </w:rPr>
              <w:t>5</w:t>
            </w:r>
          </w:p>
        </w:tc>
        <w:tc>
          <w:tcPr>
            <w:tcW w:w="1702" w:type="dxa"/>
            <w:noWrap w:val="0"/>
            <w:vAlign w:val="center"/>
          </w:tcPr>
          <w:p>
            <w:pPr>
              <w:jc w:val="center"/>
              <w:rPr>
                <w:color w:val="auto"/>
                <w:highlight w:val="none"/>
              </w:rPr>
            </w:pPr>
          </w:p>
          <w:p>
            <w:pPr>
              <w:jc w:val="center"/>
              <w:rPr>
                <w:color w:val="auto"/>
                <w:highlight w:val="none"/>
              </w:rPr>
            </w:pPr>
            <w:r>
              <w:rPr>
                <w:color w:val="auto"/>
                <w:highlight w:val="none"/>
              </w:rPr>
              <w:t>社保</w:t>
            </w:r>
          </w:p>
        </w:tc>
        <w:tc>
          <w:tcPr>
            <w:tcW w:w="5820" w:type="dxa"/>
            <w:noWrap w:val="0"/>
            <w:vAlign w:val="center"/>
          </w:tcPr>
          <w:p>
            <w:pPr>
              <w:rPr>
                <w:color w:val="auto"/>
                <w:highlight w:val="none"/>
              </w:rPr>
            </w:pPr>
            <w:r>
              <w:rPr>
                <w:rFonts w:hint="eastAsia"/>
                <w:color w:val="auto"/>
                <w:highlight w:val="none"/>
              </w:rPr>
              <w:t>需提供资格承诺函或2021年至今任意一个月的社会保障缴费记录复印件加盖公章；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808" w:type="dxa"/>
            <w:noWrap w:val="0"/>
            <w:vAlign w:val="center"/>
          </w:tcPr>
          <w:p>
            <w:pPr>
              <w:jc w:val="center"/>
              <w:rPr>
                <w:rFonts w:hint="eastAsia" w:ascii="宋体" w:hAnsi="宋体" w:eastAsia="宋体" w:cs="宋体"/>
                <w:b w:val="0"/>
                <w:bCs w:val="0"/>
                <w:color w:val="auto"/>
                <w:sz w:val="22"/>
                <w:szCs w:val="22"/>
                <w:highlight w:val="none"/>
                <w:lang w:val="zh-CN" w:eastAsia="zh-CN" w:bidi="zh-CN"/>
              </w:rPr>
            </w:pPr>
            <w:r>
              <w:rPr>
                <w:rFonts w:hint="eastAsia"/>
                <w:b w:val="0"/>
                <w:bCs w:val="0"/>
                <w:color w:val="auto"/>
                <w:highlight w:val="none"/>
                <w:lang w:val="en-US" w:eastAsia="zh-CN"/>
              </w:rPr>
              <w:t>6</w:t>
            </w:r>
          </w:p>
        </w:tc>
        <w:tc>
          <w:tcPr>
            <w:tcW w:w="1702" w:type="dxa"/>
            <w:noWrap w:val="0"/>
            <w:vAlign w:val="center"/>
          </w:tcPr>
          <w:p>
            <w:pPr>
              <w:jc w:val="center"/>
              <w:rPr>
                <w:color w:val="auto"/>
                <w:highlight w:val="none"/>
              </w:rPr>
            </w:pPr>
            <w:r>
              <w:rPr>
                <w:color w:val="auto"/>
                <w:highlight w:val="none"/>
              </w:rPr>
              <w:t>纳税</w:t>
            </w:r>
          </w:p>
        </w:tc>
        <w:tc>
          <w:tcPr>
            <w:tcW w:w="5820" w:type="dxa"/>
            <w:noWrap w:val="0"/>
            <w:vAlign w:val="center"/>
          </w:tcPr>
          <w:p>
            <w:pPr>
              <w:rPr>
                <w:rFonts w:hint="eastAsia"/>
                <w:color w:val="auto"/>
                <w:highlight w:val="none"/>
              </w:rPr>
            </w:pPr>
            <w:r>
              <w:rPr>
                <w:rFonts w:hint="eastAsia"/>
                <w:color w:val="auto"/>
                <w:highlight w:val="none"/>
              </w:rPr>
              <w:t>需提供资格承诺函或2021年至今任意一个月的纳税记录复印件加盖公章。（零纳税须提供税务部门盖章的纳税申报表。）；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jc w:val="center"/>
        </w:trPr>
        <w:tc>
          <w:tcPr>
            <w:tcW w:w="808" w:type="dxa"/>
            <w:noWrap w:val="0"/>
            <w:vAlign w:val="center"/>
          </w:tcPr>
          <w:p>
            <w:pPr>
              <w:jc w:val="center"/>
              <w:rPr>
                <w:rFonts w:hint="eastAsia" w:ascii="Times New Roman" w:hAnsi="Times New Roman" w:cs="Times New Roman"/>
                <w:b w:val="0"/>
                <w:bCs w:val="0"/>
                <w:color w:val="auto"/>
                <w:kern w:val="2"/>
                <w:sz w:val="21"/>
                <w:szCs w:val="21"/>
                <w:highlight w:val="none"/>
                <w:lang w:val="zh-CN" w:eastAsia="zh-CN" w:bidi="ar-SA"/>
              </w:rPr>
            </w:pPr>
            <w:r>
              <w:rPr>
                <w:rFonts w:hint="eastAsia" w:ascii="Times New Roman" w:hAnsi="Times New Roman" w:cs="Times New Roman"/>
                <w:b w:val="0"/>
                <w:bCs w:val="0"/>
                <w:color w:val="auto"/>
                <w:kern w:val="2"/>
                <w:sz w:val="21"/>
                <w:szCs w:val="21"/>
                <w:highlight w:val="none"/>
                <w:lang w:val="en-US" w:eastAsia="zh-CN" w:bidi="ar-SA"/>
              </w:rPr>
              <w:t>7</w:t>
            </w:r>
          </w:p>
        </w:tc>
        <w:tc>
          <w:tcPr>
            <w:tcW w:w="1702" w:type="dxa"/>
            <w:noWrap w:val="0"/>
            <w:vAlign w:val="center"/>
          </w:tcPr>
          <w:p>
            <w:pPr>
              <w:jc w:val="center"/>
              <w:rPr>
                <w:color w:val="auto"/>
                <w:highlight w:val="none"/>
              </w:rPr>
            </w:pPr>
          </w:p>
          <w:p>
            <w:pPr>
              <w:jc w:val="center"/>
              <w:rPr>
                <w:color w:val="auto"/>
                <w:highlight w:val="none"/>
              </w:rPr>
            </w:pPr>
            <w:r>
              <w:rPr>
                <w:color w:val="auto"/>
                <w:highlight w:val="none"/>
              </w:rPr>
              <w:t>声明</w:t>
            </w:r>
          </w:p>
        </w:tc>
        <w:tc>
          <w:tcPr>
            <w:tcW w:w="5820" w:type="dxa"/>
            <w:noWrap w:val="0"/>
            <w:vAlign w:val="center"/>
          </w:tcPr>
          <w:p>
            <w:pPr>
              <w:rPr>
                <w:color w:val="auto"/>
                <w:highlight w:val="none"/>
              </w:rPr>
            </w:pPr>
            <w:r>
              <w:rPr>
                <w:rFonts w:hint="eastAsia"/>
                <w:color w:val="auto"/>
                <w:highlight w:val="none"/>
              </w:rPr>
              <w:t>参加政府采购活动前三年内，在经营活动中没有重大违法记录（成立不足三年的从成立之日起计算）（提供无重大违法记录声明函加盖公章）；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808" w:type="dxa"/>
            <w:noWrap w:val="0"/>
            <w:vAlign w:val="center"/>
          </w:tcPr>
          <w:p>
            <w:pPr>
              <w:jc w:val="center"/>
              <w:rPr>
                <w:rFonts w:hint="default"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8</w:t>
            </w:r>
          </w:p>
        </w:tc>
        <w:tc>
          <w:tcPr>
            <w:tcW w:w="1702" w:type="dxa"/>
            <w:noWrap w:val="0"/>
            <w:vAlign w:val="center"/>
          </w:tcPr>
          <w:p>
            <w:pPr>
              <w:jc w:val="center"/>
              <w:rPr>
                <w:color w:val="auto"/>
                <w:highlight w:val="none"/>
              </w:rPr>
            </w:pPr>
            <w:r>
              <w:rPr>
                <w:color w:val="auto"/>
                <w:highlight w:val="none"/>
              </w:rPr>
              <w:t>响应文件份数</w:t>
            </w:r>
          </w:p>
        </w:tc>
        <w:tc>
          <w:tcPr>
            <w:tcW w:w="5820" w:type="dxa"/>
            <w:noWrap w:val="0"/>
            <w:vAlign w:val="center"/>
          </w:tcPr>
          <w:p>
            <w:pPr>
              <w:rPr>
                <w:color w:val="auto"/>
                <w:highlight w:val="none"/>
              </w:rPr>
            </w:pPr>
            <w:r>
              <w:rPr>
                <w:color w:val="auto"/>
                <w:highlight w:val="none"/>
              </w:rPr>
              <w:t>符合磋商文件一正</w:t>
            </w:r>
            <w:r>
              <w:rPr>
                <w:rFonts w:hint="eastAsia"/>
                <w:color w:val="auto"/>
                <w:highlight w:val="none"/>
              </w:rPr>
              <w:t>贰</w:t>
            </w:r>
            <w:r>
              <w:rPr>
                <w:color w:val="auto"/>
                <w:highlight w:val="none"/>
              </w:rPr>
              <w:t>副的要求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808" w:type="dxa"/>
            <w:noWrap w:val="0"/>
            <w:vAlign w:val="center"/>
          </w:tcPr>
          <w:p>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宋体" w:hAnsi="宋体" w:eastAsia="宋体" w:cs="宋体"/>
                <w:b w:val="0"/>
                <w:bCs w:val="0"/>
                <w:color w:val="auto"/>
                <w:highlight w:val="none"/>
                <w:lang w:val="en-US" w:eastAsia="zh-CN"/>
              </w:rPr>
              <w:t>9</w:t>
            </w:r>
          </w:p>
        </w:tc>
        <w:tc>
          <w:tcPr>
            <w:tcW w:w="1702" w:type="dxa"/>
            <w:noWrap w:val="0"/>
            <w:vAlign w:val="center"/>
          </w:tcPr>
          <w:p>
            <w:pPr>
              <w:jc w:val="center"/>
              <w:rPr>
                <w:color w:val="auto"/>
                <w:highlight w:val="none"/>
              </w:rPr>
            </w:pPr>
            <w:r>
              <w:rPr>
                <w:color w:val="auto"/>
                <w:highlight w:val="none"/>
              </w:rPr>
              <w:t>响应文件</w:t>
            </w:r>
          </w:p>
          <w:p>
            <w:pPr>
              <w:jc w:val="center"/>
              <w:rPr>
                <w:color w:val="auto"/>
                <w:highlight w:val="none"/>
              </w:rPr>
            </w:pPr>
            <w:r>
              <w:rPr>
                <w:color w:val="auto"/>
                <w:highlight w:val="none"/>
              </w:rPr>
              <w:t>的签署</w:t>
            </w:r>
          </w:p>
        </w:tc>
        <w:tc>
          <w:tcPr>
            <w:tcW w:w="5820" w:type="dxa"/>
            <w:noWrap w:val="0"/>
            <w:vAlign w:val="center"/>
          </w:tcPr>
          <w:p>
            <w:pPr>
              <w:rPr>
                <w:color w:val="auto"/>
                <w:highlight w:val="none"/>
              </w:rPr>
            </w:pPr>
            <w:r>
              <w:rPr>
                <w:color w:val="auto"/>
                <w:highlight w:val="none"/>
              </w:rPr>
              <w:t>响应文件的签署符合磋商文件要求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08" w:type="dxa"/>
            <w:noWrap w:val="0"/>
            <w:vAlign w:val="center"/>
          </w:tcPr>
          <w:p>
            <w:pPr>
              <w:jc w:val="center"/>
              <w:rPr>
                <w:rFonts w:hint="eastAsia"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1</w:t>
            </w:r>
            <w:r>
              <w:rPr>
                <w:rFonts w:hint="eastAsia"/>
                <w:b w:val="0"/>
                <w:bCs w:val="0"/>
                <w:color w:val="auto"/>
                <w:highlight w:val="none"/>
                <w:lang w:val="en-US" w:eastAsia="zh-CN"/>
              </w:rPr>
              <w:t>0</w:t>
            </w:r>
          </w:p>
        </w:tc>
        <w:tc>
          <w:tcPr>
            <w:tcW w:w="1702" w:type="dxa"/>
            <w:noWrap w:val="0"/>
            <w:vAlign w:val="center"/>
          </w:tcPr>
          <w:p>
            <w:pPr>
              <w:jc w:val="center"/>
              <w:rPr>
                <w:color w:val="auto"/>
                <w:highlight w:val="none"/>
              </w:rPr>
            </w:pPr>
            <w:r>
              <w:rPr>
                <w:color w:val="auto"/>
                <w:highlight w:val="none"/>
              </w:rPr>
              <w:t>有效期</w:t>
            </w:r>
          </w:p>
        </w:tc>
        <w:tc>
          <w:tcPr>
            <w:tcW w:w="5820" w:type="dxa"/>
            <w:noWrap w:val="0"/>
            <w:vAlign w:val="center"/>
          </w:tcPr>
          <w:p>
            <w:pPr>
              <w:rPr>
                <w:color w:val="auto"/>
                <w:highlight w:val="none"/>
              </w:rPr>
            </w:pPr>
            <w:r>
              <w:rPr>
                <w:color w:val="auto"/>
                <w:highlight w:val="none"/>
              </w:rPr>
              <w:t>自响应文件开启之日起</w:t>
            </w:r>
            <w:r>
              <w:rPr>
                <w:rFonts w:hint="eastAsia"/>
                <w:color w:val="auto"/>
                <w:highlight w:val="none"/>
                <w:lang w:val="en-US"/>
              </w:rPr>
              <w:t>90</w:t>
            </w:r>
            <w:r>
              <w:rPr>
                <w:color w:val="auto"/>
                <w:highlight w:val="none"/>
              </w:rPr>
              <w:t xml:space="preserve"> 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08" w:type="dxa"/>
            <w:noWrap w:val="0"/>
            <w:vAlign w:val="center"/>
          </w:tcPr>
          <w:p>
            <w:pPr>
              <w:jc w:val="center"/>
              <w:rPr>
                <w:rFonts w:hint="default" w:ascii="Times New Roman" w:hAnsi="Times New Roman" w:cs="Times New Roman"/>
                <w:b w:val="0"/>
                <w:bCs w:val="0"/>
                <w:color w:val="auto"/>
                <w:kern w:val="2"/>
                <w:sz w:val="21"/>
                <w:szCs w:val="21"/>
                <w:highlight w:val="none"/>
                <w:lang w:val="en-US" w:eastAsia="zh-CN" w:bidi="ar-SA"/>
              </w:rPr>
            </w:pPr>
            <w:r>
              <w:rPr>
                <w:rFonts w:hint="eastAsia" w:ascii="宋体" w:hAnsi="宋体" w:eastAsia="宋体" w:cs="宋体"/>
                <w:b w:val="0"/>
                <w:bCs w:val="0"/>
                <w:color w:val="auto"/>
                <w:highlight w:val="none"/>
                <w:lang w:val="en-US" w:eastAsia="zh-CN"/>
              </w:rPr>
              <w:t>11</w:t>
            </w:r>
          </w:p>
        </w:tc>
        <w:tc>
          <w:tcPr>
            <w:tcW w:w="1702" w:type="dxa"/>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供货期</w:t>
            </w:r>
          </w:p>
        </w:tc>
        <w:tc>
          <w:tcPr>
            <w:tcW w:w="5820" w:type="dxa"/>
            <w:noWrap w:val="0"/>
            <w:vAlign w:val="center"/>
          </w:tcPr>
          <w:p>
            <w:pPr>
              <w:rPr>
                <w:color w:val="auto"/>
                <w:highlight w:val="none"/>
              </w:rPr>
            </w:pPr>
            <w:r>
              <w:rPr>
                <w:color w:val="auto"/>
                <w:highlight w:val="none"/>
              </w:rPr>
              <w:t>符合磋商文件的要求</w:t>
            </w:r>
          </w:p>
        </w:tc>
      </w:tr>
    </w:tbl>
    <w:p>
      <w:pPr>
        <w:spacing w:line="360" w:lineRule="auto"/>
        <w:ind w:firstLine="480" w:firstLineChars="200"/>
        <w:rPr>
          <w:rFonts w:hint="eastAsia"/>
          <w:color w:val="auto"/>
          <w:sz w:val="24"/>
          <w:szCs w:val="24"/>
          <w:highlight w:val="none"/>
        </w:rPr>
      </w:pPr>
      <w:r>
        <w:rPr>
          <w:rFonts w:hint="eastAsia"/>
          <w:color w:val="auto"/>
          <w:sz w:val="24"/>
          <w:szCs w:val="24"/>
          <w:highlight w:val="none"/>
        </w:rPr>
        <w:t>1、表中只需填写“√、通过”或者“×、不通过”。</w:t>
      </w:r>
    </w:p>
    <w:p>
      <w:pPr>
        <w:spacing w:line="360" w:lineRule="auto"/>
        <w:ind w:firstLine="480" w:firstLineChars="200"/>
        <w:rPr>
          <w:rFonts w:hint="eastAsia"/>
          <w:color w:val="auto"/>
          <w:sz w:val="24"/>
          <w:szCs w:val="24"/>
          <w:highlight w:val="none"/>
        </w:rPr>
      </w:pPr>
      <w:r>
        <w:rPr>
          <w:rFonts w:hint="eastAsia"/>
          <w:color w:val="auto"/>
          <w:sz w:val="24"/>
          <w:szCs w:val="24"/>
          <w:highlight w:val="none"/>
        </w:rPr>
        <w:t>2、结论采用“一项否决”原则。只有全部审查项目都是“√、通过”的，结论才能是“合格”；只要其中一项是“×、不通过”的，结论只能是“不合格”。</w:t>
      </w:r>
    </w:p>
    <w:p>
      <w:pPr>
        <w:spacing w:line="360" w:lineRule="auto"/>
        <w:ind w:firstLine="482" w:firstLineChars="200"/>
        <w:rPr>
          <w:rFonts w:hint="eastAsia"/>
          <w:b/>
          <w:bCs/>
          <w:color w:val="auto"/>
          <w:sz w:val="24"/>
          <w:szCs w:val="24"/>
          <w:highlight w:val="none"/>
        </w:rPr>
      </w:pPr>
      <w:r>
        <w:rPr>
          <w:rFonts w:hint="eastAsia"/>
          <w:b/>
          <w:bCs/>
          <w:color w:val="auto"/>
          <w:sz w:val="24"/>
          <w:szCs w:val="24"/>
          <w:highlight w:val="none"/>
        </w:rPr>
        <w:t>3、只有结论是合格的供应商，才能进入下一轮评审；不合格的被淘汰。</w:t>
      </w:r>
    </w:p>
    <w:p>
      <w:pPr>
        <w:spacing w:line="360" w:lineRule="auto"/>
        <w:ind w:firstLine="482" w:firstLineChars="200"/>
        <w:rPr>
          <w:rFonts w:hint="eastAsia"/>
          <w:b/>
          <w:bCs/>
          <w:color w:val="auto"/>
          <w:sz w:val="24"/>
          <w:szCs w:val="24"/>
          <w:highlight w:val="none"/>
        </w:rPr>
      </w:pPr>
      <w:r>
        <w:rPr>
          <w:rFonts w:hint="eastAsia"/>
          <w:b/>
          <w:bCs/>
          <w:color w:val="auto"/>
          <w:sz w:val="24"/>
          <w:szCs w:val="24"/>
          <w:highlight w:val="none"/>
        </w:rPr>
        <w:t>4、</w:t>
      </w:r>
      <w:r>
        <w:rPr>
          <w:rFonts w:hint="eastAsia"/>
          <w:b/>
          <w:bCs/>
          <w:color w:val="auto"/>
          <w:sz w:val="24"/>
          <w:szCs w:val="24"/>
          <w:highlight w:val="none"/>
          <w:u w:val="single"/>
        </w:rPr>
        <w:t>“响应文件审查表”中的每一项条款均为实质性要求，供应商必须满足，有任何一 项不满足都将会导致磋商失败，请供应商认真对待。证明材料需附于响应文件中。</w:t>
      </w:r>
    </w:p>
    <w:p>
      <w:pPr>
        <w:spacing w:line="360" w:lineRule="auto"/>
        <w:ind w:firstLine="480" w:firstLineChars="200"/>
        <w:rPr>
          <w:rFonts w:hint="eastAsia"/>
          <w:color w:val="auto"/>
          <w:sz w:val="24"/>
          <w:szCs w:val="24"/>
          <w:highlight w:val="none"/>
        </w:rPr>
      </w:pPr>
    </w:p>
    <w:p>
      <w:pPr>
        <w:rPr>
          <w:b/>
          <w:bCs/>
          <w:color w:val="auto"/>
          <w:sz w:val="32"/>
          <w:szCs w:val="32"/>
          <w:highlight w:val="none"/>
        </w:rPr>
      </w:pPr>
      <w:r>
        <w:rPr>
          <w:b/>
          <w:bCs/>
          <w:color w:val="auto"/>
          <w:sz w:val="32"/>
          <w:szCs w:val="32"/>
          <w:highlight w:val="none"/>
        </w:rPr>
        <w:br w:type="page"/>
      </w:r>
    </w:p>
    <w:p>
      <w:pPr>
        <w:pStyle w:val="16"/>
        <w:rPr>
          <w:rFonts w:hAnsi="宋体"/>
          <w:b/>
          <w:bCs/>
          <w:color w:val="auto"/>
          <w:sz w:val="32"/>
          <w:szCs w:val="32"/>
          <w:highlight w:val="none"/>
        </w:rPr>
      </w:pPr>
      <w:r>
        <w:rPr>
          <w:rFonts w:hAnsi="宋体"/>
          <w:b/>
          <w:bCs/>
          <w:color w:val="auto"/>
          <w:sz w:val="32"/>
          <w:szCs w:val="32"/>
          <w:highlight w:val="none"/>
        </w:rPr>
        <w:t>附件 2：评审标准和方法</w:t>
      </w:r>
    </w:p>
    <w:p>
      <w:pPr>
        <w:spacing w:line="480" w:lineRule="exact"/>
        <w:ind w:firstLine="480" w:firstLineChars="200"/>
        <w:outlineLvl w:val="1"/>
        <w:rPr>
          <w:rFonts w:ascii="宋体" w:hAnsi="宋体" w:cs="宋体"/>
          <w:color w:val="auto"/>
          <w:sz w:val="24"/>
        </w:rPr>
      </w:pPr>
      <w:bookmarkStart w:id="1785" w:name="_Toc24965"/>
      <w:bookmarkStart w:id="1786" w:name="_Toc18268"/>
      <w:bookmarkStart w:id="1787" w:name="_Toc22346"/>
      <w:bookmarkStart w:id="1788" w:name="_Toc13869"/>
      <w:bookmarkStart w:id="1789" w:name="_Toc32243"/>
      <w:bookmarkStart w:id="1790" w:name="_Toc10735"/>
      <w:bookmarkStart w:id="1791" w:name="_Toc24041"/>
      <w:bookmarkStart w:id="1792" w:name="_Toc18143"/>
      <w:bookmarkStart w:id="1793" w:name="_Toc317237629"/>
      <w:bookmarkStart w:id="1794" w:name="_Toc212102881"/>
      <w:bookmarkStart w:id="1795" w:name="_Toc477188643"/>
      <w:r>
        <w:rPr>
          <w:rFonts w:hint="eastAsia" w:ascii="宋体" w:hAnsi="宋体" w:cs="宋体"/>
          <w:color w:val="auto"/>
          <w:sz w:val="24"/>
        </w:rPr>
        <w:t>本招标项目的评标办法采用综合评分法。满分为100分，其中：价格分</w:t>
      </w:r>
      <w:r>
        <w:rPr>
          <w:rFonts w:hint="eastAsia" w:ascii="宋体" w:hAnsi="宋体" w:cs="宋体"/>
          <w:color w:val="auto"/>
          <w:sz w:val="24"/>
          <w:lang w:val="en-US" w:eastAsia="zh-CN"/>
        </w:rPr>
        <w:t>30</w:t>
      </w:r>
      <w:r>
        <w:rPr>
          <w:rFonts w:hint="eastAsia" w:ascii="宋体" w:hAnsi="宋体" w:cs="宋体"/>
          <w:color w:val="auto"/>
          <w:sz w:val="24"/>
        </w:rPr>
        <w:t>分，商务分</w:t>
      </w:r>
      <w:r>
        <w:rPr>
          <w:rFonts w:hint="eastAsia" w:ascii="宋体" w:hAnsi="宋体" w:cs="宋体"/>
          <w:color w:val="auto"/>
          <w:sz w:val="24"/>
          <w:lang w:val="en-US" w:eastAsia="zh-CN"/>
        </w:rPr>
        <w:t>10</w:t>
      </w:r>
      <w:r>
        <w:rPr>
          <w:rFonts w:hint="eastAsia" w:ascii="宋体" w:hAnsi="宋体" w:cs="宋体"/>
          <w:color w:val="auto"/>
          <w:sz w:val="24"/>
        </w:rPr>
        <w:t>分，技术分</w:t>
      </w:r>
      <w:r>
        <w:rPr>
          <w:rFonts w:hint="eastAsia" w:ascii="宋体" w:hAnsi="宋体" w:cs="宋体"/>
          <w:color w:val="auto"/>
          <w:sz w:val="24"/>
          <w:lang w:val="en-US" w:eastAsia="zh-CN"/>
        </w:rPr>
        <w:t>60</w:t>
      </w:r>
      <w:r>
        <w:rPr>
          <w:rFonts w:hint="eastAsia" w:ascii="宋体" w:hAnsi="宋体" w:cs="宋体"/>
          <w:color w:val="auto"/>
          <w:sz w:val="24"/>
        </w:rPr>
        <w:t>分。综合得分最高者为第一成交候选人。</w:t>
      </w:r>
      <w:bookmarkEnd w:id="1785"/>
      <w:bookmarkEnd w:id="1786"/>
      <w:bookmarkEnd w:id="1787"/>
      <w:bookmarkEnd w:id="1788"/>
      <w:bookmarkEnd w:id="1789"/>
      <w:bookmarkEnd w:id="1790"/>
      <w:bookmarkEnd w:id="1791"/>
      <w:bookmarkEnd w:id="1792"/>
    </w:p>
    <w:p>
      <w:pPr>
        <w:spacing w:line="480" w:lineRule="exact"/>
        <w:outlineLvl w:val="1"/>
        <w:rPr>
          <w:rFonts w:ascii="宋体" w:hAnsi="宋体" w:cs="宋体"/>
          <w:b/>
          <w:color w:val="auto"/>
          <w:sz w:val="24"/>
        </w:rPr>
      </w:pPr>
      <w:bookmarkStart w:id="1796" w:name="_Toc24460"/>
      <w:bookmarkStart w:id="1797" w:name="_Toc22372"/>
      <w:bookmarkStart w:id="1798" w:name="_Toc18821"/>
      <w:bookmarkStart w:id="1799" w:name="_Toc23940"/>
      <w:bookmarkStart w:id="1800" w:name="_Toc7912"/>
      <w:bookmarkStart w:id="1801" w:name="_Toc2306"/>
      <w:bookmarkStart w:id="1802" w:name="_Toc10549"/>
      <w:bookmarkStart w:id="1803" w:name="_Toc28740"/>
      <w:r>
        <w:rPr>
          <w:rFonts w:hint="eastAsia" w:ascii="宋体" w:hAnsi="宋体" w:cs="宋体"/>
          <w:b/>
          <w:color w:val="auto"/>
          <w:sz w:val="24"/>
        </w:rPr>
        <w:t>一、报价部分（</w:t>
      </w:r>
      <w:r>
        <w:rPr>
          <w:rFonts w:hint="eastAsia" w:ascii="宋体" w:hAnsi="宋体" w:cs="宋体"/>
          <w:b/>
          <w:color w:val="auto"/>
          <w:sz w:val="24"/>
          <w:lang w:val="en-US" w:eastAsia="zh-CN"/>
        </w:rPr>
        <w:t>30</w:t>
      </w:r>
      <w:r>
        <w:rPr>
          <w:rFonts w:hint="eastAsia" w:ascii="宋体" w:hAnsi="宋体" w:cs="宋体"/>
          <w:b/>
          <w:color w:val="auto"/>
          <w:sz w:val="24"/>
        </w:rPr>
        <w:t>分）</w:t>
      </w:r>
      <w:bookmarkEnd w:id="1796"/>
      <w:bookmarkEnd w:id="1797"/>
      <w:bookmarkEnd w:id="1798"/>
      <w:bookmarkEnd w:id="1799"/>
      <w:bookmarkEnd w:id="1800"/>
      <w:bookmarkEnd w:id="1801"/>
      <w:bookmarkEnd w:id="1802"/>
      <w:bookmarkEnd w:id="1803"/>
    </w:p>
    <w:p>
      <w:pPr>
        <w:spacing w:line="480" w:lineRule="exact"/>
        <w:ind w:firstLine="480" w:firstLineChars="200"/>
        <w:rPr>
          <w:rFonts w:ascii="宋体" w:hAnsi="宋体" w:cs="宋体"/>
          <w:color w:val="auto"/>
          <w:sz w:val="24"/>
        </w:rPr>
      </w:pPr>
      <w:r>
        <w:rPr>
          <w:rFonts w:hint="eastAsia" w:ascii="宋体" w:hAnsi="宋体" w:cs="宋体"/>
          <w:color w:val="auto"/>
          <w:sz w:val="24"/>
        </w:rPr>
        <w:t>1、价格得分计算公式：</w:t>
      </w:r>
    </w:p>
    <w:p>
      <w:pPr>
        <w:spacing w:afterLines="50" w:line="440" w:lineRule="exact"/>
        <w:ind w:firstLine="480" w:firstLineChars="200"/>
        <w:rPr>
          <w:rFonts w:ascii="宋体" w:hAnsi="宋体" w:cs="宋体"/>
          <w:bCs/>
          <w:color w:val="auto"/>
          <w:sz w:val="24"/>
        </w:rPr>
      </w:pPr>
      <w:r>
        <w:rPr>
          <w:rFonts w:hint="eastAsia" w:ascii="宋体" w:hAnsi="宋体" w:cs="宋体"/>
          <w:bCs/>
          <w:color w:val="auto"/>
          <w:sz w:val="24"/>
        </w:rPr>
        <w:t>价格分统一采用低价优先法计算，将通过初步评审的所有投标人的投标价格，即满足招标文件要求且价格最低的投标报价为基准价，其价格分为满分（</w:t>
      </w:r>
      <w:r>
        <w:rPr>
          <w:rFonts w:hint="eastAsia" w:ascii="宋体" w:hAnsi="宋体" w:cs="宋体"/>
          <w:bCs/>
          <w:color w:val="auto"/>
          <w:sz w:val="24"/>
          <w:lang w:val="en-US" w:eastAsia="zh-CN"/>
        </w:rPr>
        <w:t>30</w:t>
      </w:r>
      <w:r>
        <w:rPr>
          <w:rFonts w:hint="eastAsia" w:ascii="宋体" w:hAnsi="宋体" w:cs="宋体"/>
          <w:bCs/>
          <w:color w:val="auto"/>
          <w:sz w:val="24"/>
        </w:rPr>
        <w:t>分）。其他投标人的价格分统一按照下列公式计算：</w:t>
      </w:r>
    </w:p>
    <w:p>
      <w:pPr>
        <w:spacing w:line="500" w:lineRule="exact"/>
        <w:rPr>
          <w:rFonts w:ascii="宋体" w:hAnsi="宋体" w:cs="宋体"/>
          <w:bCs/>
          <w:color w:val="auto"/>
          <w:sz w:val="24"/>
        </w:rPr>
      </w:pPr>
      <w:r>
        <w:rPr>
          <w:rFonts w:hint="eastAsia" w:ascii="宋体" w:hAnsi="宋体" w:cs="宋体"/>
          <w:bCs/>
          <w:color w:val="auto"/>
          <w:sz w:val="24"/>
        </w:rPr>
        <w:t>评标基准值=有效投标人的最低投标报价</w:t>
      </w:r>
    </w:p>
    <w:p>
      <w:pPr>
        <w:spacing w:line="500" w:lineRule="exact"/>
        <w:rPr>
          <w:rFonts w:ascii="宋体" w:hAnsi="宋体" w:cs="宋体"/>
          <w:bCs/>
          <w:color w:val="auto"/>
          <w:sz w:val="24"/>
        </w:rPr>
      </w:pPr>
      <w:r>
        <w:rPr>
          <w:rFonts w:hint="eastAsia" w:ascii="宋体" w:hAnsi="宋体" w:cs="宋体"/>
          <w:bCs/>
          <w:color w:val="auto"/>
          <w:sz w:val="24"/>
        </w:rPr>
        <w:t>报价得分=评标基准值/投标报价×</w:t>
      </w:r>
      <w:r>
        <w:rPr>
          <w:rFonts w:hint="eastAsia" w:ascii="宋体" w:hAnsi="宋体" w:cs="宋体"/>
          <w:bCs/>
          <w:color w:val="auto"/>
          <w:sz w:val="24"/>
          <w:lang w:val="en-US" w:eastAsia="zh-CN"/>
        </w:rPr>
        <w:t>30</w:t>
      </w:r>
      <w:r>
        <w:rPr>
          <w:rFonts w:hint="eastAsia" w:ascii="宋体" w:hAnsi="宋体" w:cs="宋体"/>
          <w:bCs/>
          <w:color w:val="auto"/>
          <w:sz w:val="24"/>
        </w:rPr>
        <w:t>%×100。</w:t>
      </w:r>
    </w:p>
    <w:p>
      <w:pPr>
        <w:pStyle w:val="39"/>
        <w:spacing w:beforeLines="50" w:line="360" w:lineRule="auto"/>
        <w:ind w:firstLine="480" w:firstLineChars="200"/>
        <w:rPr>
          <w:rFonts w:ascii="宋体" w:hAnsi="宋体" w:cs="宋体"/>
          <w:bCs/>
          <w:color w:val="auto"/>
          <w:sz w:val="24"/>
          <w:szCs w:val="24"/>
        </w:rPr>
      </w:pPr>
      <w:r>
        <w:rPr>
          <w:rFonts w:hint="eastAsia" w:ascii="宋体" w:hAnsi="宋体" w:cs="宋体"/>
          <w:bCs/>
          <w:color w:val="auto"/>
          <w:sz w:val="24"/>
          <w:szCs w:val="24"/>
        </w:rPr>
        <w:t>2、投标人若为小微型企业、监狱企业或残疾人福利性单位的，可享受投标报价给予</w:t>
      </w:r>
      <w:r>
        <w:rPr>
          <w:rFonts w:hint="eastAsia" w:ascii="宋体" w:hAnsi="宋体" w:cs="宋体"/>
          <w:bCs/>
          <w:color w:val="auto"/>
          <w:sz w:val="24"/>
          <w:szCs w:val="24"/>
          <w:lang w:val="en-US" w:eastAsia="zh-CN"/>
        </w:rPr>
        <w:t>6</w:t>
      </w:r>
      <w:r>
        <w:rPr>
          <w:rFonts w:hint="eastAsia" w:ascii="宋体" w:hAnsi="宋体" w:cs="宋体"/>
          <w:bCs/>
          <w:color w:val="auto"/>
          <w:sz w:val="24"/>
          <w:szCs w:val="24"/>
        </w:rPr>
        <w:t>%的扣除；若同时为小微型企业、监狱企业或残疾人福利性单位的，评审中只享受一次价格扣除，不重复进行价格扣除。</w:t>
      </w:r>
    </w:p>
    <w:p>
      <w:pPr>
        <w:spacing w:line="360" w:lineRule="auto"/>
        <w:rPr>
          <w:color w:val="auto"/>
        </w:rPr>
      </w:pPr>
      <w:r>
        <w:rPr>
          <w:rFonts w:hint="eastAsia" w:ascii="宋体" w:hAnsi="宋体" w:cs="宋体"/>
          <w:bCs/>
          <w:color w:val="auto"/>
          <w:sz w:val="24"/>
        </w:rPr>
        <w:t>注：价格得分取小数点后两位，四舍五入。</w:t>
      </w:r>
    </w:p>
    <w:p>
      <w:pPr>
        <w:widowControl w:val="0"/>
        <w:numPr>
          <w:ilvl w:val="0"/>
          <w:numId w:val="8"/>
        </w:numPr>
        <w:adjustRightInd/>
        <w:snapToGrid/>
        <w:spacing w:after="0" w:line="520" w:lineRule="exact"/>
        <w:jc w:val="both"/>
        <w:outlineLvl w:val="1"/>
        <w:rPr>
          <w:rFonts w:ascii="宋体" w:hAnsi="宋体" w:cs="宋体"/>
          <w:b/>
          <w:color w:val="auto"/>
          <w:sz w:val="24"/>
        </w:rPr>
      </w:pPr>
      <w:bookmarkStart w:id="1804" w:name="_Toc13193"/>
      <w:bookmarkStart w:id="1805" w:name="_Toc3470"/>
      <w:bookmarkStart w:id="1806" w:name="_Toc2529"/>
      <w:bookmarkStart w:id="1807" w:name="_Toc25621"/>
      <w:bookmarkStart w:id="1808" w:name="_Toc6415"/>
      <w:bookmarkStart w:id="1809" w:name="_Toc4709"/>
      <w:bookmarkStart w:id="1810" w:name="_Toc31641"/>
      <w:bookmarkStart w:id="1811" w:name="_Toc6400"/>
      <w:r>
        <w:rPr>
          <w:rFonts w:hint="eastAsia" w:ascii="宋体" w:hAnsi="宋体" w:cs="宋体"/>
          <w:b/>
          <w:color w:val="auto"/>
          <w:sz w:val="24"/>
        </w:rPr>
        <w:t>商务部分（</w:t>
      </w:r>
      <w:r>
        <w:rPr>
          <w:rFonts w:hint="eastAsia" w:ascii="宋体" w:hAnsi="宋体" w:cs="宋体"/>
          <w:b/>
          <w:color w:val="auto"/>
          <w:sz w:val="24"/>
          <w:lang w:val="en-US" w:eastAsia="zh-CN"/>
        </w:rPr>
        <w:t>10</w:t>
      </w:r>
      <w:r>
        <w:rPr>
          <w:rFonts w:hint="eastAsia" w:ascii="宋体" w:hAnsi="宋体" w:cs="宋体"/>
          <w:b/>
          <w:color w:val="auto"/>
          <w:sz w:val="24"/>
        </w:rPr>
        <w:t>分）</w:t>
      </w:r>
      <w:bookmarkEnd w:id="1804"/>
      <w:bookmarkEnd w:id="1805"/>
      <w:bookmarkEnd w:id="1806"/>
      <w:bookmarkEnd w:id="1807"/>
      <w:bookmarkEnd w:id="1808"/>
      <w:bookmarkEnd w:id="1809"/>
      <w:bookmarkEnd w:id="1810"/>
      <w:bookmarkEnd w:id="1811"/>
    </w:p>
    <w:tbl>
      <w:tblPr>
        <w:tblStyle w:val="25"/>
        <w:tblW w:w="9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1279"/>
        <w:gridCol w:w="7068"/>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574" w:type="dxa"/>
            <w:noWrap w:val="0"/>
            <w:vAlign w:val="center"/>
          </w:tcPr>
          <w:p>
            <w:pPr>
              <w:spacing w:line="300" w:lineRule="auto"/>
              <w:jc w:val="center"/>
              <w:rPr>
                <w:rFonts w:ascii="宋体" w:hAnsi="宋体" w:cs="宋体"/>
                <w:b/>
                <w:color w:val="auto"/>
                <w:sz w:val="24"/>
              </w:rPr>
            </w:pPr>
            <w:r>
              <w:rPr>
                <w:rFonts w:hint="eastAsia" w:ascii="宋体" w:hAnsi="宋体" w:cs="宋体"/>
                <w:b/>
                <w:color w:val="auto"/>
                <w:sz w:val="24"/>
              </w:rPr>
              <w:t>序号</w:t>
            </w:r>
          </w:p>
        </w:tc>
        <w:tc>
          <w:tcPr>
            <w:tcW w:w="1279" w:type="dxa"/>
            <w:noWrap w:val="0"/>
            <w:vAlign w:val="center"/>
          </w:tcPr>
          <w:p>
            <w:pPr>
              <w:spacing w:line="300" w:lineRule="auto"/>
              <w:jc w:val="center"/>
              <w:rPr>
                <w:rFonts w:ascii="宋体" w:hAnsi="宋体" w:cs="宋体"/>
                <w:b/>
                <w:color w:val="auto"/>
                <w:sz w:val="24"/>
              </w:rPr>
            </w:pPr>
            <w:r>
              <w:rPr>
                <w:rFonts w:hint="eastAsia" w:ascii="宋体" w:hAnsi="宋体" w:cs="宋体"/>
                <w:b/>
                <w:color w:val="auto"/>
                <w:sz w:val="24"/>
              </w:rPr>
              <w:t>评审内容</w:t>
            </w:r>
          </w:p>
        </w:tc>
        <w:tc>
          <w:tcPr>
            <w:tcW w:w="7068" w:type="dxa"/>
            <w:noWrap w:val="0"/>
            <w:vAlign w:val="center"/>
          </w:tcPr>
          <w:p>
            <w:pPr>
              <w:spacing w:line="300" w:lineRule="auto"/>
              <w:jc w:val="center"/>
              <w:rPr>
                <w:rFonts w:ascii="宋体" w:hAnsi="宋体" w:cs="宋体"/>
                <w:b/>
                <w:color w:val="auto"/>
                <w:sz w:val="24"/>
              </w:rPr>
            </w:pPr>
            <w:r>
              <w:rPr>
                <w:rFonts w:hint="eastAsia" w:ascii="宋体" w:hAnsi="宋体" w:cs="宋体"/>
                <w:b/>
                <w:color w:val="auto"/>
                <w:sz w:val="24"/>
              </w:rPr>
              <w:t>评分标准</w:t>
            </w:r>
          </w:p>
        </w:tc>
        <w:tc>
          <w:tcPr>
            <w:tcW w:w="752" w:type="dxa"/>
            <w:noWrap w:val="0"/>
            <w:vAlign w:val="top"/>
          </w:tcPr>
          <w:p>
            <w:pPr>
              <w:jc w:val="center"/>
              <w:rPr>
                <w:rFonts w:ascii="宋体" w:hAnsi="宋体" w:cs="宋体"/>
                <w:b/>
                <w:color w:val="auto"/>
                <w:sz w:val="24"/>
              </w:rPr>
            </w:pPr>
            <w:r>
              <w:rPr>
                <w:rFonts w:hint="eastAsia" w:ascii="宋体" w:hAnsi="宋体" w:cs="宋体"/>
                <w:b/>
                <w:color w:val="auto"/>
                <w:sz w:val="24"/>
              </w:rPr>
              <w:t>最高</w:t>
            </w:r>
          </w:p>
          <w:p>
            <w:pPr>
              <w:jc w:val="center"/>
              <w:rPr>
                <w:rFonts w:ascii="宋体" w:hAnsi="宋体" w:cs="宋体"/>
                <w:b/>
                <w:color w:val="auto"/>
                <w:sz w:val="24"/>
              </w:rPr>
            </w:pPr>
            <w:r>
              <w:rPr>
                <w:rFonts w:hint="eastAsia" w:ascii="宋体" w:hAnsi="宋体" w:cs="宋体"/>
                <w:b/>
                <w:color w:val="auto"/>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jc w:val="center"/>
        </w:trPr>
        <w:tc>
          <w:tcPr>
            <w:tcW w:w="574" w:type="dxa"/>
            <w:noWrap w:val="0"/>
            <w:vAlign w:val="center"/>
          </w:tcPr>
          <w:p>
            <w:pPr>
              <w:spacing w:line="300" w:lineRule="auto"/>
              <w:jc w:val="center"/>
              <w:rPr>
                <w:rFonts w:ascii="宋体" w:hAnsi="宋体" w:cs="宋体"/>
                <w:color w:val="auto"/>
                <w:sz w:val="24"/>
              </w:rPr>
            </w:pPr>
            <w:r>
              <w:rPr>
                <w:rFonts w:hint="eastAsia" w:ascii="宋体" w:hAnsi="宋体" w:cs="宋体"/>
                <w:color w:val="auto"/>
                <w:sz w:val="24"/>
              </w:rPr>
              <w:t>1</w:t>
            </w:r>
          </w:p>
        </w:tc>
        <w:tc>
          <w:tcPr>
            <w:tcW w:w="1279" w:type="dxa"/>
            <w:noWrap w:val="0"/>
            <w:vAlign w:val="center"/>
          </w:tcPr>
          <w:p>
            <w:pPr>
              <w:spacing w:line="300" w:lineRule="auto"/>
              <w:jc w:val="center"/>
              <w:rPr>
                <w:rFonts w:hint="eastAsia" w:ascii="宋体" w:hAnsi="宋体" w:cs="宋体"/>
                <w:color w:val="auto"/>
                <w:sz w:val="24"/>
              </w:rPr>
            </w:pPr>
            <w:r>
              <w:rPr>
                <w:rFonts w:hint="eastAsia" w:ascii="宋体" w:hAnsi="宋体" w:cs="宋体"/>
                <w:color w:val="auto"/>
                <w:sz w:val="24"/>
              </w:rPr>
              <w:t>业绩</w:t>
            </w:r>
          </w:p>
          <w:p>
            <w:pPr>
              <w:spacing w:line="300" w:lineRule="auto"/>
              <w:jc w:val="center"/>
              <w:rPr>
                <w:rFonts w:ascii="宋体" w:hAnsi="宋体" w:cs="宋体"/>
                <w:color w:val="auto"/>
                <w:sz w:val="24"/>
              </w:rPr>
            </w:pPr>
            <w:r>
              <w:rPr>
                <w:rFonts w:hint="eastAsia" w:ascii="宋体" w:hAnsi="宋体" w:cs="宋体"/>
                <w:color w:val="auto"/>
                <w:sz w:val="24"/>
              </w:rPr>
              <w:t>（8分）</w:t>
            </w:r>
          </w:p>
        </w:tc>
        <w:tc>
          <w:tcPr>
            <w:tcW w:w="7068" w:type="dxa"/>
            <w:noWrap w:val="0"/>
            <w:vAlign w:val="center"/>
          </w:tcPr>
          <w:p>
            <w:pPr>
              <w:spacing w:line="440" w:lineRule="exact"/>
              <w:rPr>
                <w:rFonts w:ascii="宋体" w:hAnsi="宋体" w:cs="宋体"/>
                <w:color w:val="auto"/>
                <w:sz w:val="24"/>
              </w:rPr>
            </w:pPr>
            <w:r>
              <w:rPr>
                <w:rFonts w:hint="eastAsia" w:ascii="宋体" w:hAnsi="宋体" w:cs="宋体"/>
                <w:color w:val="auto"/>
                <w:kern w:val="2"/>
                <w:sz w:val="24"/>
                <w:szCs w:val="24"/>
              </w:rPr>
              <w:t>2016年以来已完成的监控服务类似项目业绩（需提供合同复印件），每提供一份得2分，最高得8分。未提供证明资料不得分。</w:t>
            </w:r>
          </w:p>
        </w:tc>
        <w:tc>
          <w:tcPr>
            <w:tcW w:w="752" w:type="dxa"/>
            <w:noWrap w:val="0"/>
            <w:vAlign w:val="center"/>
          </w:tcPr>
          <w:p>
            <w:pPr>
              <w:jc w:val="center"/>
              <w:rPr>
                <w:rFonts w:hint="eastAsia" w:ascii="宋体" w:hAnsi="宋体" w:cs="宋体"/>
                <w:color w:val="auto"/>
                <w:sz w:val="24"/>
              </w:rPr>
            </w:pPr>
            <w:r>
              <w:rPr>
                <w:rFonts w:hint="eastAsia" w:ascii="宋体" w:hAnsi="宋体" w:cs="宋体"/>
                <w:color w:val="auto"/>
                <w:sz w:val="24"/>
                <w:lang w:val="en-US" w:eastAsia="zh-CN"/>
              </w:rPr>
              <w:t>8</w:t>
            </w:r>
            <w:r>
              <w:rPr>
                <w:rFonts w:hint="eastAsia" w:ascii="宋体" w:hAnsi="宋体" w:cs="宋体"/>
                <w:color w:val="auto"/>
                <w:sz w:val="24"/>
              </w:rPr>
              <w:t>分</w:t>
            </w:r>
          </w:p>
          <w:p>
            <w:pPr>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574" w:type="dxa"/>
            <w:noWrap w:val="0"/>
            <w:vAlign w:val="center"/>
          </w:tcPr>
          <w:p>
            <w:pPr>
              <w:spacing w:line="300" w:lineRule="auto"/>
              <w:jc w:val="center"/>
              <w:rPr>
                <w:rFonts w:ascii="宋体" w:hAnsi="宋体" w:cs="宋体"/>
                <w:color w:val="auto"/>
                <w:sz w:val="24"/>
              </w:rPr>
            </w:pPr>
            <w:r>
              <w:rPr>
                <w:rFonts w:hint="eastAsia" w:ascii="宋体" w:hAnsi="宋体" w:cs="宋体"/>
                <w:color w:val="auto"/>
                <w:sz w:val="24"/>
              </w:rPr>
              <w:t>2</w:t>
            </w:r>
          </w:p>
        </w:tc>
        <w:tc>
          <w:tcPr>
            <w:tcW w:w="1279" w:type="dxa"/>
            <w:noWrap w:val="0"/>
            <w:vAlign w:val="center"/>
          </w:tcPr>
          <w:p>
            <w:pPr>
              <w:spacing w:line="300" w:lineRule="auto"/>
              <w:jc w:val="center"/>
              <w:rPr>
                <w:rFonts w:hint="eastAsia" w:ascii="宋体" w:hAnsi="宋体" w:cs="宋体"/>
                <w:color w:val="auto"/>
                <w:sz w:val="24"/>
              </w:rPr>
            </w:pPr>
            <w:r>
              <w:rPr>
                <w:rFonts w:hint="eastAsia" w:ascii="宋体" w:hAnsi="宋体" w:cs="宋体"/>
                <w:color w:val="auto"/>
                <w:sz w:val="24"/>
              </w:rPr>
              <w:t>响应文件编制</w:t>
            </w:r>
          </w:p>
          <w:p>
            <w:pPr>
              <w:spacing w:line="300" w:lineRule="auto"/>
              <w:jc w:val="center"/>
              <w:rPr>
                <w:color w:val="auto"/>
              </w:rPr>
            </w:pPr>
            <w:r>
              <w:rPr>
                <w:rFonts w:hint="eastAsia" w:ascii="宋体" w:hAnsi="宋体" w:cs="宋体"/>
                <w:color w:val="auto"/>
                <w:sz w:val="24"/>
              </w:rPr>
              <w:t>（2分）</w:t>
            </w:r>
          </w:p>
        </w:tc>
        <w:tc>
          <w:tcPr>
            <w:tcW w:w="7068" w:type="dxa"/>
            <w:noWrap w:val="0"/>
            <w:vAlign w:val="center"/>
          </w:tcPr>
          <w:p>
            <w:pPr>
              <w:spacing w:line="440" w:lineRule="exact"/>
              <w:rPr>
                <w:rFonts w:ascii="宋体" w:hAnsi="宋体" w:cs="宋体"/>
                <w:color w:val="auto"/>
                <w:sz w:val="24"/>
              </w:rPr>
            </w:pPr>
            <w:r>
              <w:rPr>
                <w:rFonts w:hint="eastAsia" w:ascii="宋体" w:hAnsi="宋体" w:cs="宋体"/>
                <w:color w:val="auto"/>
                <w:sz w:val="24"/>
              </w:rPr>
              <w:t>响应文件编制规范，内容全面，有详细的目录页码方便查询，图片清晰，满足者得2分，否则得0分。</w:t>
            </w:r>
          </w:p>
        </w:tc>
        <w:tc>
          <w:tcPr>
            <w:tcW w:w="752" w:type="dxa"/>
            <w:noWrap w:val="0"/>
            <w:vAlign w:val="center"/>
          </w:tcPr>
          <w:p>
            <w:pPr>
              <w:jc w:val="center"/>
              <w:rPr>
                <w:rFonts w:ascii="宋体" w:hAnsi="宋体" w:cs="宋体"/>
                <w:color w:val="auto"/>
                <w:sz w:val="24"/>
              </w:rPr>
            </w:pPr>
            <w:r>
              <w:rPr>
                <w:rFonts w:hint="eastAsia" w:ascii="宋体" w:hAnsi="宋体" w:cs="宋体"/>
                <w:color w:val="auto"/>
                <w:sz w:val="24"/>
                <w:lang w:val="en-US" w:eastAsia="zh-CN"/>
              </w:rPr>
              <w:t>2</w:t>
            </w:r>
            <w:r>
              <w:rPr>
                <w:rFonts w:hint="eastAsia" w:ascii="宋体" w:hAnsi="宋体" w:cs="宋体"/>
                <w:color w:val="auto"/>
                <w:sz w:val="24"/>
              </w:rPr>
              <w:t>分</w:t>
            </w:r>
          </w:p>
        </w:tc>
      </w:tr>
    </w:tbl>
    <w:p>
      <w:pPr>
        <w:spacing w:line="520" w:lineRule="exact"/>
        <w:outlineLvl w:val="1"/>
        <w:rPr>
          <w:rFonts w:ascii="宋体" w:hAnsi="宋体" w:cs="宋体"/>
          <w:b/>
          <w:bCs/>
          <w:color w:val="auto"/>
          <w:sz w:val="24"/>
        </w:rPr>
      </w:pPr>
    </w:p>
    <w:p>
      <w:pPr>
        <w:spacing w:line="520" w:lineRule="exact"/>
        <w:outlineLvl w:val="1"/>
        <w:rPr>
          <w:rFonts w:ascii="宋体" w:hAnsi="宋体" w:cs="宋体"/>
          <w:b/>
          <w:bCs/>
          <w:color w:val="auto"/>
          <w:sz w:val="24"/>
        </w:rPr>
      </w:pPr>
      <w:bookmarkStart w:id="1812" w:name="_Toc24964"/>
      <w:bookmarkStart w:id="1813" w:name="_Toc30597"/>
      <w:bookmarkStart w:id="1814" w:name="_Toc8611"/>
      <w:bookmarkStart w:id="1815" w:name="_Toc8538"/>
      <w:bookmarkStart w:id="1816" w:name="_Toc4825"/>
      <w:bookmarkStart w:id="1817" w:name="_Toc9107"/>
      <w:bookmarkStart w:id="1818" w:name="_Toc8667"/>
      <w:bookmarkStart w:id="1819" w:name="_Toc24403"/>
      <w:r>
        <w:rPr>
          <w:rFonts w:hint="eastAsia" w:ascii="宋体" w:hAnsi="宋体" w:cs="宋体"/>
          <w:b/>
          <w:bCs/>
          <w:color w:val="auto"/>
          <w:sz w:val="24"/>
        </w:rPr>
        <w:t>三、技术部分（</w:t>
      </w:r>
      <w:r>
        <w:rPr>
          <w:rFonts w:hint="eastAsia" w:ascii="宋体" w:hAnsi="宋体" w:cs="宋体"/>
          <w:b/>
          <w:bCs/>
          <w:color w:val="auto"/>
          <w:sz w:val="24"/>
          <w:lang w:val="en-US" w:eastAsia="zh-CN"/>
        </w:rPr>
        <w:t>6</w:t>
      </w:r>
      <w:r>
        <w:rPr>
          <w:rFonts w:hint="eastAsia" w:ascii="宋体" w:hAnsi="宋体" w:cs="宋体"/>
          <w:b/>
          <w:bCs/>
          <w:color w:val="auto"/>
          <w:sz w:val="24"/>
        </w:rPr>
        <w:t>0分）</w:t>
      </w:r>
      <w:bookmarkEnd w:id="1812"/>
      <w:bookmarkEnd w:id="1813"/>
      <w:bookmarkEnd w:id="1814"/>
      <w:bookmarkEnd w:id="1815"/>
      <w:bookmarkEnd w:id="1816"/>
      <w:bookmarkEnd w:id="1817"/>
      <w:bookmarkEnd w:id="1818"/>
      <w:bookmarkEnd w:id="1819"/>
    </w:p>
    <w:tbl>
      <w:tblPr>
        <w:tblStyle w:val="25"/>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491"/>
        <w:gridCol w:w="6669"/>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585" w:type="dxa"/>
            <w:noWrap w:val="0"/>
            <w:vAlign w:val="center"/>
          </w:tcPr>
          <w:p>
            <w:pPr>
              <w:spacing w:line="300" w:lineRule="auto"/>
              <w:jc w:val="center"/>
              <w:rPr>
                <w:rFonts w:ascii="宋体" w:hAnsi="宋体" w:cs="宋体"/>
                <w:b/>
                <w:bCs/>
                <w:color w:val="auto"/>
                <w:sz w:val="24"/>
              </w:rPr>
            </w:pPr>
            <w:r>
              <w:rPr>
                <w:rFonts w:hint="eastAsia" w:ascii="宋体" w:hAnsi="宋体" w:cs="宋体"/>
                <w:b/>
                <w:bCs/>
                <w:color w:val="auto"/>
                <w:sz w:val="24"/>
              </w:rPr>
              <w:t>序号</w:t>
            </w:r>
          </w:p>
        </w:tc>
        <w:tc>
          <w:tcPr>
            <w:tcW w:w="1491" w:type="dxa"/>
            <w:noWrap w:val="0"/>
            <w:vAlign w:val="center"/>
          </w:tcPr>
          <w:p>
            <w:pPr>
              <w:spacing w:line="300" w:lineRule="auto"/>
              <w:jc w:val="center"/>
              <w:rPr>
                <w:rFonts w:ascii="宋体" w:hAnsi="宋体" w:cs="宋体"/>
                <w:b/>
                <w:bCs/>
                <w:color w:val="auto"/>
                <w:sz w:val="24"/>
              </w:rPr>
            </w:pPr>
            <w:r>
              <w:rPr>
                <w:rFonts w:hint="eastAsia" w:ascii="宋体" w:hAnsi="宋体" w:cs="宋体"/>
                <w:b/>
                <w:bCs/>
                <w:color w:val="auto"/>
                <w:sz w:val="24"/>
              </w:rPr>
              <w:t>评审内容</w:t>
            </w:r>
          </w:p>
        </w:tc>
        <w:tc>
          <w:tcPr>
            <w:tcW w:w="6669" w:type="dxa"/>
            <w:noWrap w:val="0"/>
            <w:vAlign w:val="center"/>
          </w:tcPr>
          <w:p>
            <w:pPr>
              <w:spacing w:line="300" w:lineRule="auto"/>
              <w:jc w:val="center"/>
              <w:rPr>
                <w:rFonts w:ascii="宋体" w:hAnsi="宋体" w:cs="宋体"/>
                <w:b/>
                <w:bCs/>
                <w:color w:val="auto"/>
                <w:sz w:val="24"/>
              </w:rPr>
            </w:pPr>
            <w:r>
              <w:rPr>
                <w:rFonts w:hint="eastAsia" w:ascii="宋体" w:hAnsi="宋体" w:cs="宋体"/>
                <w:b/>
                <w:bCs/>
                <w:color w:val="auto"/>
                <w:sz w:val="24"/>
              </w:rPr>
              <w:t>评分标准</w:t>
            </w:r>
          </w:p>
        </w:tc>
        <w:tc>
          <w:tcPr>
            <w:tcW w:w="795" w:type="dxa"/>
            <w:noWrap w:val="0"/>
            <w:vAlign w:val="center"/>
          </w:tcPr>
          <w:p>
            <w:pPr>
              <w:spacing w:line="300" w:lineRule="auto"/>
              <w:jc w:val="center"/>
              <w:rPr>
                <w:rFonts w:ascii="宋体" w:hAnsi="宋体" w:cs="宋体"/>
                <w:b/>
                <w:bCs/>
                <w:color w:val="auto"/>
                <w:sz w:val="24"/>
              </w:rPr>
            </w:pPr>
            <w:r>
              <w:rPr>
                <w:rFonts w:hint="eastAsia" w:ascii="宋体" w:hAnsi="宋体" w:cs="宋体"/>
                <w:b/>
                <w:bCs/>
                <w:color w:val="auto"/>
                <w:sz w:val="24"/>
              </w:rPr>
              <w:t>最高得分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585" w:type="dxa"/>
            <w:noWrap w:val="0"/>
            <w:vAlign w:val="center"/>
          </w:tcPr>
          <w:p>
            <w:pPr>
              <w:jc w:val="center"/>
              <w:rPr>
                <w:rFonts w:ascii="宋体" w:hAnsi="宋体" w:cs="宋体"/>
                <w:color w:val="auto"/>
                <w:sz w:val="24"/>
              </w:rPr>
            </w:pPr>
            <w:r>
              <w:rPr>
                <w:rFonts w:hint="eastAsia" w:ascii="宋体" w:hAnsi="宋体" w:cs="宋体"/>
                <w:color w:val="auto"/>
                <w:sz w:val="24"/>
              </w:rPr>
              <w:t>1</w:t>
            </w:r>
          </w:p>
        </w:tc>
        <w:tc>
          <w:tcPr>
            <w:tcW w:w="1491" w:type="dxa"/>
            <w:noWrap w:val="0"/>
            <w:vAlign w:val="center"/>
          </w:tcPr>
          <w:p>
            <w:pPr>
              <w:spacing w:line="440" w:lineRule="exact"/>
              <w:jc w:val="center"/>
              <w:rPr>
                <w:rFonts w:ascii="宋体" w:hAnsi="宋体" w:cs="宋体"/>
                <w:color w:val="auto"/>
                <w:sz w:val="24"/>
              </w:rPr>
            </w:pPr>
            <w:r>
              <w:rPr>
                <w:rFonts w:hint="eastAsia" w:ascii="宋体" w:hAnsi="宋体" w:cs="宋体"/>
                <w:color w:val="auto"/>
                <w:sz w:val="24"/>
              </w:rPr>
              <w:t>★硬性功能要求表（45分）</w:t>
            </w:r>
          </w:p>
        </w:tc>
        <w:tc>
          <w:tcPr>
            <w:tcW w:w="6669" w:type="dxa"/>
            <w:noWrap w:val="0"/>
            <w:vAlign w:val="center"/>
          </w:tcPr>
          <w:p>
            <w:pPr>
              <w:spacing w:line="440" w:lineRule="exact"/>
              <w:rPr>
                <w:rFonts w:ascii="宋体" w:hAnsi="宋体" w:cs="宋体"/>
                <w:color w:val="auto"/>
                <w:sz w:val="24"/>
              </w:rPr>
            </w:pPr>
            <w:r>
              <w:rPr>
                <w:rFonts w:hint="eastAsia" w:ascii="宋体" w:hAnsi="宋体" w:cs="宋体"/>
                <w:color w:val="auto"/>
                <w:sz w:val="24"/>
              </w:rPr>
              <w:t>与响应文件第三部分采购需求服务表的《硬性功能要求表》相对照，逐项审查响应性质。每出现一个不满足“★”项扣3分，每出现一条不满足普通参数项扣1分，扣完为止。</w:t>
            </w:r>
          </w:p>
        </w:tc>
        <w:tc>
          <w:tcPr>
            <w:tcW w:w="795" w:type="dxa"/>
            <w:noWrap w:val="0"/>
            <w:vAlign w:val="center"/>
          </w:tcPr>
          <w:p>
            <w:pPr>
              <w:jc w:val="center"/>
              <w:rPr>
                <w:rFonts w:ascii="宋体" w:hAnsi="宋体" w:cs="宋体"/>
                <w:color w:val="auto"/>
                <w:sz w:val="24"/>
              </w:rPr>
            </w:pPr>
            <w:r>
              <w:rPr>
                <w:rFonts w:hint="eastAsia" w:ascii="宋体" w:hAnsi="宋体" w:cs="宋体"/>
                <w:color w:val="auto"/>
                <w:sz w:val="24"/>
                <w:lang w:val="en-US" w:eastAsia="zh-CN"/>
              </w:rPr>
              <w:t>45</w:t>
            </w:r>
            <w:r>
              <w:rPr>
                <w:rFonts w:hint="eastAsia" w:ascii="宋体" w:hAnsi="宋体" w:cs="宋体"/>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585" w:type="dxa"/>
            <w:noWrap w:val="0"/>
            <w:vAlign w:val="center"/>
          </w:tcPr>
          <w:p>
            <w:pPr>
              <w:jc w:val="center"/>
              <w:rPr>
                <w:rFonts w:ascii="宋体" w:hAnsi="宋体" w:cs="宋体"/>
                <w:color w:val="auto"/>
                <w:sz w:val="24"/>
              </w:rPr>
            </w:pPr>
            <w:r>
              <w:rPr>
                <w:rFonts w:hint="eastAsia" w:ascii="宋体" w:hAnsi="宋体" w:cs="宋体"/>
                <w:color w:val="auto"/>
                <w:sz w:val="24"/>
              </w:rPr>
              <w:t>2</w:t>
            </w:r>
          </w:p>
        </w:tc>
        <w:tc>
          <w:tcPr>
            <w:tcW w:w="1491" w:type="dxa"/>
            <w:noWrap w:val="0"/>
            <w:vAlign w:val="center"/>
          </w:tcPr>
          <w:p>
            <w:pPr>
              <w:spacing w:line="440" w:lineRule="exact"/>
              <w:jc w:val="center"/>
              <w:rPr>
                <w:rFonts w:hint="eastAsia" w:ascii="宋体" w:hAnsi="宋体" w:cs="宋体"/>
                <w:color w:val="auto"/>
                <w:sz w:val="24"/>
              </w:rPr>
            </w:pPr>
            <w:r>
              <w:rPr>
                <w:rFonts w:hint="eastAsia" w:ascii="宋体" w:hAnsi="宋体" w:cs="宋体"/>
                <w:color w:val="auto"/>
                <w:sz w:val="24"/>
              </w:rPr>
              <w:t>运维方案</w:t>
            </w:r>
          </w:p>
          <w:p>
            <w:pPr>
              <w:spacing w:line="440" w:lineRule="exact"/>
              <w:jc w:val="center"/>
              <w:rPr>
                <w:rFonts w:ascii="宋体" w:hAnsi="宋体" w:cs="宋体"/>
                <w:color w:val="auto"/>
                <w:sz w:val="24"/>
              </w:rPr>
            </w:pPr>
            <w:r>
              <w:rPr>
                <w:rFonts w:hint="eastAsia" w:ascii="宋体" w:hAnsi="宋体" w:cs="宋体"/>
                <w:color w:val="auto"/>
                <w:sz w:val="24"/>
              </w:rPr>
              <w:t>（5分）</w:t>
            </w:r>
          </w:p>
        </w:tc>
        <w:tc>
          <w:tcPr>
            <w:tcW w:w="6669" w:type="dxa"/>
            <w:noWrap w:val="0"/>
            <w:vAlign w:val="center"/>
          </w:tcPr>
          <w:p>
            <w:pPr>
              <w:spacing w:line="440" w:lineRule="exact"/>
              <w:rPr>
                <w:rFonts w:hint="eastAsia" w:ascii="宋体" w:hAnsi="宋体" w:cs="宋体"/>
                <w:color w:val="auto"/>
                <w:sz w:val="24"/>
              </w:rPr>
            </w:pPr>
            <w:r>
              <w:rPr>
                <w:rFonts w:hint="eastAsia" w:ascii="宋体" w:hAnsi="宋体" w:cs="宋体"/>
                <w:color w:val="auto"/>
                <w:sz w:val="24"/>
              </w:rPr>
              <w:t>运维方案科学合理，方案量身定制，工作组织的条理性，具备较强的针对性与操作性等综合对比。</w:t>
            </w:r>
          </w:p>
          <w:p>
            <w:pPr>
              <w:spacing w:line="440" w:lineRule="exact"/>
              <w:rPr>
                <w:rFonts w:hint="eastAsia" w:ascii="宋体" w:hAnsi="宋体" w:cs="宋体"/>
                <w:color w:val="auto"/>
                <w:sz w:val="24"/>
              </w:rPr>
            </w:pPr>
            <w:r>
              <w:rPr>
                <w:rFonts w:hint="eastAsia" w:ascii="宋体" w:hAnsi="宋体" w:cs="宋体"/>
                <w:color w:val="auto"/>
                <w:sz w:val="24"/>
              </w:rPr>
              <w:t>A运维方案内容全面，有现场图片且切实保障措施，适用性强的，得4~5分；</w:t>
            </w:r>
          </w:p>
          <w:p>
            <w:pPr>
              <w:spacing w:line="440" w:lineRule="exact"/>
              <w:rPr>
                <w:rFonts w:hint="eastAsia" w:ascii="宋体" w:hAnsi="宋体" w:cs="宋体"/>
                <w:color w:val="auto"/>
                <w:sz w:val="24"/>
              </w:rPr>
            </w:pPr>
            <w:r>
              <w:rPr>
                <w:rFonts w:hint="eastAsia" w:ascii="宋体" w:hAnsi="宋体" w:cs="宋体"/>
                <w:color w:val="auto"/>
                <w:sz w:val="24"/>
              </w:rPr>
              <w:t>B运维方案完整性、适用性一般，仅满足要求的，得2~3分；</w:t>
            </w:r>
          </w:p>
          <w:p>
            <w:pPr>
              <w:spacing w:line="440" w:lineRule="exact"/>
              <w:rPr>
                <w:rFonts w:hint="eastAsia" w:ascii="宋体" w:hAnsi="宋体" w:cs="宋体"/>
                <w:color w:val="auto"/>
                <w:sz w:val="24"/>
              </w:rPr>
            </w:pPr>
            <w:r>
              <w:rPr>
                <w:rFonts w:hint="eastAsia" w:ascii="宋体" w:hAnsi="宋体" w:cs="宋体"/>
                <w:color w:val="auto"/>
                <w:sz w:val="24"/>
              </w:rPr>
              <w:t>C运维方案内容不全面，适用性差，不满足要求的，得0.1~1分；</w:t>
            </w:r>
          </w:p>
          <w:p>
            <w:pPr>
              <w:spacing w:line="440" w:lineRule="exact"/>
              <w:rPr>
                <w:rFonts w:ascii="宋体" w:hAnsi="宋体" w:cs="宋体"/>
                <w:color w:val="auto"/>
                <w:sz w:val="24"/>
              </w:rPr>
            </w:pPr>
            <w:r>
              <w:rPr>
                <w:rFonts w:hint="eastAsia" w:ascii="宋体" w:hAnsi="宋体" w:cs="宋体"/>
                <w:color w:val="auto"/>
                <w:sz w:val="24"/>
              </w:rPr>
              <w:t>D未提供者得0分。</w:t>
            </w:r>
          </w:p>
        </w:tc>
        <w:tc>
          <w:tcPr>
            <w:tcW w:w="795" w:type="dxa"/>
            <w:noWrap w:val="0"/>
            <w:vAlign w:val="center"/>
          </w:tcPr>
          <w:p>
            <w:pPr>
              <w:jc w:val="center"/>
              <w:rPr>
                <w:rFonts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585" w:type="dxa"/>
            <w:noWrap w:val="0"/>
            <w:vAlign w:val="center"/>
          </w:tcPr>
          <w:p>
            <w:pPr>
              <w:jc w:val="center"/>
              <w:rPr>
                <w:rFonts w:ascii="宋体" w:hAnsi="宋体" w:cs="宋体"/>
                <w:color w:val="auto"/>
                <w:sz w:val="24"/>
              </w:rPr>
            </w:pPr>
            <w:r>
              <w:rPr>
                <w:rFonts w:hint="eastAsia" w:ascii="宋体" w:hAnsi="宋体" w:cs="宋体"/>
                <w:color w:val="auto"/>
                <w:sz w:val="24"/>
              </w:rPr>
              <w:t>3</w:t>
            </w:r>
          </w:p>
        </w:tc>
        <w:tc>
          <w:tcPr>
            <w:tcW w:w="1491" w:type="dxa"/>
            <w:noWrap w:val="0"/>
            <w:vAlign w:val="center"/>
          </w:tcPr>
          <w:p>
            <w:pPr>
              <w:spacing w:line="440" w:lineRule="exact"/>
              <w:jc w:val="center"/>
              <w:rPr>
                <w:rFonts w:hint="eastAsia" w:ascii="宋体" w:hAnsi="宋体" w:cs="宋体"/>
                <w:color w:val="auto"/>
                <w:sz w:val="24"/>
              </w:rPr>
            </w:pPr>
            <w:r>
              <w:rPr>
                <w:rFonts w:hint="eastAsia" w:ascii="宋体" w:hAnsi="宋体" w:cs="宋体"/>
                <w:color w:val="auto"/>
                <w:sz w:val="24"/>
              </w:rPr>
              <w:t>实施方案</w:t>
            </w:r>
          </w:p>
          <w:p>
            <w:pPr>
              <w:spacing w:line="440" w:lineRule="exact"/>
              <w:jc w:val="center"/>
              <w:rPr>
                <w:rFonts w:ascii="宋体" w:hAnsi="宋体" w:cs="宋体"/>
                <w:color w:val="auto"/>
                <w:sz w:val="24"/>
              </w:rPr>
            </w:pPr>
            <w:r>
              <w:rPr>
                <w:rFonts w:hint="eastAsia" w:ascii="宋体" w:hAnsi="宋体" w:cs="宋体"/>
                <w:color w:val="auto"/>
                <w:sz w:val="24"/>
              </w:rPr>
              <w:t>（5分）</w:t>
            </w:r>
          </w:p>
        </w:tc>
        <w:tc>
          <w:tcPr>
            <w:tcW w:w="6669" w:type="dxa"/>
            <w:noWrap w:val="0"/>
            <w:vAlign w:val="center"/>
          </w:tcPr>
          <w:p>
            <w:pPr>
              <w:spacing w:line="440" w:lineRule="exact"/>
              <w:rPr>
                <w:rFonts w:ascii="宋体" w:hAnsi="宋体" w:cs="宋体"/>
                <w:color w:val="auto"/>
                <w:sz w:val="24"/>
              </w:rPr>
            </w:pPr>
            <w:r>
              <w:rPr>
                <w:rFonts w:hint="eastAsia" w:ascii="宋体" w:hAnsi="宋体" w:cs="宋体"/>
                <w:color w:val="auto"/>
                <w:sz w:val="24"/>
              </w:rPr>
              <w:t>制定切实可行的项目管理与实施方案，具备协调、解决和完成项目的工作方法和措施，有合理进度安排；制定有详细、科学、合理的测试、培训与验收方案。对投标文件中施工方案编制的完整性、规范性、合理性、全面性进行评价，施工方案编制的完整性、规范性、合理性、全面性强的得4~5分、施工方案编制的完整性、规范性、合理性、全面性一般的得2~3、施工方案编制的完整性、规范性、合理性、全面性差的得0.1~1分，描述不完整或不响应得0分。</w:t>
            </w:r>
          </w:p>
        </w:tc>
        <w:tc>
          <w:tcPr>
            <w:tcW w:w="795" w:type="dxa"/>
            <w:noWrap w:val="0"/>
            <w:vAlign w:val="center"/>
          </w:tcPr>
          <w:p>
            <w:pPr>
              <w:jc w:val="center"/>
              <w:rPr>
                <w:rFonts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585" w:type="dxa"/>
            <w:noWrap w:val="0"/>
            <w:vAlign w:val="center"/>
          </w:tcPr>
          <w:p>
            <w:pPr>
              <w:jc w:val="center"/>
              <w:rPr>
                <w:rFonts w:ascii="宋体" w:hAnsi="宋体" w:cs="宋体"/>
                <w:color w:val="auto"/>
                <w:sz w:val="24"/>
              </w:rPr>
            </w:pPr>
            <w:r>
              <w:rPr>
                <w:rFonts w:hint="eastAsia" w:ascii="宋体" w:hAnsi="宋体" w:cs="宋体"/>
                <w:color w:val="auto"/>
                <w:sz w:val="24"/>
              </w:rPr>
              <w:t>4</w:t>
            </w:r>
          </w:p>
        </w:tc>
        <w:tc>
          <w:tcPr>
            <w:tcW w:w="1491" w:type="dxa"/>
            <w:noWrap w:val="0"/>
            <w:vAlign w:val="center"/>
          </w:tcPr>
          <w:p>
            <w:pPr>
              <w:spacing w:line="440" w:lineRule="exact"/>
              <w:jc w:val="center"/>
              <w:rPr>
                <w:rFonts w:hint="eastAsia" w:ascii="宋体" w:hAnsi="宋体" w:cs="宋体"/>
                <w:color w:val="auto"/>
                <w:sz w:val="24"/>
              </w:rPr>
            </w:pPr>
            <w:r>
              <w:rPr>
                <w:rFonts w:hint="eastAsia" w:ascii="宋体" w:hAnsi="宋体" w:cs="宋体"/>
                <w:color w:val="auto"/>
                <w:sz w:val="24"/>
              </w:rPr>
              <w:t>售后服务方案</w:t>
            </w:r>
          </w:p>
          <w:p>
            <w:pPr>
              <w:spacing w:line="440" w:lineRule="exact"/>
              <w:jc w:val="center"/>
              <w:rPr>
                <w:rFonts w:ascii="宋体" w:hAnsi="宋体" w:cs="宋体"/>
                <w:color w:val="auto"/>
                <w:sz w:val="24"/>
              </w:rPr>
            </w:pPr>
            <w:r>
              <w:rPr>
                <w:rFonts w:hint="eastAsia" w:ascii="宋体" w:hAnsi="宋体" w:cs="宋体"/>
                <w:color w:val="auto"/>
                <w:sz w:val="24"/>
              </w:rPr>
              <w:t>（5分）</w:t>
            </w:r>
          </w:p>
        </w:tc>
        <w:tc>
          <w:tcPr>
            <w:tcW w:w="6669" w:type="dxa"/>
            <w:noWrap w:val="0"/>
            <w:vAlign w:val="center"/>
          </w:tcPr>
          <w:p>
            <w:pPr>
              <w:spacing w:line="440" w:lineRule="exact"/>
              <w:rPr>
                <w:rFonts w:hint="eastAsia" w:ascii="宋体" w:hAnsi="宋体" w:cs="宋体"/>
                <w:color w:val="auto"/>
                <w:sz w:val="24"/>
              </w:rPr>
            </w:pPr>
            <w:r>
              <w:rPr>
                <w:rFonts w:hint="eastAsia" w:ascii="宋体" w:hAnsi="宋体" w:cs="宋体"/>
                <w:color w:val="auto"/>
                <w:sz w:val="24"/>
              </w:rPr>
              <w:t>供应商必须承诺全面响应磋商文件中售后服务的要求，售后服务方案应包含服务内容、服务人员、响应时间、质保期等：</w:t>
            </w:r>
          </w:p>
          <w:p>
            <w:pPr>
              <w:spacing w:line="440" w:lineRule="exact"/>
              <w:rPr>
                <w:rFonts w:hint="eastAsia" w:ascii="宋体" w:hAnsi="宋体" w:cs="宋体"/>
                <w:color w:val="auto"/>
                <w:sz w:val="24"/>
              </w:rPr>
            </w:pPr>
            <w:r>
              <w:rPr>
                <w:rFonts w:hint="eastAsia" w:ascii="宋体" w:hAnsi="宋体" w:cs="宋体"/>
                <w:color w:val="auto"/>
                <w:sz w:val="24"/>
              </w:rPr>
              <w:t>A售后服务方案内容全面，且有切实保障措施，适用性强，优于磋商文件要求的得4~5分；</w:t>
            </w:r>
          </w:p>
          <w:p>
            <w:pPr>
              <w:spacing w:line="440" w:lineRule="exact"/>
              <w:rPr>
                <w:rFonts w:hint="eastAsia" w:ascii="宋体" w:hAnsi="宋体" w:cs="宋体"/>
                <w:color w:val="auto"/>
                <w:sz w:val="24"/>
              </w:rPr>
            </w:pPr>
            <w:r>
              <w:rPr>
                <w:rFonts w:hint="eastAsia" w:ascii="宋体" w:hAnsi="宋体" w:cs="宋体"/>
                <w:color w:val="auto"/>
                <w:sz w:val="24"/>
              </w:rPr>
              <w:t>B售后服务方案完整性、适用性一般，仅满足磋商文件要求的得2~4分；</w:t>
            </w:r>
          </w:p>
          <w:p>
            <w:pPr>
              <w:spacing w:line="440" w:lineRule="exact"/>
              <w:rPr>
                <w:rFonts w:hint="eastAsia" w:ascii="宋体" w:hAnsi="宋体" w:cs="宋体"/>
                <w:color w:val="auto"/>
                <w:sz w:val="24"/>
              </w:rPr>
            </w:pPr>
            <w:r>
              <w:rPr>
                <w:rFonts w:hint="eastAsia" w:ascii="宋体" w:hAnsi="宋体" w:cs="宋体"/>
                <w:color w:val="auto"/>
                <w:sz w:val="24"/>
              </w:rPr>
              <w:t>C售后服务方案内容不全面，适用性差，不满足磋商文件要求的得0.1~2分；</w:t>
            </w:r>
          </w:p>
          <w:p>
            <w:pPr>
              <w:spacing w:line="440" w:lineRule="exact"/>
              <w:rPr>
                <w:rFonts w:ascii="宋体" w:hAnsi="宋体" w:cs="宋体"/>
                <w:color w:val="auto"/>
                <w:sz w:val="24"/>
              </w:rPr>
            </w:pPr>
            <w:r>
              <w:rPr>
                <w:rFonts w:hint="eastAsia" w:ascii="宋体" w:hAnsi="宋体" w:cs="宋体"/>
                <w:color w:val="auto"/>
                <w:sz w:val="24"/>
              </w:rPr>
              <w:t>D不提供者得0分。</w:t>
            </w:r>
          </w:p>
        </w:tc>
        <w:tc>
          <w:tcPr>
            <w:tcW w:w="795" w:type="dxa"/>
            <w:noWrap w:val="0"/>
            <w:vAlign w:val="center"/>
          </w:tcPr>
          <w:p>
            <w:pPr>
              <w:jc w:val="center"/>
              <w:rPr>
                <w:rFonts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分</w:t>
            </w:r>
          </w:p>
        </w:tc>
      </w:tr>
    </w:tbl>
    <w:p>
      <w:pPr>
        <w:spacing w:line="220" w:lineRule="atLeast"/>
        <w:rPr>
          <w:color w:val="auto"/>
        </w:rPr>
      </w:pPr>
    </w:p>
    <w:p>
      <w:pPr>
        <w:rPr>
          <w:rFonts w:hint="eastAsia" w:cs="宋体"/>
          <w:b/>
          <w:bCs/>
          <w:color w:val="auto"/>
          <w:sz w:val="48"/>
          <w:szCs w:val="48"/>
        </w:rPr>
      </w:pPr>
    </w:p>
    <w:p>
      <w:pPr>
        <w:pageBreakBefore/>
        <w:spacing w:line="360" w:lineRule="auto"/>
        <w:jc w:val="center"/>
        <w:outlineLvl w:val="0"/>
        <w:rPr>
          <w:rFonts w:hint="default" w:eastAsia="宋体"/>
          <w:color w:val="auto"/>
          <w:sz w:val="24"/>
          <w:szCs w:val="24"/>
          <w:highlight w:val="none"/>
          <w:lang w:val="en-US" w:eastAsia="zh-CN"/>
        </w:rPr>
      </w:pPr>
      <w:bookmarkStart w:id="1820" w:name="_Toc25085"/>
      <w:bookmarkStart w:id="1821" w:name="_Toc29678"/>
      <w:bookmarkStart w:id="1822" w:name="_Toc28925"/>
      <w:bookmarkStart w:id="1823" w:name="_Toc19572"/>
      <w:r>
        <w:rPr>
          <w:rFonts w:hint="eastAsia"/>
          <w:b/>
          <w:bCs/>
          <w:color w:val="auto"/>
          <w:sz w:val="48"/>
          <w:szCs w:val="48"/>
          <w:highlight w:val="none"/>
        </w:rPr>
        <w:t>第五部分评审程序、方法和标准</w:t>
      </w:r>
      <w:r>
        <w:rPr>
          <w:rFonts w:hint="eastAsia"/>
          <w:b/>
          <w:bCs/>
          <w:color w:val="auto"/>
          <w:sz w:val="48"/>
          <w:szCs w:val="48"/>
          <w:highlight w:val="none"/>
          <w:lang w:val="en-US" w:eastAsia="zh-CN"/>
        </w:rPr>
        <w:t>(B包)</w:t>
      </w:r>
      <w:bookmarkEnd w:id="1820"/>
      <w:bookmarkEnd w:id="1821"/>
      <w:bookmarkEnd w:id="1822"/>
    </w:p>
    <w:p>
      <w:pPr>
        <w:numPr>
          <w:ilvl w:val="0"/>
          <w:numId w:val="9"/>
        </w:numPr>
        <w:tabs>
          <w:tab w:val="left" w:pos="1050"/>
        </w:tabs>
        <w:spacing w:line="360" w:lineRule="auto"/>
        <w:ind w:left="964" w:hanging="482"/>
        <w:outlineLvl w:val="1"/>
        <w:rPr>
          <w:b/>
          <w:bCs/>
          <w:color w:val="auto"/>
          <w:sz w:val="24"/>
          <w:szCs w:val="24"/>
          <w:highlight w:val="none"/>
        </w:rPr>
      </w:pPr>
      <w:bookmarkStart w:id="1824" w:name="_Toc9692"/>
      <w:bookmarkStart w:id="1825" w:name="_Toc21235"/>
      <w:bookmarkStart w:id="1826" w:name="_Toc24387"/>
      <w:bookmarkStart w:id="1827" w:name="_Toc2858"/>
      <w:r>
        <w:rPr>
          <w:rFonts w:hint="eastAsia"/>
          <w:b/>
          <w:bCs/>
          <w:color w:val="auto"/>
          <w:sz w:val="24"/>
          <w:szCs w:val="24"/>
          <w:highlight w:val="none"/>
        </w:rPr>
        <w:t>总则</w:t>
      </w:r>
      <w:bookmarkEnd w:id="1824"/>
      <w:bookmarkEnd w:id="1825"/>
      <w:bookmarkEnd w:id="1826"/>
      <w:bookmarkEnd w:id="1827"/>
    </w:p>
    <w:p>
      <w:pPr>
        <w:spacing w:line="360" w:lineRule="auto"/>
        <w:ind w:firstLine="480" w:firstLineChars="200"/>
        <w:rPr>
          <w:color w:val="auto"/>
          <w:sz w:val="24"/>
          <w:szCs w:val="24"/>
          <w:highlight w:val="none"/>
        </w:rPr>
      </w:pPr>
      <w:r>
        <w:rPr>
          <w:color w:val="auto"/>
          <w:sz w:val="24"/>
          <w:szCs w:val="24"/>
          <w:highlight w:val="none"/>
        </w:rPr>
        <w:t xml:space="preserve">1.1 </w:t>
      </w:r>
      <w:r>
        <w:rPr>
          <w:rFonts w:hint="eastAsia"/>
          <w:color w:val="auto"/>
          <w:sz w:val="24"/>
          <w:szCs w:val="24"/>
          <w:highlight w:val="none"/>
        </w:rPr>
        <w:t>根据《中华人民共和国政府采购法》、《政府采购竞争性磋商采购方式管理暂行办法》和《政府采购货物和服务招标投标管理办法》（财政部第</w:t>
      </w:r>
      <w:r>
        <w:rPr>
          <w:color w:val="auto"/>
          <w:sz w:val="24"/>
          <w:szCs w:val="24"/>
          <w:highlight w:val="none"/>
        </w:rPr>
        <w:t>87</w:t>
      </w:r>
      <w:r>
        <w:rPr>
          <w:rFonts w:hint="eastAsia"/>
          <w:color w:val="auto"/>
          <w:sz w:val="24"/>
          <w:szCs w:val="24"/>
          <w:highlight w:val="none"/>
        </w:rPr>
        <w:t>号令）等法律和规章，结合本采购项目特点制定本评审办法。</w:t>
      </w:r>
    </w:p>
    <w:p>
      <w:pPr>
        <w:spacing w:line="360" w:lineRule="auto"/>
        <w:ind w:firstLine="480" w:firstLineChars="200"/>
        <w:rPr>
          <w:color w:val="auto"/>
          <w:sz w:val="24"/>
          <w:szCs w:val="24"/>
          <w:highlight w:val="none"/>
        </w:rPr>
      </w:pPr>
      <w:r>
        <w:rPr>
          <w:color w:val="auto"/>
          <w:sz w:val="24"/>
          <w:szCs w:val="24"/>
          <w:highlight w:val="none"/>
        </w:rPr>
        <w:t xml:space="preserve">1.2 </w:t>
      </w:r>
      <w:r>
        <w:rPr>
          <w:rFonts w:hint="eastAsia"/>
          <w:color w:val="auto"/>
          <w:sz w:val="24"/>
          <w:szCs w:val="24"/>
          <w:highlight w:val="none"/>
        </w:rPr>
        <w:t>磋商工作由采购人负责组织，评审由采购人依法组建的磋商小组负责。磋商小组由采购人代表和有关技术、经济等方面的专家组成。</w:t>
      </w:r>
    </w:p>
    <w:p>
      <w:pPr>
        <w:spacing w:line="360" w:lineRule="auto"/>
        <w:ind w:firstLine="480" w:firstLineChars="200"/>
        <w:rPr>
          <w:color w:val="auto"/>
          <w:sz w:val="24"/>
          <w:szCs w:val="24"/>
          <w:highlight w:val="none"/>
        </w:rPr>
      </w:pPr>
      <w:r>
        <w:rPr>
          <w:color w:val="auto"/>
          <w:sz w:val="24"/>
          <w:szCs w:val="24"/>
          <w:highlight w:val="none"/>
        </w:rPr>
        <w:t xml:space="preserve">1.3 </w:t>
      </w:r>
      <w:r>
        <w:rPr>
          <w:rFonts w:hint="eastAsia"/>
          <w:color w:val="auto"/>
          <w:sz w:val="24"/>
          <w:szCs w:val="24"/>
          <w:highlight w:val="none"/>
        </w:rPr>
        <w:t>磋商小组成员应当按照客观、公正、审慎的原则，根据磋商文件规定的评审程序、评审方法和评审标准进行独立评审。未实质性响应磋商文件的响应文件按无效响应处理，磋商小组应当告知提交响应文件的供应商。</w:t>
      </w:r>
    </w:p>
    <w:p>
      <w:pPr>
        <w:spacing w:line="360" w:lineRule="auto"/>
        <w:ind w:firstLine="480" w:firstLineChars="200"/>
        <w:rPr>
          <w:color w:val="auto"/>
          <w:sz w:val="24"/>
          <w:szCs w:val="24"/>
          <w:highlight w:val="none"/>
        </w:rPr>
      </w:pPr>
      <w:r>
        <w:rPr>
          <w:color w:val="auto"/>
          <w:sz w:val="24"/>
          <w:szCs w:val="24"/>
          <w:highlight w:val="none"/>
        </w:rPr>
        <w:t xml:space="preserve">1.4 </w:t>
      </w:r>
      <w:r>
        <w:rPr>
          <w:rFonts w:hint="eastAsia"/>
          <w:color w:val="auto"/>
          <w:sz w:val="24"/>
          <w:szCs w:val="24"/>
          <w:highlight w:val="none"/>
        </w:rPr>
        <w:t>评审过程严格保密。供应商对磋商小组的评审过程或合同授予决定施加影响的任何行为都可能导致其响应文件被拒绝。</w:t>
      </w:r>
    </w:p>
    <w:p>
      <w:pPr>
        <w:spacing w:line="360" w:lineRule="auto"/>
        <w:ind w:firstLine="480" w:firstLineChars="200"/>
        <w:rPr>
          <w:color w:val="auto"/>
          <w:sz w:val="24"/>
          <w:szCs w:val="24"/>
          <w:highlight w:val="none"/>
        </w:rPr>
      </w:pPr>
      <w:r>
        <w:rPr>
          <w:color w:val="auto"/>
          <w:sz w:val="24"/>
          <w:szCs w:val="24"/>
          <w:highlight w:val="none"/>
        </w:rPr>
        <w:t xml:space="preserve">1.5 </w:t>
      </w:r>
      <w:r>
        <w:rPr>
          <w:rFonts w:hint="eastAsia"/>
          <w:color w:val="auto"/>
          <w:sz w:val="24"/>
          <w:szCs w:val="24"/>
          <w:highlight w:val="none"/>
        </w:rPr>
        <w:t>磋商小组发现磋商文件表述不明确或需要说明的事项，可提请采购人书面解释说明。</w:t>
      </w:r>
    </w:p>
    <w:p>
      <w:pPr>
        <w:spacing w:line="360" w:lineRule="auto"/>
        <w:ind w:firstLine="480" w:firstLineChars="200"/>
        <w:rPr>
          <w:color w:val="auto"/>
          <w:sz w:val="24"/>
          <w:szCs w:val="24"/>
          <w:highlight w:val="none"/>
        </w:rPr>
      </w:pPr>
      <w:r>
        <w:rPr>
          <w:color w:val="auto"/>
          <w:sz w:val="24"/>
          <w:szCs w:val="24"/>
          <w:highlight w:val="none"/>
        </w:rPr>
        <w:t xml:space="preserve">1.6 </w:t>
      </w:r>
      <w:r>
        <w:rPr>
          <w:rFonts w:hint="eastAsia"/>
          <w:color w:val="auto"/>
          <w:sz w:val="24"/>
          <w:szCs w:val="24"/>
          <w:highlight w:val="none"/>
        </w:rPr>
        <w:t>磋商小组对响应文件的判定，只依据响应文件和磋商过程中认定的文件，不依据磋商后的任何外来证明。</w:t>
      </w:r>
    </w:p>
    <w:p>
      <w:pPr>
        <w:numPr>
          <w:ilvl w:val="0"/>
          <w:numId w:val="9"/>
        </w:numPr>
        <w:tabs>
          <w:tab w:val="left" w:pos="1050"/>
        </w:tabs>
        <w:spacing w:line="360" w:lineRule="auto"/>
        <w:ind w:left="964" w:hanging="482"/>
        <w:outlineLvl w:val="1"/>
        <w:rPr>
          <w:b/>
          <w:bCs/>
          <w:color w:val="auto"/>
          <w:sz w:val="24"/>
          <w:szCs w:val="24"/>
          <w:highlight w:val="none"/>
        </w:rPr>
      </w:pPr>
      <w:bookmarkStart w:id="1828" w:name="_Toc10763"/>
      <w:bookmarkStart w:id="1829" w:name="_Toc31081"/>
      <w:bookmarkStart w:id="1830" w:name="_Toc28566"/>
      <w:bookmarkStart w:id="1831" w:name="_Toc4373"/>
      <w:r>
        <w:rPr>
          <w:rFonts w:hint="eastAsia"/>
          <w:b/>
          <w:bCs/>
          <w:color w:val="auto"/>
          <w:sz w:val="24"/>
          <w:szCs w:val="24"/>
          <w:highlight w:val="none"/>
        </w:rPr>
        <w:t>评审程序、评审方法和评审标准</w:t>
      </w:r>
      <w:bookmarkEnd w:id="1828"/>
      <w:bookmarkEnd w:id="1829"/>
      <w:bookmarkEnd w:id="1830"/>
      <w:bookmarkEnd w:id="1831"/>
    </w:p>
    <w:p>
      <w:pPr>
        <w:spacing w:line="360" w:lineRule="auto"/>
        <w:ind w:firstLine="482" w:firstLineChars="200"/>
        <w:rPr>
          <w:b/>
          <w:bCs/>
          <w:color w:val="auto"/>
          <w:sz w:val="24"/>
          <w:szCs w:val="24"/>
          <w:highlight w:val="none"/>
        </w:rPr>
      </w:pPr>
      <w:r>
        <w:rPr>
          <w:b/>
          <w:bCs/>
          <w:color w:val="auto"/>
          <w:sz w:val="24"/>
          <w:szCs w:val="24"/>
          <w:highlight w:val="none"/>
        </w:rPr>
        <w:t>1</w:t>
      </w:r>
      <w:r>
        <w:rPr>
          <w:rFonts w:hint="eastAsia"/>
          <w:b/>
          <w:bCs/>
          <w:color w:val="auto"/>
          <w:sz w:val="24"/>
          <w:szCs w:val="24"/>
          <w:highlight w:val="none"/>
        </w:rPr>
        <w:t>、响应文件的有效性、完整性和响应程度审查</w:t>
      </w:r>
    </w:p>
    <w:p>
      <w:pPr>
        <w:spacing w:line="360" w:lineRule="auto"/>
        <w:ind w:firstLine="480" w:firstLineChars="200"/>
        <w:rPr>
          <w:color w:val="auto"/>
          <w:sz w:val="24"/>
          <w:szCs w:val="24"/>
          <w:highlight w:val="none"/>
        </w:rPr>
      </w:pPr>
      <w:r>
        <w:rPr>
          <w:color w:val="auto"/>
          <w:sz w:val="24"/>
          <w:szCs w:val="24"/>
          <w:highlight w:val="none"/>
        </w:rPr>
        <w:t xml:space="preserve">1.1 </w:t>
      </w:r>
      <w:r>
        <w:rPr>
          <w:rFonts w:hint="eastAsia"/>
          <w:color w:val="auto"/>
          <w:sz w:val="24"/>
          <w:szCs w:val="24"/>
          <w:highlight w:val="none"/>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更正应当由法定代表人或其授权代表签字或者加盖公章。由授权代表签字的，应当附法定代表人授权书。供应商为自然人的，应当由本人签字并附身份证明。</w:t>
      </w:r>
    </w:p>
    <w:p>
      <w:pPr>
        <w:spacing w:line="360" w:lineRule="auto"/>
        <w:ind w:firstLine="482" w:firstLineChars="200"/>
        <w:rPr>
          <w:b/>
          <w:bCs/>
          <w:color w:val="auto"/>
          <w:sz w:val="24"/>
          <w:szCs w:val="24"/>
          <w:highlight w:val="none"/>
        </w:rPr>
      </w:pPr>
      <w:r>
        <w:rPr>
          <w:b/>
          <w:bCs/>
          <w:color w:val="auto"/>
          <w:sz w:val="24"/>
          <w:szCs w:val="24"/>
          <w:highlight w:val="none"/>
        </w:rPr>
        <w:t>2</w:t>
      </w:r>
      <w:r>
        <w:rPr>
          <w:rFonts w:hint="eastAsia"/>
          <w:b/>
          <w:bCs/>
          <w:color w:val="auto"/>
          <w:sz w:val="24"/>
          <w:szCs w:val="24"/>
          <w:highlight w:val="none"/>
        </w:rPr>
        <w:t>、分别与单一供应商进行磋商</w:t>
      </w:r>
    </w:p>
    <w:p>
      <w:pPr>
        <w:spacing w:line="360" w:lineRule="auto"/>
        <w:ind w:firstLine="480" w:firstLineChars="200"/>
        <w:rPr>
          <w:color w:val="auto"/>
          <w:sz w:val="24"/>
          <w:szCs w:val="24"/>
          <w:highlight w:val="none"/>
        </w:rPr>
      </w:pPr>
      <w:r>
        <w:rPr>
          <w:color w:val="auto"/>
          <w:sz w:val="24"/>
          <w:szCs w:val="24"/>
          <w:highlight w:val="none"/>
        </w:rPr>
        <w:t xml:space="preserve">2.1 </w:t>
      </w:r>
      <w:r>
        <w:rPr>
          <w:rFonts w:hint="eastAsia"/>
          <w:color w:val="auto"/>
          <w:sz w:val="24"/>
          <w:szCs w:val="24"/>
          <w:highlight w:val="none"/>
        </w:rPr>
        <w:t>磋商小组所有成员应当集中与单一供应商分别进行磋商，并给予所有参加磋商的供应商平等的磋商机会。</w:t>
      </w:r>
    </w:p>
    <w:p>
      <w:pPr>
        <w:spacing w:line="360" w:lineRule="auto"/>
        <w:ind w:firstLine="480" w:firstLineChars="200"/>
        <w:rPr>
          <w:color w:val="auto"/>
          <w:sz w:val="24"/>
          <w:szCs w:val="24"/>
          <w:highlight w:val="none"/>
        </w:rPr>
      </w:pPr>
      <w:r>
        <w:rPr>
          <w:color w:val="auto"/>
          <w:sz w:val="24"/>
          <w:szCs w:val="24"/>
          <w:highlight w:val="none"/>
        </w:rPr>
        <w:t xml:space="preserve">2.2 </w:t>
      </w:r>
      <w:r>
        <w:rPr>
          <w:rFonts w:hint="eastAsia"/>
          <w:color w:val="auto"/>
          <w:sz w:val="24"/>
          <w:szCs w:val="24"/>
          <w:highlight w:val="none"/>
        </w:rPr>
        <w:t>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供应商。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pPr>
        <w:spacing w:line="360" w:lineRule="auto"/>
        <w:ind w:firstLine="482" w:firstLineChars="200"/>
        <w:rPr>
          <w:b/>
          <w:bCs/>
          <w:color w:val="auto"/>
          <w:sz w:val="24"/>
          <w:szCs w:val="24"/>
          <w:highlight w:val="none"/>
        </w:rPr>
      </w:pPr>
      <w:r>
        <w:rPr>
          <w:b/>
          <w:bCs/>
          <w:color w:val="auto"/>
          <w:sz w:val="24"/>
          <w:szCs w:val="24"/>
          <w:highlight w:val="none"/>
        </w:rPr>
        <w:t>3</w:t>
      </w:r>
      <w:r>
        <w:rPr>
          <w:rFonts w:hint="eastAsia"/>
          <w:b/>
          <w:bCs/>
          <w:color w:val="auto"/>
          <w:sz w:val="24"/>
          <w:szCs w:val="24"/>
          <w:highlight w:val="none"/>
        </w:rPr>
        <w:t>、供应商提交最后报价</w:t>
      </w:r>
    </w:p>
    <w:p>
      <w:pPr>
        <w:spacing w:line="360" w:lineRule="auto"/>
        <w:ind w:firstLine="480" w:firstLineChars="200"/>
        <w:rPr>
          <w:color w:val="auto"/>
          <w:sz w:val="24"/>
          <w:szCs w:val="24"/>
          <w:highlight w:val="none"/>
        </w:rPr>
      </w:pPr>
      <w:r>
        <w:rPr>
          <w:color w:val="auto"/>
          <w:sz w:val="24"/>
          <w:szCs w:val="24"/>
          <w:highlight w:val="none"/>
        </w:rPr>
        <w:t xml:space="preserve">3.1 </w:t>
      </w:r>
      <w:r>
        <w:rPr>
          <w:rFonts w:hint="eastAsia"/>
          <w:color w:val="auto"/>
          <w:sz w:val="24"/>
          <w:szCs w:val="24"/>
          <w:highlight w:val="none"/>
        </w:rPr>
        <w:t>磋商文件能够详细列明采购标的的技术、服务要求的，磋商结束后，磋商小组应当要求所有实质性响应的供应商在规定时间内提交最后报价，提交最后报价的供应商不得少于</w:t>
      </w:r>
      <w:r>
        <w:rPr>
          <w:color w:val="auto"/>
          <w:sz w:val="24"/>
          <w:szCs w:val="24"/>
          <w:highlight w:val="none"/>
        </w:rPr>
        <w:t>3</w:t>
      </w:r>
      <w:r>
        <w:rPr>
          <w:rFonts w:hint="eastAsia"/>
          <w:color w:val="auto"/>
          <w:sz w:val="24"/>
          <w:szCs w:val="24"/>
          <w:highlight w:val="none"/>
        </w:rPr>
        <w:t>家。磋商文件不能详细列明采购标的的技术、服务要求，需经磋商由供应商提供最终设计方案或解决方案的，磋商结束后，磋商小组应当按照少数服从多数的原则投票推荐</w:t>
      </w:r>
      <w:r>
        <w:rPr>
          <w:color w:val="auto"/>
          <w:sz w:val="24"/>
          <w:szCs w:val="24"/>
          <w:highlight w:val="none"/>
        </w:rPr>
        <w:t>3</w:t>
      </w:r>
      <w:r>
        <w:rPr>
          <w:rFonts w:hint="eastAsia"/>
          <w:color w:val="auto"/>
          <w:sz w:val="24"/>
          <w:szCs w:val="24"/>
          <w:highlight w:val="none"/>
        </w:rPr>
        <w:t>家以上供应商的设计方案或者解决方案，并要求其在规定时间内提交最后报价。最后报价是供应商响应文件的有效组成部分。</w:t>
      </w:r>
    </w:p>
    <w:p>
      <w:pPr>
        <w:spacing w:line="360" w:lineRule="auto"/>
        <w:ind w:firstLine="480" w:firstLineChars="200"/>
        <w:rPr>
          <w:color w:val="auto"/>
          <w:sz w:val="24"/>
          <w:szCs w:val="24"/>
          <w:highlight w:val="none"/>
        </w:rPr>
      </w:pPr>
      <w:r>
        <w:rPr>
          <w:color w:val="auto"/>
          <w:sz w:val="24"/>
          <w:szCs w:val="24"/>
          <w:highlight w:val="none"/>
        </w:rPr>
        <w:t xml:space="preserve">3.2 </w:t>
      </w:r>
      <w:r>
        <w:rPr>
          <w:rFonts w:hint="eastAsia"/>
          <w:color w:val="auto"/>
          <w:sz w:val="24"/>
          <w:szCs w:val="24"/>
          <w:highlight w:val="none"/>
        </w:rPr>
        <w:t>已提交响应文件的供应商，在提交最后报价之前，可以根据磋商情况退出磋商。</w:t>
      </w:r>
    </w:p>
    <w:p>
      <w:pPr>
        <w:spacing w:line="360" w:lineRule="auto"/>
        <w:ind w:firstLine="480" w:firstLineChars="200"/>
        <w:rPr>
          <w:color w:val="auto"/>
          <w:sz w:val="24"/>
          <w:szCs w:val="24"/>
          <w:highlight w:val="none"/>
        </w:rPr>
      </w:pPr>
      <w:r>
        <w:rPr>
          <w:rFonts w:hint="eastAsia"/>
          <w:color w:val="auto"/>
          <w:sz w:val="24"/>
          <w:szCs w:val="24"/>
          <w:highlight w:val="none"/>
        </w:rPr>
        <w:t>3.3根据财政部、工业和信息化部2012年1月1日颁布的《政府采购促进中小企业发展暂行办法》（财库[2011]181号）第五条规定，对小、微企业予以价格评分适当优惠。若供应商为小型或微型企业者，必须提供相关部门出具的证明材料，其参与评分的投标报价取值按投标报价的</w:t>
      </w:r>
      <w:r>
        <w:rPr>
          <w:rFonts w:hint="eastAsia"/>
          <w:color w:val="auto"/>
          <w:sz w:val="24"/>
          <w:szCs w:val="24"/>
          <w:highlight w:val="none"/>
          <w:lang w:val="en-US" w:eastAsia="zh-CN"/>
        </w:rPr>
        <w:t>95</w:t>
      </w:r>
      <w:r>
        <w:rPr>
          <w:rFonts w:hint="eastAsia"/>
          <w:color w:val="auto"/>
          <w:sz w:val="24"/>
          <w:szCs w:val="24"/>
          <w:highlight w:val="none"/>
        </w:rPr>
        <w:t>%计（即按投标报价扣除</w:t>
      </w:r>
      <w:r>
        <w:rPr>
          <w:rFonts w:hint="eastAsia"/>
          <w:color w:val="auto"/>
          <w:sz w:val="24"/>
          <w:szCs w:val="24"/>
          <w:highlight w:val="none"/>
          <w:lang w:val="en-US" w:eastAsia="zh-CN"/>
        </w:rPr>
        <w:t>5</w:t>
      </w:r>
      <w:r>
        <w:rPr>
          <w:rFonts w:hint="eastAsia"/>
          <w:color w:val="auto"/>
          <w:sz w:val="24"/>
          <w:szCs w:val="24"/>
          <w:highlight w:val="none"/>
        </w:rPr>
        <w:t xml:space="preserve">%后计算）。 </w:t>
      </w:r>
    </w:p>
    <w:p>
      <w:pPr>
        <w:spacing w:line="360" w:lineRule="auto"/>
        <w:ind w:firstLine="480" w:firstLineChars="200"/>
        <w:rPr>
          <w:color w:val="auto"/>
          <w:sz w:val="24"/>
          <w:szCs w:val="24"/>
          <w:highlight w:val="none"/>
        </w:rPr>
      </w:pPr>
      <w:r>
        <w:rPr>
          <w:rFonts w:hint="eastAsia"/>
          <w:color w:val="auto"/>
          <w:sz w:val="24"/>
          <w:szCs w:val="24"/>
          <w:highlight w:val="none"/>
        </w:rPr>
        <w:t>3.4关于政策性优惠</w:t>
      </w:r>
    </w:p>
    <w:p>
      <w:pPr>
        <w:spacing w:line="360" w:lineRule="auto"/>
        <w:ind w:firstLine="480" w:firstLineChars="200"/>
        <w:rPr>
          <w:color w:val="auto"/>
          <w:sz w:val="24"/>
          <w:szCs w:val="24"/>
          <w:highlight w:val="none"/>
        </w:rPr>
      </w:pPr>
      <w:r>
        <w:rPr>
          <w:rFonts w:hint="eastAsia"/>
          <w:color w:val="auto"/>
          <w:sz w:val="24"/>
          <w:szCs w:val="24"/>
          <w:highlight w:val="none"/>
        </w:rPr>
        <w:t>3.4.1报价人为小型和微型企业（含联合体）的情况：</w:t>
      </w:r>
    </w:p>
    <w:p>
      <w:pPr>
        <w:spacing w:line="360" w:lineRule="auto"/>
        <w:ind w:firstLine="480" w:firstLineChars="200"/>
        <w:rPr>
          <w:color w:val="auto"/>
          <w:sz w:val="24"/>
          <w:szCs w:val="24"/>
          <w:highlight w:val="none"/>
        </w:rPr>
      </w:pPr>
      <w:r>
        <w:rPr>
          <w:rFonts w:hint="eastAsia"/>
          <w:color w:val="auto"/>
          <w:sz w:val="24"/>
          <w:szCs w:val="24"/>
          <w:highlight w:val="none"/>
        </w:rPr>
        <w:t>3.4.2中小企业的认定标准：</w:t>
      </w:r>
    </w:p>
    <w:p>
      <w:pPr>
        <w:spacing w:line="360" w:lineRule="auto"/>
        <w:ind w:firstLine="480" w:firstLineChars="200"/>
        <w:rPr>
          <w:color w:val="auto"/>
          <w:sz w:val="24"/>
          <w:szCs w:val="24"/>
          <w:highlight w:val="none"/>
        </w:rPr>
      </w:pPr>
      <w:r>
        <w:rPr>
          <w:rFonts w:hint="eastAsia"/>
          <w:color w:val="auto"/>
          <w:sz w:val="24"/>
          <w:szCs w:val="24"/>
          <w:highlight w:val="none"/>
        </w:rPr>
        <w:t>1）提供本企业制造的货物、承担的工程或者服务，或者提供其他中小企业制造的货物，不包括提供或使用大型企业注册商标的货物；</w:t>
      </w:r>
    </w:p>
    <w:p>
      <w:pPr>
        <w:spacing w:line="360" w:lineRule="auto"/>
        <w:ind w:firstLine="480" w:firstLineChars="200"/>
        <w:rPr>
          <w:color w:val="auto"/>
          <w:sz w:val="24"/>
          <w:szCs w:val="24"/>
          <w:highlight w:val="none"/>
        </w:rPr>
      </w:pPr>
      <w:r>
        <w:rPr>
          <w:rFonts w:hint="eastAsia"/>
          <w:color w:val="auto"/>
          <w:sz w:val="24"/>
          <w:szCs w:val="24"/>
          <w:highlight w:val="none"/>
        </w:rPr>
        <w:t>2）本规定所称中小企业划分标准，是指国务院有关部门根据企业从业人员、营业收入、资产总额等指标制定的中小企业划型标准（工信部联企业〔2011〕300号）；</w:t>
      </w:r>
    </w:p>
    <w:p>
      <w:pPr>
        <w:spacing w:line="360" w:lineRule="auto"/>
        <w:ind w:firstLine="480" w:firstLineChars="200"/>
        <w:rPr>
          <w:color w:val="auto"/>
          <w:sz w:val="24"/>
          <w:szCs w:val="24"/>
          <w:highlight w:val="none"/>
        </w:rPr>
      </w:pPr>
      <w:r>
        <w:rPr>
          <w:rFonts w:hint="eastAsia"/>
          <w:color w:val="auto"/>
          <w:sz w:val="24"/>
          <w:szCs w:val="24"/>
          <w:highlight w:val="none"/>
        </w:rPr>
        <w:t>3.4.3报价人为工信部联企业〔2011〕300号文规定的小型和微型企业（含联合体）的，必须如实填写“中小企业声明函”（内容、格式见财库〔2011〕181号），并提供中小企业认定机构的证明材料，否则无效。如有虚假骗取政策性优惠，将依法承担相应责任。</w:t>
      </w:r>
    </w:p>
    <w:p>
      <w:pPr>
        <w:spacing w:line="360" w:lineRule="auto"/>
        <w:ind w:firstLine="482" w:firstLineChars="200"/>
        <w:rPr>
          <w:b/>
          <w:bCs/>
          <w:color w:val="auto"/>
          <w:sz w:val="24"/>
          <w:szCs w:val="24"/>
          <w:highlight w:val="none"/>
        </w:rPr>
      </w:pPr>
      <w:r>
        <w:rPr>
          <w:b/>
          <w:bCs/>
          <w:color w:val="auto"/>
          <w:sz w:val="24"/>
          <w:szCs w:val="24"/>
          <w:highlight w:val="none"/>
        </w:rPr>
        <w:t>4</w:t>
      </w:r>
      <w:r>
        <w:rPr>
          <w:rFonts w:hint="eastAsia"/>
          <w:b/>
          <w:bCs/>
          <w:color w:val="auto"/>
          <w:sz w:val="24"/>
          <w:szCs w:val="24"/>
          <w:highlight w:val="none"/>
        </w:rPr>
        <w:t>、综合评分</w:t>
      </w:r>
    </w:p>
    <w:p>
      <w:pPr>
        <w:spacing w:line="360" w:lineRule="auto"/>
        <w:ind w:firstLine="480" w:firstLineChars="200"/>
        <w:rPr>
          <w:color w:val="auto"/>
          <w:sz w:val="24"/>
          <w:szCs w:val="24"/>
          <w:highlight w:val="none"/>
        </w:rPr>
      </w:pPr>
      <w:r>
        <w:rPr>
          <w:color w:val="auto"/>
          <w:sz w:val="24"/>
          <w:szCs w:val="24"/>
          <w:highlight w:val="none"/>
        </w:rPr>
        <w:t xml:space="preserve">4.1 </w:t>
      </w:r>
      <w:r>
        <w:rPr>
          <w:rFonts w:hint="eastAsia"/>
          <w:color w:val="auto"/>
          <w:sz w:val="24"/>
          <w:szCs w:val="24"/>
          <w:highlight w:val="none"/>
        </w:rPr>
        <w:t>经磋商确定最终采购需求和提交最后报价的供应商后，由磋商小组采用综合评分法对提交最后报价的供应商的响应文件和最后报价进行综合评分。</w:t>
      </w:r>
    </w:p>
    <w:p>
      <w:pPr>
        <w:spacing w:line="360" w:lineRule="auto"/>
        <w:ind w:firstLine="480" w:firstLineChars="200"/>
        <w:rPr>
          <w:color w:val="auto"/>
          <w:sz w:val="24"/>
          <w:szCs w:val="24"/>
          <w:highlight w:val="none"/>
        </w:rPr>
      </w:pPr>
      <w:r>
        <w:rPr>
          <w:rFonts w:hint="eastAsia"/>
          <w:color w:val="auto"/>
          <w:sz w:val="24"/>
          <w:szCs w:val="24"/>
          <w:highlight w:val="none"/>
        </w:rPr>
        <w:t>综合评分法，是指响应文件满足磋商文件全部实质性要求且按评审因素的量化指标评审得分最高的供应商为成交候选供应商的评审方法。</w:t>
      </w:r>
    </w:p>
    <w:p>
      <w:pPr>
        <w:spacing w:line="360" w:lineRule="auto"/>
        <w:ind w:firstLine="480" w:firstLineChars="200"/>
        <w:rPr>
          <w:color w:val="auto"/>
          <w:sz w:val="24"/>
          <w:szCs w:val="24"/>
          <w:highlight w:val="none"/>
        </w:rPr>
      </w:pPr>
      <w:r>
        <w:rPr>
          <w:color w:val="auto"/>
          <w:sz w:val="24"/>
          <w:szCs w:val="24"/>
          <w:highlight w:val="none"/>
        </w:rPr>
        <w:t xml:space="preserve">4.2 </w:t>
      </w:r>
      <w:r>
        <w:rPr>
          <w:rFonts w:hint="eastAsia"/>
          <w:color w:val="auto"/>
          <w:sz w:val="24"/>
          <w:szCs w:val="24"/>
          <w:highlight w:val="none"/>
        </w:rPr>
        <w:t>综合评分法评审标准中的分值设置应当与评审因素的量化指标相对应。磋商文件中没有规定的评审标准不得作为评审依据。</w:t>
      </w:r>
    </w:p>
    <w:p>
      <w:pPr>
        <w:spacing w:line="360" w:lineRule="auto"/>
        <w:ind w:firstLine="480" w:firstLineChars="200"/>
        <w:rPr>
          <w:color w:val="auto"/>
          <w:sz w:val="24"/>
          <w:szCs w:val="24"/>
          <w:highlight w:val="none"/>
        </w:rPr>
      </w:pPr>
      <w:r>
        <w:rPr>
          <w:rFonts w:hint="eastAsia"/>
          <w:color w:val="auto"/>
          <w:sz w:val="24"/>
          <w:szCs w:val="24"/>
          <w:highlight w:val="none"/>
        </w:rPr>
        <w:t>评审时，磋商小组各成员应当独立对每个有效响应的文件进行评价、打分，然后汇总每个供应商每项评分因素的得分。</w:t>
      </w:r>
    </w:p>
    <w:p>
      <w:pPr>
        <w:spacing w:line="360" w:lineRule="auto"/>
        <w:rPr>
          <w:b/>
          <w:bCs/>
          <w:color w:val="auto"/>
          <w:sz w:val="24"/>
          <w:szCs w:val="24"/>
          <w:highlight w:val="none"/>
        </w:rPr>
      </w:pPr>
      <w:r>
        <w:rPr>
          <w:b/>
          <w:bCs/>
          <w:color w:val="auto"/>
          <w:sz w:val="24"/>
          <w:szCs w:val="24"/>
          <w:highlight w:val="none"/>
        </w:rPr>
        <w:t>5、政府采购政策要求</w:t>
      </w:r>
    </w:p>
    <w:p>
      <w:pPr>
        <w:spacing w:line="360" w:lineRule="auto"/>
        <w:rPr>
          <w:color w:val="auto"/>
          <w:sz w:val="24"/>
          <w:szCs w:val="24"/>
          <w:highlight w:val="none"/>
        </w:rPr>
      </w:pPr>
      <w:r>
        <w:rPr>
          <w:rFonts w:hint="eastAsia"/>
          <w:color w:val="auto"/>
          <w:sz w:val="24"/>
          <w:szCs w:val="24"/>
          <w:highlight w:val="none"/>
        </w:rPr>
        <w:t>（</w:t>
      </w:r>
      <w:r>
        <w:rPr>
          <w:rFonts w:hint="eastAsia"/>
          <w:color w:val="auto"/>
          <w:sz w:val="24"/>
          <w:szCs w:val="24"/>
          <w:highlight w:val="none"/>
          <w:lang w:val="en-US"/>
        </w:rPr>
        <w:t>1</w:t>
      </w:r>
      <w:r>
        <w:rPr>
          <w:rFonts w:hint="eastAsia"/>
          <w:color w:val="auto"/>
          <w:sz w:val="24"/>
          <w:szCs w:val="24"/>
          <w:highlight w:val="none"/>
        </w:rPr>
        <w:t>）</w:t>
      </w:r>
      <w:r>
        <w:rPr>
          <w:color w:val="auto"/>
          <w:sz w:val="24"/>
          <w:szCs w:val="24"/>
          <w:highlight w:val="none"/>
        </w:rPr>
        <w:t>根据《政府采购促进中小企业发展管理办法》（财库﹝2020﹞46 号）、《财政部 司法部关于政府采购支持监狱企业发展有关问题的通知》（财库[2014]68 号）和</w:t>
      </w:r>
    </w:p>
    <w:p>
      <w:pPr>
        <w:spacing w:line="360" w:lineRule="auto"/>
        <w:rPr>
          <w:color w:val="auto"/>
          <w:sz w:val="24"/>
          <w:szCs w:val="24"/>
          <w:highlight w:val="none"/>
        </w:rPr>
      </w:pPr>
      <w:r>
        <w:rPr>
          <w:color w:val="auto"/>
          <w:sz w:val="24"/>
          <w:szCs w:val="24"/>
          <w:highlight w:val="none"/>
        </w:rPr>
        <w:t>《财政部 民政部 中国残疾人联合会关于促进残疾人就业政府采购政策的通知》（财库</w:t>
      </w:r>
    </w:p>
    <w:p>
      <w:pPr>
        <w:spacing w:line="360" w:lineRule="auto"/>
        <w:rPr>
          <w:color w:val="auto"/>
          <w:sz w:val="24"/>
          <w:szCs w:val="24"/>
          <w:highlight w:val="none"/>
        </w:rPr>
      </w:pPr>
      <w:r>
        <w:rPr>
          <w:color w:val="auto"/>
          <w:sz w:val="24"/>
          <w:szCs w:val="24"/>
          <w:highlight w:val="none"/>
        </w:rPr>
        <w:t>〔2017〕141 号）的文件规定，本项目对小微企业、监狱企业及残疾人福利性单位的投标报价给予</w:t>
      </w:r>
      <w:r>
        <w:rPr>
          <w:rFonts w:hint="eastAsia"/>
          <w:color w:val="auto"/>
          <w:sz w:val="24"/>
          <w:szCs w:val="24"/>
          <w:highlight w:val="none"/>
          <w:lang w:val="en-US" w:eastAsia="zh-CN"/>
        </w:rPr>
        <w:t>5</w:t>
      </w:r>
      <w:r>
        <w:rPr>
          <w:color w:val="auto"/>
          <w:sz w:val="24"/>
          <w:szCs w:val="24"/>
          <w:highlight w:val="none"/>
        </w:rPr>
        <w:t>%的扣除，用扣除后的价格参与价格评审。供应商同时为小微企业、监狱企业或残疾人福利性单位的，评审中只享受一次价格扣除，不重复享受价格扣除。</w:t>
      </w:r>
    </w:p>
    <w:p>
      <w:pPr>
        <w:spacing w:line="360" w:lineRule="auto"/>
        <w:rPr>
          <w:color w:val="auto"/>
          <w:sz w:val="24"/>
          <w:szCs w:val="24"/>
          <w:highlight w:val="none"/>
        </w:rPr>
      </w:pPr>
      <w:r>
        <w:rPr>
          <w:rFonts w:hint="eastAsia"/>
          <w:color w:val="auto"/>
          <w:sz w:val="24"/>
          <w:szCs w:val="24"/>
          <w:highlight w:val="none"/>
        </w:rPr>
        <w:t>（</w:t>
      </w:r>
      <w:r>
        <w:rPr>
          <w:rFonts w:hint="eastAsia"/>
          <w:color w:val="auto"/>
          <w:sz w:val="24"/>
          <w:szCs w:val="24"/>
          <w:highlight w:val="none"/>
          <w:lang w:val="en-US"/>
        </w:rPr>
        <w:t>2</w:t>
      </w:r>
      <w:r>
        <w:rPr>
          <w:rFonts w:hint="eastAsia"/>
          <w:color w:val="auto"/>
          <w:sz w:val="24"/>
          <w:szCs w:val="24"/>
          <w:highlight w:val="none"/>
        </w:rPr>
        <w:t>）</w:t>
      </w:r>
      <w:r>
        <w:rPr>
          <w:color w:val="auto"/>
          <w:sz w:val="24"/>
          <w:szCs w:val="24"/>
          <w:highlight w:val="none"/>
        </w:rPr>
        <w:t>扣除后的价格仅用来计算价格得分，成交金额以最后报价为准。</w:t>
      </w:r>
    </w:p>
    <w:p>
      <w:pPr>
        <w:spacing w:line="360" w:lineRule="auto"/>
        <w:rPr>
          <w:color w:val="auto"/>
          <w:sz w:val="24"/>
          <w:szCs w:val="24"/>
          <w:highlight w:val="none"/>
        </w:rPr>
      </w:pPr>
      <w:r>
        <w:rPr>
          <w:rFonts w:hint="eastAsia"/>
          <w:color w:val="auto"/>
          <w:sz w:val="24"/>
          <w:szCs w:val="24"/>
          <w:highlight w:val="none"/>
        </w:rPr>
        <w:t>（</w:t>
      </w:r>
      <w:r>
        <w:rPr>
          <w:rFonts w:hint="eastAsia"/>
          <w:color w:val="auto"/>
          <w:sz w:val="24"/>
          <w:szCs w:val="24"/>
          <w:highlight w:val="none"/>
          <w:lang w:val="en-US"/>
        </w:rPr>
        <w:t>3</w:t>
      </w:r>
      <w:r>
        <w:rPr>
          <w:rFonts w:hint="eastAsia"/>
          <w:color w:val="auto"/>
          <w:sz w:val="24"/>
          <w:szCs w:val="24"/>
          <w:highlight w:val="none"/>
        </w:rPr>
        <w:t>）</w:t>
      </w:r>
      <w:r>
        <w:rPr>
          <w:color w:val="auto"/>
          <w:sz w:val="24"/>
          <w:szCs w:val="24"/>
          <w:highlight w:val="none"/>
        </w:rPr>
        <w:t>供应商须按要求提供相关材料（详见第六部分响应文件格式），否则将不进行价格扣除。</w:t>
      </w:r>
    </w:p>
    <w:p>
      <w:pPr>
        <w:spacing w:line="360" w:lineRule="auto"/>
        <w:rPr>
          <w:b/>
          <w:bCs/>
          <w:color w:val="auto"/>
          <w:sz w:val="24"/>
          <w:szCs w:val="24"/>
          <w:highlight w:val="none"/>
        </w:rPr>
      </w:pPr>
      <w:r>
        <w:rPr>
          <w:rFonts w:hint="eastAsia"/>
          <w:b/>
          <w:bCs/>
          <w:color w:val="auto"/>
          <w:sz w:val="24"/>
          <w:szCs w:val="24"/>
          <w:highlight w:val="none"/>
          <w:lang w:val="en-US"/>
        </w:rPr>
        <w:t>6</w:t>
      </w:r>
      <w:r>
        <w:rPr>
          <w:rFonts w:hint="eastAsia"/>
          <w:b/>
          <w:bCs/>
          <w:color w:val="auto"/>
          <w:sz w:val="24"/>
          <w:szCs w:val="24"/>
          <w:highlight w:val="none"/>
        </w:rPr>
        <w:t>、推荐成交候选供应商</w:t>
      </w:r>
    </w:p>
    <w:p>
      <w:pPr>
        <w:spacing w:line="360" w:lineRule="auto"/>
        <w:ind w:firstLine="480" w:firstLineChars="200"/>
        <w:rPr>
          <w:color w:val="auto"/>
          <w:sz w:val="24"/>
          <w:szCs w:val="24"/>
          <w:highlight w:val="none"/>
        </w:rPr>
      </w:pPr>
      <w:r>
        <w:rPr>
          <w:rFonts w:hint="eastAsia"/>
          <w:color w:val="auto"/>
          <w:sz w:val="24"/>
          <w:szCs w:val="24"/>
          <w:highlight w:val="none"/>
          <w:lang w:val="en-US"/>
        </w:rPr>
        <w:t>6</w:t>
      </w:r>
      <w:r>
        <w:rPr>
          <w:color w:val="auto"/>
          <w:sz w:val="24"/>
          <w:szCs w:val="24"/>
          <w:highlight w:val="none"/>
        </w:rPr>
        <w:t xml:space="preserve">.1 </w:t>
      </w:r>
      <w:r>
        <w:rPr>
          <w:rFonts w:hint="eastAsia"/>
          <w:color w:val="auto"/>
          <w:sz w:val="24"/>
          <w:szCs w:val="24"/>
          <w:highlight w:val="none"/>
        </w:rPr>
        <w:t>磋商小组根据综合评分情况，按照评审得分由高到低顺序推荐</w:t>
      </w:r>
      <w:r>
        <w:rPr>
          <w:color w:val="auto"/>
          <w:sz w:val="24"/>
          <w:szCs w:val="24"/>
          <w:highlight w:val="none"/>
        </w:rPr>
        <w:t>3</w:t>
      </w:r>
      <w:r>
        <w:rPr>
          <w:rFonts w:hint="eastAsia"/>
          <w:color w:val="auto"/>
          <w:sz w:val="24"/>
          <w:szCs w:val="24"/>
          <w:highlight w:val="none"/>
        </w:rPr>
        <w:t>名以上成交候选供应商，并编写评审报告。</w:t>
      </w:r>
    </w:p>
    <w:p>
      <w:pPr>
        <w:spacing w:line="360" w:lineRule="auto"/>
        <w:ind w:firstLine="480" w:firstLineChars="200"/>
        <w:rPr>
          <w:color w:val="auto"/>
          <w:sz w:val="24"/>
          <w:szCs w:val="24"/>
          <w:highlight w:val="none"/>
        </w:rPr>
      </w:pPr>
      <w:r>
        <w:rPr>
          <w:rFonts w:hint="eastAsia"/>
          <w:color w:val="auto"/>
          <w:sz w:val="24"/>
          <w:szCs w:val="24"/>
          <w:highlight w:val="none"/>
          <w:lang w:val="en-US"/>
        </w:rPr>
        <w:t>6</w:t>
      </w:r>
      <w:r>
        <w:rPr>
          <w:color w:val="auto"/>
          <w:sz w:val="24"/>
          <w:szCs w:val="24"/>
          <w:highlight w:val="none"/>
        </w:rPr>
        <w:t>.2</w:t>
      </w:r>
      <w:r>
        <w:rPr>
          <w:rFonts w:hint="eastAsia"/>
          <w:color w:val="auto"/>
          <w:sz w:val="24"/>
          <w:szCs w:val="24"/>
          <w:highlight w:val="none"/>
        </w:rPr>
        <w:t>符合《政府采购竞争性磋商采购方式管理暂行办法》第二十一条第三款情形的，可以推荐</w:t>
      </w:r>
      <w:r>
        <w:rPr>
          <w:color w:val="auto"/>
          <w:sz w:val="24"/>
          <w:szCs w:val="24"/>
          <w:highlight w:val="none"/>
        </w:rPr>
        <w:t>2</w:t>
      </w:r>
      <w:r>
        <w:rPr>
          <w:rFonts w:hint="eastAsia"/>
          <w:color w:val="auto"/>
          <w:sz w:val="24"/>
          <w:szCs w:val="24"/>
          <w:highlight w:val="none"/>
        </w:rPr>
        <w:t>家成交候选供应商。评审得分相同的，按照最后报价由低到高的顺序推荐。评审得分且最后报价相同的，按照技术指标优劣顺序推荐。</w:t>
      </w:r>
    </w:p>
    <w:p>
      <w:pPr>
        <w:spacing w:line="360" w:lineRule="auto"/>
        <w:ind w:firstLine="482" w:firstLineChars="200"/>
        <w:rPr>
          <w:b/>
          <w:bCs/>
          <w:color w:val="auto"/>
          <w:sz w:val="24"/>
          <w:szCs w:val="24"/>
          <w:highlight w:val="none"/>
        </w:rPr>
      </w:pPr>
      <w:r>
        <w:rPr>
          <w:rFonts w:hint="eastAsia"/>
          <w:b/>
          <w:bCs/>
          <w:color w:val="auto"/>
          <w:sz w:val="24"/>
          <w:szCs w:val="24"/>
          <w:highlight w:val="none"/>
          <w:lang w:val="en-US"/>
        </w:rPr>
        <w:t>7</w:t>
      </w:r>
      <w:r>
        <w:rPr>
          <w:rFonts w:hint="eastAsia"/>
          <w:b/>
          <w:bCs/>
          <w:color w:val="auto"/>
          <w:sz w:val="24"/>
          <w:szCs w:val="24"/>
          <w:highlight w:val="none"/>
        </w:rPr>
        <w:t>、编写评审报告</w:t>
      </w:r>
    </w:p>
    <w:p>
      <w:pPr>
        <w:spacing w:line="360" w:lineRule="auto"/>
        <w:ind w:firstLine="480" w:firstLineChars="200"/>
        <w:rPr>
          <w:color w:val="auto"/>
          <w:sz w:val="24"/>
          <w:szCs w:val="24"/>
          <w:highlight w:val="none"/>
        </w:rPr>
      </w:pPr>
      <w:r>
        <w:rPr>
          <w:rFonts w:hint="eastAsia"/>
          <w:color w:val="auto"/>
          <w:sz w:val="24"/>
          <w:szCs w:val="24"/>
          <w:highlight w:val="none"/>
        </w:rPr>
        <w:t>评审报告应当包括以下主要内容：</w:t>
      </w:r>
    </w:p>
    <w:p>
      <w:pPr>
        <w:spacing w:line="360" w:lineRule="auto"/>
        <w:ind w:firstLine="480" w:firstLineChars="200"/>
        <w:rPr>
          <w:color w:val="auto"/>
          <w:sz w:val="24"/>
          <w:szCs w:val="24"/>
          <w:highlight w:val="none"/>
        </w:rPr>
      </w:pPr>
      <w:r>
        <w:rPr>
          <w:rFonts w:hint="eastAsia"/>
          <w:color w:val="auto"/>
          <w:sz w:val="24"/>
          <w:szCs w:val="24"/>
          <w:highlight w:val="none"/>
        </w:rPr>
        <w:t>（一）邀请供应商参加采购活动的具体方式和相关情况；</w:t>
      </w:r>
    </w:p>
    <w:p>
      <w:pPr>
        <w:spacing w:line="360" w:lineRule="auto"/>
        <w:ind w:firstLine="480" w:firstLineChars="200"/>
        <w:rPr>
          <w:color w:val="auto"/>
          <w:sz w:val="24"/>
          <w:szCs w:val="24"/>
          <w:highlight w:val="none"/>
        </w:rPr>
      </w:pPr>
      <w:r>
        <w:rPr>
          <w:rFonts w:hint="eastAsia"/>
          <w:color w:val="auto"/>
          <w:sz w:val="24"/>
          <w:szCs w:val="24"/>
          <w:highlight w:val="none"/>
        </w:rPr>
        <w:t>（二）响应文件开启日期和地点；</w:t>
      </w:r>
    </w:p>
    <w:p>
      <w:pPr>
        <w:spacing w:line="360" w:lineRule="auto"/>
        <w:ind w:firstLine="480" w:firstLineChars="200"/>
        <w:rPr>
          <w:color w:val="auto"/>
          <w:sz w:val="24"/>
          <w:szCs w:val="24"/>
          <w:highlight w:val="none"/>
        </w:rPr>
      </w:pPr>
      <w:r>
        <w:rPr>
          <w:rFonts w:hint="eastAsia"/>
          <w:color w:val="auto"/>
          <w:sz w:val="24"/>
          <w:szCs w:val="24"/>
          <w:highlight w:val="none"/>
        </w:rPr>
        <w:t>（三）获取磋商文件的供应商名单和磋商小组成员名单；</w:t>
      </w:r>
    </w:p>
    <w:p>
      <w:pPr>
        <w:spacing w:line="360" w:lineRule="auto"/>
        <w:ind w:firstLine="480" w:firstLineChars="200"/>
        <w:rPr>
          <w:color w:val="auto"/>
          <w:sz w:val="24"/>
          <w:szCs w:val="24"/>
          <w:highlight w:val="none"/>
        </w:rPr>
      </w:pPr>
      <w:r>
        <w:rPr>
          <w:rFonts w:hint="eastAsia"/>
          <w:color w:val="auto"/>
          <w:sz w:val="24"/>
          <w:szCs w:val="24"/>
          <w:highlight w:val="none"/>
        </w:rPr>
        <w:t>（四）评审情况记录和说明，包括对供应商的资格审查情况、供应商响应文件评审情况、磋商情况、报价情况等；</w:t>
      </w:r>
    </w:p>
    <w:p>
      <w:pPr>
        <w:spacing w:line="360" w:lineRule="auto"/>
        <w:ind w:firstLine="480" w:firstLineChars="200"/>
        <w:rPr>
          <w:color w:val="auto"/>
          <w:sz w:val="24"/>
          <w:szCs w:val="24"/>
          <w:highlight w:val="none"/>
        </w:rPr>
      </w:pPr>
      <w:r>
        <w:rPr>
          <w:rFonts w:hint="eastAsia"/>
          <w:color w:val="auto"/>
          <w:sz w:val="24"/>
          <w:szCs w:val="24"/>
          <w:highlight w:val="none"/>
        </w:rPr>
        <w:t>（五）提出的成交候选供应商的排序名单及理由。</w:t>
      </w:r>
    </w:p>
    <w:p>
      <w:pPr>
        <w:spacing w:line="360" w:lineRule="auto"/>
        <w:ind w:firstLine="482" w:firstLineChars="200"/>
        <w:rPr>
          <w:b/>
          <w:bCs/>
          <w:color w:val="auto"/>
          <w:sz w:val="24"/>
          <w:szCs w:val="24"/>
          <w:highlight w:val="none"/>
        </w:rPr>
      </w:pPr>
      <w:r>
        <w:rPr>
          <w:rFonts w:hint="eastAsia"/>
          <w:b/>
          <w:bCs/>
          <w:color w:val="auto"/>
          <w:sz w:val="24"/>
          <w:szCs w:val="24"/>
          <w:highlight w:val="none"/>
          <w:lang w:val="en-US"/>
        </w:rPr>
        <w:t>8</w:t>
      </w:r>
      <w:r>
        <w:rPr>
          <w:rFonts w:hint="eastAsia"/>
          <w:b/>
          <w:bCs/>
          <w:color w:val="auto"/>
          <w:sz w:val="24"/>
          <w:szCs w:val="24"/>
          <w:highlight w:val="none"/>
        </w:rPr>
        <w:t>、终止采购</w:t>
      </w:r>
    </w:p>
    <w:p>
      <w:pPr>
        <w:spacing w:line="360" w:lineRule="auto"/>
        <w:ind w:firstLine="480" w:firstLineChars="200"/>
        <w:rPr>
          <w:color w:val="auto"/>
          <w:sz w:val="24"/>
          <w:szCs w:val="24"/>
          <w:highlight w:val="none"/>
        </w:rPr>
      </w:pPr>
      <w:r>
        <w:rPr>
          <w:rFonts w:hint="eastAsia"/>
          <w:color w:val="auto"/>
          <w:sz w:val="24"/>
          <w:szCs w:val="24"/>
          <w:highlight w:val="none"/>
        </w:rPr>
        <w:t>出现下列情形之一的，采购人应当终止竞争性磋商采购活动，发布项目终止公告并说明原因，重新开展采购活动：</w:t>
      </w:r>
    </w:p>
    <w:p>
      <w:pPr>
        <w:spacing w:line="360" w:lineRule="auto"/>
        <w:ind w:firstLine="480" w:firstLineChars="200"/>
        <w:rPr>
          <w:color w:val="auto"/>
          <w:sz w:val="24"/>
          <w:szCs w:val="24"/>
          <w:highlight w:val="none"/>
        </w:rPr>
      </w:pPr>
      <w:r>
        <w:rPr>
          <w:rFonts w:hint="eastAsia"/>
          <w:color w:val="auto"/>
          <w:sz w:val="24"/>
          <w:szCs w:val="24"/>
          <w:highlight w:val="none"/>
        </w:rPr>
        <w:t>（一）因情况变化，不再符合规定的竞争性磋商采购方式适用情形的；</w:t>
      </w:r>
    </w:p>
    <w:p>
      <w:pPr>
        <w:spacing w:line="360" w:lineRule="auto"/>
        <w:ind w:firstLine="480" w:firstLineChars="200"/>
        <w:rPr>
          <w:color w:val="auto"/>
          <w:sz w:val="24"/>
          <w:szCs w:val="24"/>
          <w:highlight w:val="none"/>
        </w:rPr>
      </w:pPr>
      <w:r>
        <w:rPr>
          <w:rFonts w:hint="eastAsia"/>
          <w:color w:val="auto"/>
          <w:sz w:val="24"/>
          <w:szCs w:val="24"/>
          <w:highlight w:val="none"/>
        </w:rPr>
        <w:t>（二）出现影响采购公正的违法、违规行为的；</w:t>
      </w:r>
    </w:p>
    <w:p>
      <w:pPr>
        <w:spacing w:line="360" w:lineRule="auto"/>
        <w:ind w:firstLine="480" w:firstLineChars="200"/>
        <w:rPr>
          <w:color w:val="auto"/>
          <w:sz w:val="24"/>
          <w:szCs w:val="24"/>
          <w:highlight w:val="none"/>
        </w:rPr>
      </w:pPr>
      <w:r>
        <w:rPr>
          <w:rFonts w:hint="eastAsia"/>
          <w:color w:val="auto"/>
          <w:sz w:val="24"/>
          <w:szCs w:val="24"/>
          <w:highlight w:val="none"/>
        </w:rPr>
        <w:t>（三）除《政府采购竞争性磋商采购方式管理暂行办法》第二十一条第三款规定的情形外，在采购过程中符合要求的供应商或者报价未超过采购预算的供应商不足</w:t>
      </w:r>
      <w:r>
        <w:rPr>
          <w:color w:val="auto"/>
          <w:sz w:val="24"/>
          <w:szCs w:val="24"/>
          <w:highlight w:val="none"/>
        </w:rPr>
        <w:t>3</w:t>
      </w:r>
      <w:r>
        <w:rPr>
          <w:rFonts w:hint="eastAsia"/>
          <w:color w:val="auto"/>
          <w:sz w:val="24"/>
          <w:szCs w:val="24"/>
          <w:highlight w:val="none"/>
        </w:rPr>
        <w:t>家的。</w:t>
      </w:r>
    </w:p>
    <w:p>
      <w:pPr>
        <w:spacing w:line="360" w:lineRule="auto"/>
        <w:ind w:firstLine="480" w:firstLineChars="200"/>
        <w:rPr>
          <w:color w:val="auto"/>
          <w:sz w:val="24"/>
          <w:szCs w:val="24"/>
          <w:highlight w:val="none"/>
        </w:rPr>
      </w:pPr>
      <w:r>
        <w:rPr>
          <w:rFonts w:hint="eastAsia"/>
          <w:color w:val="auto"/>
          <w:sz w:val="24"/>
          <w:szCs w:val="24"/>
          <w:highlight w:val="none"/>
        </w:rPr>
        <w:t>在采购活动中因重大变故，采购任务取消的，采购人应当终止采购活动，通知所有参加采购活动的供应商，并将项目实施情况和采购任务取消原因报送本级财政部门。</w:t>
      </w:r>
    </w:p>
    <w:p>
      <w:pPr>
        <w:spacing w:line="360" w:lineRule="auto"/>
        <w:ind w:firstLine="482" w:firstLineChars="200"/>
        <w:rPr>
          <w:b/>
          <w:bCs/>
          <w:color w:val="auto"/>
          <w:sz w:val="24"/>
          <w:szCs w:val="24"/>
          <w:highlight w:val="none"/>
        </w:rPr>
        <w:sectPr>
          <w:headerReference r:id="rId11" w:type="default"/>
          <w:footerReference r:id="rId12" w:type="default"/>
          <w:pgSz w:w="11906" w:h="16838"/>
          <w:pgMar w:top="1247" w:right="1247" w:bottom="1134" w:left="1644" w:header="851" w:footer="851" w:gutter="0"/>
          <w:pgNumType w:fmt="decimal"/>
          <w:cols w:space="720" w:num="1"/>
          <w:docGrid w:type="lines" w:linePitch="312" w:charSpace="0"/>
        </w:sectPr>
      </w:pPr>
    </w:p>
    <w:p>
      <w:pPr>
        <w:spacing w:before="52"/>
        <w:ind w:left="868"/>
        <w:rPr>
          <w:b/>
          <w:color w:val="auto"/>
          <w:sz w:val="28"/>
          <w:highlight w:val="none"/>
        </w:rPr>
      </w:pPr>
      <w:r>
        <w:rPr>
          <w:b/>
          <w:color w:val="auto"/>
          <w:sz w:val="28"/>
          <w:highlight w:val="none"/>
        </w:rPr>
        <w:t xml:space="preserve">附件 </w:t>
      </w:r>
      <w:r>
        <w:rPr>
          <w:rFonts w:ascii="Times New Roman" w:eastAsia="Times New Roman"/>
          <w:b/>
          <w:color w:val="auto"/>
          <w:sz w:val="28"/>
          <w:highlight w:val="none"/>
        </w:rPr>
        <w:t>1</w:t>
      </w:r>
      <w:r>
        <w:rPr>
          <w:b/>
          <w:color w:val="auto"/>
          <w:sz w:val="28"/>
          <w:highlight w:val="none"/>
        </w:rPr>
        <w:t>：审查表</w:t>
      </w:r>
    </w:p>
    <w:p>
      <w:pPr>
        <w:pStyle w:val="12"/>
        <w:spacing w:before="11"/>
        <w:rPr>
          <w:b/>
          <w:color w:val="auto"/>
          <w:sz w:val="15"/>
          <w:highlight w:val="none"/>
        </w:rPr>
      </w:pPr>
    </w:p>
    <w:p>
      <w:pPr>
        <w:spacing w:before="62"/>
        <w:ind w:left="2" w:right="89"/>
        <w:jc w:val="center"/>
        <w:rPr>
          <w:b/>
          <w:color w:val="auto"/>
          <w:sz w:val="28"/>
          <w:highlight w:val="none"/>
        </w:rPr>
      </w:pPr>
      <w:r>
        <w:rPr>
          <w:b/>
          <w:color w:val="auto"/>
          <w:sz w:val="28"/>
          <w:highlight w:val="none"/>
        </w:rPr>
        <w:t>★响应文件审查表</w:t>
      </w:r>
    </w:p>
    <w:p>
      <w:pPr>
        <w:pStyle w:val="12"/>
        <w:spacing w:before="5"/>
        <w:rPr>
          <w:b/>
          <w:color w:val="auto"/>
          <w:sz w:val="10"/>
          <w:highlight w:val="none"/>
        </w:rPr>
      </w:pP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8"/>
        <w:gridCol w:w="1702"/>
        <w:gridCol w:w="58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08" w:type="dxa"/>
            <w:noWrap w:val="0"/>
            <w:vAlign w:val="center"/>
          </w:tcPr>
          <w:p>
            <w:pPr>
              <w:jc w:val="center"/>
              <w:rPr>
                <w:color w:val="auto"/>
                <w:highlight w:val="none"/>
              </w:rPr>
            </w:pPr>
            <w:r>
              <w:rPr>
                <w:color w:val="auto"/>
                <w:highlight w:val="none"/>
              </w:rPr>
              <w:t>序号</w:t>
            </w:r>
          </w:p>
        </w:tc>
        <w:tc>
          <w:tcPr>
            <w:tcW w:w="1702" w:type="dxa"/>
            <w:noWrap w:val="0"/>
            <w:vAlign w:val="center"/>
          </w:tcPr>
          <w:p>
            <w:pPr>
              <w:jc w:val="center"/>
              <w:rPr>
                <w:color w:val="auto"/>
                <w:highlight w:val="none"/>
              </w:rPr>
            </w:pPr>
            <w:r>
              <w:rPr>
                <w:color w:val="auto"/>
                <w:highlight w:val="none"/>
              </w:rPr>
              <w:t>评审因素</w:t>
            </w:r>
          </w:p>
        </w:tc>
        <w:tc>
          <w:tcPr>
            <w:tcW w:w="5820" w:type="dxa"/>
            <w:noWrap w:val="0"/>
            <w:vAlign w:val="center"/>
          </w:tcPr>
          <w:p>
            <w:pPr>
              <w:jc w:val="center"/>
              <w:rPr>
                <w:color w:val="auto"/>
                <w:highlight w:val="none"/>
              </w:rPr>
            </w:pPr>
            <w:r>
              <w:rPr>
                <w:color w:val="auto"/>
                <w:highlight w:val="none"/>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jc w:val="center"/>
        </w:trPr>
        <w:tc>
          <w:tcPr>
            <w:tcW w:w="808" w:type="dxa"/>
            <w:noWrap w:val="0"/>
            <w:vAlign w:val="center"/>
          </w:tcPr>
          <w:p>
            <w:pPr>
              <w:jc w:val="center"/>
              <w:rPr>
                <w:color w:val="auto"/>
                <w:highlight w:val="none"/>
              </w:rPr>
            </w:pPr>
          </w:p>
          <w:p>
            <w:pPr>
              <w:jc w:val="center"/>
              <w:rPr>
                <w:color w:val="auto"/>
                <w:highlight w:val="none"/>
              </w:rPr>
            </w:pPr>
          </w:p>
          <w:p>
            <w:pPr>
              <w:jc w:val="center"/>
              <w:rPr>
                <w:color w:val="auto"/>
                <w:highlight w:val="none"/>
              </w:rPr>
            </w:pPr>
            <w:r>
              <w:rPr>
                <w:color w:val="auto"/>
                <w:highlight w:val="none"/>
              </w:rPr>
              <w:t>1</w:t>
            </w:r>
          </w:p>
        </w:tc>
        <w:tc>
          <w:tcPr>
            <w:tcW w:w="1702" w:type="dxa"/>
            <w:noWrap w:val="0"/>
            <w:vAlign w:val="center"/>
          </w:tcPr>
          <w:p>
            <w:pPr>
              <w:jc w:val="center"/>
              <w:rPr>
                <w:color w:val="auto"/>
                <w:highlight w:val="none"/>
              </w:rPr>
            </w:pPr>
          </w:p>
          <w:p>
            <w:pPr>
              <w:jc w:val="center"/>
              <w:rPr>
                <w:color w:val="auto"/>
                <w:highlight w:val="none"/>
              </w:rPr>
            </w:pPr>
          </w:p>
          <w:p>
            <w:pPr>
              <w:jc w:val="center"/>
              <w:rPr>
                <w:color w:val="auto"/>
                <w:highlight w:val="none"/>
              </w:rPr>
            </w:pPr>
            <w:r>
              <w:rPr>
                <w:color w:val="auto"/>
                <w:highlight w:val="none"/>
              </w:rPr>
              <w:t>信用查询</w:t>
            </w:r>
          </w:p>
        </w:tc>
        <w:tc>
          <w:tcPr>
            <w:tcW w:w="5820" w:type="dxa"/>
            <w:noWrap w:val="0"/>
            <w:vAlign w:val="center"/>
          </w:tcPr>
          <w:p>
            <w:pPr>
              <w:rPr>
                <w:rFonts w:hint="eastAsia"/>
                <w:color w:val="auto"/>
                <w:highlight w:val="none"/>
              </w:rPr>
            </w:pPr>
            <w:r>
              <w:rPr>
                <w:rFonts w:hint="eastAsia"/>
                <w:color w:val="auto"/>
                <w:highlight w:val="none"/>
                <w:lang w:val="en-US" w:eastAsia="zh-CN"/>
              </w:rPr>
              <w:t>采购人或采购代理机构将在响应文件递交截止后查询供应商的信用记录，供应商存在不良信用记录的，其文件将被作为无效响应被否决。不良信用记录指：供应商在“信用中国”网站（www.creditchina.gov.cn）被列入失信被执行人、重大税收违法案件当事人名单、政府采购严重违法失信名单或在中国政府采购网（www.ccgp.gov.cn）被列入政府采购严重违法失信行为记录名单（需提供承诺书，并由采购人和代理机构于开标现场实时查询核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 w:hRule="atLeast"/>
          <w:jc w:val="center"/>
        </w:trPr>
        <w:tc>
          <w:tcPr>
            <w:tcW w:w="808" w:type="dxa"/>
            <w:noWrap w:val="0"/>
            <w:vAlign w:val="center"/>
          </w:tcPr>
          <w:p>
            <w:pPr>
              <w:jc w:val="center"/>
              <w:rPr>
                <w:rFonts w:hint="eastAsia" w:ascii="宋体" w:hAnsi="宋体" w:eastAsia="宋体" w:cs="宋体"/>
                <w:b w:val="0"/>
                <w:bCs w:val="0"/>
                <w:color w:val="auto"/>
                <w:sz w:val="22"/>
                <w:szCs w:val="22"/>
                <w:highlight w:val="none"/>
                <w:lang w:val="en-US" w:eastAsia="zh-CN" w:bidi="zh-CN"/>
              </w:rPr>
            </w:pPr>
            <w:r>
              <w:rPr>
                <w:rFonts w:hint="eastAsia"/>
                <w:b w:val="0"/>
                <w:bCs w:val="0"/>
                <w:color w:val="auto"/>
                <w:highlight w:val="none"/>
                <w:lang w:val="en-US" w:eastAsia="zh-CN"/>
              </w:rPr>
              <w:t>2</w:t>
            </w:r>
          </w:p>
        </w:tc>
        <w:tc>
          <w:tcPr>
            <w:tcW w:w="1702" w:type="dxa"/>
            <w:noWrap w:val="0"/>
            <w:vAlign w:val="center"/>
          </w:tcPr>
          <w:p>
            <w:pPr>
              <w:jc w:val="center"/>
              <w:rPr>
                <w:rFonts w:hint="eastAsia"/>
                <w:color w:val="auto"/>
                <w:highlight w:val="none"/>
                <w:lang w:eastAsia="zh-CN"/>
              </w:rPr>
            </w:pPr>
            <w:r>
              <w:rPr>
                <w:rFonts w:hint="eastAsia"/>
                <w:color w:val="auto"/>
                <w:highlight w:val="none"/>
                <w:lang w:eastAsia="zh-CN"/>
              </w:rPr>
              <w:t>具有独立承担民事责任能力的法人、其他组织或者自然人</w:t>
            </w:r>
          </w:p>
        </w:tc>
        <w:tc>
          <w:tcPr>
            <w:tcW w:w="5820" w:type="dxa"/>
            <w:noWrap w:val="0"/>
            <w:vAlign w:val="center"/>
          </w:tcPr>
          <w:p>
            <w:pPr>
              <w:rPr>
                <w:rFonts w:hint="eastAsia"/>
                <w:color w:val="auto"/>
                <w:highlight w:val="none"/>
              </w:rPr>
            </w:pPr>
            <w:r>
              <w:rPr>
                <w:rFonts w:hint="eastAsia"/>
                <w:color w:val="auto"/>
                <w:highlight w:val="none"/>
              </w:rPr>
              <w:t>（1）供应商为法人，应提交营业执照或法人登记书或批准文件复印件加盖公章；（2）供应商为非法人组织的，应提交依法登记证书复印件加盖公章；（3）供应商为个体工商户的，应提交个体工商户营业执照复印件加盖公章；（4）供应商为自然人的，应提交自然人的身份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0" w:hRule="atLeast"/>
          <w:jc w:val="center"/>
        </w:trPr>
        <w:tc>
          <w:tcPr>
            <w:tcW w:w="808" w:type="dxa"/>
            <w:noWrap w:val="0"/>
            <w:vAlign w:val="center"/>
          </w:tcPr>
          <w:p>
            <w:pPr>
              <w:jc w:val="center"/>
              <w:rPr>
                <w:b w:val="0"/>
                <w:bCs w:val="0"/>
                <w:color w:val="auto"/>
                <w:highlight w:val="none"/>
              </w:rPr>
            </w:pPr>
          </w:p>
          <w:p>
            <w:pPr>
              <w:jc w:val="center"/>
              <w:rPr>
                <w:rFonts w:hint="eastAsia" w:ascii="宋体" w:hAnsi="宋体" w:eastAsia="宋体" w:cs="宋体"/>
                <w:b w:val="0"/>
                <w:bCs w:val="0"/>
                <w:color w:val="auto"/>
                <w:sz w:val="22"/>
                <w:szCs w:val="22"/>
                <w:highlight w:val="none"/>
                <w:lang w:val="zh-CN" w:eastAsia="zh-CN" w:bidi="zh-CN"/>
              </w:rPr>
            </w:pPr>
            <w:r>
              <w:rPr>
                <w:rFonts w:hint="eastAsia"/>
                <w:b w:val="0"/>
                <w:bCs w:val="0"/>
                <w:color w:val="auto"/>
                <w:highlight w:val="none"/>
                <w:lang w:val="en-US" w:eastAsia="zh-CN"/>
              </w:rPr>
              <w:t>3</w:t>
            </w:r>
          </w:p>
        </w:tc>
        <w:tc>
          <w:tcPr>
            <w:tcW w:w="1702" w:type="dxa"/>
            <w:noWrap w:val="0"/>
            <w:vAlign w:val="center"/>
          </w:tcPr>
          <w:p>
            <w:pPr>
              <w:jc w:val="center"/>
              <w:rPr>
                <w:color w:val="auto"/>
                <w:highlight w:val="none"/>
              </w:rPr>
            </w:pPr>
            <w:r>
              <w:rPr>
                <w:color w:val="auto"/>
                <w:highlight w:val="none"/>
              </w:rPr>
              <w:t>财务状况</w:t>
            </w:r>
          </w:p>
        </w:tc>
        <w:tc>
          <w:tcPr>
            <w:tcW w:w="5820" w:type="dxa"/>
            <w:noWrap w:val="0"/>
            <w:vAlign w:val="center"/>
          </w:tcPr>
          <w:p>
            <w:pPr>
              <w:rPr>
                <w:rFonts w:hint="eastAsia"/>
                <w:color w:val="auto"/>
                <w:highlight w:val="none"/>
              </w:rPr>
            </w:pPr>
            <w:r>
              <w:rPr>
                <w:rFonts w:hint="eastAsia"/>
                <w:color w:val="auto"/>
                <w:highlight w:val="none"/>
              </w:rPr>
              <w:t>需提供资格承诺函或2020年度经审计的财务报告或2021年至今任意一个月的财务报表（含资产负债表、损益表（非盈利性单位可不提供）、现金流量表）并加盖公章；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jc w:val="center"/>
        </w:trPr>
        <w:tc>
          <w:tcPr>
            <w:tcW w:w="808" w:type="dxa"/>
            <w:noWrap w:val="0"/>
            <w:vAlign w:val="center"/>
          </w:tcPr>
          <w:p>
            <w:pPr>
              <w:jc w:val="center"/>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en-US" w:eastAsia="zh-CN"/>
              </w:rPr>
              <w:t>4</w:t>
            </w:r>
          </w:p>
        </w:tc>
        <w:tc>
          <w:tcPr>
            <w:tcW w:w="1702" w:type="dxa"/>
            <w:noWrap w:val="0"/>
            <w:vAlign w:val="center"/>
          </w:tcPr>
          <w:p>
            <w:pPr>
              <w:jc w:val="center"/>
              <w:rPr>
                <w:rFonts w:ascii="宋体" w:hAnsi="宋体" w:eastAsia="宋体" w:cs="宋体"/>
                <w:color w:val="auto"/>
                <w:highlight w:val="none"/>
              </w:rPr>
            </w:pPr>
            <w:r>
              <w:rPr>
                <w:rFonts w:ascii="宋体" w:hAnsi="宋体" w:eastAsia="宋体" w:cs="宋体"/>
                <w:color w:val="auto"/>
                <w:highlight w:val="none"/>
              </w:rPr>
              <w:t>设备和技术能力</w:t>
            </w:r>
          </w:p>
        </w:tc>
        <w:tc>
          <w:tcPr>
            <w:tcW w:w="5820" w:type="dxa"/>
            <w:noWrap w:val="0"/>
            <w:vAlign w:val="center"/>
          </w:tcPr>
          <w:p>
            <w:pPr>
              <w:rPr>
                <w:rFonts w:hint="eastAsia"/>
                <w:color w:val="auto"/>
                <w:highlight w:val="none"/>
              </w:rPr>
            </w:pPr>
            <w:r>
              <w:rPr>
                <w:rFonts w:hint="eastAsia"/>
                <w:color w:val="auto"/>
                <w:highlight w:val="none"/>
              </w:rPr>
              <w:t>具有履行合同所必需的设备和专业技术能力（提供承诺书）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808" w:type="dxa"/>
            <w:noWrap w:val="0"/>
            <w:vAlign w:val="center"/>
          </w:tcPr>
          <w:p>
            <w:pPr>
              <w:jc w:val="center"/>
              <w:rPr>
                <w:rFonts w:hint="eastAsia" w:ascii="宋体" w:hAnsi="宋体" w:eastAsia="宋体" w:cs="宋体"/>
                <w:b w:val="0"/>
                <w:bCs w:val="0"/>
                <w:color w:val="auto"/>
                <w:sz w:val="22"/>
                <w:szCs w:val="22"/>
                <w:highlight w:val="none"/>
                <w:lang w:val="zh-CN" w:eastAsia="zh-CN" w:bidi="zh-CN"/>
              </w:rPr>
            </w:pPr>
            <w:r>
              <w:rPr>
                <w:rFonts w:hint="eastAsia"/>
                <w:b w:val="0"/>
                <w:bCs w:val="0"/>
                <w:color w:val="auto"/>
                <w:highlight w:val="none"/>
                <w:lang w:val="en-US" w:eastAsia="zh-CN"/>
              </w:rPr>
              <w:t>5</w:t>
            </w:r>
          </w:p>
        </w:tc>
        <w:tc>
          <w:tcPr>
            <w:tcW w:w="1702" w:type="dxa"/>
            <w:noWrap w:val="0"/>
            <w:vAlign w:val="center"/>
          </w:tcPr>
          <w:p>
            <w:pPr>
              <w:jc w:val="center"/>
              <w:rPr>
                <w:color w:val="auto"/>
                <w:highlight w:val="none"/>
              </w:rPr>
            </w:pPr>
          </w:p>
          <w:p>
            <w:pPr>
              <w:jc w:val="center"/>
              <w:rPr>
                <w:color w:val="auto"/>
                <w:highlight w:val="none"/>
              </w:rPr>
            </w:pPr>
            <w:r>
              <w:rPr>
                <w:color w:val="auto"/>
                <w:highlight w:val="none"/>
              </w:rPr>
              <w:t>社保</w:t>
            </w:r>
          </w:p>
        </w:tc>
        <w:tc>
          <w:tcPr>
            <w:tcW w:w="5820" w:type="dxa"/>
            <w:noWrap w:val="0"/>
            <w:vAlign w:val="center"/>
          </w:tcPr>
          <w:p>
            <w:pPr>
              <w:rPr>
                <w:rFonts w:hint="eastAsia"/>
                <w:color w:val="auto"/>
                <w:highlight w:val="none"/>
              </w:rPr>
            </w:pPr>
            <w:r>
              <w:rPr>
                <w:rFonts w:hint="eastAsia"/>
                <w:color w:val="auto"/>
                <w:highlight w:val="none"/>
              </w:rPr>
              <w:t>需提供资格承诺函或2021年至今任意一个月的社会保障缴费记录复印件加盖公章；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808" w:type="dxa"/>
            <w:noWrap w:val="0"/>
            <w:vAlign w:val="center"/>
          </w:tcPr>
          <w:p>
            <w:pPr>
              <w:jc w:val="center"/>
              <w:rPr>
                <w:rFonts w:hint="eastAsia" w:ascii="宋体" w:hAnsi="宋体" w:eastAsia="宋体" w:cs="宋体"/>
                <w:b w:val="0"/>
                <w:bCs w:val="0"/>
                <w:color w:val="auto"/>
                <w:sz w:val="22"/>
                <w:szCs w:val="22"/>
                <w:highlight w:val="none"/>
                <w:lang w:val="zh-CN" w:eastAsia="zh-CN" w:bidi="zh-CN"/>
              </w:rPr>
            </w:pPr>
            <w:r>
              <w:rPr>
                <w:rFonts w:hint="eastAsia"/>
                <w:b w:val="0"/>
                <w:bCs w:val="0"/>
                <w:color w:val="auto"/>
                <w:highlight w:val="none"/>
                <w:lang w:val="en-US" w:eastAsia="zh-CN"/>
              </w:rPr>
              <w:t>6</w:t>
            </w:r>
          </w:p>
        </w:tc>
        <w:tc>
          <w:tcPr>
            <w:tcW w:w="1702" w:type="dxa"/>
            <w:noWrap w:val="0"/>
            <w:vAlign w:val="center"/>
          </w:tcPr>
          <w:p>
            <w:pPr>
              <w:jc w:val="center"/>
              <w:rPr>
                <w:color w:val="auto"/>
                <w:highlight w:val="none"/>
              </w:rPr>
            </w:pPr>
            <w:r>
              <w:rPr>
                <w:color w:val="auto"/>
                <w:highlight w:val="none"/>
              </w:rPr>
              <w:t>纳税</w:t>
            </w:r>
          </w:p>
        </w:tc>
        <w:tc>
          <w:tcPr>
            <w:tcW w:w="5820" w:type="dxa"/>
            <w:noWrap w:val="0"/>
            <w:vAlign w:val="center"/>
          </w:tcPr>
          <w:p>
            <w:pPr>
              <w:rPr>
                <w:rFonts w:hint="eastAsia"/>
                <w:color w:val="auto"/>
                <w:highlight w:val="none"/>
              </w:rPr>
            </w:pPr>
            <w:r>
              <w:rPr>
                <w:rFonts w:hint="eastAsia"/>
                <w:color w:val="auto"/>
                <w:highlight w:val="none"/>
              </w:rPr>
              <w:t>需提供资格承诺函或2021年至今任意一个月的纳税记录复印件加盖公章。（零纳税须提供税务部门盖章的纳税申报表。）；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jc w:val="center"/>
        </w:trPr>
        <w:tc>
          <w:tcPr>
            <w:tcW w:w="808" w:type="dxa"/>
            <w:noWrap w:val="0"/>
            <w:vAlign w:val="center"/>
          </w:tcPr>
          <w:p>
            <w:pPr>
              <w:jc w:val="center"/>
              <w:rPr>
                <w:rFonts w:hint="eastAsia" w:ascii="Times New Roman" w:hAnsi="Times New Roman" w:cs="Times New Roman"/>
                <w:b w:val="0"/>
                <w:bCs w:val="0"/>
                <w:color w:val="auto"/>
                <w:kern w:val="2"/>
                <w:sz w:val="21"/>
                <w:szCs w:val="21"/>
                <w:highlight w:val="none"/>
                <w:lang w:val="zh-CN" w:eastAsia="zh-CN" w:bidi="ar-SA"/>
              </w:rPr>
            </w:pPr>
            <w:r>
              <w:rPr>
                <w:rFonts w:hint="eastAsia" w:ascii="Times New Roman" w:hAnsi="Times New Roman" w:cs="Times New Roman"/>
                <w:b w:val="0"/>
                <w:bCs w:val="0"/>
                <w:color w:val="auto"/>
                <w:kern w:val="2"/>
                <w:sz w:val="21"/>
                <w:szCs w:val="21"/>
                <w:highlight w:val="none"/>
                <w:lang w:val="en-US" w:eastAsia="zh-CN" w:bidi="ar-SA"/>
              </w:rPr>
              <w:t>7</w:t>
            </w:r>
          </w:p>
        </w:tc>
        <w:tc>
          <w:tcPr>
            <w:tcW w:w="1702" w:type="dxa"/>
            <w:noWrap w:val="0"/>
            <w:vAlign w:val="center"/>
          </w:tcPr>
          <w:p>
            <w:pPr>
              <w:jc w:val="center"/>
              <w:rPr>
                <w:color w:val="auto"/>
                <w:highlight w:val="none"/>
              </w:rPr>
            </w:pPr>
          </w:p>
          <w:p>
            <w:pPr>
              <w:jc w:val="center"/>
              <w:rPr>
                <w:color w:val="auto"/>
                <w:highlight w:val="none"/>
              </w:rPr>
            </w:pPr>
            <w:r>
              <w:rPr>
                <w:color w:val="auto"/>
                <w:highlight w:val="none"/>
              </w:rPr>
              <w:t>声明</w:t>
            </w:r>
          </w:p>
        </w:tc>
        <w:tc>
          <w:tcPr>
            <w:tcW w:w="5820" w:type="dxa"/>
            <w:noWrap w:val="0"/>
            <w:vAlign w:val="center"/>
          </w:tcPr>
          <w:p>
            <w:pPr>
              <w:rPr>
                <w:rFonts w:hint="eastAsia"/>
                <w:color w:val="auto"/>
                <w:highlight w:val="none"/>
              </w:rPr>
            </w:pPr>
            <w:r>
              <w:rPr>
                <w:rFonts w:hint="eastAsia"/>
                <w:color w:val="auto"/>
                <w:highlight w:val="none"/>
              </w:rPr>
              <w:t>参加政府采购活动前三年内，在经营活动中没有重大违法记录（成立不足三年的从成立之日起计算）（提供无重大违法记录声明函加盖公章）；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jc w:val="center"/>
        </w:trPr>
        <w:tc>
          <w:tcPr>
            <w:tcW w:w="808" w:type="dxa"/>
            <w:noWrap w:val="0"/>
            <w:vAlign w:val="center"/>
          </w:tcPr>
          <w:p>
            <w:pPr>
              <w:jc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8</w:t>
            </w:r>
          </w:p>
        </w:tc>
        <w:tc>
          <w:tcPr>
            <w:tcW w:w="1702" w:type="dxa"/>
            <w:noWrap w:val="0"/>
            <w:vAlign w:val="center"/>
          </w:tcPr>
          <w:p>
            <w:pPr>
              <w:jc w:val="center"/>
              <w:rPr>
                <w:rFonts w:hint="eastAsia" w:eastAsia="宋体"/>
                <w:color w:val="auto"/>
                <w:highlight w:val="none"/>
                <w:lang w:eastAsia="zh-CN"/>
              </w:rPr>
            </w:pPr>
            <w:r>
              <w:rPr>
                <w:rFonts w:hint="eastAsia"/>
                <w:color w:val="auto"/>
                <w:highlight w:val="none"/>
                <w:lang w:eastAsia="zh-CN"/>
              </w:rPr>
              <w:t>资质</w:t>
            </w:r>
          </w:p>
        </w:tc>
        <w:tc>
          <w:tcPr>
            <w:tcW w:w="5820" w:type="dxa"/>
            <w:noWrap w:val="0"/>
            <w:vAlign w:val="center"/>
          </w:tcPr>
          <w:p>
            <w:pPr>
              <w:rPr>
                <w:rFonts w:hint="eastAsia"/>
                <w:color w:val="auto"/>
                <w:highlight w:val="none"/>
              </w:rPr>
            </w:pPr>
            <w:r>
              <w:rPr>
                <w:rFonts w:hint="eastAsia"/>
                <w:color w:val="auto"/>
                <w:highlight w:val="none"/>
                <w:lang w:val="en-US" w:eastAsia="zh-CN"/>
              </w:rPr>
              <w:t>具备建筑装修装饰工程专业承包二级（含）以上资质和有效的安全生产许可证，并在人员、设备、资金等方面具有相应的施工能力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jc w:val="center"/>
        </w:trPr>
        <w:tc>
          <w:tcPr>
            <w:tcW w:w="808" w:type="dxa"/>
            <w:noWrap w:val="0"/>
            <w:vAlign w:val="center"/>
          </w:tcPr>
          <w:p>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宋体" w:hAnsi="宋体" w:eastAsia="宋体" w:cs="宋体"/>
                <w:b w:val="0"/>
                <w:bCs w:val="0"/>
                <w:color w:val="auto"/>
                <w:highlight w:val="none"/>
                <w:lang w:val="en-US" w:eastAsia="zh-CN"/>
              </w:rPr>
              <w:t>9</w:t>
            </w:r>
          </w:p>
        </w:tc>
        <w:tc>
          <w:tcPr>
            <w:tcW w:w="1702" w:type="dxa"/>
            <w:noWrap w:val="0"/>
            <w:vAlign w:val="center"/>
          </w:tcPr>
          <w:p>
            <w:pPr>
              <w:jc w:val="center"/>
              <w:rPr>
                <w:rFonts w:hint="eastAsia" w:eastAsia="宋体"/>
                <w:color w:val="auto"/>
                <w:highlight w:val="none"/>
                <w:lang w:eastAsia="zh-CN"/>
              </w:rPr>
            </w:pPr>
            <w:r>
              <w:rPr>
                <w:rFonts w:hint="eastAsia"/>
                <w:color w:val="auto"/>
                <w:highlight w:val="none"/>
                <w:lang w:eastAsia="zh-CN"/>
              </w:rPr>
              <w:t>项目经理</w:t>
            </w:r>
          </w:p>
        </w:tc>
        <w:tc>
          <w:tcPr>
            <w:tcW w:w="5820" w:type="dxa"/>
            <w:noWrap w:val="0"/>
            <w:vAlign w:val="center"/>
          </w:tcPr>
          <w:p>
            <w:pPr>
              <w:rPr>
                <w:rFonts w:hint="default"/>
                <w:color w:val="auto"/>
                <w:highlight w:val="none"/>
                <w:lang w:val="en-US"/>
              </w:rPr>
            </w:pPr>
            <w:r>
              <w:rPr>
                <w:rFonts w:hint="eastAsia"/>
                <w:color w:val="auto"/>
                <w:highlight w:val="none"/>
                <w:lang w:val="en-US" w:eastAsia="zh-CN"/>
              </w:rPr>
              <w:t>拟派项目负责人（项目经理）具备建筑工程专业二级（含）以上注册建造师执业资格，并注册在本单位同时未担任其他在施建设工程项目的项目经理（以全国建筑市场监管公共服务平台查询为准）；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808" w:type="dxa"/>
            <w:noWrap w:val="0"/>
            <w:vAlign w:val="center"/>
          </w:tcPr>
          <w:p>
            <w:pPr>
              <w:jc w:val="center"/>
              <w:rPr>
                <w:rFonts w:hint="default"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10</w:t>
            </w:r>
          </w:p>
        </w:tc>
        <w:tc>
          <w:tcPr>
            <w:tcW w:w="1702" w:type="dxa"/>
            <w:noWrap w:val="0"/>
            <w:vAlign w:val="center"/>
          </w:tcPr>
          <w:p>
            <w:pPr>
              <w:jc w:val="center"/>
              <w:rPr>
                <w:color w:val="auto"/>
                <w:highlight w:val="none"/>
              </w:rPr>
            </w:pPr>
            <w:r>
              <w:rPr>
                <w:color w:val="auto"/>
                <w:highlight w:val="none"/>
              </w:rPr>
              <w:t>响应文件份数</w:t>
            </w:r>
          </w:p>
        </w:tc>
        <w:tc>
          <w:tcPr>
            <w:tcW w:w="5820" w:type="dxa"/>
            <w:noWrap w:val="0"/>
            <w:vAlign w:val="center"/>
          </w:tcPr>
          <w:p>
            <w:pPr>
              <w:rPr>
                <w:rFonts w:hint="eastAsia"/>
                <w:color w:val="auto"/>
                <w:highlight w:val="none"/>
              </w:rPr>
            </w:pPr>
            <w:r>
              <w:rPr>
                <w:rFonts w:hint="eastAsia"/>
                <w:color w:val="auto"/>
                <w:highlight w:val="none"/>
              </w:rPr>
              <w:t>符合磋商文件一正贰副</w:t>
            </w:r>
            <w:r>
              <w:rPr>
                <w:rFonts w:hint="eastAsia"/>
                <w:color w:val="auto"/>
                <w:highlight w:val="none"/>
                <w:lang w:eastAsia="zh-CN"/>
              </w:rPr>
              <w:t>一电子版</w:t>
            </w:r>
            <w:r>
              <w:rPr>
                <w:rFonts w:hint="eastAsia"/>
                <w:color w:val="auto"/>
                <w:highlight w:val="none"/>
              </w:rPr>
              <w:t>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808" w:type="dxa"/>
            <w:noWrap w:val="0"/>
            <w:vAlign w:val="center"/>
          </w:tcPr>
          <w:p>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11</w:t>
            </w:r>
          </w:p>
        </w:tc>
        <w:tc>
          <w:tcPr>
            <w:tcW w:w="1702" w:type="dxa"/>
            <w:noWrap w:val="0"/>
            <w:vAlign w:val="center"/>
          </w:tcPr>
          <w:p>
            <w:pPr>
              <w:jc w:val="center"/>
              <w:rPr>
                <w:color w:val="auto"/>
                <w:highlight w:val="none"/>
              </w:rPr>
            </w:pPr>
            <w:r>
              <w:rPr>
                <w:color w:val="auto"/>
                <w:highlight w:val="none"/>
              </w:rPr>
              <w:t>响应文件</w:t>
            </w:r>
          </w:p>
          <w:p>
            <w:pPr>
              <w:jc w:val="center"/>
              <w:rPr>
                <w:color w:val="auto"/>
                <w:highlight w:val="none"/>
              </w:rPr>
            </w:pPr>
            <w:r>
              <w:rPr>
                <w:color w:val="auto"/>
                <w:highlight w:val="none"/>
              </w:rPr>
              <w:t>的签署</w:t>
            </w:r>
          </w:p>
        </w:tc>
        <w:tc>
          <w:tcPr>
            <w:tcW w:w="5820" w:type="dxa"/>
            <w:noWrap w:val="0"/>
            <w:vAlign w:val="center"/>
          </w:tcPr>
          <w:p>
            <w:pPr>
              <w:rPr>
                <w:rFonts w:hint="eastAsia"/>
                <w:color w:val="auto"/>
                <w:highlight w:val="none"/>
              </w:rPr>
            </w:pPr>
            <w:r>
              <w:rPr>
                <w:rFonts w:hint="eastAsia"/>
                <w:color w:val="auto"/>
                <w:highlight w:val="none"/>
              </w:rPr>
              <w:t>响应文件的签署符合磋商文件要求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08" w:type="dxa"/>
            <w:noWrap w:val="0"/>
            <w:vAlign w:val="center"/>
          </w:tcPr>
          <w:p>
            <w:pPr>
              <w:jc w:val="center"/>
              <w:rPr>
                <w:rFonts w:hint="eastAsia"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1</w:t>
            </w:r>
            <w:r>
              <w:rPr>
                <w:rFonts w:hint="eastAsia"/>
                <w:b w:val="0"/>
                <w:bCs w:val="0"/>
                <w:color w:val="auto"/>
                <w:highlight w:val="none"/>
                <w:lang w:val="en-US" w:eastAsia="zh-CN"/>
              </w:rPr>
              <w:t>0</w:t>
            </w:r>
          </w:p>
        </w:tc>
        <w:tc>
          <w:tcPr>
            <w:tcW w:w="1702" w:type="dxa"/>
            <w:noWrap w:val="0"/>
            <w:vAlign w:val="center"/>
          </w:tcPr>
          <w:p>
            <w:pPr>
              <w:jc w:val="center"/>
              <w:rPr>
                <w:color w:val="auto"/>
                <w:highlight w:val="none"/>
              </w:rPr>
            </w:pPr>
            <w:r>
              <w:rPr>
                <w:color w:val="auto"/>
                <w:highlight w:val="none"/>
              </w:rPr>
              <w:t>有效期</w:t>
            </w:r>
          </w:p>
        </w:tc>
        <w:tc>
          <w:tcPr>
            <w:tcW w:w="5820" w:type="dxa"/>
            <w:noWrap w:val="0"/>
            <w:vAlign w:val="center"/>
          </w:tcPr>
          <w:p>
            <w:pPr>
              <w:rPr>
                <w:color w:val="auto"/>
                <w:highlight w:val="none"/>
              </w:rPr>
            </w:pPr>
            <w:r>
              <w:rPr>
                <w:color w:val="auto"/>
                <w:highlight w:val="none"/>
              </w:rPr>
              <w:t>自响应文件开启之日起</w:t>
            </w:r>
            <w:r>
              <w:rPr>
                <w:rFonts w:hint="eastAsia"/>
                <w:color w:val="auto"/>
                <w:highlight w:val="none"/>
                <w:lang w:val="en-US"/>
              </w:rPr>
              <w:t>90</w:t>
            </w:r>
            <w:r>
              <w:rPr>
                <w:color w:val="auto"/>
                <w:highlight w:val="none"/>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08" w:type="dxa"/>
            <w:noWrap w:val="0"/>
            <w:vAlign w:val="center"/>
          </w:tcPr>
          <w:p>
            <w:pPr>
              <w:jc w:val="center"/>
              <w:rPr>
                <w:rFonts w:hint="default" w:ascii="Times New Roman" w:hAnsi="Times New Roman" w:cs="Times New Roman"/>
                <w:b w:val="0"/>
                <w:bCs w:val="0"/>
                <w:color w:val="auto"/>
                <w:kern w:val="2"/>
                <w:sz w:val="21"/>
                <w:szCs w:val="21"/>
                <w:highlight w:val="none"/>
                <w:lang w:val="en-US" w:eastAsia="zh-CN" w:bidi="ar-SA"/>
              </w:rPr>
            </w:pPr>
            <w:r>
              <w:rPr>
                <w:rFonts w:hint="eastAsia" w:ascii="宋体" w:hAnsi="宋体" w:eastAsia="宋体" w:cs="宋体"/>
                <w:b w:val="0"/>
                <w:bCs w:val="0"/>
                <w:color w:val="auto"/>
                <w:highlight w:val="none"/>
                <w:lang w:val="en-US" w:eastAsia="zh-CN"/>
              </w:rPr>
              <w:t>11</w:t>
            </w:r>
          </w:p>
        </w:tc>
        <w:tc>
          <w:tcPr>
            <w:tcW w:w="1702" w:type="dxa"/>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工期</w:t>
            </w:r>
          </w:p>
        </w:tc>
        <w:tc>
          <w:tcPr>
            <w:tcW w:w="5820" w:type="dxa"/>
            <w:noWrap w:val="0"/>
            <w:vAlign w:val="center"/>
          </w:tcPr>
          <w:p>
            <w:pPr>
              <w:rPr>
                <w:color w:val="auto"/>
                <w:highlight w:val="none"/>
              </w:rPr>
            </w:pPr>
            <w:r>
              <w:rPr>
                <w:color w:val="auto"/>
                <w:highlight w:val="none"/>
              </w:rPr>
              <w:t>符合磋商文件的要求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08" w:type="dxa"/>
            <w:noWrap w:val="0"/>
            <w:vAlign w:val="center"/>
          </w:tcPr>
          <w:p>
            <w:pPr>
              <w:jc w:val="center"/>
              <w:rPr>
                <w:rFonts w:hint="default"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12</w:t>
            </w:r>
          </w:p>
        </w:tc>
        <w:tc>
          <w:tcPr>
            <w:tcW w:w="1702" w:type="dxa"/>
            <w:noWrap w:val="0"/>
            <w:vAlign w:val="center"/>
          </w:tcPr>
          <w:p>
            <w:pPr>
              <w:jc w:val="center"/>
              <w:rPr>
                <w:rFonts w:hint="eastAsia"/>
                <w:color w:val="auto"/>
                <w:highlight w:val="none"/>
                <w:lang w:val="en-US" w:eastAsia="zh-CN"/>
              </w:rPr>
            </w:pPr>
            <w:r>
              <w:rPr>
                <w:rFonts w:hint="eastAsia"/>
                <w:color w:val="auto"/>
                <w:highlight w:val="none"/>
                <w:lang w:val="en-US" w:eastAsia="zh-CN"/>
              </w:rPr>
              <w:t>质量要求</w:t>
            </w:r>
          </w:p>
        </w:tc>
        <w:tc>
          <w:tcPr>
            <w:tcW w:w="5820" w:type="dxa"/>
            <w:noWrap w:val="0"/>
            <w:vAlign w:val="center"/>
          </w:tcPr>
          <w:p>
            <w:pPr>
              <w:rPr>
                <w:rFonts w:hint="eastAsia" w:eastAsia="宋体"/>
                <w:color w:val="auto"/>
                <w:highlight w:val="none"/>
                <w:lang w:eastAsia="zh-CN"/>
              </w:rPr>
            </w:pPr>
            <w:r>
              <w:rPr>
                <w:rFonts w:hint="eastAsia"/>
                <w:color w:val="auto"/>
                <w:highlight w:val="none"/>
                <w:lang w:eastAsia="zh-CN"/>
              </w:rPr>
              <w:t>合格</w:t>
            </w:r>
          </w:p>
        </w:tc>
      </w:tr>
    </w:tbl>
    <w:p>
      <w:pPr>
        <w:spacing w:line="360" w:lineRule="auto"/>
        <w:ind w:firstLine="480" w:firstLineChars="200"/>
        <w:rPr>
          <w:rFonts w:hint="eastAsia"/>
          <w:color w:val="auto"/>
          <w:sz w:val="24"/>
          <w:szCs w:val="24"/>
          <w:highlight w:val="none"/>
        </w:rPr>
      </w:pPr>
      <w:r>
        <w:rPr>
          <w:rFonts w:hint="eastAsia"/>
          <w:color w:val="auto"/>
          <w:sz w:val="24"/>
          <w:szCs w:val="24"/>
          <w:highlight w:val="none"/>
        </w:rPr>
        <w:t>1、表中只需填写“√、通过”或者“×、不通过”。</w:t>
      </w:r>
    </w:p>
    <w:p>
      <w:pPr>
        <w:spacing w:line="360" w:lineRule="auto"/>
        <w:ind w:firstLine="480" w:firstLineChars="200"/>
        <w:rPr>
          <w:rFonts w:hint="eastAsia"/>
          <w:color w:val="auto"/>
          <w:sz w:val="24"/>
          <w:szCs w:val="24"/>
          <w:highlight w:val="none"/>
        </w:rPr>
      </w:pPr>
      <w:r>
        <w:rPr>
          <w:rFonts w:hint="eastAsia"/>
          <w:color w:val="auto"/>
          <w:sz w:val="24"/>
          <w:szCs w:val="24"/>
          <w:highlight w:val="none"/>
        </w:rPr>
        <w:t>2、结论采用“一项否决”原则。只有全部审查项目都是“√、通过”的，结论才能是“合格”；只要其中一项是“×、不通过”的，结论只能是“不合格”。</w:t>
      </w:r>
    </w:p>
    <w:p>
      <w:pPr>
        <w:spacing w:line="360" w:lineRule="auto"/>
        <w:ind w:firstLine="482" w:firstLineChars="200"/>
        <w:rPr>
          <w:rFonts w:hint="eastAsia"/>
          <w:b/>
          <w:bCs/>
          <w:color w:val="auto"/>
          <w:sz w:val="24"/>
          <w:szCs w:val="24"/>
          <w:highlight w:val="none"/>
        </w:rPr>
      </w:pPr>
      <w:r>
        <w:rPr>
          <w:rFonts w:hint="eastAsia"/>
          <w:b/>
          <w:bCs/>
          <w:color w:val="auto"/>
          <w:sz w:val="24"/>
          <w:szCs w:val="24"/>
          <w:highlight w:val="none"/>
        </w:rPr>
        <w:t>3、只有结论是合格的供应商，才能进入下一轮评审；不合格的被淘汰。</w:t>
      </w:r>
    </w:p>
    <w:p>
      <w:pPr>
        <w:spacing w:line="360" w:lineRule="auto"/>
        <w:ind w:firstLine="482" w:firstLineChars="200"/>
        <w:rPr>
          <w:rFonts w:hint="eastAsia"/>
          <w:b/>
          <w:bCs/>
          <w:color w:val="auto"/>
          <w:sz w:val="24"/>
          <w:szCs w:val="24"/>
          <w:highlight w:val="none"/>
        </w:rPr>
      </w:pPr>
      <w:r>
        <w:rPr>
          <w:rFonts w:hint="eastAsia"/>
          <w:b/>
          <w:bCs/>
          <w:color w:val="auto"/>
          <w:sz w:val="24"/>
          <w:szCs w:val="24"/>
          <w:highlight w:val="none"/>
        </w:rPr>
        <w:t>4、</w:t>
      </w:r>
      <w:r>
        <w:rPr>
          <w:rFonts w:hint="eastAsia"/>
          <w:b/>
          <w:bCs/>
          <w:color w:val="auto"/>
          <w:sz w:val="24"/>
          <w:szCs w:val="24"/>
          <w:highlight w:val="none"/>
          <w:u w:val="single"/>
        </w:rPr>
        <w:t>“响应文件审查表”中的每一项条款均为实质性要求，供应商必须满足，有任何一 项不满足都将会导致磋商失败，请供应商认真对待。证明材料需附于响应文件中。</w:t>
      </w:r>
    </w:p>
    <w:p>
      <w:pPr>
        <w:pStyle w:val="16"/>
        <w:rPr>
          <w:rFonts w:hAnsi="宋体"/>
          <w:b/>
          <w:bCs/>
          <w:color w:val="auto"/>
          <w:sz w:val="32"/>
          <w:szCs w:val="32"/>
          <w:highlight w:val="none"/>
        </w:rPr>
      </w:pPr>
      <w:r>
        <w:rPr>
          <w:rFonts w:hint="eastAsia" w:ascii="宋体" w:hAnsi="宋体" w:cs="宋体"/>
          <w:color w:val="auto"/>
          <w:sz w:val="24"/>
        </w:rPr>
        <w:br w:type="page"/>
      </w:r>
      <w:r>
        <w:rPr>
          <w:rFonts w:hAnsi="宋体"/>
          <w:b/>
          <w:bCs/>
          <w:color w:val="auto"/>
          <w:sz w:val="32"/>
          <w:szCs w:val="32"/>
          <w:highlight w:val="none"/>
        </w:rPr>
        <w:t>附件 2：评审标准和方法</w:t>
      </w:r>
    </w:p>
    <w:p>
      <w:pPr>
        <w:spacing w:line="500" w:lineRule="exact"/>
        <w:rPr>
          <w:rFonts w:ascii="宋体" w:hAnsi="宋体" w:cs="宋体"/>
          <w:b/>
          <w:bCs/>
          <w:color w:val="auto"/>
          <w:sz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491"/>
        <w:gridCol w:w="1206"/>
        <w:gridCol w:w="5463"/>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85" w:type="dxa"/>
            <w:noWrap w:val="0"/>
            <w:vAlign w:val="center"/>
          </w:tcPr>
          <w:p>
            <w:pPr>
              <w:snapToGrid w:val="0"/>
              <w:spacing w:line="300" w:lineRule="auto"/>
              <w:jc w:val="center"/>
              <w:rPr>
                <w:rFonts w:ascii="宋体" w:hAnsi="宋体" w:cs="宋体"/>
                <w:b/>
                <w:bCs/>
                <w:color w:val="000000"/>
                <w:sz w:val="24"/>
              </w:rPr>
            </w:pPr>
            <w:r>
              <w:rPr>
                <w:rFonts w:hint="eastAsia" w:ascii="宋体" w:hAnsi="宋体" w:cs="宋体"/>
                <w:b/>
                <w:bCs/>
                <w:color w:val="000000"/>
                <w:sz w:val="24"/>
              </w:rPr>
              <w:t>序号</w:t>
            </w:r>
          </w:p>
        </w:tc>
        <w:tc>
          <w:tcPr>
            <w:tcW w:w="1491" w:type="dxa"/>
            <w:noWrap w:val="0"/>
            <w:vAlign w:val="center"/>
          </w:tcPr>
          <w:p>
            <w:pPr>
              <w:snapToGrid w:val="0"/>
              <w:spacing w:line="300" w:lineRule="auto"/>
              <w:jc w:val="center"/>
              <w:rPr>
                <w:rFonts w:ascii="宋体" w:hAnsi="宋体" w:cs="宋体"/>
                <w:b/>
                <w:bCs/>
                <w:color w:val="000000"/>
                <w:sz w:val="24"/>
              </w:rPr>
            </w:pPr>
            <w:r>
              <w:rPr>
                <w:rFonts w:hint="eastAsia" w:ascii="宋体" w:hAnsi="宋体" w:cs="宋体"/>
                <w:b/>
                <w:bCs/>
                <w:color w:val="000000"/>
                <w:sz w:val="24"/>
              </w:rPr>
              <w:t>评审内容</w:t>
            </w:r>
          </w:p>
        </w:tc>
        <w:tc>
          <w:tcPr>
            <w:tcW w:w="6669" w:type="dxa"/>
            <w:gridSpan w:val="2"/>
            <w:noWrap w:val="0"/>
            <w:vAlign w:val="center"/>
          </w:tcPr>
          <w:p>
            <w:pPr>
              <w:snapToGrid w:val="0"/>
              <w:spacing w:line="300" w:lineRule="auto"/>
              <w:jc w:val="center"/>
              <w:rPr>
                <w:rFonts w:ascii="宋体" w:hAnsi="宋体" w:cs="宋体"/>
                <w:b/>
                <w:bCs/>
                <w:color w:val="000000"/>
                <w:sz w:val="24"/>
              </w:rPr>
            </w:pPr>
            <w:r>
              <w:rPr>
                <w:rFonts w:hint="eastAsia" w:ascii="宋体" w:hAnsi="宋体" w:cs="宋体"/>
                <w:b/>
                <w:bCs/>
                <w:color w:val="000000"/>
                <w:sz w:val="24"/>
              </w:rPr>
              <w:t>评分标准</w:t>
            </w:r>
          </w:p>
        </w:tc>
        <w:tc>
          <w:tcPr>
            <w:tcW w:w="795" w:type="dxa"/>
            <w:noWrap w:val="0"/>
            <w:vAlign w:val="center"/>
          </w:tcPr>
          <w:p>
            <w:pPr>
              <w:snapToGrid w:val="0"/>
              <w:spacing w:line="300" w:lineRule="auto"/>
              <w:jc w:val="center"/>
              <w:rPr>
                <w:rFonts w:ascii="宋体" w:hAnsi="宋体" w:cs="宋体"/>
                <w:b/>
                <w:bCs/>
                <w:color w:val="000000"/>
                <w:sz w:val="24"/>
              </w:rPr>
            </w:pPr>
            <w:r>
              <w:rPr>
                <w:rFonts w:hint="eastAsia" w:ascii="宋体" w:hAnsi="宋体" w:cs="宋体"/>
                <w:b/>
                <w:bCs/>
                <w:color w:val="000000"/>
                <w:sz w:val="24"/>
              </w:rPr>
              <w:t>最高得分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85" w:type="dxa"/>
            <w:noWrap w:val="0"/>
            <w:vAlign w:val="center"/>
          </w:tcPr>
          <w:p>
            <w:pPr>
              <w:spacing w:line="360" w:lineRule="auto"/>
              <w:rPr>
                <w:rFonts w:hint="eastAsia" w:ascii="宋体" w:hAnsi="宋体" w:cs="宋体"/>
                <w:sz w:val="22"/>
                <w:szCs w:val="22"/>
                <w:lang w:val="en-US" w:eastAsia="zh-CN" w:bidi="zh-CN"/>
              </w:rPr>
            </w:pPr>
            <w:r>
              <w:rPr>
                <w:rFonts w:hint="eastAsia"/>
                <w:lang w:val="en-US" w:eastAsia="zh-CN"/>
              </w:rPr>
              <w:t>1</w:t>
            </w:r>
          </w:p>
        </w:tc>
        <w:tc>
          <w:tcPr>
            <w:tcW w:w="1491" w:type="dxa"/>
            <w:noWrap w:val="0"/>
            <w:vAlign w:val="center"/>
          </w:tcPr>
          <w:p>
            <w:pPr>
              <w:spacing w:line="360" w:lineRule="auto"/>
              <w:jc w:val="center"/>
              <w:rPr>
                <w:rFonts w:hint="eastAsia" w:ascii="宋体" w:hAnsi="宋体" w:cs="宋体"/>
                <w:sz w:val="22"/>
                <w:szCs w:val="22"/>
                <w:lang w:val="zh-CN" w:eastAsia="zh-CN" w:bidi="zh-CN"/>
              </w:rPr>
            </w:pPr>
            <w:r>
              <w:rPr>
                <w:rFonts w:hint="eastAsia"/>
              </w:rPr>
              <w:t>报价得分</w:t>
            </w:r>
          </w:p>
        </w:tc>
        <w:tc>
          <w:tcPr>
            <w:tcW w:w="6669" w:type="dxa"/>
            <w:gridSpan w:val="2"/>
            <w:noWrap w:val="0"/>
            <w:vAlign w:val="center"/>
          </w:tcPr>
          <w:p>
            <w:pPr>
              <w:spacing w:line="360" w:lineRule="auto"/>
              <w:rPr>
                <w:rFonts w:hint="eastAsia" w:ascii="宋体" w:hAnsi="宋体" w:cs="宋体"/>
                <w:sz w:val="22"/>
                <w:szCs w:val="22"/>
                <w:lang w:val="zh-CN" w:eastAsia="zh-CN" w:bidi="zh-CN"/>
              </w:rPr>
            </w:pPr>
            <w:r>
              <w:rPr>
                <w:rFonts w:hint="eastAsia"/>
              </w:rPr>
              <w:t>报价得分=（评标基准价/价格扣除后的投标报价）*100*报价分值权重；评标基准价等于有效投标单位中价格扣除后报价的最小值。</w:t>
            </w:r>
          </w:p>
        </w:tc>
        <w:tc>
          <w:tcPr>
            <w:tcW w:w="795" w:type="dxa"/>
            <w:noWrap w:val="0"/>
            <w:vAlign w:val="center"/>
          </w:tcPr>
          <w:p>
            <w:pPr>
              <w:spacing w:line="360" w:lineRule="auto"/>
              <w:jc w:val="center"/>
              <w:rPr>
                <w:rFonts w:hint="eastAsia" w:ascii="宋体" w:hAnsi="宋体" w:cs="宋体"/>
                <w:sz w:val="22"/>
                <w:szCs w:val="22"/>
                <w:lang w:val="en-US" w:eastAsia="zh-CN" w:bidi="zh-CN"/>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585" w:type="dxa"/>
            <w:vMerge w:val="restart"/>
            <w:noWrap w:val="0"/>
            <w:vAlign w:val="center"/>
          </w:tcPr>
          <w:p>
            <w:pPr>
              <w:widowControl/>
              <w:spacing w:line="440" w:lineRule="exact"/>
              <w:rPr>
                <w:rFonts w:hint="eastAsia" w:eastAsia="宋体"/>
                <w:color w:val="000000"/>
                <w:lang w:eastAsia="zh-CN"/>
              </w:rPr>
            </w:pPr>
            <w:r>
              <w:rPr>
                <w:rFonts w:hint="eastAsia"/>
                <w:color w:val="000000"/>
                <w:lang w:val="en-US" w:eastAsia="zh-CN"/>
              </w:rPr>
              <w:t>2</w:t>
            </w:r>
          </w:p>
        </w:tc>
        <w:tc>
          <w:tcPr>
            <w:tcW w:w="1491" w:type="dxa"/>
            <w:vMerge w:val="restart"/>
            <w:noWrap w:val="0"/>
            <w:vAlign w:val="center"/>
          </w:tcPr>
          <w:p>
            <w:pPr>
              <w:widowControl/>
              <w:spacing w:line="440" w:lineRule="exact"/>
              <w:rPr>
                <w:color w:val="000000"/>
              </w:rPr>
            </w:pPr>
            <w:r>
              <w:rPr>
                <w:rFonts w:hint="eastAsia" w:ascii="宋体" w:hAnsi="宋体" w:cs="宋体"/>
                <w:color w:val="000000"/>
                <w:sz w:val="24"/>
              </w:rPr>
              <w:t>施工组织设计</w:t>
            </w:r>
            <w:r>
              <w:rPr>
                <w:rFonts w:hint="eastAsia" w:cs="宋体"/>
                <w:color w:val="000000"/>
                <w:sz w:val="24"/>
                <w:lang w:eastAsia="zh-CN"/>
              </w:rPr>
              <w:t>【装修部分</w:t>
            </w:r>
            <w:r>
              <w:rPr>
                <w:rFonts w:hint="eastAsia" w:ascii="宋体" w:hAnsi="宋体" w:cs="宋体"/>
                <w:color w:val="000000"/>
                <w:sz w:val="24"/>
              </w:rPr>
              <w:t>（5</w:t>
            </w:r>
            <w:r>
              <w:rPr>
                <w:rFonts w:hint="eastAsia" w:cs="宋体"/>
                <w:color w:val="000000"/>
                <w:sz w:val="24"/>
                <w:lang w:val="en-US" w:eastAsia="zh-CN"/>
              </w:rPr>
              <w:t>0</w:t>
            </w:r>
            <w:r>
              <w:rPr>
                <w:rFonts w:hint="eastAsia" w:ascii="宋体" w:hAnsi="宋体" w:cs="宋体"/>
                <w:color w:val="000000"/>
                <w:sz w:val="24"/>
              </w:rPr>
              <w:t>分）</w:t>
            </w:r>
          </w:p>
        </w:tc>
        <w:tc>
          <w:tcPr>
            <w:tcW w:w="1206" w:type="dxa"/>
            <w:noWrap w:val="0"/>
            <w:vAlign w:val="center"/>
          </w:tcPr>
          <w:p>
            <w:pPr>
              <w:rPr>
                <w:rFonts w:ascii="宋体" w:hAnsi="宋体" w:cs="宋体"/>
                <w:color w:val="000000"/>
                <w:sz w:val="24"/>
              </w:rPr>
            </w:pPr>
            <w:r>
              <w:rPr>
                <w:rFonts w:hint="eastAsia" w:ascii="宋体" w:hAnsi="宋体" w:cs="宋体"/>
                <w:color w:val="000000"/>
                <w:sz w:val="24"/>
              </w:rPr>
              <w:t>施工方案与技术措施（1</w:t>
            </w:r>
            <w:r>
              <w:rPr>
                <w:rFonts w:hint="eastAsia" w:cs="宋体"/>
                <w:color w:val="000000"/>
                <w:sz w:val="24"/>
                <w:lang w:val="en-US" w:eastAsia="zh-CN"/>
              </w:rPr>
              <w:t>0</w:t>
            </w:r>
            <w:r>
              <w:rPr>
                <w:rFonts w:hint="eastAsia" w:ascii="宋体" w:hAnsi="宋体" w:cs="宋体"/>
                <w:color w:val="000000"/>
                <w:sz w:val="24"/>
              </w:rPr>
              <w:t>分）</w:t>
            </w:r>
          </w:p>
        </w:tc>
        <w:tc>
          <w:tcPr>
            <w:tcW w:w="5463" w:type="dxa"/>
            <w:noWrap w:val="0"/>
            <w:vAlign w:val="center"/>
          </w:tcPr>
          <w:p>
            <w:pPr>
              <w:spacing w:line="440" w:lineRule="exact"/>
              <w:rPr>
                <w:rFonts w:ascii="宋体" w:hAnsi="宋体" w:cs="宋体"/>
                <w:color w:val="000000"/>
                <w:sz w:val="24"/>
              </w:rPr>
            </w:pPr>
            <w:r>
              <w:rPr>
                <w:rFonts w:hint="eastAsia" w:ascii="宋体" w:hAnsi="宋体" w:cs="宋体"/>
                <w:color w:val="000000"/>
                <w:sz w:val="24"/>
              </w:rPr>
              <w:t>根据供应商提供的施工方案与技术措施进行比较赋分：</w:t>
            </w:r>
          </w:p>
          <w:p>
            <w:pPr>
              <w:spacing w:line="440" w:lineRule="exact"/>
              <w:rPr>
                <w:rFonts w:ascii="宋体" w:hAnsi="宋体" w:cs="宋体"/>
                <w:color w:val="000000"/>
                <w:sz w:val="24"/>
              </w:rPr>
            </w:pPr>
            <w:r>
              <w:rPr>
                <w:rFonts w:hint="eastAsia" w:ascii="宋体" w:hAnsi="宋体" w:cs="宋体"/>
                <w:color w:val="000000"/>
                <w:sz w:val="24"/>
              </w:rPr>
              <w:t>A.施工方案与技术措施科学合理，适用性强，思路清晰，内容全面，能够根据实际情况制订，满足采购人的需要，考虑问题周全，实施过程务实，各项指标均能完成；8.1-1</w:t>
            </w:r>
            <w:r>
              <w:rPr>
                <w:rFonts w:hint="eastAsia" w:cs="宋体"/>
                <w:color w:val="000000"/>
                <w:sz w:val="24"/>
                <w:lang w:val="en-US" w:eastAsia="zh-CN"/>
              </w:rPr>
              <w:t>0</w:t>
            </w:r>
            <w:r>
              <w:rPr>
                <w:rFonts w:hint="eastAsia" w:ascii="宋体" w:hAnsi="宋体" w:cs="宋体"/>
                <w:color w:val="000000"/>
                <w:sz w:val="24"/>
              </w:rPr>
              <w:t>分</w:t>
            </w:r>
          </w:p>
          <w:p>
            <w:pPr>
              <w:spacing w:line="440" w:lineRule="exact"/>
              <w:rPr>
                <w:rFonts w:ascii="宋体" w:hAnsi="宋体" w:cs="宋体"/>
                <w:color w:val="000000"/>
                <w:sz w:val="24"/>
              </w:rPr>
            </w:pPr>
            <w:r>
              <w:rPr>
                <w:rFonts w:hint="eastAsia" w:ascii="宋体" w:hAnsi="宋体" w:cs="宋体"/>
                <w:color w:val="000000"/>
                <w:sz w:val="24"/>
              </w:rPr>
              <w:t>B.施工方案与技术措施基本能够满足采购需要，操作性不强；2.1-8分</w:t>
            </w:r>
          </w:p>
          <w:p>
            <w:pPr>
              <w:spacing w:line="440" w:lineRule="exact"/>
              <w:rPr>
                <w:rFonts w:ascii="宋体" w:hAnsi="宋体" w:cs="宋体"/>
                <w:color w:val="000000"/>
                <w:sz w:val="24"/>
              </w:rPr>
            </w:pPr>
            <w:r>
              <w:rPr>
                <w:rFonts w:hint="eastAsia" w:ascii="宋体" w:hAnsi="宋体" w:cs="宋体"/>
                <w:color w:val="000000"/>
                <w:sz w:val="24"/>
              </w:rPr>
              <w:t>C.施工方案与技术措施不合理；0.1-2分</w:t>
            </w:r>
          </w:p>
          <w:p>
            <w:pPr>
              <w:spacing w:line="440" w:lineRule="exact"/>
              <w:rPr>
                <w:rFonts w:ascii="宋体" w:hAnsi="宋体" w:cs="宋体"/>
                <w:color w:val="000000"/>
                <w:sz w:val="24"/>
              </w:rPr>
            </w:pPr>
            <w:r>
              <w:rPr>
                <w:rFonts w:hint="eastAsia" w:ascii="宋体" w:hAnsi="宋体" w:cs="宋体"/>
                <w:color w:val="000000"/>
                <w:sz w:val="24"/>
              </w:rPr>
              <w:t>D.不提供者得0分</w:t>
            </w:r>
          </w:p>
        </w:tc>
        <w:tc>
          <w:tcPr>
            <w:tcW w:w="795" w:type="dxa"/>
            <w:vMerge w:val="restart"/>
            <w:noWrap w:val="0"/>
            <w:vAlign w:val="center"/>
          </w:tcPr>
          <w:p>
            <w:pPr>
              <w:widowControl/>
              <w:spacing w:line="440" w:lineRule="exact"/>
              <w:rPr>
                <w:rFonts w:ascii="宋体" w:hAnsi="宋体" w:cs="宋体"/>
                <w:color w:val="000000"/>
                <w:sz w:val="24"/>
              </w:rPr>
            </w:pPr>
            <w:r>
              <w:rPr>
                <w:rFonts w:hint="eastAsia" w:ascii="宋体" w:hAnsi="宋体" w:cs="宋体"/>
                <w:color w:val="000000"/>
                <w:sz w:val="24"/>
              </w:rPr>
              <w:t>5</w:t>
            </w:r>
            <w:r>
              <w:rPr>
                <w:rFonts w:hint="eastAsia" w:cs="宋体"/>
                <w:color w:val="000000"/>
                <w:sz w:val="24"/>
                <w:lang w:val="en-US" w:eastAsia="zh-CN"/>
              </w:rPr>
              <w:t>0</w:t>
            </w:r>
            <w:r>
              <w:rPr>
                <w:rFonts w:hint="eastAsia" w:ascii="宋体" w:hAnsi="宋体" w:cs="宋体"/>
                <w:color w:val="000000"/>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85" w:type="dxa"/>
            <w:vMerge w:val="continue"/>
            <w:noWrap w:val="0"/>
            <w:vAlign w:val="center"/>
          </w:tcPr>
          <w:p>
            <w:pPr>
              <w:widowControl/>
              <w:spacing w:line="440" w:lineRule="exact"/>
              <w:rPr>
                <w:rFonts w:ascii="宋体" w:hAnsi="宋体" w:cs="宋体"/>
                <w:color w:val="000000"/>
                <w:sz w:val="24"/>
              </w:rPr>
            </w:pPr>
          </w:p>
        </w:tc>
        <w:tc>
          <w:tcPr>
            <w:tcW w:w="1491" w:type="dxa"/>
            <w:vMerge w:val="continue"/>
            <w:noWrap w:val="0"/>
            <w:vAlign w:val="center"/>
          </w:tcPr>
          <w:p>
            <w:pPr>
              <w:widowControl/>
              <w:spacing w:line="440" w:lineRule="exact"/>
              <w:rPr>
                <w:rFonts w:ascii="宋体" w:hAnsi="宋体" w:cs="宋体"/>
                <w:color w:val="000000"/>
                <w:sz w:val="24"/>
              </w:rPr>
            </w:pPr>
          </w:p>
        </w:tc>
        <w:tc>
          <w:tcPr>
            <w:tcW w:w="1206" w:type="dxa"/>
            <w:noWrap w:val="0"/>
            <w:vAlign w:val="center"/>
          </w:tcPr>
          <w:p>
            <w:pPr>
              <w:rPr>
                <w:rFonts w:ascii="宋体" w:hAnsi="宋体" w:cs="宋体"/>
                <w:color w:val="000000"/>
                <w:sz w:val="24"/>
              </w:rPr>
            </w:pPr>
            <w:r>
              <w:rPr>
                <w:rFonts w:hint="eastAsia" w:ascii="宋体" w:hAnsi="宋体" w:cs="宋体"/>
                <w:color w:val="000000"/>
                <w:sz w:val="24"/>
              </w:rPr>
              <w:t>质量保证体系与技术措施（1</w:t>
            </w:r>
            <w:r>
              <w:rPr>
                <w:rFonts w:hint="eastAsia" w:cs="宋体"/>
                <w:color w:val="000000"/>
                <w:sz w:val="24"/>
                <w:lang w:val="en-US" w:eastAsia="zh-CN"/>
              </w:rPr>
              <w:t>0</w:t>
            </w:r>
            <w:r>
              <w:rPr>
                <w:rFonts w:hint="eastAsia" w:ascii="宋体" w:hAnsi="宋体" w:cs="宋体"/>
                <w:color w:val="000000"/>
                <w:sz w:val="24"/>
              </w:rPr>
              <w:t>分）</w:t>
            </w:r>
          </w:p>
        </w:tc>
        <w:tc>
          <w:tcPr>
            <w:tcW w:w="5463" w:type="dxa"/>
            <w:noWrap w:val="0"/>
            <w:vAlign w:val="center"/>
          </w:tcPr>
          <w:p>
            <w:pPr>
              <w:spacing w:line="440" w:lineRule="exact"/>
              <w:rPr>
                <w:rFonts w:ascii="宋体" w:hAnsi="宋体" w:cs="宋体"/>
                <w:color w:val="000000"/>
                <w:sz w:val="24"/>
              </w:rPr>
            </w:pPr>
            <w:r>
              <w:rPr>
                <w:rFonts w:hint="eastAsia" w:ascii="宋体" w:hAnsi="宋体" w:cs="宋体"/>
                <w:color w:val="000000"/>
                <w:sz w:val="24"/>
              </w:rPr>
              <w:t>根据供应商提供的质量保证体系与技术措施进行比较赋分：</w:t>
            </w:r>
          </w:p>
          <w:p>
            <w:pPr>
              <w:spacing w:line="440" w:lineRule="exact"/>
              <w:rPr>
                <w:rFonts w:ascii="宋体" w:hAnsi="宋体" w:cs="宋体"/>
                <w:color w:val="000000"/>
                <w:sz w:val="24"/>
              </w:rPr>
            </w:pPr>
            <w:r>
              <w:rPr>
                <w:rFonts w:hint="eastAsia" w:ascii="宋体" w:hAnsi="宋体" w:cs="宋体"/>
                <w:color w:val="000000"/>
                <w:sz w:val="24"/>
              </w:rPr>
              <w:t>A.质量保证体系与技术措施科学合理，适用性强，思路清晰，内容全面，能够根据实际情况制订，满足采购人的需要，考虑问题周全，实施过程务实，各项指标均能完成；8.1-1</w:t>
            </w:r>
            <w:r>
              <w:rPr>
                <w:rFonts w:hint="eastAsia" w:cs="宋体"/>
                <w:color w:val="000000"/>
                <w:sz w:val="24"/>
                <w:lang w:val="en-US" w:eastAsia="zh-CN"/>
              </w:rPr>
              <w:t>0</w:t>
            </w:r>
            <w:r>
              <w:rPr>
                <w:rFonts w:hint="eastAsia" w:ascii="宋体" w:hAnsi="宋体" w:cs="宋体"/>
                <w:color w:val="000000"/>
                <w:sz w:val="24"/>
              </w:rPr>
              <w:t>分</w:t>
            </w:r>
          </w:p>
          <w:p>
            <w:pPr>
              <w:spacing w:line="440" w:lineRule="exact"/>
              <w:rPr>
                <w:rFonts w:ascii="宋体" w:hAnsi="宋体" w:cs="宋体"/>
                <w:color w:val="000000"/>
                <w:sz w:val="24"/>
              </w:rPr>
            </w:pPr>
            <w:r>
              <w:rPr>
                <w:rFonts w:hint="eastAsia" w:ascii="宋体" w:hAnsi="宋体" w:cs="宋体"/>
                <w:color w:val="000000"/>
                <w:sz w:val="24"/>
              </w:rPr>
              <w:t>B.质量保证体系与技术措施基本能够满足采购需要，操作性不强；2.1-8分</w:t>
            </w:r>
          </w:p>
          <w:p>
            <w:pPr>
              <w:spacing w:line="440" w:lineRule="exact"/>
              <w:rPr>
                <w:rFonts w:ascii="宋体" w:hAnsi="宋体" w:cs="宋体"/>
                <w:color w:val="000000"/>
                <w:sz w:val="24"/>
              </w:rPr>
            </w:pPr>
            <w:r>
              <w:rPr>
                <w:rFonts w:hint="eastAsia" w:ascii="宋体" w:hAnsi="宋体" w:cs="宋体"/>
                <w:color w:val="000000"/>
                <w:sz w:val="24"/>
              </w:rPr>
              <w:t>C.质量保证体系与技术措施不合理；0.1-2分</w:t>
            </w:r>
          </w:p>
          <w:p>
            <w:pPr>
              <w:spacing w:line="440" w:lineRule="exact"/>
              <w:rPr>
                <w:rFonts w:ascii="宋体" w:hAnsi="宋体" w:cs="宋体"/>
                <w:color w:val="000000"/>
                <w:sz w:val="24"/>
              </w:rPr>
            </w:pPr>
            <w:r>
              <w:rPr>
                <w:rFonts w:hint="eastAsia" w:ascii="宋体" w:hAnsi="宋体" w:cs="宋体"/>
                <w:color w:val="000000"/>
                <w:sz w:val="24"/>
              </w:rPr>
              <w:t>D.不提供者得0分</w:t>
            </w:r>
          </w:p>
        </w:tc>
        <w:tc>
          <w:tcPr>
            <w:tcW w:w="795" w:type="dxa"/>
            <w:vMerge w:val="continue"/>
            <w:noWrap w:val="0"/>
            <w:vAlign w:val="center"/>
          </w:tcPr>
          <w:p>
            <w:pPr>
              <w:widowControl/>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5" w:hRule="atLeast"/>
          <w:jc w:val="center"/>
        </w:trPr>
        <w:tc>
          <w:tcPr>
            <w:tcW w:w="585" w:type="dxa"/>
            <w:vMerge w:val="continue"/>
            <w:noWrap w:val="0"/>
            <w:vAlign w:val="center"/>
          </w:tcPr>
          <w:p>
            <w:pPr>
              <w:widowControl/>
              <w:spacing w:line="440" w:lineRule="exact"/>
              <w:rPr>
                <w:rFonts w:ascii="宋体" w:hAnsi="宋体" w:cs="宋体"/>
                <w:color w:val="000000"/>
                <w:sz w:val="24"/>
              </w:rPr>
            </w:pPr>
          </w:p>
        </w:tc>
        <w:tc>
          <w:tcPr>
            <w:tcW w:w="1491" w:type="dxa"/>
            <w:vMerge w:val="continue"/>
            <w:noWrap w:val="0"/>
            <w:vAlign w:val="center"/>
          </w:tcPr>
          <w:p>
            <w:pPr>
              <w:widowControl/>
              <w:spacing w:line="440" w:lineRule="exact"/>
              <w:rPr>
                <w:rFonts w:ascii="宋体" w:hAnsi="宋体" w:cs="宋体"/>
                <w:color w:val="000000"/>
                <w:sz w:val="24"/>
              </w:rPr>
            </w:pPr>
          </w:p>
        </w:tc>
        <w:tc>
          <w:tcPr>
            <w:tcW w:w="1206" w:type="dxa"/>
            <w:noWrap w:val="0"/>
            <w:vAlign w:val="center"/>
          </w:tcPr>
          <w:p>
            <w:pPr>
              <w:rPr>
                <w:rFonts w:ascii="宋体" w:hAnsi="宋体" w:cs="宋体"/>
                <w:color w:val="000000"/>
                <w:sz w:val="24"/>
              </w:rPr>
            </w:pPr>
            <w:r>
              <w:rPr>
                <w:rFonts w:hint="eastAsia" w:ascii="宋体" w:hAnsi="宋体" w:cs="宋体"/>
                <w:color w:val="000000"/>
                <w:sz w:val="24"/>
              </w:rPr>
              <w:t>安全管理体系与技术措施（1</w:t>
            </w:r>
            <w:r>
              <w:rPr>
                <w:rFonts w:hint="eastAsia" w:cs="宋体"/>
                <w:color w:val="000000"/>
                <w:sz w:val="24"/>
                <w:lang w:val="en-US" w:eastAsia="zh-CN"/>
              </w:rPr>
              <w:t>0</w:t>
            </w:r>
            <w:r>
              <w:rPr>
                <w:rFonts w:hint="eastAsia" w:ascii="宋体" w:hAnsi="宋体" w:cs="宋体"/>
                <w:color w:val="000000"/>
                <w:sz w:val="24"/>
              </w:rPr>
              <w:t>分）</w:t>
            </w:r>
          </w:p>
        </w:tc>
        <w:tc>
          <w:tcPr>
            <w:tcW w:w="5463" w:type="dxa"/>
            <w:noWrap w:val="0"/>
            <w:vAlign w:val="center"/>
          </w:tcPr>
          <w:p>
            <w:pPr>
              <w:spacing w:line="440" w:lineRule="exact"/>
              <w:rPr>
                <w:rFonts w:ascii="宋体" w:hAnsi="宋体" w:cs="宋体"/>
                <w:color w:val="000000"/>
                <w:sz w:val="24"/>
              </w:rPr>
            </w:pPr>
            <w:r>
              <w:rPr>
                <w:rFonts w:hint="eastAsia" w:ascii="宋体" w:hAnsi="宋体" w:cs="宋体"/>
                <w:color w:val="000000"/>
                <w:sz w:val="24"/>
              </w:rPr>
              <w:t>根据供应商提供的安全管理体系与技术措施进行比较赋分：</w:t>
            </w:r>
          </w:p>
          <w:p>
            <w:pPr>
              <w:spacing w:line="440" w:lineRule="exact"/>
              <w:rPr>
                <w:rFonts w:ascii="宋体" w:hAnsi="宋体" w:cs="宋体"/>
                <w:color w:val="000000"/>
                <w:sz w:val="24"/>
              </w:rPr>
            </w:pPr>
            <w:r>
              <w:rPr>
                <w:rFonts w:hint="eastAsia" w:ascii="宋体" w:hAnsi="宋体" w:cs="宋体"/>
                <w:color w:val="000000"/>
                <w:sz w:val="24"/>
              </w:rPr>
              <w:t>A.安全管理体系与技术措施科学合理，适用性强，思路清晰，内容全面，能够根据实际情况制订，满足采购人的需要，考虑问题周全，实施过程务实，各项指标均能完成；8.1-1</w:t>
            </w:r>
            <w:r>
              <w:rPr>
                <w:rFonts w:hint="eastAsia" w:cs="宋体"/>
                <w:color w:val="000000"/>
                <w:sz w:val="24"/>
                <w:lang w:val="en-US" w:eastAsia="zh-CN"/>
              </w:rPr>
              <w:t>0</w:t>
            </w:r>
            <w:r>
              <w:rPr>
                <w:rFonts w:hint="eastAsia" w:ascii="宋体" w:hAnsi="宋体" w:cs="宋体"/>
                <w:color w:val="000000"/>
                <w:sz w:val="24"/>
              </w:rPr>
              <w:t>分</w:t>
            </w:r>
          </w:p>
          <w:p>
            <w:pPr>
              <w:spacing w:line="440" w:lineRule="exact"/>
              <w:rPr>
                <w:rFonts w:ascii="宋体" w:hAnsi="宋体" w:cs="宋体"/>
                <w:color w:val="000000"/>
                <w:sz w:val="24"/>
              </w:rPr>
            </w:pPr>
            <w:r>
              <w:rPr>
                <w:rFonts w:hint="eastAsia" w:ascii="宋体" w:hAnsi="宋体" w:cs="宋体"/>
                <w:color w:val="000000"/>
                <w:sz w:val="24"/>
              </w:rPr>
              <w:t>B.安全管理体系与技术措施基本能够满足采购需要，操作性不强；2.1-8分</w:t>
            </w:r>
          </w:p>
          <w:p>
            <w:pPr>
              <w:spacing w:line="440" w:lineRule="exact"/>
              <w:rPr>
                <w:rFonts w:ascii="宋体" w:hAnsi="宋体" w:cs="宋体"/>
                <w:color w:val="000000"/>
                <w:sz w:val="24"/>
              </w:rPr>
            </w:pPr>
            <w:r>
              <w:rPr>
                <w:rFonts w:hint="eastAsia" w:ascii="宋体" w:hAnsi="宋体" w:cs="宋体"/>
                <w:color w:val="000000"/>
                <w:sz w:val="24"/>
              </w:rPr>
              <w:t>C.安全管理体系与技术措施不合理；0.1-2分</w:t>
            </w:r>
          </w:p>
          <w:p>
            <w:pPr>
              <w:spacing w:line="440" w:lineRule="exact"/>
              <w:rPr>
                <w:rFonts w:ascii="宋体" w:hAnsi="宋体" w:cs="宋体"/>
                <w:color w:val="000000"/>
                <w:sz w:val="24"/>
              </w:rPr>
            </w:pPr>
            <w:r>
              <w:rPr>
                <w:rFonts w:hint="eastAsia" w:ascii="宋体" w:hAnsi="宋体" w:cs="宋体"/>
                <w:color w:val="000000"/>
                <w:sz w:val="24"/>
              </w:rPr>
              <w:t>D.不提供者得0分</w:t>
            </w:r>
          </w:p>
        </w:tc>
        <w:tc>
          <w:tcPr>
            <w:tcW w:w="795" w:type="dxa"/>
            <w:vMerge w:val="continue"/>
            <w:noWrap w:val="0"/>
            <w:vAlign w:val="center"/>
          </w:tcPr>
          <w:p>
            <w:pPr>
              <w:widowControl/>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jc w:val="center"/>
        </w:trPr>
        <w:tc>
          <w:tcPr>
            <w:tcW w:w="585" w:type="dxa"/>
            <w:vMerge w:val="continue"/>
            <w:noWrap w:val="0"/>
            <w:vAlign w:val="center"/>
          </w:tcPr>
          <w:p>
            <w:pPr>
              <w:widowControl/>
              <w:spacing w:line="440" w:lineRule="exact"/>
              <w:rPr>
                <w:rFonts w:ascii="宋体" w:hAnsi="宋体" w:cs="宋体"/>
                <w:color w:val="000000"/>
                <w:sz w:val="24"/>
              </w:rPr>
            </w:pPr>
          </w:p>
        </w:tc>
        <w:tc>
          <w:tcPr>
            <w:tcW w:w="1491" w:type="dxa"/>
            <w:vMerge w:val="continue"/>
            <w:noWrap w:val="0"/>
            <w:vAlign w:val="center"/>
          </w:tcPr>
          <w:p>
            <w:pPr>
              <w:widowControl/>
              <w:spacing w:line="440" w:lineRule="exact"/>
              <w:rPr>
                <w:rFonts w:ascii="宋体" w:hAnsi="宋体" w:cs="宋体"/>
                <w:color w:val="000000"/>
                <w:sz w:val="24"/>
              </w:rPr>
            </w:pPr>
          </w:p>
        </w:tc>
        <w:tc>
          <w:tcPr>
            <w:tcW w:w="1206" w:type="dxa"/>
            <w:noWrap w:val="0"/>
            <w:vAlign w:val="center"/>
          </w:tcPr>
          <w:p>
            <w:pPr>
              <w:rPr>
                <w:rFonts w:ascii="宋体" w:hAnsi="宋体" w:cs="宋体"/>
                <w:color w:val="000000"/>
                <w:sz w:val="24"/>
              </w:rPr>
            </w:pPr>
            <w:r>
              <w:rPr>
                <w:rFonts w:hint="eastAsia" w:ascii="宋体" w:hAnsi="宋体" w:cs="宋体"/>
                <w:color w:val="000000"/>
                <w:spacing w:val="-10"/>
                <w:sz w:val="24"/>
              </w:rPr>
              <w:t>环境保护与文明施工</w:t>
            </w:r>
            <w:r>
              <w:rPr>
                <w:rFonts w:hint="eastAsia" w:ascii="宋体" w:hAnsi="宋体" w:cs="宋体"/>
                <w:color w:val="000000"/>
                <w:sz w:val="24"/>
              </w:rPr>
              <w:t>（1</w:t>
            </w:r>
            <w:r>
              <w:rPr>
                <w:rFonts w:hint="eastAsia" w:cs="宋体"/>
                <w:color w:val="000000"/>
                <w:sz w:val="24"/>
                <w:lang w:val="en-US" w:eastAsia="zh-CN"/>
              </w:rPr>
              <w:t>0</w:t>
            </w:r>
            <w:r>
              <w:rPr>
                <w:rFonts w:hint="eastAsia" w:ascii="宋体" w:hAnsi="宋体" w:cs="宋体"/>
                <w:color w:val="000000"/>
                <w:sz w:val="24"/>
              </w:rPr>
              <w:t>分）</w:t>
            </w:r>
          </w:p>
        </w:tc>
        <w:tc>
          <w:tcPr>
            <w:tcW w:w="5463" w:type="dxa"/>
            <w:noWrap w:val="0"/>
            <w:vAlign w:val="center"/>
          </w:tcPr>
          <w:p>
            <w:pPr>
              <w:spacing w:line="440" w:lineRule="exact"/>
              <w:rPr>
                <w:rFonts w:ascii="宋体" w:hAnsi="宋体" w:cs="宋体"/>
                <w:color w:val="000000"/>
                <w:sz w:val="24"/>
              </w:rPr>
            </w:pPr>
            <w:r>
              <w:rPr>
                <w:rFonts w:hint="eastAsia" w:ascii="宋体" w:hAnsi="宋体" w:cs="宋体"/>
                <w:color w:val="000000"/>
                <w:sz w:val="24"/>
              </w:rPr>
              <w:t>根据供应商提供的环境保护与文明施工进行比较赋分：</w:t>
            </w:r>
          </w:p>
          <w:p>
            <w:pPr>
              <w:spacing w:line="440" w:lineRule="exact"/>
              <w:rPr>
                <w:rFonts w:ascii="宋体" w:hAnsi="宋体" w:cs="宋体"/>
                <w:color w:val="000000"/>
                <w:sz w:val="24"/>
              </w:rPr>
            </w:pPr>
            <w:r>
              <w:rPr>
                <w:rFonts w:hint="eastAsia" w:ascii="宋体" w:hAnsi="宋体" w:cs="宋体"/>
                <w:color w:val="000000"/>
                <w:sz w:val="24"/>
              </w:rPr>
              <w:t>A.环境保护与文明施工科学合理，适用性强，思路清晰，内容全面，能够根据实际情况制订，满足采购人的需要，考虑问题周全，实施过程务实，各项指标均能完成；8.1-1</w:t>
            </w:r>
            <w:r>
              <w:rPr>
                <w:rFonts w:hint="eastAsia" w:cs="宋体"/>
                <w:color w:val="000000"/>
                <w:sz w:val="24"/>
                <w:lang w:val="en-US" w:eastAsia="zh-CN"/>
              </w:rPr>
              <w:t>0</w:t>
            </w:r>
            <w:r>
              <w:rPr>
                <w:rFonts w:hint="eastAsia" w:ascii="宋体" w:hAnsi="宋体" w:cs="宋体"/>
                <w:color w:val="000000"/>
                <w:sz w:val="24"/>
              </w:rPr>
              <w:t>分</w:t>
            </w:r>
          </w:p>
          <w:p>
            <w:pPr>
              <w:spacing w:line="440" w:lineRule="exact"/>
              <w:rPr>
                <w:rFonts w:ascii="宋体" w:hAnsi="宋体" w:cs="宋体"/>
                <w:color w:val="000000"/>
                <w:sz w:val="24"/>
              </w:rPr>
            </w:pPr>
            <w:r>
              <w:rPr>
                <w:rFonts w:hint="eastAsia" w:ascii="宋体" w:hAnsi="宋体" w:cs="宋体"/>
                <w:color w:val="000000"/>
                <w:sz w:val="24"/>
              </w:rPr>
              <w:t>B.环境保护与文明施工基本能够满足采购需要，操作性不强；2.1-8分</w:t>
            </w:r>
          </w:p>
          <w:p>
            <w:pPr>
              <w:spacing w:line="440" w:lineRule="exact"/>
              <w:rPr>
                <w:rFonts w:ascii="宋体" w:hAnsi="宋体" w:cs="宋体"/>
                <w:color w:val="000000"/>
                <w:sz w:val="24"/>
              </w:rPr>
            </w:pPr>
            <w:r>
              <w:rPr>
                <w:rFonts w:hint="eastAsia" w:ascii="宋体" w:hAnsi="宋体" w:cs="宋体"/>
                <w:color w:val="000000"/>
                <w:sz w:val="24"/>
              </w:rPr>
              <w:t>C.环境保护与文明施工不合理；0.1-2分</w:t>
            </w:r>
          </w:p>
          <w:p>
            <w:pPr>
              <w:spacing w:line="440" w:lineRule="exact"/>
              <w:rPr>
                <w:rFonts w:ascii="宋体" w:hAnsi="宋体" w:cs="宋体"/>
                <w:color w:val="000000"/>
                <w:sz w:val="24"/>
              </w:rPr>
            </w:pPr>
            <w:r>
              <w:rPr>
                <w:rFonts w:hint="eastAsia" w:ascii="宋体" w:hAnsi="宋体" w:cs="宋体"/>
                <w:color w:val="000000"/>
                <w:sz w:val="24"/>
              </w:rPr>
              <w:t>D.不提供者得0分</w:t>
            </w:r>
          </w:p>
        </w:tc>
        <w:tc>
          <w:tcPr>
            <w:tcW w:w="795" w:type="dxa"/>
            <w:vMerge w:val="continue"/>
            <w:noWrap w:val="0"/>
            <w:vAlign w:val="center"/>
          </w:tcPr>
          <w:p>
            <w:pPr>
              <w:widowControl/>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585" w:type="dxa"/>
            <w:vMerge w:val="continue"/>
            <w:noWrap w:val="0"/>
            <w:vAlign w:val="center"/>
          </w:tcPr>
          <w:p>
            <w:pPr>
              <w:widowControl/>
              <w:spacing w:line="440" w:lineRule="exact"/>
              <w:rPr>
                <w:rFonts w:ascii="宋体" w:hAnsi="宋体" w:cs="宋体"/>
                <w:color w:val="000000"/>
                <w:sz w:val="24"/>
              </w:rPr>
            </w:pPr>
          </w:p>
        </w:tc>
        <w:tc>
          <w:tcPr>
            <w:tcW w:w="1491" w:type="dxa"/>
            <w:vMerge w:val="continue"/>
            <w:noWrap w:val="0"/>
            <w:vAlign w:val="center"/>
          </w:tcPr>
          <w:p>
            <w:pPr>
              <w:widowControl/>
              <w:spacing w:line="440" w:lineRule="exact"/>
              <w:rPr>
                <w:rFonts w:ascii="宋体" w:hAnsi="宋体" w:cs="宋体"/>
                <w:color w:val="000000"/>
                <w:sz w:val="24"/>
              </w:rPr>
            </w:pPr>
          </w:p>
        </w:tc>
        <w:tc>
          <w:tcPr>
            <w:tcW w:w="1206" w:type="dxa"/>
            <w:noWrap w:val="0"/>
            <w:vAlign w:val="center"/>
          </w:tcPr>
          <w:p>
            <w:pPr>
              <w:rPr>
                <w:rFonts w:ascii="宋体" w:hAnsi="宋体" w:cs="宋体"/>
                <w:color w:val="000000"/>
                <w:sz w:val="24"/>
              </w:rPr>
            </w:pPr>
            <w:r>
              <w:rPr>
                <w:rFonts w:hint="eastAsia" w:ascii="宋体" w:hAnsi="宋体" w:cs="宋体"/>
                <w:color w:val="000000"/>
                <w:sz w:val="24"/>
              </w:rPr>
              <w:t>工期与施工进度计划（1</w:t>
            </w:r>
            <w:r>
              <w:rPr>
                <w:rFonts w:hint="eastAsia" w:cs="宋体"/>
                <w:color w:val="000000"/>
                <w:sz w:val="24"/>
                <w:lang w:val="en-US" w:eastAsia="zh-CN"/>
              </w:rPr>
              <w:t>0</w:t>
            </w:r>
            <w:r>
              <w:rPr>
                <w:rFonts w:hint="eastAsia" w:ascii="宋体" w:hAnsi="宋体" w:cs="宋体"/>
                <w:color w:val="000000"/>
                <w:sz w:val="24"/>
              </w:rPr>
              <w:t>分）</w:t>
            </w:r>
          </w:p>
        </w:tc>
        <w:tc>
          <w:tcPr>
            <w:tcW w:w="5463" w:type="dxa"/>
            <w:noWrap w:val="0"/>
            <w:vAlign w:val="center"/>
          </w:tcPr>
          <w:p>
            <w:pPr>
              <w:spacing w:line="440" w:lineRule="exact"/>
              <w:rPr>
                <w:rFonts w:ascii="宋体" w:hAnsi="宋体" w:cs="宋体"/>
                <w:color w:val="000000"/>
                <w:sz w:val="24"/>
              </w:rPr>
            </w:pPr>
            <w:r>
              <w:rPr>
                <w:rFonts w:hint="eastAsia" w:ascii="宋体" w:hAnsi="宋体" w:cs="宋体"/>
                <w:color w:val="000000"/>
                <w:sz w:val="24"/>
              </w:rPr>
              <w:t>根据供应商提供的工期与施工进度计划进行比较赋分：</w:t>
            </w:r>
          </w:p>
          <w:p>
            <w:pPr>
              <w:spacing w:line="440" w:lineRule="exact"/>
              <w:rPr>
                <w:rFonts w:ascii="宋体" w:hAnsi="宋体" w:cs="宋体"/>
                <w:color w:val="000000"/>
                <w:sz w:val="24"/>
              </w:rPr>
            </w:pPr>
            <w:r>
              <w:rPr>
                <w:rFonts w:hint="eastAsia" w:ascii="宋体" w:hAnsi="宋体" w:cs="宋体"/>
                <w:color w:val="000000"/>
                <w:sz w:val="24"/>
              </w:rPr>
              <w:t>A.工期与施工进度计划科学合理，适用性强，思路清晰，内容全面，能够根据实际情况制订，满足采购人的需要，考虑问题周全，实施过程务实，各项指标均能完成；8.1-1</w:t>
            </w:r>
            <w:r>
              <w:rPr>
                <w:rFonts w:hint="eastAsia" w:cs="宋体"/>
                <w:color w:val="000000"/>
                <w:sz w:val="24"/>
                <w:lang w:val="en-US" w:eastAsia="zh-CN"/>
              </w:rPr>
              <w:t>0</w:t>
            </w:r>
            <w:r>
              <w:rPr>
                <w:rFonts w:hint="eastAsia" w:ascii="宋体" w:hAnsi="宋体" w:cs="宋体"/>
                <w:color w:val="000000"/>
                <w:sz w:val="24"/>
              </w:rPr>
              <w:t>分</w:t>
            </w:r>
          </w:p>
          <w:p>
            <w:pPr>
              <w:spacing w:line="440" w:lineRule="exact"/>
              <w:rPr>
                <w:rFonts w:ascii="宋体" w:hAnsi="宋体" w:cs="宋体"/>
                <w:color w:val="000000"/>
                <w:sz w:val="24"/>
              </w:rPr>
            </w:pPr>
            <w:r>
              <w:rPr>
                <w:rFonts w:hint="eastAsia" w:ascii="宋体" w:hAnsi="宋体" w:cs="宋体"/>
                <w:color w:val="000000"/>
                <w:sz w:val="24"/>
              </w:rPr>
              <w:t>B.工期与施工进度计划基本能够满足采购需要，操作性不强；2.1-8分</w:t>
            </w:r>
          </w:p>
          <w:p>
            <w:pPr>
              <w:spacing w:line="440" w:lineRule="exact"/>
              <w:rPr>
                <w:rFonts w:ascii="宋体" w:hAnsi="宋体" w:cs="宋体"/>
                <w:color w:val="000000"/>
                <w:sz w:val="24"/>
              </w:rPr>
            </w:pPr>
            <w:r>
              <w:rPr>
                <w:rFonts w:hint="eastAsia" w:ascii="宋体" w:hAnsi="宋体" w:cs="宋体"/>
                <w:color w:val="000000"/>
                <w:sz w:val="24"/>
              </w:rPr>
              <w:t>C.工期与施工进度计划不合理；0.1-2分</w:t>
            </w:r>
          </w:p>
          <w:p>
            <w:pPr>
              <w:spacing w:line="440" w:lineRule="exact"/>
              <w:rPr>
                <w:rFonts w:ascii="宋体" w:hAnsi="宋体" w:cs="宋体"/>
                <w:color w:val="000000"/>
                <w:sz w:val="24"/>
              </w:rPr>
            </w:pPr>
            <w:r>
              <w:rPr>
                <w:rFonts w:hint="eastAsia" w:ascii="宋体" w:hAnsi="宋体" w:cs="宋体"/>
                <w:color w:val="000000"/>
                <w:sz w:val="24"/>
              </w:rPr>
              <w:t>D.不提供者得0分</w:t>
            </w:r>
          </w:p>
        </w:tc>
        <w:tc>
          <w:tcPr>
            <w:tcW w:w="795" w:type="dxa"/>
            <w:vMerge w:val="continue"/>
            <w:noWrap w:val="0"/>
            <w:vAlign w:val="center"/>
          </w:tcPr>
          <w:p>
            <w:pPr>
              <w:widowControl/>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585" w:type="dxa"/>
            <w:vMerge w:val="restart"/>
            <w:noWrap w:val="0"/>
            <w:vAlign w:val="center"/>
          </w:tcPr>
          <w:p>
            <w:pPr>
              <w:widowControl/>
              <w:spacing w:line="440" w:lineRule="exact"/>
              <w:rPr>
                <w:color w:val="000000"/>
              </w:rPr>
            </w:pPr>
            <w:r>
              <w:rPr>
                <w:rFonts w:hint="eastAsia"/>
                <w:color w:val="000000"/>
              </w:rPr>
              <w:t>1</w:t>
            </w:r>
          </w:p>
        </w:tc>
        <w:tc>
          <w:tcPr>
            <w:tcW w:w="1491" w:type="dxa"/>
            <w:vMerge w:val="restart"/>
            <w:noWrap w:val="0"/>
            <w:vAlign w:val="center"/>
          </w:tcPr>
          <w:p>
            <w:pPr>
              <w:widowControl/>
              <w:spacing w:line="440" w:lineRule="exact"/>
              <w:rPr>
                <w:color w:val="000000"/>
              </w:rPr>
            </w:pPr>
            <w:r>
              <w:rPr>
                <w:rFonts w:hint="eastAsia" w:ascii="宋体" w:hAnsi="宋体" w:cs="宋体"/>
                <w:color w:val="000000"/>
                <w:sz w:val="24"/>
              </w:rPr>
              <w:t>施工组织设计</w:t>
            </w:r>
            <w:r>
              <w:rPr>
                <w:rFonts w:hint="eastAsia" w:cs="宋体"/>
                <w:color w:val="000000"/>
                <w:sz w:val="24"/>
                <w:lang w:eastAsia="zh-CN"/>
              </w:rPr>
              <w:t>【园林部分</w:t>
            </w:r>
            <w:r>
              <w:rPr>
                <w:rFonts w:hint="eastAsia" w:ascii="宋体" w:hAnsi="宋体" w:cs="宋体"/>
                <w:color w:val="000000"/>
                <w:sz w:val="24"/>
              </w:rPr>
              <w:t>（</w:t>
            </w:r>
            <w:r>
              <w:rPr>
                <w:rFonts w:hint="eastAsia" w:ascii="宋体" w:hAnsi="宋体" w:cs="宋体"/>
                <w:color w:val="000000"/>
                <w:sz w:val="24"/>
                <w:lang w:val="en-US" w:eastAsia="zh-CN"/>
              </w:rPr>
              <w:t>4</w:t>
            </w:r>
            <w:r>
              <w:rPr>
                <w:rFonts w:hint="eastAsia" w:cs="宋体"/>
                <w:color w:val="000000"/>
                <w:sz w:val="24"/>
                <w:lang w:val="en-US" w:eastAsia="zh-CN"/>
              </w:rPr>
              <w:t>0</w:t>
            </w:r>
            <w:r>
              <w:rPr>
                <w:rFonts w:hint="eastAsia" w:ascii="宋体" w:hAnsi="宋体" w:cs="宋体"/>
                <w:color w:val="000000"/>
                <w:sz w:val="24"/>
              </w:rPr>
              <w:t>分）</w:t>
            </w:r>
          </w:p>
        </w:tc>
        <w:tc>
          <w:tcPr>
            <w:tcW w:w="1206" w:type="dxa"/>
            <w:noWrap w:val="0"/>
            <w:vAlign w:val="center"/>
          </w:tcPr>
          <w:p>
            <w:pPr>
              <w:rPr>
                <w:rFonts w:ascii="宋体" w:hAnsi="宋体" w:cs="宋体"/>
                <w:color w:val="000000"/>
                <w:sz w:val="24"/>
              </w:rPr>
            </w:pPr>
            <w:r>
              <w:rPr>
                <w:rFonts w:hint="eastAsia" w:ascii="宋体" w:hAnsi="宋体" w:cs="宋体"/>
                <w:color w:val="000000"/>
                <w:sz w:val="24"/>
              </w:rPr>
              <w:t>施工方案与技术措施（</w:t>
            </w:r>
            <w:r>
              <w:rPr>
                <w:rFonts w:hint="eastAsia" w:ascii="宋体" w:hAnsi="宋体" w:cs="宋体"/>
                <w:color w:val="000000"/>
                <w:sz w:val="24"/>
                <w:lang w:val="en-US" w:eastAsia="zh-CN"/>
              </w:rPr>
              <w:t>8</w:t>
            </w:r>
            <w:r>
              <w:rPr>
                <w:rFonts w:hint="eastAsia" w:ascii="宋体" w:hAnsi="宋体" w:cs="宋体"/>
                <w:color w:val="000000"/>
                <w:sz w:val="24"/>
              </w:rPr>
              <w:t>分）</w:t>
            </w:r>
          </w:p>
        </w:tc>
        <w:tc>
          <w:tcPr>
            <w:tcW w:w="5463" w:type="dxa"/>
            <w:noWrap w:val="0"/>
            <w:vAlign w:val="center"/>
          </w:tcPr>
          <w:p>
            <w:pPr>
              <w:spacing w:line="440" w:lineRule="exact"/>
              <w:rPr>
                <w:rFonts w:ascii="宋体" w:hAnsi="宋体" w:cs="宋体"/>
                <w:color w:val="000000"/>
                <w:sz w:val="24"/>
              </w:rPr>
            </w:pPr>
            <w:r>
              <w:rPr>
                <w:rFonts w:hint="eastAsia" w:ascii="宋体" w:hAnsi="宋体" w:cs="宋体"/>
                <w:color w:val="000000"/>
                <w:sz w:val="24"/>
              </w:rPr>
              <w:t>根据供应商提供的施工方案与技术措施进行比较赋分：</w:t>
            </w:r>
          </w:p>
          <w:p>
            <w:pPr>
              <w:spacing w:line="440" w:lineRule="exact"/>
              <w:rPr>
                <w:rFonts w:ascii="宋体" w:hAnsi="宋体" w:cs="宋体"/>
                <w:color w:val="000000"/>
                <w:sz w:val="24"/>
              </w:rPr>
            </w:pPr>
            <w:r>
              <w:rPr>
                <w:rFonts w:hint="eastAsia" w:ascii="宋体" w:hAnsi="宋体" w:cs="宋体"/>
                <w:color w:val="000000"/>
                <w:sz w:val="24"/>
              </w:rPr>
              <w:t>A.施工方案与技术措施科学合理，适用性强，思路清晰，内容全面，能够根据实际情况制订，满足采购人的需要，考虑问题周全，实施过程务实，各项指标均能完成；</w:t>
            </w:r>
            <w:r>
              <w:rPr>
                <w:rFonts w:hint="eastAsia" w:ascii="宋体" w:hAnsi="宋体" w:cs="宋体"/>
                <w:color w:val="000000"/>
                <w:sz w:val="24"/>
                <w:lang w:val="en-US" w:eastAsia="zh-CN"/>
              </w:rPr>
              <w:t>6</w:t>
            </w:r>
            <w:r>
              <w:rPr>
                <w:rFonts w:hint="eastAsia" w:ascii="宋体" w:hAnsi="宋体" w:cs="宋体"/>
                <w:color w:val="000000"/>
                <w:sz w:val="24"/>
              </w:rPr>
              <w:t>.1-</w:t>
            </w:r>
            <w:r>
              <w:rPr>
                <w:rFonts w:hint="eastAsia" w:ascii="宋体" w:hAnsi="宋体" w:cs="宋体"/>
                <w:color w:val="000000"/>
                <w:sz w:val="24"/>
                <w:lang w:val="en-US" w:eastAsia="zh-CN"/>
              </w:rPr>
              <w:t>8</w:t>
            </w:r>
            <w:r>
              <w:rPr>
                <w:rFonts w:hint="eastAsia" w:ascii="宋体" w:hAnsi="宋体" w:cs="宋体"/>
                <w:color w:val="000000"/>
                <w:sz w:val="24"/>
              </w:rPr>
              <w:t>分</w:t>
            </w:r>
          </w:p>
          <w:p>
            <w:pPr>
              <w:spacing w:line="440" w:lineRule="exact"/>
              <w:rPr>
                <w:rFonts w:ascii="宋体" w:hAnsi="宋体" w:cs="宋体"/>
                <w:color w:val="000000"/>
                <w:sz w:val="24"/>
              </w:rPr>
            </w:pPr>
            <w:r>
              <w:rPr>
                <w:rFonts w:hint="eastAsia" w:ascii="宋体" w:hAnsi="宋体" w:cs="宋体"/>
                <w:color w:val="000000"/>
                <w:sz w:val="24"/>
              </w:rPr>
              <w:t>B.施工方案与技术措施基本能够满足采购需要，操作性不强；2.1-</w:t>
            </w:r>
            <w:r>
              <w:rPr>
                <w:rFonts w:hint="eastAsia" w:ascii="宋体" w:hAnsi="宋体" w:cs="宋体"/>
                <w:color w:val="000000"/>
                <w:sz w:val="24"/>
                <w:lang w:val="en-US" w:eastAsia="zh-CN"/>
              </w:rPr>
              <w:t>6</w:t>
            </w:r>
            <w:r>
              <w:rPr>
                <w:rFonts w:hint="eastAsia" w:ascii="宋体" w:hAnsi="宋体" w:cs="宋体"/>
                <w:color w:val="000000"/>
                <w:sz w:val="24"/>
              </w:rPr>
              <w:t>分</w:t>
            </w:r>
          </w:p>
          <w:p>
            <w:pPr>
              <w:spacing w:line="440" w:lineRule="exact"/>
              <w:rPr>
                <w:rFonts w:ascii="宋体" w:hAnsi="宋体" w:cs="宋体"/>
                <w:color w:val="000000"/>
                <w:sz w:val="24"/>
              </w:rPr>
            </w:pPr>
            <w:r>
              <w:rPr>
                <w:rFonts w:hint="eastAsia" w:ascii="宋体" w:hAnsi="宋体" w:cs="宋体"/>
                <w:color w:val="000000"/>
                <w:sz w:val="24"/>
              </w:rPr>
              <w:t>C.施工方案与技术措施不合理；0.1-2分</w:t>
            </w:r>
          </w:p>
          <w:p>
            <w:pPr>
              <w:spacing w:line="440" w:lineRule="exact"/>
              <w:rPr>
                <w:rFonts w:ascii="宋体" w:hAnsi="宋体" w:cs="宋体"/>
                <w:color w:val="000000"/>
                <w:sz w:val="24"/>
              </w:rPr>
            </w:pPr>
            <w:r>
              <w:rPr>
                <w:rFonts w:hint="eastAsia" w:ascii="宋体" w:hAnsi="宋体" w:cs="宋体"/>
                <w:color w:val="000000"/>
                <w:sz w:val="24"/>
              </w:rPr>
              <w:t>D.不提供者得0分</w:t>
            </w:r>
          </w:p>
        </w:tc>
        <w:tc>
          <w:tcPr>
            <w:tcW w:w="795" w:type="dxa"/>
            <w:vMerge w:val="restart"/>
            <w:noWrap w:val="0"/>
            <w:vAlign w:val="center"/>
          </w:tcPr>
          <w:p>
            <w:pPr>
              <w:widowControl/>
              <w:spacing w:line="440" w:lineRule="exact"/>
              <w:rPr>
                <w:rFonts w:ascii="宋体" w:hAnsi="宋体" w:cs="宋体"/>
                <w:color w:val="000000"/>
                <w:sz w:val="24"/>
              </w:rPr>
            </w:pPr>
            <w:r>
              <w:rPr>
                <w:rFonts w:hint="eastAsia" w:ascii="宋体" w:hAnsi="宋体" w:cs="宋体"/>
                <w:color w:val="000000"/>
                <w:sz w:val="24"/>
                <w:lang w:val="en-US" w:eastAsia="zh-CN"/>
              </w:rPr>
              <w:t>40</w:t>
            </w:r>
            <w:r>
              <w:rPr>
                <w:rFonts w:hint="eastAsia" w:ascii="宋体" w:hAnsi="宋体" w:cs="宋体"/>
                <w:color w:val="000000"/>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85" w:type="dxa"/>
            <w:vMerge w:val="continue"/>
            <w:noWrap w:val="0"/>
            <w:vAlign w:val="center"/>
          </w:tcPr>
          <w:p>
            <w:pPr>
              <w:widowControl/>
              <w:spacing w:line="440" w:lineRule="exact"/>
              <w:rPr>
                <w:rFonts w:ascii="宋体" w:hAnsi="宋体" w:cs="宋体"/>
                <w:color w:val="000000"/>
                <w:sz w:val="24"/>
              </w:rPr>
            </w:pPr>
          </w:p>
        </w:tc>
        <w:tc>
          <w:tcPr>
            <w:tcW w:w="1491" w:type="dxa"/>
            <w:vMerge w:val="continue"/>
            <w:noWrap w:val="0"/>
            <w:vAlign w:val="center"/>
          </w:tcPr>
          <w:p>
            <w:pPr>
              <w:widowControl/>
              <w:spacing w:line="440" w:lineRule="exact"/>
              <w:rPr>
                <w:rFonts w:ascii="宋体" w:hAnsi="宋体" w:cs="宋体"/>
                <w:color w:val="000000"/>
                <w:sz w:val="24"/>
              </w:rPr>
            </w:pPr>
          </w:p>
        </w:tc>
        <w:tc>
          <w:tcPr>
            <w:tcW w:w="1206" w:type="dxa"/>
            <w:noWrap w:val="0"/>
            <w:vAlign w:val="center"/>
          </w:tcPr>
          <w:p>
            <w:pPr>
              <w:rPr>
                <w:rFonts w:ascii="宋体" w:hAnsi="宋体" w:cs="宋体"/>
                <w:color w:val="000000"/>
                <w:sz w:val="24"/>
              </w:rPr>
            </w:pPr>
            <w:r>
              <w:rPr>
                <w:rFonts w:hint="eastAsia" w:ascii="宋体" w:hAnsi="宋体" w:cs="宋体"/>
                <w:color w:val="000000"/>
                <w:sz w:val="24"/>
              </w:rPr>
              <w:t>质量保证体系与技术措施（</w:t>
            </w:r>
            <w:r>
              <w:rPr>
                <w:rFonts w:hint="eastAsia" w:ascii="宋体" w:hAnsi="宋体" w:cs="宋体"/>
                <w:color w:val="000000"/>
                <w:sz w:val="24"/>
                <w:lang w:val="en-US" w:eastAsia="zh-CN"/>
              </w:rPr>
              <w:t>8</w:t>
            </w:r>
            <w:r>
              <w:rPr>
                <w:rFonts w:hint="eastAsia" w:ascii="宋体" w:hAnsi="宋体" w:cs="宋体"/>
                <w:color w:val="000000"/>
                <w:sz w:val="24"/>
              </w:rPr>
              <w:t>分）</w:t>
            </w:r>
          </w:p>
        </w:tc>
        <w:tc>
          <w:tcPr>
            <w:tcW w:w="5463" w:type="dxa"/>
            <w:noWrap w:val="0"/>
            <w:vAlign w:val="center"/>
          </w:tcPr>
          <w:p>
            <w:pPr>
              <w:spacing w:line="440" w:lineRule="exact"/>
              <w:rPr>
                <w:rFonts w:ascii="宋体" w:hAnsi="宋体" w:cs="宋体"/>
                <w:color w:val="000000"/>
                <w:sz w:val="24"/>
              </w:rPr>
            </w:pPr>
            <w:r>
              <w:rPr>
                <w:rFonts w:hint="eastAsia" w:ascii="宋体" w:hAnsi="宋体" w:cs="宋体"/>
                <w:color w:val="000000"/>
                <w:sz w:val="24"/>
              </w:rPr>
              <w:t>根据供应商提供的质量保证体系与技术措施进行比较赋分：</w:t>
            </w:r>
          </w:p>
          <w:p>
            <w:pPr>
              <w:spacing w:line="440" w:lineRule="exact"/>
              <w:rPr>
                <w:rFonts w:ascii="宋体" w:hAnsi="宋体" w:cs="宋体"/>
                <w:color w:val="000000"/>
                <w:sz w:val="24"/>
              </w:rPr>
            </w:pPr>
            <w:r>
              <w:rPr>
                <w:rFonts w:hint="eastAsia" w:ascii="宋体" w:hAnsi="宋体" w:cs="宋体"/>
                <w:color w:val="000000"/>
                <w:sz w:val="24"/>
              </w:rPr>
              <w:t>A.质量保证体系与技术措施科学合理，适用性强，思路清晰，内容全面，能够根据实际情况制订，满足采购人的需要，考虑问题周全，实施过程务实，各项指标均能完成；</w:t>
            </w:r>
            <w:r>
              <w:rPr>
                <w:rFonts w:hint="eastAsia" w:ascii="宋体" w:hAnsi="宋体" w:cs="宋体"/>
                <w:color w:val="000000"/>
                <w:sz w:val="24"/>
                <w:lang w:val="en-US" w:eastAsia="zh-CN"/>
              </w:rPr>
              <w:t>6</w:t>
            </w:r>
            <w:r>
              <w:rPr>
                <w:rFonts w:hint="eastAsia" w:ascii="宋体" w:hAnsi="宋体" w:cs="宋体"/>
                <w:color w:val="000000"/>
                <w:sz w:val="24"/>
              </w:rPr>
              <w:t>.1-</w:t>
            </w:r>
            <w:r>
              <w:rPr>
                <w:rFonts w:hint="eastAsia" w:ascii="宋体" w:hAnsi="宋体" w:cs="宋体"/>
                <w:color w:val="000000"/>
                <w:sz w:val="24"/>
                <w:lang w:val="en-US" w:eastAsia="zh-CN"/>
              </w:rPr>
              <w:t>8</w:t>
            </w:r>
            <w:r>
              <w:rPr>
                <w:rFonts w:hint="eastAsia" w:ascii="宋体" w:hAnsi="宋体" w:cs="宋体"/>
                <w:color w:val="000000"/>
                <w:sz w:val="24"/>
              </w:rPr>
              <w:t>分</w:t>
            </w:r>
          </w:p>
          <w:p>
            <w:pPr>
              <w:spacing w:line="440" w:lineRule="exact"/>
              <w:rPr>
                <w:rFonts w:ascii="宋体" w:hAnsi="宋体" w:cs="宋体"/>
                <w:color w:val="000000"/>
                <w:sz w:val="24"/>
              </w:rPr>
            </w:pPr>
            <w:r>
              <w:rPr>
                <w:rFonts w:hint="eastAsia" w:ascii="宋体" w:hAnsi="宋体" w:cs="宋体"/>
                <w:color w:val="000000"/>
                <w:sz w:val="24"/>
              </w:rPr>
              <w:t>B.质量保证体系与技术措施基本能够满足采购需要，操作性不强；2.1-</w:t>
            </w:r>
            <w:r>
              <w:rPr>
                <w:rFonts w:hint="eastAsia" w:ascii="宋体" w:hAnsi="宋体" w:cs="宋体"/>
                <w:color w:val="000000"/>
                <w:sz w:val="24"/>
                <w:lang w:val="en-US" w:eastAsia="zh-CN"/>
              </w:rPr>
              <w:t>6</w:t>
            </w:r>
            <w:r>
              <w:rPr>
                <w:rFonts w:hint="eastAsia" w:ascii="宋体" w:hAnsi="宋体" w:cs="宋体"/>
                <w:color w:val="000000"/>
                <w:sz w:val="24"/>
              </w:rPr>
              <w:t>分</w:t>
            </w:r>
          </w:p>
          <w:p>
            <w:pPr>
              <w:spacing w:line="440" w:lineRule="exact"/>
              <w:rPr>
                <w:rFonts w:ascii="宋体" w:hAnsi="宋体" w:cs="宋体"/>
                <w:color w:val="000000"/>
                <w:sz w:val="24"/>
              </w:rPr>
            </w:pPr>
            <w:r>
              <w:rPr>
                <w:rFonts w:hint="eastAsia" w:ascii="宋体" w:hAnsi="宋体" w:cs="宋体"/>
                <w:color w:val="000000"/>
                <w:sz w:val="24"/>
              </w:rPr>
              <w:t>C.质量保证体系与技术措施不合理；0.1-2分</w:t>
            </w:r>
          </w:p>
          <w:p>
            <w:pPr>
              <w:spacing w:line="440" w:lineRule="exact"/>
              <w:rPr>
                <w:rFonts w:ascii="宋体" w:hAnsi="宋体" w:cs="宋体"/>
                <w:color w:val="000000"/>
                <w:sz w:val="24"/>
              </w:rPr>
            </w:pPr>
            <w:r>
              <w:rPr>
                <w:rFonts w:hint="eastAsia" w:ascii="宋体" w:hAnsi="宋体" w:cs="宋体"/>
                <w:color w:val="000000"/>
                <w:sz w:val="24"/>
              </w:rPr>
              <w:t>D.不提供者得0分</w:t>
            </w:r>
          </w:p>
        </w:tc>
        <w:tc>
          <w:tcPr>
            <w:tcW w:w="795" w:type="dxa"/>
            <w:vMerge w:val="continue"/>
            <w:noWrap w:val="0"/>
            <w:vAlign w:val="center"/>
          </w:tcPr>
          <w:p>
            <w:pPr>
              <w:widowControl/>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5" w:hRule="atLeast"/>
          <w:jc w:val="center"/>
        </w:trPr>
        <w:tc>
          <w:tcPr>
            <w:tcW w:w="585" w:type="dxa"/>
            <w:vMerge w:val="continue"/>
            <w:noWrap w:val="0"/>
            <w:vAlign w:val="center"/>
          </w:tcPr>
          <w:p>
            <w:pPr>
              <w:widowControl/>
              <w:spacing w:line="440" w:lineRule="exact"/>
              <w:rPr>
                <w:rFonts w:ascii="宋体" w:hAnsi="宋体" w:cs="宋体"/>
                <w:color w:val="000000"/>
                <w:sz w:val="24"/>
              </w:rPr>
            </w:pPr>
          </w:p>
        </w:tc>
        <w:tc>
          <w:tcPr>
            <w:tcW w:w="1491" w:type="dxa"/>
            <w:vMerge w:val="continue"/>
            <w:noWrap w:val="0"/>
            <w:vAlign w:val="center"/>
          </w:tcPr>
          <w:p>
            <w:pPr>
              <w:widowControl/>
              <w:spacing w:line="440" w:lineRule="exact"/>
              <w:rPr>
                <w:rFonts w:ascii="宋体" w:hAnsi="宋体" w:cs="宋体"/>
                <w:color w:val="000000"/>
                <w:sz w:val="24"/>
              </w:rPr>
            </w:pPr>
          </w:p>
        </w:tc>
        <w:tc>
          <w:tcPr>
            <w:tcW w:w="1206" w:type="dxa"/>
            <w:noWrap w:val="0"/>
            <w:vAlign w:val="center"/>
          </w:tcPr>
          <w:p>
            <w:pPr>
              <w:rPr>
                <w:rFonts w:ascii="宋体" w:hAnsi="宋体" w:cs="宋体"/>
                <w:color w:val="000000"/>
                <w:sz w:val="24"/>
              </w:rPr>
            </w:pPr>
            <w:r>
              <w:rPr>
                <w:rFonts w:hint="eastAsia" w:ascii="宋体" w:hAnsi="宋体" w:cs="宋体"/>
                <w:color w:val="000000"/>
                <w:sz w:val="24"/>
              </w:rPr>
              <w:t>安全管理体系与技术措施（</w:t>
            </w:r>
            <w:r>
              <w:rPr>
                <w:rFonts w:hint="eastAsia" w:ascii="宋体" w:hAnsi="宋体" w:cs="宋体"/>
                <w:color w:val="000000"/>
                <w:sz w:val="24"/>
                <w:lang w:val="en-US" w:eastAsia="zh-CN"/>
              </w:rPr>
              <w:t>8</w:t>
            </w:r>
            <w:r>
              <w:rPr>
                <w:rFonts w:hint="eastAsia" w:ascii="宋体" w:hAnsi="宋体" w:cs="宋体"/>
                <w:color w:val="000000"/>
                <w:sz w:val="24"/>
              </w:rPr>
              <w:t>分）</w:t>
            </w:r>
          </w:p>
        </w:tc>
        <w:tc>
          <w:tcPr>
            <w:tcW w:w="5463" w:type="dxa"/>
            <w:noWrap w:val="0"/>
            <w:vAlign w:val="center"/>
          </w:tcPr>
          <w:p>
            <w:pPr>
              <w:spacing w:line="440" w:lineRule="exact"/>
              <w:rPr>
                <w:rFonts w:ascii="宋体" w:hAnsi="宋体" w:cs="宋体"/>
                <w:color w:val="000000"/>
                <w:sz w:val="24"/>
              </w:rPr>
            </w:pPr>
            <w:r>
              <w:rPr>
                <w:rFonts w:hint="eastAsia" w:ascii="宋体" w:hAnsi="宋体" w:cs="宋体"/>
                <w:color w:val="000000"/>
                <w:sz w:val="24"/>
              </w:rPr>
              <w:t>根据供应商提供的安全管理体系与技术措施进行比较赋分：</w:t>
            </w:r>
          </w:p>
          <w:p>
            <w:pPr>
              <w:spacing w:line="440" w:lineRule="exact"/>
              <w:rPr>
                <w:rFonts w:ascii="宋体" w:hAnsi="宋体" w:cs="宋体"/>
                <w:color w:val="000000"/>
                <w:sz w:val="24"/>
              </w:rPr>
            </w:pPr>
            <w:r>
              <w:rPr>
                <w:rFonts w:hint="eastAsia" w:ascii="宋体" w:hAnsi="宋体" w:cs="宋体"/>
                <w:color w:val="000000"/>
                <w:sz w:val="24"/>
              </w:rPr>
              <w:t>A.安全管理体系与技术措施科学合理，适用性强，思路清晰，内容全面，能够根据实际情况制订，满足采购人的需要，考虑问题周全，实施过程务实，各项指标均能完成；</w:t>
            </w:r>
            <w:r>
              <w:rPr>
                <w:rFonts w:hint="eastAsia" w:ascii="宋体" w:hAnsi="宋体" w:cs="宋体"/>
                <w:color w:val="000000"/>
                <w:sz w:val="24"/>
                <w:lang w:val="en-US" w:eastAsia="zh-CN"/>
              </w:rPr>
              <w:t>6</w:t>
            </w:r>
            <w:r>
              <w:rPr>
                <w:rFonts w:hint="eastAsia" w:ascii="宋体" w:hAnsi="宋体" w:cs="宋体"/>
                <w:color w:val="000000"/>
                <w:sz w:val="24"/>
              </w:rPr>
              <w:t>.1-</w:t>
            </w:r>
            <w:r>
              <w:rPr>
                <w:rFonts w:hint="eastAsia" w:ascii="宋体" w:hAnsi="宋体" w:cs="宋体"/>
                <w:color w:val="000000"/>
                <w:sz w:val="24"/>
                <w:lang w:val="en-US" w:eastAsia="zh-CN"/>
              </w:rPr>
              <w:t>8</w:t>
            </w:r>
            <w:r>
              <w:rPr>
                <w:rFonts w:hint="eastAsia" w:ascii="宋体" w:hAnsi="宋体" w:cs="宋体"/>
                <w:color w:val="000000"/>
                <w:sz w:val="24"/>
              </w:rPr>
              <w:t>分</w:t>
            </w:r>
          </w:p>
          <w:p>
            <w:pPr>
              <w:spacing w:line="440" w:lineRule="exact"/>
              <w:rPr>
                <w:rFonts w:ascii="宋体" w:hAnsi="宋体" w:cs="宋体"/>
                <w:color w:val="000000"/>
                <w:sz w:val="24"/>
              </w:rPr>
            </w:pPr>
            <w:r>
              <w:rPr>
                <w:rFonts w:hint="eastAsia" w:ascii="宋体" w:hAnsi="宋体" w:cs="宋体"/>
                <w:color w:val="000000"/>
                <w:sz w:val="24"/>
              </w:rPr>
              <w:t>B.安全管理体系与技术措施基本能够满足采购需要，操作性不强；2.1-</w:t>
            </w:r>
            <w:r>
              <w:rPr>
                <w:rFonts w:hint="eastAsia" w:ascii="宋体" w:hAnsi="宋体" w:cs="宋体"/>
                <w:color w:val="000000"/>
                <w:sz w:val="24"/>
                <w:lang w:val="en-US" w:eastAsia="zh-CN"/>
              </w:rPr>
              <w:t>6</w:t>
            </w:r>
            <w:r>
              <w:rPr>
                <w:rFonts w:hint="eastAsia" w:ascii="宋体" w:hAnsi="宋体" w:cs="宋体"/>
                <w:color w:val="000000"/>
                <w:sz w:val="24"/>
              </w:rPr>
              <w:t>分</w:t>
            </w:r>
          </w:p>
          <w:p>
            <w:pPr>
              <w:spacing w:line="440" w:lineRule="exact"/>
              <w:rPr>
                <w:rFonts w:ascii="宋体" w:hAnsi="宋体" w:cs="宋体"/>
                <w:color w:val="000000"/>
                <w:sz w:val="24"/>
              </w:rPr>
            </w:pPr>
            <w:r>
              <w:rPr>
                <w:rFonts w:hint="eastAsia" w:ascii="宋体" w:hAnsi="宋体" w:cs="宋体"/>
                <w:color w:val="000000"/>
                <w:sz w:val="24"/>
              </w:rPr>
              <w:t>C.安全管理体系与技术措施不合理；0.1-2分</w:t>
            </w:r>
          </w:p>
          <w:p>
            <w:pPr>
              <w:spacing w:line="440" w:lineRule="exact"/>
              <w:rPr>
                <w:rFonts w:ascii="宋体" w:hAnsi="宋体" w:cs="宋体"/>
                <w:color w:val="000000"/>
                <w:sz w:val="24"/>
              </w:rPr>
            </w:pPr>
            <w:r>
              <w:rPr>
                <w:rFonts w:hint="eastAsia" w:ascii="宋体" w:hAnsi="宋体" w:cs="宋体"/>
                <w:color w:val="000000"/>
                <w:sz w:val="24"/>
              </w:rPr>
              <w:t>D.不提供者得0分</w:t>
            </w:r>
          </w:p>
        </w:tc>
        <w:tc>
          <w:tcPr>
            <w:tcW w:w="795" w:type="dxa"/>
            <w:vMerge w:val="continue"/>
            <w:noWrap w:val="0"/>
            <w:vAlign w:val="center"/>
          </w:tcPr>
          <w:p>
            <w:pPr>
              <w:widowControl/>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2" w:hRule="atLeast"/>
          <w:jc w:val="center"/>
        </w:trPr>
        <w:tc>
          <w:tcPr>
            <w:tcW w:w="585" w:type="dxa"/>
            <w:vMerge w:val="continue"/>
            <w:noWrap w:val="0"/>
            <w:vAlign w:val="center"/>
          </w:tcPr>
          <w:p>
            <w:pPr>
              <w:widowControl/>
              <w:spacing w:line="440" w:lineRule="exact"/>
              <w:rPr>
                <w:rFonts w:ascii="宋体" w:hAnsi="宋体" w:cs="宋体"/>
                <w:color w:val="000000"/>
                <w:sz w:val="24"/>
              </w:rPr>
            </w:pPr>
          </w:p>
        </w:tc>
        <w:tc>
          <w:tcPr>
            <w:tcW w:w="1491" w:type="dxa"/>
            <w:vMerge w:val="continue"/>
            <w:noWrap w:val="0"/>
            <w:vAlign w:val="center"/>
          </w:tcPr>
          <w:p>
            <w:pPr>
              <w:widowControl/>
              <w:spacing w:line="440" w:lineRule="exact"/>
              <w:rPr>
                <w:rFonts w:ascii="宋体" w:hAnsi="宋体" w:cs="宋体"/>
                <w:color w:val="000000"/>
                <w:sz w:val="24"/>
              </w:rPr>
            </w:pPr>
          </w:p>
        </w:tc>
        <w:tc>
          <w:tcPr>
            <w:tcW w:w="1206" w:type="dxa"/>
            <w:noWrap w:val="0"/>
            <w:vAlign w:val="center"/>
          </w:tcPr>
          <w:p>
            <w:pPr>
              <w:rPr>
                <w:rFonts w:ascii="宋体" w:hAnsi="宋体" w:cs="宋体"/>
                <w:color w:val="000000"/>
                <w:sz w:val="24"/>
              </w:rPr>
            </w:pPr>
            <w:r>
              <w:rPr>
                <w:rFonts w:hint="eastAsia" w:ascii="宋体" w:hAnsi="宋体" w:cs="宋体"/>
                <w:color w:val="000000"/>
                <w:spacing w:val="-10"/>
                <w:sz w:val="24"/>
              </w:rPr>
              <w:t>环境保护与文明施工</w:t>
            </w:r>
            <w:r>
              <w:rPr>
                <w:rFonts w:hint="eastAsia" w:ascii="宋体" w:hAnsi="宋体" w:cs="宋体"/>
                <w:color w:val="000000"/>
                <w:sz w:val="24"/>
              </w:rPr>
              <w:t>（</w:t>
            </w:r>
            <w:r>
              <w:rPr>
                <w:rFonts w:hint="eastAsia" w:ascii="宋体" w:hAnsi="宋体" w:cs="宋体"/>
                <w:color w:val="000000"/>
                <w:sz w:val="24"/>
                <w:lang w:val="en-US" w:eastAsia="zh-CN"/>
              </w:rPr>
              <w:t>8</w:t>
            </w:r>
            <w:r>
              <w:rPr>
                <w:rFonts w:hint="eastAsia" w:ascii="宋体" w:hAnsi="宋体" w:cs="宋体"/>
                <w:color w:val="000000"/>
                <w:sz w:val="24"/>
              </w:rPr>
              <w:t>分）</w:t>
            </w:r>
          </w:p>
        </w:tc>
        <w:tc>
          <w:tcPr>
            <w:tcW w:w="5463" w:type="dxa"/>
            <w:noWrap w:val="0"/>
            <w:vAlign w:val="center"/>
          </w:tcPr>
          <w:p>
            <w:pPr>
              <w:spacing w:line="440" w:lineRule="exact"/>
              <w:rPr>
                <w:rFonts w:ascii="宋体" w:hAnsi="宋体" w:cs="宋体"/>
                <w:color w:val="000000"/>
                <w:sz w:val="24"/>
              </w:rPr>
            </w:pPr>
            <w:r>
              <w:rPr>
                <w:rFonts w:hint="eastAsia" w:ascii="宋体" w:hAnsi="宋体" w:cs="宋体"/>
                <w:color w:val="000000"/>
                <w:sz w:val="24"/>
              </w:rPr>
              <w:t>根据供应商提供的环境保护与文明施工进行比较赋分：</w:t>
            </w:r>
          </w:p>
          <w:p>
            <w:pPr>
              <w:spacing w:line="440" w:lineRule="exact"/>
              <w:rPr>
                <w:rFonts w:ascii="宋体" w:hAnsi="宋体" w:cs="宋体"/>
                <w:color w:val="000000"/>
                <w:sz w:val="24"/>
              </w:rPr>
            </w:pPr>
            <w:r>
              <w:rPr>
                <w:rFonts w:hint="eastAsia" w:ascii="宋体" w:hAnsi="宋体" w:cs="宋体"/>
                <w:color w:val="000000"/>
                <w:sz w:val="24"/>
              </w:rPr>
              <w:t>A.环境保护与文明施工科学合理，适用性强，思路清晰，内容全面，能够根据实际情况制订，满足采购人的需要，考虑问题周全，实施过程务实，各项指标均能完成；</w:t>
            </w:r>
            <w:r>
              <w:rPr>
                <w:rFonts w:hint="eastAsia" w:ascii="宋体" w:hAnsi="宋体" w:cs="宋体"/>
                <w:color w:val="000000"/>
                <w:sz w:val="24"/>
                <w:lang w:val="en-US" w:eastAsia="zh-CN"/>
              </w:rPr>
              <w:t>6</w:t>
            </w:r>
            <w:r>
              <w:rPr>
                <w:rFonts w:hint="eastAsia" w:ascii="宋体" w:hAnsi="宋体" w:cs="宋体"/>
                <w:color w:val="000000"/>
                <w:sz w:val="24"/>
              </w:rPr>
              <w:t>.1-</w:t>
            </w:r>
            <w:r>
              <w:rPr>
                <w:rFonts w:hint="eastAsia" w:ascii="宋体" w:hAnsi="宋体" w:cs="宋体"/>
                <w:color w:val="000000"/>
                <w:sz w:val="24"/>
                <w:lang w:val="en-US" w:eastAsia="zh-CN"/>
              </w:rPr>
              <w:t>8</w:t>
            </w:r>
            <w:r>
              <w:rPr>
                <w:rFonts w:hint="eastAsia" w:ascii="宋体" w:hAnsi="宋体" w:cs="宋体"/>
                <w:color w:val="000000"/>
                <w:sz w:val="24"/>
              </w:rPr>
              <w:t>分</w:t>
            </w:r>
          </w:p>
          <w:p>
            <w:pPr>
              <w:spacing w:line="440" w:lineRule="exact"/>
              <w:rPr>
                <w:rFonts w:ascii="宋体" w:hAnsi="宋体" w:cs="宋体"/>
                <w:color w:val="000000"/>
                <w:sz w:val="24"/>
              </w:rPr>
            </w:pPr>
            <w:r>
              <w:rPr>
                <w:rFonts w:hint="eastAsia" w:ascii="宋体" w:hAnsi="宋体" w:cs="宋体"/>
                <w:color w:val="000000"/>
                <w:sz w:val="24"/>
              </w:rPr>
              <w:t>B.环境保护与文明施工基本能够满足采购需要，操作性不强；2.1-</w:t>
            </w:r>
            <w:r>
              <w:rPr>
                <w:rFonts w:hint="eastAsia" w:ascii="宋体" w:hAnsi="宋体" w:cs="宋体"/>
                <w:color w:val="000000"/>
                <w:sz w:val="24"/>
                <w:lang w:val="en-US" w:eastAsia="zh-CN"/>
              </w:rPr>
              <w:t>6</w:t>
            </w:r>
            <w:r>
              <w:rPr>
                <w:rFonts w:hint="eastAsia" w:ascii="宋体" w:hAnsi="宋体" w:cs="宋体"/>
                <w:color w:val="000000"/>
                <w:sz w:val="24"/>
              </w:rPr>
              <w:t>分</w:t>
            </w:r>
          </w:p>
          <w:p>
            <w:pPr>
              <w:spacing w:line="440" w:lineRule="exact"/>
              <w:rPr>
                <w:rFonts w:ascii="宋体" w:hAnsi="宋体" w:cs="宋体"/>
                <w:color w:val="000000"/>
                <w:sz w:val="24"/>
              </w:rPr>
            </w:pPr>
            <w:r>
              <w:rPr>
                <w:rFonts w:hint="eastAsia" w:ascii="宋体" w:hAnsi="宋体" w:cs="宋体"/>
                <w:color w:val="000000"/>
                <w:sz w:val="24"/>
              </w:rPr>
              <w:t>C.环境保护与文明施工不合理；0.1-2分</w:t>
            </w:r>
          </w:p>
          <w:p>
            <w:pPr>
              <w:spacing w:line="440" w:lineRule="exact"/>
              <w:rPr>
                <w:rFonts w:ascii="宋体" w:hAnsi="宋体" w:cs="宋体"/>
                <w:color w:val="000000"/>
                <w:sz w:val="24"/>
              </w:rPr>
            </w:pPr>
            <w:r>
              <w:rPr>
                <w:rFonts w:hint="eastAsia" w:ascii="宋体" w:hAnsi="宋体" w:cs="宋体"/>
                <w:color w:val="000000"/>
                <w:sz w:val="24"/>
              </w:rPr>
              <w:t>D.不提供者得0分</w:t>
            </w:r>
          </w:p>
        </w:tc>
        <w:tc>
          <w:tcPr>
            <w:tcW w:w="795" w:type="dxa"/>
            <w:vMerge w:val="continue"/>
            <w:noWrap w:val="0"/>
            <w:vAlign w:val="center"/>
          </w:tcPr>
          <w:p>
            <w:pPr>
              <w:widowControl/>
              <w:spacing w:line="44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585" w:type="dxa"/>
            <w:vMerge w:val="continue"/>
            <w:noWrap w:val="0"/>
            <w:vAlign w:val="center"/>
          </w:tcPr>
          <w:p>
            <w:pPr>
              <w:widowControl/>
              <w:spacing w:line="440" w:lineRule="exact"/>
              <w:rPr>
                <w:rFonts w:ascii="宋体" w:hAnsi="宋体" w:cs="宋体"/>
                <w:color w:val="000000"/>
                <w:sz w:val="24"/>
              </w:rPr>
            </w:pPr>
          </w:p>
        </w:tc>
        <w:tc>
          <w:tcPr>
            <w:tcW w:w="1491" w:type="dxa"/>
            <w:vMerge w:val="continue"/>
            <w:noWrap w:val="0"/>
            <w:vAlign w:val="center"/>
          </w:tcPr>
          <w:p>
            <w:pPr>
              <w:widowControl/>
              <w:spacing w:line="440" w:lineRule="exact"/>
              <w:rPr>
                <w:rFonts w:ascii="宋体" w:hAnsi="宋体" w:cs="宋体"/>
                <w:color w:val="000000"/>
                <w:sz w:val="24"/>
              </w:rPr>
            </w:pPr>
          </w:p>
        </w:tc>
        <w:tc>
          <w:tcPr>
            <w:tcW w:w="1206" w:type="dxa"/>
            <w:noWrap w:val="0"/>
            <w:vAlign w:val="center"/>
          </w:tcPr>
          <w:p>
            <w:pPr>
              <w:rPr>
                <w:rFonts w:ascii="宋体" w:hAnsi="宋体" w:cs="宋体"/>
                <w:color w:val="000000"/>
                <w:sz w:val="24"/>
              </w:rPr>
            </w:pPr>
            <w:r>
              <w:rPr>
                <w:rFonts w:hint="eastAsia" w:ascii="宋体" w:hAnsi="宋体" w:cs="宋体"/>
                <w:color w:val="000000"/>
                <w:sz w:val="24"/>
              </w:rPr>
              <w:t>工期与施工进度计划（</w:t>
            </w:r>
            <w:r>
              <w:rPr>
                <w:rFonts w:hint="eastAsia" w:ascii="宋体" w:hAnsi="宋体" w:cs="宋体"/>
                <w:color w:val="000000"/>
                <w:sz w:val="24"/>
                <w:lang w:val="en-US" w:eastAsia="zh-CN"/>
              </w:rPr>
              <w:t>8</w:t>
            </w:r>
            <w:r>
              <w:rPr>
                <w:rFonts w:hint="eastAsia" w:ascii="宋体" w:hAnsi="宋体" w:cs="宋体"/>
                <w:color w:val="000000"/>
                <w:sz w:val="24"/>
              </w:rPr>
              <w:t>分）</w:t>
            </w:r>
          </w:p>
        </w:tc>
        <w:tc>
          <w:tcPr>
            <w:tcW w:w="5463" w:type="dxa"/>
            <w:noWrap w:val="0"/>
            <w:vAlign w:val="center"/>
          </w:tcPr>
          <w:p>
            <w:pPr>
              <w:spacing w:line="440" w:lineRule="exact"/>
              <w:rPr>
                <w:rFonts w:ascii="宋体" w:hAnsi="宋体" w:cs="宋体"/>
                <w:color w:val="000000"/>
                <w:sz w:val="24"/>
              </w:rPr>
            </w:pPr>
            <w:r>
              <w:rPr>
                <w:rFonts w:hint="eastAsia" w:ascii="宋体" w:hAnsi="宋体" w:cs="宋体"/>
                <w:color w:val="000000"/>
                <w:sz w:val="24"/>
              </w:rPr>
              <w:t>根据供应商提供的工期与施工进度计划进行比较赋分：</w:t>
            </w:r>
          </w:p>
          <w:p>
            <w:pPr>
              <w:spacing w:line="440" w:lineRule="exact"/>
              <w:rPr>
                <w:rFonts w:ascii="宋体" w:hAnsi="宋体" w:cs="宋体"/>
                <w:color w:val="000000"/>
                <w:sz w:val="24"/>
              </w:rPr>
            </w:pPr>
            <w:r>
              <w:rPr>
                <w:rFonts w:hint="eastAsia" w:ascii="宋体" w:hAnsi="宋体" w:cs="宋体"/>
                <w:color w:val="000000"/>
                <w:sz w:val="24"/>
              </w:rPr>
              <w:t>A.工期与施工进度计划科学合理，适用性强，思路清晰，内容全面，能够根据实际情况制订，满足采购人的需要，考虑问题周全，实施过程务实，各项指标均能完成；</w:t>
            </w:r>
            <w:r>
              <w:rPr>
                <w:rFonts w:hint="eastAsia" w:ascii="宋体" w:hAnsi="宋体" w:cs="宋体"/>
                <w:color w:val="000000"/>
                <w:sz w:val="24"/>
                <w:lang w:val="en-US" w:eastAsia="zh-CN"/>
              </w:rPr>
              <w:t>6</w:t>
            </w:r>
            <w:r>
              <w:rPr>
                <w:rFonts w:hint="eastAsia" w:ascii="宋体" w:hAnsi="宋体" w:cs="宋体"/>
                <w:color w:val="000000"/>
                <w:sz w:val="24"/>
              </w:rPr>
              <w:t>.1-</w:t>
            </w:r>
            <w:r>
              <w:rPr>
                <w:rFonts w:hint="eastAsia" w:ascii="宋体" w:hAnsi="宋体" w:cs="宋体"/>
                <w:color w:val="000000"/>
                <w:sz w:val="24"/>
                <w:lang w:val="en-US" w:eastAsia="zh-CN"/>
              </w:rPr>
              <w:t>8</w:t>
            </w:r>
            <w:r>
              <w:rPr>
                <w:rFonts w:hint="eastAsia" w:ascii="宋体" w:hAnsi="宋体" w:cs="宋体"/>
                <w:color w:val="000000"/>
                <w:sz w:val="24"/>
              </w:rPr>
              <w:t>分</w:t>
            </w:r>
          </w:p>
          <w:p>
            <w:pPr>
              <w:spacing w:line="440" w:lineRule="exact"/>
              <w:rPr>
                <w:rFonts w:ascii="宋体" w:hAnsi="宋体" w:cs="宋体"/>
                <w:color w:val="000000"/>
                <w:sz w:val="24"/>
              </w:rPr>
            </w:pPr>
            <w:r>
              <w:rPr>
                <w:rFonts w:hint="eastAsia" w:ascii="宋体" w:hAnsi="宋体" w:cs="宋体"/>
                <w:color w:val="000000"/>
                <w:sz w:val="24"/>
              </w:rPr>
              <w:t>B.工期与施工进度计划基本能够满足采购需要，操作性不强；2.1-</w:t>
            </w:r>
            <w:r>
              <w:rPr>
                <w:rFonts w:hint="eastAsia" w:ascii="宋体" w:hAnsi="宋体" w:cs="宋体"/>
                <w:color w:val="000000"/>
                <w:sz w:val="24"/>
                <w:lang w:val="en-US" w:eastAsia="zh-CN"/>
              </w:rPr>
              <w:t>6</w:t>
            </w:r>
            <w:r>
              <w:rPr>
                <w:rFonts w:hint="eastAsia" w:ascii="宋体" w:hAnsi="宋体" w:cs="宋体"/>
                <w:color w:val="000000"/>
                <w:sz w:val="24"/>
              </w:rPr>
              <w:t>分</w:t>
            </w:r>
          </w:p>
          <w:p>
            <w:pPr>
              <w:spacing w:line="440" w:lineRule="exact"/>
              <w:rPr>
                <w:rFonts w:ascii="宋体" w:hAnsi="宋体" w:cs="宋体"/>
                <w:color w:val="000000"/>
                <w:sz w:val="24"/>
              </w:rPr>
            </w:pPr>
            <w:r>
              <w:rPr>
                <w:rFonts w:hint="eastAsia" w:ascii="宋体" w:hAnsi="宋体" w:cs="宋体"/>
                <w:color w:val="000000"/>
                <w:sz w:val="24"/>
              </w:rPr>
              <w:t>C.工期与施工进度计划不合理；0.1-2分</w:t>
            </w:r>
          </w:p>
          <w:p>
            <w:pPr>
              <w:spacing w:line="440" w:lineRule="exact"/>
              <w:rPr>
                <w:rFonts w:ascii="宋体" w:hAnsi="宋体" w:cs="宋体"/>
                <w:color w:val="000000"/>
                <w:sz w:val="24"/>
              </w:rPr>
            </w:pPr>
            <w:r>
              <w:rPr>
                <w:rFonts w:hint="eastAsia" w:ascii="宋体" w:hAnsi="宋体" w:cs="宋体"/>
                <w:color w:val="000000"/>
                <w:sz w:val="24"/>
              </w:rPr>
              <w:t>D.不提供者得0分</w:t>
            </w:r>
          </w:p>
        </w:tc>
        <w:tc>
          <w:tcPr>
            <w:tcW w:w="795" w:type="dxa"/>
            <w:vMerge w:val="continue"/>
            <w:noWrap w:val="0"/>
            <w:vAlign w:val="center"/>
          </w:tcPr>
          <w:p>
            <w:pPr>
              <w:widowControl/>
              <w:spacing w:line="440" w:lineRule="exact"/>
              <w:rPr>
                <w:rFonts w:ascii="宋体" w:hAnsi="宋体" w:cs="宋体"/>
                <w:color w:val="000000"/>
                <w:sz w:val="24"/>
              </w:rPr>
            </w:pPr>
          </w:p>
        </w:tc>
      </w:tr>
    </w:tbl>
    <w:p>
      <w:pPr>
        <w:rPr>
          <w:rFonts w:cs="宋体"/>
          <w:b/>
          <w:bCs/>
          <w:color w:val="000000"/>
          <w:sz w:val="48"/>
          <w:szCs w:val="48"/>
          <w:highlight w:val="none"/>
        </w:rPr>
      </w:pPr>
    </w:p>
    <w:p>
      <w:pPr>
        <w:jc w:val="both"/>
        <w:outlineLvl w:val="0"/>
        <w:rPr>
          <w:rFonts w:hint="eastAsia"/>
          <w:b/>
          <w:bCs/>
          <w:color w:val="auto"/>
          <w:sz w:val="48"/>
          <w:szCs w:val="48"/>
          <w:highlight w:val="none"/>
        </w:rPr>
      </w:pPr>
    </w:p>
    <w:p>
      <w:pPr>
        <w:jc w:val="center"/>
        <w:outlineLvl w:val="0"/>
        <w:rPr>
          <w:rFonts w:hint="eastAsia" w:eastAsia="宋体"/>
          <w:b/>
          <w:bCs/>
          <w:color w:val="auto"/>
          <w:sz w:val="48"/>
          <w:szCs w:val="48"/>
          <w:highlight w:val="none"/>
          <w:lang w:eastAsia="zh-CN"/>
        </w:rPr>
      </w:pPr>
      <w:r>
        <w:rPr>
          <w:rFonts w:hint="eastAsia"/>
          <w:b/>
          <w:bCs/>
          <w:color w:val="auto"/>
          <w:sz w:val="48"/>
          <w:szCs w:val="48"/>
          <w:highlight w:val="none"/>
        </w:rPr>
        <w:br w:type="page"/>
      </w:r>
      <w:bookmarkStart w:id="1832" w:name="_Toc17164"/>
      <w:bookmarkStart w:id="1833" w:name="_Toc2417"/>
      <w:bookmarkStart w:id="1834" w:name="_Toc72"/>
      <w:r>
        <w:rPr>
          <w:rFonts w:hint="eastAsia"/>
          <w:b/>
          <w:bCs/>
          <w:color w:val="auto"/>
          <w:sz w:val="48"/>
          <w:szCs w:val="48"/>
          <w:highlight w:val="none"/>
        </w:rPr>
        <w:t>第六部分响应文件格式</w:t>
      </w:r>
      <w:bookmarkEnd w:id="1793"/>
      <w:bookmarkEnd w:id="1794"/>
      <w:bookmarkEnd w:id="1795"/>
      <w:bookmarkEnd w:id="1823"/>
      <w:bookmarkEnd w:id="1832"/>
      <w:r>
        <w:rPr>
          <w:rFonts w:hint="eastAsia"/>
          <w:b/>
          <w:bCs/>
          <w:color w:val="auto"/>
          <w:sz w:val="48"/>
          <w:szCs w:val="48"/>
          <w:highlight w:val="none"/>
          <w:lang w:eastAsia="zh-CN"/>
        </w:rPr>
        <w:t>（</w:t>
      </w:r>
      <w:r>
        <w:rPr>
          <w:rFonts w:hint="eastAsia"/>
          <w:b/>
          <w:bCs/>
          <w:color w:val="auto"/>
          <w:sz w:val="48"/>
          <w:szCs w:val="48"/>
          <w:highlight w:val="none"/>
          <w:lang w:val="en-US" w:eastAsia="zh-CN"/>
        </w:rPr>
        <w:t>A包</w:t>
      </w:r>
      <w:r>
        <w:rPr>
          <w:rFonts w:hint="eastAsia"/>
          <w:b/>
          <w:bCs/>
          <w:color w:val="auto"/>
          <w:sz w:val="48"/>
          <w:szCs w:val="48"/>
          <w:highlight w:val="none"/>
          <w:lang w:eastAsia="zh-CN"/>
        </w:rPr>
        <w:t>）</w:t>
      </w:r>
      <w:bookmarkEnd w:id="1833"/>
      <w:bookmarkEnd w:id="1834"/>
    </w:p>
    <w:p>
      <w:pPr>
        <w:rPr>
          <w:b/>
          <w:bCs/>
          <w:color w:val="auto"/>
          <w:highlight w:val="none"/>
        </w:rPr>
      </w:pPr>
    </w:p>
    <w:p>
      <w:pPr>
        <w:rPr>
          <w:b/>
          <w:color w:val="auto"/>
          <w:highlight w:val="none"/>
        </w:rPr>
      </w:pPr>
    </w:p>
    <w:p>
      <w:pPr>
        <w:pStyle w:val="12"/>
        <w:rPr>
          <w:b/>
          <w:color w:val="auto"/>
          <w:sz w:val="35"/>
          <w:highlight w:val="none"/>
        </w:rPr>
      </w:pPr>
    </w:p>
    <w:p>
      <w:pPr>
        <w:spacing w:before="1"/>
        <w:ind w:left="2" w:right="89"/>
        <w:jc w:val="center"/>
        <w:rPr>
          <w:color w:val="auto"/>
          <w:sz w:val="28"/>
          <w:highlight w:val="none"/>
        </w:rPr>
      </w:pPr>
      <w:r>
        <w:rPr>
          <w:color w:val="auto"/>
          <w:sz w:val="28"/>
          <w:highlight w:val="none"/>
          <w:u w:val="single"/>
        </w:rPr>
        <w:t>以下封面仅供参考</w:t>
      </w:r>
    </w:p>
    <w:p>
      <w:pPr>
        <w:pStyle w:val="12"/>
        <w:rPr>
          <w:color w:val="auto"/>
          <w:sz w:val="20"/>
          <w:highlight w:val="none"/>
        </w:rPr>
      </w:pPr>
    </w:p>
    <w:p>
      <w:pPr>
        <w:spacing w:before="193"/>
        <w:ind w:left="6188"/>
        <w:rPr>
          <w:b/>
          <w:color w:val="auto"/>
          <w:sz w:val="48"/>
          <w:highlight w:val="none"/>
        </w:rPr>
      </w:pPr>
      <w:r>
        <w:rPr>
          <w:b/>
          <w:color w:val="auto"/>
          <w:sz w:val="48"/>
          <w:highlight w:val="none"/>
        </w:rPr>
        <w:t>（正本</w:t>
      </w:r>
      <w:r>
        <w:rPr>
          <w:rFonts w:ascii="Times New Roman" w:eastAsia="Times New Roman"/>
          <w:b/>
          <w:color w:val="auto"/>
          <w:sz w:val="48"/>
          <w:highlight w:val="none"/>
        </w:rPr>
        <w:t>/</w:t>
      </w:r>
      <w:r>
        <w:rPr>
          <w:b/>
          <w:color w:val="auto"/>
          <w:sz w:val="48"/>
          <w:highlight w:val="none"/>
        </w:rPr>
        <w:t>副本）</w:t>
      </w:r>
    </w:p>
    <w:p>
      <w:pPr>
        <w:pStyle w:val="12"/>
        <w:rPr>
          <w:b/>
          <w:color w:val="auto"/>
          <w:sz w:val="52"/>
          <w:highlight w:val="none"/>
        </w:rPr>
      </w:pPr>
    </w:p>
    <w:p>
      <w:pPr>
        <w:pStyle w:val="12"/>
        <w:spacing w:before="8"/>
        <w:rPr>
          <w:b/>
          <w:color w:val="auto"/>
          <w:sz w:val="48"/>
          <w:highlight w:val="none"/>
        </w:rPr>
      </w:pPr>
    </w:p>
    <w:p>
      <w:pPr>
        <w:ind w:left="2070"/>
        <w:rPr>
          <w:rFonts w:hint="eastAsia" w:eastAsia="宋体"/>
          <w:b/>
          <w:color w:val="auto"/>
          <w:sz w:val="116"/>
          <w:highlight w:val="none"/>
          <w:lang w:eastAsia="zh-CN"/>
        </w:rPr>
      </w:pPr>
      <w:r>
        <w:rPr>
          <w:b/>
          <w:color w:val="auto"/>
          <w:spacing w:val="183"/>
          <w:sz w:val="116"/>
          <w:highlight w:val="none"/>
        </w:rPr>
        <w:t>响应文件</w:t>
      </w:r>
    </w:p>
    <w:p>
      <w:pPr>
        <w:pStyle w:val="12"/>
        <w:spacing w:before="5"/>
        <w:rPr>
          <w:b/>
          <w:color w:val="auto"/>
          <w:sz w:val="97"/>
          <w:highlight w:val="none"/>
        </w:rPr>
      </w:pPr>
    </w:p>
    <w:p>
      <w:pPr>
        <w:ind w:left="1568"/>
        <w:rPr>
          <w:rFonts w:hint="eastAsia"/>
          <w:b/>
          <w:color w:val="auto"/>
          <w:sz w:val="30"/>
          <w:highlight w:val="none"/>
        </w:rPr>
      </w:pPr>
      <w:r>
        <w:rPr>
          <w:b/>
          <w:color w:val="auto"/>
          <w:sz w:val="30"/>
          <w:highlight w:val="none"/>
        </w:rPr>
        <w:t>采 购 人：</w:t>
      </w:r>
      <w:r>
        <w:rPr>
          <w:rFonts w:hint="eastAsia"/>
          <w:b/>
          <w:color w:val="auto"/>
          <w:sz w:val="30"/>
          <w:highlight w:val="none"/>
          <w:lang w:val="en-US"/>
        </w:rPr>
        <w:t xml:space="preserve"> </w:t>
      </w:r>
    </w:p>
    <w:p>
      <w:pPr>
        <w:pStyle w:val="12"/>
        <w:spacing w:before="12"/>
        <w:rPr>
          <w:b/>
          <w:color w:val="auto"/>
          <w:sz w:val="30"/>
          <w:highlight w:val="none"/>
        </w:rPr>
      </w:pPr>
    </w:p>
    <w:p>
      <w:pPr>
        <w:spacing w:line="388" w:lineRule="auto"/>
        <w:ind w:left="2879" w:right="369" w:hanging="1311"/>
        <w:rPr>
          <w:rFonts w:hint="eastAsia" w:eastAsia="宋体"/>
          <w:b/>
          <w:color w:val="auto"/>
          <w:sz w:val="30"/>
          <w:highlight w:val="none"/>
          <w:lang w:eastAsia="zh-CN"/>
        </w:rPr>
      </w:pPr>
      <w:r>
        <w:rPr>
          <w:b/>
          <w:color w:val="auto"/>
          <w:spacing w:val="-18"/>
          <w:sz w:val="30"/>
          <w:highlight w:val="none"/>
        </w:rPr>
        <w:t>项目名称：</w:t>
      </w:r>
      <w:r>
        <w:rPr>
          <w:rFonts w:hint="eastAsia"/>
          <w:b/>
          <w:color w:val="auto"/>
          <w:spacing w:val="-18"/>
          <w:sz w:val="30"/>
          <w:highlight w:val="none"/>
          <w:lang w:val="en-US"/>
        </w:rPr>
        <w:t xml:space="preserve"> 港门海岸派出所建设综合勤务指挥室及营区修缮项目</w:t>
      </w:r>
      <w:r>
        <w:rPr>
          <w:rFonts w:hint="eastAsia"/>
          <w:b/>
          <w:color w:val="auto"/>
          <w:spacing w:val="-18"/>
          <w:sz w:val="30"/>
          <w:highlight w:val="none"/>
          <w:lang w:val="en-US" w:eastAsia="zh-CN"/>
        </w:rPr>
        <w:t>（A包）</w:t>
      </w:r>
    </w:p>
    <w:p>
      <w:pPr>
        <w:spacing w:before="158"/>
        <w:ind w:left="1568"/>
        <w:rPr>
          <w:rFonts w:hint="eastAsia" w:ascii="Times New Roman"/>
          <w:b/>
          <w:color w:val="auto"/>
          <w:sz w:val="30"/>
          <w:highlight w:val="none"/>
        </w:rPr>
      </w:pPr>
      <w:r>
        <w:rPr>
          <w:b/>
          <w:color w:val="auto"/>
          <w:sz w:val="30"/>
          <w:highlight w:val="none"/>
        </w:rPr>
        <w:t>项目编号：</w:t>
      </w:r>
      <w:r>
        <w:rPr>
          <w:rFonts w:hint="eastAsia"/>
          <w:b/>
          <w:color w:val="auto"/>
          <w:sz w:val="30"/>
          <w:highlight w:val="none"/>
          <w:lang w:eastAsia="zh-CN"/>
        </w:rPr>
        <w:t>HNZN-SYC2021015（</w:t>
      </w:r>
      <w:r>
        <w:rPr>
          <w:rFonts w:hint="eastAsia"/>
          <w:b/>
          <w:color w:val="auto"/>
          <w:sz w:val="30"/>
          <w:highlight w:val="none"/>
          <w:lang w:val="en-US" w:eastAsia="zh-CN"/>
        </w:rPr>
        <w:t>A包</w:t>
      </w:r>
      <w:r>
        <w:rPr>
          <w:rFonts w:hint="eastAsia"/>
          <w:b/>
          <w:color w:val="auto"/>
          <w:sz w:val="30"/>
          <w:highlight w:val="none"/>
          <w:lang w:eastAsia="zh-CN"/>
        </w:rPr>
        <w:t>）</w:t>
      </w:r>
      <w:r>
        <w:rPr>
          <w:rFonts w:hint="eastAsia"/>
          <w:b/>
          <w:color w:val="auto"/>
          <w:sz w:val="30"/>
          <w:highlight w:val="none"/>
          <w:lang w:val="en-US"/>
        </w:rPr>
        <w:t xml:space="preserve"> </w:t>
      </w:r>
    </w:p>
    <w:p>
      <w:pPr>
        <w:pStyle w:val="12"/>
        <w:rPr>
          <w:rFonts w:ascii="Times New Roman"/>
          <w:b/>
          <w:color w:val="auto"/>
          <w:sz w:val="32"/>
          <w:highlight w:val="none"/>
        </w:rPr>
      </w:pPr>
    </w:p>
    <w:p>
      <w:pPr>
        <w:spacing w:before="158"/>
        <w:ind w:left="1568"/>
        <w:rPr>
          <w:rFonts w:hint="default" w:ascii="Times New Roman" w:eastAsia="宋体"/>
          <w:b/>
          <w:color w:val="auto"/>
          <w:sz w:val="30"/>
          <w:highlight w:val="none"/>
          <w:lang w:val="en-US" w:eastAsia="zh-CN"/>
        </w:rPr>
      </w:pPr>
      <w:r>
        <w:rPr>
          <w:rFonts w:hint="eastAsia"/>
          <w:b/>
          <w:color w:val="auto"/>
          <w:sz w:val="30"/>
          <w:highlight w:val="none"/>
          <w:lang w:eastAsia="zh-CN"/>
        </w:rPr>
        <w:t>包号</w:t>
      </w:r>
      <w:r>
        <w:rPr>
          <w:b/>
          <w:color w:val="auto"/>
          <w:sz w:val="30"/>
          <w:highlight w:val="none"/>
        </w:rPr>
        <w:t>：</w:t>
      </w:r>
      <w:r>
        <w:rPr>
          <w:rFonts w:hint="eastAsia"/>
          <w:b/>
          <w:color w:val="auto"/>
          <w:sz w:val="30"/>
          <w:highlight w:val="none"/>
          <w:lang w:val="en-US" w:eastAsia="zh-CN"/>
        </w:rPr>
        <w:t>A包</w:t>
      </w:r>
    </w:p>
    <w:p>
      <w:pPr>
        <w:pStyle w:val="12"/>
        <w:rPr>
          <w:rFonts w:ascii="Times New Roman"/>
          <w:b/>
          <w:color w:val="auto"/>
          <w:sz w:val="32"/>
          <w:highlight w:val="none"/>
        </w:rPr>
      </w:pPr>
    </w:p>
    <w:p>
      <w:pPr>
        <w:pStyle w:val="12"/>
        <w:rPr>
          <w:rFonts w:ascii="Times New Roman"/>
          <w:b/>
          <w:color w:val="auto"/>
          <w:sz w:val="32"/>
          <w:highlight w:val="none"/>
        </w:rPr>
      </w:pPr>
    </w:p>
    <w:p>
      <w:pPr>
        <w:pStyle w:val="12"/>
        <w:spacing w:before="2"/>
        <w:rPr>
          <w:rFonts w:ascii="Times New Roman"/>
          <w:b/>
          <w:color w:val="auto"/>
          <w:sz w:val="37"/>
          <w:highlight w:val="none"/>
        </w:rPr>
      </w:pPr>
    </w:p>
    <w:p>
      <w:pPr>
        <w:tabs>
          <w:tab w:val="left" w:pos="2586"/>
          <w:tab w:val="left" w:pos="6039"/>
          <w:tab w:val="left" w:pos="6111"/>
        </w:tabs>
        <w:spacing w:before="1" w:line="388" w:lineRule="auto"/>
        <w:ind w:left="1983" w:right="2361"/>
        <w:rPr>
          <w:rFonts w:ascii="Times New Roman" w:eastAsia="Times New Roman"/>
          <w:b/>
          <w:color w:val="auto"/>
          <w:sz w:val="30"/>
          <w:highlight w:val="none"/>
        </w:rPr>
      </w:pPr>
      <w:r>
        <w:rPr>
          <w:b/>
          <w:color w:val="auto"/>
          <w:sz w:val="30"/>
          <w:highlight w:val="none"/>
        </w:rPr>
        <w:t>供应商：</w:t>
      </w:r>
      <w:r>
        <w:rPr>
          <w:b/>
          <w:color w:val="auto"/>
          <w:sz w:val="30"/>
          <w:highlight w:val="none"/>
          <w:u w:val="thick"/>
        </w:rPr>
        <w:t xml:space="preserve"> </w:t>
      </w:r>
      <w:r>
        <w:rPr>
          <w:b/>
          <w:color w:val="auto"/>
          <w:sz w:val="30"/>
          <w:highlight w:val="none"/>
          <w:u w:val="thick"/>
        </w:rPr>
        <w:tab/>
      </w:r>
      <w:r>
        <w:rPr>
          <w:b/>
          <w:color w:val="auto"/>
          <w:sz w:val="30"/>
          <w:highlight w:val="none"/>
        </w:rPr>
        <w:t>（盖章</w:t>
      </w:r>
      <w:r>
        <w:rPr>
          <w:b/>
          <w:color w:val="auto"/>
          <w:spacing w:val="-16"/>
          <w:sz w:val="30"/>
          <w:highlight w:val="none"/>
        </w:rPr>
        <w:t xml:space="preserve">） </w:t>
      </w:r>
      <w:r>
        <w:rPr>
          <w:b/>
          <w:color w:val="auto"/>
          <w:sz w:val="30"/>
          <w:highlight w:val="none"/>
        </w:rPr>
        <w:t>地</w:t>
      </w:r>
      <w:r>
        <w:rPr>
          <w:b/>
          <w:color w:val="auto"/>
          <w:sz w:val="30"/>
          <w:highlight w:val="none"/>
        </w:rPr>
        <w:tab/>
      </w:r>
      <w:r>
        <w:rPr>
          <w:b/>
          <w:color w:val="auto"/>
          <w:w w:val="95"/>
          <w:sz w:val="30"/>
          <w:highlight w:val="none"/>
        </w:rPr>
        <w:t>址：</w:t>
      </w:r>
      <w:r>
        <w:rPr>
          <w:rFonts w:ascii="Times New Roman" w:eastAsia="Times New Roman"/>
          <w:b/>
          <w:color w:val="auto"/>
          <w:sz w:val="30"/>
          <w:highlight w:val="none"/>
          <w:u w:val="thick"/>
        </w:rPr>
        <w:t xml:space="preserve"> </w:t>
      </w:r>
      <w:r>
        <w:rPr>
          <w:rFonts w:ascii="Times New Roman" w:eastAsia="Times New Roman"/>
          <w:b/>
          <w:color w:val="auto"/>
          <w:sz w:val="30"/>
          <w:highlight w:val="none"/>
          <w:u w:val="thick"/>
        </w:rPr>
        <w:tab/>
      </w:r>
      <w:r>
        <w:rPr>
          <w:rFonts w:ascii="Times New Roman" w:eastAsia="Times New Roman"/>
          <w:b/>
          <w:color w:val="auto"/>
          <w:sz w:val="30"/>
          <w:highlight w:val="none"/>
          <w:u w:val="thick"/>
        </w:rPr>
        <w:tab/>
      </w:r>
    </w:p>
    <w:p>
      <w:pPr>
        <w:tabs>
          <w:tab w:val="left" w:pos="2586"/>
          <w:tab w:val="left" w:pos="4763"/>
          <w:tab w:val="left" w:pos="5514"/>
        </w:tabs>
        <w:spacing w:before="2"/>
        <w:ind w:left="1983"/>
        <w:rPr>
          <w:b/>
          <w:color w:val="auto"/>
          <w:sz w:val="30"/>
          <w:highlight w:val="none"/>
        </w:rPr>
      </w:pPr>
      <w:r>
        <w:rPr>
          <w:b/>
          <w:color w:val="auto"/>
          <w:sz w:val="30"/>
          <w:highlight w:val="none"/>
        </w:rPr>
        <w:t>日</w:t>
      </w:r>
      <w:r>
        <w:rPr>
          <w:b/>
          <w:color w:val="auto"/>
          <w:sz w:val="30"/>
          <w:highlight w:val="none"/>
        </w:rPr>
        <w:tab/>
      </w:r>
      <w:r>
        <w:rPr>
          <w:b/>
          <w:color w:val="auto"/>
          <w:sz w:val="30"/>
          <w:highlight w:val="none"/>
        </w:rPr>
        <w:t>期：</w:t>
      </w:r>
      <w:r>
        <w:rPr>
          <w:rFonts w:hint="eastAsia" w:ascii="Times New Roman" w:eastAsia="宋体"/>
          <w:b/>
          <w:color w:val="auto"/>
          <w:sz w:val="30"/>
          <w:highlight w:val="none"/>
          <w:lang w:val="en-US" w:eastAsia="zh-CN"/>
        </w:rPr>
        <w:t xml:space="preserve"> </w:t>
      </w:r>
      <w:r>
        <w:rPr>
          <w:rFonts w:hint="eastAsia" w:ascii="Times New Roman"/>
          <w:b/>
          <w:color w:val="auto"/>
          <w:sz w:val="30"/>
          <w:highlight w:val="none"/>
          <w:lang w:val="en-US" w:eastAsia="zh-CN"/>
        </w:rPr>
        <w:t xml:space="preserve">   </w:t>
      </w:r>
      <w:r>
        <w:rPr>
          <w:rFonts w:ascii="Times New Roman" w:eastAsia="Times New Roman"/>
          <w:b/>
          <w:color w:val="auto"/>
          <w:spacing w:val="-3"/>
          <w:sz w:val="30"/>
          <w:highlight w:val="none"/>
        </w:rPr>
        <w:t xml:space="preserve"> </w:t>
      </w:r>
      <w:r>
        <w:rPr>
          <w:b/>
          <w:color w:val="auto"/>
          <w:sz w:val="30"/>
          <w:highlight w:val="none"/>
        </w:rPr>
        <w:t>年</w:t>
      </w:r>
      <w:r>
        <w:rPr>
          <w:b/>
          <w:color w:val="auto"/>
          <w:sz w:val="30"/>
          <w:highlight w:val="none"/>
        </w:rPr>
        <w:tab/>
      </w:r>
      <w:r>
        <w:rPr>
          <w:b/>
          <w:color w:val="auto"/>
          <w:sz w:val="30"/>
          <w:highlight w:val="none"/>
        </w:rPr>
        <w:t>月</w:t>
      </w:r>
      <w:r>
        <w:rPr>
          <w:b/>
          <w:color w:val="auto"/>
          <w:sz w:val="30"/>
          <w:highlight w:val="none"/>
        </w:rPr>
        <w:tab/>
      </w:r>
      <w:r>
        <w:rPr>
          <w:b/>
          <w:color w:val="auto"/>
          <w:sz w:val="30"/>
          <w:highlight w:val="none"/>
        </w:rPr>
        <w:t>日</w:t>
      </w:r>
    </w:p>
    <w:p>
      <w:pPr>
        <w:rPr>
          <w:color w:val="auto"/>
          <w:sz w:val="30"/>
          <w:highlight w:val="none"/>
        </w:rPr>
        <w:sectPr>
          <w:pgSz w:w="11910" w:h="16840"/>
          <w:pgMar w:top="1580" w:right="1020" w:bottom="1160" w:left="1280" w:header="0" w:footer="974" w:gutter="0"/>
          <w:pgNumType w:fmt="decimal"/>
          <w:cols w:space="720" w:num="1"/>
        </w:sectPr>
      </w:pPr>
    </w:p>
    <w:p>
      <w:pPr>
        <w:rPr>
          <w:b/>
          <w:color w:val="auto"/>
          <w:sz w:val="28"/>
          <w:szCs w:val="28"/>
          <w:highlight w:val="none"/>
        </w:rPr>
      </w:pPr>
      <w:r>
        <w:rPr>
          <w:rFonts w:hint="eastAsia"/>
          <w:b/>
          <w:color w:val="auto"/>
          <w:sz w:val="28"/>
          <w:szCs w:val="28"/>
          <w:highlight w:val="none"/>
        </w:rPr>
        <w:t>（响应文件格式是磋商文件的通用格式。供应商应根据采购项目性质的不同，提交与本项目相关的格式文件或按符合本行业惯例的格式提交格式文件。与本项目无关的格式文件可以忽略。）</w:t>
      </w:r>
    </w:p>
    <w:p>
      <w:pPr>
        <w:pStyle w:val="2"/>
        <w:rPr>
          <w:rFonts w:ascii="宋体" w:hAnsi="宋体" w:eastAsia="宋体" w:cs="宋体"/>
          <w:color w:val="auto"/>
          <w:sz w:val="32"/>
          <w:highlight w:val="none"/>
        </w:rPr>
      </w:pPr>
      <w:bookmarkStart w:id="1835" w:name="_Toc317237630"/>
      <w:bookmarkStart w:id="1836" w:name="_Toc1399"/>
      <w:bookmarkStart w:id="1837" w:name="_Toc26077"/>
      <w:bookmarkStart w:id="1838" w:name="_Toc7562"/>
      <w:bookmarkStart w:id="1839" w:name="_Toc5813"/>
      <w:bookmarkStart w:id="1840" w:name="_Toc14763"/>
      <w:bookmarkStart w:id="1841" w:name="_Toc522804904"/>
      <w:bookmarkStart w:id="1842" w:name="_Toc8014"/>
      <w:bookmarkStart w:id="1843" w:name="_Toc212102882"/>
      <w:r>
        <w:rPr>
          <w:rFonts w:hint="eastAsia" w:ascii="宋体" w:hAnsi="宋体" w:eastAsia="宋体" w:cs="宋体"/>
          <w:color w:val="auto"/>
          <w:sz w:val="32"/>
          <w:highlight w:val="none"/>
        </w:rPr>
        <w:t>一、报价文件格式</w:t>
      </w:r>
      <w:bookmarkEnd w:id="1835"/>
      <w:bookmarkEnd w:id="1836"/>
      <w:bookmarkEnd w:id="1837"/>
      <w:bookmarkEnd w:id="1838"/>
      <w:bookmarkEnd w:id="1839"/>
      <w:bookmarkEnd w:id="1840"/>
      <w:bookmarkEnd w:id="1841"/>
      <w:bookmarkEnd w:id="1842"/>
    </w:p>
    <w:p>
      <w:pPr>
        <w:pStyle w:val="2"/>
        <w:tabs>
          <w:tab w:val="left" w:pos="210"/>
          <w:tab w:val="left" w:pos="540"/>
          <w:tab w:val="left" w:pos="720"/>
        </w:tabs>
        <w:adjustRightInd w:val="0"/>
        <w:spacing w:before="156" w:beforeLines="50" w:after="156" w:afterLines="50"/>
        <w:rPr>
          <w:rFonts w:ascii="宋体" w:hAnsi="宋体" w:eastAsia="宋体" w:cs="宋体"/>
          <w:color w:val="auto"/>
          <w:sz w:val="32"/>
          <w:highlight w:val="none"/>
        </w:rPr>
      </w:pPr>
      <w:bookmarkStart w:id="1844" w:name="_Toc3537"/>
      <w:bookmarkStart w:id="1845" w:name="_Toc20607"/>
      <w:bookmarkStart w:id="1846" w:name="_Toc6910"/>
      <w:bookmarkStart w:id="1847" w:name="_Toc22313"/>
      <w:bookmarkStart w:id="1848" w:name="_Toc23322"/>
      <w:bookmarkStart w:id="1849" w:name="_Toc317237631"/>
      <w:bookmarkStart w:id="1850" w:name="_Toc27196"/>
      <w:bookmarkStart w:id="1851" w:name="_Toc522804905"/>
      <w:r>
        <w:rPr>
          <w:rFonts w:hint="eastAsia" w:ascii="宋体" w:hAnsi="宋体" w:eastAsia="宋体" w:cs="宋体"/>
          <w:color w:val="auto"/>
          <w:sz w:val="32"/>
          <w:highlight w:val="none"/>
        </w:rPr>
        <w:t>1、报价函格式</w:t>
      </w:r>
      <w:bookmarkEnd w:id="1844"/>
      <w:bookmarkEnd w:id="1845"/>
      <w:bookmarkEnd w:id="1846"/>
      <w:bookmarkEnd w:id="1847"/>
      <w:bookmarkEnd w:id="1848"/>
      <w:bookmarkEnd w:id="1849"/>
      <w:bookmarkEnd w:id="1850"/>
      <w:bookmarkEnd w:id="1851"/>
    </w:p>
    <w:p>
      <w:pPr>
        <w:rPr>
          <w:b/>
          <w:color w:val="auto"/>
          <w:highlight w:val="none"/>
        </w:rPr>
      </w:pPr>
    </w:p>
    <w:p>
      <w:pPr>
        <w:pStyle w:val="9"/>
        <w:overflowPunct w:val="0"/>
        <w:spacing w:line="560" w:lineRule="exact"/>
        <w:ind w:firstLine="0"/>
        <w:jc w:val="center"/>
        <w:rPr>
          <w:rFonts w:hint="eastAsia" w:ascii="宋体" w:hAnsi="宋体" w:eastAsia="宋体" w:cs="宋体"/>
          <w:b/>
          <w:color w:val="000000"/>
          <w:sz w:val="36"/>
          <w:szCs w:val="36"/>
          <w:lang w:eastAsia="zh-CN"/>
        </w:rPr>
      </w:pPr>
      <w:r>
        <w:rPr>
          <w:rFonts w:hint="eastAsia" w:ascii="宋体" w:hAnsi="宋体" w:eastAsia="宋体" w:cs="宋体"/>
          <w:b/>
          <w:color w:val="000000"/>
          <w:sz w:val="36"/>
          <w:szCs w:val="36"/>
        </w:rPr>
        <w:t>报  价  函</w:t>
      </w:r>
    </w:p>
    <w:p>
      <w:pPr>
        <w:jc w:val="left"/>
        <w:rPr>
          <w:rFonts w:ascii="宋体" w:hAnsi="宋体" w:cs="宋体"/>
          <w:b/>
          <w:color w:val="000000"/>
        </w:rPr>
      </w:pPr>
    </w:p>
    <w:p>
      <w:pPr>
        <w:pStyle w:val="45"/>
        <w:spacing w:line="560" w:lineRule="exact"/>
        <w:rPr>
          <w:rFonts w:hAnsi="宋体" w:eastAsia="宋体" w:cs="宋体"/>
          <w:b/>
          <w:color w:val="auto"/>
          <w:highlight w:val="none"/>
        </w:rPr>
      </w:pPr>
      <w:r>
        <w:rPr>
          <w:rFonts w:hint="eastAsia" w:hAnsi="宋体" w:eastAsia="宋体" w:cs="宋体"/>
          <w:color w:val="auto"/>
          <w:sz w:val="24"/>
          <w:szCs w:val="24"/>
          <w:highlight w:val="none"/>
          <w:lang w:eastAsia="zh-CN"/>
        </w:rPr>
        <w:t>海南</w:t>
      </w:r>
      <w:r>
        <w:rPr>
          <w:rFonts w:hint="eastAsia" w:hAnsi="宋体" w:eastAsia="宋体" w:cs="宋体"/>
          <w:color w:val="auto"/>
          <w:sz w:val="24"/>
          <w:szCs w:val="24"/>
          <w:highlight w:val="none"/>
          <w:lang w:val="en-US" w:eastAsia="zh-CN"/>
        </w:rPr>
        <w:t>卓能</w:t>
      </w:r>
      <w:r>
        <w:rPr>
          <w:rFonts w:hint="eastAsia" w:hAnsi="宋体" w:eastAsia="宋体" w:cs="宋体"/>
          <w:color w:val="auto"/>
          <w:sz w:val="24"/>
          <w:szCs w:val="24"/>
          <w:highlight w:val="none"/>
          <w:lang w:eastAsia="zh-CN"/>
        </w:rPr>
        <w:t>工程管理有限公司</w:t>
      </w:r>
      <w:r>
        <w:rPr>
          <w:rFonts w:hint="eastAsia" w:hAnsi="宋体" w:eastAsia="宋体" w:cs="宋体"/>
          <w:color w:val="auto"/>
          <w:sz w:val="24"/>
          <w:szCs w:val="24"/>
          <w:highlight w:val="none"/>
        </w:rPr>
        <w:t>：</w:t>
      </w:r>
    </w:p>
    <w:p>
      <w:pPr>
        <w:pStyle w:val="45"/>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我们仔细阅读并全面研究了（项目名称和编号）磋商文件，决定响应磋商文件的邀请，参与本项目。</w:t>
      </w:r>
    </w:p>
    <w:p>
      <w:pPr>
        <w:spacing w:line="360" w:lineRule="auto"/>
        <w:ind w:firstLine="480" w:firstLineChars="200"/>
        <w:rPr>
          <w:color w:val="auto"/>
          <w:sz w:val="24"/>
          <w:highlight w:val="none"/>
        </w:rPr>
      </w:pPr>
      <w:r>
        <w:rPr>
          <w:sz w:val="24"/>
          <w:szCs w:val="24"/>
          <w:highlight w:val="none"/>
        </w:rPr>
        <w:t>1</w:t>
      </w:r>
      <w:r>
        <w:rPr>
          <w:rFonts w:hint="eastAsia" w:cs="宋体"/>
          <w:sz w:val="24"/>
          <w:szCs w:val="24"/>
          <w:highlight w:val="none"/>
        </w:rPr>
        <w:t>、</w:t>
      </w:r>
      <w:r>
        <w:rPr>
          <w:rFonts w:hint="eastAsia" w:ascii="宋体" w:hAnsi="宋体" w:cs="宋体"/>
          <w:sz w:val="24"/>
          <w:szCs w:val="24"/>
          <w:highlight w:val="none"/>
        </w:rPr>
        <w:t>我单位愿意以</w:t>
      </w:r>
      <w:r>
        <w:rPr>
          <w:rFonts w:hint="eastAsia" w:ascii="宋体" w:hAnsi="宋体" w:cs="宋体"/>
          <w:sz w:val="24"/>
          <w:szCs w:val="24"/>
          <w:highlight w:val="none"/>
          <w:u w:val="single"/>
        </w:rPr>
        <w:t xml:space="preserve">  </w:t>
      </w:r>
      <w:r>
        <w:rPr>
          <w:rFonts w:hint="eastAsia" w:cs="宋体"/>
          <w:sz w:val="24"/>
          <w:szCs w:val="24"/>
          <w:highlight w:val="none"/>
        </w:rPr>
        <w:t>元（保留小数点后两位）的报价进行服务工作</w:t>
      </w:r>
      <w:r>
        <w:rPr>
          <w:rFonts w:hint="eastAsia"/>
          <w:color w:val="auto"/>
          <w:sz w:val="24"/>
          <w:highlight w:val="none"/>
        </w:rPr>
        <w:t>。</w:t>
      </w:r>
    </w:p>
    <w:p>
      <w:pPr>
        <w:pStyle w:val="45"/>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2、我们充分理解并完全接受合同协议书中的各项约定，没有任何异议，不附加任何条件。</w:t>
      </w:r>
    </w:p>
    <w:p>
      <w:pPr>
        <w:pStyle w:val="45"/>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3、如果我们被授予合同，我们将严格履行合同规定的责任和义务，保证按期、按质、按量完成合同义务。</w:t>
      </w:r>
    </w:p>
    <w:p>
      <w:pPr>
        <w:pStyle w:val="45"/>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4、我们同意按磋商文件中的规定，本响应文件的有效期限为开启响应文件后</w:t>
      </w:r>
      <w:r>
        <w:rPr>
          <w:rFonts w:hint="eastAsia" w:hAnsi="宋体" w:eastAsia="宋体" w:cs="宋体"/>
          <w:b/>
          <w:color w:val="auto"/>
          <w:sz w:val="24"/>
          <w:szCs w:val="24"/>
          <w:highlight w:val="none"/>
          <w:u w:val="single"/>
        </w:rPr>
        <w:t>90</w:t>
      </w:r>
      <w:r>
        <w:rPr>
          <w:rFonts w:hint="eastAsia" w:hAnsi="宋体" w:eastAsia="宋体" w:cs="宋体"/>
          <w:color w:val="auto"/>
          <w:sz w:val="24"/>
          <w:szCs w:val="24"/>
          <w:highlight w:val="none"/>
        </w:rPr>
        <w:t>日历天。</w:t>
      </w:r>
    </w:p>
    <w:p>
      <w:pPr>
        <w:pStyle w:val="45"/>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5、我们愿意提供采购方在磋商文件中要求的所有资料。</w:t>
      </w:r>
    </w:p>
    <w:p>
      <w:pPr>
        <w:pStyle w:val="45"/>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6、我们愿意遵守采购公告及磋商文件中明示的收费标准。</w:t>
      </w:r>
    </w:p>
    <w:p>
      <w:pPr>
        <w:pStyle w:val="45"/>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7、我们承诺响应文件在提交响应文件截止时间后至磋商有效期截止前保持有效，不作任何更改和变动。</w:t>
      </w:r>
    </w:p>
    <w:p>
      <w:pPr>
        <w:pStyle w:val="45"/>
        <w:spacing w:line="560" w:lineRule="exact"/>
        <w:ind w:left="3400" w:hanging="3400"/>
        <w:jc w:val="left"/>
        <w:rPr>
          <w:rFonts w:hAnsi="宋体" w:eastAsia="宋体" w:cs="宋体"/>
          <w:color w:val="auto"/>
          <w:sz w:val="24"/>
          <w:szCs w:val="24"/>
          <w:highlight w:val="none"/>
        </w:rPr>
      </w:pPr>
      <w:r>
        <w:rPr>
          <w:rFonts w:hint="eastAsia" w:hAnsi="宋体" w:eastAsia="宋体" w:cs="宋体"/>
          <w:color w:val="auto"/>
          <w:sz w:val="24"/>
          <w:szCs w:val="24"/>
          <w:highlight w:val="none"/>
        </w:rPr>
        <w:t>供应商：</w:t>
      </w:r>
      <w:r>
        <w:rPr>
          <w:rFonts w:hint="eastAsia" w:hAnsi="宋体" w:eastAsia="宋体" w:cs="宋体"/>
          <w:iCs/>
          <w:color w:val="auto"/>
          <w:sz w:val="24"/>
          <w:szCs w:val="21"/>
          <w:highlight w:val="none"/>
        </w:rPr>
        <w:t>（填写名称并盖章）</w:t>
      </w:r>
    </w:p>
    <w:p>
      <w:pPr>
        <w:pStyle w:val="45"/>
        <w:rPr>
          <w:rFonts w:hAnsi="宋体" w:eastAsia="宋体" w:cs="宋体"/>
          <w:color w:val="auto"/>
          <w:sz w:val="21"/>
          <w:szCs w:val="21"/>
          <w:highlight w:val="none"/>
        </w:rPr>
      </w:pPr>
    </w:p>
    <w:p>
      <w:pPr>
        <w:pStyle w:val="45"/>
        <w:rPr>
          <w:rFonts w:hAnsi="宋体" w:eastAsia="宋体" w:cs="宋体"/>
          <w:color w:val="auto"/>
          <w:sz w:val="21"/>
          <w:szCs w:val="21"/>
          <w:highlight w:val="none"/>
        </w:rPr>
      </w:pPr>
    </w:p>
    <w:p>
      <w:pPr>
        <w:pStyle w:val="45"/>
        <w:spacing w:line="560" w:lineRule="exact"/>
        <w:ind w:left="3400" w:hanging="3400"/>
        <w:jc w:val="left"/>
        <w:rPr>
          <w:rFonts w:hAnsi="宋体" w:eastAsia="宋体" w:cs="宋体"/>
          <w:color w:val="auto"/>
          <w:sz w:val="24"/>
          <w:szCs w:val="24"/>
          <w:highlight w:val="none"/>
        </w:rPr>
      </w:pPr>
      <w:r>
        <w:rPr>
          <w:rFonts w:hint="eastAsia" w:hAnsi="宋体" w:eastAsia="宋体" w:cs="宋体"/>
          <w:color w:val="auto"/>
          <w:sz w:val="24"/>
          <w:szCs w:val="24"/>
          <w:highlight w:val="none"/>
        </w:rPr>
        <w:t>法定代表人或授权代表：</w:t>
      </w:r>
      <w:r>
        <w:rPr>
          <w:rFonts w:hint="eastAsia" w:hAnsi="宋体" w:eastAsia="宋体" w:cs="宋体"/>
          <w:iCs/>
          <w:color w:val="auto"/>
          <w:sz w:val="24"/>
          <w:szCs w:val="21"/>
          <w:highlight w:val="none"/>
        </w:rPr>
        <w:t>（签字或盖章）</w:t>
      </w:r>
    </w:p>
    <w:p>
      <w:pPr>
        <w:pStyle w:val="45"/>
        <w:rPr>
          <w:rFonts w:hAnsi="宋体" w:eastAsia="宋体" w:cs="宋体"/>
          <w:b/>
          <w:color w:val="auto"/>
          <w:sz w:val="21"/>
          <w:szCs w:val="21"/>
          <w:highlight w:val="none"/>
        </w:rPr>
      </w:pPr>
    </w:p>
    <w:p>
      <w:pPr>
        <w:pStyle w:val="45"/>
        <w:tabs>
          <w:tab w:val="left" w:pos="5040"/>
        </w:tabs>
        <w:spacing w:line="560" w:lineRule="exact"/>
        <w:rPr>
          <w:rFonts w:hAnsi="宋体" w:eastAsia="宋体" w:cs="宋体"/>
          <w:color w:val="auto"/>
          <w:sz w:val="24"/>
          <w:szCs w:val="24"/>
          <w:highlight w:val="none"/>
        </w:rPr>
      </w:pPr>
      <w:r>
        <w:rPr>
          <w:rFonts w:hint="eastAsia" w:hAnsi="宋体" w:eastAsia="宋体" w:cs="宋体"/>
          <w:color w:val="auto"/>
          <w:sz w:val="24"/>
          <w:szCs w:val="24"/>
          <w:highlight w:val="none"/>
        </w:rPr>
        <w:t>地址：</w:t>
      </w:r>
      <w:r>
        <w:rPr>
          <w:rFonts w:hint="eastAsia" w:hAnsi="宋体" w:eastAsia="宋体" w:cs="宋体"/>
          <w:color w:val="auto"/>
          <w:sz w:val="24"/>
          <w:szCs w:val="24"/>
          <w:highlight w:val="none"/>
        </w:rPr>
        <w:tab/>
      </w:r>
      <w:r>
        <w:rPr>
          <w:rFonts w:hint="eastAsia" w:hAnsi="宋体" w:eastAsia="宋体" w:cs="宋体"/>
          <w:color w:val="auto"/>
          <w:sz w:val="24"/>
          <w:szCs w:val="24"/>
          <w:highlight w:val="none"/>
        </w:rPr>
        <w:t>邮政编码：</w:t>
      </w:r>
    </w:p>
    <w:p>
      <w:pPr>
        <w:pStyle w:val="45"/>
        <w:tabs>
          <w:tab w:val="left" w:pos="5040"/>
        </w:tabs>
        <w:spacing w:line="560" w:lineRule="exact"/>
        <w:rPr>
          <w:rFonts w:hAnsi="宋体" w:eastAsia="宋体" w:cs="宋体"/>
          <w:color w:val="auto"/>
          <w:sz w:val="24"/>
          <w:szCs w:val="24"/>
          <w:highlight w:val="none"/>
        </w:rPr>
      </w:pPr>
      <w:r>
        <w:rPr>
          <w:rFonts w:hint="eastAsia" w:hAnsi="宋体" w:eastAsia="宋体" w:cs="宋体"/>
          <w:color w:val="auto"/>
          <w:sz w:val="24"/>
          <w:szCs w:val="24"/>
          <w:highlight w:val="none"/>
        </w:rPr>
        <w:t>联系人：</w:t>
      </w:r>
      <w:r>
        <w:rPr>
          <w:rFonts w:hint="eastAsia" w:hAnsi="宋体" w:eastAsia="宋体" w:cs="宋体"/>
          <w:color w:val="auto"/>
          <w:sz w:val="24"/>
          <w:szCs w:val="24"/>
          <w:highlight w:val="none"/>
        </w:rPr>
        <w:tab/>
      </w:r>
      <w:r>
        <w:rPr>
          <w:rFonts w:hint="eastAsia" w:hAnsi="宋体" w:eastAsia="宋体" w:cs="宋体"/>
          <w:color w:val="auto"/>
          <w:sz w:val="24"/>
          <w:szCs w:val="24"/>
          <w:highlight w:val="none"/>
        </w:rPr>
        <w:t>联系电话：</w:t>
      </w:r>
    </w:p>
    <w:p>
      <w:pPr>
        <w:pStyle w:val="45"/>
        <w:tabs>
          <w:tab w:val="left" w:pos="5040"/>
        </w:tabs>
        <w:spacing w:line="560" w:lineRule="exact"/>
        <w:rPr>
          <w:rFonts w:hAnsi="宋体" w:eastAsia="宋体" w:cs="宋体"/>
          <w:color w:val="auto"/>
          <w:sz w:val="24"/>
          <w:szCs w:val="24"/>
          <w:highlight w:val="none"/>
        </w:rPr>
      </w:pPr>
      <w:r>
        <w:rPr>
          <w:rFonts w:hint="eastAsia" w:hAnsi="宋体" w:eastAsia="宋体" w:cs="宋体"/>
          <w:color w:val="auto"/>
          <w:sz w:val="24"/>
          <w:szCs w:val="24"/>
          <w:highlight w:val="none"/>
        </w:rPr>
        <w:t>电子邮件：</w:t>
      </w:r>
      <w:r>
        <w:rPr>
          <w:rFonts w:hint="eastAsia" w:hAnsi="宋体" w:eastAsia="宋体" w:cs="宋体"/>
          <w:color w:val="auto"/>
          <w:sz w:val="24"/>
          <w:szCs w:val="24"/>
          <w:highlight w:val="none"/>
        </w:rPr>
        <w:tab/>
      </w:r>
      <w:r>
        <w:rPr>
          <w:rFonts w:hint="eastAsia" w:hAnsi="宋体" w:eastAsia="宋体" w:cs="宋体"/>
          <w:color w:val="auto"/>
          <w:sz w:val="24"/>
          <w:szCs w:val="24"/>
          <w:highlight w:val="none"/>
        </w:rPr>
        <w:t>传真：</w:t>
      </w:r>
    </w:p>
    <w:p>
      <w:pPr>
        <w:pStyle w:val="45"/>
        <w:rPr>
          <w:rFonts w:hAnsi="宋体" w:eastAsia="宋体" w:cs="宋体"/>
          <w:color w:val="auto"/>
          <w:sz w:val="21"/>
          <w:szCs w:val="21"/>
          <w:highlight w:val="none"/>
        </w:rPr>
      </w:pPr>
    </w:p>
    <w:p>
      <w:pPr>
        <w:pStyle w:val="45"/>
        <w:rPr>
          <w:rFonts w:hAnsi="宋体" w:eastAsia="宋体" w:cs="宋体"/>
          <w:color w:val="auto"/>
          <w:sz w:val="21"/>
          <w:szCs w:val="21"/>
          <w:highlight w:val="none"/>
        </w:rPr>
      </w:pPr>
    </w:p>
    <w:p>
      <w:pPr>
        <w:pStyle w:val="45"/>
        <w:rPr>
          <w:rFonts w:hAnsi="宋体" w:eastAsia="宋体" w:cs="宋体"/>
          <w:color w:val="auto"/>
          <w:sz w:val="21"/>
          <w:szCs w:val="21"/>
          <w:highlight w:val="none"/>
        </w:rPr>
      </w:pPr>
    </w:p>
    <w:p>
      <w:pPr>
        <w:pStyle w:val="45"/>
        <w:rPr>
          <w:rFonts w:hint="eastAsia" w:ascii="宋体" w:hAnsi="宋体" w:eastAsia="宋体"/>
          <w:b/>
          <w:color w:val="auto"/>
          <w:sz w:val="36"/>
          <w:szCs w:val="36"/>
          <w:highlight w:val="none"/>
          <w:lang w:eastAsia="zh-CN"/>
        </w:rPr>
      </w:pPr>
      <w:r>
        <w:rPr>
          <w:rFonts w:hint="eastAsia" w:hAnsi="宋体" w:eastAsia="宋体" w:cs="宋体"/>
          <w:color w:val="auto"/>
          <w:sz w:val="24"/>
          <w:szCs w:val="24"/>
          <w:highlight w:val="none"/>
        </w:rPr>
        <w:t xml:space="preserve">日期：     年     月     </w:t>
      </w:r>
      <w:r>
        <w:rPr>
          <w:rFonts w:hint="eastAsia" w:hAnsi="宋体" w:eastAsia="宋体" w:cs="宋体"/>
          <w:color w:val="auto"/>
          <w:sz w:val="24"/>
          <w:szCs w:val="24"/>
          <w:highlight w:val="none"/>
          <w:lang w:eastAsia="zh-CN"/>
        </w:rPr>
        <w:t>日</w:t>
      </w:r>
    </w:p>
    <w:p>
      <w:pPr>
        <w:pStyle w:val="2"/>
        <w:tabs>
          <w:tab w:val="left" w:pos="540"/>
          <w:tab w:val="left" w:pos="720"/>
        </w:tabs>
        <w:spacing w:before="120" w:beforeLines="50" w:after="120" w:afterLines="50"/>
        <w:rPr>
          <w:rFonts w:ascii="宋体" w:hAnsi="宋体" w:eastAsia="宋体" w:cs="宋体"/>
          <w:color w:val="auto"/>
          <w:sz w:val="32"/>
          <w:highlight w:val="none"/>
        </w:rPr>
      </w:pPr>
      <w:bookmarkStart w:id="1852" w:name="_Toc21445"/>
      <w:bookmarkStart w:id="1853" w:name="_Toc522804906"/>
      <w:bookmarkStart w:id="1854" w:name="_Toc317237632"/>
      <w:bookmarkStart w:id="1855" w:name="_Toc12817"/>
      <w:bookmarkStart w:id="1856" w:name="_Toc8639"/>
      <w:r>
        <w:rPr>
          <w:rFonts w:hint="eastAsia" w:ascii="宋体" w:hAnsi="宋体" w:eastAsia="宋体" w:cs="宋体"/>
          <w:color w:val="auto"/>
          <w:sz w:val="32"/>
          <w:highlight w:val="none"/>
        </w:rPr>
        <w:br w:type="page"/>
      </w:r>
      <w:bookmarkStart w:id="1857" w:name="_Toc16794"/>
      <w:bookmarkStart w:id="1858" w:name="_Toc1522"/>
      <w:bookmarkStart w:id="1859" w:name="_Toc17288"/>
      <w:r>
        <w:rPr>
          <w:rFonts w:hint="eastAsia" w:ascii="宋体" w:hAnsi="宋体" w:eastAsia="宋体" w:cs="宋体"/>
          <w:color w:val="auto"/>
          <w:sz w:val="32"/>
          <w:highlight w:val="none"/>
        </w:rPr>
        <w:t>2、报价一览表格式</w:t>
      </w:r>
      <w:bookmarkEnd w:id="1852"/>
      <w:bookmarkEnd w:id="1853"/>
      <w:bookmarkEnd w:id="1854"/>
      <w:bookmarkEnd w:id="1855"/>
      <w:bookmarkEnd w:id="1856"/>
      <w:bookmarkEnd w:id="1857"/>
      <w:bookmarkEnd w:id="1858"/>
      <w:bookmarkEnd w:id="1859"/>
    </w:p>
    <w:p>
      <w:pPr>
        <w:rPr>
          <w:color w:val="auto"/>
          <w:highlight w:val="none"/>
        </w:rPr>
      </w:pPr>
    </w:p>
    <w:p>
      <w:pPr>
        <w:pStyle w:val="9"/>
        <w:overflowPunct w:val="0"/>
        <w:spacing w:line="560" w:lineRule="exact"/>
        <w:ind w:firstLine="0"/>
        <w:jc w:val="center"/>
        <w:rPr>
          <w:rFonts w:hint="eastAsia" w:ascii="宋体" w:hAnsi="宋体"/>
          <w:b/>
          <w:color w:val="auto"/>
          <w:sz w:val="36"/>
          <w:szCs w:val="36"/>
          <w:highlight w:val="none"/>
        </w:rPr>
      </w:pPr>
      <w:r>
        <w:rPr>
          <w:rFonts w:hint="eastAsia" w:ascii="宋体" w:hAnsi="宋体"/>
          <w:b/>
          <w:color w:val="auto"/>
          <w:sz w:val="36"/>
          <w:szCs w:val="36"/>
          <w:highlight w:val="none"/>
        </w:rPr>
        <w:t>报价一览表</w:t>
      </w:r>
    </w:p>
    <w:p>
      <w:pPr>
        <w:rPr>
          <w:rFonts w:hint="eastAsia"/>
        </w:rPr>
      </w:pPr>
    </w:p>
    <w:p>
      <w:pPr>
        <w:spacing w:line="360" w:lineRule="auto"/>
        <w:rPr>
          <w:color w:val="auto"/>
          <w:sz w:val="24"/>
          <w:szCs w:val="24"/>
          <w:highlight w:val="none"/>
        </w:rPr>
      </w:pPr>
      <w:r>
        <w:rPr>
          <w:rFonts w:hint="eastAsia"/>
          <w:color w:val="auto"/>
          <w:sz w:val="24"/>
          <w:szCs w:val="24"/>
          <w:highlight w:val="none"/>
        </w:rPr>
        <w:t>项目编号：</w:t>
      </w:r>
      <w:r>
        <w:rPr>
          <w:rFonts w:hint="eastAsia"/>
          <w:color w:val="auto"/>
          <w:sz w:val="24"/>
          <w:highlight w:val="none"/>
          <w:lang w:eastAsia="zh-CN"/>
        </w:rPr>
        <w:t>HNZN-SYC2021015</w:t>
      </w:r>
      <w:r>
        <w:rPr>
          <w:rFonts w:hint="eastAsia"/>
          <w:color w:val="auto"/>
          <w:sz w:val="24"/>
          <w:szCs w:val="24"/>
          <w:highlight w:val="none"/>
        </w:rPr>
        <w:t xml:space="preserve">             金额单位：元</w:t>
      </w:r>
    </w:p>
    <w:tbl>
      <w:tblPr>
        <w:tblStyle w:val="25"/>
        <w:tblpPr w:leftFromText="180" w:rightFromText="180" w:vertAnchor="text" w:horzAnchor="page" w:tblpX="1299" w:tblpY="466"/>
        <w:tblOverlap w:val="neve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2944"/>
        <w:gridCol w:w="924"/>
        <w:gridCol w:w="756"/>
        <w:gridCol w:w="924"/>
        <w:gridCol w:w="1140"/>
        <w:gridCol w:w="19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79" w:type="dxa"/>
            <w:noWrap w:val="0"/>
            <w:vAlign w:val="top"/>
          </w:tcPr>
          <w:p>
            <w:pPr>
              <w:pStyle w:val="40"/>
              <w:spacing w:before="103"/>
              <w:ind w:left="79" w:right="69"/>
              <w:jc w:val="center"/>
              <w:rPr>
                <w:color w:val="auto"/>
                <w:sz w:val="24"/>
                <w:szCs w:val="24"/>
                <w:highlight w:val="none"/>
              </w:rPr>
            </w:pPr>
            <w:r>
              <w:rPr>
                <w:color w:val="auto"/>
                <w:sz w:val="24"/>
                <w:szCs w:val="24"/>
                <w:highlight w:val="none"/>
              </w:rPr>
              <w:t>序号</w:t>
            </w:r>
          </w:p>
        </w:tc>
        <w:tc>
          <w:tcPr>
            <w:tcW w:w="2944" w:type="dxa"/>
            <w:noWrap w:val="0"/>
            <w:vAlign w:val="top"/>
          </w:tcPr>
          <w:p>
            <w:pPr>
              <w:pStyle w:val="40"/>
              <w:spacing w:before="103"/>
              <w:ind w:left="30" w:right="19"/>
              <w:jc w:val="center"/>
              <w:rPr>
                <w:color w:val="auto"/>
                <w:sz w:val="24"/>
                <w:szCs w:val="24"/>
                <w:highlight w:val="none"/>
              </w:rPr>
            </w:pPr>
            <w:r>
              <w:rPr>
                <w:color w:val="auto"/>
                <w:sz w:val="24"/>
                <w:szCs w:val="24"/>
                <w:highlight w:val="none"/>
              </w:rPr>
              <w:t>名 称</w:t>
            </w:r>
          </w:p>
        </w:tc>
        <w:tc>
          <w:tcPr>
            <w:tcW w:w="924" w:type="dxa"/>
            <w:noWrap w:val="0"/>
            <w:vAlign w:val="top"/>
          </w:tcPr>
          <w:p>
            <w:pPr>
              <w:pStyle w:val="40"/>
              <w:spacing w:before="103"/>
              <w:ind w:left="200" w:right="193"/>
              <w:jc w:val="center"/>
              <w:rPr>
                <w:color w:val="auto"/>
                <w:sz w:val="24"/>
                <w:szCs w:val="24"/>
                <w:highlight w:val="none"/>
              </w:rPr>
            </w:pPr>
            <w:r>
              <w:rPr>
                <w:color w:val="auto"/>
                <w:sz w:val="24"/>
                <w:szCs w:val="24"/>
                <w:highlight w:val="none"/>
              </w:rPr>
              <w:t>单位</w:t>
            </w:r>
          </w:p>
        </w:tc>
        <w:tc>
          <w:tcPr>
            <w:tcW w:w="756" w:type="dxa"/>
            <w:noWrap w:val="0"/>
            <w:vAlign w:val="top"/>
          </w:tcPr>
          <w:p>
            <w:pPr>
              <w:pStyle w:val="40"/>
              <w:spacing w:before="103"/>
              <w:ind w:left="116" w:right="109"/>
              <w:jc w:val="center"/>
              <w:rPr>
                <w:color w:val="auto"/>
                <w:sz w:val="24"/>
                <w:szCs w:val="24"/>
                <w:highlight w:val="none"/>
              </w:rPr>
            </w:pPr>
            <w:r>
              <w:rPr>
                <w:color w:val="auto"/>
                <w:sz w:val="24"/>
                <w:szCs w:val="24"/>
                <w:highlight w:val="none"/>
              </w:rPr>
              <w:t>数量</w:t>
            </w:r>
          </w:p>
        </w:tc>
        <w:tc>
          <w:tcPr>
            <w:tcW w:w="924" w:type="dxa"/>
            <w:noWrap w:val="0"/>
            <w:vAlign w:val="top"/>
          </w:tcPr>
          <w:p>
            <w:pPr>
              <w:pStyle w:val="40"/>
              <w:spacing w:before="103"/>
              <w:ind w:left="220"/>
              <w:rPr>
                <w:color w:val="auto"/>
                <w:sz w:val="24"/>
                <w:szCs w:val="24"/>
                <w:highlight w:val="none"/>
              </w:rPr>
            </w:pPr>
            <w:r>
              <w:rPr>
                <w:color w:val="auto"/>
                <w:sz w:val="24"/>
                <w:szCs w:val="24"/>
                <w:highlight w:val="none"/>
              </w:rPr>
              <w:t>单价</w:t>
            </w:r>
          </w:p>
        </w:tc>
        <w:tc>
          <w:tcPr>
            <w:tcW w:w="1140" w:type="dxa"/>
            <w:noWrap w:val="0"/>
            <w:vAlign w:val="top"/>
          </w:tcPr>
          <w:p>
            <w:pPr>
              <w:pStyle w:val="40"/>
              <w:spacing w:before="103"/>
              <w:ind w:left="308" w:right="301"/>
              <w:jc w:val="center"/>
              <w:rPr>
                <w:color w:val="auto"/>
                <w:sz w:val="24"/>
                <w:szCs w:val="24"/>
                <w:highlight w:val="none"/>
              </w:rPr>
            </w:pPr>
            <w:r>
              <w:rPr>
                <w:color w:val="auto"/>
                <w:sz w:val="24"/>
                <w:szCs w:val="24"/>
                <w:highlight w:val="none"/>
              </w:rPr>
              <w:t>合价</w:t>
            </w:r>
          </w:p>
        </w:tc>
        <w:tc>
          <w:tcPr>
            <w:tcW w:w="1932" w:type="dxa"/>
            <w:noWrap w:val="0"/>
            <w:vAlign w:val="top"/>
          </w:tcPr>
          <w:p>
            <w:pPr>
              <w:pStyle w:val="40"/>
              <w:spacing w:before="103"/>
              <w:ind w:left="704" w:right="697"/>
              <w:jc w:val="center"/>
              <w:rPr>
                <w:rFonts w:hint="eastAsia" w:eastAsia="宋体"/>
                <w:color w:val="auto"/>
                <w:sz w:val="24"/>
                <w:szCs w:val="24"/>
                <w:highlight w:val="none"/>
                <w:lang w:eastAsia="zh-CN"/>
              </w:rPr>
            </w:pPr>
            <w:r>
              <w:rPr>
                <w:rFonts w:hint="eastAsia"/>
                <w:color w:val="auto"/>
                <w:sz w:val="24"/>
                <w:szCs w:val="24"/>
                <w:highlight w:val="none"/>
                <w:lang w:val="en-US" w:eastAsia="zh-CN"/>
              </w:rPr>
              <w:t>供货期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679" w:type="dxa"/>
            <w:noWrap w:val="0"/>
            <w:vAlign w:val="center"/>
          </w:tcPr>
          <w:p>
            <w:pPr>
              <w:jc w:val="center"/>
              <w:rPr>
                <w:color w:val="auto"/>
                <w:sz w:val="24"/>
                <w:szCs w:val="24"/>
                <w:highlight w:val="none"/>
              </w:rPr>
            </w:pPr>
            <w:r>
              <w:rPr>
                <w:color w:val="auto"/>
                <w:sz w:val="24"/>
                <w:szCs w:val="24"/>
                <w:highlight w:val="none"/>
              </w:rPr>
              <w:t>1</w:t>
            </w:r>
          </w:p>
        </w:tc>
        <w:tc>
          <w:tcPr>
            <w:tcW w:w="2944" w:type="dxa"/>
            <w:noWrap w:val="0"/>
            <w:vAlign w:val="center"/>
          </w:tcPr>
          <w:p>
            <w:pPr>
              <w:jc w:val="center"/>
              <w:rPr>
                <w:rFonts w:hint="eastAsia" w:eastAsia="宋体"/>
                <w:color w:val="auto"/>
                <w:sz w:val="24"/>
                <w:szCs w:val="24"/>
                <w:highlight w:val="none"/>
                <w:lang w:eastAsia="zh-CN"/>
              </w:rPr>
            </w:pPr>
            <w:r>
              <w:rPr>
                <w:rFonts w:hint="eastAsia"/>
                <w:color w:val="auto"/>
                <w:sz w:val="24"/>
                <w:szCs w:val="24"/>
                <w:highlight w:val="none"/>
                <w:lang w:val="en-US" w:eastAsia="zh-CN"/>
              </w:rPr>
              <w:t>港门海岸派出所建设综合勤务指挥室及营区修缮项目</w:t>
            </w:r>
          </w:p>
        </w:tc>
        <w:tc>
          <w:tcPr>
            <w:tcW w:w="924" w:type="dxa"/>
            <w:noWrap w:val="0"/>
            <w:vAlign w:val="center"/>
          </w:tcPr>
          <w:p>
            <w:pPr>
              <w:jc w:val="center"/>
              <w:rPr>
                <w:color w:val="auto"/>
                <w:sz w:val="24"/>
                <w:szCs w:val="24"/>
                <w:highlight w:val="none"/>
              </w:rPr>
            </w:pPr>
            <w:r>
              <w:rPr>
                <w:color w:val="auto"/>
                <w:sz w:val="24"/>
                <w:szCs w:val="24"/>
                <w:highlight w:val="none"/>
              </w:rPr>
              <w:t>项</w:t>
            </w:r>
          </w:p>
        </w:tc>
        <w:tc>
          <w:tcPr>
            <w:tcW w:w="756" w:type="dxa"/>
            <w:noWrap w:val="0"/>
            <w:vAlign w:val="center"/>
          </w:tcPr>
          <w:p>
            <w:pPr>
              <w:jc w:val="center"/>
              <w:rPr>
                <w:color w:val="auto"/>
                <w:sz w:val="24"/>
                <w:szCs w:val="24"/>
                <w:highlight w:val="none"/>
              </w:rPr>
            </w:pPr>
            <w:r>
              <w:rPr>
                <w:color w:val="auto"/>
                <w:sz w:val="24"/>
                <w:szCs w:val="24"/>
                <w:highlight w:val="none"/>
              </w:rPr>
              <w:t>1</w:t>
            </w:r>
          </w:p>
        </w:tc>
        <w:tc>
          <w:tcPr>
            <w:tcW w:w="924" w:type="dxa"/>
            <w:noWrap w:val="0"/>
            <w:vAlign w:val="top"/>
          </w:tcPr>
          <w:p>
            <w:pPr>
              <w:jc w:val="center"/>
              <w:rPr>
                <w:color w:val="auto"/>
                <w:sz w:val="24"/>
                <w:szCs w:val="24"/>
                <w:highlight w:val="none"/>
              </w:rPr>
            </w:pPr>
          </w:p>
        </w:tc>
        <w:tc>
          <w:tcPr>
            <w:tcW w:w="1140" w:type="dxa"/>
            <w:noWrap w:val="0"/>
            <w:vAlign w:val="top"/>
          </w:tcPr>
          <w:p>
            <w:pPr>
              <w:jc w:val="center"/>
              <w:rPr>
                <w:color w:val="auto"/>
                <w:sz w:val="24"/>
                <w:szCs w:val="24"/>
                <w:highlight w:val="none"/>
              </w:rPr>
            </w:pPr>
          </w:p>
        </w:tc>
        <w:tc>
          <w:tcPr>
            <w:tcW w:w="1932" w:type="dxa"/>
            <w:noWrap w:val="0"/>
            <w:vAlign w:val="top"/>
          </w:tcPr>
          <w:p>
            <w:pPr>
              <w:jc w:val="center"/>
              <w:rPr>
                <w:color w:val="auto"/>
                <w:sz w:val="24"/>
                <w:szCs w:val="24"/>
                <w:highlight w:val="none"/>
              </w:rPr>
            </w:pPr>
          </w:p>
          <w:p>
            <w:pPr>
              <w:jc w:val="center"/>
              <w:rPr>
                <w:rFonts w:hint="eastAsia" w:eastAsia="宋体"/>
                <w:color w:val="auto"/>
                <w:sz w:val="24"/>
                <w:szCs w:val="24"/>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3623" w:type="dxa"/>
            <w:gridSpan w:val="2"/>
            <w:noWrap w:val="0"/>
            <w:vAlign w:val="top"/>
          </w:tcPr>
          <w:p>
            <w:pPr>
              <w:pStyle w:val="40"/>
              <w:spacing w:before="1"/>
              <w:rPr>
                <w:color w:val="auto"/>
                <w:sz w:val="24"/>
                <w:szCs w:val="24"/>
                <w:highlight w:val="none"/>
              </w:rPr>
            </w:pPr>
          </w:p>
          <w:p>
            <w:pPr>
              <w:pStyle w:val="40"/>
              <w:spacing w:before="1"/>
              <w:ind w:left="850"/>
              <w:rPr>
                <w:color w:val="auto"/>
                <w:sz w:val="24"/>
                <w:szCs w:val="24"/>
                <w:highlight w:val="none"/>
              </w:rPr>
            </w:pPr>
            <w:r>
              <w:rPr>
                <w:color w:val="auto"/>
                <w:sz w:val="24"/>
                <w:szCs w:val="24"/>
                <w:highlight w:val="none"/>
              </w:rPr>
              <w:t>本项目合计报价：</w:t>
            </w:r>
          </w:p>
        </w:tc>
        <w:tc>
          <w:tcPr>
            <w:tcW w:w="5676" w:type="dxa"/>
            <w:gridSpan w:val="5"/>
            <w:noWrap w:val="0"/>
            <w:vAlign w:val="top"/>
          </w:tcPr>
          <w:p>
            <w:pPr>
              <w:pStyle w:val="40"/>
              <w:rPr>
                <w:rFonts w:ascii="Times New Roman"/>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547" w:type="dxa"/>
            <w:gridSpan w:val="3"/>
            <w:tcBorders>
              <w:right w:val="nil"/>
            </w:tcBorders>
            <w:noWrap w:val="0"/>
            <w:vAlign w:val="top"/>
          </w:tcPr>
          <w:p>
            <w:pPr>
              <w:pStyle w:val="40"/>
              <w:tabs>
                <w:tab w:val="left" w:pos="3387"/>
              </w:tabs>
              <w:spacing w:before="101"/>
              <w:ind w:left="27"/>
              <w:rPr>
                <w:color w:val="auto"/>
                <w:sz w:val="24"/>
                <w:szCs w:val="24"/>
                <w:highlight w:val="none"/>
              </w:rPr>
            </w:pPr>
            <w:r>
              <w:rPr>
                <w:rFonts w:ascii="Times New Roman" w:eastAsia="Times New Roman"/>
                <w:color w:val="auto"/>
                <w:sz w:val="24"/>
                <w:szCs w:val="24"/>
                <w:highlight w:val="none"/>
              </w:rPr>
              <w:t>1</w:t>
            </w:r>
            <w:r>
              <w:rPr>
                <w:color w:val="auto"/>
                <w:sz w:val="24"/>
                <w:szCs w:val="24"/>
                <w:highlight w:val="none"/>
              </w:rPr>
              <w:t>、供应商企业类型：大型（</w:t>
            </w:r>
            <w:r>
              <w:rPr>
                <w:color w:val="auto"/>
                <w:sz w:val="24"/>
                <w:szCs w:val="24"/>
                <w:highlight w:val="none"/>
              </w:rPr>
              <w:tab/>
            </w:r>
            <w:r>
              <w:rPr>
                <w:color w:val="auto"/>
                <w:sz w:val="24"/>
                <w:szCs w:val="24"/>
                <w:highlight w:val="none"/>
              </w:rPr>
              <w:t>） 中型（</w:t>
            </w:r>
          </w:p>
        </w:tc>
        <w:tc>
          <w:tcPr>
            <w:tcW w:w="1680" w:type="dxa"/>
            <w:gridSpan w:val="2"/>
            <w:tcBorders>
              <w:left w:val="nil"/>
              <w:right w:val="nil"/>
            </w:tcBorders>
            <w:noWrap w:val="0"/>
            <w:vAlign w:val="top"/>
          </w:tcPr>
          <w:p>
            <w:pPr>
              <w:pStyle w:val="40"/>
              <w:spacing w:before="101"/>
              <w:ind w:left="285"/>
              <w:rPr>
                <w:color w:val="auto"/>
                <w:sz w:val="24"/>
                <w:szCs w:val="24"/>
                <w:highlight w:val="none"/>
              </w:rPr>
            </w:pPr>
            <w:r>
              <w:rPr>
                <w:color w:val="auto"/>
                <w:sz w:val="24"/>
                <w:szCs w:val="24"/>
                <w:highlight w:val="none"/>
              </w:rPr>
              <w:t>） 小型（</w:t>
            </w:r>
          </w:p>
        </w:tc>
        <w:tc>
          <w:tcPr>
            <w:tcW w:w="1140" w:type="dxa"/>
            <w:tcBorders>
              <w:left w:val="nil"/>
              <w:right w:val="nil"/>
            </w:tcBorders>
            <w:noWrap w:val="0"/>
            <w:vAlign w:val="top"/>
          </w:tcPr>
          <w:p>
            <w:pPr>
              <w:pStyle w:val="40"/>
              <w:spacing w:before="101"/>
              <w:ind w:left="31"/>
              <w:jc w:val="center"/>
              <w:rPr>
                <w:color w:val="auto"/>
                <w:sz w:val="24"/>
                <w:szCs w:val="24"/>
                <w:highlight w:val="none"/>
              </w:rPr>
            </w:pPr>
            <w:r>
              <w:rPr>
                <w:color w:val="auto"/>
                <w:sz w:val="24"/>
                <w:szCs w:val="24"/>
                <w:highlight w:val="none"/>
              </w:rPr>
              <w:t>） 微型（</w:t>
            </w:r>
          </w:p>
        </w:tc>
        <w:tc>
          <w:tcPr>
            <w:tcW w:w="1932" w:type="dxa"/>
            <w:tcBorders>
              <w:left w:val="nil"/>
            </w:tcBorders>
            <w:noWrap w:val="0"/>
            <w:vAlign w:val="top"/>
          </w:tcPr>
          <w:p>
            <w:pPr>
              <w:pStyle w:val="40"/>
              <w:spacing w:before="101"/>
              <w:ind w:left="345"/>
              <w:rPr>
                <w:color w:val="auto"/>
                <w:sz w:val="24"/>
                <w:szCs w:val="24"/>
                <w:highlight w:val="none"/>
              </w:rPr>
            </w:pPr>
            <w:r>
              <w:rPr>
                <w:color w:val="auto"/>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4547" w:type="dxa"/>
            <w:gridSpan w:val="3"/>
            <w:tcBorders>
              <w:right w:val="nil"/>
            </w:tcBorders>
            <w:noWrap w:val="0"/>
            <w:vAlign w:val="top"/>
          </w:tcPr>
          <w:p>
            <w:pPr>
              <w:pStyle w:val="40"/>
              <w:tabs>
                <w:tab w:val="left" w:pos="3987"/>
              </w:tabs>
              <w:spacing w:before="145"/>
              <w:ind w:left="27"/>
              <w:rPr>
                <w:color w:val="auto"/>
                <w:sz w:val="24"/>
                <w:szCs w:val="24"/>
                <w:highlight w:val="none"/>
              </w:rPr>
            </w:pPr>
            <w:r>
              <w:rPr>
                <w:rFonts w:ascii="Times New Roman" w:eastAsia="Times New Roman"/>
                <w:color w:val="auto"/>
                <w:sz w:val="24"/>
                <w:szCs w:val="24"/>
                <w:highlight w:val="none"/>
              </w:rPr>
              <w:t>2</w:t>
            </w:r>
            <w:r>
              <w:rPr>
                <w:color w:val="auto"/>
                <w:sz w:val="24"/>
                <w:szCs w:val="24"/>
                <w:highlight w:val="none"/>
              </w:rPr>
              <w:t>、供应商是否为监狱企业：是（</w:t>
            </w:r>
            <w:r>
              <w:rPr>
                <w:color w:val="auto"/>
                <w:sz w:val="24"/>
                <w:szCs w:val="24"/>
                <w:highlight w:val="none"/>
              </w:rPr>
              <w:tab/>
            </w:r>
            <w:r>
              <w:rPr>
                <w:color w:val="auto"/>
                <w:sz w:val="24"/>
                <w:szCs w:val="24"/>
                <w:highlight w:val="none"/>
              </w:rPr>
              <w:t>）</w:t>
            </w:r>
          </w:p>
        </w:tc>
        <w:tc>
          <w:tcPr>
            <w:tcW w:w="1680" w:type="dxa"/>
            <w:gridSpan w:val="2"/>
            <w:tcBorders>
              <w:left w:val="nil"/>
              <w:right w:val="nil"/>
            </w:tcBorders>
            <w:noWrap w:val="0"/>
            <w:vAlign w:val="top"/>
          </w:tcPr>
          <w:p>
            <w:pPr>
              <w:pStyle w:val="40"/>
              <w:tabs>
                <w:tab w:val="left" w:pos="1125"/>
              </w:tabs>
              <w:spacing w:before="145"/>
              <w:ind w:left="165"/>
              <w:rPr>
                <w:color w:val="auto"/>
                <w:sz w:val="24"/>
                <w:szCs w:val="24"/>
                <w:highlight w:val="none"/>
              </w:rPr>
            </w:pPr>
            <w:r>
              <w:rPr>
                <w:color w:val="auto"/>
                <w:sz w:val="24"/>
                <w:szCs w:val="24"/>
                <w:highlight w:val="none"/>
              </w:rPr>
              <w:t>否（</w:t>
            </w:r>
            <w:r>
              <w:rPr>
                <w:color w:val="auto"/>
                <w:sz w:val="24"/>
                <w:szCs w:val="24"/>
                <w:highlight w:val="none"/>
              </w:rPr>
              <w:tab/>
            </w:r>
            <w:r>
              <w:rPr>
                <w:color w:val="auto"/>
                <w:sz w:val="24"/>
                <w:szCs w:val="24"/>
                <w:highlight w:val="none"/>
              </w:rPr>
              <w:t>）</w:t>
            </w:r>
          </w:p>
        </w:tc>
        <w:tc>
          <w:tcPr>
            <w:tcW w:w="1140" w:type="dxa"/>
            <w:tcBorders>
              <w:left w:val="nil"/>
              <w:right w:val="nil"/>
            </w:tcBorders>
            <w:noWrap w:val="0"/>
            <w:vAlign w:val="top"/>
          </w:tcPr>
          <w:p>
            <w:pPr>
              <w:pStyle w:val="40"/>
              <w:rPr>
                <w:rFonts w:ascii="Times New Roman"/>
                <w:color w:val="auto"/>
                <w:sz w:val="24"/>
                <w:szCs w:val="24"/>
                <w:highlight w:val="none"/>
              </w:rPr>
            </w:pPr>
          </w:p>
        </w:tc>
        <w:tc>
          <w:tcPr>
            <w:tcW w:w="1932" w:type="dxa"/>
            <w:tcBorders>
              <w:left w:val="nil"/>
            </w:tcBorders>
            <w:noWrap w:val="0"/>
            <w:vAlign w:val="top"/>
          </w:tcPr>
          <w:p>
            <w:pPr>
              <w:pStyle w:val="40"/>
              <w:rPr>
                <w:rFonts w:ascii="Times New Roman"/>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4547" w:type="dxa"/>
            <w:gridSpan w:val="3"/>
            <w:tcBorders>
              <w:right w:val="nil"/>
            </w:tcBorders>
            <w:noWrap w:val="0"/>
            <w:vAlign w:val="top"/>
          </w:tcPr>
          <w:p>
            <w:pPr>
              <w:pStyle w:val="40"/>
              <w:spacing w:before="155"/>
              <w:ind w:left="27"/>
              <w:rPr>
                <w:color w:val="auto"/>
                <w:sz w:val="24"/>
                <w:szCs w:val="24"/>
                <w:highlight w:val="none"/>
              </w:rPr>
            </w:pPr>
            <w:r>
              <w:rPr>
                <w:rFonts w:ascii="Times New Roman" w:eastAsia="Times New Roman"/>
                <w:color w:val="auto"/>
                <w:sz w:val="24"/>
                <w:szCs w:val="24"/>
                <w:highlight w:val="none"/>
              </w:rPr>
              <w:t>3</w:t>
            </w:r>
            <w:r>
              <w:rPr>
                <w:color w:val="auto"/>
                <w:sz w:val="24"/>
                <w:szCs w:val="24"/>
                <w:highlight w:val="none"/>
              </w:rPr>
              <w:t>、供应商是否为残疾人福利性单位：是（</w:t>
            </w:r>
          </w:p>
        </w:tc>
        <w:tc>
          <w:tcPr>
            <w:tcW w:w="1680" w:type="dxa"/>
            <w:gridSpan w:val="2"/>
            <w:tcBorders>
              <w:left w:val="nil"/>
              <w:right w:val="nil"/>
            </w:tcBorders>
            <w:noWrap w:val="0"/>
            <w:vAlign w:val="top"/>
          </w:tcPr>
          <w:p>
            <w:pPr>
              <w:pStyle w:val="40"/>
              <w:tabs>
                <w:tab w:val="left" w:pos="1125"/>
              </w:tabs>
              <w:spacing w:before="155"/>
              <w:ind w:left="405"/>
              <w:rPr>
                <w:color w:val="auto"/>
                <w:sz w:val="24"/>
                <w:szCs w:val="24"/>
                <w:highlight w:val="none"/>
              </w:rPr>
            </w:pPr>
            <w:r>
              <w:rPr>
                <w:color w:val="auto"/>
                <w:sz w:val="24"/>
                <w:szCs w:val="24"/>
                <w:highlight w:val="none"/>
              </w:rPr>
              <w:t>）</w:t>
            </w:r>
            <w:r>
              <w:rPr>
                <w:color w:val="auto"/>
                <w:sz w:val="24"/>
                <w:szCs w:val="24"/>
                <w:highlight w:val="none"/>
              </w:rPr>
              <w:tab/>
            </w:r>
            <w:r>
              <w:rPr>
                <w:color w:val="auto"/>
                <w:sz w:val="24"/>
                <w:szCs w:val="24"/>
                <w:highlight w:val="none"/>
              </w:rPr>
              <w:t>否（</w:t>
            </w:r>
          </w:p>
        </w:tc>
        <w:tc>
          <w:tcPr>
            <w:tcW w:w="1140" w:type="dxa"/>
            <w:tcBorders>
              <w:left w:val="nil"/>
              <w:right w:val="nil"/>
            </w:tcBorders>
            <w:noWrap w:val="0"/>
            <w:vAlign w:val="top"/>
          </w:tcPr>
          <w:p>
            <w:pPr>
              <w:pStyle w:val="40"/>
              <w:spacing w:before="155"/>
              <w:ind w:right="86"/>
              <w:jc w:val="center"/>
              <w:rPr>
                <w:color w:val="auto"/>
                <w:sz w:val="24"/>
                <w:szCs w:val="24"/>
                <w:highlight w:val="none"/>
              </w:rPr>
            </w:pPr>
            <w:r>
              <w:rPr>
                <w:color w:val="auto"/>
                <w:sz w:val="24"/>
                <w:szCs w:val="24"/>
                <w:highlight w:val="none"/>
              </w:rPr>
              <w:t>）</w:t>
            </w:r>
          </w:p>
        </w:tc>
        <w:tc>
          <w:tcPr>
            <w:tcW w:w="1932" w:type="dxa"/>
            <w:tcBorders>
              <w:left w:val="nil"/>
            </w:tcBorders>
            <w:noWrap w:val="0"/>
            <w:vAlign w:val="top"/>
          </w:tcPr>
          <w:p>
            <w:pPr>
              <w:pStyle w:val="40"/>
              <w:rPr>
                <w:rFonts w:ascii="Times New Roman"/>
                <w:color w:val="auto"/>
                <w:sz w:val="24"/>
                <w:szCs w:val="24"/>
                <w:highlight w:val="none"/>
              </w:rPr>
            </w:pPr>
          </w:p>
        </w:tc>
      </w:tr>
    </w:tbl>
    <w:p>
      <w:pPr>
        <w:spacing w:line="360" w:lineRule="auto"/>
        <w:rPr>
          <w:color w:val="auto"/>
          <w:sz w:val="24"/>
          <w:szCs w:val="24"/>
          <w:highlight w:val="none"/>
        </w:rPr>
      </w:pPr>
    </w:p>
    <w:p>
      <w:pPr>
        <w:spacing w:line="360" w:lineRule="auto"/>
        <w:rPr>
          <w:rFonts w:hint="eastAsia"/>
          <w:color w:val="auto"/>
          <w:sz w:val="24"/>
          <w:szCs w:val="24"/>
          <w:highlight w:val="none"/>
        </w:rPr>
      </w:pPr>
    </w:p>
    <w:p>
      <w:pPr>
        <w:spacing w:line="360" w:lineRule="auto"/>
        <w:rPr>
          <w:color w:val="auto"/>
          <w:sz w:val="24"/>
          <w:szCs w:val="24"/>
          <w:highlight w:val="none"/>
        </w:rPr>
      </w:pPr>
      <w:r>
        <w:rPr>
          <w:rFonts w:hint="eastAsia"/>
          <w:color w:val="auto"/>
          <w:sz w:val="24"/>
          <w:szCs w:val="24"/>
          <w:highlight w:val="none"/>
        </w:rPr>
        <w:t>供应商：（填写名称并盖章）</w:t>
      </w:r>
    </w:p>
    <w:p>
      <w:pPr>
        <w:spacing w:line="360" w:lineRule="auto"/>
        <w:rPr>
          <w:color w:val="auto"/>
          <w:sz w:val="24"/>
          <w:szCs w:val="24"/>
          <w:highlight w:val="none"/>
        </w:rPr>
      </w:pPr>
    </w:p>
    <w:p>
      <w:pPr>
        <w:spacing w:line="360" w:lineRule="auto"/>
        <w:rPr>
          <w:color w:val="auto"/>
          <w:sz w:val="24"/>
          <w:szCs w:val="24"/>
          <w:highlight w:val="none"/>
        </w:rPr>
      </w:pPr>
      <w:r>
        <w:rPr>
          <w:rFonts w:hint="eastAsia"/>
          <w:color w:val="auto"/>
          <w:sz w:val="24"/>
          <w:szCs w:val="24"/>
          <w:highlight w:val="none"/>
        </w:rPr>
        <w:t>法定代表人或授权代表签字：（签字或盖章）</w:t>
      </w:r>
    </w:p>
    <w:p>
      <w:pPr>
        <w:spacing w:line="360" w:lineRule="auto"/>
        <w:rPr>
          <w:rFonts w:hint="eastAsia"/>
          <w:color w:val="auto"/>
          <w:sz w:val="24"/>
          <w:szCs w:val="24"/>
          <w:highlight w:val="none"/>
        </w:rPr>
      </w:pPr>
      <w:r>
        <w:rPr>
          <w:rFonts w:hint="eastAsia"/>
          <w:color w:val="auto"/>
          <w:sz w:val="24"/>
          <w:szCs w:val="24"/>
          <w:highlight w:val="none"/>
        </w:rPr>
        <w:t>注：</w:t>
      </w:r>
    </w:p>
    <w:p>
      <w:pPr>
        <w:spacing w:line="360" w:lineRule="auto"/>
        <w:rPr>
          <w:rFonts w:hint="eastAsia"/>
          <w:color w:val="auto"/>
          <w:sz w:val="24"/>
          <w:szCs w:val="24"/>
          <w:highlight w:val="none"/>
        </w:rPr>
      </w:pPr>
      <w:r>
        <w:rPr>
          <w:rFonts w:hint="eastAsia"/>
          <w:color w:val="auto"/>
          <w:sz w:val="24"/>
          <w:szCs w:val="24"/>
          <w:highlight w:val="none"/>
        </w:rPr>
        <w:t>1、供应商企业类型、是否监狱企业栏和是否残疾人福利性单位栏，供应商须在相应的括弧里打勾（√），否则承担不利后果。</w:t>
      </w:r>
    </w:p>
    <w:p>
      <w:pPr>
        <w:spacing w:line="360" w:lineRule="auto"/>
        <w:rPr>
          <w:rFonts w:hint="eastAsia"/>
          <w:color w:val="auto"/>
          <w:sz w:val="24"/>
          <w:szCs w:val="24"/>
          <w:highlight w:val="none"/>
        </w:rPr>
      </w:pPr>
      <w:r>
        <w:rPr>
          <w:rFonts w:hint="eastAsia"/>
          <w:color w:val="auto"/>
          <w:sz w:val="24"/>
          <w:szCs w:val="24"/>
          <w:highlight w:val="none"/>
        </w:rPr>
        <w:t>2、本项目对小微企业、监狱企业、残疾人福利性单位的报价给予</w:t>
      </w:r>
      <w:r>
        <w:rPr>
          <w:rFonts w:hint="eastAsia"/>
          <w:color w:val="auto"/>
          <w:sz w:val="24"/>
          <w:szCs w:val="24"/>
          <w:highlight w:val="none"/>
          <w:lang w:val="en-US" w:eastAsia="zh-CN"/>
        </w:rPr>
        <w:t>6</w:t>
      </w:r>
      <w:r>
        <w:rPr>
          <w:rFonts w:hint="eastAsia"/>
          <w:color w:val="auto"/>
          <w:sz w:val="24"/>
          <w:szCs w:val="24"/>
          <w:highlight w:val="none"/>
        </w:rPr>
        <w:t>%的扣除，用扣除后的价格参与价格评审。扣除后的价格仅用来计算价格得分，成交金额以最后报价为准。供应商须按要求提供声明函（格式文件附后），否则将不进行价格扣除。</w:t>
      </w:r>
    </w:p>
    <w:p>
      <w:pPr>
        <w:spacing w:line="360" w:lineRule="auto"/>
        <w:rPr>
          <w:rFonts w:hint="eastAsia"/>
          <w:color w:val="auto"/>
          <w:sz w:val="24"/>
          <w:szCs w:val="24"/>
          <w:highlight w:val="none"/>
        </w:rPr>
      </w:pPr>
      <w:r>
        <w:rPr>
          <w:rFonts w:hint="eastAsia"/>
          <w:color w:val="auto"/>
          <w:sz w:val="24"/>
          <w:szCs w:val="24"/>
          <w:highlight w:val="none"/>
        </w:rPr>
        <w:t>3、供应商同时为小微企业、监狱企业或残疾人福利性单位的，评审中只享受一次价格扣除，不重复进行价格扣除。</w:t>
      </w:r>
    </w:p>
    <w:p>
      <w:pPr>
        <w:spacing w:before="47"/>
        <w:jc w:val="both"/>
        <w:rPr>
          <w:rFonts w:hint="eastAsia"/>
        </w:rPr>
      </w:pPr>
      <w:r>
        <w:rPr>
          <w:rFonts w:hint="eastAsia"/>
          <w:color w:val="auto"/>
          <w:sz w:val="24"/>
          <w:szCs w:val="24"/>
          <w:highlight w:val="none"/>
        </w:rPr>
        <w:t>4、供应商应如实填写企业信息，如有虚假，将依法承担相应责任。</w:t>
      </w:r>
    </w:p>
    <w:p>
      <w:pPr>
        <w:spacing w:after="0" w:line="360" w:lineRule="auto"/>
        <w:ind w:left="240" w:right="0" w:firstLine="0"/>
        <w:jc w:val="left"/>
      </w:pPr>
      <w:r>
        <w:rPr>
          <w:rFonts w:hint="eastAsia"/>
          <w:b/>
          <w:sz w:val="32"/>
        </w:rPr>
        <w:t>2</w:t>
      </w:r>
      <w:r>
        <w:rPr>
          <w:rFonts w:hint="eastAsia" w:ascii="宋体" w:hAnsi="宋体" w:eastAsia="宋体"/>
          <w:b/>
          <w:sz w:val="32"/>
        </w:rPr>
        <w:t>.</w:t>
      </w:r>
      <w:r>
        <w:rPr>
          <w:rFonts w:eastAsia="Times New Roman"/>
          <w:b/>
          <w:sz w:val="32"/>
        </w:rPr>
        <w:t>1</w:t>
      </w:r>
      <w:r>
        <w:rPr>
          <w:rFonts w:hint="eastAsia" w:eastAsia="宋体"/>
          <w:b/>
          <w:sz w:val="32"/>
          <w:lang w:eastAsia="zh-CN"/>
        </w:rPr>
        <w:t>、</w:t>
      </w:r>
      <w:r>
        <w:rPr>
          <w:rFonts w:hint="eastAsia" w:ascii="宋体" w:hAnsi="宋体" w:eastAsia="宋体" w:cs="宋体"/>
          <w:b/>
          <w:bCs/>
          <w:color w:val="auto"/>
          <w:sz w:val="32"/>
          <w:highlight w:val="none"/>
          <w:lang w:eastAsia="zh-CN"/>
        </w:rPr>
        <w:t>分项报价明细表</w:t>
      </w:r>
    </w:p>
    <w:tbl>
      <w:tblPr>
        <w:tblStyle w:val="65"/>
        <w:tblpPr w:leftFromText="180" w:rightFromText="180" w:vertAnchor="text" w:horzAnchor="page" w:tblpX="1254" w:tblpY="1060"/>
        <w:tblOverlap w:val="never"/>
        <w:tblW w:w="9713" w:type="dxa"/>
        <w:tblInd w:w="0" w:type="dxa"/>
        <w:tblLayout w:type="autofit"/>
        <w:tblCellMar>
          <w:top w:w="0" w:type="dxa"/>
          <w:left w:w="106" w:type="dxa"/>
          <w:bottom w:w="0" w:type="dxa"/>
          <w:right w:w="0" w:type="dxa"/>
        </w:tblCellMar>
      </w:tblPr>
      <w:tblGrid>
        <w:gridCol w:w="663"/>
        <w:gridCol w:w="2201"/>
        <w:gridCol w:w="1118"/>
        <w:gridCol w:w="1073"/>
        <w:gridCol w:w="1284"/>
        <w:gridCol w:w="1687"/>
        <w:gridCol w:w="1687"/>
      </w:tblGrid>
      <w:tr>
        <w:tblPrEx>
          <w:tblCellMar>
            <w:top w:w="0" w:type="dxa"/>
            <w:left w:w="106" w:type="dxa"/>
            <w:bottom w:w="0" w:type="dxa"/>
            <w:right w:w="0" w:type="dxa"/>
          </w:tblCellMar>
        </w:tblPrEx>
        <w:trPr>
          <w:trHeight w:val="953" w:hRule="atLeast"/>
        </w:trPr>
        <w:tc>
          <w:tcPr>
            <w:tcW w:w="6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bidi="zh-CN"/>
              </w:rPr>
            </w:pPr>
            <w:r>
              <w:rPr>
                <w:rFonts w:hint="eastAsia" w:eastAsia="宋体" w:cs="宋体"/>
                <w:i w:val="0"/>
                <w:iCs w:val="0"/>
                <w:color w:val="000000"/>
                <w:sz w:val="24"/>
                <w:szCs w:val="24"/>
                <w:u w:val="none"/>
                <w:lang w:eastAsia="zh-CN"/>
              </w:rPr>
              <w:t>序号</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bidi="zh-CN"/>
              </w:rPr>
            </w:pPr>
            <w:r>
              <w:rPr>
                <w:rFonts w:hint="eastAsia" w:ascii="宋体" w:hAnsi="宋体" w:eastAsia="宋体" w:cs="宋体"/>
                <w:i w:val="0"/>
                <w:iCs w:val="0"/>
                <w:color w:val="000000"/>
                <w:sz w:val="24"/>
                <w:szCs w:val="24"/>
                <w:u w:val="none"/>
                <w:lang w:val="en-US" w:eastAsia="zh-CN"/>
              </w:rPr>
              <w:t>名称规格</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zh-CN" w:eastAsia="zh-CN" w:bidi="zh-CN"/>
              </w:rPr>
            </w:pPr>
            <w:r>
              <w:rPr>
                <w:rFonts w:hint="eastAsia" w:ascii="宋体" w:hAnsi="宋体" w:eastAsia="宋体" w:cs="宋体"/>
                <w:i w:val="0"/>
                <w:iCs w:val="0"/>
                <w:color w:val="000000"/>
                <w:kern w:val="0"/>
                <w:sz w:val="24"/>
                <w:szCs w:val="24"/>
                <w:u w:val="none"/>
                <w:lang w:val="en-US" w:eastAsia="zh-CN" w:bidi="ar"/>
              </w:rPr>
              <w:t>数量</w:t>
            </w:r>
          </w:p>
        </w:tc>
        <w:tc>
          <w:tcPr>
            <w:tcW w:w="10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zh-CN" w:eastAsia="zh-CN" w:bidi="zh-CN"/>
              </w:rPr>
            </w:pPr>
            <w:r>
              <w:rPr>
                <w:rFonts w:hint="eastAsia" w:ascii="宋体" w:hAnsi="宋体" w:eastAsia="宋体" w:cs="宋体"/>
                <w:i w:val="0"/>
                <w:iCs w:val="0"/>
                <w:color w:val="000000"/>
                <w:kern w:val="0"/>
                <w:sz w:val="24"/>
                <w:szCs w:val="24"/>
                <w:u w:val="none"/>
                <w:lang w:val="en-US" w:eastAsia="zh-CN" w:bidi="ar"/>
              </w:rPr>
              <w:t>单位</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lang w:val="zh-CN" w:eastAsia="zh-CN"/>
              </w:rPr>
            </w:pPr>
            <w:r>
              <w:rPr>
                <w:rFonts w:hint="eastAsia" w:ascii="宋体" w:hAnsi="宋体" w:eastAsia="宋体" w:cs="宋体"/>
                <w:i w:val="0"/>
                <w:iCs w:val="0"/>
                <w:color w:val="000000"/>
                <w:kern w:val="0"/>
                <w:sz w:val="24"/>
                <w:szCs w:val="24"/>
                <w:u w:val="none"/>
                <w:lang w:val="en-US" w:eastAsia="zh-CN" w:bidi="ar"/>
              </w:rPr>
              <w:t>单价</w:t>
            </w: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34" w:right="0" w:firstLine="0"/>
              <w:jc w:val="center"/>
              <w:rPr>
                <w:rFonts w:hint="eastAsia" w:eastAsia="宋体"/>
                <w:lang w:eastAsia="zh-CN"/>
              </w:rPr>
            </w:pPr>
            <w:r>
              <w:rPr>
                <w:rFonts w:hint="eastAsia"/>
                <w:lang w:eastAsia="zh-CN"/>
              </w:rPr>
              <w:t>单项总价</w:t>
            </w: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34" w:right="0" w:firstLine="0"/>
              <w:jc w:val="center"/>
            </w:pPr>
            <w:r>
              <w:t>备注</w:t>
            </w:r>
          </w:p>
        </w:tc>
      </w:tr>
      <w:tr>
        <w:tblPrEx>
          <w:tblCellMar>
            <w:top w:w="0" w:type="dxa"/>
            <w:left w:w="106" w:type="dxa"/>
            <w:bottom w:w="0" w:type="dxa"/>
            <w:right w:w="0" w:type="dxa"/>
          </w:tblCellMar>
        </w:tblPrEx>
        <w:trPr>
          <w:trHeight w:val="560" w:hRule="atLeast"/>
        </w:trPr>
        <w:tc>
          <w:tcPr>
            <w:tcW w:w="663"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0" w:right="98" w:firstLine="0"/>
              <w:jc w:val="center"/>
              <w:rPr>
                <w:rFonts w:hint="eastAsia"/>
                <w:lang w:val="en-US" w:eastAsia="zh-CN"/>
              </w:rPr>
            </w:pPr>
            <w:r>
              <w:rPr>
                <w:rFonts w:hint="eastAsia"/>
              </w:rPr>
              <w:t>1</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0" w:right="98" w:firstLine="0"/>
              <w:jc w:val="center"/>
              <w:rPr>
                <w:rFonts w:hint="eastAsia"/>
                <w:lang w:val="en-US" w:eastAsia="zh-CN"/>
              </w:rPr>
            </w:pP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c>
          <w:tcPr>
            <w:tcW w:w="1073"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c>
          <w:tcPr>
            <w:tcW w:w="1284"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69" w:firstLine="0"/>
              <w:jc w:val="both"/>
            </w:pP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69" w:firstLine="0"/>
              <w:jc w:val="both"/>
            </w:pPr>
          </w:p>
        </w:tc>
      </w:tr>
      <w:tr>
        <w:tblPrEx>
          <w:tblCellMar>
            <w:top w:w="0" w:type="dxa"/>
            <w:left w:w="106" w:type="dxa"/>
            <w:bottom w:w="0" w:type="dxa"/>
            <w:right w:w="0" w:type="dxa"/>
          </w:tblCellMar>
        </w:tblPrEx>
        <w:trPr>
          <w:trHeight w:val="560" w:hRule="atLeast"/>
        </w:trPr>
        <w:tc>
          <w:tcPr>
            <w:tcW w:w="663"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0" w:right="98" w:firstLine="0"/>
              <w:jc w:val="center"/>
              <w:rPr>
                <w:rFonts w:hint="eastAsia"/>
                <w:lang w:val="en-US" w:eastAsia="zh-CN"/>
              </w:rPr>
            </w:pPr>
            <w:r>
              <w:rPr>
                <w:rFonts w:hint="eastAsia"/>
              </w:rPr>
              <w:t>2</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0" w:right="98" w:firstLine="0"/>
              <w:jc w:val="center"/>
              <w:rPr>
                <w:rFonts w:hint="eastAsia"/>
                <w:lang w:val="en-US" w:eastAsia="zh-CN"/>
              </w:rPr>
            </w:pP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c>
          <w:tcPr>
            <w:tcW w:w="1073"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c>
          <w:tcPr>
            <w:tcW w:w="1284"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69" w:firstLine="0"/>
              <w:jc w:val="both"/>
            </w:pP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69" w:firstLine="0"/>
              <w:jc w:val="both"/>
            </w:pPr>
          </w:p>
        </w:tc>
      </w:tr>
      <w:tr>
        <w:tblPrEx>
          <w:tblCellMar>
            <w:top w:w="0" w:type="dxa"/>
            <w:left w:w="106" w:type="dxa"/>
            <w:bottom w:w="0" w:type="dxa"/>
            <w:right w:w="0" w:type="dxa"/>
          </w:tblCellMar>
        </w:tblPrEx>
        <w:trPr>
          <w:trHeight w:val="560" w:hRule="atLeast"/>
        </w:trPr>
        <w:tc>
          <w:tcPr>
            <w:tcW w:w="663"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0" w:right="98" w:firstLine="0"/>
              <w:jc w:val="center"/>
              <w:rPr>
                <w:rFonts w:hint="eastAsia"/>
                <w:lang w:val="en-US" w:eastAsia="zh-CN"/>
              </w:rPr>
            </w:pPr>
            <w:r>
              <w:rPr>
                <w:rFonts w:hint="eastAsia"/>
              </w:rPr>
              <w:t>3</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0" w:right="98" w:firstLine="0"/>
              <w:jc w:val="center"/>
              <w:rPr>
                <w:rFonts w:hint="eastAsia"/>
                <w:lang w:val="en-US" w:eastAsia="zh-CN"/>
              </w:rPr>
            </w:pP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c>
          <w:tcPr>
            <w:tcW w:w="1073"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c>
          <w:tcPr>
            <w:tcW w:w="1284"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69" w:firstLine="0"/>
              <w:jc w:val="both"/>
            </w:pP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69" w:firstLine="0"/>
              <w:jc w:val="both"/>
            </w:pPr>
          </w:p>
        </w:tc>
      </w:tr>
      <w:tr>
        <w:tblPrEx>
          <w:tblCellMar>
            <w:top w:w="0" w:type="dxa"/>
            <w:left w:w="106" w:type="dxa"/>
            <w:bottom w:w="0" w:type="dxa"/>
            <w:right w:w="0" w:type="dxa"/>
          </w:tblCellMar>
        </w:tblPrEx>
        <w:trPr>
          <w:trHeight w:val="560" w:hRule="atLeast"/>
        </w:trPr>
        <w:tc>
          <w:tcPr>
            <w:tcW w:w="663"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0" w:right="98" w:firstLine="0"/>
              <w:jc w:val="center"/>
              <w:rPr>
                <w:rFonts w:hint="eastAsia"/>
                <w:lang w:val="en-US" w:eastAsia="zh-CN"/>
              </w:rPr>
            </w:pPr>
            <w:r>
              <w:rPr>
                <w:rFonts w:hint="eastAsia"/>
              </w:rPr>
              <w:t>4</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0" w:right="98" w:firstLine="0"/>
              <w:jc w:val="center"/>
              <w:rPr>
                <w:rFonts w:hint="eastAsia"/>
                <w:lang w:val="en-US" w:eastAsia="zh-CN"/>
              </w:rPr>
            </w:pP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c>
          <w:tcPr>
            <w:tcW w:w="1073"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c>
          <w:tcPr>
            <w:tcW w:w="1284"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69" w:firstLine="0"/>
              <w:jc w:val="both"/>
            </w:pP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69" w:firstLine="0"/>
              <w:jc w:val="both"/>
            </w:pPr>
          </w:p>
        </w:tc>
      </w:tr>
      <w:tr>
        <w:tblPrEx>
          <w:tblCellMar>
            <w:top w:w="0" w:type="dxa"/>
            <w:left w:w="106" w:type="dxa"/>
            <w:bottom w:w="0" w:type="dxa"/>
            <w:right w:w="0" w:type="dxa"/>
          </w:tblCellMar>
        </w:tblPrEx>
        <w:trPr>
          <w:trHeight w:val="560" w:hRule="atLeast"/>
        </w:trPr>
        <w:tc>
          <w:tcPr>
            <w:tcW w:w="663"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0" w:right="98" w:firstLine="0"/>
              <w:jc w:val="center"/>
              <w:rPr>
                <w:rFonts w:hint="eastAsia"/>
                <w:lang w:val="en-US" w:eastAsia="zh-CN"/>
              </w:rPr>
            </w:pPr>
            <w:r>
              <w:rPr>
                <w:rFonts w:hint="eastAsia"/>
              </w:rPr>
              <w:t>5</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0" w:right="98" w:firstLine="0"/>
              <w:jc w:val="center"/>
              <w:rPr>
                <w:rFonts w:hint="eastAsia"/>
                <w:lang w:val="en-US" w:eastAsia="zh-CN"/>
              </w:rPr>
            </w:pP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c>
          <w:tcPr>
            <w:tcW w:w="1073"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c>
          <w:tcPr>
            <w:tcW w:w="1284"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69" w:firstLine="0"/>
              <w:jc w:val="both"/>
            </w:pP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69" w:firstLine="0"/>
              <w:jc w:val="both"/>
            </w:pPr>
          </w:p>
        </w:tc>
      </w:tr>
      <w:tr>
        <w:tblPrEx>
          <w:tblCellMar>
            <w:top w:w="0" w:type="dxa"/>
            <w:left w:w="106" w:type="dxa"/>
            <w:bottom w:w="0" w:type="dxa"/>
            <w:right w:w="0" w:type="dxa"/>
          </w:tblCellMar>
        </w:tblPrEx>
        <w:trPr>
          <w:trHeight w:val="560" w:hRule="atLeast"/>
        </w:trPr>
        <w:tc>
          <w:tcPr>
            <w:tcW w:w="663"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0" w:right="98" w:firstLine="0"/>
              <w:jc w:val="center"/>
              <w:rPr>
                <w:rFonts w:hint="eastAsia"/>
                <w:lang w:val="en-US" w:eastAsia="zh-CN"/>
              </w:rPr>
            </w:pPr>
            <w:r>
              <w:rPr>
                <w:rFonts w:hint="eastAsia"/>
              </w:rPr>
              <w:t>6</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0" w:right="98" w:firstLine="0"/>
              <w:jc w:val="center"/>
              <w:rPr>
                <w:rFonts w:hint="eastAsia"/>
                <w:lang w:val="en-US" w:eastAsia="zh-CN"/>
              </w:rPr>
            </w:pP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c>
          <w:tcPr>
            <w:tcW w:w="1073"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c>
          <w:tcPr>
            <w:tcW w:w="1284"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69" w:firstLine="0"/>
              <w:jc w:val="both"/>
            </w:pP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69" w:firstLine="0"/>
              <w:jc w:val="both"/>
            </w:pPr>
          </w:p>
        </w:tc>
      </w:tr>
      <w:tr>
        <w:tblPrEx>
          <w:tblCellMar>
            <w:top w:w="0" w:type="dxa"/>
            <w:left w:w="106" w:type="dxa"/>
            <w:bottom w:w="0" w:type="dxa"/>
            <w:right w:w="0" w:type="dxa"/>
          </w:tblCellMar>
        </w:tblPrEx>
        <w:trPr>
          <w:trHeight w:val="560" w:hRule="atLeast"/>
        </w:trPr>
        <w:tc>
          <w:tcPr>
            <w:tcW w:w="663"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0" w:right="98" w:firstLine="0"/>
              <w:jc w:val="center"/>
              <w:rPr>
                <w:rFonts w:hint="eastAsia"/>
                <w:lang w:val="en-US" w:eastAsia="zh-CN"/>
              </w:rPr>
            </w:pPr>
            <w:r>
              <w:rPr>
                <w:rFonts w:hint="eastAsia"/>
              </w:rPr>
              <w:t>7</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0" w:right="98" w:firstLine="0"/>
              <w:jc w:val="center"/>
              <w:rPr>
                <w:rFonts w:hint="eastAsia"/>
                <w:lang w:val="en-US" w:eastAsia="zh-CN"/>
              </w:rPr>
            </w:pP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c>
          <w:tcPr>
            <w:tcW w:w="1073"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c>
          <w:tcPr>
            <w:tcW w:w="1284"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69" w:firstLine="0"/>
              <w:jc w:val="both"/>
            </w:pP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69" w:firstLine="0"/>
              <w:jc w:val="both"/>
            </w:pPr>
          </w:p>
        </w:tc>
      </w:tr>
      <w:tr>
        <w:tblPrEx>
          <w:tblCellMar>
            <w:top w:w="0" w:type="dxa"/>
            <w:left w:w="106" w:type="dxa"/>
            <w:bottom w:w="0" w:type="dxa"/>
            <w:right w:w="0" w:type="dxa"/>
          </w:tblCellMar>
        </w:tblPrEx>
        <w:trPr>
          <w:trHeight w:val="557" w:hRule="atLeast"/>
        </w:trPr>
        <w:tc>
          <w:tcPr>
            <w:tcW w:w="663"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r>
              <w:t xml:space="preserve">..... </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0" w:right="0" w:firstLine="0"/>
            </w:pPr>
            <w:r>
              <w:t xml:space="preserve"> </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r>
              <w:t xml:space="preserve"> </w:t>
            </w:r>
          </w:p>
        </w:tc>
        <w:tc>
          <w:tcPr>
            <w:tcW w:w="1073"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r>
              <w:t xml:space="preserve"> </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r>
              <w:t xml:space="preserve"> </w:t>
            </w: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r>
              <w:t xml:space="preserve"> </w:t>
            </w:r>
          </w:p>
        </w:tc>
      </w:tr>
      <w:tr>
        <w:tblPrEx>
          <w:tblCellMar>
            <w:top w:w="0" w:type="dxa"/>
            <w:left w:w="106" w:type="dxa"/>
            <w:bottom w:w="0" w:type="dxa"/>
            <w:right w:w="0" w:type="dxa"/>
          </w:tblCellMar>
        </w:tblPrEx>
        <w:trPr>
          <w:trHeight w:val="557" w:hRule="atLeast"/>
        </w:trPr>
        <w:tc>
          <w:tcPr>
            <w:tcW w:w="663"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c>
          <w:tcPr>
            <w:tcW w:w="5676" w:type="dxa"/>
            <w:gridSpan w:val="4"/>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jc w:val="center"/>
            </w:pPr>
            <w:r>
              <w:rPr>
                <w:rFonts w:hint="eastAsia"/>
                <w:lang w:eastAsia="zh-CN"/>
              </w:rPr>
              <w:t>总价</w:t>
            </w: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spacing w:after="0" w:line="360" w:lineRule="auto"/>
              <w:ind w:left="2" w:right="0" w:firstLine="0"/>
            </w:pPr>
          </w:p>
        </w:tc>
      </w:tr>
    </w:tbl>
    <w:p>
      <w:pPr>
        <w:spacing w:after="0" w:line="360" w:lineRule="auto"/>
        <w:ind w:left="-15" w:firstLine="240"/>
      </w:pPr>
      <w:r>
        <w:t>项目名称：</w:t>
      </w:r>
      <w:r>
        <w:rPr>
          <w:u w:val="single" w:color="000000"/>
        </w:rPr>
        <w:t xml:space="preserve">                      </w:t>
      </w:r>
      <w:r>
        <w:t xml:space="preserve">    招标编号：</w:t>
      </w:r>
      <w:r>
        <w:rPr>
          <w:u w:val="single" w:color="000000"/>
        </w:rPr>
        <w:t xml:space="preserve">  </w:t>
      </w:r>
      <w:r>
        <w:rPr>
          <w:rFonts w:hint="eastAsia"/>
          <w:u w:val="single" w:color="000000"/>
          <w:lang w:val="en-US" w:eastAsia="zh-CN"/>
        </w:rPr>
        <w:t xml:space="preserve">              </w:t>
      </w:r>
      <w:r>
        <w:rPr>
          <w:u w:val="single" w:color="000000"/>
        </w:rPr>
        <w:t xml:space="preserve">  </w:t>
      </w:r>
      <w:r>
        <w:t xml:space="preserve">    </w:t>
      </w:r>
    </w:p>
    <w:p>
      <w:pPr>
        <w:spacing w:after="0" w:line="360" w:lineRule="auto"/>
        <w:ind w:left="425" w:right="0" w:firstLine="0"/>
      </w:pPr>
      <w:r>
        <w:t xml:space="preserve"> </w:t>
      </w:r>
    </w:p>
    <w:p>
      <w:pPr>
        <w:spacing w:after="0" w:line="360" w:lineRule="auto"/>
        <w:ind w:left="435" w:right="0"/>
      </w:pPr>
    </w:p>
    <w:p>
      <w:pPr>
        <w:spacing w:after="0" w:line="360" w:lineRule="auto"/>
        <w:ind w:left="435" w:right="0"/>
      </w:pPr>
      <w:r>
        <w:t>投标单位：</w:t>
      </w:r>
      <w:r>
        <w:rPr>
          <w:u w:val="single" w:color="000000"/>
        </w:rPr>
        <w:t xml:space="preserve">            （公章）</w:t>
      </w:r>
      <w:r>
        <w:t xml:space="preserve"> </w:t>
      </w:r>
    </w:p>
    <w:p>
      <w:pPr>
        <w:spacing w:after="0" w:line="360" w:lineRule="auto"/>
        <w:ind w:left="427" w:right="0" w:firstLine="0"/>
      </w:pPr>
      <w:r>
        <w:t xml:space="preserve"> </w:t>
      </w:r>
    </w:p>
    <w:p>
      <w:pPr>
        <w:spacing w:after="0" w:line="360" w:lineRule="auto"/>
        <w:ind w:left="435" w:right="0"/>
      </w:pPr>
      <w:r>
        <w:t>法定代表人（或授权代理人）：</w:t>
      </w:r>
      <w:r>
        <w:rPr>
          <w:u w:val="single" w:color="000000"/>
        </w:rPr>
        <w:t>（签字</w:t>
      </w:r>
      <w:r>
        <w:rPr>
          <w:rFonts w:hint="eastAsia"/>
          <w:u w:val="single" w:color="000000"/>
        </w:rPr>
        <w:t>或盖章</w:t>
      </w:r>
      <w:r>
        <w:rPr>
          <w:u w:val="single" w:color="000000"/>
        </w:rPr>
        <w:t xml:space="preserve">） </w:t>
      </w:r>
      <w:r>
        <w:t xml:space="preserve"> </w:t>
      </w:r>
    </w:p>
    <w:p>
      <w:pPr>
        <w:spacing w:after="0" w:line="360" w:lineRule="auto"/>
        <w:ind w:left="0" w:right="0" w:firstLine="0"/>
      </w:pPr>
      <w:r>
        <w:t xml:space="preserve"> </w:t>
      </w:r>
    </w:p>
    <w:p>
      <w:pPr>
        <w:spacing w:after="0" w:line="360" w:lineRule="auto"/>
        <w:ind w:left="490" w:right="0"/>
      </w:pPr>
      <w:r>
        <w:t>日期：</w:t>
      </w:r>
      <w:r>
        <w:rPr>
          <w:u w:val="single" w:color="000000"/>
        </w:rPr>
        <w:t xml:space="preserve">  年  月  日</w:t>
      </w:r>
      <w:r>
        <w:t xml:space="preserve"> </w:t>
      </w:r>
    </w:p>
    <w:p>
      <w:pPr>
        <w:spacing w:after="0" w:line="360" w:lineRule="auto"/>
        <w:ind w:left="0" w:right="0" w:firstLine="0"/>
      </w:pPr>
      <w:r>
        <w:rPr>
          <w:sz w:val="21"/>
        </w:rPr>
        <w:t xml:space="preserve"> </w:t>
      </w:r>
    </w:p>
    <w:p>
      <w:pPr>
        <w:spacing w:after="0" w:line="360" w:lineRule="auto"/>
        <w:ind w:left="-15" w:right="0" w:firstLine="422"/>
      </w:pPr>
      <w:r>
        <w:rPr>
          <w:sz w:val="21"/>
        </w:rPr>
        <w:t>注:</w:t>
      </w:r>
      <w:r>
        <w:t xml:space="preserve">①投标人必须按“分项报价明细表”的格式详细报出投标总价的各个组成部分的报价，否则作无效投标处理。 </w:t>
      </w:r>
    </w:p>
    <w:p>
      <w:pPr>
        <w:spacing w:after="0" w:line="360" w:lineRule="auto"/>
        <w:ind w:left="-15" w:right="0" w:firstLine="480"/>
      </w:pPr>
      <w:r>
        <w:t>②“分项报价明细表”各分项报价合计应当与“</w:t>
      </w:r>
      <w:r>
        <w:rPr>
          <w:rFonts w:hint="eastAsia"/>
          <w:lang w:val="en-US" w:eastAsia="zh-CN"/>
        </w:rPr>
        <w:t>报价</w:t>
      </w:r>
      <w:r>
        <w:t>一览表”报价合计相等。</w:t>
      </w:r>
    </w:p>
    <w:p>
      <w:pPr>
        <w:rPr>
          <w:rFonts w:hint="eastAsia" w:ascii="宋体" w:hAnsi="宋体" w:eastAsia="宋体" w:cs="宋体"/>
          <w:color w:val="auto"/>
          <w:sz w:val="32"/>
          <w:highlight w:val="none"/>
          <w:lang w:eastAsia="zh-CN"/>
        </w:rPr>
      </w:pPr>
    </w:p>
    <w:p>
      <w:pPr>
        <w:pStyle w:val="2"/>
        <w:tabs>
          <w:tab w:val="left" w:pos="540"/>
          <w:tab w:val="left" w:pos="720"/>
        </w:tabs>
        <w:spacing w:before="120" w:beforeLines="50" w:after="120" w:afterLines="50"/>
        <w:rPr>
          <w:color w:val="auto"/>
          <w:sz w:val="43"/>
          <w:highlight w:val="none"/>
        </w:rPr>
      </w:pPr>
      <w:r>
        <w:rPr>
          <w:rFonts w:hint="eastAsia" w:ascii="宋体" w:hAnsi="宋体" w:eastAsia="宋体" w:cs="宋体"/>
          <w:color w:val="auto"/>
          <w:sz w:val="32"/>
          <w:highlight w:val="none"/>
        </w:rPr>
        <w:br w:type="page"/>
      </w:r>
      <w:bookmarkStart w:id="1860" w:name="_Toc5791"/>
      <w:bookmarkStart w:id="1861" w:name="_Toc20520"/>
      <w:bookmarkStart w:id="1862" w:name="_Toc22384"/>
      <w:bookmarkStart w:id="1863" w:name="_Toc22484"/>
      <w:r>
        <w:rPr>
          <w:rFonts w:hint="eastAsia" w:ascii="宋体" w:hAnsi="宋体" w:eastAsia="宋体" w:cs="宋体"/>
          <w:color w:val="auto"/>
          <w:sz w:val="32"/>
          <w:highlight w:val="none"/>
          <w:lang w:val="en-US" w:eastAsia="zh-CN"/>
        </w:rPr>
        <w:t>3</w:t>
      </w:r>
      <w:r>
        <w:rPr>
          <w:rFonts w:hint="eastAsia" w:ascii="宋体" w:hAnsi="宋体" w:eastAsia="宋体" w:cs="宋体"/>
          <w:color w:val="auto"/>
          <w:sz w:val="32"/>
          <w:highlight w:val="none"/>
        </w:rPr>
        <w:t>、 中小企业声明函</w:t>
      </w:r>
      <w:bookmarkEnd w:id="1860"/>
      <w:bookmarkEnd w:id="1861"/>
      <w:bookmarkEnd w:id="1862"/>
      <w:bookmarkEnd w:id="1863"/>
    </w:p>
    <w:p>
      <w:pPr>
        <w:ind w:left="2" w:right="89"/>
        <w:jc w:val="center"/>
        <w:rPr>
          <w:b/>
          <w:color w:val="auto"/>
          <w:sz w:val="32"/>
          <w:highlight w:val="none"/>
        </w:rPr>
      </w:pPr>
      <w:r>
        <w:rPr>
          <w:b/>
          <w:color w:val="auto"/>
          <w:sz w:val="32"/>
          <w:highlight w:val="none"/>
        </w:rPr>
        <w:t>中小企业声明函</w:t>
      </w:r>
    </w:p>
    <w:p>
      <w:pPr>
        <w:pStyle w:val="12"/>
        <w:spacing w:before="3"/>
        <w:rPr>
          <w:b/>
          <w:color w:val="auto"/>
          <w:sz w:val="31"/>
          <w:highlight w:val="none"/>
        </w:rPr>
      </w:pPr>
    </w:p>
    <w:p>
      <w:pPr>
        <w:spacing w:before="156" w:beforeLines="50" w:line="360" w:lineRule="auto"/>
        <w:ind w:firstLine="480" w:firstLineChars="200"/>
        <w:rPr>
          <w:rFonts w:hint="eastAsia" w:ascii="Times New Roman" w:hAnsi="Times New Roman"/>
          <w:color w:val="auto"/>
          <w:sz w:val="24"/>
          <w:szCs w:val="24"/>
          <w:lang w:val="en-US" w:eastAsia="zh-CN"/>
        </w:rPr>
      </w:pPr>
      <w:r>
        <w:rPr>
          <w:rFonts w:hint="eastAsia" w:ascii="Times New Roman" w:hAnsi="Times New Roman"/>
          <w:color w:val="auto"/>
          <w:sz w:val="24"/>
          <w:szCs w:val="24"/>
          <w:lang w:val="en-US" w:eastAsia="zh-CN"/>
        </w:rPr>
        <w:t>本公司（联合体）郑重声明，根据《政府采购促进中小企业发展管理办法》（财库﹝2020﹞46 号）的规定，本公司（联合体）参加</w:t>
      </w:r>
      <w:r>
        <w:rPr>
          <w:rFonts w:hint="eastAsia" w:ascii="Times New Roman" w:hAnsi="Times New Roman"/>
          <w:color w:val="auto"/>
          <w:sz w:val="24"/>
          <w:szCs w:val="24"/>
          <w:u w:val="single"/>
          <w:lang w:val="en-US" w:eastAsia="zh-CN"/>
        </w:rPr>
        <w:t>（单位名称）</w:t>
      </w:r>
      <w:r>
        <w:rPr>
          <w:rFonts w:hint="eastAsia" w:ascii="Times New Roman" w:hAnsi="Times New Roman"/>
          <w:color w:val="auto"/>
          <w:sz w:val="24"/>
          <w:szCs w:val="24"/>
          <w:lang w:val="en-US" w:eastAsia="zh-CN"/>
        </w:rPr>
        <w:t>的</w:t>
      </w:r>
      <w:r>
        <w:rPr>
          <w:rFonts w:hint="eastAsia" w:ascii="Times New Roman" w:hAnsi="Times New Roman"/>
          <w:color w:val="auto"/>
          <w:sz w:val="24"/>
          <w:szCs w:val="24"/>
          <w:u w:val="single"/>
          <w:lang w:val="en-US" w:eastAsia="zh-CN"/>
        </w:rPr>
        <w:t>（项目名称）</w:t>
      </w:r>
      <w:r>
        <w:rPr>
          <w:rFonts w:hint="eastAsia" w:ascii="Times New Roman" w:hAnsi="Times New Roman"/>
          <w:color w:val="auto"/>
          <w:sz w:val="24"/>
          <w:szCs w:val="24"/>
          <w:lang w:val="en-US" w:eastAsia="zh-CN"/>
        </w:rPr>
        <w:t>采购活动，提供的货物全部由符合政策要求的中小企业制造。相关企业</w:t>
      </w:r>
    </w:p>
    <w:p>
      <w:pPr>
        <w:spacing w:before="156" w:beforeLines="50" w:line="360" w:lineRule="auto"/>
        <w:rPr>
          <w:rFonts w:hint="eastAsia" w:ascii="Times New Roman" w:hAnsi="Times New Roman"/>
          <w:color w:val="auto"/>
          <w:sz w:val="24"/>
          <w:szCs w:val="24"/>
          <w:lang w:val="en-US" w:eastAsia="zh-CN"/>
        </w:rPr>
      </w:pPr>
      <w:r>
        <w:rPr>
          <w:rFonts w:hint="eastAsia" w:ascii="Times New Roman" w:hAnsi="Times New Roman"/>
          <w:color w:val="auto"/>
          <w:sz w:val="24"/>
          <w:szCs w:val="24"/>
          <w:lang w:val="en-US" w:eastAsia="zh-CN"/>
        </w:rPr>
        <w:t>（含联合体中的中小企业、签订分包意向协议的中小企业） 的具体情况如下：</w:t>
      </w:r>
    </w:p>
    <w:p>
      <w:pPr>
        <w:spacing w:before="156" w:beforeLines="50" w:line="360" w:lineRule="auto"/>
        <w:ind w:firstLine="480" w:firstLineChars="200"/>
        <w:rPr>
          <w:rFonts w:hint="eastAsia" w:ascii="Times New Roman" w:hAnsi="Times New Roman"/>
          <w:color w:val="auto"/>
          <w:sz w:val="24"/>
          <w:szCs w:val="24"/>
          <w:lang w:val="en-US" w:eastAsia="zh-CN"/>
        </w:rPr>
      </w:pPr>
      <w:r>
        <w:rPr>
          <w:rFonts w:hint="eastAsia" w:ascii="Times New Roman" w:hAnsi="Times New Roman"/>
          <w:color w:val="auto"/>
          <w:sz w:val="24"/>
          <w:szCs w:val="24"/>
          <w:lang w:val="en-US" w:eastAsia="zh-CN"/>
        </w:rPr>
        <w:t>1、</w:t>
      </w:r>
      <w:r>
        <w:rPr>
          <w:rFonts w:hint="eastAsia" w:ascii="Times New Roman" w:hAnsi="Times New Roman"/>
          <w:color w:val="auto"/>
          <w:sz w:val="24"/>
          <w:szCs w:val="24"/>
          <w:u w:val="single"/>
          <w:lang w:val="en-US" w:eastAsia="zh-CN"/>
        </w:rPr>
        <w:t>（ 标 的 名 称 ）</w:t>
      </w:r>
      <w:r>
        <w:rPr>
          <w:rFonts w:hint="eastAsia" w:ascii="Times New Roman" w:hAnsi="Times New Roman"/>
          <w:color w:val="auto"/>
          <w:sz w:val="24"/>
          <w:szCs w:val="24"/>
          <w:lang w:val="en-US" w:eastAsia="zh-CN"/>
        </w:rPr>
        <w:t xml:space="preserve"> ， 属于 </w:t>
      </w:r>
      <w:r>
        <w:rPr>
          <w:rFonts w:hint="eastAsia" w:ascii="Times New Roman" w:hAnsi="Times New Roman"/>
          <w:color w:val="auto"/>
          <w:sz w:val="24"/>
          <w:szCs w:val="24"/>
          <w:u w:val="single"/>
          <w:lang w:val="en-US" w:eastAsia="zh-CN"/>
        </w:rPr>
        <w:t>（采购文件中明确的所属行业 ）</w:t>
      </w:r>
      <w:r>
        <w:rPr>
          <w:rFonts w:hint="eastAsia" w:ascii="Times New Roman" w:hAnsi="Times New Roman"/>
          <w:color w:val="auto"/>
          <w:sz w:val="24"/>
          <w:szCs w:val="24"/>
          <w:lang w:val="en-US" w:eastAsia="zh-CN"/>
        </w:rPr>
        <w:t>行业；制造商为</w:t>
      </w:r>
      <w:r>
        <w:rPr>
          <w:rFonts w:hint="eastAsia" w:ascii="Times New Roman" w:hAnsi="Times New Roman"/>
          <w:color w:val="auto"/>
          <w:sz w:val="24"/>
          <w:szCs w:val="24"/>
          <w:u w:val="single"/>
          <w:lang w:val="en-US" w:eastAsia="zh-CN"/>
        </w:rPr>
        <w:t>（企业名称）</w:t>
      </w:r>
      <w:r>
        <w:rPr>
          <w:rFonts w:hint="eastAsia" w:ascii="Times New Roman" w:hAnsi="Times New Roman"/>
          <w:color w:val="auto"/>
          <w:sz w:val="24"/>
          <w:szCs w:val="24"/>
          <w:lang w:val="en-US" w:eastAsia="zh-CN"/>
        </w:rPr>
        <w:t>，从业人员</w:t>
      </w:r>
      <w:r>
        <w:rPr>
          <w:rFonts w:hint="eastAsia" w:ascii="Times New Roman" w:hAnsi="Times New Roman"/>
          <w:color w:val="auto"/>
          <w:sz w:val="24"/>
          <w:szCs w:val="24"/>
          <w:u w:val="single"/>
          <w:lang w:val="en-US" w:eastAsia="zh-CN"/>
        </w:rPr>
        <w:t xml:space="preserve"> </w:t>
      </w:r>
      <w:r>
        <w:rPr>
          <w:rFonts w:hint="eastAsia" w:ascii="Times New Roman" w:hAnsi="Times New Roman"/>
          <w:color w:val="auto"/>
          <w:sz w:val="24"/>
          <w:szCs w:val="24"/>
          <w:u w:val="single"/>
          <w:lang w:val="en-US" w:eastAsia="zh-CN"/>
        </w:rPr>
        <w:tab/>
      </w:r>
      <w:r>
        <w:rPr>
          <w:rFonts w:hint="eastAsia" w:ascii="Times New Roman" w:hAnsi="Times New Roman"/>
          <w:color w:val="auto"/>
          <w:sz w:val="24"/>
          <w:szCs w:val="24"/>
          <w:lang w:val="en-US" w:eastAsia="zh-CN"/>
        </w:rPr>
        <w:t>人，营业收入为</w:t>
      </w:r>
      <w:r>
        <w:rPr>
          <w:rFonts w:hint="eastAsia" w:ascii="Times New Roman" w:hAnsi="Times New Roman"/>
          <w:color w:val="auto"/>
          <w:sz w:val="24"/>
          <w:szCs w:val="24"/>
          <w:u w:val="single"/>
          <w:lang w:val="en-US" w:eastAsia="zh-CN"/>
        </w:rPr>
        <w:t xml:space="preserve"> </w:t>
      </w:r>
      <w:r>
        <w:rPr>
          <w:rFonts w:hint="eastAsia" w:ascii="Times New Roman" w:hAnsi="Times New Roman"/>
          <w:color w:val="auto"/>
          <w:sz w:val="24"/>
          <w:szCs w:val="24"/>
          <w:u w:val="single"/>
          <w:lang w:val="en-US" w:eastAsia="zh-CN"/>
        </w:rPr>
        <w:tab/>
      </w:r>
      <w:r>
        <w:rPr>
          <w:rFonts w:hint="eastAsia" w:ascii="Times New Roman" w:hAnsi="Times New Roman"/>
          <w:color w:val="auto"/>
          <w:sz w:val="24"/>
          <w:szCs w:val="24"/>
          <w:lang w:val="en-US" w:eastAsia="zh-CN"/>
        </w:rPr>
        <w:t>万元，资产总额为</w:t>
      </w:r>
      <w:r>
        <w:rPr>
          <w:rFonts w:hint="eastAsia" w:ascii="Times New Roman" w:hAnsi="Times New Roman"/>
          <w:color w:val="auto"/>
          <w:sz w:val="24"/>
          <w:szCs w:val="24"/>
          <w:u w:val="single"/>
          <w:lang w:val="en-US" w:eastAsia="zh-CN"/>
        </w:rPr>
        <w:t xml:space="preserve"> </w:t>
      </w:r>
      <w:r>
        <w:rPr>
          <w:rFonts w:hint="eastAsia" w:ascii="Times New Roman" w:hAnsi="Times New Roman"/>
          <w:color w:val="auto"/>
          <w:sz w:val="24"/>
          <w:szCs w:val="24"/>
          <w:u w:val="single"/>
          <w:lang w:val="en-US" w:eastAsia="zh-CN"/>
        </w:rPr>
        <w:tab/>
      </w:r>
      <w:r>
        <w:rPr>
          <w:rFonts w:hint="eastAsia" w:ascii="Times New Roman" w:hAnsi="Times New Roman"/>
          <w:color w:val="auto"/>
          <w:sz w:val="24"/>
          <w:szCs w:val="24"/>
          <w:lang w:val="en-US" w:eastAsia="zh-CN"/>
        </w:rPr>
        <w:t>万元，属于</w:t>
      </w:r>
      <w:r>
        <w:rPr>
          <w:rFonts w:hint="eastAsia" w:ascii="Times New Roman" w:hAnsi="Times New Roman"/>
          <w:color w:val="auto"/>
          <w:sz w:val="24"/>
          <w:szCs w:val="24"/>
          <w:u w:val="single"/>
          <w:lang w:val="en-US" w:eastAsia="zh-CN"/>
        </w:rPr>
        <w:t>（中型企业、小型企业、微型企业）</w:t>
      </w:r>
      <w:r>
        <w:rPr>
          <w:rFonts w:hint="eastAsia" w:ascii="Times New Roman" w:hAnsi="Times New Roman"/>
          <w:color w:val="auto"/>
          <w:sz w:val="24"/>
          <w:szCs w:val="24"/>
          <w:lang w:val="en-US" w:eastAsia="zh-CN"/>
        </w:rPr>
        <w:t>；</w:t>
      </w:r>
    </w:p>
    <w:p>
      <w:pPr>
        <w:spacing w:before="156" w:beforeLines="50" w:line="360" w:lineRule="auto"/>
        <w:ind w:firstLine="480" w:firstLineChars="200"/>
        <w:rPr>
          <w:rFonts w:hint="eastAsia" w:ascii="Times New Roman" w:hAnsi="Times New Roman"/>
          <w:color w:val="auto"/>
          <w:sz w:val="24"/>
          <w:szCs w:val="24"/>
          <w:lang w:val="en-US" w:eastAsia="zh-CN"/>
        </w:rPr>
      </w:pPr>
      <w:r>
        <w:rPr>
          <w:rFonts w:hint="eastAsia" w:ascii="Times New Roman" w:hAnsi="Times New Roman"/>
          <w:color w:val="auto"/>
          <w:sz w:val="24"/>
          <w:szCs w:val="24"/>
          <w:lang w:val="en-US" w:eastAsia="zh-CN"/>
        </w:rPr>
        <w:t>2、</w:t>
      </w:r>
      <w:r>
        <w:rPr>
          <w:rFonts w:hint="eastAsia" w:ascii="Times New Roman" w:hAnsi="Times New Roman"/>
          <w:color w:val="auto"/>
          <w:sz w:val="24"/>
          <w:szCs w:val="24"/>
          <w:u w:val="single"/>
          <w:lang w:val="en-US" w:eastAsia="zh-CN"/>
        </w:rPr>
        <w:t>（ 标 的 名 称 ）</w:t>
      </w:r>
      <w:r>
        <w:rPr>
          <w:rFonts w:hint="eastAsia" w:ascii="Times New Roman" w:hAnsi="Times New Roman"/>
          <w:color w:val="auto"/>
          <w:sz w:val="24"/>
          <w:szCs w:val="24"/>
          <w:lang w:val="en-US" w:eastAsia="zh-CN"/>
        </w:rPr>
        <w:t xml:space="preserve"> ， 属于（采购文件中明确的所属行业） 行业；制造商为</w:t>
      </w:r>
      <w:r>
        <w:rPr>
          <w:rFonts w:hint="eastAsia" w:ascii="Times New Roman" w:hAnsi="Times New Roman"/>
          <w:color w:val="auto"/>
          <w:sz w:val="24"/>
          <w:szCs w:val="24"/>
          <w:u w:val="single"/>
          <w:lang w:val="en-US" w:eastAsia="zh-CN"/>
        </w:rPr>
        <w:t>（企业名称）</w:t>
      </w:r>
      <w:r>
        <w:rPr>
          <w:rFonts w:hint="eastAsia" w:ascii="Times New Roman" w:hAnsi="Times New Roman"/>
          <w:color w:val="auto"/>
          <w:sz w:val="24"/>
          <w:szCs w:val="24"/>
          <w:lang w:val="en-US" w:eastAsia="zh-CN"/>
        </w:rPr>
        <w:t>，从业人员</w:t>
      </w:r>
      <w:r>
        <w:rPr>
          <w:rFonts w:hint="eastAsia" w:ascii="Times New Roman" w:hAnsi="Times New Roman"/>
          <w:color w:val="auto"/>
          <w:sz w:val="24"/>
          <w:szCs w:val="24"/>
          <w:u w:val="single"/>
          <w:lang w:val="en-US" w:eastAsia="zh-CN"/>
        </w:rPr>
        <w:t xml:space="preserve"> </w:t>
      </w:r>
      <w:r>
        <w:rPr>
          <w:rFonts w:hint="eastAsia" w:ascii="Times New Roman" w:hAnsi="Times New Roman"/>
          <w:color w:val="auto"/>
          <w:sz w:val="24"/>
          <w:szCs w:val="24"/>
          <w:u w:val="single"/>
          <w:lang w:val="en-US" w:eastAsia="zh-CN"/>
        </w:rPr>
        <w:tab/>
      </w:r>
      <w:r>
        <w:rPr>
          <w:rFonts w:hint="eastAsia" w:ascii="Times New Roman" w:hAnsi="Times New Roman"/>
          <w:color w:val="auto"/>
          <w:sz w:val="24"/>
          <w:szCs w:val="24"/>
          <w:lang w:val="en-US" w:eastAsia="zh-CN"/>
        </w:rPr>
        <w:t xml:space="preserve">人，营业收入为 </w:t>
      </w:r>
      <w:r>
        <w:rPr>
          <w:rFonts w:hint="eastAsia" w:ascii="Times New Roman" w:hAnsi="Times New Roman"/>
          <w:color w:val="auto"/>
          <w:sz w:val="24"/>
          <w:szCs w:val="24"/>
          <w:u w:val="single"/>
          <w:lang w:val="en-US" w:eastAsia="zh-CN"/>
        </w:rPr>
        <w:t xml:space="preserve"> </w:t>
      </w:r>
      <w:r>
        <w:rPr>
          <w:rFonts w:hint="eastAsia" w:ascii="Times New Roman" w:hAnsi="Times New Roman"/>
          <w:color w:val="auto"/>
          <w:sz w:val="24"/>
          <w:szCs w:val="24"/>
          <w:u w:val="single"/>
          <w:lang w:val="en-US" w:eastAsia="zh-CN"/>
        </w:rPr>
        <w:tab/>
      </w:r>
      <w:r>
        <w:rPr>
          <w:rFonts w:hint="eastAsia" w:ascii="Times New Roman" w:hAnsi="Times New Roman"/>
          <w:color w:val="auto"/>
          <w:sz w:val="24"/>
          <w:szCs w:val="24"/>
          <w:lang w:val="en-US" w:eastAsia="zh-CN"/>
        </w:rPr>
        <w:t>万元，资产总额为</w:t>
      </w:r>
      <w:r>
        <w:rPr>
          <w:rFonts w:hint="eastAsia" w:ascii="Times New Roman" w:hAnsi="Times New Roman"/>
          <w:color w:val="auto"/>
          <w:sz w:val="24"/>
          <w:szCs w:val="24"/>
          <w:u w:val="single"/>
          <w:lang w:val="en-US" w:eastAsia="zh-CN"/>
        </w:rPr>
        <w:t xml:space="preserve"> </w:t>
      </w:r>
      <w:r>
        <w:rPr>
          <w:rFonts w:hint="eastAsia" w:ascii="Times New Roman" w:hAnsi="Times New Roman"/>
          <w:color w:val="auto"/>
          <w:sz w:val="24"/>
          <w:szCs w:val="24"/>
          <w:u w:val="single"/>
          <w:lang w:val="en-US" w:eastAsia="zh-CN"/>
        </w:rPr>
        <w:tab/>
      </w:r>
      <w:r>
        <w:rPr>
          <w:rFonts w:hint="eastAsia" w:ascii="Times New Roman" w:hAnsi="Times New Roman"/>
          <w:color w:val="auto"/>
          <w:sz w:val="24"/>
          <w:szCs w:val="24"/>
          <w:u w:val="single"/>
          <w:lang w:val="en-US" w:eastAsia="zh-CN"/>
        </w:rPr>
        <w:t xml:space="preserve">  </w:t>
      </w:r>
      <w:r>
        <w:rPr>
          <w:rFonts w:hint="eastAsia" w:ascii="Times New Roman" w:hAnsi="Times New Roman"/>
          <w:color w:val="auto"/>
          <w:sz w:val="24"/>
          <w:szCs w:val="24"/>
          <w:lang w:val="en-US" w:eastAsia="zh-CN"/>
        </w:rPr>
        <w:t>万元，属于</w:t>
      </w:r>
      <w:r>
        <w:rPr>
          <w:rFonts w:hint="eastAsia" w:ascii="Times New Roman" w:hAnsi="Times New Roman"/>
          <w:color w:val="auto"/>
          <w:sz w:val="24"/>
          <w:szCs w:val="24"/>
          <w:u w:val="single"/>
          <w:lang w:val="en-US" w:eastAsia="zh-CN"/>
        </w:rPr>
        <w:t>（中型企业、小型企业、微型企业）</w:t>
      </w:r>
      <w:r>
        <w:rPr>
          <w:rFonts w:hint="eastAsia" w:ascii="Times New Roman" w:hAnsi="Times New Roman"/>
          <w:color w:val="auto"/>
          <w:sz w:val="24"/>
          <w:szCs w:val="24"/>
          <w:lang w:val="en-US" w:eastAsia="zh-CN"/>
        </w:rPr>
        <w:t>；</w:t>
      </w:r>
    </w:p>
    <w:p>
      <w:pPr>
        <w:spacing w:before="156" w:beforeLines="50" w:line="360" w:lineRule="auto"/>
        <w:ind w:firstLine="480" w:firstLineChars="200"/>
        <w:rPr>
          <w:rFonts w:hint="eastAsia" w:ascii="Times New Roman" w:hAnsi="Times New Roman"/>
          <w:color w:val="auto"/>
          <w:sz w:val="24"/>
          <w:szCs w:val="24"/>
          <w:lang w:val="en-US" w:eastAsia="zh-CN"/>
        </w:rPr>
      </w:pPr>
      <w:r>
        <w:rPr>
          <w:rFonts w:hint="eastAsia" w:ascii="Times New Roman" w:hAnsi="Times New Roman"/>
          <w:color w:val="auto"/>
          <w:sz w:val="24"/>
          <w:szCs w:val="24"/>
          <w:lang w:val="en-US" w:eastAsia="zh-CN"/>
        </w:rPr>
        <w:t>……</w:t>
      </w:r>
    </w:p>
    <w:p>
      <w:pPr>
        <w:spacing w:before="156" w:beforeLines="50" w:line="360" w:lineRule="auto"/>
        <w:ind w:firstLine="480" w:firstLineChars="200"/>
        <w:rPr>
          <w:rFonts w:hint="eastAsia" w:ascii="Times New Roman" w:hAnsi="Times New Roman"/>
          <w:color w:val="auto"/>
          <w:sz w:val="24"/>
          <w:szCs w:val="24"/>
          <w:lang w:val="en-US" w:eastAsia="zh-CN"/>
        </w:rPr>
      </w:pPr>
      <w:r>
        <w:rPr>
          <w:rFonts w:hint="eastAsia" w:ascii="Times New Roman" w:hAnsi="Times New Roman"/>
          <w:color w:val="auto"/>
          <w:sz w:val="24"/>
          <w:szCs w:val="24"/>
          <w:lang w:val="en-US" w:eastAsia="zh-CN"/>
        </w:rPr>
        <w:t>以上企业，不属于大企业的分支机构，不存在控股股东为大企业的情形，也不存在与大企业的负责人为同一人的情形。</w:t>
      </w:r>
    </w:p>
    <w:p>
      <w:pPr>
        <w:spacing w:before="156" w:beforeLines="50" w:line="360" w:lineRule="auto"/>
        <w:ind w:firstLine="480" w:firstLineChars="200"/>
        <w:rPr>
          <w:rFonts w:ascii="Times New Roman" w:hAnsi="Times New Roman"/>
          <w:color w:val="auto"/>
          <w:sz w:val="24"/>
          <w:szCs w:val="24"/>
          <w:lang w:val="en-US" w:eastAsia="zh-CN"/>
        </w:rPr>
      </w:pPr>
      <w:r>
        <w:rPr>
          <w:rFonts w:hint="eastAsia" w:ascii="Times New Roman" w:hAnsi="Times New Roman"/>
          <w:color w:val="auto"/>
          <w:sz w:val="24"/>
          <w:szCs w:val="24"/>
          <w:lang w:val="en-US" w:eastAsia="zh-CN"/>
        </w:rPr>
        <w:t>本企业对上述声明内容的真实性负责。如有虚假，将依法承担相应责任。</w:t>
      </w:r>
    </w:p>
    <w:p>
      <w:pPr>
        <w:spacing w:before="156" w:beforeLines="50" w:line="360" w:lineRule="auto"/>
        <w:ind w:firstLine="480" w:firstLineChars="200"/>
        <w:rPr>
          <w:rFonts w:hint="eastAsia" w:ascii="Times New Roman" w:hAnsi="Times New Roman"/>
          <w:color w:val="auto"/>
          <w:sz w:val="24"/>
          <w:szCs w:val="24"/>
          <w:lang w:val="en-US" w:eastAsia="zh-CN"/>
        </w:rPr>
      </w:pPr>
    </w:p>
    <w:p>
      <w:pPr>
        <w:spacing w:before="156" w:beforeLines="50" w:line="360" w:lineRule="auto"/>
        <w:ind w:firstLine="480" w:firstLineChars="200"/>
        <w:rPr>
          <w:rFonts w:hint="eastAsia" w:ascii="Times New Roman" w:hAnsi="Times New Roman"/>
          <w:color w:val="auto"/>
          <w:sz w:val="24"/>
          <w:szCs w:val="24"/>
          <w:lang w:val="en-US" w:eastAsia="zh-CN"/>
        </w:rPr>
      </w:pPr>
    </w:p>
    <w:p>
      <w:pPr>
        <w:spacing w:before="156" w:beforeLines="50" w:line="360" w:lineRule="auto"/>
        <w:ind w:firstLine="4800" w:firstLineChars="2000"/>
        <w:rPr>
          <w:rFonts w:ascii="Times New Roman" w:hAnsi="Times New Roman"/>
          <w:color w:val="auto"/>
          <w:sz w:val="24"/>
          <w:szCs w:val="24"/>
        </w:rPr>
      </w:pPr>
      <w:r>
        <w:rPr>
          <w:rFonts w:hint="eastAsia" w:ascii="Times New Roman" w:hAnsi="Times New Roman"/>
          <w:color w:val="auto"/>
          <w:sz w:val="24"/>
          <w:szCs w:val="24"/>
          <w:lang w:val="en-US" w:eastAsia="zh-CN"/>
        </w:rPr>
        <w:t xml:space="preserve">企业名称（盖章）： </w:t>
      </w:r>
    </w:p>
    <w:p>
      <w:pPr>
        <w:spacing w:before="156" w:beforeLines="50" w:line="360" w:lineRule="auto"/>
        <w:ind w:firstLine="4800" w:firstLineChars="2000"/>
        <w:rPr>
          <w:color w:val="auto"/>
        </w:rPr>
      </w:pPr>
      <w:r>
        <w:rPr>
          <w:rFonts w:hint="eastAsia" w:ascii="Times New Roman" w:hAnsi="Times New Roman"/>
          <w:color w:val="auto"/>
          <w:sz w:val="24"/>
          <w:szCs w:val="24"/>
          <w:lang w:val="en-US" w:eastAsia="zh-CN"/>
        </w:rPr>
        <w:t xml:space="preserve">日 期： </w:t>
      </w:r>
    </w:p>
    <w:p>
      <w:pPr>
        <w:spacing w:before="156" w:beforeLines="50" w:line="360" w:lineRule="auto"/>
        <w:rPr>
          <w:rFonts w:ascii="Times New Roman" w:hAnsi="Times New Roman" w:eastAsia="宋体" w:cs="Times New Roman"/>
          <w:b/>
          <w:bCs/>
          <w:sz w:val="20"/>
          <w:szCs w:val="20"/>
        </w:rPr>
      </w:pPr>
    </w:p>
    <w:p>
      <w:pPr>
        <w:spacing w:before="156" w:beforeLines="50" w:line="360" w:lineRule="auto"/>
        <w:ind w:firstLine="402" w:firstLineChars="200"/>
        <w:rPr>
          <w:rFonts w:hint="eastAsia" w:ascii="Times New Roman" w:hAnsi="Times New Roman" w:cs="Times New Roman"/>
          <w:b/>
          <w:bCs/>
          <w:kern w:val="2"/>
          <w:sz w:val="20"/>
          <w:szCs w:val="20"/>
          <w:lang w:val="en-US" w:eastAsia="zh-CN" w:bidi="ar-SA"/>
        </w:rPr>
      </w:pPr>
      <w:r>
        <w:rPr>
          <w:rFonts w:ascii="Times New Roman" w:hAnsi="Times New Roman" w:eastAsia="宋体" w:cs="Times New Roman"/>
          <w:b/>
          <w:bCs/>
          <w:sz w:val="20"/>
          <w:szCs w:val="20"/>
        </w:rPr>
        <w:t>注：</w:t>
      </w:r>
      <w:r>
        <w:rPr>
          <w:rFonts w:hint="eastAsia" w:ascii="Times New Roman" w:hAnsi="Times New Roman" w:eastAsia="宋体" w:cs="Times New Roman"/>
          <w:b/>
          <w:bCs/>
          <w:sz w:val="20"/>
          <w:szCs w:val="20"/>
          <w:lang w:val="en-US" w:eastAsia="zh-CN"/>
        </w:rPr>
        <w:t>1、</w:t>
      </w:r>
      <w:r>
        <w:rPr>
          <w:rFonts w:hint="eastAsia" w:ascii="Times New Roman" w:hAnsi="Times New Roman" w:eastAsia="宋体" w:cs="Times New Roman"/>
          <w:b/>
          <w:bCs/>
          <w:kern w:val="2"/>
          <w:sz w:val="20"/>
          <w:szCs w:val="20"/>
          <w:lang w:val="en-US" w:eastAsia="zh-CN" w:bidi="ar-SA"/>
        </w:rPr>
        <w:t>供应商为非中小企业的，可不提供</w:t>
      </w:r>
      <w:r>
        <w:rPr>
          <w:rFonts w:hint="eastAsia" w:cs="Times New Roman"/>
          <w:b/>
          <w:bCs/>
          <w:kern w:val="2"/>
          <w:sz w:val="20"/>
          <w:szCs w:val="20"/>
          <w:lang w:val="en-US" w:eastAsia="zh-CN" w:bidi="ar-SA"/>
        </w:rPr>
        <w:t>此声明</w:t>
      </w:r>
      <w:r>
        <w:rPr>
          <w:rFonts w:hint="eastAsia" w:ascii="Times New Roman" w:hAnsi="Times New Roman" w:cs="Times New Roman"/>
          <w:b/>
          <w:bCs/>
          <w:kern w:val="2"/>
          <w:sz w:val="20"/>
          <w:szCs w:val="20"/>
          <w:lang w:val="en-US" w:eastAsia="zh-CN" w:bidi="ar-SA"/>
        </w:rPr>
        <w:t>。</w:t>
      </w:r>
    </w:p>
    <w:p>
      <w:pPr>
        <w:spacing w:before="156" w:beforeLines="50" w:line="360" w:lineRule="auto"/>
        <w:ind w:firstLine="803" w:firstLineChars="400"/>
        <w:rPr>
          <w:rFonts w:hint="eastAsia" w:ascii="Times New Roman" w:hAnsi="Times New Roman" w:eastAsia="宋体" w:cs="Times New Roman"/>
          <w:b/>
          <w:bCs/>
          <w:sz w:val="20"/>
          <w:szCs w:val="20"/>
          <w:lang w:val="en-US" w:eastAsia="zh-CN"/>
        </w:rPr>
      </w:pPr>
      <w:r>
        <w:rPr>
          <w:rFonts w:hint="eastAsia" w:ascii="Times New Roman" w:hAnsi="Times New Roman" w:eastAsia="宋体" w:cs="Times New Roman"/>
          <w:b/>
          <w:bCs/>
          <w:sz w:val="20"/>
          <w:szCs w:val="20"/>
          <w:lang w:val="en-US" w:eastAsia="zh-CN"/>
        </w:rPr>
        <w:t>2、从业人员、营业收入、资产总额填报上一年度数据，无上一年度数据的新成立企业可不填报</w:t>
      </w:r>
    </w:p>
    <w:p>
      <w:pPr>
        <w:spacing w:before="156" w:beforeLines="50" w:line="360" w:lineRule="auto"/>
        <w:ind w:firstLine="402" w:firstLineChars="200"/>
        <w:rPr>
          <w:rFonts w:hint="eastAsia" w:ascii="Times New Roman" w:hAnsi="Times New Roman" w:cs="Times New Roman"/>
          <w:b/>
          <w:bCs/>
          <w:kern w:val="2"/>
          <w:sz w:val="20"/>
          <w:szCs w:val="20"/>
          <w:lang w:val="en-US" w:eastAsia="zh-CN" w:bidi="ar-SA"/>
        </w:rPr>
      </w:pPr>
    </w:p>
    <w:p>
      <w:pPr>
        <w:spacing w:before="156" w:beforeLines="50" w:line="360" w:lineRule="auto"/>
        <w:ind w:firstLine="880" w:firstLineChars="400"/>
        <w:rPr>
          <w:rFonts w:hint="default"/>
          <w:lang w:val="en-US" w:eastAsia="zh-CN"/>
        </w:rPr>
      </w:pPr>
    </w:p>
    <w:p>
      <w:pPr>
        <w:pStyle w:val="2"/>
        <w:tabs>
          <w:tab w:val="left" w:pos="540"/>
          <w:tab w:val="left" w:pos="720"/>
        </w:tabs>
        <w:spacing w:before="120" w:beforeLines="50" w:after="120" w:afterLines="50"/>
        <w:rPr>
          <w:rFonts w:hint="eastAsia" w:ascii="宋体" w:hAnsi="宋体" w:eastAsia="宋体" w:cs="宋体"/>
          <w:color w:val="auto"/>
          <w:sz w:val="32"/>
          <w:highlight w:val="none"/>
        </w:rPr>
      </w:pPr>
      <w:r>
        <w:rPr>
          <w:rFonts w:hint="eastAsia" w:ascii="宋体" w:hAnsi="宋体" w:eastAsia="宋体" w:cs="宋体"/>
          <w:color w:val="auto"/>
          <w:sz w:val="32"/>
          <w:highlight w:val="none"/>
        </w:rPr>
        <w:br w:type="page"/>
      </w:r>
      <w:bookmarkStart w:id="1864" w:name="_Toc2039"/>
      <w:bookmarkStart w:id="1865" w:name="_Toc1307"/>
      <w:bookmarkStart w:id="1866" w:name="_Toc27306"/>
      <w:bookmarkStart w:id="1867" w:name="_Toc7354"/>
      <w:r>
        <w:rPr>
          <w:rFonts w:hint="eastAsia" w:ascii="宋体" w:hAnsi="宋体" w:eastAsia="宋体" w:cs="宋体"/>
          <w:color w:val="auto"/>
          <w:sz w:val="32"/>
          <w:highlight w:val="none"/>
          <w:lang w:val="en-US" w:eastAsia="zh-CN"/>
        </w:rPr>
        <w:t>4</w:t>
      </w:r>
      <w:r>
        <w:rPr>
          <w:rFonts w:hint="eastAsia" w:ascii="宋体" w:hAnsi="宋体" w:eastAsia="宋体" w:cs="宋体"/>
          <w:color w:val="auto"/>
          <w:sz w:val="32"/>
          <w:highlight w:val="none"/>
        </w:rPr>
        <w:t>、 监狱企业证明文件</w:t>
      </w:r>
      <w:bookmarkEnd w:id="1864"/>
      <w:bookmarkEnd w:id="1865"/>
      <w:bookmarkEnd w:id="1866"/>
      <w:bookmarkEnd w:id="1867"/>
    </w:p>
    <w:p>
      <w:pPr>
        <w:pStyle w:val="12"/>
        <w:rPr>
          <w:b/>
          <w:color w:val="auto"/>
          <w:sz w:val="34"/>
          <w:highlight w:val="none"/>
        </w:rPr>
      </w:pPr>
    </w:p>
    <w:p>
      <w:pPr>
        <w:pStyle w:val="12"/>
        <w:rPr>
          <w:b/>
          <w:color w:val="auto"/>
          <w:sz w:val="34"/>
          <w:highlight w:val="none"/>
        </w:rPr>
      </w:pPr>
    </w:p>
    <w:p>
      <w:pPr>
        <w:spacing w:line="360" w:lineRule="auto"/>
        <w:rPr>
          <w:rFonts w:hint="eastAsia"/>
          <w:color w:val="auto"/>
          <w:sz w:val="24"/>
          <w:szCs w:val="24"/>
          <w:highlight w:val="none"/>
        </w:rPr>
      </w:pPr>
    </w:p>
    <w:p>
      <w:pPr>
        <w:spacing w:line="360" w:lineRule="auto"/>
        <w:rPr>
          <w:rFonts w:hint="eastAsia"/>
          <w:color w:val="auto"/>
          <w:sz w:val="24"/>
          <w:szCs w:val="24"/>
          <w:highlight w:val="none"/>
        </w:rPr>
      </w:pPr>
    </w:p>
    <w:p>
      <w:pPr>
        <w:spacing w:line="360" w:lineRule="auto"/>
        <w:ind w:firstLine="480" w:firstLineChars="200"/>
        <w:rPr>
          <w:rFonts w:hint="eastAsia"/>
          <w:color w:val="auto"/>
          <w:sz w:val="24"/>
          <w:szCs w:val="24"/>
          <w:highlight w:val="none"/>
        </w:rPr>
      </w:pPr>
      <w:r>
        <w:rPr>
          <w:rFonts w:hint="eastAsia"/>
          <w:color w:val="auto"/>
          <w:sz w:val="24"/>
          <w:szCs w:val="24"/>
          <w:highlight w:val="none"/>
        </w:rPr>
        <w:t>监狱企业参加政府采购活动时，应当提供由省级以上监狱管理局、戒毒管理局（含新疆生产建设兵团）出具的属于监狱企业的证明文件。</w:t>
      </w:r>
    </w:p>
    <w:p>
      <w:pPr>
        <w:spacing w:line="360" w:lineRule="auto"/>
        <w:rPr>
          <w:rFonts w:hint="eastAsia"/>
          <w:color w:val="auto"/>
          <w:sz w:val="24"/>
          <w:szCs w:val="24"/>
          <w:highlight w:val="none"/>
        </w:rPr>
      </w:pPr>
    </w:p>
    <w:p>
      <w:pPr>
        <w:spacing w:line="360" w:lineRule="auto"/>
        <w:rPr>
          <w:rFonts w:hint="eastAsia"/>
          <w:color w:val="auto"/>
          <w:sz w:val="24"/>
          <w:szCs w:val="24"/>
          <w:highlight w:val="none"/>
        </w:rPr>
      </w:pPr>
    </w:p>
    <w:p>
      <w:pPr>
        <w:pStyle w:val="12"/>
        <w:rPr>
          <w:color w:val="auto"/>
          <w:sz w:val="28"/>
          <w:highlight w:val="none"/>
        </w:rPr>
      </w:pPr>
    </w:p>
    <w:p>
      <w:pPr>
        <w:pStyle w:val="12"/>
        <w:rPr>
          <w:rFonts w:hint="eastAsia" w:ascii="Times New Roman" w:hAnsi="Times New Roman"/>
          <w:color w:val="auto"/>
          <w:kern w:val="2"/>
          <w:sz w:val="24"/>
          <w:szCs w:val="24"/>
          <w:highlight w:val="none"/>
          <w:lang w:val="en-US" w:bidi="ar-SA"/>
        </w:rPr>
      </w:pPr>
      <w:r>
        <w:rPr>
          <w:rFonts w:hint="eastAsia" w:ascii="Times New Roman" w:hAnsi="Times New Roman"/>
          <w:color w:val="auto"/>
          <w:kern w:val="2"/>
          <w:sz w:val="24"/>
          <w:szCs w:val="24"/>
          <w:highlight w:val="none"/>
          <w:lang w:val="en-US" w:bidi="ar-SA"/>
        </w:rPr>
        <w:t>单位名称（盖章）：</w:t>
      </w:r>
    </w:p>
    <w:p>
      <w:pPr>
        <w:pStyle w:val="12"/>
        <w:rPr>
          <w:rFonts w:hint="eastAsia" w:ascii="Times New Roman" w:hAnsi="Times New Roman"/>
          <w:color w:val="auto"/>
          <w:kern w:val="2"/>
          <w:sz w:val="24"/>
          <w:szCs w:val="24"/>
          <w:highlight w:val="none"/>
          <w:lang w:val="en-US" w:bidi="ar-SA"/>
        </w:rPr>
      </w:pPr>
    </w:p>
    <w:p>
      <w:pPr>
        <w:pStyle w:val="12"/>
        <w:rPr>
          <w:rFonts w:hint="eastAsia" w:ascii="Times New Roman" w:hAnsi="Times New Roman"/>
          <w:color w:val="auto"/>
          <w:kern w:val="2"/>
          <w:sz w:val="24"/>
          <w:szCs w:val="24"/>
          <w:highlight w:val="none"/>
          <w:lang w:val="en-US" w:bidi="ar-SA"/>
        </w:rPr>
      </w:pPr>
    </w:p>
    <w:p>
      <w:pPr>
        <w:pStyle w:val="12"/>
        <w:rPr>
          <w:rFonts w:hint="eastAsia" w:ascii="Times New Roman" w:hAnsi="Times New Roman"/>
          <w:color w:val="auto"/>
          <w:kern w:val="2"/>
          <w:sz w:val="24"/>
          <w:szCs w:val="24"/>
          <w:highlight w:val="none"/>
          <w:lang w:val="en-US" w:bidi="ar-SA"/>
        </w:rPr>
      </w:pPr>
      <w:r>
        <w:rPr>
          <w:rFonts w:hint="eastAsia" w:ascii="Times New Roman" w:hAnsi="Times New Roman"/>
          <w:color w:val="auto"/>
          <w:kern w:val="2"/>
          <w:sz w:val="24"/>
          <w:szCs w:val="24"/>
          <w:highlight w:val="none"/>
          <w:lang w:val="en-US" w:bidi="ar-SA"/>
        </w:rPr>
        <w:t>日</w:t>
      </w:r>
      <w:r>
        <w:rPr>
          <w:rFonts w:hint="eastAsia" w:ascii="Times New Roman" w:hAnsi="Times New Roman"/>
          <w:color w:val="auto"/>
          <w:kern w:val="2"/>
          <w:sz w:val="24"/>
          <w:szCs w:val="24"/>
          <w:highlight w:val="none"/>
          <w:lang w:val="en-US" w:bidi="ar-SA"/>
        </w:rPr>
        <w:tab/>
      </w:r>
      <w:r>
        <w:rPr>
          <w:rFonts w:hint="eastAsia" w:ascii="Times New Roman" w:hAnsi="Times New Roman"/>
          <w:color w:val="auto"/>
          <w:kern w:val="2"/>
          <w:sz w:val="24"/>
          <w:szCs w:val="24"/>
          <w:highlight w:val="none"/>
          <w:lang w:val="en-US" w:bidi="ar-SA"/>
        </w:rPr>
        <w:t>期：   年</w:t>
      </w:r>
      <w:r>
        <w:rPr>
          <w:rFonts w:hint="eastAsia" w:ascii="Times New Roman" w:hAnsi="Times New Roman"/>
          <w:color w:val="auto"/>
          <w:kern w:val="2"/>
          <w:sz w:val="24"/>
          <w:szCs w:val="24"/>
          <w:highlight w:val="none"/>
          <w:lang w:val="en-US" w:bidi="ar-SA"/>
        </w:rPr>
        <w:tab/>
      </w:r>
      <w:r>
        <w:rPr>
          <w:rFonts w:hint="eastAsia" w:ascii="Times New Roman" w:hAnsi="Times New Roman"/>
          <w:color w:val="auto"/>
          <w:kern w:val="2"/>
          <w:sz w:val="24"/>
          <w:szCs w:val="24"/>
          <w:highlight w:val="none"/>
          <w:lang w:val="en-US" w:bidi="ar-SA"/>
        </w:rPr>
        <w:t xml:space="preserve">月 </w:t>
      </w:r>
      <w:r>
        <w:rPr>
          <w:rFonts w:hint="eastAsia" w:ascii="Times New Roman" w:hAnsi="Times New Roman"/>
          <w:color w:val="auto"/>
          <w:kern w:val="2"/>
          <w:sz w:val="24"/>
          <w:szCs w:val="24"/>
          <w:highlight w:val="none"/>
          <w:lang w:val="en-US" w:bidi="ar-SA"/>
        </w:rPr>
        <w:tab/>
      </w:r>
      <w:r>
        <w:rPr>
          <w:rFonts w:hint="eastAsia" w:ascii="Times New Roman" w:hAnsi="Times New Roman"/>
          <w:color w:val="auto"/>
          <w:kern w:val="2"/>
          <w:sz w:val="24"/>
          <w:szCs w:val="24"/>
          <w:highlight w:val="none"/>
          <w:lang w:val="en-US" w:bidi="ar-SA"/>
        </w:rPr>
        <w:t>日</w:t>
      </w:r>
    </w:p>
    <w:p>
      <w:pPr>
        <w:pStyle w:val="12"/>
        <w:rPr>
          <w:rFonts w:hint="eastAsia" w:ascii="Times New Roman" w:hAnsi="Times New Roman"/>
          <w:color w:val="auto"/>
          <w:kern w:val="2"/>
          <w:sz w:val="24"/>
          <w:szCs w:val="24"/>
          <w:highlight w:val="none"/>
          <w:lang w:val="en-US" w:bidi="ar-SA"/>
        </w:rPr>
      </w:pPr>
    </w:p>
    <w:p>
      <w:pPr>
        <w:pStyle w:val="12"/>
        <w:rPr>
          <w:rFonts w:hint="eastAsia" w:ascii="Times New Roman" w:hAnsi="Times New Roman"/>
          <w:color w:val="auto"/>
          <w:kern w:val="2"/>
          <w:sz w:val="24"/>
          <w:szCs w:val="24"/>
          <w:highlight w:val="none"/>
          <w:lang w:val="en-US" w:bidi="ar-SA"/>
        </w:rPr>
      </w:pPr>
    </w:p>
    <w:p>
      <w:pPr>
        <w:pStyle w:val="12"/>
        <w:rPr>
          <w:color w:val="auto"/>
          <w:sz w:val="28"/>
          <w:highlight w:val="none"/>
        </w:rPr>
      </w:pPr>
    </w:p>
    <w:p>
      <w:pPr>
        <w:pStyle w:val="12"/>
        <w:rPr>
          <w:color w:val="auto"/>
          <w:sz w:val="28"/>
          <w:highlight w:val="none"/>
        </w:rPr>
      </w:pPr>
    </w:p>
    <w:p>
      <w:pPr>
        <w:pStyle w:val="12"/>
        <w:spacing w:before="10"/>
        <w:rPr>
          <w:color w:val="auto"/>
          <w:sz w:val="34"/>
          <w:highlight w:val="none"/>
        </w:rPr>
      </w:pPr>
    </w:p>
    <w:p>
      <w:pPr>
        <w:ind w:left="788"/>
        <w:rPr>
          <w:b/>
          <w:color w:val="auto"/>
          <w:sz w:val="24"/>
          <w:highlight w:val="none"/>
        </w:rPr>
      </w:pPr>
      <w:r>
        <w:rPr>
          <w:b/>
          <w:color w:val="auto"/>
          <w:sz w:val="24"/>
          <w:highlight w:val="none"/>
        </w:rPr>
        <w:t>注：</w:t>
      </w:r>
    </w:p>
    <w:p>
      <w:pPr>
        <w:spacing w:before="161" w:line="364" w:lineRule="auto"/>
        <w:ind w:left="308" w:right="367" w:firstLine="480"/>
        <w:rPr>
          <w:b/>
          <w:color w:val="auto"/>
          <w:sz w:val="24"/>
          <w:highlight w:val="none"/>
        </w:rPr>
      </w:pPr>
      <w:r>
        <w:rPr>
          <w:rFonts w:ascii="Times New Roman" w:eastAsia="Times New Roman"/>
          <w:b/>
          <w:color w:val="auto"/>
          <w:w w:val="95"/>
          <w:sz w:val="24"/>
          <w:highlight w:val="none"/>
        </w:rPr>
        <w:t>1</w:t>
      </w:r>
      <w:r>
        <w:rPr>
          <w:b/>
          <w:color w:val="auto"/>
          <w:spacing w:val="3"/>
          <w:w w:val="95"/>
          <w:sz w:val="24"/>
          <w:highlight w:val="none"/>
        </w:rPr>
        <w:t>、在政府采购活动中，监狱企业视同小型、微型企业，享受预留份额、评审中</w:t>
      </w:r>
      <w:r>
        <w:rPr>
          <w:b/>
          <w:color w:val="auto"/>
          <w:spacing w:val="3"/>
          <w:sz w:val="24"/>
          <w:highlight w:val="none"/>
        </w:rPr>
        <w:t>价格扣除等政府采购促进中小企业发展的政府采购政策。</w:t>
      </w:r>
    </w:p>
    <w:p>
      <w:pPr>
        <w:spacing w:before="1"/>
        <w:ind w:left="788"/>
        <w:rPr>
          <w:b/>
          <w:color w:val="auto"/>
          <w:sz w:val="24"/>
          <w:highlight w:val="none"/>
        </w:rPr>
      </w:pPr>
      <w:r>
        <w:rPr>
          <w:rFonts w:ascii="Times New Roman" w:eastAsia="Times New Roman"/>
          <w:b/>
          <w:color w:val="auto"/>
          <w:sz w:val="24"/>
          <w:highlight w:val="none"/>
        </w:rPr>
        <w:t>2</w:t>
      </w:r>
      <w:r>
        <w:rPr>
          <w:b/>
          <w:color w:val="auto"/>
          <w:sz w:val="24"/>
          <w:highlight w:val="none"/>
        </w:rPr>
        <w:t>、供应商为非监狱企业的，可不提供此项证明文件。</w:t>
      </w:r>
    </w:p>
    <w:p>
      <w:pPr>
        <w:rPr>
          <w:color w:val="auto"/>
          <w:sz w:val="24"/>
          <w:highlight w:val="none"/>
        </w:rPr>
        <w:sectPr>
          <w:footerReference r:id="rId13" w:type="default"/>
          <w:pgSz w:w="11910" w:h="16840"/>
          <w:pgMar w:top="1560" w:right="1020" w:bottom="1380" w:left="1280" w:header="0" w:footer="1196" w:gutter="0"/>
          <w:pgNumType w:fmt="decimal"/>
          <w:cols w:space="720" w:num="1"/>
        </w:sectPr>
      </w:pPr>
    </w:p>
    <w:p>
      <w:pPr>
        <w:pStyle w:val="2"/>
        <w:tabs>
          <w:tab w:val="left" w:pos="540"/>
          <w:tab w:val="left" w:pos="720"/>
        </w:tabs>
        <w:spacing w:before="156" w:beforeLines="50" w:after="156" w:afterLines="50"/>
        <w:rPr>
          <w:rFonts w:hint="eastAsia" w:ascii="宋体" w:hAnsi="宋体" w:eastAsia="宋体" w:cs="宋体"/>
          <w:color w:val="auto"/>
          <w:sz w:val="32"/>
          <w:highlight w:val="none"/>
        </w:rPr>
      </w:pPr>
      <w:bookmarkStart w:id="1868" w:name="_Toc6971"/>
      <w:bookmarkStart w:id="1869" w:name="_Toc29968"/>
      <w:bookmarkStart w:id="1870" w:name="_Toc16950"/>
      <w:bookmarkStart w:id="1871" w:name="_Toc4128"/>
      <w:r>
        <w:rPr>
          <w:rFonts w:hint="eastAsia" w:ascii="宋体" w:hAnsi="宋体" w:eastAsia="宋体" w:cs="宋体"/>
          <w:color w:val="auto"/>
          <w:sz w:val="32"/>
          <w:highlight w:val="none"/>
          <w:lang w:val="en-US" w:eastAsia="zh-CN"/>
        </w:rPr>
        <w:t>5</w:t>
      </w:r>
      <w:r>
        <w:rPr>
          <w:rFonts w:hint="eastAsia" w:ascii="宋体" w:hAnsi="宋体" w:eastAsia="宋体" w:cs="宋体"/>
          <w:color w:val="auto"/>
          <w:sz w:val="32"/>
          <w:highlight w:val="none"/>
        </w:rPr>
        <w:t>、 残疾人福利性单位声明函</w:t>
      </w:r>
      <w:bookmarkEnd w:id="1868"/>
      <w:bookmarkEnd w:id="1869"/>
      <w:bookmarkEnd w:id="1870"/>
      <w:bookmarkEnd w:id="1871"/>
    </w:p>
    <w:p>
      <w:pPr>
        <w:pStyle w:val="12"/>
        <w:spacing w:before="7"/>
        <w:rPr>
          <w:b/>
          <w:color w:val="auto"/>
          <w:sz w:val="43"/>
          <w:highlight w:val="none"/>
        </w:rPr>
      </w:pPr>
    </w:p>
    <w:p>
      <w:pPr>
        <w:ind w:left="548"/>
        <w:jc w:val="center"/>
        <w:rPr>
          <w:b/>
          <w:color w:val="auto"/>
          <w:sz w:val="32"/>
          <w:highlight w:val="none"/>
        </w:rPr>
      </w:pPr>
      <w:r>
        <w:rPr>
          <w:b/>
          <w:color w:val="auto"/>
          <w:sz w:val="32"/>
          <w:highlight w:val="none"/>
        </w:rPr>
        <w:t>残疾人福利性单位声明函</w:t>
      </w:r>
    </w:p>
    <w:p>
      <w:pPr>
        <w:pStyle w:val="12"/>
        <w:rPr>
          <w:b/>
          <w:color w:val="auto"/>
          <w:sz w:val="32"/>
          <w:highlight w:val="none"/>
        </w:rPr>
      </w:pPr>
    </w:p>
    <w:p>
      <w:pPr>
        <w:pStyle w:val="12"/>
        <w:spacing w:before="3"/>
        <w:rPr>
          <w:b/>
          <w:color w:val="auto"/>
          <w:sz w:val="31"/>
          <w:highlight w:val="none"/>
        </w:rPr>
      </w:pPr>
    </w:p>
    <w:p>
      <w:pPr>
        <w:spacing w:line="360" w:lineRule="auto"/>
        <w:ind w:firstLine="480" w:firstLineChars="200"/>
        <w:rPr>
          <w:rFonts w:hint="eastAsia"/>
          <w:color w:val="auto"/>
          <w:sz w:val="24"/>
          <w:szCs w:val="24"/>
          <w:highlight w:val="none"/>
        </w:rPr>
      </w:pPr>
      <w:r>
        <w:rPr>
          <w:rFonts w:hint="eastAsia"/>
          <w:color w:val="auto"/>
          <w:sz w:val="24"/>
          <w:szCs w:val="24"/>
          <w:highlight w:val="none"/>
        </w:rPr>
        <w:t>本单位郑重声明，根据《财政部 民政部 中国残疾人联合会关于促进残疾人就业政府采购政策的通知》（财库〔2017〕 141 号）的规定，本单位为符合条件的残疾人福利性单位，且本单位参加______________单位的</w:t>
      </w:r>
      <w:r>
        <w:rPr>
          <w:rFonts w:hint="eastAsia"/>
          <w:color w:val="auto"/>
          <w:sz w:val="24"/>
          <w:szCs w:val="24"/>
          <w:highlight w:val="none"/>
          <w:lang w:val="en-US"/>
        </w:rPr>
        <w:t xml:space="preserve"> </w:t>
      </w:r>
      <w:r>
        <w:rPr>
          <w:rFonts w:hint="eastAsia"/>
          <w:color w:val="auto"/>
          <w:sz w:val="24"/>
          <w:szCs w:val="24"/>
          <w:highlight w:val="none"/>
          <w:u w:val="single"/>
          <w:lang w:val="en-US"/>
        </w:rPr>
        <w:t xml:space="preserve">            </w:t>
      </w:r>
      <w:r>
        <w:rPr>
          <w:rFonts w:hint="eastAsia"/>
          <w:color w:val="auto"/>
          <w:sz w:val="24"/>
          <w:szCs w:val="24"/>
          <w:highlight w:val="none"/>
          <w:u w:val="single"/>
        </w:rPr>
        <w:tab/>
      </w:r>
      <w:r>
        <w:rPr>
          <w:rFonts w:hint="eastAsia"/>
          <w:color w:val="auto"/>
          <w:sz w:val="24"/>
          <w:szCs w:val="24"/>
          <w:highlight w:val="none"/>
        </w:rPr>
        <w:t>项目</w:t>
      </w:r>
    </w:p>
    <w:p>
      <w:pPr>
        <w:spacing w:line="360" w:lineRule="auto"/>
        <w:rPr>
          <w:rFonts w:hint="eastAsia"/>
          <w:color w:val="auto"/>
          <w:sz w:val="24"/>
          <w:szCs w:val="24"/>
          <w:highlight w:val="none"/>
        </w:rPr>
      </w:pPr>
      <w:r>
        <w:rPr>
          <w:rFonts w:hint="eastAsia"/>
          <w:color w:val="auto"/>
          <w:sz w:val="24"/>
          <w:szCs w:val="24"/>
          <w:highlight w:val="none"/>
        </w:rPr>
        <w:t>采购活动提供本单位制造的货物（由本单位承担工程/提供服务），或者提供其他残疾人福利性单位制造的货物（ 不包括使用非残疾人福利性单位注册商标的货物）。</w:t>
      </w:r>
    </w:p>
    <w:p>
      <w:pPr>
        <w:spacing w:line="360" w:lineRule="auto"/>
        <w:ind w:firstLine="480" w:firstLineChars="200"/>
        <w:rPr>
          <w:color w:val="auto"/>
          <w:highlight w:val="none"/>
        </w:rPr>
      </w:pPr>
      <w:r>
        <w:rPr>
          <w:rFonts w:hint="eastAsia"/>
          <w:color w:val="auto"/>
          <w:sz w:val="24"/>
          <w:szCs w:val="24"/>
          <w:highlight w:val="none"/>
        </w:rPr>
        <w:t>本单位对上述声明的真实性负责。如有虚假，将依法承担相应责任。</w:t>
      </w:r>
    </w:p>
    <w:p>
      <w:pPr>
        <w:pStyle w:val="12"/>
        <w:rPr>
          <w:color w:val="auto"/>
          <w:highlight w:val="none"/>
        </w:rPr>
      </w:pPr>
    </w:p>
    <w:p>
      <w:pPr>
        <w:pStyle w:val="12"/>
        <w:rPr>
          <w:color w:val="auto"/>
          <w:highlight w:val="none"/>
        </w:rPr>
      </w:pPr>
    </w:p>
    <w:p>
      <w:pPr>
        <w:spacing w:line="360" w:lineRule="auto"/>
        <w:rPr>
          <w:rFonts w:hint="eastAsia"/>
          <w:color w:val="auto"/>
          <w:sz w:val="24"/>
          <w:szCs w:val="24"/>
          <w:highlight w:val="none"/>
        </w:rPr>
      </w:pPr>
      <w:r>
        <w:rPr>
          <w:rFonts w:hint="eastAsia"/>
          <w:color w:val="auto"/>
          <w:sz w:val="24"/>
          <w:szCs w:val="24"/>
          <w:highlight w:val="none"/>
        </w:rPr>
        <w:t>单位名称（盖章）：</w:t>
      </w:r>
    </w:p>
    <w:p>
      <w:pPr>
        <w:spacing w:line="360" w:lineRule="auto"/>
        <w:rPr>
          <w:rFonts w:hint="eastAsia"/>
          <w:color w:val="auto"/>
          <w:sz w:val="24"/>
          <w:szCs w:val="24"/>
          <w:highlight w:val="none"/>
        </w:rPr>
      </w:pPr>
    </w:p>
    <w:p>
      <w:pPr>
        <w:spacing w:line="360" w:lineRule="auto"/>
        <w:rPr>
          <w:rFonts w:hint="eastAsia"/>
          <w:color w:val="auto"/>
          <w:sz w:val="24"/>
          <w:szCs w:val="24"/>
          <w:highlight w:val="none"/>
        </w:rPr>
      </w:pPr>
    </w:p>
    <w:p>
      <w:pPr>
        <w:spacing w:line="360" w:lineRule="auto"/>
        <w:rPr>
          <w:color w:val="auto"/>
          <w:sz w:val="26"/>
          <w:highlight w:val="none"/>
        </w:rPr>
      </w:pPr>
      <w:r>
        <w:rPr>
          <w:rFonts w:hint="eastAsia"/>
          <w:color w:val="auto"/>
          <w:sz w:val="24"/>
          <w:szCs w:val="24"/>
          <w:highlight w:val="none"/>
        </w:rPr>
        <w:t>日</w:t>
      </w:r>
      <w:r>
        <w:rPr>
          <w:rFonts w:hint="eastAsia"/>
          <w:color w:val="auto"/>
          <w:sz w:val="24"/>
          <w:szCs w:val="24"/>
          <w:highlight w:val="none"/>
        </w:rPr>
        <w:tab/>
      </w:r>
      <w:r>
        <w:rPr>
          <w:rFonts w:hint="eastAsia"/>
          <w:color w:val="auto"/>
          <w:sz w:val="24"/>
          <w:szCs w:val="24"/>
          <w:highlight w:val="none"/>
        </w:rPr>
        <w:t>期：</w:t>
      </w:r>
      <w:r>
        <w:rPr>
          <w:rFonts w:hint="eastAsia"/>
          <w:color w:val="auto"/>
          <w:sz w:val="24"/>
          <w:szCs w:val="24"/>
          <w:highlight w:val="none"/>
          <w:lang w:val="en-US"/>
        </w:rPr>
        <w:t xml:space="preserve">   </w:t>
      </w:r>
      <w:r>
        <w:rPr>
          <w:rFonts w:hint="eastAsia"/>
          <w:color w:val="auto"/>
          <w:sz w:val="24"/>
          <w:szCs w:val="24"/>
          <w:highlight w:val="none"/>
        </w:rPr>
        <w:t xml:space="preserve"> 年</w:t>
      </w:r>
      <w:r>
        <w:rPr>
          <w:rFonts w:hint="eastAsia"/>
          <w:color w:val="auto"/>
          <w:sz w:val="24"/>
          <w:szCs w:val="24"/>
          <w:highlight w:val="none"/>
          <w:lang w:val="en-US"/>
        </w:rPr>
        <w:t xml:space="preserve"> </w:t>
      </w:r>
      <w:r>
        <w:rPr>
          <w:rFonts w:hint="eastAsia"/>
          <w:color w:val="auto"/>
          <w:sz w:val="24"/>
          <w:szCs w:val="24"/>
          <w:highlight w:val="none"/>
        </w:rPr>
        <w:tab/>
      </w:r>
      <w:r>
        <w:rPr>
          <w:rFonts w:hint="eastAsia"/>
          <w:color w:val="auto"/>
          <w:sz w:val="24"/>
          <w:szCs w:val="24"/>
          <w:highlight w:val="none"/>
        </w:rPr>
        <w:t>月</w:t>
      </w:r>
      <w:r>
        <w:rPr>
          <w:rFonts w:hint="eastAsia"/>
          <w:color w:val="auto"/>
          <w:sz w:val="24"/>
          <w:szCs w:val="24"/>
          <w:highlight w:val="none"/>
          <w:lang w:val="en-US"/>
        </w:rPr>
        <w:t xml:space="preserve">  </w:t>
      </w:r>
      <w:r>
        <w:rPr>
          <w:rFonts w:hint="eastAsia"/>
          <w:color w:val="auto"/>
          <w:sz w:val="24"/>
          <w:szCs w:val="24"/>
          <w:highlight w:val="none"/>
        </w:rPr>
        <w:tab/>
      </w:r>
      <w:r>
        <w:rPr>
          <w:rFonts w:hint="eastAsia"/>
          <w:color w:val="auto"/>
          <w:sz w:val="24"/>
          <w:szCs w:val="24"/>
          <w:highlight w:val="none"/>
        </w:rPr>
        <w:t>日</w:t>
      </w:r>
    </w:p>
    <w:p>
      <w:pPr>
        <w:pStyle w:val="12"/>
        <w:spacing w:before="12"/>
        <w:rPr>
          <w:color w:val="auto"/>
          <w:sz w:val="31"/>
          <w:highlight w:val="none"/>
        </w:rPr>
      </w:pPr>
    </w:p>
    <w:p>
      <w:pPr>
        <w:ind w:left="788"/>
        <w:rPr>
          <w:b/>
          <w:color w:val="auto"/>
          <w:sz w:val="24"/>
          <w:highlight w:val="none"/>
        </w:rPr>
      </w:pPr>
      <w:r>
        <w:rPr>
          <w:b/>
          <w:color w:val="auto"/>
          <w:sz w:val="24"/>
          <w:highlight w:val="none"/>
        </w:rPr>
        <w:t>注：</w:t>
      </w:r>
    </w:p>
    <w:p>
      <w:pPr>
        <w:pStyle w:val="12"/>
        <w:spacing w:before="9"/>
        <w:rPr>
          <w:b/>
          <w:color w:val="auto"/>
          <w:highlight w:val="none"/>
        </w:rPr>
      </w:pPr>
    </w:p>
    <w:p>
      <w:pPr>
        <w:spacing w:line="364" w:lineRule="auto"/>
        <w:ind w:left="308" w:right="364" w:firstLine="480"/>
        <w:jc w:val="both"/>
        <w:rPr>
          <w:b/>
          <w:color w:val="auto"/>
          <w:sz w:val="24"/>
          <w:highlight w:val="none"/>
        </w:rPr>
      </w:pPr>
      <w:r>
        <w:rPr>
          <w:rFonts w:ascii="Times New Roman" w:eastAsia="Times New Roman"/>
          <w:b/>
          <w:color w:val="auto"/>
          <w:w w:val="95"/>
          <w:sz w:val="24"/>
          <w:highlight w:val="none"/>
        </w:rPr>
        <w:t>1</w:t>
      </w:r>
      <w:r>
        <w:rPr>
          <w:b/>
          <w:color w:val="auto"/>
          <w:spacing w:val="3"/>
          <w:w w:val="95"/>
          <w:sz w:val="24"/>
          <w:highlight w:val="none"/>
        </w:rPr>
        <w:t>、残疾人福利性单位视同小型、微型企业，享受预留份额、评审中价格扣除等</w:t>
      </w:r>
      <w:r>
        <w:rPr>
          <w:b/>
          <w:color w:val="auto"/>
          <w:spacing w:val="-2"/>
          <w:sz w:val="24"/>
          <w:highlight w:val="none"/>
        </w:rPr>
        <w:t>促进中小企业发展的政府采购政策。残疾人福利性单位属于小型、微型企业的，不重复享受政策。</w:t>
      </w:r>
    </w:p>
    <w:p>
      <w:pPr>
        <w:spacing w:before="158" w:line="364" w:lineRule="auto"/>
        <w:ind w:left="308" w:right="364" w:firstLine="480"/>
        <w:rPr>
          <w:b/>
          <w:color w:val="auto"/>
          <w:sz w:val="24"/>
          <w:highlight w:val="none"/>
        </w:rPr>
      </w:pPr>
      <w:r>
        <w:rPr>
          <w:rFonts w:ascii="Times New Roman" w:eastAsia="Times New Roman"/>
          <w:b/>
          <w:color w:val="auto"/>
          <w:w w:val="95"/>
          <w:sz w:val="24"/>
          <w:highlight w:val="none"/>
        </w:rPr>
        <w:t>2</w:t>
      </w:r>
      <w:r>
        <w:rPr>
          <w:b/>
          <w:color w:val="auto"/>
          <w:spacing w:val="3"/>
          <w:w w:val="95"/>
          <w:sz w:val="24"/>
          <w:highlight w:val="none"/>
        </w:rPr>
        <w:t>、中标、成交供应商为残疾人福利性单位的，采购代理机构将随中标、成交结</w:t>
      </w:r>
      <w:r>
        <w:rPr>
          <w:b/>
          <w:color w:val="auto"/>
          <w:spacing w:val="3"/>
          <w:sz w:val="24"/>
          <w:highlight w:val="none"/>
        </w:rPr>
        <w:t>果同时公告其《残疾人福利性单位声明函》，接受社会监督。</w:t>
      </w:r>
    </w:p>
    <w:p>
      <w:pPr>
        <w:spacing w:before="157"/>
        <w:ind w:left="788"/>
        <w:rPr>
          <w:b/>
          <w:color w:val="auto"/>
          <w:sz w:val="24"/>
          <w:highlight w:val="none"/>
        </w:rPr>
      </w:pPr>
      <w:r>
        <w:rPr>
          <w:rFonts w:ascii="Times New Roman" w:eastAsia="Times New Roman"/>
          <w:b/>
          <w:color w:val="auto"/>
          <w:sz w:val="24"/>
          <w:highlight w:val="none"/>
        </w:rPr>
        <w:t>3</w:t>
      </w:r>
      <w:r>
        <w:rPr>
          <w:b/>
          <w:color w:val="auto"/>
          <w:sz w:val="24"/>
          <w:highlight w:val="none"/>
        </w:rPr>
        <w:t>、供应商为非残疾人福利性单位的，可不提供此声明。</w:t>
      </w:r>
    </w:p>
    <w:p>
      <w:pPr>
        <w:pStyle w:val="12"/>
        <w:rPr>
          <w:b/>
          <w:color w:val="auto"/>
          <w:sz w:val="40"/>
          <w:highlight w:val="none"/>
        </w:rPr>
      </w:pPr>
    </w:p>
    <w:p>
      <w:pPr>
        <w:pStyle w:val="2"/>
        <w:tabs>
          <w:tab w:val="left" w:pos="360"/>
          <w:tab w:val="left" w:pos="540"/>
        </w:tabs>
        <w:spacing w:before="156" w:beforeLines="50" w:after="156" w:afterLines="50"/>
        <w:rPr>
          <w:rFonts w:ascii="宋体" w:hAnsi="宋体" w:eastAsia="宋体" w:cs="宋体"/>
          <w:color w:val="auto"/>
          <w:sz w:val="32"/>
          <w:highlight w:val="none"/>
        </w:rPr>
      </w:pPr>
      <w:bookmarkStart w:id="1872" w:name="二、商务响应文件"/>
      <w:bookmarkEnd w:id="1872"/>
      <w:bookmarkStart w:id="1873" w:name="_Toc317237635"/>
      <w:bookmarkStart w:id="1874" w:name="_Toc18442"/>
      <w:bookmarkStart w:id="1875" w:name="_Toc522804908"/>
      <w:bookmarkStart w:id="1876" w:name="_Toc26958"/>
      <w:r>
        <w:rPr>
          <w:rFonts w:hint="eastAsia" w:ascii="宋体" w:hAnsi="宋体" w:eastAsia="宋体" w:cs="宋体"/>
          <w:color w:val="auto"/>
          <w:sz w:val="32"/>
          <w:highlight w:val="none"/>
        </w:rPr>
        <w:br w:type="page"/>
      </w:r>
      <w:bookmarkStart w:id="1877" w:name="_Toc23591"/>
      <w:bookmarkStart w:id="1878" w:name="_Toc6553"/>
      <w:bookmarkStart w:id="1879" w:name="_Toc22858"/>
      <w:bookmarkStart w:id="1880" w:name="_Toc5846"/>
      <w:r>
        <w:rPr>
          <w:rFonts w:hint="eastAsia" w:ascii="宋体" w:hAnsi="宋体" w:eastAsia="宋体" w:cs="宋体"/>
          <w:color w:val="auto"/>
          <w:sz w:val="32"/>
          <w:highlight w:val="none"/>
        </w:rPr>
        <w:t>二、商务响应文件</w:t>
      </w:r>
      <w:bookmarkEnd w:id="1877"/>
      <w:bookmarkEnd w:id="1878"/>
      <w:bookmarkEnd w:id="1879"/>
      <w:bookmarkEnd w:id="1880"/>
    </w:p>
    <w:p>
      <w:pPr>
        <w:pStyle w:val="2"/>
        <w:numPr>
          <w:ilvl w:val="1"/>
          <w:numId w:val="10"/>
        </w:numPr>
        <w:tabs>
          <w:tab w:val="left" w:pos="360"/>
          <w:tab w:val="left" w:pos="540"/>
          <w:tab w:val="clear" w:pos="780"/>
        </w:tabs>
        <w:spacing w:before="156" w:beforeLines="50" w:after="156" w:afterLines="50"/>
        <w:ind w:left="220" w:leftChars="0" w:firstLine="0" w:firstLineChars="0"/>
        <w:rPr>
          <w:rFonts w:ascii="宋体" w:hAnsi="宋体" w:eastAsia="宋体" w:cs="宋体"/>
          <w:color w:val="auto"/>
          <w:sz w:val="32"/>
          <w:highlight w:val="none"/>
        </w:rPr>
      </w:pPr>
      <w:bookmarkStart w:id="1881" w:name="_Toc1100"/>
      <w:bookmarkStart w:id="1882" w:name="_Toc18345"/>
      <w:bookmarkStart w:id="1883" w:name="_Toc25215"/>
      <w:bookmarkStart w:id="1884" w:name="_Toc1647"/>
      <w:r>
        <w:rPr>
          <w:rFonts w:hint="eastAsia" w:ascii="宋体" w:hAnsi="宋体" w:eastAsia="宋体" w:cs="宋体"/>
          <w:color w:val="auto"/>
          <w:sz w:val="32"/>
          <w:highlight w:val="none"/>
        </w:rPr>
        <w:t>法人代表身份证明和法定代表人授权委托书格式</w:t>
      </w:r>
      <w:bookmarkEnd w:id="1843"/>
      <w:bookmarkEnd w:id="1873"/>
      <w:bookmarkEnd w:id="1874"/>
      <w:bookmarkEnd w:id="1875"/>
      <w:bookmarkEnd w:id="1876"/>
      <w:bookmarkEnd w:id="1881"/>
      <w:bookmarkEnd w:id="1882"/>
      <w:bookmarkEnd w:id="1883"/>
      <w:bookmarkEnd w:id="1884"/>
    </w:p>
    <w:p>
      <w:pPr>
        <w:pStyle w:val="16"/>
        <w:spacing w:line="360" w:lineRule="auto"/>
        <w:ind w:firstLine="720" w:firstLineChars="200"/>
        <w:rPr>
          <w:rFonts w:hAnsi="宋体"/>
          <w:color w:val="auto"/>
          <w:sz w:val="36"/>
          <w:szCs w:val="36"/>
          <w:highlight w:val="none"/>
        </w:rPr>
      </w:pPr>
      <w:bookmarkStart w:id="1885" w:name="_Toc6842070"/>
      <w:bookmarkStart w:id="1886" w:name="_Toc477188648"/>
      <w:r>
        <w:rPr>
          <w:rFonts w:hint="eastAsia" w:hAnsi="宋体"/>
          <w:color w:val="auto"/>
          <w:sz w:val="36"/>
          <w:szCs w:val="36"/>
          <w:highlight w:val="none"/>
        </w:rPr>
        <w:t>法人代表身份证明（法定代表人参加投标）</w:t>
      </w:r>
    </w:p>
    <w:p>
      <w:pPr>
        <w:pStyle w:val="16"/>
        <w:spacing w:line="360" w:lineRule="auto"/>
        <w:ind w:firstLine="480" w:firstLineChars="200"/>
        <w:rPr>
          <w:rFonts w:hAnsi="宋体"/>
          <w:color w:val="auto"/>
          <w:sz w:val="24"/>
          <w:szCs w:val="24"/>
          <w:highlight w:val="none"/>
        </w:rPr>
      </w:pPr>
    </w:p>
    <w:p>
      <w:pPr>
        <w:pStyle w:val="16"/>
        <w:spacing w:line="360" w:lineRule="auto"/>
        <w:ind w:firstLine="480" w:firstLineChars="200"/>
        <w:rPr>
          <w:rFonts w:hAnsi="宋体"/>
          <w:color w:val="auto"/>
          <w:sz w:val="24"/>
          <w:szCs w:val="24"/>
          <w:highlight w:val="none"/>
        </w:rPr>
      </w:pPr>
      <w:bookmarkStart w:id="1887" w:name="_Toc28807"/>
      <w:bookmarkStart w:id="1888" w:name="_Toc983"/>
      <w:bookmarkStart w:id="1889" w:name="_Toc24602"/>
      <w:bookmarkStart w:id="1890" w:name="_Toc26154"/>
      <w:r>
        <w:rPr>
          <w:rFonts w:hint="eastAsia" w:hAnsi="宋体"/>
          <w:color w:val="auto"/>
          <w:sz w:val="24"/>
          <w:szCs w:val="24"/>
          <w:highlight w:val="none"/>
        </w:rPr>
        <w:t>投标人名称：</w:t>
      </w:r>
      <w:bookmarkEnd w:id="1887"/>
      <w:bookmarkEnd w:id="1888"/>
      <w:bookmarkEnd w:id="1889"/>
      <w:bookmarkEnd w:id="1890"/>
    </w:p>
    <w:p>
      <w:pPr>
        <w:pStyle w:val="16"/>
        <w:spacing w:line="360" w:lineRule="auto"/>
        <w:ind w:firstLine="480" w:firstLineChars="200"/>
        <w:rPr>
          <w:rFonts w:hAnsi="宋体"/>
          <w:color w:val="auto"/>
          <w:sz w:val="24"/>
          <w:szCs w:val="24"/>
          <w:highlight w:val="none"/>
        </w:rPr>
      </w:pPr>
      <w:bookmarkStart w:id="1891" w:name="_Toc16276"/>
      <w:bookmarkStart w:id="1892" w:name="_Toc31367"/>
      <w:bookmarkStart w:id="1893" w:name="_Toc19815"/>
      <w:bookmarkStart w:id="1894" w:name="_Toc2508"/>
      <w:r>
        <w:rPr>
          <w:rFonts w:hint="eastAsia" w:hAnsi="宋体"/>
          <w:color w:val="auto"/>
          <w:sz w:val="24"/>
          <w:szCs w:val="24"/>
          <w:highlight w:val="none"/>
        </w:rPr>
        <w:t>注册号：</w:t>
      </w:r>
      <w:bookmarkEnd w:id="1891"/>
      <w:bookmarkEnd w:id="1892"/>
      <w:bookmarkEnd w:id="1893"/>
      <w:bookmarkEnd w:id="1894"/>
    </w:p>
    <w:p>
      <w:pPr>
        <w:pStyle w:val="16"/>
        <w:spacing w:line="360" w:lineRule="auto"/>
        <w:ind w:firstLine="480" w:firstLineChars="200"/>
        <w:rPr>
          <w:rFonts w:hAnsi="宋体"/>
          <w:color w:val="auto"/>
          <w:sz w:val="24"/>
          <w:szCs w:val="24"/>
          <w:highlight w:val="none"/>
        </w:rPr>
      </w:pPr>
      <w:bookmarkStart w:id="1895" w:name="_Toc20429"/>
      <w:bookmarkStart w:id="1896" w:name="_Toc5533"/>
      <w:bookmarkStart w:id="1897" w:name="_Toc27057"/>
      <w:bookmarkStart w:id="1898" w:name="_Toc31826"/>
      <w:r>
        <w:rPr>
          <w:rFonts w:hint="eastAsia" w:hAnsi="宋体"/>
          <w:color w:val="auto"/>
          <w:sz w:val="24"/>
          <w:szCs w:val="24"/>
          <w:highlight w:val="none"/>
        </w:rPr>
        <w:t>注册地址：</w:t>
      </w:r>
      <w:bookmarkEnd w:id="1895"/>
      <w:bookmarkEnd w:id="1896"/>
      <w:bookmarkEnd w:id="1897"/>
      <w:bookmarkEnd w:id="1898"/>
    </w:p>
    <w:p>
      <w:pPr>
        <w:pStyle w:val="16"/>
        <w:spacing w:line="360" w:lineRule="auto"/>
        <w:ind w:firstLine="480" w:firstLineChars="200"/>
        <w:rPr>
          <w:rFonts w:hAnsi="宋体"/>
          <w:color w:val="auto"/>
          <w:sz w:val="24"/>
          <w:szCs w:val="24"/>
          <w:highlight w:val="none"/>
        </w:rPr>
      </w:pPr>
      <w:bookmarkStart w:id="1899" w:name="_Toc19302"/>
      <w:bookmarkStart w:id="1900" w:name="_Toc9378"/>
      <w:bookmarkStart w:id="1901" w:name="_Toc30834"/>
      <w:bookmarkStart w:id="1902" w:name="_Toc1906"/>
      <w:r>
        <w:rPr>
          <w:rFonts w:hint="eastAsia" w:hAnsi="宋体"/>
          <w:color w:val="auto"/>
          <w:sz w:val="24"/>
          <w:szCs w:val="24"/>
          <w:highlight w:val="none"/>
        </w:rPr>
        <w:t>成立时间：      年    月     日</w:t>
      </w:r>
      <w:bookmarkEnd w:id="1899"/>
      <w:bookmarkEnd w:id="1900"/>
      <w:bookmarkEnd w:id="1901"/>
      <w:bookmarkEnd w:id="1902"/>
    </w:p>
    <w:p>
      <w:pPr>
        <w:pStyle w:val="16"/>
        <w:spacing w:line="360" w:lineRule="auto"/>
        <w:ind w:firstLine="480" w:firstLineChars="200"/>
        <w:rPr>
          <w:rFonts w:hAnsi="宋体"/>
          <w:color w:val="auto"/>
          <w:sz w:val="24"/>
          <w:szCs w:val="24"/>
          <w:highlight w:val="none"/>
        </w:rPr>
      </w:pPr>
      <w:bookmarkStart w:id="1903" w:name="_Toc27438"/>
      <w:bookmarkStart w:id="1904" w:name="_Toc26389"/>
      <w:bookmarkStart w:id="1905" w:name="_Toc2740"/>
      <w:bookmarkStart w:id="1906" w:name="_Toc1326"/>
      <w:r>
        <w:rPr>
          <w:rFonts w:hint="eastAsia" w:hAnsi="宋体"/>
          <w:color w:val="auto"/>
          <w:sz w:val="24"/>
          <w:szCs w:val="24"/>
          <w:highlight w:val="none"/>
        </w:rPr>
        <w:t>经营范围：</w:t>
      </w:r>
      <w:bookmarkEnd w:id="1903"/>
      <w:bookmarkEnd w:id="1904"/>
      <w:bookmarkEnd w:id="1905"/>
      <w:bookmarkEnd w:id="1906"/>
    </w:p>
    <w:p>
      <w:pPr>
        <w:pStyle w:val="16"/>
        <w:spacing w:line="360" w:lineRule="auto"/>
        <w:ind w:firstLine="480" w:firstLineChars="200"/>
        <w:rPr>
          <w:rFonts w:hAnsi="宋体"/>
          <w:color w:val="auto"/>
          <w:sz w:val="24"/>
          <w:szCs w:val="24"/>
          <w:highlight w:val="none"/>
        </w:rPr>
      </w:pPr>
      <w:bookmarkStart w:id="1907" w:name="_Toc13816"/>
      <w:bookmarkStart w:id="1908" w:name="_Toc17231"/>
      <w:bookmarkStart w:id="1909" w:name="_Toc10005"/>
      <w:bookmarkStart w:id="1910" w:name="_Toc17213"/>
      <w:r>
        <w:rPr>
          <w:rFonts w:hint="eastAsia" w:hAnsi="宋体"/>
          <w:color w:val="auto"/>
          <w:sz w:val="24"/>
          <w:szCs w:val="24"/>
          <w:highlight w:val="none"/>
        </w:rPr>
        <w:t>姓名：          性别：           年龄：        系                    （投标人名称）的法定代表人。</w:t>
      </w:r>
      <w:bookmarkEnd w:id="1907"/>
      <w:bookmarkEnd w:id="1908"/>
      <w:bookmarkEnd w:id="1909"/>
      <w:bookmarkEnd w:id="1910"/>
    </w:p>
    <w:p>
      <w:pPr>
        <w:pStyle w:val="16"/>
        <w:spacing w:line="360" w:lineRule="auto"/>
        <w:ind w:firstLine="480" w:firstLineChars="200"/>
        <w:rPr>
          <w:rFonts w:hAnsi="宋体"/>
          <w:color w:val="auto"/>
          <w:sz w:val="24"/>
          <w:szCs w:val="24"/>
          <w:highlight w:val="none"/>
        </w:rPr>
      </w:pPr>
      <w:bookmarkStart w:id="1911" w:name="_Toc6237"/>
      <w:bookmarkStart w:id="1912" w:name="_Toc18108"/>
      <w:bookmarkStart w:id="1913" w:name="_Toc2832"/>
      <w:bookmarkStart w:id="1914" w:name="_Toc1776"/>
      <w:r>
        <w:rPr>
          <w:rFonts w:hint="eastAsia" w:hAnsi="宋体"/>
          <w:color w:val="auto"/>
          <w:sz w:val="24"/>
          <w:szCs w:val="24"/>
          <w:highlight w:val="none"/>
        </w:rPr>
        <w:t>特此说明。</w:t>
      </w:r>
      <w:bookmarkEnd w:id="1911"/>
      <w:bookmarkEnd w:id="1912"/>
      <w:bookmarkEnd w:id="1913"/>
      <w:bookmarkEnd w:id="1914"/>
    </w:p>
    <w:p>
      <w:pPr>
        <w:pStyle w:val="16"/>
        <w:spacing w:line="360" w:lineRule="auto"/>
        <w:ind w:firstLine="480" w:firstLineChars="200"/>
        <w:rPr>
          <w:rFonts w:hAnsi="宋体"/>
          <w:color w:val="auto"/>
          <w:sz w:val="24"/>
          <w:szCs w:val="24"/>
          <w:highlight w:val="none"/>
        </w:rPr>
      </w:pPr>
    </w:p>
    <w:p>
      <w:pPr>
        <w:pStyle w:val="16"/>
        <w:spacing w:line="360" w:lineRule="auto"/>
        <w:ind w:firstLine="480" w:firstLineChars="200"/>
        <w:rPr>
          <w:rFonts w:hAnsi="宋体"/>
          <w:color w:val="auto"/>
          <w:sz w:val="24"/>
          <w:szCs w:val="24"/>
          <w:highlight w:val="none"/>
        </w:rPr>
      </w:pPr>
      <w:bookmarkStart w:id="1915" w:name="_Toc31410"/>
      <w:bookmarkStart w:id="1916" w:name="_Toc2623"/>
      <w:bookmarkStart w:id="1917" w:name="_Toc32416"/>
      <w:bookmarkStart w:id="1918" w:name="_Toc16565"/>
      <w:r>
        <w:rPr>
          <w:rFonts w:hint="eastAsia" w:hAnsi="宋体"/>
          <w:color w:val="auto"/>
          <w:sz w:val="24"/>
          <w:szCs w:val="24"/>
          <w:highlight w:val="none"/>
        </w:rPr>
        <w:t>附件：法定代表人身份证复印件</w:t>
      </w:r>
      <w:bookmarkEnd w:id="1915"/>
      <w:bookmarkEnd w:id="1916"/>
      <w:bookmarkEnd w:id="1917"/>
      <w:bookmarkEnd w:id="1918"/>
    </w:p>
    <w:p>
      <w:pPr>
        <w:pStyle w:val="16"/>
        <w:spacing w:line="360" w:lineRule="auto"/>
        <w:ind w:firstLine="480" w:firstLineChars="200"/>
        <w:rPr>
          <w:rFonts w:hAnsi="宋体"/>
          <w:color w:val="auto"/>
          <w:sz w:val="24"/>
          <w:szCs w:val="24"/>
          <w:highlight w:val="none"/>
        </w:rPr>
      </w:pPr>
    </w:p>
    <w:p>
      <w:pPr>
        <w:pStyle w:val="16"/>
        <w:spacing w:line="360" w:lineRule="auto"/>
        <w:ind w:firstLine="480" w:firstLineChars="200"/>
        <w:rPr>
          <w:rFonts w:hAnsi="宋体"/>
          <w:color w:val="auto"/>
          <w:sz w:val="24"/>
          <w:szCs w:val="24"/>
          <w:highlight w:val="none"/>
        </w:rPr>
      </w:pPr>
    </w:p>
    <w:p>
      <w:pPr>
        <w:pStyle w:val="16"/>
        <w:spacing w:line="360" w:lineRule="auto"/>
        <w:ind w:firstLine="480" w:firstLineChars="200"/>
        <w:rPr>
          <w:rFonts w:hAnsi="宋体"/>
          <w:color w:val="auto"/>
          <w:sz w:val="24"/>
          <w:szCs w:val="24"/>
          <w:highlight w:val="none"/>
        </w:rPr>
      </w:pPr>
    </w:p>
    <w:p>
      <w:pPr>
        <w:pStyle w:val="16"/>
        <w:spacing w:line="360" w:lineRule="auto"/>
        <w:ind w:firstLine="480" w:firstLineChars="200"/>
        <w:rPr>
          <w:rFonts w:hAnsi="宋体"/>
          <w:color w:val="auto"/>
          <w:sz w:val="24"/>
          <w:szCs w:val="24"/>
          <w:highlight w:val="none"/>
        </w:rPr>
      </w:pPr>
      <w:r>
        <w:rPr>
          <w:rFonts w:hint="eastAsia" w:hAnsi="宋体"/>
          <w:color w:val="auto"/>
          <w:sz w:val="24"/>
          <w:szCs w:val="24"/>
          <w:highlight w:val="none"/>
        </w:rPr>
        <w:t>法定代表人签字：</w:t>
      </w:r>
    </w:p>
    <w:p>
      <w:pPr>
        <w:pStyle w:val="16"/>
        <w:spacing w:line="360" w:lineRule="auto"/>
        <w:ind w:firstLine="480" w:firstLineChars="200"/>
        <w:rPr>
          <w:rFonts w:hAnsi="宋体"/>
          <w:color w:val="auto"/>
          <w:sz w:val="24"/>
          <w:szCs w:val="24"/>
          <w:highlight w:val="none"/>
        </w:rPr>
      </w:pPr>
      <w:r>
        <w:rPr>
          <w:rFonts w:hint="eastAsia" w:hAnsi="宋体"/>
          <w:color w:val="auto"/>
          <w:sz w:val="24"/>
          <w:szCs w:val="24"/>
          <w:highlight w:val="none"/>
        </w:rPr>
        <w:t>投标人名称：         （盖章）</w:t>
      </w:r>
    </w:p>
    <w:p>
      <w:pPr>
        <w:pStyle w:val="16"/>
        <w:spacing w:line="360" w:lineRule="auto"/>
        <w:ind w:firstLine="480" w:firstLineChars="200"/>
        <w:rPr>
          <w:rFonts w:hAnsi="宋体"/>
          <w:color w:val="auto"/>
          <w:sz w:val="24"/>
          <w:szCs w:val="24"/>
          <w:highlight w:val="none"/>
        </w:rPr>
      </w:pPr>
      <w:r>
        <w:rPr>
          <w:rFonts w:hint="eastAsia" w:hAnsi="宋体"/>
          <w:color w:val="auto"/>
          <w:sz w:val="24"/>
          <w:szCs w:val="24"/>
          <w:highlight w:val="none"/>
        </w:rPr>
        <w:t>日    期：</w:t>
      </w:r>
    </w:p>
    <w:bookmarkEnd w:id="1885"/>
    <w:bookmarkEnd w:id="1886"/>
    <w:p>
      <w:pPr>
        <w:pStyle w:val="9"/>
        <w:overflowPunct w:val="0"/>
        <w:spacing w:line="560" w:lineRule="exact"/>
        <w:ind w:firstLine="0"/>
        <w:rPr>
          <w:rFonts w:ascii="宋体" w:hAnsi="宋体"/>
          <w:b/>
          <w:color w:val="auto"/>
          <w:highlight w:val="none"/>
        </w:rPr>
      </w:pPr>
    </w:p>
    <w:p>
      <w:pPr>
        <w:pStyle w:val="9"/>
        <w:overflowPunct w:val="0"/>
        <w:spacing w:line="560" w:lineRule="exact"/>
        <w:ind w:firstLine="0"/>
        <w:rPr>
          <w:rFonts w:ascii="宋体" w:hAnsi="宋体"/>
          <w:b/>
          <w:color w:val="auto"/>
          <w:highlight w:val="none"/>
        </w:rPr>
      </w:pPr>
    </w:p>
    <w:p>
      <w:pPr>
        <w:pStyle w:val="9"/>
        <w:overflowPunct w:val="0"/>
        <w:spacing w:line="560" w:lineRule="exact"/>
        <w:ind w:firstLine="0"/>
        <w:rPr>
          <w:rFonts w:ascii="宋体" w:hAnsi="宋体"/>
          <w:b/>
          <w:color w:val="auto"/>
          <w:highlight w:val="none"/>
        </w:rPr>
      </w:pPr>
    </w:p>
    <w:p>
      <w:pPr>
        <w:pStyle w:val="9"/>
        <w:overflowPunct w:val="0"/>
        <w:spacing w:line="560" w:lineRule="exact"/>
        <w:ind w:firstLine="0"/>
        <w:rPr>
          <w:rFonts w:ascii="宋体" w:hAnsi="宋体"/>
          <w:b/>
          <w:color w:val="auto"/>
          <w:highlight w:val="none"/>
        </w:rPr>
      </w:pPr>
    </w:p>
    <w:p>
      <w:pPr>
        <w:pStyle w:val="9"/>
        <w:overflowPunct w:val="0"/>
        <w:spacing w:line="560" w:lineRule="exact"/>
        <w:ind w:firstLine="0"/>
        <w:rPr>
          <w:rFonts w:ascii="宋体" w:hAnsi="宋体"/>
          <w:b/>
          <w:color w:val="auto"/>
          <w:highlight w:val="none"/>
        </w:rPr>
      </w:pPr>
    </w:p>
    <w:p>
      <w:pPr>
        <w:pStyle w:val="9"/>
        <w:overflowPunct w:val="0"/>
        <w:spacing w:line="560" w:lineRule="exact"/>
        <w:ind w:firstLine="0"/>
        <w:rPr>
          <w:rFonts w:ascii="宋体" w:hAnsi="宋体"/>
          <w:b/>
          <w:color w:val="auto"/>
          <w:highlight w:val="none"/>
        </w:rPr>
      </w:pPr>
    </w:p>
    <w:p>
      <w:pPr>
        <w:pStyle w:val="2"/>
        <w:spacing w:before="0"/>
        <w:ind w:right="165"/>
        <w:jc w:val="center"/>
        <w:rPr>
          <w:color w:val="auto"/>
          <w:sz w:val="32"/>
          <w:szCs w:val="32"/>
          <w:highlight w:val="none"/>
        </w:rPr>
      </w:pPr>
      <w:bookmarkStart w:id="1919" w:name="_Toc26635"/>
      <w:bookmarkStart w:id="1920" w:name="_Toc17984"/>
      <w:bookmarkStart w:id="1921" w:name="_Toc7071"/>
      <w:bookmarkStart w:id="1922" w:name="_Toc17193"/>
      <w:bookmarkStart w:id="1923" w:name="_Toc25851"/>
      <w:bookmarkStart w:id="1924" w:name="_Toc29752"/>
      <w:bookmarkStart w:id="1925" w:name="_Toc4297"/>
      <w:bookmarkStart w:id="1926" w:name="_Toc212102886"/>
      <w:r>
        <w:rPr>
          <w:color w:val="auto"/>
          <w:sz w:val="32"/>
          <w:szCs w:val="32"/>
          <w:highlight w:val="none"/>
        </w:rPr>
        <w:t>法人授权委托书</w:t>
      </w:r>
      <w:bookmarkEnd w:id="1919"/>
      <w:bookmarkEnd w:id="1920"/>
      <w:bookmarkEnd w:id="1921"/>
      <w:bookmarkEnd w:id="1922"/>
      <w:bookmarkEnd w:id="1923"/>
      <w:bookmarkEnd w:id="1924"/>
      <w:bookmarkEnd w:id="1925"/>
    </w:p>
    <w:p>
      <w:pPr>
        <w:pStyle w:val="12"/>
        <w:spacing w:before="3"/>
        <w:rPr>
          <w:b/>
          <w:color w:val="auto"/>
          <w:sz w:val="42"/>
          <w:highlight w:val="none"/>
        </w:rPr>
      </w:pPr>
    </w:p>
    <w:p>
      <w:pPr>
        <w:spacing w:line="360" w:lineRule="auto"/>
        <w:ind w:firstLine="480" w:firstLineChars="200"/>
        <w:rPr>
          <w:color w:val="auto"/>
          <w:sz w:val="24"/>
          <w:szCs w:val="24"/>
          <w:highlight w:val="none"/>
        </w:rPr>
      </w:pPr>
      <w:r>
        <w:rPr>
          <w:color w:val="auto"/>
          <w:sz w:val="24"/>
          <w:szCs w:val="24"/>
          <w:highlight w:val="none"/>
        </w:rPr>
        <w:t>本授权委托书声明：我（姓名）系 （投标单位名称）的法定代表人， 现授权委托 （姓名）</w:t>
      </w:r>
      <w:r>
        <w:rPr>
          <w:rFonts w:hint="eastAsia"/>
          <w:color w:val="auto"/>
          <w:sz w:val="24"/>
          <w:szCs w:val="24"/>
          <w:highlight w:val="none"/>
          <w:lang w:val="en-US"/>
        </w:rPr>
        <w:t xml:space="preserve"> </w:t>
      </w:r>
      <w:r>
        <w:rPr>
          <w:color w:val="auto"/>
          <w:sz w:val="24"/>
          <w:szCs w:val="24"/>
          <w:highlight w:val="none"/>
        </w:rPr>
        <w:t>为我公司代理人，以本公司的名义参加</w:t>
      </w:r>
      <w:r>
        <w:rPr>
          <w:rFonts w:hint="eastAsia"/>
          <w:color w:val="auto"/>
          <w:sz w:val="24"/>
          <w:szCs w:val="24"/>
          <w:highlight w:val="none"/>
          <w:lang w:val="en-US"/>
        </w:rPr>
        <w:t>（代理公司）</w:t>
      </w:r>
      <w:r>
        <w:rPr>
          <w:color w:val="auto"/>
          <w:sz w:val="24"/>
          <w:szCs w:val="24"/>
          <w:highlight w:val="none"/>
        </w:rPr>
        <w:t>组织的</w:t>
      </w:r>
      <w:r>
        <w:rPr>
          <w:rFonts w:hint="eastAsia"/>
          <w:color w:val="auto"/>
          <w:sz w:val="24"/>
          <w:szCs w:val="24"/>
          <w:highlight w:val="none"/>
          <w:lang w:val="en-US"/>
        </w:rPr>
        <w:t>（</w:t>
      </w:r>
      <w:r>
        <w:rPr>
          <w:color w:val="auto"/>
          <w:sz w:val="24"/>
          <w:szCs w:val="24"/>
          <w:highlight w:val="none"/>
        </w:rPr>
        <w:t>项目</w:t>
      </w:r>
      <w:r>
        <w:rPr>
          <w:rFonts w:hint="eastAsia"/>
          <w:color w:val="auto"/>
          <w:sz w:val="24"/>
          <w:szCs w:val="24"/>
          <w:highlight w:val="none"/>
          <w:lang w:val="en-US"/>
        </w:rPr>
        <w:t>名称和项目</w:t>
      </w:r>
      <w:r>
        <w:rPr>
          <w:color w:val="auto"/>
          <w:sz w:val="24"/>
          <w:szCs w:val="24"/>
          <w:highlight w:val="none"/>
        </w:rPr>
        <w:t>编号</w:t>
      </w:r>
      <w:r>
        <w:rPr>
          <w:rFonts w:hint="eastAsia"/>
          <w:color w:val="auto"/>
          <w:sz w:val="24"/>
          <w:szCs w:val="24"/>
          <w:highlight w:val="none"/>
          <w:lang w:val="en-US"/>
        </w:rPr>
        <w:t>）</w:t>
      </w:r>
      <w:r>
        <w:rPr>
          <w:color w:val="auto"/>
          <w:sz w:val="24"/>
          <w:szCs w:val="24"/>
          <w:highlight w:val="none"/>
        </w:rPr>
        <w:t>的招标活动。代理人在开评标过程中所签署的一切文件、处理与本招标活动有关的</w:t>
      </w:r>
      <w:r>
        <w:rPr>
          <w:rFonts w:hint="eastAsia"/>
          <w:color w:val="auto"/>
          <w:sz w:val="24"/>
          <w:szCs w:val="24"/>
          <w:highlight w:val="none"/>
          <w:lang w:val="en-US"/>
        </w:rPr>
        <w:t>除质疑（须另附书面形式的质疑函及符合94号令第八条要求的授权委托书）之外的</w:t>
      </w:r>
      <w:r>
        <w:rPr>
          <w:color w:val="auto"/>
          <w:sz w:val="24"/>
          <w:szCs w:val="24"/>
          <w:highlight w:val="none"/>
        </w:rPr>
        <w:t>一切事务，我均予以承认。</w:t>
      </w:r>
    </w:p>
    <w:p>
      <w:pPr>
        <w:spacing w:line="360" w:lineRule="auto"/>
        <w:ind w:firstLine="480" w:firstLineChars="200"/>
        <w:rPr>
          <w:color w:val="auto"/>
          <w:sz w:val="24"/>
          <w:szCs w:val="24"/>
          <w:highlight w:val="none"/>
        </w:rPr>
      </w:pPr>
      <w:r>
        <w:rPr>
          <w:color w:val="auto"/>
          <w:sz w:val="24"/>
          <w:szCs w:val="24"/>
          <w:highlight w:val="none"/>
        </w:rPr>
        <w:t>代理人在授权委托书有效期内签署的所有文件不因授权委托的撤销而失效。除非有撤销授权委托的书面通知，本授权委托书自投标开始至</w:t>
      </w:r>
      <w:r>
        <w:rPr>
          <w:rFonts w:hint="eastAsia"/>
          <w:color w:val="auto"/>
          <w:sz w:val="24"/>
          <w:szCs w:val="24"/>
          <w:highlight w:val="none"/>
          <w:lang w:val="en-US"/>
        </w:rPr>
        <w:t>评审结束</w:t>
      </w:r>
      <w:r>
        <w:rPr>
          <w:color w:val="auto"/>
          <w:sz w:val="24"/>
          <w:szCs w:val="24"/>
          <w:highlight w:val="none"/>
        </w:rPr>
        <w:t>完毕止。</w:t>
      </w:r>
    </w:p>
    <w:p>
      <w:pPr>
        <w:spacing w:line="360" w:lineRule="auto"/>
        <w:ind w:firstLine="480" w:firstLineChars="200"/>
        <w:rPr>
          <w:color w:val="auto"/>
          <w:sz w:val="24"/>
          <w:szCs w:val="24"/>
          <w:highlight w:val="none"/>
        </w:rPr>
      </w:pPr>
      <w:r>
        <w:rPr>
          <w:color w:val="auto"/>
          <w:sz w:val="24"/>
          <w:szCs w:val="24"/>
          <w:highlight w:val="none"/>
        </w:rPr>
        <w:t>代理人无转委托权。特此委托。</w:t>
      </w:r>
    </w:p>
    <w:p>
      <w:pPr>
        <w:pStyle w:val="12"/>
        <w:rPr>
          <w:color w:val="auto"/>
          <w:highlight w:val="none"/>
        </w:rPr>
      </w:pPr>
    </w:p>
    <w:p>
      <w:pPr>
        <w:pStyle w:val="12"/>
        <w:rPr>
          <w:color w:val="auto"/>
          <w:highlight w:val="none"/>
        </w:rPr>
      </w:pPr>
    </w:p>
    <w:p>
      <w:pPr>
        <w:pStyle w:val="12"/>
        <w:rPr>
          <w:color w:val="auto"/>
          <w:highlight w:val="none"/>
        </w:rPr>
      </w:pPr>
    </w:p>
    <w:p>
      <w:pPr>
        <w:pStyle w:val="12"/>
        <w:rPr>
          <w:color w:val="auto"/>
          <w:highlight w:val="none"/>
        </w:rPr>
      </w:pPr>
    </w:p>
    <w:p>
      <w:pPr>
        <w:pStyle w:val="12"/>
        <w:spacing w:before="3"/>
        <w:rPr>
          <w:color w:val="auto"/>
          <w:sz w:val="29"/>
          <w:highlight w:val="none"/>
        </w:rPr>
      </w:pPr>
    </w:p>
    <w:p>
      <w:pPr>
        <w:spacing w:line="360" w:lineRule="auto"/>
        <w:jc w:val="right"/>
        <w:rPr>
          <w:color w:val="auto"/>
          <w:sz w:val="24"/>
          <w:szCs w:val="24"/>
          <w:highlight w:val="none"/>
        </w:rPr>
      </w:pPr>
      <w:r>
        <w:rPr>
          <w:color w:val="auto"/>
          <w:sz w:val="24"/>
          <w:szCs w:val="24"/>
          <w:highlight w:val="none"/>
        </w:rPr>
        <w:t xml:space="preserve">投标人：（填写名称并盖章） </w:t>
      </w:r>
    </w:p>
    <w:p>
      <w:pPr>
        <w:spacing w:line="360" w:lineRule="auto"/>
        <w:jc w:val="right"/>
        <w:rPr>
          <w:color w:val="auto"/>
          <w:sz w:val="24"/>
          <w:szCs w:val="24"/>
          <w:highlight w:val="none"/>
        </w:rPr>
      </w:pPr>
      <w:r>
        <w:rPr>
          <w:color w:val="auto"/>
          <w:sz w:val="24"/>
          <w:szCs w:val="24"/>
          <w:highlight w:val="none"/>
        </w:rPr>
        <w:t xml:space="preserve">法定代表人：（签字或盖章） </w:t>
      </w:r>
    </w:p>
    <w:p>
      <w:pPr>
        <w:spacing w:line="360" w:lineRule="auto"/>
        <w:jc w:val="right"/>
        <w:rPr>
          <w:color w:val="auto"/>
          <w:sz w:val="24"/>
          <w:szCs w:val="24"/>
          <w:highlight w:val="none"/>
        </w:rPr>
      </w:pPr>
      <w:r>
        <w:rPr>
          <w:rFonts w:hint="eastAsia"/>
          <w:color w:val="auto"/>
          <w:sz w:val="24"/>
          <w:szCs w:val="24"/>
          <w:highlight w:val="none"/>
          <w:lang w:val="en-US"/>
        </w:rPr>
        <w:t xml:space="preserve">                             </w:t>
      </w:r>
      <w:r>
        <w:rPr>
          <w:color w:val="auto"/>
          <w:sz w:val="24"/>
          <w:szCs w:val="24"/>
          <w:highlight w:val="none"/>
        </w:rPr>
        <w:t>授权</w:t>
      </w:r>
      <w:r>
        <w:rPr>
          <w:rFonts w:hint="eastAsia"/>
          <w:color w:val="auto"/>
          <w:sz w:val="24"/>
          <w:szCs w:val="24"/>
          <w:highlight w:val="none"/>
          <w:lang w:val="en-US"/>
        </w:rPr>
        <w:t>代表</w:t>
      </w:r>
      <w:r>
        <w:rPr>
          <w:color w:val="auto"/>
          <w:sz w:val="24"/>
          <w:szCs w:val="24"/>
          <w:highlight w:val="none"/>
        </w:rPr>
        <w:t xml:space="preserve">：（签字或盖章） </w:t>
      </w:r>
    </w:p>
    <w:p>
      <w:pPr>
        <w:spacing w:line="360" w:lineRule="auto"/>
        <w:jc w:val="right"/>
        <w:rPr>
          <w:color w:val="auto"/>
          <w:sz w:val="24"/>
          <w:szCs w:val="24"/>
          <w:highlight w:val="none"/>
        </w:rPr>
      </w:pPr>
      <w:r>
        <w:rPr>
          <w:color w:val="auto"/>
          <w:sz w:val="24"/>
          <w:szCs w:val="24"/>
          <w:highlight w:val="none"/>
        </w:rPr>
        <w:t xml:space="preserve">日 期 ： 年 </w:t>
      </w:r>
      <w:r>
        <w:rPr>
          <w:rFonts w:hint="eastAsia"/>
          <w:color w:val="auto"/>
          <w:sz w:val="24"/>
          <w:szCs w:val="24"/>
          <w:highlight w:val="none"/>
          <w:lang w:val="en-US"/>
        </w:rPr>
        <w:t xml:space="preserve">  </w:t>
      </w:r>
      <w:r>
        <w:rPr>
          <w:color w:val="auto"/>
          <w:sz w:val="24"/>
          <w:szCs w:val="24"/>
          <w:highlight w:val="none"/>
        </w:rPr>
        <w:t xml:space="preserve">月 </w:t>
      </w:r>
      <w:r>
        <w:rPr>
          <w:rFonts w:hint="eastAsia"/>
          <w:color w:val="auto"/>
          <w:sz w:val="24"/>
          <w:szCs w:val="24"/>
          <w:highlight w:val="none"/>
          <w:lang w:val="en-US"/>
        </w:rPr>
        <w:t xml:space="preserve">  </w:t>
      </w:r>
      <w:r>
        <w:rPr>
          <w:color w:val="auto"/>
          <w:sz w:val="24"/>
          <w:szCs w:val="24"/>
          <w:highlight w:val="none"/>
        </w:rPr>
        <w:t>日</w:t>
      </w:r>
    </w:p>
    <w:p>
      <w:pPr>
        <w:spacing w:line="374" w:lineRule="auto"/>
        <w:jc w:val="both"/>
        <w:rPr>
          <w:color w:val="auto"/>
          <w:highlight w:val="none"/>
        </w:rPr>
      </w:pPr>
    </w:p>
    <w:p>
      <w:pPr>
        <w:pStyle w:val="42"/>
        <w:rPr>
          <w:color w:val="auto"/>
          <w:highlight w:val="none"/>
        </w:rPr>
      </w:pPr>
    </w:p>
    <w:p>
      <w:pPr>
        <w:pStyle w:val="42"/>
        <w:rPr>
          <w:color w:val="auto"/>
          <w:highlight w:val="none"/>
        </w:rPr>
      </w:pPr>
    </w:p>
    <w:p>
      <w:pPr>
        <w:spacing w:line="400" w:lineRule="exact"/>
        <w:ind w:firstLine="964" w:firstLineChars="400"/>
        <w:rPr>
          <w:b/>
          <w:color w:val="auto"/>
          <w:sz w:val="24"/>
          <w:szCs w:val="24"/>
          <w:highlight w:val="none"/>
        </w:rPr>
      </w:pPr>
      <w:r>
        <w:rPr>
          <w:rFonts w:hint="eastAsia"/>
          <w:b/>
          <w:color w:val="auto"/>
          <w:sz w:val="24"/>
          <w:szCs w:val="24"/>
          <w:highlight w:val="none"/>
        </w:rPr>
        <w:t>附：委托代理人身份证正反面复印件（加盖公章）</w:t>
      </w:r>
    </w:p>
    <w:p>
      <w:pPr>
        <w:pStyle w:val="12"/>
        <w:spacing w:before="7"/>
        <w:rPr>
          <w:color w:val="auto"/>
          <w:sz w:val="26"/>
          <w:highlight w:val="none"/>
        </w:rPr>
      </w:pPr>
    </w:p>
    <w:p>
      <w:pPr>
        <w:rPr>
          <w:color w:val="auto"/>
          <w:highlight w:val="none"/>
        </w:rPr>
      </w:pPr>
    </w:p>
    <w:p>
      <w:pPr>
        <w:pStyle w:val="2"/>
        <w:rPr>
          <w:rFonts w:ascii="宋体" w:hAnsi="宋体" w:eastAsia="宋体" w:cs="宋体"/>
          <w:color w:val="auto"/>
          <w:sz w:val="32"/>
          <w:highlight w:val="none"/>
        </w:rPr>
        <w:sectPr>
          <w:footerReference r:id="rId14" w:type="default"/>
          <w:footerReference r:id="rId15" w:type="even"/>
          <w:pgSz w:w="11906" w:h="16838"/>
          <w:pgMar w:top="1361" w:right="1418" w:bottom="1361" w:left="1588" w:header="851" w:footer="992" w:gutter="0"/>
          <w:pgNumType w:fmt="decimal"/>
          <w:cols w:space="720" w:num="1"/>
          <w:docGrid w:type="lines" w:linePitch="312" w:charSpace="0"/>
        </w:sectPr>
      </w:pPr>
    </w:p>
    <w:p>
      <w:pPr>
        <w:pStyle w:val="2"/>
        <w:numPr>
          <w:ilvl w:val="1"/>
          <w:numId w:val="10"/>
        </w:numPr>
        <w:tabs>
          <w:tab w:val="left" w:pos="360"/>
          <w:tab w:val="left" w:pos="540"/>
          <w:tab w:val="clear" w:pos="780"/>
        </w:tabs>
        <w:spacing w:before="120" w:beforeLines="50" w:after="120" w:afterLines="50"/>
        <w:ind w:left="220" w:leftChars="0" w:firstLine="0" w:firstLineChars="0"/>
        <w:rPr>
          <w:rFonts w:ascii="宋体" w:hAnsi="宋体" w:eastAsia="宋体" w:cs="宋体"/>
          <w:color w:val="auto"/>
          <w:sz w:val="32"/>
          <w:highlight w:val="none"/>
        </w:rPr>
      </w:pPr>
      <w:bookmarkStart w:id="1927" w:name="_Toc29184"/>
      <w:bookmarkStart w:id="1928" w:name="_Toc317237636"/>
      <w:bookmarkStart w:id="1929" w:name="_Toc13429"/>
      <w:bookmarkStart w:id="1930" w:name="_Toc26626"/>
      <w:bookmarkStart w:id="1931" w:name="_Toc16895"/>
      <w:bookmarkStart w:id="1932" w:name="_Toc522804909"/>
      <w:bookmarkStart w:id="1933" w:name="_Toc20543"/>
      <w:bookmarkStart w:id="1934" w:name="_Toc18405"/>
      <w:r>
        <w:rPr>
          <w:rFonts w:hint="eastAsia" w:ascii="宋体" w:hAnsi="宋体" w:eastAsia="宋体" w:cs="宋体"/>
          <w:color w:val="auto"/>
          <w:sz w:val="32"/>
          <w:highlight w:val="none"/>
        </w:rPr>
        <w:t>商务条款偏离表格式</w:t>
      </w:r>
      <w:bookmarkEnd w:id="1927"/>
      <w:bookmarkEnd w:id="1928"/>
      <w:bookmarkEnd w:id="1929"/>
      <w:bookmarkEnd w:id="1930"/>
      <w:bookmarkEnd w:id="1931"/>
      <w:bookmarkEnd w:id="1932"/>
      <w:bookmarkEnd w:id="1933"/>
      <w:bookmarkEnd w:id="1934"/>
    </w:p>
    <w:p>
      <w:pPr>
        <w:adjustRightInd w:val="0"/>
        <w:snapToGrid w:val="0"/>
        <w:rPr>
          <w:color w:val="auto"/>
          <w:highlight w:val="none"/>
        </w:rPr>
      </w:pPr>
    </w:p>
    <w:p>
      <w:pPr>
        <w:pStyle w:val="9"/>
        <w:overflowPunct w:val="0"/>
        <w:spacing w:line="560" w:lineRule="exact"/>
        <w:ind w:firstLine="0"/>
        <w:jc w:val="center"/>
        <w:rPr>
          <w:rFonts w:ascii="宋体" w:hAnsi="宋体"/>
          <w:b/>
          <w:color w:val="auto"/>
          <w:sz w:val="36"/>
          <w:szCs w:val="36"/>
          <w:highlight w:val="none"/>
        </w:rPr>
      </w:pPr>
      <w:r>
        <w:rPr>
          <w:rFonts w:hint="eastAsia" w:ascii="宋体" w:hAnsi="宋体"/>
          <w:b/>
          <w:color w:val="auto"/>
          <w:sz w:val="36"/>
          <w:szCs w:val="36"/>
          <w:highlight w:val="none"/>
        </w:rPr>
        <w:t>商务条款偏离一览表</w:t>
      </w:r>
    </w:p>
    <w:p>
      <w:pPr>
        <w:adjustRightInd w:val="0"/>
        <w:snapToGrid w:val="0"/>
        <w:rPr>
          <w:color w:val="auto"/>
          <w:highlight w:val="none"/>
        </w:rPr>
      </w:pPr>
    </w:p>
    <w:p>
      <w:pPr>
        <w:spacing w:line="360" w:lineRule="auto"/>
        <w:rPr>
          <w:rFonts w:hint="eastAsia" w:eastAsia="宋体"/>
          <w:color w:val="auto"/>
          <w:sz w:val="24"/>
          <w:highlight w:val="none"/>
          <w:lang w:eastAsia="zh-CN"/>
        </w:rPr>
      </w:pPr>
      <w:r>
        <w:rPr>
          <w:rFonts w:hint="eastAsia"/>
          <w:color w:val="auto"/>
          <w:sz w:val="24"/>
          <w:highlight w:val="none"/>
        </w:rPr>
        <w:t>项目名称：</w:t>
      </w:r>
      <w:r>
        <w:rPr>
          <w:rFonts w:hint="eastAsia"/>
          <w:color w:val="auto"/>
          <w:sz w:val="24"/>
          <w:highlight w:val="none"/>
          <w:lang w:val="en-US" w:eastAsia="zh-CN"/>
        </w:rPr>
        <w:t>港门海岸派出所建设综合勤务指挥室及营区修缮项目</w:t>
      </w:r>
    </w:p>
    <w:p>
      <w:pPr>
        <w:spacing w:line="360" w:lineRule="auto"/>
        <w:rPr>
          <w:rFonts w:hint="eastAsia" w:eastAsia="宋体"/>
          <w:color w:val="auto"/>
          <w:sz w:val="24"/>
          <w:highlight w:val="none"/>
          <w:lang w:eastAsia="zh-CN"/>
        </w:rPr>
      </w:pPr>
      <w:r>
        <w:rPr>
          <w:rFonts w:hint="eastAsia"/>
          <w:color w:val="auto"/>
          <w:sz w:val="24"/>
          <w:highlight w:val="none"/>
        </w:rPr>
        <w:t>项目编号：</w:t>
      </w:r>
      <w:r>
        <w:rPr>
          <w:rFonts w:hint="eastAsia"/>
          <w:color w:val="auto"/>
          <w:sz w:val="24"/>
          <w:highlight w:val="none"/>
          <w:lang w:eastAsia="zh-CN"/>
        </w:rPr>
        <w:t>HNZN-SYC2021015</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715"/>
        <w:gridCol w:w="2545"/>
        <w:gridCol w:w="1327"/>
        <w:gridCol w:w="1203"/>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740" w:type="dxa"/>
            <w:noWrap w:val="0"/>
            <w:vAlign w:val="center"/>
          </w:tcPr>
          <w:p>
            <w:pPr>
              <w:jc w:val="center"/>
              <w:rPr>
                <w:color w:val="auto"/>
                <w:sz w:val="24"/>
                <w:highlight w:val="none"/>
              </w:rPr>
            </w:pPr>
            <w:r>
              <w:rPr>
                <w:rFonts w:hint="eastAsia"/>
                <w:color w:val="auto"/>
                <w:sz w:val="24"/>
                <w:highlight w:val="none"/>
              </w:rPr>
              <w:t>序号</w:t>
            </w:r>
          </w:p>
        </w:tc>
        <w:tc>
          <w:tcPr>
            <w:tcW w:w="1715" w:type="dxa"/>
            <w:noWrap w:val="0"/>
            <w:vAlign w:val="center"/>
          </w:tcPr>
          <w:p>
            <w:pPr>
              <w:jc w:val="center"/>
              <w:rPr>
                <w:color w:val="auto"/>
                <w:sz w:val="24"/>
                <w:highlight w:val="none"/>
              </w:rPr>
            </w:pPr>
            <w:r>
              <w:rPr>
                <w:rFonts w:hint="eastAsia"/>
                <w:color w:val="auto"/>
                <w:sz w:val="24"/>
                <w:highlight w:val="none"/>
              </w:rPr>
              <w:t>项目</w:t>
            </w:r>
          </w:p>
        </w:tc>
        <w:tc>
          <w:tcPr>
            <w:tcW w:w="2545" w:type="dxa"/>
            <w:noWrap w:val="0"/>
            <w:vAlign w:val="center"/>
          </w:tcPr>
          <w:p>
            <w:pPr>
              <w:jc w:val="center"/>
              <w:rPr>
                <w:color w:val="auto"/>
                <w:sz w:val="24"/>
                <w:highlight w:val="none"/>
              </w:rPr>
            </w:pPr>
            <w:r>
              <w:rPr>
                <w:rFonts w:hint="eastAsia"/>
                <w:color w:val="auto"/>
                <w:sz w:val="24"/>
                <w:highlight w:val="none"/>
              </w:rPr>
              <w:t>磋商文件要求</w:t>
            </w:r>
          </w:p>
        </w:tc>
        <w:tc>
          <w:tcPr>
            <w:tcW w:w="1327" w:type="dxa"/>
            <w:noWrap w:val="0"/>
            <w:vAlign w:val="center"/>
          </w:tcPr>
          <w:p>
            <w:pPr>
              <w:jc w:val="center"/>
              <w:rPr>
                <w:color w:val="auto"/>
                <w:sz w:val="24"/>
                <w:highlight w:val="none"/>
              </w:rPr>
            </w:pPr>
            <w:r>
              <w:rPr>
                <w:rFonts w:hint="eastAsia"/>
                <w:color w:val="auto"/>
                <w:sz w:val="24"/>
                <w:highlight w:val="none"/>
              </w:rPr>
              <w:t>响应情况</w:t>
            </w:r>
          </w:p>
        </w:tc>
        <w:tc>
          <w:tcPr>
            <w:tcW w:w="1203" w:type="dxa"/>
            <w:noWrap w:val="0"/>
            <w:vAlign w:val="center"/>
          </w:tcPr>
          <w:p>
            <w:pPr>
              <w:jc w:val="center"/>
              <w:rPr>
                <w:color w:val="auto"/>
                <w:sz w:val="24"/>
                <w:highlight w:val="none"/>
              </w:rPr>
            </w:pPr>
            <w:r>
              <w:rPr>
                <w:rFonts w:hint="eastAsia"/>
                <w:color w:val="auto"/>
                <w:sz w:val="24"/>
                <w:highlight w:val="none"/>
              </w:rPr>
              <w:t>偏离程度</w:t>
            </w:r>
          </w:p>
        </w:tc>
        <w:tc>
          <w:tcPr>
            <w:tcW w:w="1210" w:type="dxa"/>
            <w:noWrap w:val="0"/>
            <w:vAlign w:val="center"/>
          </w:tcPr>
          <w:p>
            <w:pPr>
              <w:jc w:val="center"/>
              <w:rPr>
                <w:color w:val="auto"/>
                <w:sz w:val="24"/>
                <w:highlight w:val="none"/>
              </w:rPr>
            </w:pPr>
            <w:r>
              <w:rPr>
                <w:rFonts w:hint="eastAsia"/>
                <w:color w:val="auto"/>
                <w:sz w:val="24"/>
                <w:highlight w:val="none"/>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740" w:type="dxa"/>
            <w:noWrap w:val="0"/>
            <w:vAlign w:val="center"/>
          </w:tcPr>
          <w:p>
            <w:pPr>
              <w:jc w:val="center"/>
              <w:rPr>
                <w:color w:val="auto"/>
                <w:sz w:val="24"/>
                <w:highlight w:val="none"/>
              </w:rPr>
            </w:pPr>
            <w:r>
              <w:rPr>
                <w:rFonts w:hint="eastAsia"/>
                <w:color w:val="auto"/>
                <w:sz w:val="24"/>
                <w:highlight w:val="none"/>
              </w:rPr>
              <w:t>1</w:t>
            </w:r>
          </w:p>
        </w:tc>
        <w:tc>
          <w:tcPr>
            <w:tcW w:w="1715" w:type="dxa"/>
            <w:noWrap w:val="0"/>
            <w:vAlign w:val="center"/>
          </w:tcPr>
          <w:p>
            <w:pPr>
              <w:jc w:val="center"/>
              <w:rPr>
                <w:color w:val="auto"/>
                <w:sz w:val="24"/>
                <w:highlight w:val="none"/>
              </w:rPr>
            </w:pPr>
            <w:r>
              <w:rPr>
                <w:rFonts w:hint="eastAsia"/>
                <w:color w:val="auto"/>
                <w:sz w:val="24"/>
                <w:highlight w:val="none"/>
              </w:rPr>
              <w:t>投标人资格证明文件</w:t>
            </w:r>
          </w:p>
        </w:tc>
        <w:tc>
          <w:tcPr>
            <w:tcW w:w="2545" w:type="dxa"/>
            <w:noWrap w:val="0"/>
            <w:vAlign w:val="center"/>
          </w:tcPr>
          <w:p>
            <w:pPr>
              <w:spacing w:line="440" w:lineRule="exact"/>
              <w:rPr>
                <w:color w:val="auto"/>
                <w:sz w:val="24"/>
                <w:highlight w:val="none"/>
              </w:rPr>
            </w:pPr>
            <w:r>
              <w:rPr>
                <w:rFonts w:hint="eastAsia"/>
                <w:color w:val="auto"/>
                <w:sz w:val="24"/>
                <w:highlight w:val="none"/>
              </w:rPr>
              <w:t>符合磋商文件对投标人资格的要求</w:t>
            </w:r>
          </w:p>
        </w:tc>
        <w:tc>
          <w:tcPr>
            <w:tcW w:w="1327" w:type="dxa"/>
            <w:noWrap w:val="0"/>
            <w:vAlign w:val="center"/>
          </w:tcPr>
          <w:p>
            <w:pPr>
              <w:jc w:val="center"/>
              <w:rPr>
                <w:color w:val="auto"/>
                <w:sz w:val="24"/>
                <w:highlight w:val="none"/>
              </w:rPr>
            </w:pPr>
          </w:p>
        </w:tc>
        <w:tc>
          <w:tcPr>
            <w:tcW w:w="1203" w:type="dxa"/>
            <w:noWrap w:val="0"/>
            <w:vAlign w:val="center"/>
          </w:tcPr>
          <w:p>
            <w:pPr>
              <w:jc w:val="center"/>
              <w:rPr>
                <w:color w:val="auto"/>
                <w:sz w:val="24"/>
                <w:highlight w:val="none"/>
              </w:rPr>
            </w:pPr>
          </w:p>
        </w:tc>
        <w:tc>
          <w:tcPr>
            <w:tcW w:w="1210" w:type="dxa"/>
            <w:noWrap w:val="0"/>
            <w:vAlign w:val="center"/>
          </w:tcPr>
          <w:p>
            <w:pPr>
              <w:jc w:val="center"/>
              <w:rPr>
                <w:color w:val="auto"/>
                <w:sz w:val="24"/>
                <w:highlight w:val="none"/>
              </w:rPr>
            </w:pPr>
            <w:r>
              <w:rPr>
                <w:rFonts w:hint="eastAsia"/>
                <w:color w:val="auto"/>
                <w:sz w:val="24"/>
                <w:highlight w:val="none"/>
              </w:rPr>
              <w:t>见响应文件</w:t>
            </w:r>
            <w:r>
              <w:rPr>
                <w:rFonts w:hint="eastAsia"/>
                <w:color w:val="auto"/>
                <w:sz w:val="24"/>
                <w:highlight w:val="none"/>
                <w:u w:val="single"/>
                <w:lang w:val="en-US"/>
              </w:rPr>
              <w:t xml:space="preserve">  </w:t>
            </w:r>
            <w:r>
              <w:rPr>
                <w:rFonts w:hint="eastAsia"/>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40" w:type="dxa"/>
            <w:noWrap w:val="0"/>
            <w:vAlign w:val="center"/>
          </w:tcPr>
          <w:p>
            <w:pPr>
              <w:jc w:val="center"/>
              <w:rPr>
                <w:rFonts w:hint="eastAsia"/>
                <w:color w:val="auto"/>
                <w:sz w:val="24"/>
                <w:highlight w:val="none"/>
              </w:rPr>
            </w:pPr>
            <w:r>
              <w:rPr>
                <w:rFonts w:hint="eastAsia"/>
                <w:color w:val="auto"/>
                <w:sz w:val="24"/>
                <w:highlight w:val="none"/>
                <w:lang w:val="en-US"/>
              </w:rPr>
              <w:t>3</w:t>
            </w:r>
          </w:p>
        </w:tc>
        <w:tc>
          <w:tcPr>
            <w:tcW w:w="1715" w:type="dxa"/>
            <w:noWrap w:val="0"/>
            <w:vAlign w:val="center"/>
          </w:tcPr>
          <w:p>
            <w:pPr>
              <w:jc w:val="center"/>
              <w:rPr>
                <w:color w:val="auto"/>
                <w:sz w:val="24"/>
                <w:highlight w:val="none"/>
              </w:rPr>
            </w:pPr>
            <w:r>
              <w:rPr>
                <w:rFonts w:hint="eastAsia"/>
                <w:color w:val="auto"/>
                <w:sz w:val="24"/>
                <w:highlight w:val="none"/>
              </w:rPr>
              <w:t>响应文件份数</w:t>
            </w:r>
          </w:p>
        </w:tc>
        <w:tc>
          <w:tcPr>
            <w:tcW w:w="2545" w:type="dxa"/>
            <w:noWrap w:val="0"/>
            <w:vAlign w:val="center"/>
          </w:tcPr>
          <w:p>
            <w:pPr>
              <w:spacing w:line="440" w:lineRule="exact"/>
              <w:jc w:val="center"/>
              <w:rPr>
                <w:color w:val="auto"/>
                <w:sz w:val="24"/>
                <w:highlight w:val="none"/>
              </w:rPr>
            </w:pPr>
            <w:r>
              <w:rPr>
                <w:rFonts w:hint="eastAsia"/>
                <w:color w:val="auto"/>
                <w:sz w:val="24"/>
                <w:highlight w:val="none"/>
              </w:rPr>
              <w:t>一份正本贰份副本一份电子版</w:t>
            </w:r>
          </w:p>
        </w:tc>
        <w:tc>
          <w:tcPr>
            <w:tcW w:w="1327" w:type="dxa"/>
            <w:noWrap w:val="0"/>
            <w:vAlign w:val="center"/>
          </w:tcPr>
          <w:p>
            <w:pPr>
              <w:jc w:val="center"/>
              <w:rPr>
                <w:color w:val="auto"/>
                <w:sz w:val="24"/>
                <w:highlight w:val="none"/>
              </w:rPr>
            </w:pPr>
          </w:p>
        </w:tc>
        <w:tc>
          <w:tcPr>
            <w:tcW w:w="1203" w:type="dxa"/>
            <w:noWrap w:val="0"/>
            <w:vAlign w:val="center"/>
          </w:tcPr>
          <w:p>
            <w:pPr>
              <w:jc w:val="center"/>
              <w:rPr>
                <w:color w:val="auto"/>
                <w:sz w:val="24"/>
                <w:highlight w:val="none"/>
              </w:rPr>
            </w:pPr>
          </w:p>
        </w:tc>
        <w:tc>
          <w:tcPr>
            <w:tcW w:w="1210" w:type="dxa"/>
            <w:noWrap w:val="0"/>
            <w:vAlign w:val="center"/>
          </w:tcPr>
          <w:p>
            <w:pPr>
              <w:jc w:val="center"/>
              <w:rPr>
                <w:color w:val="auto"/>
                <w:sz w:val="24"/>
                <w:highlight w:val="none"/>
              </w:rPr>
            </w:pPr>
            <w:r>
              <w:rPr>
                <w:rFonts w:hint="eastAsia"/>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40" w:type="dxa"/>
            <w:noWrap w:val="0"/>
            <w:vAlign w:val="center"/>
          </w:tcPr>
          <w:p>
            <w:pPr>
              <w:jc w:val="center"/>
              <w:rPr>
                <w:rFonts w:hint="eastAsia"/>
                <w:color w:val="auto"/>
                <w:sz w:val="24"/>
                <w:highlight w:val="none"/>
              </w:rPr>
            </w:pPr>
            <w:r>
              <w:rPr>
                <w:rFonts w:hint="eastAsia"/>
                <w:color w:val="auto"/>
                <w:sz w:val="24"/>
                <w:highlight w:val="none"/>
                <w:lang w:val="en-US"/>
              </w:rPr>
              <w:t>4</w:t>
            </w:r>
          </w:p>
        </w:tc>
        <w:tc>
          <w:tcPr>
            <w:tcW w:w="1715" w:type="dxa"/>
            <w:noWrap w:val="0"/>
            <w:vAlign w:val="center"/>
          </w:tcPr>
          <w:p>
            <w:pPr>
              <w:jc w:val="center"/>
              <w:rPr>
                <w:color w:val="auto"/>
                <w:sz w:val="24"/>
                <w:highlight w:val="none"/>
              </w:rPr>
            </w:pPr>
            <w:r>
              <w:rPr>
                <w:rFonts w:hint="eastAsia"/>
                <w:color w:val="auto"/>
                <w:sz w:val="24"/>
                <w:highlight w:val="none"/>
              </w:rPr>
              <w:t>磋商有效期</w:t>
            </w:r>
          </w:p>
        </w:tc>
        <w:tc>
          <w:tcPr>
            <w:tcW w:w="2545" w:type="dxa"/>
            <w:noWrap w:val="0"/>
            <w:vAlign w:val="center"/>
          </w:tcPr>
          <w:p>
            <w:pPr>
              <w:spacing w:line="440" w:lineRule="exact"/>
              <w:jc w:val="center"/>
              <w:rPr>
                <w:color w:val="auto"/>
                <w:sz w:val="24"/>
                <w:highlight w:val="none"/>
              </w:rPr>
            </w:pPr>
            <w:r>
              <w:rPr>
                <w:rFonts w:hint="eastAsia"/>
                <w:color w:val="auto"/>
                <w:sz w:val="24"/>
                <w:highlight w:val="none"/>
              </w:rPr>
              <w:t>自响应文件开启之日起90日历天</w:t>
            </w:r>
          </w:p>
        </w:tc>
        <w:tc>
          <w:tcPr>
            <w:tcW w:w="1327" w:type="dxa"/>
            <w:noWrap w:val="0"/>
            <w:vAlign w:val="center"/>
          </w:tcPr>
          <w:p>
            <w:pPr>
              <w:jc w:val="center"/>
              <w:rPr>
                <w:color w:val="auto"/>
                <w:sz w:val="24"/>
                <w:highlight w:val="none"/>
              </w:rPr>
            </w:pPr>
          </w:p>
        </w:tc>
        <w:tc>
          <w:tcPr>
            <w:tcW w:w="1203" w:type="dxa"/>
            <w:noWrap w:val="0"/>
            <w:vAlign w:val="center"/>
          </w:tcPr>
          <w:p>
            <w:pPr>
              <w:jc w:val="center"/>
              <w:rPr>
                <w:color w:val="auto"/>
                <w:sz w:val="24"/>
                <w:highlight w:val="none"/>
              </w:rPr>
            </w:pPr>
          </w:p>
        </w:tc>
        <w:tc>
          <w:tcPr>
            <w:tcW w:w="1210" w:type="dxa"/>
            <w:noWrap w:val="0"/>
            <w:vAlign w:val="center"/>
          </w:tcPr>
          <w:p>
            <w:pPr>
              <w:jc w:val="center"/>
              <w:rPr>
                <w:color w:val="auto"/>
                <w:sz w:val="24"/>
                <w:highlight w:val="none"/>
              </w:rPr>
            </w:pPr>
            <w:r>
              <w:rPr>
                <w:rFonts w:hint="eastAsia"/>
                <w:color w:val="auto"/>
                <w:sz w:val="24"/>
                <w:highlight w:val="none"/>
              </w:rPr>
              <w:t>见响应文件</w:t>
            </w:r>
            <w:r>
              <w:rPr>
                <w:rFonts w:hint="eastAsia"/>
                <w:color w:val="auto"/>
                <w:sz w:val="24"/>
                <w:highlight w:val="none"/>
                <w:u w:val="single"/>
                <w:lang w:val="en-US"/>
              </w:rPr>
              <w:t xml:space="preserve">  </w:t>
            </w:r>
            <w:r>
              <w:rPr>
                <w:rFonts w:hint="eastAsia"/>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40" w:type="dxa"/>
            <w:noWrap w:val="0"/>
            <w:vAlign w:val="center"/>
          </w:tcPr>
          <w:p>
            <w:pPr>
              <w:jc w:val="center"/>
              <w:rPr>
                <w:rFonts w:hint="eastAsia"/>
                <w:color w:val="auto"/>
                <w:sz w:val="24"/>
                <w:highlight w:val="none"/>
              </w:rPr>
            </w:pPr>
            <w:r>
              <w:rPr>
                <w:rFonts w:hint="eastAsia"/>
                <w:color w:val="auto"/>
                <w:sz w:val="24"/>
                <w:highlight w:val="none"/>
                <w:lang w:val="en-US"/>
              </w:rPr>
              <w:t>5</w:t>
            </w:r>
          </w:p>
        </w:tc>
        <w:tc>
          <w:tcPr>
            <w:tcW w:w="1715" w:type="dxa"/>
            <w:noWrap w:val="0"/>
            <w:vAlign w:val="center"/>
          </w:tcPr>
          <w:p>
            <w:pPr>
              <w:jc w:val="center"/>
              <w:rPr>
                <w:rFonts w:hint="default" w:ascii="宋体" w:hAnsi="宋体" w:cs="宋体"/>
                <w:color w:val="auto"/>
                <w:sz w:val="24"/>
                <w:szCs w:val="22"/>
                <w:highlight w:val="none"/>
                <w:lang w:val="en-US" w:eastAsia="zh-CN" w:bidi="zh-CN"/>
              </w:rPr>
            </w:pPr>
            <w:r>
              <w:rPr>
                <w:rFonts w:hint="eastAsia" w:cs="宋体"/>
                <w:color w:val="auto"/>
                <w:sz w:val="24"/>
                <w:szCs w:val="22"/>
                <w:highlight w:val="none"/>
                <w:lang w:val="en-US" w:eastAsia="zh-CN" w:bidi="zh-CN"/>
              </w:rPr>
              <w:t>供货期</w:t>
            </w:r>
          </w:p>
        </w:tc>
        <w:tc>
          <w:tcPr>
            <w:tcW w:w="2545" w:type="dxa"/>
            <w:noWrap w:val="0"/>
            <w:vAlign w:val="center"/>
          </w:tcPr>
          <w:p>
            <w:pPr>
              <w:spacing w:line="440" w:lineRule="exact"/>
              <w:jc w:val="center"/>
              <w:rPr>
                <w:rFonts w:hint="eastAsia" w:ascii="宋体" w:hAnsi="宋体" w:eastAsia="宋体" w:cs="宋体"/>
                <w:color w:val="auto"/>
                <w:sz w:val="24"/>
                <w:szCs w:val="22"/>
                <w:highlight w:val="none"/>
                <w:lang w:val="zh-CN" w:eastAsia="zh-CN" w:bidi="zh-CN"/>
              </w:rPr>
            </w:pPr>
            <w:r>
              <w:rPr>
                <w:rFonts w:hint="eastAsia"/>
                <w:color w:val="auto"/>
                <w:sz w:val="24"/>
                <w:highlight w:val="none"/>
                <w:lang w:val="en-US" w:eastAsia="zh-CN"/>
              </w:rPr>
              <w:t>90日历天</w:t>
            </w:r>
          </w:p>
        </w:tc>
        <w:tc>
          <w:tcPr>
            <w:tcW w:w="1327" w:type="dxa"/>
            <w:noWrap w:val="0"/>
            <w:vAlign w:val="center"/>
          </w:tcPr>
          <w:p>
            <w:pPr>
              <w:jc w:val="center"/>
              <w:rPr>
                <w:rFonts w:ascii="宋体" w:hAnsi="宋体" w:cs="宋体"/>
                <w:color w:val="auto"/>
                <w:sz w:val="24"/>
                <w:szCs w:val="22"/>
                <w:highlight w:val="none"/>
                <w:lang w:val="zh-CN" w:eastAsia="zh-CN" w:bidi="zh-CN"/>
              </w:rPr>
            </w:pPr>
          </w:p>
        </w:tc>
        <w:tc>
          <w:tcPr>
            <w:tcW w:w="1203" w:type="dxa"/>
            <w:noWrap w:val="0"/>
            <w:vAlign w:val="center"/>
          </w:tcPr>
          <w:p>
            <w:pPr>
              <w:jc w:val="center"/>
              <w:rPr>
                <w:rFonts w:ascii="宋体" w:hAnsi="宋体" w:cs="宋体"/>
                <w:color w:val="auto"/>
                <w:sz w:val="24"/>
                <w:szCs w:val="22"/>
                <w:highlight w:val="none"/>
                <w:lang w:val="zh-CN" w:eastAsia="zh-CN" w:bidi="zh-CN"/>
              </w:rPr>
            </w:pPr>
          </w:p>
        </w:tc>
        <w:tc>
          <w:tcPr>
            <w:tcW w:w="1210" w:type="dxa"/>
            <w:noWrap w:val="0"/>
            <w:vAlign w:val="center"/>
          </w:tcPr>
          <w:p>
            <w:pPr>
              <w:jc w:val="center"/>
              <w:rPr>
                <w:rFonts w:ascii="宋体" w:hAnsi="宋体" w:cs="宋体"/>
                <w:color w:val="auto"/>
                <w:sz w:val="24"/>
                <w:szCs w:val="22"/>
                <w:highlight w:val="none"/>
                <w:lang w:val="zh-CN" w:eastAsia="zh-CN" w:bidi="zh-CN"/>
              </w:rPr>
            </w:pPr>
            <w:r>
              <w:rPr>
                <w:rFonts w:hint="eastAsia"/>
                <w:color w:val="auto"/>
                <w:sz w:val="24"/>
                <w:highlight w:val="none"/>
              </w:rPr>
              <w:t>见响应文件</w:t>
            </w:r>
            <w:r>
              <w:rPr>
                <w:rFonts w:hint="eastAsia"/>
                <w:color w:val="auto"/>
                <w:sz w:val="24"/>
                <w:highlight w:val="none"/>
                <w:u w:val="single"/>
                <w:lang w:val="en-US"/>
              </w:rPr>
              <w:t xml:space="preserve">  </w:t>
            </w:r>
            <w:r>
              <w:rPr>
                <w:rFonts w:hint="eastAsia"/>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40" w:type="dxa"/>
            <w:noWrap w:val="0"/>
            <w:vAlign w:val="center"/>
          </w:tcPr>
          <w:p>
            <w:pPr>
              <w:jc w:val="center"/>
              <w:rPr>
                <w:rFonts w:hint="default" w:ascii="宋体" w:hAnsi="宋体" w:eastAsia="宋体" w:cs="宋体"/>
                <w:color w:val="auto"/>
                <w:kern w:val="2"/>
                <w:sz w:val="24"/>
                <w:szCs w:val="21"/>
                <w:highlight w:val="none"/>
                <w:lang w:val="en-US" w:eastAsia="zh-CN" w:bidi="ar-SA"/>
              </w:rPr>
            </w:pPr>
            <w:r>
              <w:rPr>
                <w:rFonts w:hint="eastAsia" w:cs="宋体"/>
                <w:color w:val="auto"/>
                <w:kern w:val="2"/>
                <w:sz w:val="24"/>
                <w:szCs w:val="21"/>
                <w:highlight w:val="none"/>
                <w:lang w:val="en-US" w:eastAsia="zh-CN" w:bidi="ar-SA"/>
              </w:rPr>
              <w:t>6</w:t>
            </w:r>
          </w:p>
        </w:tc>
        <w:tc>
          <w:tcPr>
            <w:tcW w:w="1715" w:type="dxa"/>
            <w:noWrap w:val="0"/>
            <w:vAlign w:val="center"/>
          </w:tcPr>
          <w:p>
            <w:pPr>
              <w:spacing w:line="440" w:lineRule="exact"/>
              <w:jc w:val="center"/>
              <w:rPr>
                <w:rFonts w:ascii="宋体" w:hAnsi="宋体" w:cs="宋体"/>
                <w:color w:val="auto"/>
                <w:sz w:val="24"/>
                <w:szCs w:val="22"/>
                <w:highlight w:val="none"/>
                <w:lang w:val="zh-CN" w:eastAsia="zh-CN" w:bidi="zh-CN"/>
              </w:rPr>
            </w:pPr>
            <w:r>
              <w:rPr>
                <w:rFonts w:hint="eastAsia"/>
                <w:color w:val="auto"/>
                <w:sz w:val="24"/>
                <w:highlight w:val="none"/>
              </w:rPr>
              <w:t>投标价</w:t>
            </w:r>
          </w:p>
        </w:tc>
        <w:tc>
          <w:tcPr>
            <w:tcW w:w="2545" w:type="dxa"/>
            <w:noWrap w:val="0"/>
            <w:vAlign w:val="center"/>
          </w:tcPr>
          <w:p>
            <w:pPr>
              <w:spacing w:line="440" w:lineRule="exact"/>
              <w:jc w:val="center"/>
              <w:rPr>
                <w:rFonts w:ascii="宋体" w:hAnsi="宋体" w:cs="宋体"/>
                <w:color w:val="auto"/>
                <w:sz w:val="24"/>
                <w:szCs w:val="22"/>
                <w:highlight w:val="none"/>
                <w:lang w:val="zh-CN" w:eastAsia="zh-CN" w:bidi="zh-CN"/>
              </w:rPr>
            </w:pPr>
            <w:r>
              <w:rPr>
                <w:rFonts w:hint="eastAsia"/>
                <w:color w:val="auto"/>
                <w:sz w:val="24"/>
                <w:highlight w:val="none"/>
              </w:rPr>
              <w:t>投标报价不超预算，并且是唯一的、无选择性的报价</w:t>
            </w:r>
          </w:p>
        </w:tc>
        <w:tc>
          <w:tcPr>
            <w:tcW w:w="1327" w:type="dxa"/>
            <w:noWrap w:val="0"/>
            <w:vAlign w:val="center"/>
          </w:tcPr>
          <w:p>
            <w:pPr>
              <w:jc w:val="center"/>
              <w:rPr>
                <w:rFonts w:ascii="宋体" w:hAnsi="宋体" w:cs="宋体"/>
                <w:color w:val="auto"/>
                <w:sz w:val="24"/>
                <w:szCs w:val="22"/>
                <w:highlight w:val="none"/>
                <w:lang w:val="zh-CN" w:eastAsia="zh-CN" w:bidi="zh-CN"/>
              </w:rPr>
            </w:pPr>
          </w:p>
        </w:tc>
        <w:tc>
          <w:tcPr>
            <w:tcW w:w="1203" w:type="dxa"/>
            <w:noWrap w:val="0"/>
            <w:vAlign w:val="center"/>
          </w:tcPr>
          <w:p>
            <w:pPr>
              <w:jc w:val="center"/>
              <w:rPr>
                <w:rFonts w:ascii="宋体" w:hAnsi="宋体" w:cs="宋体"/>
                <w:color w:val="auto"/>
                <w:sz w:val="24"/>
                <w:szCs w:val="22"/>
                <w:highlight w:val="none"/>
                <w:lang w:val="zh-CN" w:eastAsia="zh-CN" w:bidi="zh-CN"/>
              </w:rPr>
            </w:pPr>
          </w:p>
        </w:tc>
        <w:tc>
          <w:tcPr>
            <w:tcW w:w="1210" w:type="dxa"/>
            <w:noWrap w:val="0"/>
            <w:vAlign w:val="center"/>
          </w:tcPr>
          <w:p>
            <w:pPr>
              <w:jc w:val="center"/>
              <w:rPr>
                <w:rFonts w:ascii="宋体" w:hAnsi="宋体" w:cs="宋体"/>
                <w:color w:val="auto"/>
                <w:sz w:val="24"/>
                <w:szCs w:val="22"/>
                <w:highlight w:val="none"/>
                <w:lang w:val="zh-CN" w:eastAsia="zh-CN" w:bidi="zh-CN"/>
              </w:rPr>
            </w:pPr>
            <w:r>
              <w:rPr>
                <w:rFonts w:hint="eastAsia"/>
                <w:color w:val="auto"/>
                <w:sz w:val="24"/>
                <w:highlight w:val="none"/>
              </w:rPr>
              <w:t>见响应文件</w:t>
            </w:r>
            <w:r>
              <w:rPr>
                <w:rFonts w:hint="eastAsia"/>
                <w:color w:val="auto"/>
                <w:sz w:val="24"/>
                <w:highlight w:val="none"/>
                <w:u w:val="single"/>
                <w:lang w:val="en-US"/>
              </w:rPr>
              <w:t xml:space="preserve">  </w:t>
            </w:r>
            <w:r>
              <w:rPr>
                <w:rFonts w:hint="eastAsia"/>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40" w:type="dxa"/>
            <w:noWrap w:val="0"/>
            <w:vAlign w:val="center"/>
          </w:tcPr>
          <w:p>
            <w:pPr>
              <w:jc w:val="center"/>
              <w:rPr>
                <w:rFonts w:hint="eastAsia" w:ascii="宋体" w:hAnsi="宋体" w:eastAsia="宋体" w:cs="宋体"/>
                <w:color w:val="auto"/>
                <w:sz w:val="24"/>
                <w:szCs w:val="22"/>
                <w:highlight w:val="none"/>
                <w:lang w:val="en-US" w:eastAsia="zh-CN" w:bidi="zh-CN"/>
              </w:rPr>
            </w:pPr>
            <w:r>
              <w:rPr>
                <w:rFonts w:hint="eastAsia"/>
                <w:color w:val="auto"/>
                <w:sz w:val="24"/>
                <w:highlight w:val="none"/>
                <w:lang w:val="en-US" w:eastAsia="zh-CN"/>
              </w:rPr>
              <w:t>7</w:t>
            </w:r>
          </w:p>
        </w:tc>
        <w:tc>
          <w:tcPr>
            <w:tcW w:w="1715" w:type="dxa"/>
            <w:noWrap w:val="0"/>
            <w:vAlign w:val="center"/>
          </w:tcPr>
          <w:p>
            <w:pPr>
              <w:spacing w:line="440" w:lineRule="exact"/>
              <w:jc w:val="center"/>
              <w:rPr>
                <w:rFonts w:hint="eastAsia" w:ascii="宋体" w:hAnsi="宋体" w:cs="宋体"/>
                <w:color w:val="auto"/>
                <w:sz w:val="24"/>
                <w:szCs w:val="22"/>
                <w:highlight w:val="none"/>
                <w:lang w:val="zh-CN" w:eastAsia="zh-CN" w:bidi="zh-CN"/>
              </w:rPr>
            </w:pPr>
            <w:r>
              <w:rPr>
                <w:rFonts w:hint="eastAsia"/>
                <w:color w:val="auto"/>
                <w:sz w:val="24"/>
                <w:highlight w:val="none"/>
              </w:rPr>
              <w:t>响应文件的签署符合招标文件要求</w:t>
            </w:r>
          </w:p>
        </w:tc>
        <w:tc>
          <w:tcPr>
            <w:tcW w:w="2545" w:type="dxa"/>
            <w:noWrap w:val="0"/>
            <w:vAlign w:val="center"/>
          </w:tcPr>
          <w:p>
            <w:pPr>
              <w:spacing w:line="440" w:lineRule="exact"/>
              <w:jc w:val="center"/>
              <w:rPr>
                <w:rFonts w:hint="eastAsia" w:ascii="宋体" w:hAnsi="宋体" w:cs="宋体"/>
                <w:color w:val="auto"/>
                <w:sz w:val="24"/>
                <w:szCs w:val="22"/>
                <w:highlight w:val="none"/>
                <w:lang w:val="zh-CN" w:eastAsia="zh-CN" w:bidi="zh-CN"/>
              </w:rPr>
            </w:pPr>
            <w:r>
              <w:rPr>
                <w:rFonts w:hint="eastAsia"/>
                <w:color w:val="auto"/>
                <w:sz w:val="24"/>
                <w:highlight w:val="none"/>
              </w:rPr>
              <w:t>响应文件的签署</w:t>
            </w:r>
          </w:p>
        </w:tc>
        <w:tc>
          <w:tcPr>
            <w:tcW w:w="1327" w:type="dxa"/>
            <w:noWrap w:val="0"/>
            <w:vAlign w:val="center"/>
          </w:tcPr>
          <w:p>
            <w:pPr>
              <w:jc w:val="center"/>
              <w:rPr>
                <w:rFonts w:ascii="宋体" w:hAnsi="宋体" w:cs="宋体"/>
                <w:color w:val="auto"/>
                <w:sz w:val="24"/>
                <w:szCs w:val="22"/>
                <w:highlight w:val="none"/>
                <w:lang w:val="zh-CN" w:eastAsia="zh-CN" w:bidi="zh-CN"/>
              </w:rPr>
            </w:pPr>
          </w:p>
        </w:tc>
        <w:tc>
          <w:tcPr>
            <w:tcW w:w="1203" w:type="dxa"/>
            <w:noWrap w:val="0"/>
            <w:vAlign w:val="center"/>
          </w:tcPr>
          <w:p>
            <w:pPr>
              <w:jc w:val="center"/>
              <w:rPr>
                <w:rFonts w:ascii="宋体" w:hAnsi="宋体" w:cs="宋体"/>
                <w:color w:val="auto"/>
                <w:sz w:val="24"/>
                <w:szCs w:val="22"/>
                <w:highlight w:val="none"/>
                <w:lang w:val="zh-CN" w:eastAsia="zh-CN" w:bidi="zh-CN"/>
              </w:rPr>
            </w:pPr>
          </w:p>
        </w:tc>
        <w:tc>
          <w:tcPr>
            <w:tcW w:w="1210" w:type="dxa"/>
            <w:noWrap w:val="0"/>
            <w:vAlign w:val="center"/>
          </w:tcPr>
          <w:p>
            <w:pPr>
              <w:jc w:val="center"/>
              <w:rPr>
                <w:rFonts w:hint="eastAsia" w:ascii="宋体" w:hAnsi="宋体" w:cs="宋体"/>
                <w:color w:val="auto"/>
                <w:sz w:val="24"/>
                <w:szCs w:val="22"/>
                <w:highlight w:val="none"/>
                <w:lang w:val="zh-CN" w:eastAsia="zh-CN" w:bidi="zh-CN"/>
              </w:rPr>
            </w:pPr>
            <w:r>
              <w:rPr>
                <w:rFonts w:hint="eastAsia"/>
                <w:color w:val="auto"/>
                <w:sz w:val="24"/>
                <w:highlight w:val="none"/>
              </w:rPr>
              <w:t>/</w:t>
            </w:r>
          </w:p>
        </w:tc>
      </w:tr>
    </w:tbl>
    <w:p>
      <w:pPr>
        <w:adjustRightInd w:val="0"/>
        <w:snapToGrid w:val="0"/>
        <w:ind w:right="220" w:rightChars="100" w:firstLine="240" w:firstLineChars="100"/>
        <w:rPr>
          <w:color w:val="auto"/>
          <w:sz w:val="24"/>
          <w:highlight w:val="none"/>
        </w:rPr>
      </w:pPr>
    </w:p>
    <w:p>
      <w:pPr>
        <w:adjustRightInd w:val="0"/>
        <w:snapToGrid w:val="0"/>
        <w:spacing w:before="120" w:beforeLines="50" w:after="120" w:afterLines="50"/>
        <w:ind w:firstLine="3840" w:firstLineChars="1600"/>
        <w:rPr>
          <w:color w:val="auto"/>
          <w:sz w:val="24"/>
          <w:highlight w:val="none"/>
        </w:rPr>
      </w:pPr>
      <w:r>
        <w:rPr>
          <w:rFonts w:hint="eastAsia"/>
          <w:color w:val="auto"/>
          <w:sz w:val="24"/>
          <w:highlight w:val="none"/>
        </w:rPr>
        <w:t>供应商：</w:t>
      </w:r>
      <w:r>
        <w:rPr>
          <w:rFonts w:hint="eastAsia"/>
          <w:iCs/>
          <w:color w:val="auto"/>
          <w:sz w:val="24"/>
          <w:highlight w:val="none"/>
        </w:rPr>
        <w:t>（填写名称并盖章）</w:t>
      </w:r>
    </w:p>
    <w:p>
      <w:pPr>
        <w:adjustRightInd w:val="0"/>
        <w:snapToGrid w:val="0"/>
        <w:spacing w:before="120" w:beforeLines="50"/>
        <w:ind w:firstLine="3840" w:firstLineChars="1600"/>
        <w:rPr>
          <w:iCs/>
          <w:color w:val="auto"/>
          <w:sz w:val="24"/>
          <w:highlight w:val="none"/>
        </w:rPr>
      </w:pPr>
      <w:r>
        <w:rPr>
          <w:rFonts w:hint="eastAsia"/>
          <w:color w:val="auto"/>
          <w:sz w:val="24"/>
          <w:highlight w:val="none"/>
        </w:rPr>
        <w:t>法人及授权代表：</w:t>
      </w:r>
      <w:r>
        <w:rPr>
          <w:rFonts w:hint="eastAsia"/>
          <w:iCs/>
          <w:color w:val="auto"/>
          <w:sz w:val="24"/>
          <w:highlight w:val="none"/>
        </w:rPr>
        <w:t>（签字或盖章）</w:t>
      </w:r>
    </w:p>
    <w:p>
      <w:pPr>
        <w:adjustRightInd w:val="0"/>
        <w:snapToGrid w:val="0"/>
        <w:spacing w:before="120" w:beforeLines="50"/>
        <w:ind w:firstLine="3840" w:firstLineChars="1600"/>
        <w:rPr>
          <w:color w:val="auto"/>
          <w:sz w:val="32"/>
          <w:highlight w:val="none"/>
        </w:rPr>
      </w:pPr>
      <w:r>
        <w:rPr>
          <w:rFonts w:hint="eastAsia"/>
          <w:iCs/>
          <w:color w:val="auto"/>
          <w:sz w:val="24"/>
          <w:highlight w:val="none"/>
        </w:rPr>
        <w:t>日期：</w:t>
      </w:r>
      <w:bookmarkStart w:id="1935" w:name="_Toc522804910"/>
      <w:bookmarkStart w:id="1936" w:name="_Toc15000"/>
      <w:bookmarkStart w:id="1937" w:name="_Toc29976"/>
    </w:p>
    <w:bookmarkEnd w:id="1935"/>
    <w:bookmarkEnd w:id="1936"/>
    <w:bookmarkEnd w:id="1937"/>
    <w:p>
      <w:pPr>
        <w:adjustRightInd w:val="0"/>
        <w:snapToGrid w:val="0"/>
        <w:rPr>
          <w:color w:val="auto"/>
          <w:highlight w:val="none"/>
        </w:rPr>
      </w:pPr>
    </w:p>
    <w:p>
      <w:pPr>
        <w:pStyle w:val="2"/>
        <w:numPr>
          <w:ilvl w:val="1"/>
          <w:numId w:val="10"/>
        </w:numPr>
        <w:tabs>
          <w:tab w:val="left" w:pos="360"/>
          <w:tab w:val="left" w:pos="540"/>
          <w:tab w:val="clear" w:pos="780"/>
        </w:tabs>
        <w:spacing w:before="120" w:beforeLines="50" w:after="120" w:afterLines="50"/>
        <w:ind w:left="220" w:leftChars="0" w:firstLine="0" w:firstLineChars="0"/>
        <w:rPr>
          <w:rFonts w:ascii="宋体" w:hAnsi="宋体" w:eastAsia="宋体" w:cs="宋体"/>
          <w:color w:val="auto"/>
          <w:sz w:val="28"/>
          <w:szCs w:val="28"/>
          <w:highlight w:val="none"/>
        </w:rPr>
      </w:pPr>
      <w:bookmarkStart w:id="1938" w:name="_Toc24904"/>
      <w:bookmarkStart w:id="1939" w:name="_Toc14740"/>
      <w:bookmarkStart w:id="1940" w:name="_Toc317237638"/>
      <w:bookmarkStart w:id="1941" w:name="_Toc29530"/>
      <w:bookmarkStart w:id="1942" w:name="_Toc522804911"/>
      <w:r>
        <w:rPr>
          <w:rFonts w:hint="eastAsia" w:ascii="宋体" w:hAnsi="宋体" w:eastAsia="宋体" w:cs="宋体"/>
          <w:color w:val="auto"/>
          <w:sz w:val="32"/>
          <w:highlight w:val="none"/>
        </w:rPr>
        <w:br w:type="page"/>
      </w:r>
      <w:bookmarkStart w:id="1943" w:name="_Toc28651"/>
      <w:bookmarkStart w:id="1944" w:name="_Toc18374"/>
      <w:bookmarkStart w:id="1945" w:name="_Toc1277"/>
      <w:r>
        <w:rPr>
          <w:rFonts w:hint="eastAsia" w:ascii="宋体" w:hAnsi="宋体" w:eastAsia="宋体" w:cs="宋体"/>
          <w:color w:val="auto"/>
          <w:sz w:val="32"/>
          <w:highlight w:val="none"/>
        </w:rPr>
        <w:t>供应商基本情况表</w:t>
      </w:r>
      <w:bookmarkEnd w:id="1938"/>
      <w:bookmarkEnd w:id="1939"/>
      <w:bookmarkEnd w:id="1940"/>
      <w:bookmarkEnd w:id="1941"/>
      <w:bookmarkEnd w:id="1942"/>
      <w:bookmarkEnd w:id="1943"/>
      <w:bookmarkEnd w:id="1944"/>
      <w:bookmarkEnd w:id="1945"/>
    </w:p>
    <w:p>
      <w:pPr>
        <w:jc w:val="center"/>
        <w:rPr>
          <w:b/>
          <w:bCs/>
          <w:color w:val="auto"/>
          <w:sz w:val="36"/>
          <w:szCs w:val="36"/>
          <w:highlight w:val="none"/>
        </w:rPr>
      </w:pPr>
      <w:r>
        <w:rPr>
          <w:rFonts w:hint="eastAsia"/>
          <w:b/>
          <w:bCs/>
          <w:color w:val="auto"/>
          <w:sz w:val="36"/>
          <w:szCs w:val="36"/>
          <w:highlight w:val="none"/>
        </w:rPr>
        <w:t>供应商基本情况表</w:t>
      </w:r>
    </w:p>
    <w:tbl>
      <w:tblPr>
        <w:tblStyle w:val="25"/>
        <w:tblW w:w="0" w:type="auto"/>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97"/>
        <w:gridCol w:w="851"/>
        <w:gridCol w:w="169"/>
        <w:gridCol w:w="1451"/>
        <w:gridCol w:w="724"/>
        <w:gridCol w:w="434"/>
        <w:gridCol w:w="8"/>
        <w:gridCol w:w="458"/>
        <w:gridCol w:w="936"/>
        <w:gridCol w:w="684"/>
        <w:gridCol w:w="1697"/>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97" w:type="dxa"/>
            <w:noWrap w:val="0"/>
            <w:vAlign w:val="center"/>
          </w:tcPr>
          <w:p>
            <w:pPr>
              <w:adjustRightInd w:val="0"/>
              <w:spacing w:line="360" w:lineRule="auto"/>
              <w:rPr>
                <w:color w:val="auto"/>
                <w:highlight w:val="none"/>
              </w:rPr>
            </w:pPr>
            <w:r>
              <w:rPr>
                <w:rFonts w:hint="eastAsia"/>
                <w:color w:val="auto"/>
                <w:highlight w:val="none"/>
              </w:rPr>
              <w:t>供应商名称</w:t>
            </w:r>
          </w:p>
        </w:tc>
        <w:tc>
          <w:tcPr>
            <w:tcW w:w="7412" w:type="dxa"/>
            <w:gridSpan w:val="10"/>
            <w:noWrap w:val="0"/>
            <w:vAlign w:val="center"/>
          </w:tcPr>
          <w:p>
            <w:pPr>
              <w:adjustRightInd w:val="0"/>
              <w:spacing w:line="360" w:lineRule="auto"/>
              <w:rPr>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97" w:type="dxa"/>
            <w:noWrap w:val="0"/>
            <w:vAlign w:val="center"/>
          </w:tcPr>
          <w:p>
            <w:pPr>
              <w:adjustRightInd w:val="0"/>
              <w:spacing w:line="360" w:lineRule="auto"/>
              <w:rPr>
                <w:color w:val="auto"/>
                <w:highlight w:val="none"/>
              </w:rPr>
            </w:pPr>
            <w:r>
              <w:rPr>
                <w:rFonts w:hint="eastAsia"/>
                <w:color w:val="auto"/>
                <w:highlight w:val="none"/>
              </w:rPr>
              <w:t>注册地址</w:t>
            </w:r>
          </w:p>
        </w:tc>
        <w:tc>
          <w:tcPr>
            <w:tcW w:w="3637" w:type="dxa"/>
            <w:gridSpan w:val="6"/>
            <w:noWrap w:val="0"/>
            <w:vAlign w:val="center"/>
          </w:tcPr>
          <w:p>
            <w:pPr>
              <w:adjustRightInd w:val="0"/>
              <w:spacing w:line="360" w:lineRule="auto"/>
              <w:rPr>
                <w:color w:val="auto"/>
                <w:highlight w:val="none"/>
              </w:rPr>
            </w:pPr>
          </w:p>
        </w:tc>
        <w:tc>
          <w:tcPr>
            <w:tcW w:w="1394" w:type="dxa"/>
            <w:gridSpan w:val="2"/>
            <w:noWrap w:val="0"/>
            <w:vAlign w:val="center"/>
          </w:tcPr>
          <w:p>
            <w:pPr>
              <w:adjustRightInd w:val="0"/>
              <w:spacing w:line="360" w:lineRule="auto"/>
              <w:rPr>
                <w:color w:val="auto"/>
                <w:highlight w:val="none"/>
              </w:rPr>
            </w:pPr>
            <w:r>
              <w:rPr>
                <w:rFonts w:hint="eastAsia"/>
                <w:color w:val="auto"/>
                <w:highlight w:val="none"/>
              </w:rPr>
              <w:t>邮政编码</w:t>
            </w:r>
          </w:p>
        </w:tc>
        <w:tc>
          <w:tcPr>
            <w:tcW w:w="2381" w:type="dxa"/>
            <w:gridSpan w:val="2"/>
            <w:noWrap w:val="0"/>
            <w:vAlign w:val="center"/>
          </w:tcPr>
          <w:p>
            <w:pPr>
              <w:adjustRightInd w:val="0"/>
              <w:spacing w:line="360" w:lineRule="auto"/>
              <w:rPr>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97" w:type="dxa"/>
            <w:vMerge w:val="restart"/>
            <w:noWrap w:val="0"/>
            <w:vAlign w:val="center"/>
          </w:tcPr>
          <w:p>
            <w:pPr>
              <w:adjustRightInd w:val="0"/>
              <w:spacing w:line="360" w:lineRule="auto"/>
              <w:rPr>
                <w:color w:val="auto"/>
                <w:highlight w:val="none"/>
              </w:rPr>
            </w:pPr>
            <w:r>
              <w:rPr>
                <w:rFonts w:hint="eastAsia"/>
                <w:color w:val="auto"/>
                <w:highlight w:val="none"/>
              </w:rPr>
              <w:t>联系方式</w:t>
            </w:r>
          </w:p>
        </w:tc>
        <w:tc>
          <w:tcPr>
            <w:tcW w:w="1020" w:type="dxa"/>
            <w:gridSpan w:val="2"/>
            <w:noWrap w:val="0"/>
            <w:vAlign w:val="center"/>
          </w:tcPr>
          <w:p>
            <w:pPr>
              <w:adjustRightInd w:val="0"/>
              <w:spacing w:line="360" w:lineRule="auto"/>
              <w:rPr>
                <w:color w:val="auto"/>
                <w:highlight w:val="none"/>
              </w:rPr>
            </w:pPr>
            <w:r>
              <w:rPr>
                <w:rFonts w:hint="eastAsia"/>
                <w:color w:val="auto"/>
                <w:highlight w:val="none"/>
              </w:rPr>
              <w:t>联系人</w:t>
            </w:r>
          </w:p>
        </w:tc>
        <w:tc>
          <w:tcPr>
            <w:tcW w:w="2609" w:type="dxa"/>
            <w:gridSpan w:val="3"/>
            <w:noWrap w:val="0"/>
            <w:vAlign w:val="center"/>
          </w:tcPr>
          <w:p>
            <w:pPr>
              <w:adjustRightInd w:val="0"/>
              <w:spacing w:line="360" w:lineRule="auto"/>
              <w:rPr>
                <w:color w:val="auto"/>
                <w:highlight w:val="none"/>
              </w:rPr>
            </w:pPr>
          </w:p>
        </w:tc>
        <w:tc>
          <w:tcPr>
            <w:tcW w:w="1402" w:type="dxa"/>
            <w:gridSpan w:val="3"/>
            <w:noWrap w:val="0"/>
            <w:vAlign w:val="center"/>
          </w:tcPr>
          <w:p>
            <w:pPr>
              <w:adjustRightInd w:val="0"/>
              <w:spacing w:line="360" w:lineRule="auto"/>
              <w:rPr>
                <w:color w:val="auto"/>
                <w:highlight w:val="none"/>
              </w:rPr>
            </w:pPr>
            <w:r>
              <w:rPr>
                <w:rFonts w:hint="eastAsia"/>
                <w:color w:val="auto"/>
                <w:highlight w:val="none"/>
              </w:rPr>
              <w:t>电话</w:t>
            </w:r>
          </w:p>
        </w:tc>
        <w:tc>
          <w:tcPr>
            <w:tcW w:w="2381" w:type="dxa"/>
            <w:gridSpan w:val="2"/>
            <w:noWrap w:val="0"/>
            <w:vAlign w:val="center"/>
          </w:tcPr>
          <w:p>
            <w:pPr>
              <w:adjustRightInd w:val="0"/>
              <w:spacing w:line="360" w:lineRule="auto"/>
              <w:rPr>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97" w:type="dxa"/>
            <w:vMerge w:val="continue"/>
            <w:noWrap w:val="0"/>
            <w:vAlign w:val="center"/>
          </w:tcPr>
          <w:p>
            <w:pPr>
              <w:adjustRightInd w:val="0"/>
              <w:spacing w:line="360" w:lineRule="auto"/>
              <w:rPr>
                <w:color w:val="auto"/>
                <w:highlight w:val="none"/>
              </w:rPr>
            </w:pPr>
          </w:p>
        </w:tc>
        <w:tc>
          <w:tcPr>
            <w:tcW w:w="1020" w:type="dxa"/>
            <w:gridSpan w:val="2"/>
            <w:noWrap w:val="0"/>
            <w:vAlign w:val="center"/>
          </w:tcPr>
          <w:p>
            <w:pPr>
              <w:adjustRightInd w:val="0"/>
              <w:spacing w:line="360" w:lineRule="auto"/>
              <w:rPr>
                <w:color w:val="auto"/>
                <w:highlight w:val="none"/>
              </w:rPr>
            </w:pPr>
            <w:r>
              <w:rPr>
                <w:rFonts w:hint="eastAsia"/>
                <w:color w:val="auto"/>
                <w:highlight w:val="none"/>
              </w:rPr>
              <w:t>传真</w:t>
            </w:r>
          </w:p>
        </w:tc>
        <w:tc>
          <w:tcPr>
            <w:tcW w:w="2609" w:type="dxa"/>
            <w:gridSpan w:val="3"/>
            <w:noWrap w:val="0"/>
            <w:vAlign w:val="center"/>
          </w:tcPr>
          <w:p>
            <w:pPr>
              <w:adjustRightInd w:val="0"/>
              <w:spacing w:line="360" w:lineRule="auto"/>
              <w:rPr>
                <w:color w:val="auto"/>
                <w:highlight w:val="none"/>
              </w:rPr>
            </w:pPr>
          </w:p>
        </w:tc>
        <w:tc>
          <w:tcPr>
            <w:tcW w:w="1402" w:type="dxa"/>
            <w:gridSpan w:val="3"/>
            <w:noWrap w:val="0"/>
            <w:vAlign w:val="center"/>
          </w:tcPr>
          <w:p>
            <w:pPr>
              <w:adjustRightInd w:val="0"/>
              <w:spacing w:line="360" w:lineRule="auto"/>
              <w:rPr>
                <w:color w:val="auto"/>
                <w:highlight w:val="none"/>
              </w:rPr>
            </w:pPr>
            <w:r>
              <w:rPr>
                <w:rFonts w:hint="eastAsia"/>
                <w:color w:val="auto"/>
                <w:highlight w:val="none"/>
              </w:rPr>
              <w:t>网址</w:t>
            </w:r>
          </w:p>
        </w:tc>
        <w:tc>
          <w:tcPr>
            <w:tcW w:w="2381" w:type="dxa"/>
            <w:gridSpan w:val="2"/>
            <w:noWrap w:val="0"/>
            <w:vAlign w:val="center"/>
          </w:tcPr>
          <w:p>
            <w:pPr>
              <w:adjustRightInd w:val="0"/>
              <w:spacing w:line="360" w:lineRule="auto"/>
              <w:rPr>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97" w:type="dxa"/>
            <w:noWrap w:val="0"/>
            <w:vAlign w:val="center"/>
          </w:tcPr>
          <w:p>
            <w:pPr>
              <w:adjustRightInd w:val="0"/>
              <w:spacing w:line="360" w:lineRule="auto"/>
              <w:rPr>
                <w:color w:val="auto"/>
                <w:highlight w:val="none"/>
              </w:rPr>
            </w:pPr>
            <w:r>
              <w:rPr>
                <w:rFonts w:hint="eastAsia"/>
                <w:color w:val="auto"/>
                <w:highlight w:val="none"/>
              </w:rPr>
              <w:t>法定代表人</w:t>
            </w:r>
          </w:p>
        </w:tc>
        <w:tc>
          <w:tcPr>
            <w:tcW w:w="851" w:type="dxa"/>
            <w:noWrap w:val="0"/>
            <w:vAlign w:val="center"/>
          </w:tcPr>
          <w:p>
            <w:pPr>
              <w:adjustRightInd w:val="0"/>
              <w:spacing w:line="360" w:lineRule="auto"/>
              <w:jc w:val="center"/>
              <w:rPr>
                <w:color w:val="auto"/>
                <w:highlight w:val="none"/>
              </w:rPr>
            </w:pPr>
            <w:r>
              <w:rPr>
                <w:rFonts w:hint="eastAsia"/>
                <w:color w:val="auto"/>
                <w:highlight w:val="none"/>
              </w:rPr>
              <w:t>姓名</w:t>
            </w:r>
          </w:p>
        </w:tc>
        <w:tc>
          <w:tcPr>
            <w:tcW w:w="1620" w:type="dxa"/>
            <w:gridSpan w:val="2"/>
            <w:noWrap w:val="0"/>
            <w:vAlign w:val="center"/>
          </w:tcPr>
          <w:p>
            <w:pPr>
              <w:adjustRightInd w:val="0"/>
              <w:spacing w:line="360" w:lineRule="auto"/>
              <w:rPr>
                <w:color w:val="auto"/>
                <w:highlight w:val="none"/>
              </w:rPr>
            </w:pPr>
          </w:p>
        </w:tc>
        <w:tc>
          <w:tcPr>
            <w:tcW w:w="1158" w:type="dxa"/>
            <w:gridSpan w:val="2"/>
            <w:noWrap w:val="0"/>
            <w:vAlign w:val="center"/>
          </w:tcPr>
          <w:p>
            <w:pPr>
              <w:adjustRightInd w:val="0"/>
              <w:spacing w:line="360" w:lineRule="auto"/>
              <w:rPr>
                <w:color w:val="auto"/>
                <w:highlight w:val="none"/>
              </w:rPr>
            </w:pPr>
            <w:r>
              <w:rPr>
                <w:rFonts w:hint="eastAsia"/>
                <w:color w:val="auto"/>
                <w:highlight w:val="none"/>
              </w:rPr>
              <w:t>技术职称</w:t>
            </w:r>
          </w:p>
        </w:tc>
        <w:tc>
          <w:tcPr>
            <w:tcW w:w="1402" w:type="dxa"/>
            <w:gridSpan w:val="3"/>
            <w:noWrap w:val="0"/>
            <w:vAlign w:val="center"/>
          </w:tcPr>
          <w:p>
            <w:pPr>
              <w:adjustRightInd w:val="0"/>
              <w:spacing w:line="360" w:lineRule="auto"/>
              <w:rPr>
                <w:color w:val="auto"/>
                <w:highlight w:val="none"/>
              </w:rPr>
            </w:pPr>
          </w:p>
        </w:tc>
        <w:tc>
          <w:tcPr>
            <w:tcW w:w="684" w:type="dxa"/>
            <w:noWrap w:val="0"/>
            <w:vAlign w:val="center"/>
          </w:tcPr>
          <w:p>
            <w:pPr>
              <w:adjustRightInd w:val="0"/>
              <w:spacing w:line="360" w:lineRule="auto"/>
              <w:rPr>
                <w:color w:val="auto"/>
                <w:highlight w:val="none"/>
              </w:rPr>
            </w:pPr>
            <w:r>
              <w:rPr>
                <w:rFonts w:hint="eastAsia"/>
                <w:color w:val="auto"/>
                <w:highlight w:val="none"/>
              </w:rPr>
              <w:t>电话</w:t>
            </w:r>
          </w:p>
        </w:tc>
        <w:tc>
          <w:tcPr>
            <w:tcW w:w="1697" w:type="dxa"/>
            <w:noWrap w:val="0"/>
            <w:vAlign w:val="center"/>
          </w:tcPr>
          <w:p>
            <w:pPr>
              <w:adjustRightInd w:val="0"/>
              <w:spacing w:line="360" w:lineRule="auto"/>
              <w:rPr>
                <w:b/>
                <w:bCs/>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597" w:type="dxa"/>
            <w:noWrap w:val="0"/>
            <w:vAlign w:val="center"/>
          </w:tcPr>
          <w:p>
            <w:pPr>
              <w:adjustRightInd w:val="0"/>
              <w:spacing w:line="360" w:lineRule="auto"/>
              <w:rPr>
                <w:color w:val="auto"/>
                <w:highlight w:val="none"/>
              </w:rPr>
            </w:pPr>
            <w:r>
              <w:rPr>
                <w:rFonts w:hint="eastAsia"/>
                <w:color w:val="auto"/>
                <w:highlight w:val="none"/>
              </w:rPr>
              <w:t>技术负责人</w:t>
            </w:r>
          </w:p>
        </w:tc>
        <w:tc>
          <w:tcPr>
            <w:tcW w:w="851" w:type="dxa"/>
            <w:noWrap w:val="0"/>
            <w:vAlign w:val="center"/>
          </w:tcPr>
          <w:p>
            <w:pPr>
              <w:adjustRightInd w:val="0"/>
              <w:spacing w:line="360" w:lineRule="auto"/>
              <w:jc w:val="center"/>
              <w:rPr>
                <w:color w:val="auto"/>
                <w:highlight w:val="none"/>
              </w:rPr>
            </w:pPr>
            <w:r>
              <w:rPr>
                <w:rFonts w:hint="eastAsia"/>
                <w:color w:val="auto"/>
                <w:highlight w:val="none"/>
              </w:rPr>
              <w:t>姓名</w:t>
            </w:r>
          </w:p>
        </w:tc>
        <w:tc>
          <w:tcPr>
            <w:tcW w:w="1620" w:type="dxa"/>
            <w:gridSpan w:val="2"/>
            <w:noWrap w:val="0"/>
            <w:vAlign w:val="center"/>
          </w:tcPr>
          <w:p>
            <w:pPr>
              <w:adjustRightInd w:val="0"/>
              <w:spacing w:line="360" w:lineRule="auto"/>
              <w:rPr>
                <w:color w:val="auto"/>
                <w:highlight w:val="none"/>
              </w:rPr>
            </w:pPr>
          </w:p>
        </w:tc>
        <w:tc>
          <w:tcPr>
            <w:tcW w:w="1158" w:type="dxa"/>
            <w:gridSpan w:val="2"/>
            <w:noWrap w:val="0"/>
            <w:vAlign w:val="center"/>
          </w:tcPr>
          <w:p>
            <w:pPr>
              <w:adjustRightInd w:val="0"/>
              <w:spacing w:line="360" w:lineRule="auto"/>
              <w:rPr>
                <w:color w:val="auto"/>
                <w:highlight w:val="none"/>
              </w:rPr>
            </w:pPr>
            <w:r>
              <w:rPr>
                <w:rFonts w:hint="eastAsia"/>
                <w:color w:val="auto"/>
                <w:highlight w:val="none"/>
              </w:rPr>
              <w:t>技术职称</w:t>
            </w:r>
          </w:p>
        </w:tc>
        <w:tc>
          <w:tcPr>
            <w:tcW w:w="1402" w:type="dxa"/>
            <w:gridSpan w:val="3"/>
            <w:noWrap w:val="0"/>
            <w:vAlign w:val="center"/>
          </w:tcPr>
          <w:p>
            <w:pPr>
              <w:adjustRightInd w:val="0"/>
              <w:spacing w:line="360" w:lineRule="auto"/>
              <w:rPr>
                <w:color w:val="auto"/>
                <w:highlight w:val="none"/>
              </w:rPr>
            </w:pPr>
          </w:p>
        </w:tc>
        <w:tc>
          <w:tcPr>
            <w:tcW w:w="684" w:type="dxa"/>
            <w:noWrap w:val="0"/>
            <w:vAlign w:val="center"/>
          </w:tcPr>
          <w:p>
            <w:pPr>
              <w:adjustRightInd w:val="0"/>
              <w:spacing w:line="360" w:lineRule="auto"/>
              <w:rPr>
                <w:color w:val="auto"/>
                <w:highlight w:val="none"/>
              </w:rPr>
            </w:pPr>
            <w:r>
              <w:rPr>
                <w:rFonts w:hint="eastAsia"/>
                <w:color w:val="auto"/>
                <w:highlight w:val="none"/>
              </w:rPr>
              <w:t>电话</w:t>
            </w:r>
          </w:p>
        </w:tc>
        <w:tc>
          <w:tcPr>
            <w:tcW w:w="1697" w:type="dxa"/>
            <w:noWrap w:val="0"/>
            <w:vAlign w:val="center"/>
          </w:tcPr>
          <w:p>
            <w:pPr>
              <w:adjustRightInd w:val="0"/>
              <w:spacing w:line="360" w:lineRule="auto"/>
              <w:rPr>
                <w:b/>
                <w:bCs/>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97" w:type="dxa"/>
            <w:noWrap w:val="0"/>
            <w:vAlign w:val="center"/>
          </w:tcPr>
          <w:p>
            <w:pPr>
              <w:adjustRightInd w:val="0"/>
              <w:spacing w:line="360" w:lineRule="auto"/>
              <w:rPr>
                <w:color w:val="auto"/>
                <w:highlight w:val="none"/>
              </w:rPr>
            </w:pPr>
            <w:r>
              <w:rPr>
                <w:rFonts w:hint="eastAsia"/>
                <w:color w:val="auto"/>
                <w:highlight w:val="none"/>
              </w:rPr>
              <w:t>成立时间</w:t>
            </w:r>
          </w:p>
        </w:tc>
        <w:tc>
          <w:tcPr>
            <w:tcW w:w="3195" w:type="dxa"/>
            <w:gridSpan w:val="4"/>
            <w:tcBorders>
              <w:right w:val="single" w:color="auto" w:sz="4" w:space="0"/>
            </w:tcBorders>
            <w:noWrap w:val="0"/>
            <w:vAlign w:val="center"/>
          </w:tcPr>
          <w:p>
            <w:pPr>
              <w:adjustRightInd w:val="0"/>
              <w:spacing w:line="360" w:lineRule="auto"/>
              <w:ind w:firstLine="1540" w:firstLineChars="700"/>
              <w:rPr>
                <w:color w:val="auto"/>
                <w:highlight w:val="none"/>
              </w:rPr>
            </w:pPr>
          </w:p>
        </w:tc>
        <w:tc>
          <w:tcPr>
            <w:tcW w:w="4217" w:type="dxa"/>
            <w:gridSpan w:val="6"/>
            <w:tcBorders>
              <w:left w:val="single" w:color="auto" w:sz="4" w:space="0"/>
            </w:tcBorders>
            <w:noWrap w:val="0"/>
            <w:vAlign w:val="center"/>
          </w:tcPr>
          <w:p>
            <w:pPr>
              <w:adjustRightInd w:val="0"/>
              <w:spacing w:line="360" w:lineRule="auto"/>
              <w:rPr>
                <w:color w:val="auto"/>
                <w:highlight w:val="none"/>
              </w:rPr>
            </w:pPr>
            <w:r>
              <w:rPr>
                <w:rFonts w:hint="eastAsia"/>
                <w:color w:val="auto"/>
                <w:highlight w:val="none"/>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97" w:type="dxa"/>
            <w:noWrap w:val="0"/>
            <w:vAlign w:val="center"/>
          </w:tcPr>
          <w:p>
            <w:pPr>
              <w:adjustRightInd w:val="0"/>
              <w:spacing w:line="360" w:lineRule="auto"/>
              <w:rPr>
                <w:color w:val="auto"/>
                <w:highlight w:val="none"/>
              </w:rPr>
            </w:pPr>
            <w:r>
              <w:rPr>
                <w:rFonts w:hint="eastAsia"/>
                <w:color w:val="auto"/>
                <w:highlight w:val="none"/>
              </w:rPr>
              <w:t>企业资质等级</w:t>
            </w:r>
          </w:p>
        </w:tc>
        <w:tc>
          <w:tcPr>
            <w:tcW w:w="3195" w:type="dxa"/>
            <w:gridSpan w:val="4"/>
            <w:tcBorders>
              <w:right w:val="single" w:color="auto" w:sz="4" w:space="0"/>
            </w:tcBorders>
            <w:noWrap w:val="0"/>
            <w:vAlign w:val="center"/>
          </w:tcPr>
          <w:p>
            <w:pPr>
              <w:adjustRightInd w:val="0"/>
              <w:spacing w:line="360" w:lineRule="auto"/>
              <w:rPr>
                <w:color w:val="auto"/>
                <w:highlight w:val="none"/>
              </w:rPr>
            </w:pPr>
          </w:p>
        </w:tc>
        <w:tc>
          <w:tcPr>
            <w:tcW w:w="900" w:type="dxa"/>
            <w:gridSpan w:val="3"/>
            <w:vMerge w:val="restart"/>
            <w:tcBorders>
              <w:left w:val="single" w:color="auto" w:sz="4" w:space="0"/>
            </w:tcBorders>
            <w:noWrap w:val="0"/>
            <w:vAlign w:val="center"/>
          </w:tcPr>
          <w:p>
            <w:pPr>
              <w:adjustRightInd w:val="0"/>
              <w:spacing w:line="360" w:lineRule="auto"/>
              <w:jc w:val="center"/>
              <w:rPr>
                <w:color w:val="auto"/>
                <w:highlight w:val="none"/>
              </w:rPr>
            </w:pPr>
            <w:r>
              <w:rPr>
                <w:rFonts w:hint="eastAsia"/>
                <w:color w:val="auto"/>
                <w:highlight w:val="none"/>
              </w:rPr>
              <w:t>其中</w:t>
            </w:r>
          </w:p>
        </w:tc>
        <w:tc>
          <w:tcPr>
            <w:tcW w:w="1620" w:type="dxa"/>
            <w:gridSpan w:val="2"/>
            <w:noWrap w:val="0"/>
            <w:vAlign w:val="center"/>
          </w:tcPr>
          <w:p>
            <w:pPr>
              <w:adjustRightInd w:val="0"/>
              <w:spacing w:line="360" w:lineRule="auto"/>
              <w:rPr>
                <w:color w:val="auto"/>
                <w:highlight w:val="none"/>
              </w:rPr>
            </w:pPr>
            <w:r>
              <w:rPr>
                <w:rFonts w:hint="eastAsia"/>
                <w:color w:val="auto"/>
                <w:highlight w:val="none"/>
              </w:rPr>
              <w:t>项目经理</w:t>
            </w:r>
          </w:p>
        </w:tc>
        <w:tc>
          <w:tcPr>
            <w:tcW w:w="1697" w:type="dxa"/>
            <w:noWrap w:val="0"/>
            <w:vAlign w:val="center"/>
          </w:tcPr>
          <w:p>
            <w:pPr>
              <w:adjustRightInd w:val="0"/>
              <w:spacing w:line="360" w:lineRule="auto"/>
              <w:rPr>
                <w:b/>
                <w:bCs/>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97" w:type="dxa"/>
            <w:noWrap w:val="0"/>
            <w:vAlign w:val="center"/>
          </w:tcPr>
          <w:p>
            <w:pPr>
              <w:adjustRightInd w:val="0"/>
              <w:spacing w:line="360" w:lineRule="auto"/>
              <w:rPr>
                <w:color w:val="auto"/>
                <w:highlight w:val="none"/>
              </w:rPr>
            </w:pPr>
            <w:r>
              <w:rPr>
                <w:rFonts w:hint="eastAsia"/>
                <w:color w:val="auto"/>
                <w:highlight w:val="none"/>
              </w:rPr>
              <w:t>营业执照号</w:t>
            </w:r>
          </w:p>
        </w:tc>
        <w:tc>
          <w:tcPr>
            <w:tcW w:w="3195" w:type="dxa"/>
            <w:gridSpan w:val="4"/>
            <w:tcBorders>
              <w:right w:val="single" w:color="auto" w:sz="4" w:space="0"/>
            </w:tcBorders>
            <w:noWrap w:val="0"/>
            <w:vAlign w:val="center"/>
          </w:tcPr>
          <w:p>
            <w:pPr>
              <w:adjustRightInd w:val="0"/>
              <w:spacing w:line="360" w:lineRule="auto"/>
              <w:rPr>
                <w:color w:val="auto"/>
                <w:highlight w:val="none"/>
              </w:rPr>
            </w:pPr>
          </w:p>
        </w:tc>
        <w:tc>
          <w:tcPr>
            <w:tcW w:w="900" w:type="dxa"/>
            <w:gridSpan w:val="3"/>
            <w:vMerge w:val="continue"/>
            <w:tcBorders>
              <w:left w:val="single" w:color="auto" w:sz="4" w:space="0"/>
            </w:tcBorders>
            <w:noWrap w:val="0"/>
            <w:vAlign w:val="center"/>
          </w:tcPr>
          <w:p>
            <w:pPr>
              <w:adjustRightInd w:val="0"/>
              <w:spacing w:line="360" w:lineRule="auto"/>
              <w:rPr>
                <w:color w:val="auto"/>
                <w:highlight w:val="none"/>
              </w:rPr>
            </w:pPr>
          </w:p>
        </w:tc>
        <w:tc>
          <w:tcPr>
            <w:tcW w:w="1620" w:type="dxa"/>
            <w:gridSpan w:val="2"/>
            <w:noWrap w:val="0"/>
            <w:vAlign w:val="center"/>
          </w:tcPr>
          <w:p>
            <w:pPr>
              <w:adjustRightInd w:val="0"/>
              <w:spacing w:line="360" w:lineRule="auto"/>
              <w:rPr>
                <w:color w:val="auto"/>
                <w:highlight w:val="none"/>
              </w:rPr>
            </w:pPr>
            <w:r>
              <w:rPr>
                <w:rFonts w:hint="eastAsia"/>
                <w:color w:val="auto"/>
                <w:highlight w:val="none"/>
              </w:rPr>
              <w:t>高级职称人员</w:t>
            </w:r>
          </w:p>
        </w:tc>
        <w:tc>
          <w:tcPr>
            <w:tcW w:w="1697" w:type="dxa"/>
            <w:noWrap w:val="0"/>
            <w:vAlign w:val="center"/>
          </w:tcPr>
          <w:p>
            <w:pPr>
              <w:adjustRightInd w:val="0"/>
              <w:spacing w:line="360" w:lineRule="auto"/>
              <w:rPr>
                <w:b/>
                <w:bCs/>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97" w:type="dxa"/>
            <w:noWrap w:val="0"/>
            <w:vAlign w:val="center"/>
          </w:tcPr>
          <w:p>
            <w:pPr>
              <w:adjustRightInd w:val="0"/>
              <w:spacing w:line="360" w:lineRule="auto"/>
              <w:rPr>
                <w:color w:val="auto"/>
                <w:highlight w:val="none"/>
              </w:rPr>
            </w:pPr>
            <w:r>
              <w:rPr>
                <w:rFonts w:hint="eastAsia"/>
                <w:color w:val="auto"/>
                <w:highlight w:val="none"/>
              </w:rPr>
              <w:t>注册资金</w:t>
            </w:r>
          </w:p>
        </w:tc>
        <w:tc>
          <w:tcPr>
            <w:tcW w:w="3195" w:type="dxa"/>
            <w:gridSpan w:val="4"/>
            <w:tcBorders>
              <w:right w:val="single" w:color="auto" w:sz="4" w:space="0"/>
            </w:tcBorders>
            <w:noWrap w:val="0"/>
            <w:vAlign w:val="center"/>
          </w:tcPr>
          <w:p>
            <w:pPr>
              <w:adjustRightInd w:val="0"/>
              <w:spacing w:line="360" w:lineRule="auto"/>
              <w:rPr>
                <w:color w:val="auto"/>
                <w:highlight w:val="none"/>
              </w:rPr>
            </w:pPr>
          </w:p>
        </w:tc>
        <w:tc>
          <w:tcPr>
            <w:tcW w:w="900" w:type="dxa"/>
            <w:gridSpan w:val="3"/>
            <w:vMerge w:val="continue"/>
            <w:tcBorders>
              <w:left w:val="single" w:color="auto" w:sz="4" w:space="0"/>
            </w:tcBorders>
            <w:noWrap w:val="0"/>
            <w:vAlign w:val="center"/>
          </w:tcPr>
          <w:p>
            <w:pPr>
              <w:adjustRightInd w:val="0"/>
              <w:spacing w:line="360" w:lineRule="auto"/>
              <w:rPr>
                <w:color w:val="auto"/>
                <w:highlight w:val="none"/>
              </w:rPr>
            </w:pPr>
          </w:p>
        </w:tc>
        <w:tc>
          <w:tcPr>
            <w:tcW w:w="1620" w:type="dxa"/>
            <w:gridSpan w:val="2"/>
            <w:noWrap w:val="0"/>
            <w:vAlign w:val="center"/>
          </w:tcPr>
          <w:p>
            <w:pPr>
              <w:adjustRightInd w:val="0"/>
              <w:spacing w:line="360" w:lineRule="auto"/>
              <w:rPr>
                <w:color w:val="auto"/>
                <w:highlight w:val="none"/>
              </w:rPr>
            </w:pPr>
            <w:r>
              <w:rPr>
                <w:rFonts w:hint="eastAsia"/>
                <w:color w:val="auto"/>
                <w:highlight w:val="none"/>
              </w:rPr>
              <w:t>中级职称人员</w:t>
            </w:r>
          </w:p>
        </w:tc>
        <w:tc>
          <w:tcPr>
            <w:tcW w:w="1697" w:type="dxa"/>
            <w:noWrap w:val="0"/>
            <w:vAlign w:val="center"/>
          </w:tcPr>
          <w:p>
            <w:pPr>
              <w:adjustRightInd w:val="0"/>
              <w:spacing w:line="360" w:lineRule="auto"/>
              <w:rPr>
                <w:b/>
                <w:bCs/>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97" w:type="dxa"/>
            <w:noWrap w:val="0"/>
            <w:vAlign w:val="center"/>
          </w:tcPr>
          <w:p>
            <w:pPr>
              <w:adjustRightInd w:val="0"/>
              <w:spacing w:line="360" w:lineRule="auto"/>
              <w:rPr>
                <w:color w:val="auto"/>
                <w:highlight w:val="none"/>
              </w:rPr>
            </w:pPr>
            <w:r>
              <w:rPr>
                <w:rFonts w:hint="eastAsia"/>
                <w:color w:val="auto"/>
                <w:highlight w:val="none"/>
              </w:rPr>
              <w:t>开户银行</w:t>
            </w:r>
          </w:p>
        </w:tc>
        <w:tc>
          <w:tcPr>
            <w:tcW w:w="3195" w:type="dxa"/>
            <w:gridSpan w:val="4"/>
            <w:tcBorders>
              <w:right w:val="single" w:color="auto" w:sz="4" w:space="0"/>
            </w:tcBorders>
            <w:noWrap w:val="0"/>
            <w:vAlign w:val="center"/>
          </w:tcPr>
          <w:p>
            <w:pPr>
              <w:adjustRightInd w:val="0"/>
              <w:spacing w:line="360" w:lineRule="auto"/>
              <w:rPr>
                <w:color w:val="auto"/>
                <w:highlight w:val="none"/>
              </w:rPr>
            </w:pPr>
          </w:p>
        </w:tc>
        <w:tc>
          <w:tcPr>
            <w:tcW w:w="900" w:type="dxa"/>
            <w:gridSpan w:val="3"/>
            <w:vMerge w:val="continue"/>
            <w:tcBorders>
              <w:left w:val="single" w:color="auto" w:sz="4" w:space="0"/>
            </w:tcBorders>
            <w:noWrap w:val="0"/>
            <w:vAlign w:val="center"/>
          </w:tcPr>
          <w:p>
            <w:pPr>
              <w:adjustRightInd w:val="0"/>
              <w:spacing w:line="360" w:lineRule="auto"/>
              <w:rPr>
                <w:color w:val="auto"/>
                <w:highlight w:val="none"/>
              </w:rPr>
            </w:pPr>
          </w:p>
        </w:tc>
        <w:tc>
          <w:tcPr>
            <w:tcW w:w="1620" w:type="dxa"/>
            <w:gridSpan w:val="2"/>
            <w:noWrap w:val="0"/>
            <w:vAlign w:val="center"/>
          </w:tcPr>
          <w:p>
            <w:pPr>
              <w:adjustRightInd w:val="0"/>
              <w:spacing w:line="360" w:lineRule="auto"/>
              <w:rPr>
                <w:color w:val="auto"/>
                <w:highlight w:val="none"/>
              </w:rPr>
            </w:pPr>
            <w:r>
              <w:rPr>
                <w:rFonts w:hint="eastAsia"/>
                <w:color w:val="auto"/>
                <w:highlight w:val="none"/>
              </w:rPr>
              <w:t>初级职称人员</w:t>
            </w:r>
          </w:p>
        </w:tc>
        <w:tc>
          <w:tcPr>
            <w:tcW w:w="1697" w:type="dxa"/>
            <w:noWrap w:val="0"/>
            <w:vAlign w:val="center"/>
          </w:tcPr>
          <w:p>
            <w:pPr>
              <w:adjustRightInd w:val="0"/>
              <w:spacing w:line="360" w:lineRule="auto"/>
              <w:rPr>
                <w:b/>
                <w:bCs/>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97" w:type="dxa"/>
            <w:noWrap w:val="0"/>
            <w:vAlign w:val="center"/>
          </w:tcPr>
          <w:p>
            <w:pPr>
              <w:adjustRightInd w:val="0"/>
              <w:spacing w:line="360" w:lineRule="auto"/>
              <w:rPr>
                <w:color w:val="auto"/>
                <w:highlight w:val="none"/>
              </w:rPr>
            </w:pPr>
            <w:r>
              <w:rPr>
                <w:rFonts w:hint="eastAsia"/>
                <w:color w:val="auto"/>
                <w:highlight w:val="none"/>
              </w:rPr>
              <w:t>账号</w:t>
            </w:r>
          </w:p>
        </w:tc>
        <w:tc>
          <w:tcPr>
            <w:tcW w:w="3195" w:type="dxa"/>
            <w:gridSpan w:val="4"/>
            <w:tcBorders>
              <w:right w:val="single" w:color="auto" w:sz="4" w:space="0"/>
            </w:tcBorders>
            <w:noWrap w:val="0"/>
            <w:vAlign w:val="center"/>
          </w:tcPr>
          <w:p>
            <w:pPr>
              <w:adjustRightInd w:val="0"/>
              <w:spacing w:line="360" w:lineRule="auto"/>
              <w:rPr>
                <w:color w:val="auto"/>
                <w:highlight w:val="none"/>
              </w:rPr>
            </w:pPr>
          </w:p>
        </w:tc>
        <w:tc>
          <w:tcPr>
            <w:tcW w:w="900" w:type="dxa"/>
            <w:gridSpan w:val="3"/>
            <w:vMerge w:val="continue"/>
            <w:tcBorders>
              <w:left w:val="single" w:color="auto" w:sz="4" w:space="0"/>
            </w:tcBorders>
            <w:noWrap w:val="0"/>
            <w:vAlign w:val="center"/>
          </w:tcPr>
          <w:p>
            <w:pPr>
              <w:adjustRightInd w:val="0"/>
              <w:spacing w:line="360" w:lineRule="auto"/>
              <w:rPr>
                <w:color w:val="auto"/>
                <w:highlight w:val="none"/>
              </w:rPr>
            </w:pPr>
          </w:p>
        </w:tc>
        <w:tc>
          <w:tcPr>
            <w:tcW w:w="1620" w:type="dxa"/>
            <w:gridSpan w:val="2"/>
            <w:noWrap w:val="0"/>
            <w:vAlign w:val="center"/>
          </w:tcPr>
          <w:p>
            <w:pPr>
              <w:adjustRightInd w:val="0"/>
              <w:spacing w:line="360" w:lineRule="auto"/>
              <w:rPr>
                <w:color w:val="auto"/>
                <w:highlight w:val="none"/>
              </w:rPr>
            </w:pPr>
            <w:r>
              <w:rPr>
                <w:rFonts w:hint="eastAsia"/>
                <w:color w:val="auto"/>
                <w:highlight w:val="none"/>
              </w:rPr>
              <w:t>普通职工</w:t>
            </w:r>
          </w:p>
        </w:tc>
        <w:tc>
          <w:tcPr>
            <w:tcW w:w="1697" w:type="dxa"/>
            <w:noWrap w:val="0"/>
            <w:vAlign w:val="center"/>
          </w:tcPr>
          <w:p>
            <w:pPr>
              <w:adjustRightInd w:val="0"/>
              <w:spacing w:line="360" w:lineRule="auto"/>
              <w:rPr>
                <w:b/>
                <w:bCs/>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jc w:val="center"/>
        </w:trPr>
        <w:tc>
          <w:tcPr>
            <w:tcW w:w="1597" w:type="dxa"/>
            <w:noWrap w:val="0"/>
            <w:vAlign w:val="center"/>
          </w:tcPr>
          <w:p>
            <w:pPr>
              <w:adjustRightInd w:val="0"/>
              <w:spacing w:line="360" w:lineRule="auto"/>
              <w:rPr>
                <w:color w:val="auto"/>
                <w:highlight w:val="none"/>
              </w:rPr>
            </w:pPr>
            <w:r>
              <w:rPr>
                <w:rFonts w:hint="eastAsia"/>
                <w:color w:val="auto"/>
                <w:highlight w:val="none"/>
              </w:rPr>
              <w:t>经营范围</w:t>
            </w:r>
          </w:p>
        </w:tc>
        <w:tc>
          <w:tcPr>
            <w:tcW w:w="7412" w:type="dxa"/>
            <w:gridSpan w:val="10"/>
            <w:noWrap w:val="0"/>
            <w:vAlign w:val="center"/>
          </w:tcPr>
          <w:p>
            <w:pPr>
              <w:adjustRightInd w:val="0"/>
              <w:spacing w:line="360" w:lineRule="auto"/>
              <w:rPr>
                <w:b/>
                <w:bCs/>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597" w:type="dxa"/>
            <w:noWrap w:val="0"/>
            <w:vAlign w:val="top"/>
          </w:tcPr>
          <w:p>
            <w:pPr>
              <w:adjustRightInd w:val="0"/>
              <w:spacing w:line="360" w:lineRule="auto"/>
              <w:rPr>
                <w:color w:val="auto"/>
                <w:highlight w:val="none"/>
              </w:rPr>
            </w:pPr>
            <w:r>
              <w:rPr>
                <w:rFonts w:hint="eastAsia"/>
                <w:color w:val="auto"/>
                <w:highlight w:val="none"/>
              </w:rPr>
              <w:t>备注</w:t>
            </w:r>
          </w:p>
        </w:tc>
        <w:tc>
          <w:tcPr>
            <w:tcW w:w="7412" w:type="dxa"/>
            <w:gridSpan w:val="10"/>
            <w:noWrap w:val="0"/>
            <w:vAlign w:val="top"/>
          </w:tcPr>
          <w:p>
            <w:pPr>
              <w:adjustRightInd w:val="0"/>
              <w:spacing w:line="360" w:lineRule="auto"/>
              <w:rPr>
                <w:color w:val="auto"/>
                <w:highlight w:val="none"/>
              </w:rPr>
            </w:pPr>
          </w:p>
        </w:tc>
      </w:tr>
    </w:tbl>
    <w:p>
      <w:pPr>
        <w:adjustRightInd w:val="0"/>
        <w:snapToGrid w:val="0"/>
        <w:spacing w:before="120" w:beforeLines="50" w:after="120" w:afterLines="50"/>
        <w:ind w:firstLine="3840" w:firstLineChars="1600"/>
        <w:rPr>
          <w:color w:val="auto"/>
          <w:sz w:val="24"/>
          <w:highlight w:val="none"/>
        </w:rPr>
      </w:pPr>
    </w:p>
    <w:p>
      <w:pPr>
        <w:adjustRightInd w:val="0"/>
        <w:snapToGrid w:val="0"/>
        <w:spacing w:before="120" w:beforeLines="50" w:after="120" w:afterLines="50"/>
        <w:ind w:firstLine="3840" w:firstLineChars="1600"/>
        <w:rPr>
          <w:color w:val="auto"/>
          <w:sz w:val="24"/>
          <w:highlight w:val="none"/>
        </w:rPr>
      </w:pPr>
      <w:r>
        <w:rPr>
          <w:rFonts w:hint="eastAsia"/>
          <w:color w:val="auto"/>
          <w:sz w:val="24"/>
          <w:highlight w:val="none"/>
        </w:rPr>
        <w:t>供应商：</w:t>
      </w:r>
      <w:r>
        <w:rPr>
          <w:rFonts w:hint="eastAsia"/>
          <w:iCs/>
          <w:color w:val="auto"/>
          <w:sz w:val="24"/>
          <w:highlight w:val="none"/>
        </w:rPr>
        <w:t>（填写名称并盖章）</w:t>
      </w:r>
    </w:p>
    <w:p>
      <w:pPr>
        <w:adjustRightInd w:val="0"/>
        <w:snapToGrid w:val="0"/>
        <w:spacing w:before="120" w:beforeLines="50"/>
        <w:ind w:firstLine="3840" w:firstLineChars="1600"/>
        <w:rPr>
          <w:iCs/>
          <w:color w:val="auto"/>
          <w:sz w:val="24"/>
          <w:highlight w:val="none"/>
        </w:rPr>
      </w:pPr>
      <w:r>
        <w:rPr>
          <w:rFonts w:hint="eastAsia"/>
          <w:color w:val="auto"/>
          <w:sz w:val="24"/>
          <w:highlight w:val="none"/>
        </w:rPr>
        <w:t>法人及授权代表：</w:t>
      </w:r>
      <w:r>
        <w:rPr>
          <w:rFonts w:hint="eastAsia"/>
          <w:iCs/>
          <w:color w:val="auto"/>
          <w:sz w:val="24"/>
          <w:highlight w:val="none"/>
        </w:rPr>
        <w:t>（签字或盖章）</w:t>
      </w:r>
    </w:p>
    <w:p>
      <w:pPr>
        <w:adjustRightInd w:val="0"/>
        <w:snapToGrid w:val="0"/>
        <w:spacing w:before="120" w:beforeLines="50"/>
        <w:ind w:firstLine="3840" w:firstLineChars="1600"/>
        <w:rPr>
          <w:iCs/>
          <w:color w:val="auto"/>
          <w:sz w:val="24"/>
          <w:highlight w:val="none"/>
        </w:rPr>
      </w:pPr>
      <w:r>
        <w:rPr>
          <w:rFonts w:hint="eastAsia"/>
          <w:iCs/>
          <w:color w:val="auto"/>
          <w:sz w:val="24"/>
          <w:highlight w:val="none"/>
        </w:rPr>
        <w:t>日期：</w:t>
      </w:r>
    </w:p>
    <w:p>
      <w:pPr>
        <w:widowControl/>
        <w:rPr>
          <w:color w:val="auto"/>
          <w:sz w:val="24"/>
          <w:highlight w:val="none"/>
        </w:rPr>
      </w:pPr>
    </w:p>
    <w:p>
      <w:pPr>
        <w:widowControl/>
        <w:rPr>
          <w:color w:val="auto"/>
          <w:sz w:val="24"/>
          <w:highlight w:val="none"/>
        </w:rPr>
      </w:pPr>
    </w:p>
    <w:p>
      <w:pPr>
        <w:pStyle w:val="2"/>
        <w:numPr>
          <w:ilvl w:val="1"/>
          <w:numId w:val="10"/>
        </w:numPr>
        <w:tabs>
          <w:tab w:val="left" w:pos="360"/>
          <w:tab w:val="left" w:pos="540"/>
          <w:tab w:val="clear" w:pos="780"/>
        </w:tabs>
        <w:spacing w:before="120" w:beforeLines="50" w:after="120" w:afterLines="50"/>
        <w:ind w:left="220" w:leftChars="0" w:firstLine="0" w:firstLineChars="0"/>
        <w:rPr>
          <w:color w:val="auto"/>
          <w:highlight w:val="none"/>
        </w:rPr>
      </w:pPr>
      <w:r>
        <w:rPr>
          <w:rFonts w:hint="eastAsia" w:ascii="宋体" w:hAnsi="宋体" w:eastAsia="宋体" w:cs="宋体"/>
          <w:color w:val="auto"/>
          <w:sz w:val="24"/>
          <w:highlight w:val="none"/>
        </w:rPr>
        <w:br w:type="page"/>
      </w:r>
      <w:bookmarkStart w:id="1946" w:name="_Toc8569"/>
      <w:bookmarkStart w:id="1947" w:name="_Toc317237639"/>
      <w:bookmarkStart w:id="1948" w:name="_Toc522804912"/>
      <w:bookmarkStart w:id="1949" w:name="_Toc15373"/>
      <w:bookmarkStart w:id="1950" w:name="_Toc11020"/>
      <w:bookmarkStart w:id="1951" w:name="_Toc8649"/>
      <w:bookmarkStart w:id="1952" w:name="_Toc20668"/>
      <w:bookmarkStart w:id="1953" w:name="_Toc9030"/>
      <w:r>
        <w:rPr>
          <w:rFonts w:hint="eastAsia" w:ascii="宋体" w:hAnsi="宋体" w:eastAsia="宋体" w:cs="宋体"/>
          <w:color w:val="auto"/>
          <w:sz w:val="32"/>
          <w:highlight w:val="none"/>
        </w:rPr>
        <w:t>资格证明文件</w:t>
      </w:r>
      <w:bookmarkEnd w:id="1946"/>
      <w:bookmarkEnd w:id="1947"/>
      <w:bookmarkEnd w:id="1948"/>
      <w:bookmarkEnd w:id="1949"/>
      <w:bookmarkEnd w:id="1950"/>
      <w:bookmarkEnd w:id="1951"/>
      <w:bookmarkEnd w:id="1952"/>
      <w:bookmarkEnd w:id="1953"/>
    </w:p>
    <w:p>
      <w:pPr>
        <w:spacing w:after="0" w:line="360" w:lineRule="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1、（1）供应商为法人，应提交营业执照或法人登记书或批准文件复印件加盖公章；（2）供应商为非法人组织的，应提交依法登记证书复印件加盖公章；（3）供应商为个体工商户的，应提交个体工商户营业执照复印件加盖公章；（4）供应商为自然人的，应提交自然人的身份证明；</w:t>
      </w:r>
    </w:p>
    <w:p>
      <w:pPr>
        <w:spacing w:after="0" w:line="360" w:lineRule="auto"/>
        <w:rPr>
          <w:rFonts w:hint="eastAsia" w:ascii="宋体" w:hAnsi="宋体" w:eastAsia="宋体" w:cs="宋体"/>
          <w:color w:val="auto"/>
          <w:sz w:val="24"/>
        </w:rPr>
      </w:pPr>
      <w:r>
        <w:rPr>
          <w:rFonts w:hint="eastAsia" w:ascii="宋体" w:hAnsi="宋体" w:eastAsia="宋体" w:cs="宋体"/>
          <w:color w:val="auto"/>
          <w:sz w:val="24"/>
          <w:lang w:val="en-US" w:eastAsia="zh-CN"/>
        </w:rPr>
        <w:t>2、需提供资格承诺函或2020年度经审计的财务报告或2021年至今任意一个月的财务报表（含资产负债表、损益表（非盈利性单位可不提供）、现金流量表）并加盖公章；</w:t>
      </w:r>
    </w:p>
    <w:p>
      <w:pPr>
        <w:spacing w:after="0" w:line="360" w:lineRule="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3、需提供资格承诺函或2021年至今任意一个月的社会保障缴费记录复印件加盖公章；</w:t>
      </w:r>
    </w:p>
    <w:p>
      <w:pPr>
        <w:spacing w:after="0" w:line="360" w:lineRule="auto"/>
        <w:rPr>
          <w:rFonts w:hint="eastAsia" w:ascii="宋体" w:hAnsi="宋体" w:eastAsia="宋体" w:cs="宋体"/>
          <w:color w:val="auto"/>
          <w:sz w:val="24"/>
        </w:rPr>
      </w:pPr>
      <w:r>
        <w:rPr>
          <w:rFonts w:hint="eastAsia" w:ascii="宋体" w:hAnsi="宋体" w:eastAsia="宋体" w:cs="宋体"/>
          <w:color w:val="auto"/>
          <w:sz w:val="24"/>
        </w:rPr>
        <w:t>4</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需提供资格承诺函或2021年至今任意一个月的纳税记录复印件加盖公章。（零纳税须提供税务部门盖章的纳税申报表。）；</w:t>
      </w:r>
    </w:p>
    <w:p>
      <w:pPr>
        <w:spacing w:after="0" w:line="360" w:lineRule="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5</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具有履行合同所必需的设备和专业技术能力（提供承诺书加盖公章）；</w:t>
      </w:r>
    </w:p>
    <w:p>
      <w:pPr>
        <w:spacing w:after="0" w:line="360" w:lineRule="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6、</w:t>
      </w:r>
      <w:r>
        <w:rPr>
          <w:rFonts w:hint="eastAsia" w:ascii="宋体" w:hAnsi="宋体" w:cs="宋体"/>
          <w:color w:val="auto"/>
          <w:sz w:val="24"/>
          <w:highlight w:val="none"/>
          <w:lang w:val="en-US" w:eastAsia="zh-CN"/>
        </w:rPr>
        <w:t>采购人或采购代理机构将在响应文件递交截止后查询供应商的信用记录，供应商存在不良信用记录的，其文件将被作为无效响应被否决。不良信用记录指：供应商在“信用中国”网站（www.creditchina.gov.cn）被列入失信被执行人、重大税收违法案件当事人名单、政府采购严重违法失信名单或在中国政府采购网（www.ccgp.gov.cn）被列入政府采购严重违法失信行为记录名单（需提供承诺书，并由采购人和代理机构于开标现场实时查询核实）</w:t>
      </w:r>
      <w:r>
        <w:rPr>
          <w:rFonts w:hint="eastAsia" w:ascii="宋体" w:hAnsi="宋体" w:cs="宋体"/>
          <w:color w:val="auto"/>
          <w:sz w:val="24"/>
        </w:rPr>
        <w:t>；</w:t>
      </w:r>
    </w:p>
    <w:p>
      <w:pPr>
        <w:spacing w:after="0" w:line="360" w:lineRule="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7、参加政府采购活动前三年内，在经营活动中没有重大违法记录（成立不足三年的从成立之日起计算）（提供无重大违法记录声明函加盖公章）；</w:t>
      </w:r>
    </w:p>
    <w:p>
      <w:pPr>
        <w:spacing w:after="0" w:line="360" w:lineRule="auto"/>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8、其他（投标人认为需要提供的其它资格证明文件）。</w:t>
      </w:r>
    </w:p>
    <w:p>
      <w:pPr>
        <w:rPr>
          <w:b/>
          <w:color w:val="auto"/>
          <w:sz w:val="30"/>
        </w:rPr>
      </w:pPr>
      <w:r>
        <w:rPr>
          <w:b/>
          <w:color w:val="auto"/>
          <w:sz w:val="30"/>
        </w:rPr>
        <w:br w:type="page"/>
      </w:r>
    </w:p>
    <w:p>
      <w:pPr>
        <w:spacing w:before="44"/>
        <w:ind w:right="0"/>
        <w:jc w:val="left"/>
        <w:rPr>
          <w:rFonts w:hint="default"/>
          <w:b/>
          <w:color w:val="auto"/>
          <w:sz w:val="30"/>
        </w:rPr>
      </w:pPr>
      <w:r>
        <w:rPr>
          <w:rFonts w:hint="default"/>
          <w:b/>
          <w:color w:val="auto"/>
          <w:sz w:val="30"/>
          <w:lang w:val="en-US" w:eastAsia="zh-CN"/>
        </w:rPr>
        <w:t>附件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240" w:lineRule="auto"/>
        <w:ind w:left="0" w:leftChars="0" w:right="0" w:rightChars="0" w:firstLine="0"/>
        <w:jc w:val="center"/>
        <w:textAlignment w:val="auto"/>
        <w:rPr>
          <w:rFonts w:hint="default" w:ascii="Times New Roman" w:hAnsi="Times New Roman" w:eastAsia="仿宋" w:cs="Times New Roman"/>
          <w:color w:val="auto"/>
          <w:sz w:val="32"/>
          <w:szCs w:val="32"/>
        </w:rPr>
      </w:pPr>
      <w:r>
        <w:rPr>
          <w:rFonts w:hint="eastAsia" w:ascii="宋体" w:hAnsi="宋体" w:eastAsia="宋体" w:cs="宋体"/>
          <w:b/>
          <w:bCs/>
          <w:i w:val="0"/>
          <w:caps w:val="0"/>
          <w:color w:val="auto"/>
          <w:spacing w:val="0"/>
          <w:kern w:val="0"/>
          <w:sz w:val="40"/>
          <w:szCs w:val="40"/>
          <w:lang w:val="en-US" w:eastAsia="zh-CN" w:bidi="ar"/>
        </w:rPr>
        <w:t>资格承诺函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0"/>
        <w:jc w:val="left"/>
        <w:textAlignment w:val="auto"/>
        <w:outlineLvl w:val="9"/>
        <w:rPr>
          <w:rFonts w:hint="default" w:ascii="Times New Roman" w:hAnsi="Times New Roman" w:eastAsia="仿宋" w:cs="Times New Roman"/>
          <w:i w:val="0"/>
          <w:iCs w:val="0"/>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致：</w:t>
      </w:r>
      <w:r>
        <w:rPr>
          <w:rFonts w:hint="default" w:ascii="Times New Roman" w:hAnsi="Times New Roman" w:eastAsia="仿宋" w:cs="Times New Roman"/>
          <w:i w:val="0"/>
          <w:iCs w:val="0"/>
          <w:caps w:val="0"/>
          <w:color w:val="auto"/>
          <w:spacing w:val="0"/>
          <w:kern w:val="0"/>
          <w:sz w:val="28"/>
          <w:szCs w:val="28"/>
          <w:u w:val="single"/>
          <w:lang w:val="en-US" w:eastAsia="zh-CN" w:bidi="ar"/>
        </w:rPr>
        <w:t>    （采购人、采购代理机构）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640"/>
        <w:jc w:val="left"/>
        <w:textAlignment w:val="auto"/>
        <w:outlineLvl w:val="9"/>
        <w:rPr>
          <w:rFonts w:hint="default" w:ascii="Times New Roman" w:hAnsi="Times New Roman" w:eastAsia="仿宋" w:cs="Times New Roman"/>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我单位参与</w:t>
      </w:r>
      <w:r>
        <w:rPr>
          <w:rFonts w:hint="default" w:ascii="Times New Roman" w:hAnsi="Times New Roman" w:eastAsia="仿宋" w:cs="Times New Roman"/>
          <w:i w:val="0"/>
          <w:caps w:val="0"/>
          <w:color w:val="auto"/>
          <w:spacing w:val="0"/>
          <w:kern w:val="0"/>
          <w:sz w:val="28"/>
          <w:szCs w:val="28"/>
          <w:u w:val="single"/>
          <w:lang w:val="en-US" w:eastAsia="zh-CN" w:bidi="ar"/>
        </w:rPr>
        <w:t>  </w:t>
      </w:r>
      <w:r>
        <w:rPr>
          <w:rFonts w:hint="default" w:ascii="Times New Roman" w:hAnsi="Times New Roman" w:eastAsia="仿宋" w:cs="Times New Roman"/>
          <w:i w:val="0"/>
          <w:iCs w:val="0"/>
          <w:caps w:val="0"/>
          <w:color w:val="auto"/>
          <w:spacing w:val="0"/>
          <w:kern w:val="0"/>
          <w:sz w:val="28"/>
          <w:szCs w:val="28"/>
          <w:u w:val="single"/>
          <w:lang w:val="en-US" w:eastAsia="zh-CN" w:bidi="ar"/>
        </w:rPr>
        <w:t>（项目名称）</w:t>
      </w:r>
      <w:r>
        <w:rPr>
          <w:rFonts w:hint="default" w:ascii="Times New Roman" w:hAnsi="Times New Roman" w:eastAsia="仿宋" w:cs="Times New Roman"/>
          <w:i w:val="0"/>
          <w:caps w:val="0"/>
          <w:color w:val="auto"/>
          <w:spacing w:val="0"/>
          <w:kern w:val="0"/>
          <w:sz w:val="28"/>
          <w:szCs w:val="28"/>
          <w:u w:val="single"/>
          <w:lang w:val="en-US" w:eastAsia="zh-CN" w:bidi="ar"/>
        </w:rPr>
        <w:t>  （项目编号：    ）</w:t>
      </w:r>
      <w:r>
        <w:rPr>
          <w:rFonts w:hint="default" w:ascii="Times New Roman" w:hAnsi="Times New Roman" w:eastAsia="仿宋" w:cs="Times New Roman"/>
          <w:i w:val="0"/>
          <w:caps w:val="0"/>
          <w:color w:val="auto"/>
          <w:spacing w:val="0"/>
          <w:kern w:val="0"/>
          <w:sz w:val="28"/>
          <w:szCs w:val="28"/>
          <w:lang w:val="en-US" w:eastAsia="zh-CN" w:bidi="ar"/>
        </w:rPr>
        <w:t>项目的政府采购活动，现承诺如下：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640"/>
        <w:jc w:val="left"/>
        <w:textAlignment w:val="auto"/>
        <w:outlineLvl w:val="9"/>
        <w:rPr>
          <w:rFonts w:hint="default" w:ascii="Times New Roman" w:hAnsi="Times New Roman" w:eastAsia="仿宋" w:cs="Times New Roman"/>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1.我单位具有符合采购文件资格要求的财务状况报告。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640"/>
        <w:jc w:val="left"/>
        <w:textAlignment w:val="auto"/>
        <w:outlineLvl w:val="9"/>
        <w:rPr>
          <w:rFonts w:hint="default" w:ascii="Times New Roman" w:hAnsi="Times New Roman" w:eastAsia="仿宋" w:cs="Times New Roman"/>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2.我单位具有符合采购文件资格要求的依法缴纳税收的相关证明材料。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640"/>
        <w:jc w:val="left"/>
        <w:textAlignment w:val="auto"/>
        <w:outlineLvl w:val="9"/>
        <w:rPr>
          <w:rFonts w:hint="default" w:ascii="Times New Roman" w:hAnsi="Times New Roman" w:eastAsia="仿宋" w:cs="Times New Roman"/>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3.我单位具有符合采购文件资格要求的依法缴纳社会保障资金的相关证明材料。</w:t>
      </w:r>
    </w:p>
    <w:p>
      <w:pPr>
        <w:keepNext w:val="0"/>
        <w:keepLines w:val="0"/>
        <w:pageBreakBefore w:val="0"/>
        <w:kinsoku/>
        <w:wordWrap/>
        <w:overflowPunct/>
        <w:topLinePunct w:val="0"/>
        <w:autoSpaceDE/>
        <w:autoSpaceDN/>
        <w:bidi w:val="0"/>
        <w:adjustRightInd/>
        <w:snapToGrid/>
        <w:spacing w:line="500" w:lineRule="exact"/>
        <w:ind w:left="0" w:leftChars="0" w:right="0" w:rightChars="0"/>
        <w:textAlignment w:val="auto"/>
        <w:outlineLvl w:val="9"/>
        <w:rPr>
          <w:rFonts w:hint="default"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rPr>
        <w:t>4.如违反上述承诺，同意将相关失信行为纳入三亚市信用信息共享平台。</w:t>
      </w:r>
    </w:p>
    <w:p>
      <w:pPr>
        <w:keepNext w:val="0"/>
        <w:keepLines w:val="0"/>
        <w:pageBreakBefore w:val="0"/>
        <w:kinsoku/>
        <w:wordWrap/>
        <w:overflowPunct/>
        <w:topLinePunct w:val="0"/>
        <w:autoSpaceDE/>
        <w:autoSpaceDN/>
        <w:bidi w:val="0"/>
        <w:adjustRightInd/>
        <w:snapToGrid/>
        <w:spacing w:line="500" w:lineRule="exact"/>
        <w:ind w:left="0" w:leftChars="0" w:right="0" w:rightChars="0"/>
        <w:textAlignment w:val="auto"/>
        <w:outlineLvl w:val="9"/>
        <w:rPr>
          <w:rFonts w:hint="default"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rPr>
        <w:t>5.同意此承诺书在“信用中国（三亚）”网站公示，接受社会各界监督。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640"/>
        <w:jc w:val="left"/>
        <w:textAlignment w:val="auto"/>
        <w:outlineLvl w:val="9"/>
        <w:rPr>
          <w:rFonts w:hint="default" w:ascii="Times New Roman" w:hAnsi="Times New Roman" w:eastAsia="仿宋" w:cs="Times New Roman"/>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若我单位承诺不实，自愿承担提供虚假材料谋取中标、成交的法律责任。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640"/>
        <w:jc w:val="left"/>
        <w:textAlignment w:val="auto"/>
        <w:outlineLvl w:val="9"/>
        <w:rPr>
          <w:rFonts w:hint="default" w:ascii="Times New Roman" w:hAnsi="Times New Roman" w:eastAsia="仿宋" w:cs="Times New Roman"/>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640"/>
        <w:jc w:val="left"/>
        <w:textAlignment w:val="auto"/>
        <w:outlineLvl w:val="9"/>
        <w:rPr>
          <w:rFonts w:hint="default" w:ascii="Times New Roman" w:hAnsi="Times New Roman" w:eastAsia="仿宋" w:cs="Times New Roman"/>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承诺供应商（全称并加盖公章）：</w:t>
      </w:r>
      <w:r>
        <w:rPr>
          <w:rFonts w:hint="default" w:ascii="Times New Roman" w:hAnsi="Times New Roman" w:eastAsia="仿宋" w:cs="Times New Roman"/>
          <w:i w:val="0"/>
          <w:caps w:val="0"/>
          <w:color w:val="auto"/>
          <w:spacing w:val="0"/>
          <w:kern w:val="0"/>
          <w:sz w:val="28"/>
          <w:szCs w:val="28"/>
          <w:u w:val="single"/>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640"/>
        <w:jc w:val="left"/>
        <w:textAlignment w:val="auto"/>
        <w:outlineLvl w:val="9"/>
        <w:rPr>
          <w:rFonts w:hint="default" w:ascii="Times New Roman" w:hAnsi="Times New Roman" w:eastAsia="仿宋" w:cs="Times New Roman"/>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单位负责人或授权代表（签字）：</w:t>
      </w:r>
      <w:r>
        <w:rPr>
          <w:rFonts w:hint="default" w:ascii="Times New Roman" w:hAnsi="Times New Roman" w:eastAsia="仿宋" w:cs="Times New Roman"/>
          <w:i w:val="0"/>
          <w:caps w:val="0"/>
          <w:color w:val="auto"/>
          <w:spacing w:val="0"/>
          <w:kern w:val="0"/>
          <w:sz w:val="28"/>
          <w:szCs w:val="28"/>
          <w:u w:val="single"/>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640"/>
        <w:jc w:val="left"/>
        <w:textAlignment w:val="auto"/>
        <w:outlineLvl w:val="9"/>
        <w:rPr>
          <w:rFonts w:hint="default" w:ascii="Times New Roman" w:hAnsi="Times New Roman" w:eastAsia="仿宋" w:cs="Times New Roman"/>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日期：</w:t>
      </w:r>
      <w:r>
        <w:rPr>
          <w:rFonts w:hint="default" w:ascii="Times New Roman" w:hAnsi="Times New Roman" w:eastAsia="仿宋" w:cs="Times New Roman"/>
          <w:i w:val="0"/>
          <w:caps w:val="0"/>
          <w:color w:val="auto"/>
          <w:spacing w:val="0"/>
          <w:kern w:val="0"/>
          <w:sz w:val="28"/>
          <w:szCs w:val="28"/>
          <w:u w:val="single"/>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0"/>
        <w:jc w:val="left"/>
        <w:textAlignment w:val="auto"/>
        <w:outlineLvl w:val="9"/>
        <w:rPr>
          <w:rFonts w:hint="default" w:ascii="Times New Roman" w:hAnsi="Times New Roman" w:eastAsia="仿宋" w:cs="Times New Roman"/>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0"/>
        <w:jc w:val="left"/>
        <w:textAlignment w:val="auto"/>
        <w:outlineLvl w:val="9"/>
        <w:rPr>
          <w:rFonts w:hint="default" w:ascii="Times New Roman" w:hAnsi="Times New Roman" w:eastAsia="仿宋" w:cs="Times New Roman"/>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说明：1.供应商可自行选择是否提供本承诺函，若不提供本承诺函的，应按采购文件要求提供相应的证明材料。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0"/>
        <w:jc w:val="left"/>
        <w:textAlignment w:val="auto"/>
        <w:outlineLvl w:val="9"/>
        <w:rPr>
          <w:rFonts w:hint="default" w:ascii="Times New Roman" w:hAnsi="Times New Roman" w:eastAsia="仿宋" w:cs="Times New Roman"/>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2.供应商可删减</w:t>
      </w:r>
      <w:r>
        <w:rPr>
          <w:rFonts w:hint="eastAsia" w:ascii="Times New Roman" w:hAnsi="Times New Roman" w:eastAsia="仿宋" w:cs="Times New Roman"/>
          <w:i w:val="0"/>
          <w:caps w:val="0"/>
          <w:color w:val="auto"/>
          <w:spacing w:val="0"/>
          <w:kern w:val="0"/>
          <w:sz w:val="28"/>
          <w:szCs w:val="28"/>
          <w:lang w:val="en-US" w:eastAsia="zh-CN" w:bidi="ar"/>
        </w:rPr>
        <w:t>1-3</w:t>
      </w:r>
      <w:r>
        <w:rPr>
          <w:rFonts w:hint="default" w:ascii="Times New Roman" w:hAnsi="Times New Roman" w:eastAsia="仿宋" w:cs="Times New Roman"/>
          <w:i w:val="0"/>
          <w:caps w:val="0"/>
          <w:color w:val="auto"/>
          <w:spacing w:val="0"/>
          <w:kern w:val="0"/>
          <w:sz w:val="28"/>
          <w:szCs w:val="28"/>
          <w:lang w:val="en-US" w:eastAsia="zh-CN" w:bidi="ar"/>
        </w:rPr>
        <w:t>承诺事项，如删去承诺第1项的，则应按采购文件要求提供财务状况报告。</w:t>
      </w:r>
    </w:p>
    <w:p>
      <w:pPr>
        <w:rPr>
          <w:b/>
          <w:color w:val="auto"/>
          <w:sz w:val="30"/>
        </w:rPr>
      </w:pPr>
      <w:r>
        <w:rPr>
          <w:b/>
          <w:color w:val="auto"/>
          <w:sz w:val="30"/>
        </w:rPr>
        <w:br w:type="page"/>
      </w:r>
    </w:p>
    <w:p>
      <w:pPr>
        <w:spacing w:before="44"/>
        <w:ind w:left="308" w:right="0" w:firstLine="0"/>
        <w:jc w:val="left"/>
        <w:rPr>
          <w:rFonts w:hint="eastAsia" w:ascii="宋体" w:hAnsi="宋体" w:cs="宋体"/>
          <w:color w:val="auto"/>
          <w:sz w:val="24"/>
        </w:rPr>
      </w:pPr>
      <w:r>
        <w:rPr>
          <w:b/>
          <w:color w:val="auto"/>
          <w:sz w:val="30"/>
        </w:rPr>
        <w:t>附件：</w:t>
      </w:r>
    </w:p>
    <w:p>
      <w:pPr>
        <w:spacing w:line="360" w:lineRule="auto"/>
        <w:jc w:val="center"/>
        <w:rPr>
          <w:rFonts w:hint="eastAsia"/>
          <w:color w:val="auto"/>
        </w:rPr>
      </w:pPr>
      <w:r>
        <w:rPr>
          <w:rFonts w:hint="eastAsia" w:ascii="宋体" w:hAnsi="宋体" w:cs="宋体"/>
          <w:b/>
          <w:bCs/>
          <w:color w:val="auto"/>
          <w:sz w:val="28"/>
          <w:szCs w:val="22"/>
        </w:rPr>
        <w:t>具有履行合同所必需的设备和专业技术能力承诺书</w:t>
      </w:r>
    </w:p>
    <w:p>
      <w:pPr>
        <w:spacing w:line="360" w:lineRule="auto"/>
        <w:rPr>
          <w:rFonts w:hint="eastAsia" w:ascii="宋体" w:hAnsi="宋体" w:cs="宋体"/>
          <w:color w:val="auto"/>
          <w:sz w:val="24"/>
        </w:rPr>
      </w:pPr>
    </w:p>
    <w:p>
      <w:pPr>
        <w:spacing w:line="360" w:lineRule="auto"/>
        <w:rPr>
          <w:rFonts w:hint="eastAsia" w:ascii="宋体" w:hAnsi="宋体" w:eastAsia="宋体" w:cs="宋体"/>
          <w:color w:val="auto"/>
          <w:sz w:val="24"/>
          <w:lang w:eastAsia="zh-CN"/>
        </w:rPr>
      </w:pPr>
      <w:r>
        <w:rPr>
          <w:rFonts w:hint="eastAsia" w:ascii="宋体" w:hAnsi="宋体" w:eastAsia="宋体" w:cs="宋体"/>
          <w:color w:val="auto"/>
          <w:sz w:val="24"/>
          <w:lang w:eastAsia="zh-CN"/>
        </w:rPr>
        <w:t>致</w:t>
      </w:r>
      <w:r>
        <w:rPr>
          <w:rFonts w:hint="eastAsia" w:ascii="宋体" w:hAnsi="宋体" w:cs="宋体"/>
          <w:color w:val="auto"/>
          <w:sz w:val="24"/>
        </w:rPr>
        <w:t>：</w:t>
      </w:r>
      <w:r>
        <w:rPr>
          <w:rFonts w:hint="eastAsia" w:ascii="宋体" w:hAnsi="宋体" w:eastAsia="宋体" w:cs="宋体"/>
          <w:color w:val="auto"/>
          <w:sz w:val="24"/>
          <w:lang w:eastAsia="zh-CN"/>
        </w:rPr>
        <w:t>（采购人）</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我单位参与你公司组织的</w:t>
      </w:r>
      <w:r>
        <w:rPr>
          <w:rFonts w:hint="eastAsia" w:ascii="宋体" w:hAnsi="宋体" w:cs="宋体"/>
          <w:color w:val="auto"/>
          <w:sz w:val="24"/>
          <w:u w:val="single"/>
          <w:lang w:val="en-US" w:eastAsia="zh-CN"/>
        </w:rPr>
        <w:t>（项目名称）</w:t>
      </w:r>
      <w:r>
        <w:rPr>
          <w:rFonts w:hint="eastAsia" w:ascii="宋体" w:hAnsi="宋体" w:cs="宋体"/>
          <w:color w:val="auto"/>
          <w:sz w:val="24"/>
          <w:lang w:val="en-US" w:eastAsia="zh-CN"/>
        </w:rPr>
        <w:t xml:space="preserve"> </w:t>
      </w:r>
      <w:r>
        <w:rPr>
          <w:rFonts w:hint="eastAsia" w:ascii="宋体" w:hAnsi="宋体" w:cs="宋体"/>
          <w:color w:val="auto"/>
          <w:sz w:val="24"/>
        </w:rPr>
        <w:t>采购活动，现承诺具有履行合同所必需的设备和专业技术能力，如有虚假承诺，愿承担一切法律责任。</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特此承诺。</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r>
        <w:rPr>
          <w:rFonts w:hint="eastAsia" w:ascii="宋体" w:hAnsi="宋体" w:cs="宋体"/>
          <w:color w:val="auto"/>
          <w:sz w:val="24"/>
        </w:rPr>
        <w:t>供应商：（填写名称并盖章）</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r>
        <w:rPr>
          <w:rFonts w:hint="eastAsia" w:ascii="宋体" w:hAnsi="宋体" w:cs="宋体"/>
          <w:color w:val="auto"/>
          <w:sz w:val="24"/>
        </w:rPr>
        <w:t xml:space="preserve">法定代表人或其授权委托人：（签字或盖章） </w:t>
      </w:r>
    </w:p>
    <w:p>
      <w:pPr>
        <w:spacing w:line="360" w:lineRule="auto"/>
        <w:rPr>
          <w:rFonts w:hint="eastAsia" w:ascii="宋体" w:hAnsi="宋体" w:cs="宋体"/>
          <w:color w:val="auto"/>
          <w:sz w:val="24"/>
        </w:rPr>
      </w:pPr>
    </w:p>
    <w:p>
      <w:pPr>
        <w:spacing w:line="360" w:lineRule="auto"/>
        <w:rPr>
          <w:color w:val="auto"/>
        </w:rPr>
      </w:pPr>
      <w:r>
        <w:rPr>
          <w:rFonts w:hint="eastAsia" w:ascii="宋体" w:hAnsi="宋体" w:cs="宋体"/>
          <w:color w:val="auto"/>
          <w:sz w:val="24"/>
        </w:rPr>
        <w:t>日期：</w:t>
      </w:r>
      <w:r>
        <w:rPr>
          <w:rFonts w:hint="eastAsia" w:ascii="宋体" w:hAnsi="宋体" w:cs="宋体"/>
          <w:color w:val="auto"/>
          <w:sz w:val="24"/>
          <w:lang w:val="en-US" w:eastAsia="zh-CN"/>
        </w:rPr>
        <w:t xml:space="preserve">   </w:t>
      </w:r>
      <w:r>
        <w:rPr>
          <w:rFonts w:hint="eastAsia" w:ascii="宋体" w:hAnsi="宋体" w:cs="宋体"/>
          <w:color w:val="auto"/>
          <w:sz w:val="24"/>
        </w:rPr>
        <w:t>年</w:t>
      </w:r>
      <w:r>
        <w:rPr>
          <w:rFonts w:hint="eastAsia" w:ascii="宋体" w:hAnsi="宋体" w:cs="宋体"/>
          <w:color w:val="auto"/>
          <w:sz w:val="24"/>
        </w:rPr>
        <w:tab/>
      </w:r>
      <w:r>
        <w:rPr>
          <w:rFonts w:hint="eastAsia" w:ascii="宋体" w:hAnsi="宋体" w:cs="宋体"/>
          <w:color w:val="auto"/>
          <w:sz w:val="24"/>
        </w:rPr>
        <w:t>月</w:t>
      </w:r>
      <w:r>
        <w:rPr>
          <w:rFonts w:hint="eastAsia" w:ascii="宋体" w:hAnsi="宋体" w:cs="宋体"/>
          <w:color w:val="auto"/>
          <w:sz w:val="24"/>
        </w:rPr>
        <w:tab/>
      </w:r>
      <w:r>
        <w:rPr>
          <w:rFonts w:hint="eastAsia" w:ascii="宋体" w:hAnsi="宋体" w:cs="宋体"/>
          <w:color w:val="auto"/>
          <w:sz w:val="24"/>
          <w:lang w:val="en-US" w:eastAsia="zh-CN"/>
        </w:rPr>
        <w:t xml:space="preserve"> </w:t>
      </w:r>
      <w:r>
        <w:rPr>
          <w:rFonts w:hint="eastAsia" w:ascii="宋体" w:hAnsi="宋体" w:cs="宋体"/>
          <w:color w:val="auto"/>
          <w:sz w:val="24"/>
        </w:rPr>
        <w:t>日</w:t>
      </w:r>
    </w:p>
    <w:p>
      <w:pPr>
        <w:spacing w:after="0" w:line="360" w:lineRule="auto"/>
        <w:ind w:left="685"/>
        <w:rPr>
          <w:color w:val="auto"/>
        </w:rPr>
      </w:pPr>
    </w:p>
    <w:p>
      <w:pPr>
        <w:adjustRightInd w:val="0"/>
        <w:snapToGrid w:val="0"/>
        <w:spacing w:beforeLines="50"/>
        <w:rPr>
          <w:b/>
          <w:color w:val="auto"/>
          <w:sz w:val="30"/>
        </w:rPr>
      </w:pPr>
      <w:r>
        <w:rPr>
          <w:b/>
          <w:color w:val="auto"/>
          <w:sz w:val="30"/>
        </w:rPr>
        <w:br w:type="page"/>
      </w:r>
    </w:p>
    <w:p>
      <w:pPr>
        <w:spacing w:before="44"/>
        <w:ind w:left="308" w:right="0" w:firstLine="0"/>
        <w:jc w:val="left"/>
        <w:rPr>
          <w:rFonts w:hint="eastAsia" w:ascii="宋体" w:hAnsi="宋体" w:cs="宋体"/>
          <w:color w:val="auto"/>
          <w:sz w:val="24"/>
        </w:rPr>
      </w:pPr>
      <w:r>
        <w:rPr>
          <w:b/>
          <w:color w:val="auto"/>
          <w:sz w:val="30"/>
        </w:rPr>
        <w:t>附件：</w:t>
      </w:r>
    </w:p>
    <w:p>
      <w:pPr>
        <w:spacing w:line="360" w:lineRule="auto"/>
        <w:jc w:val="center"/>
        <w:rPr>
          <w:rFonts w:hint="eastAsia"/>
          <w:color w:val="auto"/>
        </w:rPr>
      </w:pPr>
      <w:r>
        <w:rPr>
          <w:rFonts w:hint="eastAsia" w:ascii="宋体" w:hAnsi="宋体" w:cs="宋体"/>
          <w:b/>
          <w:bCs/>
          <w:color w:val="auto"/>
          <w:sz w:val="28"/>
          <w:szCs w:val="22"/>
        </w:rPr>
        <w:t>信用查询承诺书</w:t>
      </w:r>
    </w:p>
    <w:p>
      <w:pPr>
        <w:spacing w:line="360" w:lineRule="auto"/>
        <w:rPr>
          <w:rFonts w:hint="eastAsia" w:ascii="宋体" w:hAnsi="宋体" w:cs="宋体"/>
          <w:color w:val="auto"/>
          <w:sz w:val="24"/>
        </w:rPr>
      </w:pPr>
    </w:p>
    <w:p>
      <w:pPr>
        <w:spacing w:line="360" w:lineRule="auto"/>
        <w:rPr>
          <w:rFonts w:hint="eastAsia" w:ascii="宋体" w:hAnsi="宋体" w:eastAsia="宋体" w:cs="宋体"/>
          <w:color w:val="auto"/>
          <w:sz w:val="24"/>
          <w:lang w:eastAsia="zh-CN"/>
        </w:rPr>
      </w:pPr>
      <w:r>
        <w:rPr>
          <w:rFonts w:hint="eastAsia" w:ascii="宋体" w:hAnsi="宋体" w:eastAsia="宋体" w:cs="宋体"/>
          <w:color w:val="auto"/>
          <w:sz w:val="24"/>
          <w:lang w:eastAsia="zh-CN"/>
        </w:rPr>
        <w:t>致</w:t>
      </w:r>
      <w:r>
        <w:rPr>
          <w:rFonts w:hint="eastAsia" w:ascii="宋体" w:hAnsi="宋体" w:cs="宋体"/>
          <w:color w:val="auto"/>
          <w:sz w:val="24"/>
        </w:rPr>
        <w:t>：</w:t>
      </w:r>
      <w:r>
        <w:rPr>
          <w:rFonts w:hint="eastAsia" w:ascii="宋体" w:hAnsi="宋体" w:eastAsia="宋体" w:cs="宋体"/>
          <w:color w:val="auto"/>
          <w:sz w:val="24"/>
          <w:lang w:eastAsia="zh-CN"/>
        </w:rPr>
        <w:t>（采购人）</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我单位 </w:t>
      </w:r>
      <w:r>
        <w:rPr>
          <w:rFonts w:hint="eastAsia" w:ascii="宋体" w:hAnsi="宋体" w:cs="宋体"/>
          <w:color w:val="auto"/>
          <w:sz w:val="24"/>
          <w:u w:val="single"/>
        </w:rPr>
        <w:t>（供应商名称）</w:t>
      </w:r>
      <w:r>
        <w:rPr>
          <w:rFonts w:hint="eastAsia" w:ascii="宋体" w:hAnsi="宋体" w:cs="宋体"/>
          <w:color w:val="auto"/>
          <w:sz w:val="24"/>
        </w:rPr>
        <w:t xml:space="preserve">郑重承诺： </w:t>
      </w:r>
    </w:p>
    <w:p>
      <w:pPr>
        <w:spacing w:line="360" w:lineRule="auto"/>
        <w:ind w:firstLine="480" w:firstLineChars="200"/>
        <w:rPr>
          <w:rFonts w:hint="eastAsia" w:ascii="宋体" w:hAnsi="宋体" w:eastAsia="宋体" w:cs="宋体"/>
          <w:color w:val="auto"/>
          <w:sz w:val="24"/>
          <w:lang w:val="en-US" w:eastAsia="zh-CN"/>
        </w:rPr>
      </w:pPr>
      <w:r>
        <w:rPr>
          <w:rFonts w:hint="eastAsia" w:ascii="宋体" w:hAnsi="宋体" w:cs="宋体"/>
          <w:color w:val="auto"/>
          <w:sz w:val="24"/>
        </w:rPr>
        <w:t>我单位参与的 项目名称和项目编号</w:t>
      </w:r>
      <w:r>
        <w:rPr>
          <w:rFonts w:hint="eastAsia" w:ascii="宋体" w:hAnsi="宋体" w:cs="宋体"/>
          <w:color w:val="auto"/>
          <w:sz w:val="24"/>
          <w:u w:val="single"/>
        </w:rPr>
        <w:t xml:space="preserve">（标包名称） </w:t>
      </w:r>
      <w:r>
        <w:rPr>
          <w:rFonts w:hint="eastAsia" w:ascii="宋体" w:hAnsi="宋体" w:cs="宋体"/>
          <w:color w:val="auto"/>
          <w:sz w:val="24"/>
        </w:rPr>
        <w:t xml:space="preserve">招标活动。现承诺 2018 年至今 未被列入失信被执行人、重大税收违法案件当事人名单、政府采购严重违法失信名单和 政府采购严重违法失信行为记录名单。如有虚假承诺，愿承担一切法律责任。 </w:t>
      </w:r>
      <w:r>
        <w:rPr>
          <w:rFonts w:hint="eastAsia" w:ascii="宋体" w:hAnsi="宋体" w:eastAsia="宋体" w:cs="宋体"/>
          <w:color w:val="auto"/>
          <w:sz w:val="24"/>
          <w:lang w:val="en-US" w:eastAsia="zh-CN"/>
        </w:rPr>
        <w:t xml:space="preserve"> </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特此承诺。</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r>
        <w:rPr>
          <w:rFonts w:hint="eastAsia" w:ascii="宋体" w:hAnsi="宋体" w:cs="宋体"/>
          <w:color w:val="auto"/>
          <w:sz w:val="24"/>
        </w:rPr>
        <w:t>供应商：（填写名称并盖章）</w:t>
      </w:r>
    </w:p>
    <w:p>
      <w:pPr>
        <w:spacing w:line="360" w:lineRule="auto"/>
        <w:rPr>
          <w:rFonts w:hint="eastAsia" w:ascii="宋体" w:hAnsi="宋体" w:cs="宋体"/>
          <w:color w:val="auto"/>
          <w:sz w:val="24"/>
        </w:rPr>
      </w:pPr>
      <w:r>
        <w:rPr>
          <w:rFonts w:hint="eastAsia" w:ascii="宋体" w:hAnsi="宋体" w:cs="宋体"/>
          <w:color w:val="auto"/>
          <w:sz w:val="24"/>
        </w:rPr>
        <w:t xml:space="preserve">法定代表人或其授权委托人：（签字或盖章） </w:t>
      </w:r>
    </w:p>
    <w:p>
      <w:pPr>
        <w:spacing w:line="360" w:lineRule="auto"/>
        <w:rPr>
          <w:color w:val="auto"/>
        </w:rPr>
      </w:pPr>
      <w:r>
        <w:rPr>
          <w:rFonts w:hint="eastAsia" w:ascii="宋体" w:hAnsi="宋体" w:cs="宋体"/>
          <w:color w:val="auto"/>
          <w:sz w:val="24"/>
        </w:rPr>
        <w:t>日期：</w:t>
      </w:r>
      <w:r>
        <w:rPr>
          <w:rFonts w:hint="eastAsia" w:ascii="宋体" w:hAnsi="宋体" w:cs="宋体"/>
          <w:color w:val="auto"/>
          <w:sz w:val="24"/>
          <w:lang w:val="en-US" w:eastAsia="zh-CN"/>
        </w:rPr>
        <w:t xml:space="preserve">   </w:t>
      </w:r>
      <w:r>
        <w:rPr>
          <w:rFonts w:hint="eastAsia" w:ascii="宋体" w:hAnsi="宋体" w:cs="宋体"/>
          <w:color w:val="auto"/>
          <w:sz w:val="24"/>
        </w:rPr>
        <w:t xml:space="preserve"> 年</w:t>
      </w:r>
      <w:r>
        <w:rPr>
          <w:rFonts w:hint="eastAsia" w:ascii="宋体" w:hAnsi="宋体" w:cs="宋体"/>
          <w:color w:val="auto"/>
          <w:sz w:val="24"/>
        </w:rPr>
        <w:tab/>
      </w:r>
      <w:r>
        <w:rPr>
          <w:rFonts w:hint="eastAsia" w:ascii="宋体" w:hAnsi="宋体" w:cs="宋体"/>
          <w:color w:val="auto"/>
          <w:sz w:val="24"/>
        </w:rPr>
        <w:t>月</w:t>
      </w:r>
      <w:r>
        <w:rPr>
          <w:rFonts w:hint="eastAsia" w:ascii="宋体" w:hAnsi="宋体" w:cs="宋体"/>
          <w:color w:val="auto"/>
          <w:sz w:val="24"/>
        </w:rPr>
        <w:tab/>
      </w:r>
      <w:r>
        <w:rPr>
          <w:rFonts w:hint="eastAsia" w:ascii="宋体" w:hAnsi="宋体" w:cs="宋体"/>
          <w:color w:val="auto"/>
          <w:sz w:val="24"/>
        </w:rPr>
        <w:t>日</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说明： </w:t>
      </w:r>
    </w:p>
    <w:p>
      <w:pPr>
        <w:spacing w:line="360" w:lineRule="auto"/>
        <w:ind w:firstLine="482" w:firstLineChars="200"/>
        <w:rPr>
          <w:rFonts w:hint="eastAsia" w:ascii="宋体" w:hAnsi="宋体" w:cs="宋体"/>
          <w:b/>
          <w:bCs/>
          <w:color w:val="auto"/>
          <w:sz w:val="24"/>
        </w:rPr>
      </w:pPr>
      <w:r>
        <w:rPr>
          <w:rFonts w:hint="eastAsia" w:ascii="宋体" w:hAnsi="宋体" w:cs="宋体"/>
          <w:b/>
          <w:bCs/>
          <w:color w:val="auto"/>
          <w:sz w:val="24"/>
        </w:rPr>
        <w:t>1、信用记录查询渠道：“信用中国”网站（http://www.creditchina.gov.cn/）、 中国政府采购（http://www.ccgp.gov.cn/）等渠道查询相关主体信用记录。</w:t>
      </w:r>
    </w:p>
    <w:p>
      <w:pPr>
        <w:spacing w:line="360" w:lineRule="auto"/>
        <w:ind w:firstLine="480" w:firstLineChars="200"/>
        <w:rPr>
          <w:rFonts w:hint="eastAsia" w:ascii="宋体" w:hAnsi="宋体" w:cs="宋体"/>
          <w:color w:val="auto"/>
          <w:sz w:val="24"/>
        </w:rPr>
      </w:pPr>
      <w:r>
        <w:rPr>
          <w:rFonts w:hint="eastAsia" w:ascii="宋体" w:hAnsi="宋体" w:eastAsia="宋体" w:cs="宋体"/>
          <w:color w:val="auto"/>
          <w:sz w:val="24"/>
          <w:lang w:val="en-US" w:eastAsia="zh-CN"/>
        </w:rPr>
        <w:t>2、</w:t>
      </w:r>
      <w:r>
        <w:rPr>
          <w:rFonts w:hint="eastAsia" w:ascii="宋体" w:hAnsi="宋体" w:cs="宋体"/>
          <w:color w:val="auto"/>
          <w:sz w:val="24"/>
        </w:rPr>
        <w:t xml:space="preserve">被列入失信被执行人、重大税收违法案件当事人名单、政府采购严重违法失信 名单和政府采购严重违法失信行为记录名单及其他不符合《中华人民共和国政府采购 法》第二十二条规定条件的供应商，拒绝参与本项目投标。 </w:t>
      </w:r>
    </w:p>
    <w:p>
      <w:pPr>
        <w:spacing w:before="66"/>
        <w:ind w:left="308" w:right="0" w:firstLine="0"/>
        <w:jc w:val="left"/>
        <w:rPr>
          <w:rFonts w:hint="eastAsia" w:ascii="宋体" w:hAnsi="宋体" w:cs="宋体"/>
          <w:b/>
          <w:bCs/>
          <w:color w:val="auto"/>
          <w:sz w:val="24"/>
        </w:rPr>
      </w:pPr>
      <w:r>
        <w:rPr>
          <w:rFonts w:hint="eastAsia" w:ascii="宋体" w:hAnsi="宋体" w:cs="宋体"/>
          <w:b/>
          <w:bCs/>
          <w:color w:val="auto"/>
          <w:sz w:val="24"/>
        </w:rPr>
        <w:t>备注：</w:t>
      </w:r>
      <w:r>
        <w:rPr>
          <w:rFonts w:hint="eastAsia" w:ascii="宋体" w:hAnsi="宋体" w:eastAsia="宋体" w:cs="宋体"/>
          <w:b/>
          <w:bCs/>
          <w:color w:val="auto"/>
          <w:sz w:val="24"/>
          <w:lang w:eastAsia="zh-CN"/>
        </w:rPr>
        <w:t>开标现场查询</w:t>
      </w:r>
      <w:r>
        <w:rPr>
          <w:rFonts w:hint="eastAsia" w:ascii="宋体" w:hAnsi="宋体" w:cs="宋体"/>
          <w:b/>
          <w:bCs/>
          <w:color w:val="auto"/>
          <w:sz w:val="24"/>
        </w:rPr>
        <w:t>不符合要求的将导致废标，请供应商参考信用查询示范截图 （查询示范附后）。</w:t>
      </w:r>
    </w:p>
    <w:p>
      <w:pPr>
        <w:spacing w:before="66"/>
        <w:ind w:left="308" w:right="0" w:firstLine="0"/>
        <w:jc w:val="left"/>
        <w:rPr>
          <w:rFonts w:hint="eastAsia" w:ascii="宋体" w:hAnsi="宋体" w:cs="宋体"/>
          <w:b/>
          <w:bCs/>
          <w:color w:val="auto"/>
          <w:sz w:val="24"/>
        </w:rPr>
      </w:pPr>
    </w:p>
    <w:p>
      <w:pPr>
        <w:spacing w:before="66"/>
        <w:ind w:left="308" w:right="0" w:firstLine="0"/>
        <w:jc w:val="left"/>
        <w:rPr>
          <w:rFonts w:hint="eastAsia" w:ascii="宋体" w:hAnsi="宋体" w:cs="宋体"/>
          <w:b/>
          <w:bCs/>
          <w:color w:val="auto"/>
          <w:sz w:val="24"/>
        </w:rPr>
      </w:pPr>
    </w:p>
    <w:p>
      <w:pPr>
        <w:spacing w:before="66"/>
        <w:ind w:left="308" w:right="0" w:firstLine="0"/>
        <w:jc w:val="left"/>
        <w:rPr>
          <w:rFonts w:hint="eastAsia" w:ascii="宋体" w:hAnsi="宋体" w:cs="宋体"/>
          <w:b/>
          <w:bCs/>
          <w:color w:val="auto"/>
          <w:sz w:val="24"/>
        </w:rPr>
      </w:pPr>
    </w:p>
    <w:p>
      <w:pPr>
        <w:spacing w:before="66"/>
        <w:ind w:left="308" w:right="0" w:firstLine="0"/>
        <w:jc w:val="left"/>
        <w:rPr>
          <w:b/>
          <w:color w:val="auto"/>
          <w:sz w:val="24"/>
        </w:rPr>
      </w:pPr>
    </w:p>
    <w:p>
      <w:pPr>
        <w:spacing w:before="66"/>
        <w:ind w:left="308" w:right="0" w:firstLine="0"/>
        <w:jc w:val="left"/>
        <w:rPr>
          <w:rFonts w:hint="eastAsia" w:eastAsia="宋体"/>
          <w:b/>
          <w:color w:val="auto"/>
          <w:sz w:val="24"/>
          <w:lang w:eastAsia="zh-CN"/>
        </w:rPr>
      </w:pPr>
      <w:r>
        <w:rPr>
          <w:rFonts w:hint="eastAsia" w:eastAsia="宋体"/>
          <w:b/>
          <w:color w:val="auto"/>
          <w:sz w:val="24"/>
          <w:lang w:eastAsia="zh-CN"/>
        </w:rPr>
        <w:br w:type="page"/>
      </w:r>
      <w:r>
        <w:rPr>
          <w:rFonts w:hint="eastAsia" w:eastAsia="宋体"/>
          <w:b/>
          <w:color w:val="auto"/>
          <w:sz w:val="24"/>
          <w:lang w:eastAsia="zh-CN"/>
        </w:rPr>
        <w:t>现场</w:t>
      </w:r>
      <w:r>
        <w:rPr>
          <w:b/>
          <w:color w:val="auto"/>
          <w:sz w:val="24"/>
        </w:rPr>
        <w:t xml:space="preserve">查询示范 </w:t>
      </w:r>
      <w:r>
        <w:rPr>
          <w:rFonts w:hint="eastAsia" w:eastAsia="宋体"/>
          <w:b/>
          <w:color w:val="auto"/>
          <w:sz w:val="24"/>
          <w:lang w:eastAsia="zh-CN"/>
        </w:rPr>
        <w:t>：</w:t>
      </w:r>
    </w:p>
    <w:p>
      <w:pPr>
        <w:spacing w:before="63"/>
        <w:ind w:left="308"/>
        <w:jc w:val="left"/>
        <w:rPr>
          <w:b/>
          <w:color w:val="auto"/>
          <w:sz w:val="24"/>
        </w:rPr>
      </w:pPr>
      <w:r>
        <w:rPr>
          <w:b/>
          <w:color w:val="auto"/>
          <w:sz w:val="24"/>
        </w:rPr>
        <w:t xml:space="preserve">查询示范 </w:t>
      </w:r>
      <w:r>
        <w:rPr>
          <w:rFonts w:eastAsia="Times New Roman"/>
          <w:b/>
          <w:color w:val="auto"/>
          <w:sz w:val="24"/>
        </w:rPr>
        <w:t>1</w:t>
      </w:r>
      <w:r>
        <w:rPr>
          <w:b/>
          <w:color w:val="auto"/>
          <w:sz w:val="24"/>
        </w:rPr>
        <w:t>：失信被执行人</w:t>
      </w:r>
    </w:p>
    <w:p>
      <w:pPr>
        <w:pStyle w:val="12"/>
        <w:rPr>
          <w:b/>
          <w:color w:val="auto"/>
          <w:sz w:val="26"/>
        </w:rPr>
      </w:pPr>
      <w:r>
        <w:drawing>
          <wp:inline distT="0" distB="0" distL="114300" distR="114300">
            <wp:extent cx="5639435" cy="4112895"/>
            <wp:effectExtent l="0" t="0" r="18415"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5"/>
                    <a:stretch>
                      <a:fillRect/>
                    </a:stretch>
                  </pic:blipFill>
                  <pic:spPr>
                    <a:xfrm>
                      <a:off x="0" y="0"/>
                      <a:ext cx="5639435" cy="4112895"/>
                    </a:xfrm>
                    <a:prstGeom prst="rect">
                      <a:avLst/>
                    </a:prstGeom>
                    <a:noFill/>
                    <a:ln>
                      <a:noFill/>
                    </a:ln>
                  </pic:spPr>
                </pic:pic>
              </a:graphicData>
            </a:graphic>
          </wp:inline>
        </w:drawing>
      </w:r>
    </w:p>
    <w:p>
      <w:pPr>
        <w:pStyle w:val="12"/>
        <w:spacing w:before="10"/>
        <w:rPr>
          <w:b/>
          <w:color w:val="auto"/>
          <w:sz w:val="18"/>
        </w:rPr>
      </w:pPr>
    </w:p>
    <w:p>
      <w:pPr>
        <w:ind w:left="308"/>
        <w:jc w:val="left"/>
        <w:rPr>
          <w:b/>
          <w:color w:val="auto"/>
          <w:sz w:val="24"/>
        </w:rPr>
      </w:pPr>
      <w:r>
        <w:rPr>
          <w:b/>
          <w:color w:val="auto"/>
          <w:sz w:val="24"/>
        </w:rPr>
        <w:t xml:space="preserve">查询示范 </w:t>
      </w:r>
      <w:r>
        <w:rPr>
          <w:rFonts w:eastAsia="Times New Roman"/>
          <w:b/>
          <w:color w:val="auto"/>
          <w:sz w:val="24"/>
        </w:rPr>
        <w:t>2</w:t>
      </w:r>
      <w:r>
        <w:rPr>
          <w:b/>
          <w:color w:val="auto"/>
          <w:sz w:val="24"/>
        </w:rPr>
        <w:t>：重大税收违法案件当事人名单</w:t>
      </w:r>
    </w:p>
    <w:p>
      <w:pPr>
        <w:pStyle w:val="12"/>
        <w:spacing w:before="11"/>
        <w:rPr>
          <w:b/>
          <w:color w:val="auto"/>
          <w:sz w:val="11"/>
        </w:rPr>
      </w:pPr>
    </w:p>
    <w:p>
      <w:pPr>
        <w:rPr>
          <w:color w:val="auto"/>
          <w:sz w:val="11"/>
        </w:rPr>
        <w:sectPr>
          <w:pgSz w:w="11911" w:h="16838"/>
          <w:pgMar w:top="1542" w:right="1020" w:bottom="1242" w:left="1281" w:header="0" w:footer="1060" w:gutter="0"/>
          <w:pgNumType w:fmt="decimal"/>
          <w:cols w:space="720" w:num="1"/>
          <w:docGrid w:linePitch="1" w:charSpace="0"/>
        </w:sectPr>
      </w:pPr>
      <w:r>
        <w:drawing>
          <wp:inline distT="0" distB="0" distL="114300" distR="114300">
            <wp:extent cx="5627370" cy="3244850"/>
            <wp:effectExtent l="0" t="0" r="11430"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6"/>
                    <a:stretch>
                      <a:fillRect/>
                    </a:stretch>
                  </pic:blipFill>
                  <pic:spPr>
                    <a:xfrm>
                      <a:off x="0" y="0"/>
                      <a:ext cx="5627370" cy="3244850"/>
                    </a:xfrm>
                    <a:prstGeom prst="rect">
                      <a:avLst/>
                    </a:prstGeom>
                    <a:noFill/>
                    <a:ln>
                      <a:noFill/>
                    </a:ln>
                  </pic:spPr>
                </pic:pic>
              </a:graphicData>
            </a:graphic>
          </wp:inline>
        </w:drawing>
      </w:r>
    </w:p>
    <w:p>
      <w:pPr>
        <w:spacing w:before="63"/>
        <w:ind w:left="308"/>
        <w:jc w:val="left"/>
        <w:rPr>
          <w:b/>
          <w:color w:val="auto"/>
          <w:sz w:val="9"/>
        </w:rPr>
      </w:pPr>
      <w:bookmarkStart w:id="1954" w:name="7、售后服务计划"/>
      <w:bookmarkEnd w:id="1954"/>
      <w:r>
        <w:rPr>
          <w:b/>
          <w:color w:val="auto"/>
          <w:sz w:val="24"/>
        </w:rPr>
        <w:t xml:space="preserve">查询示范 </w:t>
      </w:r>
      <w:r>
        <w:rPr>
          <w:rFonts w:eastAsia="Times New Roman"/>
          <w:b/>
          <w:color w:val="auto"/>
          <w:sz w:val="24"/>
        </w:rPr>
        <w:t>3</w:t>
      </w:r>
      <w:r>
        <w:rPr>
          <w:b/>
          <w:color w:val="auto"/>
          <w:sz w:val="24"/>
        </w:rPr>
        <w:t>：政府采购严重违法失信行为记录名单</w:t>
      </w:r>
    </w:p>
    <w:p>
      <w:pPr>
        <w:pStyle w:val="12"/>
        <w:rPr>
          <w:color w:val="auto"/>
        </w:rPr>
      </w:pPr>
      <w:r>
        <w:drawing>
          <wp:inline distT="0" distB="0" distL="114300" distR="114300">
            <wp:extent cx="5657850" cy="3792855"/>
            <wp:effectExtent l="0" t="0" r="0" b="171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37"/>
                    <a:stretch>
                      <a:fillRect/>
                    </a:stretch>
                  </pic:blipFill>
                  <pic:spPr>
                    <a:xfrm>
                      <a:off x="0" y="0"/>
                      <a:ext cx="5657850" cy="3792855"/>
                    </a:xfrm>
                    <a:prstGeom prst="rect">
                      <a:avLst/>
                    </a:prstGeom>
                    <a:noFill/>
                    <a:ln>
                      <a:noFill/>
                    </a:ln>
                  </pic:spPr>
                </pic:pic>
              </a:graphicData>
            </a:graphic>
          </wp:inline>
        </w:drawing>
      </w:r>
    </w:p>
    <w:p>
      <w:pPr>
        <w:rPr>
          <w:color w:val="auto"/>
        </w:rPr>
      </w:pPr>
      <w:bookmarkStart w:id="1955" w:name="_Toc30831"/>
      <w:r>
        <w:drawing>
          <wp:inline distT="0" distB="0" distL="114300" distR="114300">
            <wp:extent cx="5600700" cy="3253740"/>
            <wp:effectExtent l="0" t="0" r="0" b="381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8"/>
                    <a:stretch>
                      <a:fillRect/>
                    </a:stretch>
                  </pic:blipFill>
                  <pic:spPr>
                    <a:xfrm>
                      <a:off x="0" y="0"/>
                      <a:ext cx="5600700" cy="3253740"/>
                    </a:xfrm>
                    <a:prstGeom prst="rect">
                      <a:avLst/>
                    </a:prstGeom>
                    <a:noFill/>
                    <a:ln>
                      <a:noFill/>
                    </a:ln>
                  </pic:spPr>
                </pic:pic>
              </a:graphicData>
            </a:graphic>
          </wp:inline>
        </w:drawing>
      </w:r>
      <w:bookmarkEnd w:id="1955"/>
      <w:r>
        <w:rPr>
          <w:color w:val="auto"/>
        </w:rPr>
        <w:br w:type="page"/>
      </w:r>
    </w:p>
    <w:p>
      <w:pPr>
        <w:spacing w:before="44"/>
        <w:ind w:left="308" w:right="0" w:firstLine="0"/>
        <w:jc w:val="left"/>
        <w:rPr>
          <w:rFonts w:hint="eastAsia" w:ascii="宋体" w:hAnsi="宋体" w:cs="宋体"/>
          <w:color w:val="auto"/>
          <w:sz w:val="24"/>
        </w:rPr>
      </w:pPr>
      <w:r>
        <w:rPr>
          <w:b/>
          <w:color w:val="auto"/>
          <w:sz w:val="30"/>
        </w:rPr>
        <w:t>附件：</w:t>
      </w:r>
    </w:p>
    <w:p>
      <w:pPr>
        <w:spacing w:line="360" w:lineRule="auto"/>
        <w:jc w:val="center"/>
        <w:rPr>
          <w:rFonts w:hint="eastAsia" w:ascii="宋体" w:hAnsi="宋体" w:cs="宋体"/>
          <w:b/>
          <w:bCs/>
          <w:color w:val="auto"/>
          <w:sz w:val="28"/>
          <w:szCs w:val="22"/>
        </w:rPr>
      </w:pPr>
      <w:r>
        <w:rPr>
          <w:rFonts w:hint="eastAsia" w:ascii="宋体" w:hAnsi="宋体" w:cs="宋体"/>
          <w:b/>
          <w:bCs/>
          <w:color w:val="auto"/>
          <w:sz w:val="28"/>
          <w:szCs w:val="22"/>
        </w:rPr>
        <w:t>政府采购供应商信用承诺书</w:t>
      </w:r>
    </w:p>
    <w:p>
      <w:pPr>
        <w:widowControl w:val="0"/>
        <w:snapToGrid w:val="0"/>
        <w:spacing w:after="0" w:line="380" w:lineRule="exact"/>
        <w:ind w:firstLine="506" w:firstLineChars="200"/>
        <w:jc w:val="both"/>
        <w:rPr>
          <w:rFonts w:hint="eastAsia" w:ascii="宋体" w:hAnsi="宋体" w:eastAsia="宋体" w:cs="宋体"/>
          <w:b/>
          <w:bCs/>
          <w:w w:val="90"/>
          <w:sz w:val="28"/>
          <w:szCs w:val="28"/>
          <w:u w:val="single"/>
        </w:rPr>
      </w:pPr>
      <w:r>
        <w:rPr>
          <w:rFonts w:hint="eastAsia" w:ascii="宋体" w:hAnsi="宋体" w:eastAsia="宋体" w:cs="宋体"/>
          <w:b/>
          <w:bCs/>
          <w:w w:val="90"/>
          <w:sz w:val="28"/>
          <w:szCs w:val="28"/>
        </w:rPr>
        <w:t>承诺主体名称：</w:t>
      </w:r>
      <w:r>
        <w:rPr>
          <w:rFonts w:hint="eastAsia" w:ascii="宋体" w:hAnsi="宋体" w:eastAsia="宋体" w:cs="宋体"/>
          <w:b/>
          <w:bCs/>
          <w:w w:val="90"/>
          <w:sz w:val="28"/>
          <w:szCs w:val="28"/>
          <w:u w:val="single"/>
          <w:lang w:val="en-US" w:eastAsia="zh-CN"/>
        </w:rPr>
        <w:t xml:space="preserve"> </w:t>
      </w:r>
      <w:r>
        <w:rPr>
          <w:rFonts w:hint="eastAsia" w:ascii="宋体" w:hAnsi="宋体" w:eastAsia="宋体" w:cs="宋体"/>
          <w:b/>
          <w:bCs/>
          <w:w w:val="90"/>
          <w:sz w:val="28"/>
          <w:szCs w:val="28"/>
          <w:u w:val="single"/>
        </w:rPr>
        <w:t>（供应商名称）</w:t>
      </w:r>
    </w:p>
    <w:p>
      <w:pPr>
        <w:widowControl w:val="0"/>
        <w:snapToGrid w:val="0"/>
        <w:spacing w:after="0" w:line="380" w:lineRule="exact"/>
        <w:ind w:firstLine="506" w:firstLineChars="200"/>
        <w:jc w:val="both"/>
        <w:rPr>
          <w:rFonts w:hint="default" w:ascii="宋体" w:hAnsi="宋体" w:eastAsia="宋体" w:cs="宋体"/>
          <w:b/>
          <w:bCs/>
          <w:w w:val="90"/>
          <w:sz w:val="28"/>
          <w:szCs w:val="28"/>
          <w:u w:val="none"/>
          <w:lang w:val="en-US" w:eastAsia="zh-CN"/>
        </w:rPr>
      </w:pPr>
      <w:r>
        <w:rPr>
          <w:rFonts w:hint="eastAsia" w:ascii="宋体" w:hAnsi="宋体" w:eastAsia="宋体" w:cs="宋体"/>
          <w:b/>
          <w:bCs/>
          <w:w w:val="90"/>
          <w:sz w:val="28"/>
          <w:szCs w:val="28"/>
          <w:u w:val="none"/>
          <w:lang w:val="en-US" w:eastAsia="zh-CN"/>
        </w:rPr>
        <w:t>统一社会信用代码：</w:t>
      </w:r>
      <w:r>
        <w:rPr>
          <w:rFonts w:hint="eastAsia" w:ascii="宋体" w:hAnsi="宋体" w:eastAsia="宋体" w:cs="宋体"/>
          <w:b/>
          <w:bCs/>
          <w:w w:val="90"/>
          <w:sz w:val="28"/>
          <w:szCs w:val="28"/>
          <w:u w:val="single"/>
          <w:lang w:val="en-US" w:eastAsia="zh-CN"/>
        </w:rPr>
        <w:t xml:space="preserve">                      </w:t>
      </w:r>
      <w:r>
        <w:rPr>
          <w:rFonts w:hint="eastAsia" w:ascii="宋体" w:hAnsi="宋体" w:eastAsia="宋体" w:cs="宋体"/>
          <w:b/>
          <w:bCs/>
          <w:w w:val="90"/>
          <w:sz w:val="28"/>
          <w:szCs w:val="28"/>
          <w:u w:val="none"/>
          <w:lang w:val="en-US" w:eastAsia="zh-CN"/>
        </w:rPr>
        <w:t xml:space="preserve">               </w:t>
      </w:r>
    </w:p>
    <w:p>
      <w:pPr>
        <w:widowControl w:val="0"/>
        <w:snapToGrid w:val="0"/>
        <w:spacing w:after="0" w:line="380" w:lineRule="exact"/>
        <w:ind w:firstLine="506" w:firstLineChars="200"/>
        <w:jc w:val="both"/>
        <w:rPr>
          <w:rFonts w:hint="eastAsia" w:ascii="宋体" w:hAnsi="宋体" w:eastAsia="宋体" w:cs="宋体"/>
          <w:b/>
          <w:bCs/>
          <w:w w:val="90"/>
          <w:sz w:val="28"/>
          <w:szCs w:val="28"/>
        </w:rPr>
      </w:pPr>
      <w:r>
        <w:rPr>
          <w:rFonts w:hint="eastAsia" w:ascii="宋体" w:hAnsi="宋体" w:eastAsia="宋体" w:cs="宋体"/>
          <w:b/>
          <w:bCs/>
          <w:w w:val="90"/>
          <w:sz w:val="28"/>
          <w:szCs w:val="28"/>
        </w:rPr>
        <w:t>管理部门：三亚市</w:t>
      </w:r>
      <w:r>
        <w:rPr>
          <w:rFonts w:hint="eastAsia" w:ascii="宋体" w:hAnsi="宋体" w:eastAsia="宋体" w:cs="宋体"/>
          <w:b/>
          <w:bCs/>
          <w:w w:val="90"/>
          <w:sz w:val="28"/>
          <w:szCs w:val="28"/>
          <w:lang w:eastAsia="zh-CN"/>
        </w:rPr>
        <w:t>崖州区</w:t>
      </w:r>
      <w:r>
        <w:rPr>
          <w:rFonts w:hint="eastAsia" w:ascii="宋体" w:hAnsi="宋体" w:eastAsia="宋体" w:cs="宋体"/>
          <w:b/>
          <w:bCs/>
          <w:w w:val="90"/>
          <w:sz w:val="28"/>
          <w:szCs w:val="28"/>
        </w:rPr>
        <w:t>财政局</w:t>
      </w:r>
    </w:p>
    <w:p>
      <w:pPr>
        <w:widowControl w:val="0"/>
        <w:snapToGrid w:val="0"/>
        <w:spacing w:after="0" w:line="380" w:lineRule="exact"/>
        <w:ind w:firstLine="506" w:firstLineChars="200"/>
        <w:jc w:val="both"/>
        <w:rPr>
          <w:rFonts w:hint="eastAsia" w:ascii="宋体" w:hAnsi="宋体" w:eastAsia="宋体" w:cs="宋体"/>
          <w:b/>
          <w:bCs/>
          <w:w w:val="90"/>
          <w:sz w:val="28"/>
          <w:szCs w:val="28"/>
        </w:rPr>
      </w:pPr>
      <w:r>
        <w:rPr>
          <w:rFonts w:hint="eastAsia" w:ascii="宋体" w:hAnsi="宋体" w:eastAsia="宋体" w:cs="宋体"/>
          <w:b/>
          <w:bCs/>
          <w:w w:val="90"/>
          <w:sz w:val="28"/>
          <w:szCs w:val="28"/>
        </w:rPr>
        <w:t>采购项目名称：</w:t>
      </w:r>
      <w:r>
        <w:rPr>
          <w:rFonts w:hint="eastAsia"/>
          <w:b/>
          <w:color w:val="auto"/>
          <w:spacing w:val="-18"/>
          <w:sz w:val="30"/>
          <w:highlight w:val="none"/>
          <w:lang w:val="en-US"/>
        </w:rPr>
        <w:t>港门海岸派出所建设综合勤务指挥室及营区修缮项目</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为维护公平竞争、规范有序的市场秩序,营造诚实守信的信用环境，共同推进社会信用体系建设完善，树立企业诚信守法形象，本企业对本次采购活动郑重承诺如下:</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（一）对提供给注册登记部门、行业管理部门、司法部门、行业组织以及在政府采购活动中提交的所有资料的合法性、真实性、准确性和有效性负责；</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（二）严格按照国家法律、法规和规章开展采购活动，全面履行应尽的责任和义务，全面做到履约守信，具备《中华人民共和国政府采购法》第二十二条第一款规定的条件；</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（三）严格依法开展生产经营活动，主动接受行业监管，自愿接受依法开展的日常检查；违法失信经营后将自愿接受约束和惩戒，并依法承担相应责任；</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（四）自觉接受行政管理部门、行业组织、社会公众、新闻舆论的监督；</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（五）自觉做到自我约束、自我管理，不制假售假、商标侵权、虚假宣传、违约毁约、恶意逃债、偷税漏税、垄断和不正当竞争，维护经营者、消费者的合法权益；</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（六）提出政府采购质疑和投诉坚持依法依规、诚实信用原则，在全国范围12个月内没有三次以上查无实据的政府采购投诉；</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（七）严格遵守信用信息公示相关规定；</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（八）同意将承诺内容在“信用三亚”网站公示，接受社会监督；</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（九）如违反承诺，将依法依规承担相应责任，并自愿接受部门联合惩戒，纳入行业失信重点关注名单，由财政部门负责管理；</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（十）本承诺书自签订之日起生效。</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承诺单位（签章）：                   法定代表人（负责人）：</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 xml:space="preserve">    年    月    日</w:t>
      </w:r>
    </w:p>
    <w:p>
      <w:pPr>
        <w:snapToGrid w:val="0"/>
        <w:spacing w:line="380" w:lineRule="exact"/>
        <w:ind w:firstLine="482" w:firstLineChars="200"/>
        <w:rPr>
          <w:rFonts w:hint="eastAsia"/>
          <w:b/>
          <w:bCs/>
          <w:color w:val="auto"/>
          <w:sz w:val="24"/>
          <w:highlight w:val="none"/>
        </w:rPr>
      </w:pPr>
      <w:r>
        <w:rPr>
          <w:b/>
          <w:bCs/>
          <w:color w:val="auto"/>
          <w:sz w:val="24"/>
          <w:highlight w:val="none"/>
        </w:rPr>
        <w:t>注：法定代表人或负责人、主体名称发生变更的应当重新做出承诺</w:t>
      </w:r>
      <w:r>
        <w:rPr>
          <w:rFonts w:hint="eastAsia"/>
          <w:b/>
          <w:bCs/>
          <w:color w:val="auto"/>
          <w:sz w:val="24"/>
          <w:highlight w:val="none"/>
        </w:rPr>
        <w:t>。</w:t>
      </w:r>
    </w:p>
    <w:p>
      <w:pPr>
        <w:snapToGrid w:val="0"/>
        <w:spacing w:line="380" w:lineRule="exact"/>
        <w:ind w:firstLine="458" w:firstLineChars="200"/>
        <w:rPr>
          <w:rFonts w:ascii="宋体"/>
          <w:sz w:val="28"/>
          <w:szCs w:val="28"/>
        </w:rPr>
      </w:pPr>
      <w:r>
        <w:rPr>
          <w:rFonts w:hint="eastAsia"/>
          <w:b/>
          <w:bCs/>
          <w:color w:val="auto"/>
          <w:spacing w:val="-6"/>
          <w:sz w:val="24"/>
          <w:highlight w:val="none"/>
        </w:rPr>
        <w:t>《信用承诺书》一式三份由信用承诺对象填写，一份由信用承诺对象留存、一份由代理机构留存、一份由财政部门留存。</w:t>
      </w:r>
      <w:r>
        <w:rPr>
          <w:rFonts w:hint="eastAsia"/>
          <w:b/>
          <w:bCs/>
          <w:color w:val="auto"/>
          <w:spacing w:val="-6"/>
          <w:sz w:val="24"/>
          <w:highlight w:val="none"/>
          <w:u w:val="single"/>
        </w:rPr>
        <w:t>开标时须单独提交两份《信用承诺书》给代理机构。</w:t>
      </w:r>
    </w:p>
    <w:p>
      <w:pPr>
        <w:rPr>
          <w:color w:val="auto"/>
        </w:rPr>
      </w:pPr>
    </w:p>
    <w:p>
      <w:pPr>
        <w:spacing w:before="44"/>
        <w:ind w:left="308" w:right="0" w:firstLine="0"/>
        <w:jc w:val="left"/>
        <w:rPr>
          <w:b/>
          <w:color w:val="auto"/>
          <w:sz w:val="30"/>
        </w:rPr>
      </w:pPr>
      <w:r>
        <w:rPr>
          <w:b/>
          <w:color w:val="auto"/>
          <w:sz w:val="30"/>
        </w:rPr>
        <w:br w:type="page"/>
      </w:r>
      <w:r>
        <w:rPr>
          <w:b/>
          <w:color w:val="auto"/>
          <w:sz w:val="30"/>
        </w:rPr>
        <w:t>附件：</w:t>
      </w:r>
    </w:p>
    <w:p>
      <w:pPr>
        <w:spacing w:before="44"/>
        <w:ind w:left="308" w:right="0" w:firstLine="0"/>
        <w:jc w:val="center"/>
        <w:rPr>
          <w:b/>
          <w:color w:val="auto"/>
          <w:sz w:val="30"/>
        </w:rPr>
      </w:pPr>
      <w:r>
        <w:rPr>
          <w:b/>
          <w:color w:val="auto"/>
          <w:sz w:val="30"/>
        </w:rPr>
        <w:t>无重大违法记录声明函</w:t>
      </w:r>
    </w:p>
    <w:p>
      <w:pPr>
        <w:pStyle w:val="12"/>
        <w:spacing w:before="253"/>
        <w:ind w:left="308"/>
        <w:rPr>
          <w:color w:val="auto"/>
          <w:sz w:val="24"/>
          <w:szCs w:val="24"/>
          <w:highlight w:val="none"/>
        </w:rPr>
      </w:pPr>
      <w:r>
        <w:rPr>
          <w:color w:val="auto"/>
          <w:sz w:val="24"/>
          <w:szCs w:val="24"/>
          <w:highlight w:val="none"/>
        </w:rPr>
        <w:t>致：</w:t>
      </w:r>
      <w:r>
        <w:rPr>
          <w:color w:val="auto"/>
          <w:sz w:val="24"/>
          <w:szCs w:val="24"/>
          <w:highlight w:val="none"/>
          <w:u w:val="single"/>
        </w:rPr>
        <w:t xml:space="preserve"> </w:t>
      </w:r>
      <w:r>
        <w:rPr>
          <w:rFonts w:hint="eastAsia"/>
          <w:color w:val="auto"/>
          <w:sz w:val="24"/>
          <w:szCs w:val="24"/>
          <w:highlight w:val="none"/>
          <w:u w:val="single"/>
          <w:lang w:eastAsia="zh-CN"/>
        </w:rPr>
        <w:t>（采购人）</w:t>
      </w:r>
      <w:r>
        <w:rPr>
          <w:color w:val="auto"/>
          <w:sz w:val="24"/>
          <w:szCs w:val="24"/>
          <w:highlight w:val="none"/>
          <w:u w:val="single"/>
        </w:rPr>
        <w:t xml:space="preserve"> </w:t>
      </w:r>
    </w:p>
    <w:p>
      <w:pPr>
        <w:pStyle w:val="12"/>
        <w:spacing w:before="12"/>
        <w:rPr>
          <w:color w:val="auto"/>
          <w:sz w:val="24"/>
          <w:szCs w:val="24"/>
          <w:highlight w:val="none"/>
        </w:rPr>
      </w:pPr>
    </w:p>
    <w:p>
      <w:pPr>
        <w:pStyle w:val="12"/>
        <w:tabs>
          <w:tab w:val="left" w:pos="3668"/>
        </w:tabs>
        <w:spacing w:before="74"/>
        <w:ind w:left="788"/>
        <w:rPr>
          <w:color w:val="auto"/>
          <w:sz w:val="24"/>
          <w:szCs w:val="24"/>
          <w:highlight w:val="none"/>
        </w:rPr>
      </w:pPr>
      <w:r>
        <w:rPr>
          <w:color w:val="auto"/>
          <w:sz w:val="24"/>
          <w:szCs w:val="24"/>
          <w:highlight w:val="none"/>
        </w:rPr>
        <w:t>我单位</w:t>
      </w:r>
      <w:r>
        <w:rPr>
          <w:color w:val="auto"/>
          <w:sz w:val="24"/>
          <w:szCs w:val="24"/>
          <w:highlight w:val="none"/>
          <w:u w:val="single"/>
        </w:rPr>
        <w:t xml:space="preserve"> </w:t>
      </w:r>
      <w:r>
        <w:rPr>
          <w:color w:val="auto"/>
          <w:sz w:val="24"/>
          <w:szCs w:val="24"/>
          <w:highlight w:val="none"/>
          <w:u w:val="single"/>
        </w:rPr>
        <w:tab/>
      </w:r>
      <w:r>
        <w:rPr>
          <w:color w:val="auto"/>
          <w:sz w:val="24"/>
          <w:szCs w:val="24"/>
          <w:highlight w:val="none"/>
        </w:rPr>
        <w:t>（供应商名称）郑重声明：</w:t>
      </w:r>
    </w:p>
    <w:p>
      <w:pPr>
        <w:pStyle w:val="12"/>
        <w:spacing w:before="9"/>
        <w:rPr>
          <w:color w:val="auto"/>
          <w:sz w:val="24"/>
          <w:szCs w:val="24"/>
          <w:highlight w:val="none"/>
        </w:rPr>
      </w:pPr>
    </w:p>
    <w:p>
      <w:pPr>
        <w:pStyle w:val="12"/>
        <w:spacing w:line="487" w:lineRule="auto"/>
        <w:ind w:left="308" w:right="273" w:firstLine="480"/>
        <w:jc w:val="both"/>
        <w:rPr>
          <w:color w:val="auto"/>
          <w:sz w:val="24"/>
          <w:szCs w:val="24"/>
          <w:highlight w:val="none"/>
        </w:rPr>
      </w:pPr>
      <w:r>
        <w:rPr>
          <w:color w:val="auto"/>
          <w:spacing w:val="-4"/>
          <w:sz w:val="24"/>
          <w:szCs w:val="24"/>
          <w:highlight w:val="none"/>
        </w:rPr>
        <w:t>我单位参加政府采购活动前三年内，在经营活动中</w:t>
      </w:r>
      <w:r>
        <w:rPr>
          <w:color w:val="auto"/>
          <w:spacing w:val="-4"/>
          <w:sz w:val="24"/>
          <w:szCs w:val="24"/>
          <w:highlight w:val="none"/>
          <w:u w:val="thick"/>
        </w:rPr>
        <w:t xml:space="preserve"> </w:t>
      </w:r>
      <w:r>
        <w:rPr>
          <w:b/>
          <w:color w:val="auto"/>
          <w:spacing w:val="-17"/>
          <w:sz w:val="24"/>
          <w:szCs w:val="24"/>
          <w:highlight w:val="none"/>
          <w:u w:val="thick"/>
        </w:rPr>
        <w:t xml:space="preserve">没有 </w:t>
      </w:r>
      <w:r>
        <w:rPr>
          <w:color w:val="auto"/>
          <w:spacing w:val="-3"/>
          <w:sz w:val="24"/>
          <w:szCs w:val="24"/>
          <w:highlight w:val="none"/>
          <w:u w:val="thick"/>
        </w:rPr>
        <w:t>（</w:t>
      </w:r>
      <w:r>
        <w:rPr>
          <w:color w:val="auto"/>
          <w:spacing w:val="-2"/>
          <w:sz w:val="24"/>
          <w:szCs w:val="24"/>
          <w:highlight w:val="none"/>
        </w:rPr>
        <w:t xml:space="preserve">在下划线上如实填写： </w:t>
      </w:r>
      <w:r>
        <w:rPr>
          <w:color w:val="auto"/>
          <w:sz w:val="24"/>
          <w:szCs w:val="24"/>
          <w:highlight w:val="none"/>
        </w:rPr>
        <w:t>有或没有）重大违法记录，特此声明。</w:t>
      </w:r>
    </w:p>
    <w:p>
      <w:pPr>
        <w:pStyle w:val="12"/>
        <w:spacing w:line="487" w:lineRule="auto"/>
        <w:ind w:left="308" w:right="396" w:firstLine="480"/>
        <w:jc w:val="both"/>
        <w:rPr>
          <w:color w:val="auto"/>
          <w:sz w:val="24"/>
          <w:szCs w:val="24"/>
          <w:highlight w:val="none"/>
        </w:rPr>
      </w:pPr>
      <w:r>
        <w:rPr>
          <w:color w:val="auto"/>
          <w:sz w:val="24"/>
          <w:szCs w:val="24"/>
          <w:highlight w:val="none"/>
        </w:rPr>
        <w:t>（说明：政府采购法第二十二条第一款第五项所称重大违法记录，是指供应商因违法经营受到刑事处罚或者责令停产停业、吊销许可证或者执照、较大数额罚款等行政处罚。）</w:t>
      </w:r>
    </w:p>
    <w:p>
      <w:pPr>
        <w:pStyle w:val="12"/>
        <w:ind w:left="0" w:leftChars="0" w:firstLine="0" w:firstLineChars="0"/>
        <w:rPr>
          <w:color w:val="auto"/>
          <w:sz w:val="24"/>
          <w:szCs w:val="24"/>
          <w:highlight w:val="none"/>
        </w:rPr>
      </w:pPr>
    </w:p>
    <w:p>
      <w:pPr>
        <w:pStyle w:val="12"/>
        <w:rPr>
          <w:color w:val="auto"/>
          <w:sz w:val="24"/>
          <w:szCs w:val="24"/>
          <w:highlight w:val="none"/>
        </w:rPr>
      </w:pPr>
    </w:p>
    <w:p>
      <w:pPr>
        <w:pStyle w:val="12"/>
        <w:spacing w:before="4"/>
        <w:rPr>
          <w:color w:val="auto"/>
          <w:sz w:val="24"/>
          <w:szCs w:val="24"/>
          <w:highlight w:val="none"/>
        </w:rPr>
      </w:pPr>
    </w:p>
    <w:p>
      <w:pPr>
        <w:pStyle w:val="12"/>
        <w:ind w:left="788"/>
        <w:rPr>
          <w:color w:val="auto"/>
          <w:sz w:val="24"/>
          <w:szCs w:val="24"/>
          <w:highlight w:val="none"/>
        </w:rPr>
      </w:pPr>
      <w:r>
        <w:rPr>
          <w:color w:val="auto"/>
          <w:spacing w:val="-30"/>
          <w:sz w:val="24"/>
          <w:szCs w:val="24"/>
          <w:highlight w:val="none"/>
        </w:rPr>
        <w:t>声明人：</w:t>
      </w:r>
      <w:r>
        <w:rPr>
          <w:color w:val="auto"/>
          <w:sz w:val="24"/>
          <w:szCs w:val="24"/>
          <w:highlight w:val="none"/>
        </w:rPr>
        <w:t>（填写名称并盖章）</w:t>
      </w:r>
    </w:p>
    <w:p>
      <w:pPr>
        <w:pStyle w:val="12"/>
        <w:rPr>
          <w:color w:val="auto"/>
          <w:sz w:val="24"/>
          <w:szCs w:val="24"/>
          <w:highlight w:val="none"/>
        </w:rPr>
      </w:pPr>
    </w:p>
    <w:p>
      <w:pPr>
        <w:pStyle w:val="12"/>
        <w:spacing w:before="1"/>
        <w:rPr>
          <w:color w:val="auto"/>
          <w:sz w:val="24"/>
          <w:szCs w:val="24"/>
          <w:highlight w:val="none"/>
        </w:rPr>
      </w:pPr>
    </w:p>
    <w:p>
      <w:pPr>
        <w:pStyle w:val="12"/>
        <w:ind w:left="788"/>
        <w:rPr>
          <w:color w:val="auto"/>
          <w:sz w:val="24"/>
          <w:szCs w:val="24"/>
          <w:highlight w:val="none"/>
        </w:rPr>
      </w:pPr>
      <w:r>
        <w:rPr>
          <w:color w:val="auto"/>
          <w:spacing w:val="-11"/>
          <w:sz w:val="24"/>
          <w:szCs w:val="24"/>
          <w:highlight w:val="none"/>
        </w:rPr>
        <w:t>法定代表人或授权代表：</w:t>
      </w:r>
      <w:r>
        <w:rPr>
          <w:color w:val="auto"/>
          <w:sz w:val="24"/>
          <w:szCs w:val="24"/>
          <w:highlight w:val="none"/>
        </w:rPr>
        <w:t>（签字或盖章）</w:t>
      </w:r>
    </w:p>
    <w:p>
      <w:pPr>
        <w:pStyle w:val="12"/>
        <w:rPr>
          <w:color w:val="auto"/>
          <w:sz w:val="24"/>
          <w:szCs w:val="24"/>
          <w:highlight w:val="none"/>
        </w:rPr>
      </w:pPr>
    </w:p>
    <w:p>
      <w:pPr>
        <w:pStyle w:val="12"/>
        <w:rPr>
          <w:color w:val="auto"/>
          <w:sz w:val="24"/>
          <w:szCs w:val="24"/>
          <w:highlight w:val="none"/>
        </w:rPr>
      </w:pPr>
    </w:p>
    <w:p>
      <w:pPr>
        <w:pStyle w:val="12"/>
        <w:tabs>
          <w:tab w:val="left" w:pos="2648"/>
          <w:tab w:val="left" w:pos="3248"/>
        </w:tabs>
        <w:spacing w:before="1"/>
        <w:ind w:left="788"/>
        <w:rPr>
          <w:color w:val="auto"/>
          <w:sz w:val="24"/>
          <w:szCs w:val="24"/>
          <w:highlight w:val="none"/>
        </w:rPr>
      </w:pPr>
      <w:r>
        <w:rPr>
          <w:color w:val="auto"/>
          <w:sz w:val="24"/>
          <w:szCs w:val="24"/>
          <w:highlight w:val="none"/>
        </w:rPr>
        <w:t>日期：</w:t>
      </w:r>
      <w:r>
        <w:rPr>
          <w:rFonts w:hint="eastAsia"/>
          <w:color w:val="auto"/>
          <w:sz w:val="24"/>
          <w:szCs w:val="24"/>
          <w:highlight w:val="none"/>
          <w:lang w:val="en-US" w:eastAsia="zh-CN"/>
        </w:rPr>
        <w:t xml:space="preserve">    </w:t>
      </w:r>
      <w:r>
        <w:rPr>
          <w:rFonts w:hint="eastAsia" w:ascii="Times New Roman"/>
          <w:color w:val="auto"/>
          <w:sz w:val="24"/>
          <w:szCs w:val="24"/>
          <w:highlight w:val="none"/>
          <w:lang w:val="en-US" w:eastAsia="zh-CN"/>
        </w:rPr>
        <w:t xml:space="preserve"> </w:t>
      </w:r>
      <w:r>
        <w:rPr>
          <w:color w:val="auto"/>
          <w:sz w:val="24"/>
          <w:szCs w:val="24"/>
          <w:highlight w:val="none"/>
        </w:rPr>
        <w:t>年</w:t>
      </w:r>
      <w:r>
        <w:rPr>
          <w:color w:val="auto"/>
          <w:sz w:val="24"/>
          <w:szCs w:val="24"/>
          <w:highlight w:val="none"/>
        </w:rPr>
        <w:tab/>
      </w:r>
      <w:r>
        <w:rPr>
          <w:color w:val="auto"/>
          <w:sz w:val="24"/>
          <w:szCs w:val="24"/>
          <w:highlight w:val="none"/>
        </w:rPr>
        <w:t>月</w:t>
      </w:r>
      <w:r>
        <w:rPr>
          <w:color w:val="auto"/>
          <w:sz w:val="24"/>
          <w:szCs w:val="24"/>
          <w:highlight w:val="none"/>
        </w:rPr>
        <w:tab/>
      </w:r>
      <w:r>
        <w:rPr>
          <w:color w:val="auto"/>
          <w:sz w:val="24"/>
          <w:szCs w:val="24"/>
          <w:highlight w:val="none"/>
        </w:rPr>
        <w:t>日</w:t>
      </w:r>
    </w:p>
    <w:p>
      <w:pPr>
        <w:rPr>
          <w:b/>
          <w:color w:val="auto"/>
          <w:sz w:val="30"/>
        </w:rPr>
      </w:pPr>
    </w:p>
    <w:p>
      <w:pPr>
        <w:rPr>
          <w:rFonts w:hint="eastAsia" w:ascii="宋体" w:hAnsi="宋体" w:cs="宋体"/>
          <w:b/>
          <w:bCs/>
          <w:color w:val="auto"/>
          <w:sz w:val="24"/>
        </w:rPr>
      </w:pPr>
    </w:p>
    <w:p>
      <w:pPr>
        <w:pStyle w:val="2"/>
        <w:rPr>
          <w:color w:val="auto"/>
          <w:highlight w:val="none"/>
        </w:rPr>
      </w:pPr>
      <w:r>
        <w:rPr>
          <w:rFonts w:hint="eastAsia" w:ascii="Times New Roman" w:hAnsi="Times New Roman" w:cs="Times New Roman"/>
          <w:color w:val="auto"/>
          <w:sz w:val="28"/>
          <w:szCs w:val="28"/>
          <w:highlight w:val="none"/>
        </w:rPr>
        <w:br w:type="page"/>
      </w:r>
      <w:bookmarkStart w:id="1956" w:name="_Toc21709"/>
      <w:bookmarkStart w:id="1957" w:name="_Toc7791"/>
      <w:bookmarkStart w:id="1958" w:name="_Toc19206"/>
      <w:bookmarkStart w:id="1959" w:name="_Toc4620"/>
      <w:r>
        <w:rPr>
          <w:rFonts w:hint="eastAsia" w:ascii="宋体" w:hAnsi="宋体" w:eastAsia="宋体" w:cs="宋体"/>
          <w:color w:val="auto"/>
          <w:sz w:val="32"/>
          <w:szCs w:val="32"/>
          <w:highlight w:val="none"/>
          <w:lang w:val="en-US" w:eastAsia="zh-CN"/>
        </w:rPr>
        <w:t>5</w:t>
      </w:r>
      <w:r>
        <w:rPr>
          <w:rFonts w:hint="eastAsia" w:ascii="宋体" w:hAnsi="宋体" w:eastAsia="宋体" w:cs="宋体"/>
          <w:color w:val="auto"/>
          <w:sz w:val="32"/>
          <w:szCs w:val="32"/>
          <w:highlight w:val="none"/>
        </w:rPr>
        <w:t>、供应商类似项目业绩一览表</w:t>
      </w:r>
      <w:bookmarkEnd w:id="1956"/>
      <w:bookmarkEnd w:id="1957"/>
      <w:bookmarkEnd w:id="1958"/>
      <w:bookmarkEnd w:id="1959"/>
    </w:p>
    <w:p>
      <w:pPr>
        <w:rPr>
          <w:color w:val="auto"/>
          <w:highlight w:val="none"/>
        </w:rPr>
      </w:pPr>
    </w:p>
    <w:p>
      <w:pPr>
        <w:jc w:val="center"/>
        <w:rPr>
          <w:b/>
          <w:bCs/>
          <w:color w:val="auto"/>
          <w:sz w:val="36"/>
          <w:szCs w:val="36"/>
          <w:highlight w:val="none"/>
        </w:rPr>
      </w:pPr>
      <w:r>
        <w:rPr>
          <w:rFonts w:hint="eastAsia"/>
          <w:b/>
          <w:bCs/>
          <w:color w:val="auto"/>
          <w:sz w:val="36"/>
          <w:szCs w:val="36"/>
          <w:highlight w:val="none"/>
        </w:rPr>
        <w:t>供应商类似项目业绩一览表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4" w:type="dxa"/>
          <w:bottom w:w="0" w:type="dxa"/>
          <w:right w:w="54" w:type="dxa"/>
        </w:tblCellMar>
      </w:tblPr>
      <w:tblGrid>
        <w:gridCol w:w="1100"/>
        <w:gridCol w:w="1440"/>
        <w:gridCol w:w="1320"/>
        <w:gridCol w:w="1161"/>
        <w:gridCol w:w="1260"/>
        <w:gridCol w:w="9"/>
        <w:gridCol w:w="1356"/>
        <w:gridCol w:w="9"/>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1100" w:type="dxa"/>
            <w:noWrap w:val="0"/>
            <w:vAlign w:val="center"/>
          </w:tcPr>
          <w:p>
            <w:pPr>
              <w:spacing w:line="360" w:lineRule="auto"/>
              <w:ind w:firstLine="110" w:firstLineChars="50"/>
              <w:jc w:val="center"/>
              <w:rPr>
                <w:b/>
                <w:color w:val="auto"/>
                <w:highlight w:val="none"/>
              </w:rPr>
            </w:pPr>
            <w:r>
              <w:rPr>
                <w:rFonts w:hint="eastAsia"/>
                <w:b/>
                <w:color w:val="auto"/>
                <w:highlight w:val="none"/>
              </w:rPr>
              <w:t>年份</w:t>
            </w:r>
          </w:p>
        </w:tc>
        <w:tc>
          <w:tcPr>
            <w:tcW w:w="1440" w:type="dxa"/>
            <w:noWrap w:val="0"/>
            <w:vAlign w:val="center"/>
          </w:tcPr>
          <w:p>
            <w:pPr>
              <w:spacing w:line="360" w:lineRule="auto"/>
              <w:jc w:val="center"/>
              <w:rPr>
                <w:b/>
                <w:color w:val="auto"/>
                <w:highlight w:val="none"/>
              </w:rPr>
            </w:pPr>
            <w:r>
              <w:rPr>
                <w:rFonts w:hint="eastAsia"/>
                <w:b/>
                <w:color w:val="auto"/>
                <w:highlight w:val="none"/>
              </w:rPr>
              <w:t>用户名称</w:t>
            </w:r>
          </w:p>
        </w:tc>
        <w:tc>
          <w:tcPr>
            <w:tcW w:w="1320" w:type="dxa"/>
            <w:noWrap w:val="0"/>
            <w:vAlign w:val="center"/>
          </w:tcPr>
          <w:p>
            <w:pPr>
              <w:spacing w:line="360" w:lineRule="auto"/>
              <w:jc w:val="center"/>
              <w:rPr>
                <w:b/>
                <w:color w:val="auto"/>
                <w:highlight w:val="none"/>
              </w:rPr>
            </w:pPr>
            <w:r>
              <w:rPr>
                <w:rFonts w:hint="eastAsia"/>
                <w:b/>
                <w:color w:val="auto"/>
                <w:highlight w:val="none"/>
              </w:rPr>
              <w:t>项目名称</w:t>
            </w:r>
          </w:p>
        </w:tc>
        <w:tc>
          <w:tcPr>
            <w:tcW w:w="1161" w:type="dxa"/>
            <w:noWrap w:val="0"/>
            <w:vAlign w:val="center"/>
          </w:tcPr>
          <w:p>
            <w:pPr>
              <w:spacing w:line="360" w:lineRule="auto"/>
              <w:jc w:val="center"/>
              <w:rPr>
                <w:b/>
                <w:color w:val="auto"/>
                <w:highlight w:val="none"/>
              </w:rPr>
            </w:pPr>
            <w:r>
              <w:rPr>
                <w:rFonts w:hint="eastAsia"/>
                <w:b/>
                <w:color w:val="auto"/>
                <w:highlight w:val="none"/>
              </w:rPr>
              <w:t>完成时间</w:t>
            </w:r>
          </w:p>
        </w:tc>
        <w:tc>
          <w:tcPr>
            <w:tcW w:w="1260" w:type="dxa"/>
            <w:noWrap w:val="0"/>
            <w:vAlign w:val="center"/>
          </w:tcPr>
          <w:p>
            <w:pPr>
              <w:spacing w:line="360" w:lineRule="auto"/>
              <w:ind w:firstLine="110" w:firstLineChars="50"/>
              <w:jc w:val="center"/>
              <w:rPr>
                <w:b/>
                <w:color w:val="auto"/>
                <w:highlight w:val="none"/>
              </w:rPr>
            </w:pPr>
            <w:r>
              <w:rPr>
                <w:rFonts w:hint="eastAsia"/>
                <w:b/>
                <w:color w:val="auto"/>
                <w:highlight w:val="none"/>
              </w:rPr>
              <w:t>合同金额</w:t>
            </w:r>
          </w:p>
        </w:tc>
        <w:tc>
          <w:tcPr>
            <w:tcW w:w="1374" w:type="dxa"/>
            <w:gridSpan w:val="3"/>
            <w:noWrap w:val="0"/>
            <w:vAlign w:val="center"/>
          </w:tcPr>
          <w:p>
            <w:pPr>
              <w:spacing w:line="360" w:lineRule="auto"/>
              <w:jc w:val="center"/>
              <w:rPr>
                <w:b/>
                <w:color w:val="auto"/>
                <w:highlight w:val="none"/>
              </w:rPr>
            </w:pPr>
            <w:r>
              <w:rPr>
                <w:rFonts w:hint="eastAsia"/>
                <w:b/>
                <w:color w:val="auto"/>
                <w:highlight w:val="none"/>
              </w:rPr>
              <w:t>完成项目质量</w:t>
            </w:r>
          </w:p>
        </w:tc>
        <w:tc>
          <w:tcPr>
            <w:tcW w:w="1025" w:type="dxa"/>
            <w:noWrap w:val="0"/>
            <w:vAlign w:val="center"/>
          </w:tcPr>
          <w:p>
            <w:pPr>
              <w:spacing w:line="360" w:lineRule="auto"/>
              <w:jc w:val="center"/>
              <w:rPr>
                <w:b/>
                <w:color w:val="auto"/>
                <w:highlight w:val="none"/>
              </w:rPr>
            </w:pPr>
            <w:r>
              <w:rPr>
                <w:rFonts w:hint="eastAsia"/>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567" w:hRule="atLeast"/>
          <w:jc w:val="center"/>
        </w:trPr>
        <w:tc>
          <w:tcPr>
            <w:tcW w:w="1100" w:type="dxa"/>
            <w:noWrap w:val="0"/>
            <w:vAlign w:val="center"/>
          </w:tcPr>
          <w:p>
            <w:pPr>
              <w:spacing w:line="360" w:lineRule="auto"/>
              <w:jc w:val="center"/>
              <w:rPr>
                <w:color w:val="auto"/>
                <w:highlight w:val="none"/>
              </w:rPr>
            </w:pPr>
          </w:p>
        </w:tc>
        <w:tc>
          <w:tcPr>
            <w:tcW w:w="1440" w:type="dxa"/>
            <w:noWrap w:val="0"/>
            <w:vAlign w:val="center"/>
          </w:tcPr>
          <w:p>
            <w:pPr>
              <w:spacing w:line="360" w:lineRule="auto"/>
              <w:jc w:val="center"/>
              <w:rPr>
                <w:color w:val="auto"/>
                <w:highlight w:val="none"/>
              </w:rPr>
            </w:pPr>
          </w:p>
        </w:tc>
        <w:tc>
          <w:tcPr>
            <w:tcW w:w="1320" w:type="dxa"/>
            <w:noWrap w:val="0"/>
            <w:vAlign w:val="center"/>
          </w:tcPr>
          <w:p>
            <w:pPr>
              <w:spacing w:line="360" w:lineRule="auto"/>
              <w:jc w:val="center"/>
              <w:rPr>
                <w:color w:val="auto"/>
                <w:highlight w:val="none"/>
              </w:rPr>
            </w:pPr>
          </w:p>
        </w:tc>
        <w:tc>
          <w:tcPr>
            <w:tcW w:w="1161" w:type="dxa"/>
            <w:noWrap w:val="0"/>
            <w:vAlign w:val="center"/>
          </w:tcPr>
          <w:p>
            <w:pPr>
              <w:spacing w:line="360" w:lineRule="auto"/>
              <w:jc w:val="center"/>
              <w:rPr>
                <w:color w:val="auto"/>
                <w:highlight w:val="none"/>
              </w:rPr>
            </w:pPr>
          </w:p>
        </w:tc>
        <w:tc>
          <w:tcPr>
            <w:tcW w:w="1260" w:type="dxa"/>
            <w:noWrap w:val="0"/>
            <w:vAlign w:val="center"/>
          </w:tcPr>
          <w:p>
            <w:pPr>
              <w:spacing w:line="360" w:lineRule="auto"/>
              <w:jc w:val="center"/>
              <w:rPr>
                <w:color w:val="auto"/>
                <w:highlight w:val="none"/>
              </w:rPr>
            </w:pPr>
          </w:p>
        </w:tc>
        <w:tc>
          <w:tcPr>
            <w:tcW w:w="1374" w:type="dxa"/>
            <w:gridSpan w:val="3"/>
            <w:noWrap w:val="0"/>
            <w:vAlign w:val="center"/>
          </w:tcPr>
          <w:p>
            <w:pPr>
              <w:spacing w:line="360" w:lineRule="auto"/>
              <w:jc w:val="center"/>
              <w:rPr>
                <w:color w:val="auto"/>
                <w:highlight w:val="none"/>
              </w:rPr>
            </w:pPr>
          </w:p>
        </w:tc>
        <w:tc>
          <w:tcPr>
            <w:tcW w:w="1025" w:type="dxa"/>
            <w:noWrap w:val="0"/>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567" w:hRule="atLeast"/>
          <w:jc w:val="center"/>
        </w:trPr>
        <w:tc>
          <w:tcPr>
            <w:tcW w:w="1100" w:type="dxa"/>
            <w:noWrap w:val="0"/>
            <w:vAlign w:val="center"/>
          </w:tcPr>
          <w:p>
            <w:pPr>
              <w:spacing w:line="360" w:lineRule="auto"/>
              <w:jc w:val="center"/>
              <w:rPr>
                <w:color w:val="auto"/>
                <w:highlight w:val="none"/>
              </w:rPr>
            </w:pPr>
          </w:p>
        </w:tc>
        <w:tc>
          <w:tcPr>
            <w:tcW w:w="1440" w:type="dxa"/>
            <w:noWrap w:val="0"/>
            <w:vAlign w:val="center"/>
          </w:tcPr>
          <w:p>
            <w:pPr>
              <w:spacing w:line="360" w:lineRule="auto"/>
              <w:jc w:val="center"/>
              <w:rPr>
                <w:color w:val="auto"/>
                <w:highlight w:val="none"/>
              </w:rPr>
            </w:pPr>
          </w:p>
        </w:tc>
        <w:tc>
          <w:tcPr>
            <w:tcW w:w="1320" w:type="dxa"/>
            <w:noWrap w:val="0"/>
            <w:vAlign w:val="center"/>
          </w:tcPr>
          <w:p>
            <w:pPr>
              <w:spacing w:line="360" w:lineRule="auto"/>
              <w:jc w:val="center"/>
              <w:rPr>
                <w:color w:val="auto"/>
                <w:highlight w:val="none"/>
              </w:rPr>
            </w:pPr>
          </w:p>
        </w:tc>
        <w:tc>
          <w:tcPr>
            <w:tcW w:w="1161" w:type="dxa"/>
            <w:noWrap w:val="0"/>
            <w:vAlign w:val="center"/>
          </w:tcPr>
          <w:p>
            <w:pPr>
              <w:spacing w:line="360" w:lineRule="auto"/>
              <w:jc w:val="center"/>
              <w:rPr>
                <w:color w:val="auto"/>
                <w:highlight w:val="none"/>
              </w:rPr>
            </w:pPr>
          </w:p>
        </w:tc>
        <w:tc>
          <w:tcPr>
            <w:tcW w:w="1260" w:type="dxa"/>
            <w:noWrap w:val="0"/>
            <w:vAlign w:val="center"/>
          </w:tcPr>
          <w:p>
            <w:pPr>
              <w:spacing w:line="360" w:lineRule="auto"/>
              <w:jc w:val="center"/>
              <w:rPr>
                <w:color w:val="auto"/>
                <w:highlight w:val="none"/>
              </w:rPr>
            </w:pPr>
          </w:p>
        </w:tc>
        <w:tc>
          <w:tcPr>
            <w:tcW w:w="1374" w:type="dxa"/>
            <w:gridSpan w:val="3"/>
            <w:noWrap w:val="0"/>
            <w:vAlign w:val="center"/>
          </w:tcPr>
          <w:p>
            <w:pPr>
              <w:spacing w:line="360" w:lineRule="auto"/>
              <w:jc w:val="center"/>
              <w:rPr>
                <w:color w:val="auto"/>
                <w:highlight w:val="none"/>
              </w:rPr>
            </w:pPr>
          </w:p>
        </w:tc>
        <w:tc>
          <w:tcPr>
            <w:tcW w:w="1025" w:type="dxa"/>
            <w:noWrap w:val="0"/>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567" w:hRule="atLeast"/>
          <w:jc w:val="center"/>
        </w:trPr>
        <w:tc>
          <w:tcPr>
            <w:tcW w:w="1100" w:type="dxa"/>
            <w:noWrap w:val="0"/>
            <w:vAlign w:val="center"/>
          </w:tcPr>
          <w:p>
            <w:pPr>
              <w:spacing w:line="360" w:lineRule="auto"/>
              <w:jc w:val="center"/>
              <w:rPr>
                <w:color w:val="auto"/>
                <w:highlight w:val="none"/>
              </w:rPr>
            </w:pPr>
          </w:p>
        </w:tc>
        <w:tc>
          <w:tcPr>
            <w:tcW w:w="1440" w:type="dxa"/>
            <w:noWrap w:val="0"/>
            <w:vAlign w:val="center"/>
          </w:tcPr>
          <w:p>
            <w:pPr>
              <w:spacing w:line="360" w:lineRule="auto"/>
              <w:jc w:val="center"/>
              <w:rPr>
                <w:color w:val="auto"/>
                <w:highlight w:val="none"/>
              </w:rPr>
            </w:pPr>
          </w:p>
        </w:tc>
        <w:tc>
          <w:tcPr>
            <w:tcW w:w="1320" w:type="dxa"/>
            <w:noWrap w:val="0"/>
            <w:vAlign w:val="center"/>
          </w:tcPr>
          <w:p>
            <w:pPr>
              <w:spacing w:line="360" w:lineRule="auto"/>
              <w:jc w:val="center"/>
              <w:rPr>
                <w:color w:val="auto"/>
                <w:highlight w:val="none"/>
              </w:rPr>
            </w:pPr>
          </w:p>
        </w:tc>
        <w:tc>
          <w:tcPr>
            <w:tcW w:w="1161" w:type="dxa"/>
            <w:noWrap w:val="0"/>
            <w:vAlign w:val="center"/>
          </w:tcPr>
          <w:p>
            <w:pPr>
              <w:spacing w:line="360" w:lineRule="auto"/>
              <w:jc w:val="center"/>
              <w:rPr>
                <w:color w:val="auto"/>
                <w:highlight w:val="none"/>
              </w:rPr>
            </w:pPr>
          </w:p>
        </w:tc>
        <w:tc>
          <w:tcPr>
            <w:tcW w:w="1269" w:type="dxa"/>
            <w:gridSpan w:val="2"/>
            <w:noWrap w:val="0"/>
            <w:vAlign w:val="center"/>
          </w:tcPr>
          <w:p>
            <w:pPr>
              <w:spacing w:line="360" w:lineRule="auto"/>
              <w:jc w:val="center"/>
              <w:rPr>
                <w:color w:val="auto"/>
                <w:highlight w:val="none"/>
              </w:rPr>
            </w:pPr>
          </w:p>
        </w:tc>
        <w:tc>
          <w:tcPr>
            <w:tcW w:w="1365" w:type="dxa"/>
            <w:gridSpan w:val="2"/>
            <w:noWrap w:val="0"/>
            <w:vAlign w:val="center"/>
          </w:tcPr>
          <w:p>
            <w:pPr>
              <w:spacing w:line="360" w:lineRule="auto"/>
              <w:jc w:val="center"/>
              <w:rPr>
                <w:color w:val="auto"/>
                <w:highlight w:val="none"/>
              </w:rPr>
            </w:pPr>
          </w:p>
        </w:tc>
        <w:tc>
          <w:tcPr>
            <w:tcW w:w="1025" w:type="dxa"/>
            <w:noWrap w:val="0"/>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jc w:val="center"/>
        </w:trPr>
        <w:tc>
          <w:tcPr>
            <w:tcW w:w="1100" w:type="dxa"/>
            <w:noWrap w:val="0"/>
            <w:vAlign w:val="center"/>
          </w:tcPr>
          <w:p>
            <w:pPr>
              <w:spacing w:line="360" w:lineRule="auto"/>
              <w:jc w:val="center"/>
              <w:rPr>
                <w:color w:val="auto"/>
                <w:highlight w:val="none"/>
              </w:rPr>
            </w:pPr>
          </w:p>
        </w:tc>
        <w:tc>
          <w:tcPr>
            <w:tcW w:w="1440" w:type="dxa"/>
            <w:noWrap w:val="0"/>
            <w:vAlign w:val="center"/>
          </w:tcPr>
          <w:p>
            <w:pPr>
              <w:spacing w:line="360" w:lineRule="auto"/>
              <w:jc w:val="center"/>
              <w:rPr>
                <w:color w:val="auto"/>
                <w:highlight w:val="none"/>
              </w:rPr>
            </w:pPr>
          </w:p>
        </w:tc>
        <w:tc>
          <w:tcPr>
            <w:tcW w:w="1320" w:type="dxa"/>
            <w:noWrap w:val="0"/>
            <w:vAlign w:val="center"/>
          </w:tcPr>
          <w:p>
            <w:pPr>
              <w:spacing w:line="360" w:lineRule="auto"/>
              <w:jc w:val="center"/>
              <w:rPr>
                <w:color w:val="auto"/>
                <w:highlight w:val="none"/>
              </w:rPr>
            </w:pPr>
          </w:p>
        </w:tc>
        <w:tc>
          <w:tcPr>
            <w:tcW w:w="1161" w:type="dxa"/>
            <w:noWrap w:val="0"/>
            <w:vAlign w:val="center"/>
          </w:tcPr>
          <w:p>
            <w:pPr>
              <w:spacing w:line="360" w:lineRule="auto"/>
              <w:jc w:val="center"/>
              <w:rPr>
                <w:color w:val="auto"/>
                <w:highlight w:val="none"/>
              </w:rPr>
            </w:pPr>
          </w:p>
        </w:tc>
        <w:tc>
          <w:tcPr>
            <w:tcW w:w="1269" w:type="dxa"/>
            <w:gridSpan w:val="2"/>
            <w:noWrap w:val="0"/>
            <w:vAlign w:val="center"/>
          </w:tcPr>
          <w:p>
            <w:pPr>
              <w:spacing w:line="360" w:lineRule="auto"/>
              <w:jc w:val="center"/>
              <w:rPr>
                <w:color w:val="auto"/>
                <w:highlight w:val="none"/>
              </w:rPr>
            </w:pPr>
          </w:p>
        </w:tc>
        <w:tc>
          <w:tcPr>
            <w:tcW w:w="1356" w:type="dxa"/>
            <w:noWrap w:val="0"/>
            <w:vAlign w:val="center"/>
          </w:tcPr>
          <w:p>
            <w:pPr>
              <w:spacing w:line="360" w:lineRule="auto"/>
              <w:jc w:val="center"/>
              <w:rPr>
                <w:color w:val="auto"/>
                <w:highlight w:val="none"/>
              </w:rPr>
            </w:pPr>
          </w:p>
        </w:tc>
        <w:tc>
          <w:tcPr>
            <w:tcW w:w="1034" w:type="dxa"/>
            <w:gridSpan w:val="2"/>
            <w:noWrap w:val="0"/>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567" w:hRule="atLeast"/>
          <w:jc w:val="center"/>
        </w:trPr>
        <w:tc>
          <w:tcPr>
            <w:tcW w:w="1100" w:type="dxa"/>
            <w:noWrap w:val="0"/>
            <w:vAlign w:val="center"/>
          </w:tcPr>
          <w:p>
            <w:pPr>
              <w:spacing w:line="360" w:lineRule="auto"/>
              <w:jc w:val="center"/>
              <w:rPr>
                <w:color w:val="auto"/>
                <w:highlight w:val="none"/>
              </w:rPr>
            </w:pPr>
          </w:p>
        </w:tc>
        <w:tc>
          <w:tcPr>
            <w:tcW w:w="1440" w:type="dxa"/>
            <w:noWrap w:val="0"/>
            <w:vAlign w:val="center"/>
          </w:tcPr>
          <w:p>
            <w:pPr>
              <w:spacing w:line="360" w:lineRule="auto"/>
              <w:jc w:val="center"/>
              <w:rPr>
                <w:color w:val="auto"/>
                <w:highlight w:val="none"/>
              </w:rPr>
            </w:pPr>
          </w:p>
        </w:tc>
        <w:tc>
          <w:tcPr>
            <w:tcW w:w="1320" w:type="dxa"/>
            <w:noWrap w:val="0"/>
            <w:vAlign w:val="center"/>
          </w:tcPr>
          <w:p>
            <w:pPr>
              <w:spacing w:line="360" w:lineRule="auto"/>
              <w:jc w:val="center"/>
              <w:rPr>
                <w:color w:val="auto"/>
                <w:highlight w:val="none"/>
              </w:rPr>
            </w:pPr>
          </w:p>
        </w:tc>
        <w:tc>
          <w:tcPr>
            <w:tcW w:w="1161" w:type="dxa"/>
            <w:noWrap w:val="0"/>
            <w:vAlign w:val="center"/>
          </w:tcPr>
          <w:p>
            <w:pPr>
              <w:spacing w:line="360" w:lineRule="auto"/>
              <w:jc w:val="center"/>
              <w:rPr>
                <w:color w:val="auto"/>
                <w:highlight w:val="none"/>
              </w:rPr>
            </w:pPr>
          </w:p>
        </w:tc>
        <w:tc>
          <w:tcPr>
            <w:tcW w:w="1269" w:type="dxa"/>
            <w:gridSpan w:val="2"/>
            <w:noWrap w:val="0"/>
            <w:vAlign w:val="center"/>
          </w:tcPr>
          <w:p>
            <w:pPr>
              <w:spacing w:line="360" w:lineRule="auto"/>
              <w:jc w:val="center"/>
              <w:rPr>
                <w:color w:val="auto"/>
                <w:highlight w:val="none"/>
              </w:rPr>
            </w:pPr>
          </w:p>
        </w:tc>
        <w:tc>
          <w:tcPr>
            <w:tcW w:w="1356" w:type="dxa"/>
            <w:noWrap w:val="0"/>
            <w:vAlign w:val="center"/>
          </w:tcPr>
          <w:p>
            <w:pPr>
              <w:spacing w:line="360" w:lineRule="auto"/>
              <w:jc w:val="center"/>
              <w:rPr>
                <w:color w:val="auto"/>
                <w:highlight w:val="none"/>
              </w:rPr>
            </w:pPr>
          </w:p>
        </w:tc>
        <w:tc>
          <w:tcPr>
            <w:tcW w:w="1034" w:type="dxa"/>
            <w:gridSpan w:val="2"/>
            <w:noWrap w:val="0"/>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567" w:hRule="atLeast"/>
          <w:jc w:val="center"/>
        </w:trPr>
        <w:tc>
          <w:tcPr>
            <w:tcW w:w="1100" w:type="dxa"/>
            <w:noWrap w:val="0"/>
            <w:vAlign w:val="center"/>
          </w:tcPr>
          <w:p>
            <w:pPr>
              <w:spacing w:line="360" w:lineRule="auto"/>
              <w:jc w:val="center"/>
              <w:rPr>
                <w:color w:val="auto"/>
                <w:highlight w:val="none"/>
              </w:rPr>
            </w:pPr>
          </w:p>
        </w:tc>
        <w:tc>
          <w:tcPr>
            <w:tcW w:w="1440" w:type="dxa"/>
            <w:noWrap w:val="0"/>
            <w:vAlign w:val="center"/>
          </w:tcPr>
          <w:p>
            <w:pPr>
              <w:spacing w:line="360" w:lineRule="auto"/>
              <w:jc w:val="center"/>
              <w:rPr>
                <w:color w:val="auto"/>
                <w:highlight w:val="none"/>
              </w:rPr>
            </w:pPr>
          </w:p>
        </w:tc>
        <w:tc>
          <w:tcPr>
            <w:tcW w:w="1320" w:type="dxa"/>
            <w:noWrap w:val="0"/>
            <w:vAlign w:val="center"/>
          </w:tcPr>
          <w:p>
            <w:pPr>
              <w:spacing w:line="360" w:lineRule="auto"/>
              <w:jc w:val="center"/>
              <w:rPr>
                <w:color w:val="auto"/>
                <w:highlight w:val="none"/>
              </w:rPr>
            </w:pPr>
          </w:p>
        </w:tc>
        <w:tc>
          <w:tcPr>
            <w:tcW w:w="1161" w:type="dxa"/>
            <w:noWrap w:val="0"/>
            <w:vAlign w:val="center"/>
          </w:tcPr>
          <w:p>
            <w:pPr>
              <w:spacing w:line="360" w:lineRule="auto"/>
              <w:jc w:val="center"/>
              <w:rPr>
                <w:color w:val="auto"/>
                <w:highlight w:val="none"/>
              </w:rPr>
            </w:pPr>
          </w:p>
        </w:tc>
        <w:tc>
          <w:tcPr>
            <w:tcW w:w="1269" w:type="dxa"/>
            <w:gridSpan w:val="2"/>
            <w:noWrap w:val="0"/>
            <w:vAlign w:val="center"/>
          </w:tcPr>
          <w:p>
            <w:pPr>
              <w:spacing w:line="360" w:lineRule="auto"/>
              <w:jc w:val="center"/>
              <w:rPr>
                <w:color w:val="auto"/>
                <w:highlight w:val="none"/>
              </w:rPr>
            </w:pPr>
          </w:p>
        </w:tc>
        <w:tc>
          <w:tcPr>
            <w:tcW w:w="1356" w:type="dxa"/>
            <w:noWrap w:val="0"/>
            <w:vAlign w:val="center"/>
          </w:tcPr>
          <w:p>
            <w:pPr>
              <w:spacing w:line="360" w:lineRule="auto"/>
              <w:jc w:val="center"/>
              <w:rPr>
                <w:color w:val="auto"/>
                <w:highlight w:val="none"/>
              </w:rPr>
            </w:pPr>
          </w:p>
        </w:tc>
        <w:tc>
          <w:tcPr>
            <w:tcW w:w="1034" w:type="dxa"/>
            <w:gridSpan w:val="2"/>
            <w:noWrap w:val="0"/>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567" w:hRule="atLeast"/>
          <w:jc w:val="center"/>
        </w:trPr>
        <w:tc>
          <w:tcPr>
            <w:tcW w:w="1100" w:type="dxa"/>
            <w:noWrap w:val="0"/>
            <w:vAlign w:val="center"/>
          </w:tcPr>
          <w:p>
            <w:pPr>
              <w:spacing w:line="360" w:lineRule="auto"/>
              <w:jc w:val="center"/>
              <w:rPr>
                <w:color w:val="auto"/>
                <w:highlight w:val="none"/>
              </w:rPr>
            </w:pPr>
          </w:p>
        </w:tc>
        <w:tc>
          <w:tcPr>
            <w:tcW w:w="1440" w:type="dxa"/>
            <w:noWrap w:val="0"/>
            <w:vAlign w:val="center"/>
          </w:tcPr>
          <w:p>
            <w:pPr>
              <w:spacing w:line="360" w:lineRule="auto"/>
              <w:jc w:val="center"/>
              <w:rPr>
                <w:color w:val="auto"/>
                <w:highlight w:val="none"/>
              </w:rPr>
            </w:pPr>
          </w:p>
        </w:tc>
        <w:tc>
          <w:tcPr>
            <w:tcW w:w="1320" w:type="dxa"/>
            <w:noWrap w:val="0"/>
            <w:vAlign w:val="center"/>
          </w:tcPr>
          <w:p>
            <w:pPr>
              <w:spacing w:line="360" w:lineRule="auto"/>
              <w:jc w:val="center"/>
              <w:rPr>
                <w:color w:val="auto"/>
                <w:highlight w:val="none"/>
              </w:rPr>
            </w:pPr>
          </w:p>
        </w:tc>
        <w:tc>
          <w:tcPr>
            <w:tcW w:w="1161" w:type="dxa"/>
            <w:noWrap w:val="0"/>
            <w:vAlign w:val="center"/>
          </w:tcPr>
          <w:p>
            <w:pPr>
              <w:spacing w:line="360" w:lineRule="auto"/>
              <w:jc w:val="center"/>
              <w:rPr>
                <w:color w:val="auto"/>
                <w:highlight w:val="none"/>
              </w:rPr>
            </w:pPr>
          </w:p>
        </w:tc>
        <w:tc>
          <w:tcPr>
            <w:tcW w:w="1269" w:type="dxa"/>
            <w:gridSpan w:val="2"/>
            <w:noWrap w:val="0"/>
            <w:vAlign w:val="center"/>
          </w:tcPr>
          <w:p>
            <w:pPr>
              <w:spacing w:line="360" w:lineRule="auto"/>
              <w:jc w:val="center"/>
              <w:rPr>
                <w:color w:val="auto"/>
                <w:highlight w:val="none"/>
              </w:rPr>
            </w:pPr>
          </w:p>
        </w:tc>
        <w:tc>
          <w:tcPr>
            <w:tcW w:w="1356" w:type="dxa"/>
            <w:noWrap w:val="0"/>
            <w:vAlign w:val="center"/>
          </w:tcPr>
          <w:p>
            <w:pPr>
              <w:spacing w:line="360" w:lineRule="auto"/>
              <w:jc w:val="center"/>
              <w:rPr>
                <w:color w:val="auto"/>
                <w:highlight w:val="none"/>
              </w:rPr>
            </w:pPr>
          </w:p>
        </w:tc>
        <w:tc>
          <w:tcPr>
            <w:tcW w:w="1034" w:type="dxa"/>
            <w:gridSpan w:val="2"/>
            <w:noWrap w:val="0"/>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567" w:hRule="atLeast"/>
          <w:jc w:val="center"/>
        </w:trPr>
        <w:tc>
          <w:tcPr>
            <w:tcW w:w="1100" w:type="dxa"/>
            <w:noWrap w:val="0"/>
            <w:vAlign w:val="center"/>
          </w:tcPr>
          <w:p>
            <w:pPr>
              <w:spacing w:line="360" w:lineRule="auto"/>
              <w:jc w:val="center"/>
              <w:rPr>
                <w:color w:val="auto"/>
                <w:highlight w:val="none"/>
              </w:rPr>
            </w:pPr>
          </w:p>
        </w:tc>
        <w:tc>
          <w:tcPr>
            <w:tcW w:w="1440" w:type="dxa"/>
            <w:noWrap w:val="0"/>
            <w:vAlign w:val="center"/>
          </w:tcPr>
          <w:p>
            <w:pPr>
              <w:spacing w:line="360" w:lineRule="auto"/>
              <w:jc w:val="center"/>
              <w:rPr>
                <w:color w:val="auto"/>
                <w:highlight w:val="none"/>
              </w:rPr>
            </w:pPr>
          </w:p>
        </w:tc>
        <w:tc>
          <w:tcPr>
            <w:tcW w:w="1320" w:type="dxa"/>
            <w:noWrap w:val="0"/>
            <w:vAlign w:val="center"/>
          </w:tcPr>
          <w:p>
            <w:pPr>
              <w:spacing w:line="360" w:lineRule="auto"/>
              <w:jc w:val="center"/>
              <w:rPr>
                <w:color w:val="auto"/>
                <w:highlight w:val="none"/>
              </w:rPr>
            </w:pPr>
          </w:p>
        </w:tc>
        <w:tc>
          <w:tcPr>
            <w:tcW w:w="1161" w:type="dxa"/>
            <w:noWrap w:val="0"/>
            <w:vAlign w:val="center"/>
          </w:tcPr>
          <w:p>
            <w:pPr>
              <w:spacing w:line="360" w:lineRule="auto"/>
              <w:jc w:val="center"/>
              <w:rPr>
                <w:color w:val="auto"/>
                <w:highlight w:val="none"/>
              </w:rPr>
            </w:pPr>
          </w:p>
        </w:tc>
        <w:tc>
          <w:tcPr>
            <w:tcW w:w="1269" w:type="dxa"/>
            <w:gridSpan w:val="2"/>
            <w:noWrap w:val="0"/>
            <w:vAlign w:val="center"/>
          </w:tcPr>
          <w:p>
            <w:pPr>
              <w:spacing w:line="360" w:lineRule="auto"/>
              <w:jc w:val="center"/>
              <w:rPr>
                <w:color w:val="auto"/>
                <w:highlight w:val="none"/>
              </w:rPr>
            </w:pPr>
          </w:p>
        </w:tc>
        <w:tc>
          <w:tcPr>
            <w:tcW w:w="1356" w:type="dxa"/>
            <w:noWrap w:val="0"/>
            <w:vAlign w:val="center"/>
          </w:tcPr>
          <w:p>
            <w:pPr>
              <w:spacing w:line="360" w:lineRule="auto"/>
              <w:jc w:val="center"/>
              <w:rPr>
                <w:color w:val="auto"/>
                <w:highlight w:val="none"/>
              </w:rPr>
            </w:pPr>
          </w:p>
        </w:tc>
        <w:tc>
          <w:tcPr>
            <w:tcW w:w="1034" w:type="dxa"/>
            <w:gridSpan w:val="2"/>
            <w:noWrap w:val="0"/>
            <w:vAlign w:val="center"/>
          </w:tcPr>
          <w:p>
            <w:pPr>
              <w:spacing w:line="360" w:lineRule="auto"/>
              <w:jc w:val="center"/>
              <w:rPr>
                <w:color w:val="auto"/>
                <w:highlight w:val="none"/>
              </w:rPr>
            </w:pPr>
          </w:p>
        </w:tc>
      </w:tr>
    </w:tbl>
    <w:p>
      <w:pPr>
        <w:adjustRightInd w:val="0"/>
        <w:spacing w:line="360" w:lineRule="auto"/>
        <w:ind w:firstLine="480" w:firstLineChars="200"/>
        <w:rPr>
          <w:color w:val="auto"/>
          <w:sz w:val="24"/>
          <w:highlight w:val="none"/>
        </w:rPr>
      </w:pPr>
      <w:r>
        <w:rPr>
          <w:rFonts w:hint="eastAsia"/>
          <w:color w:val="auto"/>
          <w:sz w:val="24"/>
          <w:highlight w:val="none"/>
        </w:rPr>
        <w:t>注：供应商（仅限于供应商自己实施的）以上业绩需提供合同复印件。</w:t>
      </w:r>
    </w:p>
    <w:p>
      <w:pPr>
        <w:adjustRightInd w:val="0"/>
        <w:spacing w:line="360" w:lineRule="auto"/>
        <w:ind w:firstLine="480" w:firstLineChars="200"/>
        <w:rPr>
          <w:color w:val="auto"/>
          <w:sz w:val="24"/>
          <w:highlight w:val="none"/>
        </w:rPr>
      </w:pPr>
    </w:p>
    <w:p>
      <w:pPr>
        <w:adjustRightInd w:val="0"/>
        <w:spacing w:line="360" w:lineRule="auto"/>
        <w:ind w:firstLine="480" w:firstLineChars="200"/>
        <w:rPr>
          <w:color w:val="auto"/>
          <w:sz w:val="24"/>
          <w:highlight w:val="none"/>
        </w:rPr>
      </w:pPr>
    </w:p>
    <w:p>
      <w:pPr>
        <w:adjustRightInd w:val="0"/>
        <w:snapToGrid w:val="0"/>
        <w:spacing w:before="120" w:beforeLines="50" w:after="120" w:afterLines="50"/>
        <w:ind w:firstLine="3840" w:firstLineChars="1600"/>
        <w:rPr>
          <w:color w:val="auto"/>
          <w:sz w:val="24"/>
          <w:highlight w:val="none"/>
        </w:rPr>
      </w:pPr>
      <w:r>
        <w:rPr>
          <w:rFonts w:hint="eastAsia"/>
          <w:color w:val="auto"/>
          <w:sz w:val="24"/>
          <w:highlight w:val="none"/>
        </w:rPr>
        <w:t>供应商：</w:t>
      </w:r>
      <w:r>
        <w:rPr>
          <w:rFonts w:hint="eastAsia"/>
          <w:iCs/>
          <w:color w:val="auto"/>
          <w:sz w:val="24"/>
          <w:highlight w:val="none"/>
        </w:rPr>
        <w:t>（填写名称并盖章）</w:t>
      </w:r>
    </w:p>
    <w:p>
      <w:pPr>
        <w:adjustRightInd w:val="0"/>
        <w:snapToGrid w:val="0"/>
        <w:spacing w:before="120" w:beforeLines="50"/>
        <w:ind w:firstLine="3840" w:firstLineChars="1600"/>
        <w:rPr>
          <w:iCs/>
          <w:color w:val="auto"/>
          <w:sz w:val="24"/>
          <w:highlight w:val="none"/>
        </w:rPr>
      </w:pPr>
      <w:r>
        <w:rPr>
          <w:rFonts w:hint="eastAsia"/>
          <w:color w:val="auto"/>
          <w:sz w:val="24"/>
          <w:highlight w:val="none"/>
        </w:rPr>
        <w:t>法人及授权代表：</w:t>
      </w:r>
      <w:r>
        <w:rPr>
          <w:rFonts w:hint="eastAsia"/>
          <w:iCs/>
          <w:color w:val="auto"/>
          <w:sz w:val="24"/>
          <w:highlight w:val="none"/>
        </w:rPr>
        <w:t>（签字或盖章）</w:t>
      </w:r>
    </w:p>
    <w:p>
      <w:pPr>
        <w:adjustRightInd w:val="0"/>
        <w:snapToGrid w:val="0"/>
        <w:spacing w:before="120" w:beforeLines="50"/>
        <w:ind w:firstLine="3840" w:firstLineChars="1600"/>
        <w:rPr>
          <w:iCs/>
          <w:color w:val="auto"/>
          <w:sz w:val="24"/>
          <w:highlight w:val="none"/>
        </w:rPr>
      </w:pPr>
      <w:r>
        <w:rPr>
          <w:rFonts w:hint="eastAsia"/>
          <w:iCs/>
          <w:color w:val="auto"/>
          <w:sz w:val="24"/>
          <w:highlight w:val="none"/>
        </w:rPr>
        <w:t>日期：</w:t>
      </w:r>
    </w:p>
    <w:p>
      <w:pPr>
        <w:adjustRightInd w:val="0"/>
        <w:snapToGrid w:val="0"/>
        <w:spacing w:before="120" w:beforeLines="50"/>
        <w:ind w:firstLine="3840" w:firstLineChars="1600"/>
        <w:rPr>
          <w:iCs/>
          <w:color w:val="auto"/>
          <w:sz w:val="24"/>
          <w:highlight w:val="none"/>
        </w:rPr>
      </w:pPr>
    </w:p>
    <w:p>
      <w:pPr>
        <w:adjustRightInd w:val="0"/>
        <w:snapToGrid w:val="0"/>
        <w:spacing w:before="120" w:beforeLines="50"/>
        <w:ind w:firstLine="3840" w:firstLineChars="1600"/>
        <w:rPr>
          <w:iCs/>
          <w:color w:val="auto"/>
          <w:sz w:val="24"/>
          <w:highlight w:val="none"/>
        </w:rPr>
      </w:pPr>
    </w:p>
    <w:p>
      <w:pPr>
        <w:adjustRightInd w:val="0"/>
        <w:snapToGrid w:val="0"/>
        <w:spacing w:before="120" w:beforeLines="50"/>
        <w:ind w:firstLine="3840" w:firstLineChars="1600"/>
        <w:rPr>
          <w:iCs/>
          <w:color w:val="auto"/>
          <w:sz w:val="24"/>
          <w:highlight w:val="none"/>
        </w:rPr>
      </w:pPr>
    </w:p>
    <w:p>
      <w:pPr>
        <w:adjustRightInd w:val="0"/>
        <w:snapToGrid w:val="0"/>
        <w:spacing w:before="120" w:beforeLines="50"/>
        <w:ind w:firstLine="3840" w:firstLineChars="1600"/>
        <w:rPr>
          <w:iCs/>
          <w:color w:val="auto"/>
          <w:sz w:val="24"/>
          <w:highlight w:val="none"/>
        </w:rPr>
      </w:pPr>
    </w:p>
    <w:p>
      <w:pPr>
        <w:adjustRightInd w:val="0"/>
        <w:snapToGrid w:val="0"/>
        <w:spacing w:before="120" w:beforeLines="50"/>
        <w:ind w:firstLine="3840" w:firstLineChars="1600"/>
        <w:rPr>
          <w:iCs/>
          <w:color w:val="auto"/>
          <w:sz w:val="24"/>
          <w:highlight w:val="none"/>
        </w:rPr>
      </w:pPr>
    </w:p>
    <w:p>
      <w:pPr>
        <w:adjustRightInd w:val="0"/>
        <w:snapToGrid w:val="0"/>
        <w:spacing w:before="120" w:beforeLines="50"/>
        <w:ind w:firstLine="3840" w:firstLineChars="1600"/>
        <w:rPr>
          <w:iCs/>
          <w:color w:val="auto"/>
          <w:sz w:val="24"/>
          <w:highlight w:val="none"/>
        </w:rPr>
      </w:pPr>
    </w:p>
    <w:p>
      <w:pPr>
        <w:adjustRightInd w:val="0"/>
        <w:snapToGrid w:val="0"/>
        <w:spacing w:before="120" w:beforeLines="50"/>
        <w:ind w:firstLine="3840" w:firstLineChars="1600"/>
        <w:rPr>
          <w:iCs/>
          <w:color w:val="auto"/>
          <w:sz w:val="24"/>
          <w:highlight w:val="none"/>
        </w:rPr>
      </w:pPr>
    </w:p>
    <w:p>
      <w:pPr>
        <w:adjustRightInd w:val="0"/>
        <w:snapToGrid w:val="0"/>
        <w:spacing w:before="120" w:beforeLines="50"/>
        <w:ind w:firstLine="3840" w:firstLineChars="1600"/>
        <w:rPr>
          <w:iCs/>
          <w:color w:val="auto"/>
          <w:sz w:val="24"/>
          <w:highlight w:val="none"/>
        </w:rPr>
      </w:pPr>
    </w:p>
    <w:p>
      <w:pPr>
        <w:adjustRightInd w:val="0"/>
        <w:snapToGrid w:val="0"/>
        <w:spacing w:before="120" w:beforeLines="50"/>
        <w:rPr>
          <w:iCs/>
          <w:color w:val="auto"/>
          <w:sz w:val="24"/>
          <w:highlight w:val="none"/>
        </w:rPr>
      </w:pPr>
    </w:p>
    <w:p>
      <w:pPr>
        <w:widowControl/>
        <w:rPr>
          <w:b/>
          <w:bCs/>
          <w:color w:val="auto"/>
          <w:sz w:val="32"/>
          <w:szCs w:val="36"/>
          <w:highlight w:val="none"/>
        </w:rPr>
      </w:pPr>
      <w:bookmarkStart w:id="1960" w:name="_Toc317237642"/>
      <w:bookmarkStart w:id="1961" w:name="_Toc522804915"/>
      <w:bookmarkStart w:id="1962" w:name="_Toc22252"/>
      <w:bookmarkStart w:id="1963" w:name="_Toc22005"/>
      <w:bookmarkStart w:id="1964" w:name="_Toc212102898"/>
    </w:p>
    <w:p>
      <w:pPr>
        <w:pStyle w:val="2"/>
        <w:tabs>
          <w:tab w:val="left" w:pos="360"/>
          <w:tab w:val="left" w:pos="540"/>
        </w:tabs>
        <w:spacing w:before="120" w:beforeLines="50" w:after="120" w:afterLines="50"/>
        <w:rPr>
          <w:rFonts w:ascii="宋体" w:hAnsi="宋体" w:eastAsia="宋体" w:cs="宋体"/>
          <w:color w:val="auto"/>
          <w:sz w:val="32"/>
          <w:highlight w:val="none"/>
        </w:rPr>
      </w:pPr>
      <w:bookmarkStart w:id="1965" w:name="_Toc12322"/>
      <w:bookmarkStart w:id="1966" w:name="_Toc9995"/>
      <w:bookmarkStart w:id="1967" w:name="_Toc15458"/>
      <w:bookmarkStart w:id="1968" w:name="_Toc27200"/>
      <w:r>
        <w:rPr>
          <w:rFonts w:hint="eastAsia" w:ascii="宋体" w:hAnsi="宋体" w:eastAsia="宋体" w:cs="宋体"/>
          <w:color w:val="auto"/>
          <w:sz w:val="32"/>
          <w:highlight w:val="none"/>
          <w:lang w:val="en-US" w:eastAsia="zh-CN"/>
        </w:rPr>
        <w:t>6</w:t>
      </w:r>
      <w:r>
        <w:rPr>
          <w:rFonts w:hint="eastAsia" w:ascii="宋体" w:hAnsi="宋体" w:eastAsia="宋体" w:cs="宋体"/>
          <w:color w:val="auto"/>
          <w:sz w:val="32"/>
          <w:highlight w:val="none"/>
        </w:rPr>
        <w:t>、反商业贿赂承诺书</w:t>
      </w:r>
      <w:bookmarkEnd w:id="1960"/>
      <w:bookmarkEnd w:id="1961"/>
      <w:bookmarkEnd w:id="1962"/>
      <w:bookmarkEnd w:id="1963"/>
      <w:bookmarkEnd w:id="1964"/>
      <w:bookmarkEnd w:id="1965"/>
      <w:bookmarkEnd w:id="1966"/>
      <w:bookmarkEnd w:id="1967"/>
      <w:bookmarkEnd w:id="1968"/>
    </w:p>
    <w:p>
      <w:pPr>
        <w:jc w:val="center"/>
        <w:rPr>
          <w:b/>
          <w:bCs/>
          <w:color w:val="auto"/>
          <w:sz w:val="36"/>
          <w:szCs w:val="36"/>
          <w:highlight w:val="none"/>
        </w:rPr>
      </w:pPr>
      <w:r>
        <w:rPr>
          <w:rFonts w:hint="eastAsia"/>
          <w:b/>
          <w:bCs/>
          <w:color w:val="auto"/>
          <w:sz w:val="36"/>
          <w:szCs w:val="36"/>
          <w:highlight w:val="none"/>
        </w:rPr>
        <w:t>反商业贿赂承诺书</w:t>
      </w:r>
    </w:p>
    <w:p>
      <w:pPr>
        <w:rPr>
          <w:b/>
          <w:color w:val="auto"/>
          <w:sz w:val="28"/>
          <w:szCs w:val="28"/>
          <w:highlight w:val="none"/>
        </w:rPr>
      </w:pPr>
      <w:r>
        <w:rPr>
          <w:rFonts w:hint="eastAsia"/>
          <w:b/>
          <w:color w:val="auto"/>
          <w:sz w:val="28"/>
          <w:szCs w:val="28"/>
          <w:highlight w:val="none"/>
        </w:rPr>
        <w:t>我公司郑重承诺：</w:t>
      </w:r>
    </w:p>
    <w:p>
      <w:pPr>
        <w:spacing w:line="360" w:lineRule="auto"/>
        <w:ind w:firstLine="480"/>
        <w:rPr>
          <w:color w:val="auto"/>
          <w:sz w:val="24"/>
          <w:highlight w:val="none"/>
        </w:rPr>
      </w:pPr>
      <w:r>
        <w:rPr>
          <w:rFonts w:hint="eastAsia"/>
          <w:color w:val="auto"/>
          <w:sz w:val="24"/>
          <w:highlight w:val="none"/>
        </w:rPr>
        <w:t>在</w:t>
      </w:r>
      <w:r>
        <w:rPr>
          <w:rFonts w:hint="eastAsia"/>
          <w:color w:val="auto"/>
          <w:sz w:val="24"/>
          <w:highlight w:val="none"/>
          <w:u w:val="single"/>
          <w:lang w:val="en-US"/>
        </w:rPr>
        <w:t xml:space="preserve">        </w:t>
      </w:r>
      <w:r>
        <w:rPr>
          <w:rFonts w:hint="eastAsia"/>
          <w:color w:val="auto"/>
          <w:sz w:val="24"/>
          <w:highlight w:val="none"/>
        </w:rPr>
        <w:t>磋商项目采购活动中，我公司保证做到：</w:t>
      </w:r>
    </w:p>
    <w:p>
      <w:pPr>
        <w:spacing w:line="360" w:lineRule="auto"/>
        <w:ind w:firstLine="480"/>
        <w:rPr>
          <w:color w:val="auto"/>
          <w:sz w:val="24"/>
          <w:highlight w:val="none"/>
        </w:rPr>
      </w:pPr>
      <w:r>
        <w:rPr>
          <w:rFonts w:hint="eastAsia"/>
          <w:color w:val="auto"/>
          <w:sz w:val="24"/>
          <w:highlight w:val="none"/>
        </w:rPr>
        <w:t>一、公平竞争参加本磋商项目。</w:t>
      </w:r>
    </w:p>
    <w:p>
      <w:pPr>
        <w:spacing w:line="360" w:lineRule="auto"/>
        <w:ind w:firstLine="480"/>
        <w:rPr>
          <w:color w:val="auto"/>
          <w:sz w:val="24"/>
          <w:highlight w:val="none"/>
        </w:rPr>
      </w:pPr>
      <w:r>
        <w:rPr>
          <w:rFonts w:hint="eastAsia"/>
          <w:color w:val="auto"/>
          <w:sz w:val="24"/>
          <w:highlight w:val="none"/>
        </w:rPr>
        <w:t>二、杜绝任何形式的商业贿赂行为。不向国家工作人员、政府采购代理机构工作人员、评审专家及其亲属提供礼品礼金、有价证券、购物券、回扣、佣金、咨询费、劳务费、赞助费、宣传费和宴请等；不为其报销各种消费凭证，不支付其旅游、娱乐等费用。</w:t>
      </w:r>
    </w:p>
    <w:p>
      <w:pPr>
        <w:spacing w:line="360" w:lineRule="auto"/>
        <w:ind w:firstLine="480"/>
        <w:rPr>
          <w:color w:val="auto"/>
          <w:sz w:val="24"/>
          <w:highlight w:val="none"/>
        </w:rPr>
      </w:pPr>
      <w:r>
        <w:rPr>
          <w:rFonts w:hint="eastAsia"/>
          <w:color w:val="auto"/>
          <w:sz w:val="24"/>
          <w:highlight w:val="none"/>
        </w:rPr>
        <w:t>三、若出现上述行为，我公司及参与磋商的工作人员愿意接受按照国家法律法规等有关规定给予的处罚。</w:t>
      </w:r>
    </w:p>
    <w:p>
      <w:pPr>
        <w:spacing w:line="360" w:lineRule="auto"/>
        <w:ind w:firstLine="480"/>
        <w:rPr>
          <w:color w:val="auto"/>
          <w:sz w:val="24"/>
          <w:highlight w:val="none"/>
        </w:rPr>
      </w:pPr>
    </w:p>
    <w:p>
      <w:pPr>
        <w:spacing w:line="360" w:lineRule="auto"/>
        <w:ind w:firstLine="480"/>
        <w:rPr>
          <w:color w:val="auto"/>
          <w:sz w:val="24"/>
          <w:highlight w:val="none"/>
        </w:rPr>
      </w:pPr>
    </w:p>
    <w:p>
      <w:pPr>
        <w:adjustRightInd w:val="0"/>
        <w:spacing w:line="360" w:lineRule="auto"/>
        <w:ind w:firstLine="480" w:firstLineChars="200"/>
        <w:rPr>
          <w:color w:val="auto"/>
          <w:sz w:val="24"/>
          <w:highlight w:val="none"/>
        </w:rPr>
      </w:pPr>
      <w:bookmarkStart w:id="1969" w:name="_Toc9285"/>
      <w:bookmarkStart w:id="1970" w:name="_Toc317237643"/>
    </w:p>
    <w:p>
      <w:pPr>
        <w:adjustRightInd w:val="0"/>
        <w:snapToGrid w:val="0"/>
        <w:spacing w:before="120" w:beforeLines="50" w:after="120" w:afterLines="50"/>
        <w:ind w:firstLine="3840" w:firstLineChars="1600"/>
        <w:rPr>
          <w:color w:val="auto"/>
          <w:sz w:val="24"/>
          <w:highlight w:val="none"/>
        </w:rPr>
      </w:pPr>
      <w:r>
        <w:rPr>
          <w:rFonts w:hint="eastAsia"/>
          <w:color w:val="auto"/>
          <w:sz w:val="24"/>
          <w:highlight w:val="none"/>
        </w:rPr>
        <w:t>供应商：</w:t>
      </w:r>
      <w:r>
        <w:rPr>
          <w:rFonts w:hint="eastAsia"/>
          <w:iCs/>
          <w:color w:val="auto"/>
          <w:sz w:val="24"/>
          <w:highlight w:val="none"/>
        </w:rPr>
        <w:t>（填写名称并盖章）</w:t>
      </w:r>
    </w:p>
    <w:p>
      <w:pPr>
        <w:adjustRightInd w:val="0"/>
        <w:snapToGrid w:val="0"/>
        <w:spacing w:before="120" w:beforeLines="50"/>
        <w:ind w:firstLine="3840" w:firstLineChars="1600"/>
        <w:rPr>
          <w:iCs/>
          <w:color w:val="auto"/>
          <w:sz w:val="24"/>
          <w:highlight w:val="none"/>
        </w:rPr>
      </w:pPr>
      <w:r>
        <w:rPr>
          <w:rFonts w:hint="eastAsia"/>
          <w:color w:val="auto"/>
          <w:sz w:val="24"/>
          <w:highlight w:val="none"/>
        </w:rPr>
        <w:t>法人及授权代表：</w:t>
      </w:r>
      <w:r>
        <w:rPr>
          <w:rFonts w:hint="eastAsia"/>
          <w:iCs/>
          <w:color w:val="auto"/>
          <w:sz w:val="24"/>
          <w:highlight w:val="none"/>
        </w:rPr>
        <w:t>（签字或盖章）</w:t>
      </w:r>
    </w:p>
    <w:p>
      <w:pPr>
        <w:adjustRightInd w:val="0"/>
        <w:snapToGrid w:val="0"/>
        <w:spacing w:before="120" w:beforeLines="50"/>
        <w:ind w:firstLine="3840" w:firstLineChars="1600"/>
        <w:rPr>
          <w:rFonts w:hint="eastAsia" w:ascii="宋体" w:hAnsi="宋体" w:eastAsia="宋体" w:cs="宋体"/>
          <w:color w:val="auto"/>
          <w:sz w:val="32"/>
          <w:highlight w:val="none"/>
          <w:lang w:val="en-US" w:eastAsia="zh-CN"/>
        </w:rPr>
      </w:pPr>
      <w:r>
        <w:rPr>
          <w:rFonts w:hint="eastAsia"/>
          <w:iCs/>
          <w:color w:val="auto"/>
          <w:sz w:val="24"/>
          <w:highlight w:val="none"/>
        </w:rPr>
        <w:t>日期：</w:t>
      </w:r>
      <w:bookmarkStart w:id="1971" w:name="_Toc15664"/>
    </w:p>
    <w:p>
      <w:pPr>
        <w:pStyle w:val="2"/>
        <w:tabs>
          <w:tab w:val="left" w:pos="360"/>
          <w:tab w:val="left" w:pos="540"/>
        </w:tabs>
        <w:spacing w:before="156" w:beforeLines="50" w:after="156" w:afterLines="50"/>
        <w:rPr>
          <w:rFonts w:eastAsia="宋体" w:cs="宋体"/>
          <w:color w:val="auto"/>
          <w:sz w:val="32"/>
          <w:szCs w:val="32"/>
          <w:highlight w:val="none"/>
        </w:rPr>
      </w:pPr>
      <w:r>
        <w:rPr>
          <w:rFonts w:hint="eastAsia" w:ascii="宋体" w:hAnsi="宋体" w:eastAsia="宋体" w:cs="宋体"/>
          <w:color w:val="auto"/>
          <w:sz w:val="32"/>
          <w:highlight w:val="none"/>
          <w:lang w:val="en-US" w:eastAsia="zh-CN"/>
        </w:rPr>
        <w:br w:type="page"/>
      </w:r>
      <w:bookmarkStart w:id="1972" w:name="_Toc1765"/>
      <w:bookmarkStart w:id="1973" w:name="_Toc15119"/>
      <w:bookmarkStart w:id="1974" w:name="_Toc18397"/>
      <w:r>
        <w:rPr>
          <w:rFonts w:hint="eastAsia" w:ascii="宋体" w:hAnsi="宋体" w:eastAsia="宋体" w:cs="宋体"/>
          <w:color w:val="auto"/>
          <w:sz w:val="32"/>
          <w:highlight w:val="none"/>
          <w:lang w:val="en-US" w:eastAsia="zh-CN"/>
        </w:rPr>
        <w:t>7</w:t>
      </w:r>
      <w:r>
        <w:rPr>
          <w:rFonts w:hint="eastAsia" w:ascii="宋体" w:hAnsi="宋体" w:eastAsia="宋体" w:cs="宋体"/>
          <w:color w:val="auto"/>
          <w:sz w:val="32"/>
          <w:highlight w:val="none"/>
        </w:rPr>
        <w:t>、</w:t>
      </w:r>
      <w:bookmarkStart w:id="1975" w:name="_Toc31433"/>
      <w:bookmarkStart w:id="1976" w:name="_Toc13119"/>
      <w:bookmarkStart w:id="1977" w:name="_Toc2352"/>
      <w:bookmarkStart w:id="1978" w:name="_Toc14968"/>
      <w:bookmarkStart w:id="1979" w:name="_Toc13384"/>
      <w:r>
        <w:rPr>
          <w:rFonts w:hint="eastAsia" w:eastAsia="宋体" w:cs="宋体"/>
          <w:color w:val="auto"/>
          <w:sz w:val="32"/>
          <w:szCs w:val="32"/>
          <w:highlight w:val="none"/>
        </w:rPr>
        <w:t>诚信投标、诚信履约承诺书</w:t>
      </w:r>
      <w:bookmarkEnd w:id="1971"/>
      <w:bookmarkEnd w:id="1972"/>
      <w:bookmarkEnd w:id="1973"/>
      <w:bookmarkEnd w:id="1974"/>
      <w:bookmarkEnd w:id="1975"/>
      <w:bookmarkEnd w:id="1976"/>
      <w:bookmarkEnd w:id="1977"/>
      <w:bookmarkEnd w:id="1978"/>
      <w:bookmarkEnd w:id="1979"/>
    </w:p>
    <w:p>
      <w:pPr>
        <w:snapToGrid w:val="0"/>
        <w:spacing w:line="360" w:lineRule="auto"/>
        <w:rPr>
          <w:rFonts w:hint="eastAsia"/>
          <w:color w:val="auto"/>
          <w:sz w:val="24"/>
          <w:highlight w:val="none"/>
        </w:rPr>
      </w:pPr>
      <w:r>
        <w:rPr>
          <w:rFonts w:hint="eastAsia"/>
          <w:color w:val="auto"/>
          <w:sz w:val="24"/>
          <w:highlight w:val="none"/>
          <w:lang w:eastAsia="zh-CN"/>
        </w:rPr>
        <w:t>海南卓能工程管理有限公司</w:t>
      </w:r>
      <w:r>
        <w:rPr>
          <w:rFonts w:hint="eastAsia"/>
          <w:color w:val="auto"/>
          <w:sz w:val="24"/>
          <w:highlight w:val="none"/>
        </w:rPr>
        <w:t>：</w:t>
      </w:r>
    </w:p>
    <w:p>
      <w:pPr>
        <w:snapToGrid w:val="0"/>
        <w:spacing w:line="360" w:lineRule="auto"/>
        <w:ind w:firstLine="480" w:firstLineChars="200"/>
        <w:rPr>
          <w:color w:val="auto"/>
          <w:sz w:val="24"/>
          <w:highlight w:val="none"/>
        </w:rPr>
      </w:pPr>
      <w:r>
        <w:rPr>
          <w:rFonts w:hint="eastAsia"/>
          <w:color w:val="auto"/>
          <w:sz w:val="24"/>
          <w:highlight w:val="none"/>
        </w:rPr>
        <w:t>我方就本磋商采购活动向贵方郑重承诺：</w:t>
      </w:r>
    </w:p>
    <w:p>
      <w:pPr>
        <w:snapToGrid w:val="0"/>
        <w:spacing w:line="360" w:lineRule="auto"/>
        <w:ind w:firstLine="480" w:firstLineChars="200"/>
        <w:rPr>
          <w:color w:val="auto"/>
          <w:sz w:val="24"/>
          <w:highlight w:val="none"/>
        </w:rPr>
      </w:pPr>
      <w:r>
        <w:rPr>
          <w:rFonts w:hint="eastAsia"/>
          <w:color w:val="auto"/>
          <w:sz w:val="24"/>
          <w:highlight w:val="none"/>
        </w:rPr>
        <w:t>一、我们已经充分理解了磋商文件规定的所有采购要求、成交条件和合同条款，没有任何异议。</w:t>
      </w:r>
    </w:p>
    <w:p>
      <w:pPr>
        <w:snapToGrid w:val="0"/>
        <w:spacing w:line="360" w:lineRule="auto"/>
        <w:ind w:firstLine="480" w:firstLineChars="200"/>
        <w:rPr>
          <w:color w:val="auto"/>
          <w:sz w:val="24"/>
          <w:highlight w:val="none"/>
        </w:rPr>
      </w:pPr>
      <w:r>
        <w:rPr>
          <w:rFonts w:hint="eastAsia"/>
          <w:color w:val="auto"/>
          <w:sz w:val="24"/>
          <w:highlight w:val="none"/>
        </w:rPr>
        <w:t>二、我们在响应文件中提交的所有商务文件和资格证明文件都是真实有效的；我们做出的所有技术响应都是真实可信、可以实现、并经得起验收检验的。我们保证所有的响应在磋商有效期内不发生任何变更。</w:t>
      </w:r>
    </w:p>
    <w:p>
      <w:pPr>
        <w:snapToGrid w:val="0"/>
        <w:spacing w:line="360" w:lineRule="auto"/>
        <w:ind w:firstLine="480" w:firstLineChars="200"/>
        <w:rPr>
          <w:color w:val="auto"/>
          <w:sz w:val="24"/>
          <w:highlight w:val="none"/>
        </w:rPr>
      </w:pPr>
      <w:r>
        <w:rPr>
          <w:rFonts w:hint="eastAsia"/>
          <w:color w:val="auto"/>
          <w:sz w:val="24"/>
          <w:highlight w:val="none"/>
        </w:rPr>
        <w:t>三、我们的磋商报价包含了履行合同所需的全部费用。不论何种原因造成的报价漏项损失，我方全部承担，不会提出任何增加费用的要求。</w:t>
      </w:r>
    </w:p>
    <w:p>
      <w:pPr>
        <w:snapToGrid w:val="0"/>
        <w:spacing w:line="360" w:lineRule="auto"/>
        <w:ind w:firstLine="480" w:firstLineChars="200"/>
        <w:rPr>
          <w:color w:val="auto"/>
          <w:sz w:val="24"/>
          <w:highlight w:val="none"/>
        </w:rPr>
      </w:pPr>
      <w:r>
        <w:rPr>
          <w:rFonts w:hint="eastAsia"/>
          <w:color w:val="auto"/>
          <w:sz w:val="24"/>
          <w:highlight w:val="none"/>
        </w:rPr>
        <w:t>四、我们知道，如果成交后放弃成交，不论原因何在，都是不诚信的行为，都会给采购项目造成损失。如果采购人将本合同授予我们，我们将承担所有的潜在合同风险，绝不以任何理由放弃成交。</w:t>
      </w:r>
    </w:p>
    <w:p>
      <w:pPr>
        <w:snapToGrid w:val="0"/>
        <w:spacing w:line="360" w:lineRule="auto"/>
        <w:ind w:firstLine="480" w:firstLineChars="200"/>
        <w:rPr>
          <w:color w:val="auto"/>
          <w:sz w:val="24"/>
          <w:highlight w:val="none"/>
        </w:rPr>
      </w:pPr>
      <w:r>
        <w:rPr>
          <w:rFonts w:hint="eastAsia"/>
          <w:color w:val="auto"/>
          <w:sz w:val="24"/>
          <w:highlight w:val="none"/>
        </w:rPr>
        <w:t>五、我们知道，成交后拒签或故意拖延签署合同、拒绝履行或故意拖延履行合同，不论原因何在，都是不诚信履约的行为。如果采购人将本合同授予我们，我们将如约在规定的期限内签署合同，在规定的期限内履行合同。</w:t>
      </w:r>
    </w:p>
    <w:p>
      <w:pPr>
        <w:snapToGrid w:val="0"/>
        <w:spacing w:line="360" w:lineRule="auto"/>
        <w:ind w:firstLine="480" w:firstLineChars="200"/>
        <w:rPr>
          <w:color w:val="auto"/>
          <w:sz w:val="24"/>
          <w:highlight w:val="none"/>
        </w:rPr>
      </w:pPr>
      <w:r>
        <w:rPr>
          <w:rFonts w:hint="eastAsia"/>
          <w:color w:val="auto"/>
          <w:sz w:val="24"/>
          <w:highlight w:val="none"/>
        </w:rPr>
        <w:t>六、我们声明：我方在溯往两年内的政府采购活动中，没有成交后放弃成交、拒签或故意拖延签署合同、拒绝履行或故意拖延履行合同的不诚信行为。</w:t>
      </w:r>
    </w:p>
    <w:p>
      <w:pPr>
        <w:snapToGrid w:val="0"/>
        <w:spacing w:line="360" w:lineRule="auto"/>
        <w:ind w:firstLine="480" w:firstLineChars="200"/>
        <w:rPr>
          <w:color w:val="auto"/>
          <w:sz w:val="24"/>
          <w:highlight w:val="none"/>
        </w:rPr>
      </w:pPr>
      <w:r>
        <w:rPr>
          <w:rFonts w:hint="eastAsia"/>
          <w:color w:val="auto"/>
          <w:sz w:val="24"/>
          <w:highlight w:val="none"/>
        </w:rPr>
        <w:t>以上承诺，能够经受来自任何方面的审查和监督。如有虚假或背离，我方愿承担由此引发的一切不利后果，无条件接受采购人的处置和政府采购监管单位的处罚。</w:t>
      </w:r>
    </w:p>
    <w:p>
      <w:pPr>
        <w:snapToGrid w:val="0"/>
        <w:spacing w:line="360" w:lineRule="auto"/>
        <w:rPr>
          <w:color w:val="auto"/>
          <w:sz w:val="24"/>
          <w:highlight w:val="none"/>
        </w:rPr>
      </w:pPr>
    </w:p>
    <w:p>
      <w:pPr>
        <w:snapToGrid w:val="0"/>
        <w:spacing w:line="360" w:lineRule="auto"/>
        <w:rPr>
          <w:color w:val="auto"/>
          <w:sz w:val="24"/>
          <w:highlight w:val="none"/>
        </w:rPr>
      </w:pPr>
    </w:p>
    <w:p>
      <w:pPr>
        <w:snapToGrid w:val="0"/>
        <w:spacing w:line="360" w:lineRule="auto"/>
        <w:rPr>
          <w:color w:val="auto"/>
          <w:sz w:val="24"/>
          <w:highlight w:val="none"/>
        </w:rPr>
      </w:pPr>
      <w:r>
        <w:rPr>
          <w:rFonts w:hint="eastAsia"/>
          <w:color w:val="auto"/>
          <w:sz w:val="24"/>
          <w:highlight w:val="none"/>
        </w:rPr>
        <w:t>供应商：（填写名称并盖章）</w:t>
      </w:r>
    </w:p>
    <w:p>
      <w:pPr>
        <w:snapToGrid w:val="0"/>
        <w:spacing w:line="360" w:lineRule="auto"/>
        <w:rPr>
          <w:color w:val="auto"/>
          <w:sz w:val="24"/>
          <w:highlight w:val="none"/>
        </w:rPr>
      </w:pPr>
      <w:r>
        <w:rPr>
          <w:rFonts w:hint="eastAsia"/>
          <w:color w:val="auto"/>
          <w:sz w:val="24"/>
          <w:highlight w:val="none"/>
        </w:rPr>
        <w:t>法定代表人：</w:t>
      </w:r>
      <w:r>
        <w:rPr>
          <w:rFonts w:hint="eastAsia"/>
          <w:iCs/>
          <w:color w:val="auto"/>
          <w:sz w:val="24"/>
          <w:highlight w:val="none"/>
        </w:rPr>
        <w:t>（签字或盖章）</w:t>
      </w:r>
    </w:p>
    <w:p>
      <w:pPr>
        <w:snapToGrid w:val="0"/>
        <w:spacing w:line="360" w:lineRule="auto"/>
        <w:rPr>
          <w:color w:val="auto"/>
          <w:sz w:val="24"/>
          <w:highlight w:val="none"/>
        </w:rPr>
      </w:pPr>
      <w:r>
        <w:rPr>
          <w:rFonts w:hint="eastAsia"/>
          <w:color w:val="auto"/>
          <w:sz w:val="24"/>
          <w:highlight w:val="none"/>
        </w:rPr>
        <w:t>签署日期：</w:t>
      </w:r>
    </w:p>
    <w:p>
      <w:pPr>
        <w:pStyle w:val="16"/>
        <w:rPr>
          <w:color w:val="auto"/>
          <w:highlight w:val="none"/>
        </w:rPr>
      </w:pPr>
    </w:p>
    <w:p>
      <w:pPr>
        <w:pStyle w:val="16"/>
        <w:rPr>
          <w:rFonts w:hAnsi="宋体"/>
          <w:color w:val="auto"/>
          <w:sz w:val="24"/>
          <w:highlight w:val="none"/>
        </w:rPr>
      </w:pPr>
    </w:p>
    <w:bookmarkEnd w:id="1969"/>
    <w:bookmarkEnd w:id="1970"/>
    <w:p>
      <w:pPr>
        <w:pStyle w:val="2"/>
        <w:tabs>
          <w:tab w:val="left" w:pos="360"/>
          <w:tab w:val="left" w:pos="540"/>
        </w:tabs>
        <w:spacing w:before="156" w:beforeLines="50" w:after="156" w:afterLines="50"/>
        <w:rPr>
          <w:rFonts w:ascii="宋体" w:hAnsi="宋体" w:eastAsia="宋体" w:cs="宋体"/>
          <w:color w:val="auto"/>
          <w:sz w:val="32"/>
          <w:highlight w:val="none"/>
        </w:rPr>
      </w:pPr>
      <w:bookmarkStart w:id="1980" w:name="_Toc317237644"/>
      <w:bookmarkStart w:id="1981" w:name="_Toc27939"/>
      <w:bookmarkStart w:id="1982" w:name="_Toc522804916"/>
      <w:bookmarkStart w:id="1983" w:name="_Toc7336"/>
      <w:r>
        <w:rPr>
          <w:rFonts w:hint="eastAsia" w:ascii="宋体" w:hAnsi="宋体" w:eastAsia="宋体" w:cs="宋体"/>
          <w:color w:val="auto"/>
          <w:sz w:val="32"/>
          <w:highlight w:val="none"/>
        </w:rPr>
        <w:br w:type="page"/>
      </w:r>
      <w:bookmarkStart w:id="1984" w:name="_Toc29"/>
      <w:bookmarkStart w:id="1985" w:name="_Toc6071"/>
      <w:bookmarkStart w:id="1986" w:name="_Toc21556"/>
      <w:bookmarkStart w:id="1987" w:name="_Toc30415"/>
      <w:r>
        <w:rPr>
          <w:rFonts w:hint="eastAsia" w:ascii="宋体" w:hAnsi="宋体" w:eastAsia="宋体" w:cs="宋体"/>
          <w:color w:val="auto"/>
          <w:sz w:val="32"/>
          <w:highlight w:val="none"/>
        </w:rPr>
        <w:t>三、技术响应文件</w:t>
      </w:r>
      <w:bookmarkEnd w:id="1980"/>
      <w:bookmarkEnd w:id="1981"/>
      <w:bookmarkEnd w:id="1982"/>
      <w:bookmarkEnd w:id="1983"/>
      <w:bookmarkEnd w:id="1984"/>
      <w:bookmarkEnd w:id="1985"/>
      <w:bookmarkEnd w:id="1986"/>
      <w:bookmarkEnd w:id="1987"/>
    </w:p>
    <w:p>
      <w:pPr>
        <w:pStyle w:val="2"/>
        <w:spacing w:before="156" w:beforeLines="50" w:after="156" w:afterLines="50"/>
        <w:rPr>
          <w:rFonts w:hint="eastAsia" w:ascii="宋体" w:hAnsi="宋体" w:cs="宋体"/>
          <w:color w:val="000000"/>
          <w:sz w:val="32"/>
          <w:lang w:val="en-US" w:eastAsia="zh-CN"/>
        </w:rPr>
      </w:pPr>
      <w:bookmarkStart w:id="1988" w:name="_Toc18874"/>
      <w:bookmarkStart w:id="1989" w:name="_Toc24164"/>
      <w:bookmarkStart w:id="1990" w:name="_Toc13369"/>
      <w:bookmarkStart w:id="1991" w:name="_Toc23164"/>
      <w:bookmarkStart w:id="1992" w:name="_Toc1359"/>
      <w:bookmarkStart w:id="1993" w:name="_Toc522804917"/>
      <w:bookmarkStart w:id="1994" w:name="_Toc317237645"/>
      <w:r>
        <w:rPr>
          <w:rFonts w:hint="eastAsia" w:ascii="宋体" w:hAnsi="宋体" w:cs="宋体"/>
          <w:color w:val="000000"/>
          <w:sz w:val="32"/>
          <w:lang w:val="en-US" w:eastAsia="zh-CN"/>
        </w:rPr>
        <w:t>1、技术标偏离表</w:t>
      </w:r>
      <w:bookmarkEnd w:id="1988"/>
      <w:bookmarkEnd w:id="1989"/>
    </w:p>
    <w:p>
      <w:pPr>
        <w:spacing w:line="360" w:lineRule="auto"/>
        <w:rPr>
          <w:rFonts w:ascii="宋体" w:hAnsi="宋体" w:cs="宋体"/>
          <w:color w:val="000000"/>
          <w:sz w:val="24"/>
        </w:rPr>
      </w:pPr>
      <w:r>
        <w:rPr>
          <w:rFonts w:hint="eastAsia" w:ascii="宋体" w:hAnsi="宋体" w:cs="宋体"/>
          <w:color w:val="000000"/>
          <w:sz w:val="24"/>
        </w:rPr>
        <w:t>项目名称：港门海岸派出所建设综合勤务指挥室及营区修缮项目</w:t>
      </w:r>
    </w:p>
    <w:p>
      <w:pPr>
        <w:spacing w:line="276" w:lineRule="auto"/>
      </w:pPr>
      <w:r>
        <w:rPr>
          <w:rFonts w:hint="eastAsia" w:ascii="宋体" w:hAnsi="宋体" w:cs="宋体"/>
          <w:color w:val="000000"/>
          <w:sz w:val="24"/>
        </w:rPr>
        <w:t>项目编号：HNZN-SYC2021015</w:t>
      </w:r>
    </w:p>
    <w:tbl>
      <w:tblPr>
        <w:tblStyle w:val="65"/>
        <w:tblW w:w="8295" w:type="dxa"/>
        <w:tblInd w:w="49" w:type="dxa"/>
        <w:tblLayout w:type="autofit"/>
        <w:tblCellMar>
          <w:top w:w="127" w:type="dxa"/>
          <w:left w:w="0" w:type="dxa"/>
          <w:bottom w:w="179" w:type="dxa"/>
          <w:right w:w="0" w:type="dxa"/>
        </w:tblCellMar>
      </w:tblPr>
      <w:tblGrid>
        <w:gridCol w:w="655"/>
        <w:gridCol w:w="1985"/>
        <w:gridCol w:w="2268"/>
        <w:gridCol w:w="2210"/>
        <w:gridCol w:w="1177"/>
      </w:tblGrid>
      <w:tr>
        <w:tblPrEx>
          <w:tblCellMar>
            <w:top w:w="127" w:type="dxa"/>
            <w:left w:w="0" w:type="dxa"/>
            <w:bottom w:w="179" w:type="dxa"/>
            <w:right w:w="0" w:type="dxa"/>
          </w:tblCellMar>
        </w:tblPrEx>
        <w:trPr>
          <w:trHeight w:val="340" w:hRule="atLeast"/>
        </w:trPr>
        <w:tc>
          <w:tcPr>
            <w:tcW w:w="655"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spacing w:line="276" w:lineRule="auto"/>
              <w:ind w:left="186"/>
            </w:pPr>
            <w:r>
              <w:t>序号</w:t>
            </w:r>
          </w:p>
        </w:tc>
        <w:tc>
          <w:tcPr>
            <w:tcW w:w="1985"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spacing w:line="276" w:lineRule="auto"/>
              <w:ind w:right="2"/>
              <w:jc w:val="center"/>
            </w:pPr>
            <w:r>
              <w:rPr>
                <w:rFonts w:hint="eastAsia"/>
              </w:rPr>
              <w:t>招标</w:t>
            </w:r>
            <w:r>
              <w:t>文件条款</w:t>
            </w:r>
          </w:p>
        </w:tc>
        <w:tc>
          <w:tcPr>
            <w:tcW w:w="2268"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spacing w:line="276" w:lineRule="auto"/>
              <w:ind w:right="359"/>
              <w:jc w:val="center"/>
            </w:pPr>
            <w:r>
              <w:t>招标文件中技术要求</w:t>
            </w:r>
          </w:p>
        </w:tc>
        <w:tc>
          <w:tcPr>
            <w:tcW w:w="2210"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spacing w:line="276" w:lineRule="auto"/>
              <w:ind w:right="2"/>
              <w:jc w:val="center"/>
            </w:pPr>
            <w:r>
              <w:t>投标文件响应</w:t>
            </w:r>
            <w:r>
              <w:rPr>
                <w:rFonts w:hint="eastAsia"/>
              </w:rPr>
              <w:t>情况</w:t>
            </w:r>
          </w:p>
        </w:tc>
        <w:tc>
          <w:tcPr>
            <w:tcW w:w="1177"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spacing w:line="276" w:lineRule="auto"/>
              <w:ind w:left="1"/>
              <w:jc w:val="center"/>
            </w:pPr>
            <w:r>
              <w:t>偏离</w:t>
            </w:r>
          </w:p>
        </w:tc>
      </w:tr>
      <w:tr>
        <w:tblPrEx>
          <w:tblCellMar>
            <w:top w:w="127" w:type="dxa"/>
            <w:left w:w="0" w:type="dxa"/>
            <w:bottom w:w="179" w:type="dxa"/>
            <w:right w:w="0" w:type="dxa"/>
          </w:tblCellMar>
        </w:tblPrEx>
        <w:trPr>
          <w:trHeight w:val="340" w:hRule="atLeast"/>
        </w:trPr>
        <w:tc>
          <w:tcPr>
            <w:tcW w:w="655" w:type="dxa"/>
            <w:tcBorders>
              <w:top w:val="single" w:color="000000" w:sz="4" w:space="0"/>
              <w:left w:val="single" w:color="000000" w:sz="4" w:space="0"/>
              <w:bottom w:val="single" w:color="000000" w:sz="4" w:space="0"/>
              <w:right w:val="single" w:color="000000" w:sz="4" w:space="0"/>
            </w:tcBorders>
            <w:noWrap w:val="0"/>
            <w:vAlign w:val="bottom"/>
          </w:tcPr>
          <w:p>
            <w:pPr>
              <w:adjustRightInd w:val="0"/>
              <w:snapToGrid w:val="0"/>
              <w:spacing w:line="276" w:lineRule="auto"/>
              <w:ind w:right="188"/>
              <w:jc w:val="right"/>
            </w:pPr>
            <w:r>
              <w:t xml:space="preserve">1 </w:t>
            </w:r>
          </w:p>
        </w:tc>
        <w:tc>
          <w:tcPr>
            <w:tcW w:w="1985" w:type="dxa"/>
            <w:tcBorders>
              <w:top w:val="single" w:color="000000" w:sz="4" w:space="0"/>
              <w:left w:val="single" w:color="000000" w:sz="4" w:space="0"/>
              <w:bottom w:val="single" w:color="000000" w:sz="4" w:space="0"/>
              <w:right w:val="single" w:color="000000" w:sz="4" w:space="0"/>
            </w:tcBorders>
            <w:noWrap w:val="0"/>
            <w:vAlign w:val="top"/>
          </w:tcPr>
          <w:p>
            <w:pPr>
              <w:adjustRightInd w:val="0"/>
              <w:snapToGrid w:val="0"/>
              <w:spacing w:line="276" w:lineRule="auto"/>
              <w:ind w:left="107"/>
            </w:pPr>
          </w:p>
        </w:tc>
        <w:tc>
          <w:tcPr>
            <w:tcW w:w="2268" w:type="dxa"/>
            <w:tcBorders>
              <w:top w:val="single" w:color="000000" w:sz="4" w:space="0"/>
              <w:left w:val="single" w:color="000000" w:sz="4" w:space="0"/>
              <w:bottom w:val="single" w:color="000000" w:sz="4" w:space="0"/>
              <w:right w:val="single" w:color="000000" w:sz="4" w:space="0"/>
            </w:tcBorders>
            <w:noWrap w:val="0"/>
            <w:vAlign w:val="bottom"/>
          </w:tcPr>
          <w:p>
            <w:pPr>
              <w:adjustRightInd w:val="0"/>
              <w:snapToGrid w:val="0"/>
              <w:spacing w:line="276" w:lineRule="auto"/>
              <w:ind w:left="107"/>
            </w:pPr>
          </w:p>
        </w:tc>
        <w:tc>
          <w:tcPr>
            <w:tcW w:w="2210" w:type="dxa"/>
            <w:tcBorders>
              <w:top w:val="single" w:color="000000" w:sz="4" w:space="0"/>
              <w:left w:val="single" w:color="000000" w:sz="4" w:space="0"/>
              <w:bottom w:val="single" w:color="000000" w:sz="4" w:space="0"/>
              <w:right w:val="single" w:color="000000" w:sz="4" w:space="0"/>
            </w:tcBorders>
            <w:noWrap w:val="0"/>
            <w:vAlign w:val="bottom"/>
          </w:tcPr>
          <w:p>
            <w:pPr>
              <w:adjustRightInd w:val="0"/>
              <w:snapToGrid w:val="0"/>
              <w:spacing w:line="276" w:lineRule="auto"/>
              <w:ind w:left="455"/>
              <w:jc w:val="center"/>
            </w:pPr>
          </w:p>
        </w:tc>
        <w:tc>
          <w:tcPr>
            <w:tcW w:w="1177" w:type="dxa"/>
            <w:tcBorders>
              <w:top w:val="single" w:color="000000" w:sz="4" w:space="0"/>
              <w:left w:val="single" w:color="000000" w:sz="4" w:space="0"/>
              <w:bottom w:val="single" w:color="000000" w:sz="4" w:space="0"/>
              <w:right w:val="single" w:color="000000" w:sz="4" w:space="0"/>
            </w:tcBorders>
            <w:noWrap w:val="0"/>
            <w:vAlign w:val="bottom"/>
          </w:tcPr>
          <w:p>
            <w:pPr>
              <w:adjustRightInd w:val="0"/>
              <w:snapToGrid w:val="0"/>
              <w:spacing w:line="276" w:lineRule="auto"/>
              <w:ind w:left="469"/>
              <w:jc w:val="center"/>
            </w:pPr>
          </w:p>
        </w:tc>
      </w:tr>
      <w:tr>
        <w:tblPrEx>
          <w:tblCellMar>
            <w:top w:w="127" w:type="dxa"/>
            <w:left w:w="0" w:type="dxa"/>
            <w:bottom w:w="179" w:type="dxa"/>
            <w:right w:w="0" w:type="dxa"/>
          </w:tblCellMar>
        </w:tblPrEx>
        <w:trPr>
          <w:trHeight w:val="340" w:hRule="atLeast"/>
        </w:trPr>
        <w:tc>
          <w:tcPr>
            <w:tcW w:w="655" w:type="dxa"/>
            <w:tcBorders>
              <w:top w:val="single" w:color="000000" w:sz="4" w:space="0"/>
              <w:left w:val="single" w:color="000000" w:sz="4" w:space="0"/>
              <w:bottom w:val="single" w:color="000000" w:sz="4" w:space="0"/>
              <w:right w:val="single" w:color="000000" w:sz="4" w:space="0"/>
            </w:tcBorders>
            <w:noWrap w:val="0"/>
            <w:vAlign w:val="bottom"/>
          </w:tcPr>
          <w:p>
            <w:pPr>
              <w:adjustRightInd w:val="0"/>
              <w:snapToGrid w:val="0"/>
              <w:spacing w:line="276" w:lineRule="auto"/>
              <w:ind w:right="188"/>
              <w:jc w:val="right"/>
            </w:pPr>
            <w:r>
              <w:t xml:space="preserve">2 </w:t>
            </w:r>
          </w:p>
        </w:tc>
        <w:tc>
          <w:tcPr>
            <w:tcW w:w="1985" w:type="dxa"/>
            <w:tcBorders>
              <w:top w:val="single" w:color="000000" w:sz="4" w:space="0"/>
              <w:left w:val="single" w:color="000000" w:sz="4" w:space="0"/>
              <w:bottom w:val="single" w:color="000000" w:sz="4" w:space="0"/>
              <w:right w:val="single" w:color="000000" w:sz="4" w:space="0"/>
            </w:tcBorders>
            <w:noWrap w:val="0"/>
            <w:vAlign w:val="top"/>
          </w:tcPr>
          <w:p>
            <w:pPr>
              <w:adjustRightInd w:val="0"/>
              <w:snapToGrid w:val="0"/>
              <w:spacing w:line="276" w:lineRule="auto"/>
              <w:ind w:right="62"/>
              <w:jc w:val="right"/>
            </w:pPr>
          </w:p>
        </w:tc>
        <w:tc>
          <w:tcPr>
            <w:tcW w:w="2268" w:type="dxa"/>
            <w:tcBorders>
              <w:top w:val="single" w:color="000000" w:sz="4" w:space="0"/>
              <w:left w:val="single" w:color="000000" w:sz="4" w:space="0"/>
              <w:bottom w:val="single" w:color="000000" w:sz="4" w:space="0"/>
              <w:right w:val="single" w:color="000000" w:sz="4" w:space="0"/>
            </w:tcBorders>
            <w:noWrap w:val="0"/>
            <w:vAlign w:val="bottom"/>
          </w:tcPr>
          <w:p>
            <w:pPr>
              <w:adjustRightInd w:val="0"/>
              <w:snapToGrid w:val="0"/>
              <w:spacing w:line="276" w:lineRule="auto"/>
              <w:ind w:left="461"/>
              <w:jc w:val="center"/>
            </w:pPr>
          </w:p>
        </w:tc>
        <w:tc>
          <w:tcPr>
            <w:tcW w:w="2210" w:type="dxa"/>
            <w:tcBorders>
              <w:top w:val="single" w:color="000000" w:sz="4" w:space="0"/>
              <w:left w:val="single" w:color="000000" w:sz="4" w:space="0"/>
              <w:bottom w:val="single" w:color="000000" w:sz="4" w:space="0"/>
              <w:right w:val="single" w:color="000000" w:sz="4" w:space="0"/>
            </w:tcBorders>
            <w:noWrap w:val="0"/>
            <w:vAlign w:val="bottom"/>
          </w:tcPr>
          <w:p>
            <w:pPr>
              <w:adjustRightInd w:val="0"/>
              <w:snapToGrid w:val="0"/>
              <w:spacing w:line="276" w:lineRule="auto"/>
              <w:ind w:left="455"/>
              <w:jc w:val="center"/>
            </w:pPr>
          </w:p>
        </w:tc>
        <w:tc>
          <w:tcPr>
            <w:tcW w:w="1177" w:type="dxa"/>
            <w:tcBorders>
              <w:top w:val="single" w:color="000000" w:sz="4" w:space="0"/>
              <w:left w:val="single" w:color="000000" w:sz="4" w:space="0"/>
              <w:bottom w:val="single" w:color="000000" w:sz="4" w:space="0"/>
              <w:right w:val="single" w:color="000000" w:sz="4" w:space="0"/>
            </w:tcBorders>
            <w:noWrap w:val="0"/>
            <w:vAlign w:val="bottom"/>
          </w:tcPr>
          <w:p>
            <w:pPr>
              <w:adjustRightInd w:val="0"/>
              <w:snapToGrid w:val="0"/>
              <w:spacing w:line="276" w:lineRule="auto"/>
              <w:ind w:left="469"/>
              <w:jc w:val="center"/>
            </w:pPr>
          </w:p>
        </w:tc>
      </w:tr>
      <w:tr>
        <w:tblPrEx>
          <w:tblCellMar>
            <w:top w:w="127" w:type="dxa"/>
            <w:left w:w="0" w:type="dxa"/>
            <w:bottom w:w="179" w:type="dxa"/>
            <w:right w:w="0" w:type="dxa"/>
          </w:tblCellMar>
        </w:tblPrEx>
        <w:trPr>
          <w:trHeight w:val="340" w:hRule="atLeast"/>
        </w:trPr>
        <w:tc>
          <w:tcPr>
            <w:tcW w:w="655" w:type="dxa"/>
            <w:tcBorders>
              <w:top w:val="single" w:color="000000" w:sz="4" w:space="0"/>
              <w:left w:val="single" w:color="000000" w:sz="4" w:space="0"/>
              <w:bottom w:val="single" w:color="000000" w:sz="4" w:space="0"/>
              <w:right w:val="single" w:color="000000" w:sz="4" w:space="0"/>
            </w:tcBorders>
            <w:noWrap w:val="0"/>
            <w:vAlign w:val="bottom"/>
          </w:tcPr>
          <w:p>
            <w:pPr>
              <w:adjustRightInd w:val="0"/>
              <w:snapToGrid w:val="0"/>
              <w:spacing w:line="276" w:lineRule="auto"/>
              <w:ind w:right="188"/>
              <w:jc w:val="right"/>
            </w:pPr>
            <w:r>
              <w:rPr>
                <w:rFonts w:hint="eastAsia"/>
              </w:rPr>
              <w:t>3</w:t>
            </w:r>
          </w:p>
        </w:tc>
        <w:tc>
          <w:tcPr>
            <w:tcW w:w="1985" w:type="dxa"/>
            <w:tcBorders>
              <w:top w:val="single" w:color="000000" w:sz="4" w:space="0"/>
              <w:left w:val="single" w:color="000000" w:sz="4" w:space="0"/>
              <w:bottom w:val="single" w:color="000000" w:sz="4" w:space="0"/>
              <w:right w:val="single" w:color="000000" w:sz="4" w:space="0"/>
            </w:tcBorders>
            <w:noWrap w:val="0"/>
            <w:vAlign w:val="top"/>
          </w:tcPr>
          <w:p>
            <w:pPr>
              <w:adjustRightInd w:val="0"/>
              <w:snapToGrid w:val="0"/>
              <w:spacing w:line="276" w:lineRule="auto"/>
              <w:ind w:right="62"/>
              <w:jc w:val="right"/>
            </w:pP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76" w:lineRule="auto"/>
              <w:ind w:left="8"/>
              <w:jc w:val="center"/>
            </w:pPr>
          </w:p>
        </w:tc>
        <w:tc>
          <w:tcPr>
            <w:tcW w:w="2210" w:type="dxa"/>
            <w:tcBorders>
              <w:top w:val="single" w:color="000000" w:sz="4" w:space="0"/>
              <w:left w:val="single" w:color="000000" w:sz="4" w:space="0"/>
              <w:bottom w:val="single" w:color="000000" w:sz="4" w:space="0"/>
              <w:right w:val="single" w:color="000000" w:sz="4" w:space="0"/>
            </w:tcBorders>
            <w:noWrap w:val="0"/>
            <w:vAlign w:val="bottom"/>
          </w:tcPr>
          <w:p>
            <w:pPr>
              <w:adjustRightInd w:val="0"/>
              <w:snapToGrid w:val="0"/>
              <w:spacing w:line="276" w:lineRule="auto"/>
              <w:ind w:left="455"/>
              <w:jc w:val="center"/>
            </w:pPr>
          </w:p>
        </w:tc>
        <w:tc>
          <w:tcPr>
            <w:tcW w:w="1177" w:type="dxa"/>
            <w:tcBorders>
              <w:top w:val="single" w:color="000000" w:sz="4" w:space="0"/>
              <w:left w:val="single" w:color="000000" w:sz="4" w:space="0"/>
              <w:bottom w:val="single" w:color="000000" w:sz="4" w:space="0"/>
              <w:right w:val="single" w:color="000000" w:sz="4" w:space="0"/>
            </w:tcBorders>
            <w:noWrap w:val="0"/>
            <w:vAlign w:val="bottom"/>
          </w:tcPr>
          <w:p>
            <w:pPr>
              <w:adjustRightInd w:val="0"/>
              <w:snapToGrid w:val="0"/>
              <w:spacing w:line="276" w:lineRule="auto"/>
              <w:ind w:left="469"/>
              <w:jc w:val="center"/>
            </w:pPr>
          </w:p>
        </w:tc>
      </w:tr>
      <w:tr>
        <w:tblPrEx>
          <w:tblCellMar>
            <w:top w:w="127" w:type="dxa"/>
            <w:left w:w="0" w:type="dxa"/>
            <w:bottom w:w="179" w:type="dxa"/>
            <w:right w:w="0" w:type="dxa"/>
          </w:tblCellMar>
        </w:tblPrEx>
        <w:trPr>
          <w:trHeight w:val="340" w:hRule="atLeast"/>
        </w:trPr>
        <w:tc>
          <w:tcPr>
            <w:tcW w:w="655" w:type="dxa"/>
            <w:tcBorders>
              <w:top w:val="single" w:color="000000" w:sz="4" w:space="0"/>
              <w:left w:val="single" w:color="000000" w:sz="4" w:space="0"/>
              <w:bottom w:val="single" w:color="000000" w:sz="4" w:space="0"/>
              <w:right w:val="single" w:color="000000" w:sz="4" w:space="0"/>
            </w:tcBorders>
            <w:noWrap w:val="0"/>
            <w:vAlign w:val="top"/>
          </w:tcPr>
          <w:p>
            <w:pPr>
              <w:adjustRightInd w:val="0"/>
              <w:snapToGrid w:val="0"/>
              <w:spacing w:line="276" w:lineRule="auto"/>
            </w:pPr>
          </w:p>
        </w:tc>
        <w:tc>
          <w:tcPr>
            <w:tcW w:w="1985"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76" w:lineRule="auto"/>
              <w:ind w:right="62"/>
              <w:jc w:val="right"/>
            </w:pPr>
          </w:p>
          <w:p>
            <w:pPr>
              <w:adjustRightInd w:val="0"/>
              <w:snapToGrid w:val="0"/>
              <w:spacing w:line="276" w:lineRule="auto"/>
              <w:ind w:left="-35"/>
              <w:jc w:val="center"/>
            </w:pPr>
            <w:r>
              <w:t>......</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76" w:lineRule="auto"/>
              <w:ind w:left="6"/>
              <w:jc w:val="center"/>
            </w:pPr>
          </w:p>
        </w:tc>
        <w:tc>
          <w:tcPr>
            <w:tcW w:w="2210" w:type="dxa"/>
            <w:tcBorders>
              <w:top w:val="single" w:color="000000" w:sz="4" w:space="0"/>
              <w:left w:val="single" w:color="000000" w:sz="4" w:space="0"/>
              <w:bottom w:val="single" w:color="000000" w:sz="4" w:space="0"/>
              <w:right w:val="single" w:color="000000" w:sz="4" w:space="0"/>
            </w:tcBorders>
            <w:noWrap w:val="0"/>
            <w:vAlign w:val="bottom"/>
          </w:tcPr>
          <w:p>
            <w:pPr>
              <w:adjustRightInd w:val="0"/>
              <w:snapToGrid w:val="0"/>
              <w:spacing w:line="276" w:lineRule="auto"/>
              <w:ind w:right="5"/>
              <w:jc w:val="center"/>
            </w:pPr>
          </w:p>
        </w:tc>
        <w:tc>
          <w:tcPr>
            <w:tcW w:w="1177" w:type="dxa"/>
            <w:tcBorders>
              <w:top w:val="single" w:color="000000" w:sz="4" w:space="0"/>
              <w:left w:val="single" w:color="000000" w:sz="4" w:space="0"/>
              <w:bottom w:val="single" w:color="000000" w:sz="4" w:space="0"/>
              <w:right w:val="single" w:color="000000" w:sz="4" w:space="0"/>
            </w:tcBorders>
            <w:noWrap w:val="0"/>
            <w:vAlign w:val="bottom"/>
          </w:tcPr>
          <w:p>
            <w:pPr>
              <w:adjustRightInd w:val="0"/>
              <w:snapToGrid w:val="0"/>
              <w:spacing w:line="276" w:lineRule="auto"/>
              <w:ind w:left="167"/>
            </w:pPr>
          </w:p>
        </w:tc>
      </w:tr>
    </w:tbl>
    <w:p>
      <w:pPr>
        <w:spacing w:line="360" w:lineRule="auto"/>
        <w:ind w:left="29"/>
      </w:pPr>
    </w:p>
    <w:p>
      <w:pPr>
        <w:spacing w:line="360" w:lineRule="auto"/>
      </w:pPr>
      <w:r>
        <w:t>注： 1、此表为样表，行数可自行添加，但格式不变。</w:t>
      </w:r>
    </w:p>
    <w:p>
      <w:pPr>
        <w:spacing w:line="360" w:lineRule="auto"/>
      </w:pPr>
      <w:r>
        <w:rPr>
          <w:rFonts w:hint="eastAsia"/>
        </w:rPr>
        <w:t>2、</w:t>
      </w:r>
      <w:r>
        <w:t>根据投标文件响应情况，分别注明“正偏离”、“完全响应”、“负偏离”</w:t>
      </w:r>
    </w:p>
    <w:p>
      <w:pPr>
        <w:spacing w:line="360" w:lineRule="auto"/>
      </w:pPr>
      <w:r>
        <w:t>3</w:t>
      </w:r>
      <w:r>
        <w:rPr>
          <w:rFonts w:hint="eastAsia"/>
        </w:rPr>
        <w:t>、</w:t>
      </w:r>
      <w:r>
        <w:t>对招标文件无偏离，视为对未列入本表的条款全部接受，注明“完全响应”。</w:t>
      </w:r>
    </w:p>
    <w:p>
      <w:pPr>
        <w:spacing w:line="360" w:lineRule="auto"/>
        <w:rPr>
          <w:rFonts w:ascii="宋体" w:hAnsi="宋体" w:cs="宋体"/>
        </w:rPr>
      </w:pPr>
      <w:r>
        <w:rPr>
          <w:rFonts w:hint="eastAsia" w:ascii="宋体" w:hAnsi="宋体" w:cs="宋体"/>
        </w:rPr>
        <w:t>4、</w:t>
      </w:r>
      <w:r>
        <w:rPr>
          <w:rFonts w:hint="eastAsia"/>
        </w:rPr>
        <w:t>为方便评标委员会和采购人了解投标人的实际情况，应尽可能填写本项目技术条款相关内容。</w:t>
      </w:r>
      <w:r>
        <w:rPr>
          <w:rFonts w:hint="eastAsia" w:ascii="宋体" w:hAnsi="宋体" w:cs="宋体"/>
        </w:rPr>
        <w:t>填写的内容应包括但不限于第三章采购需求的技术要求【</w:t>
      </w:r>
      <w:r>
        <w:rPr>
          <w:rFonts w:hint="eastAsia"/>
        </w:rPr>
        <w:t>根据《政府采购需求管理办法》的定义，</w:t>
      </w:r>
      <w:r>
        <w:rPr>
          <w:rFonts w:hint="eastAsia" w:ascii="宋体" w:hAnsi="宋体" w:cs="宋体"/>
        </w:rPr>
        <w:t>技术要求是指“</w:t>
      </w:r>
      <w:r>
        <w:rPr>
          <w:rFonts w:hint="eastAsia" w:ascii="宋体" w:hAnsi="宋体" w:cs="宋体"/>
          <w:u w:val="single"/>
        </w:rPr>
        <w:t>对采购标的的功能和质量要求，包括性能、材料、结构、外观、安全，或者服务内容和标准等</w:t>
      </w:r>
      <w:r>
        <w:rPr>
          <w:rFonts w:hint="eastAsia" w:ascii="宋体" w:hAnsi="宋体" w:cs="宋体"/>
        </w:rPr>
        <w:t>”】。表格长度和内容可根据需要自行调整，投标人根据招标文件要求结合实际情况和自身状况进行填写。</w:t>
      </w:r>
    </w:p>
    <w:p>
      <w:pPr>
        <w:pStyle w:val="12"/>
        <w:autoSpaceDE w:val="0"/>
        <w:autoSpaceDN w:val="0"/>
        <w:spacing w:line="360" w:lineRule="auto"/>
      </w:pPr>
      <w:r>
        <w:rPr>
          <w:rFonts w:hint="eastAsia" w:hAnsi="宋体"/>
          <w:sz w:val="21"/>
          <w:szCs w:val="21"/>
        </w:rPr>
        <w:t>5、</w:t>
      </w:r>
      <w:r>
        <w:rPr>
          <w:rFonts w:hint="eastAsia"/>
          <w:sz w:val="21"/>
          <w:szCs w:val="21"/>
        </w:rPr>
        <w:t>若投标人未根据自身实际状况填写负偏离内容或者完全偏离内容或者其他内容，视为未列入本表格的内容都完全响应。</w:t>
      </w:r>
    </w:p>
    <w:p>
      <w:pPr>
        <w:pStyle w:val="12"/>
        <w:spacing w:line="480" w:lineRule="auto"/>
        <w:ind w:firstLine="4560" w:firstLineChars="1900"/>
        <w:rPr>
          <w:sz w:val="24"/>
          <w:szCs w:val="24"/>
        </w:rPr>
      </w:pPr>
    </w:p>
    <w:p>
      <w:pPr>
        <w:pStyle w:val="12"/>
        <w:spacing w:line="480" w:lineRule="auto"/>
        <w:ind w:firstLine="4560" w:firstLineChars="1900"/>
        <w:rPr>
          <w:sz w:val="24"/>
          <w:szCs w:val="24"/>
        </w:rPr>
      </w:pPr>
      <w:r>
        <w:rPr>
          <w:sz w:val="24"/>
          <w:szCs w:val="24"/>
        </w:rPr>
        <w:t>投标</w:t>
      </w:r>
      <w:r>
        <w:rPr>
          <w:rFonts w:hint="eastAsia"/>
          <w:sz w:val="24"/>
          <w:szCs w:val="24"/>
        </w:rPr>
        <w:t>人名称</w:t>
      </w:r>
      <w:r>
        <w:rPr>
          <w:sz w:val="24"/>
          <w:szCs w:val="24"/>
        </w:rPr>
        <w:t>：（盖章）</w:t>
      </w:r>
    </w:p>
    <w:p>
      <w:pPr>
        <w:pStyle w:val="12"/>
        <w:spacing w:line="480" w:lineRule="auto"/>
        <w:ind w:right="-320" w:firstLine="4560" w:firstLineChars="1900"/>
        <w:rPr>
          <w:sz w:val="24"/>
          <w:szCs w:val="24"/>
        </w:rPr>
      </w:pPr>
      <w:r>
        <w:rPr>
          <w:sz w:val="24"/>
          <w:szCs w:val="24"/>
        </w:rPr>
        <w:t>法定代表人或授权</w:t>
      </w:r>
      <w:r>
        <w:rPr>
          <w:rFonts w:hint="eastAsia"/>
          <w:sz w:val="24"/>
          <w:szCs w:val="24"/>
        </w:rPr>
        <w:t>代表</w:t>
      </w:r>
      <w:r>
        <w:rPr>
          <w:sz w:val="24"/>
          <w:szCs w:val="24"/>
        </w:rPr>
        <w:t xml:space="preserve">：（签字或盖章） </w:t>
      </w:r>
    </w:p>
    <w:p>
      <w:pPr>
        <w:pStyle w:val="12"/>
        <w:spacing w:line="480" w:lineRule="auto"/>
        <w:ind w:right="-100" w:firstLine="4560" w:firstLineChars="1900"/>
        <w:rPr>
          <w:sz w:val="24"/>
          <w:szCs w:val="24"/>
        </w:rPr>
      </w:pPr>
      <w:r>
        <w:rPr>
          <w:sz w:val="24"/>
          <w:szCs w:val="24"/>
        </w:rPr>
        <w:t>日期：</w:t>
      </w:r>
      <w:bookmarkEnd w:id="1926"/>
      <w:bookmarkEnd w:id="1990"/>
      <w:bookmarkEnd w:id="1991"/>
      <w:bookmarkEnd w:id="1992"/>
      <w:bookmarkEnd w:id="1993"/>
      <w:bookmarkEnd w:id="1994"/>
    </w:p>
    <w:p>
      <w:pPr>
        <w:rPr>
          <w:rFonts w:hint="eastAsia" w:ascii="宋体" w:hAnsi="宋体" w:eastAsia="宋体" w:cs="宋体"/>
          <w:color w:val="auto"/>
          <w:sz w:val="32"/>
          <w:highlight w:val="none"/>
        </w:rPr>
      </w:pPr>
      <w:r>
        <w:rPr>
          <w:rFonts w:hint="eastAsia" w:ascii="宋体" w:hAnsi="宋体" w:eastAsia="宋体" w:cs="宋体"/>
          <w:color w:val="auto"/>
          <w:sz w:val="32"/>
          <w:highlight w:val="none"/>
        </w:rPr>
        <w:br w:type="page"/>
      </w:r>
    </w:p>
    <w:p>
      <w:pPr>
        <w:pStyle w:val="2"/>
        <w:spacing w:before="156" w:beforeLines="50" w:after="156" w:afterLines="50"/>
        <w:rPr>
          <w:rFonts w:hint="default" w:ascii="宋体" w:hAnsi="宋体" w:eastAsia="宋体" w:cs="宋体"/>
          <w:color w:val="auto"/>
          <w:sz w:val="32"/>
          <w:highlight w:val="none"/>
          <w:lang w:val="en-US" w:eastAsia="zh-CN"/>
        </w:rPr>
      </w:pPr>
      <w:bookmarkStart w:id="1995" w:name="_Toc16412"/>
      <w:bookmarkStart w:id="1996" w:name="_Toc19559"/>
      <w:r>
        <w:rPr>
          <w:rFonts w:hint="eastAsia" w:ascii="宋体" w:hAnsi="宋体" w:eastAsia="宋体" w:cs="宋体"/>
          <w:color w:val="auto"/>
          <w:sz w:val="32"/>
          <w:highlight w:val="none"/>
          <w:lang w:val="en-US" w:eastAsia="zh-CN"/>
        </w:rPr>
        <w:t>2、</w:t>
      </w:r>
      <w:r>
        <w:rPr>
          <w:rFonts w:hint="eastAsia" w:ascii="宋体" w:hAnsi="宋体" w:cs="宋体"/>
          <w:color w:val="000000"/>
          <w:sz w:val="32"/>
          <w:lang w:val="en-US" w:eastAsia="zh-CN"/>
        </w:rPr>
        <w:t>技术方案</w:t>
      </w:r>
      <w:bookmarkEnd w:id="1995"/>
      <w:bookmarkEnd w:id="1996"/>
    </w:p>
    <w:p>
      <w:pPr>
        <w:adjustRightInd w:val="0"/>
        <w:snapToGrid w:val="0"/>
        <w:rPr>
          <w:color w:val="auto"/>
          <w:sz w:val="24"/>
          <w:highlight w:val="none"/>
        </w:rPr>
      </w:pPr>
    </w:p>
    <w:p>
      <w:pPr>
        <w:adjustRightInd w:val="0"/>
        <w:snapToGrid w:val="0"/>
        <w:spacing w:before="156" w:beforeLines="50"/>
        <w:ind w:firstLine="480" w:firstLineChars="200"/>
        <w:rPr>
          <w:rFonts w:hint="eastAsia" w:eastAsia="宋体"/>
          <w:color w:val="auto"/>
          <w:highlight w:val="none"/>
          <w:lang w:eastAsia="zh-CN"/>
        </w:rPr>
      </w:pPr>
      <w:r>
        <w:rPr>
          <w:rFonts w:hint="eastAsia"/>
          <w:color w:val="auto"/>
          <w:sz w:val="24"/>
          <w:highlight w:val="none"/>
          <w:lang w:eastAsia="zh-CN"/>
        </w:rPr>
        <w:t>（格式自拟）</w:t>
      </w:r>
    </w:p>
    <w:p>
      <w:pPr>
        <w:adjustRightInd w:val="0"/>
        <w:snapToGrid w:val="0"/>
        <w:spacing w:before="156" w:beforeLines="50"/>
        <w:ind w:firstLine="440" w:firstLineChars="200"/>
        <w:rPr>
          <w:color w:val="auto"/>
          <w:highlight w:val="none"/>
        </w:rPr>
      </w:pPr>
    </w:p>
    <w:p>
      <w:pPr>
        <w:adjustRightInd w:val="0"/>
        <w:snapToGrid w:val="0"/>
        <w:spacing w:before="156" w:beforeLines="50"/>
        <w:ind w:firstLine="440" w:firstLineChars="200"/>
        <w:rPr>
          <w:color w:val="auto"/>
          <w:highlight w:val="none"/>
        </w:rPr>
      </w:pPr>
    </w:p>
    <w:p>
      <w:pPr>
        <w:adjustRightInd w:val="0"/>
        <w:snapToGrid w:val="0"/>
        <w:spacing w:before="156" w:beforeLines="50"/>
        <w:ind w:firstLine="440" w:firstLineChars="200"/>
        <w:rPr>
          <w:color w:val="auto"/>
          <w:highlight w:val="none"/>
        </w:rPr>
      </w:pPr>
    </w:p>
    <w:p>
      <w:pPr>
        <w:spacing w:line="360" w:lineRule="auto"/>
        <w:ind w:firstLine="480"/>
        <w:rPr>
          <w:color w:val="auto"/>
          <w:sz w:val="24"/>
          <w:highlight w:val="none"/>
        </w:rPr>
      </w:pPr>
      <w:r>
        <w:rPr>
          <w:rFonts w:hint="eastAsia"/>
          <w:color w:val="auto"/>
          <w:sz w:val="24"/>
          <w:highlight w:val="none"/>
        </w:rPr>
        <w:t xml:space="preserve">                              投标人名称（盖章）：</w:t>
      </w:r>
    </w:p>
    <w:p>
      <w:pPr>
        <w:spacing w:line="360" w:lineRule="auto"/>
        <w:ind w:firstLine="480"/>
        <w:rPr>
          <w:color w:val="auto"/>
          <w:sz w:val="24"/>
          <w:highlight w:val="none"/>
        </w:rPr>
      </w:pPr>
      <w:r>
        <w:rPr>
          <w:rFonts w:hint="eastAsia"/>
          <w:color w:val="auto"/>
          <w:sz w:val="24"/>
          <w:highlight w:val="none"/>
        </w:rPr>
        <w:t xml:space="preserve">                              法定代表人或授权委托人(签字或盖章）：</w:t>
      </w:r>
    </w:p>
    <w:p>
      <w:pPr>
        <w:spacing w:line="360" w:lineRule="auto"/>
        <w:ind w:firstLine="480"/>
        <w:rPr>
          <w:color w:val="auto"/>
          <w:sz w:val="24"/>
          <w:highlight w:val="none"/>
        </w:rPr>
      </w:pPr>
      <w:r>
        <w:rPr>
          <w:rFonts w:hint="eastAsia"/>
          <w:color w:val="auto"/>
          <w:sz w:val="24"/>
          <w:highlight w:val="none"/>
        </w:rPr>
        <w:t xml:space="preserve">                               日期：</w:t>
      </w:r>
    </w:p>
    <w:p>
      <w:pPr>
        <w:spacing w:line="360" w:lineRule="auto"/>
        <w:ind w:firstLine="480"/>
        <w:rPr>
          <w:color w:val="auto"/>
          <w:sz w:val="24"/>
          <w:highlight w:val="none"/>
        </w:rPr>
      </w:pPr>
    </w:p>
    <w:p>
      <w:pPr>
        <w:spacing w:line="360" w:lineRule="auto"/>
        <w:ind w:firstLine="480"/>
        <w:rPr>
          <w:color w:val="auto"/>
          <w:sz w:val="24"/>
          <w:highlight w:val="none"/>
        </w:rPr>
      </w:pPr>
    </w:p>
    <w:p>
      <w:pPr>
        <w:spacing w:line="360" w:lineRule="auto"/>
        <w:ind w:firstLine="480"/>
        <w:rPr>
          <w:color w:val="auto"/>
          <w:sz w:val="24"/>
          <w:highlight w:val="none"/>
        </w:rPr>
      </w:pPr>
    </w:p>
    <w:p>
      <w:pPr>
        <w:pStyle w:val="2"/>
        <w:tabs>
          <w:tab w:val="left" w:pos="360"/>
          <w:tab w:val="left" w:pos="540"/>
        </w:tabs>
        <w:spacing w:before="156" w:beforeLines="50" w:after="156" w:afterLines="50"/>
        <w:rPr>
          <w:rFonts w:hint="eastAsia" w:ascii="宋体" w:hAnsi="宋体" w:eastAsia="宋体" w:cs="宋体"/>
          <w:color w:val="auto"/>
          <w:sz w:val="32"/>
          <w:highlight w:val="none"/>
        </w:rPr>
      </w:pPr>
      <w:r>
        <w:rPr>
          <w:rFonts w:hint="eastAsia" w:ascii="宋体" w:hAnsi="宋体" w:eastAsia="宋体" w:cs="宋体"/>
          <w:color w:val="auto"/>
          <w:sz w:val="32"/>
          <w:highlight w:val="none"/>
        </w:rPr>
        <w:br w:type="page"/>
      </w:r>
      <w:bookmarkStart w:id="1997" w:name="_Toc16252"/>
      <w:bookmarkStart w:id="1998" w:name="_Toc15117"/>
      <w:bookmarkStart w:id="1999" w:name="_Toc26689"/>
      <w:r>
        <w:rPr>
          <w:rFonts w:hint="eastAsia" w:ascii="宋体" w:hAnsi="宋体" w:eastAsia="宋体" w:cs="宋体"/>
          <w:color w:val="auto"/>
          <w:sz w:val="32"/>
          <w:highlight w:val="none"/>
          <w:lang w:val="zh-CN" w:eastAsia="zh-CN"/>
        </w:rPr>
        <w:t>四、</w:t>
      </w:r>
      <w:bookmarkStart w:id="2000" w:name="_Toc8710"/>
      <w:bookmarkStart w:id="2001" w:name="_Toc522804918"/>
      <w:bookmarkStart w:id="2002" w:name="_Toc17757"/>
      <w:bookmarkStart w:id="2003" w:name="_Toc317237647"/>
      <w:r>
        <w:rPr>
          <w:rFonts w:hint="eastAsia" w:ascii="宋体" w:hAnsi="宋体" w:eastAsia="宋体" w:cs="宋体"/>
          <w:color w:val="auto"/>
          <w:sz w:val="32"/>
          <w:highlight w:val="none"/>
          <w:lang w:val="zh-CN" w:eastAsia="zh-CN"/>
        </w:rPr>
        <w:t>供应商认为需要提供的其它文件</w:t>
      </w:r>
      <w:bookmarkEnd w:id="1997"/>
      <w:bookmarkEnd w:id="1998"/>
      <w:bookmarkEnd w:id="1999"/>
      <w:bookmarkEnd w:id="2000"/>
      <w:bookmarkEnd w:id="2001"/>
      <w:bookmarkEnd w:id="2002"/>
      <w:bookmarkEnd w:id="2003"/>
    </w:p>
    <w:p>
      <w:pPr>
        <w:rPr>
          <w:color w:val="auto"/>
          <w:highlight w:val="none"/>
        </w:rPr>
      </w:pPr>
    </w:p>
    <w:p>
      <w:pPr>
        <w:pStyle w:val="47"/>
        <w:numPr>
          <w:ilvl w:val="0"/>
          <w:numId w:val="11"/>
        </w:numPr>
        <w:outlineLvl w:val="9"/>
        <w:rPr>
          <w:rFonts w:cs="宋体"/>
          <w:b/>
        </w:rPr>
      </w:pPr>
      <w:bookmarkStart w:id="2004" w:name="_Toc22516"/>
      <w:bookmarkStart w:id="2005" w:name="_Toc29868"/>
      <w:r>
        <w:rPr>
          <w:rFonts w:hint="eastAsia" w:cs="宋体"/>
          <w:b/>
        </w:rPr>
        <w:t>其他</w:t>
      </w:r>
      <w:bookmarkEnd w:id="2004"/>
      <w:bookmarkEnd w:id="2005"/>
    </w:p>
    <w:p>
      <w:pPr>
        <w:pStyle w:val="17"/>
        <w:tabs>
          <w:tab w:val="left" w:pos="4620"/>
        </w:tabs>
        <w:adjustRightInd/>
        <w:spacing w:line="480" w:lineRule="auto"/>
        <w:ind w:firstLine="0" w:firstLineChars="0"/>
        <w:textAlignment w:val="auto"/>
        <w:rPr>
          <w:color w:val="auto"/>
          <w:highlight w:val="none"/>
        </w:rPr>
      </w:pPr>
    </w:p>
    <w:p>
      <w:pPr>
        <w:wordWrap w:val="0"/>
        <w:autoSpaceDE/>
        <w:autoSpaceDN/>
        <w:spacing w:line="560" w:lineRule="exact"/>
        <w:rPr>
          <w:rFonts w:hint="eastAsia" w:ascii="仿宋" w:hAnsi="仿宋" w:cs="仿宋"/>
          <w:snapToGrid w:val="0"/>
          <w:color w:val="auto"/>
          <w:szCs w:val="28"/>
          <w:highlight w:val="none"/>
        </w:rPr>
      </w:pPr>
    </w:p>
    <w:p>
      <w:pPr>
        <w:wordWrap w:val="0"/>
        <w:autoSpaceDE/>
        <w:autoSpaceDN/>
        <w:spacing w:line="560" w:lineRule="exact"/>
        <w:ind w:left="560" w:firstLine="110" w:firstLineChars="50"/>
        <w:rPr>
          <w:rFonts w:hint="eastAsia" w:ascii="仿宋" w:hAnsi="仿宋" w:cs="仿宋"/>
          <w:snapToGrid w:val="0"/>
          <w:color w:val="auto"/>
          <w:szCs w:val="28"/>
          <w:highlight w:val="none"/>
        </w:rPr>
      </w:pPr>
    </w:p>
    <w:p>
      <w:pPr>
        <w:wordWrap w:val="0"/>
        <w:autoSpaceDE/>
        <w:autoSpaceDN/>
        <w:spacing w:line="560" w:lineRule="exact"/>
        <w:ind w:left="560"/>
        <w:rPr>
          <w:rFonts w:hint="eastAsia" w:ascii="仿宋" w:hAnsi="仿宋" w:cs="仿宋"/>
          <w:snapToGrid w:val="0"/>
          <w:color w:val="auto"/>
          <w:szCs w:val="28"/>
          <w:highlight w:val="none"/>
        </w:rPr>
      </w:pPr>
    </w:p>
    <w:p>
      <w:pPr>
        <w:wordWrap w:val="0"/>
        <w:autoSpaceDE/>
        <w:autoSpaceDN/>
        <w:spacing w:line="560" w:lineRule="exact"/>
        <w:ind w:left="560"/>
        <w:rPr>
          <w:rFonts w:hint="eastAsia" w:ascii="仿宋" w:hAnsi="仿宋" w:cs="仿宋"/>
          <w:snapToGrid w:val="0"/>
          <w:color w:val="auto"/>
          <w:szCs w:val="28"/>
          <w:highlight w:val="none"/>
        </w:rPr>
      </w:pPr>
    </w:p>
    <w:p>
      <w:pPr>
        <w:wordWrap w:val="0"/>
        <w:autoSpaceDE/>
        <w:autoSpaceDN/>
        <w:spacing w:line="560" w:lineRule="exact"/>
        <w:ind w:left="560"/>
        <w:rPr>
          <w:rFonts w:hint="eastAsia" w:ascii="仿宋" w:hAnsi="仿宋" w:cs="仿宋"/>
          <w:snapToGrid w:val="0"/>
          <w:color w:val="auto"/>
          <w:szCs w:val="28"/>
          <w:highlight w:val="none"/>
        </w:rPr>
      </w:pPr>
    </w:p>
    <w:p>
      <w:pPr>
        <w:wordWrap w:val="0"/>
        <w:autoSpaceDE/>
        <w:autoSpaceDN/>
        <w:spacing w:line="560" w:lineRule="exact"/>
        <w:ind w:left="560" w:firstLine="110" w:firstLineChars="50"/>
        <w:rPr>
          <w:rFonts w:hint="eastAsia" w:ascii="仿宋" w:hAnsi="仿宋" w:cs="仿宋"/>
          <w:snapToGrid w:val="0"/>
          <w:color w:val="auto"/>
          <w:szCs w:val="28"/>
          <w:highlight w:val="none"/>
        </w:rPr>
      </w:pPr>
    </w:p>
    <w:p>
      <w:pPr>
        <w:wordWrap w:val="0"/>
        <w:autoSpaceDE/>
        <w:autoSpaceDN/>
        <w:spacing w:line="560" w:lineRule="exact"/>
        <w:ind w:left="1393" w:hanging="1392" w:hangingChars="633"/>
        <w:rPr>
          <w:rFonts w:hint="eastAsia" w:ascii="仿宋" w:hAnsi="仿宋" w:cs="仿宋"/>
          <w:snapToGrid w:val="0"/>
          <w:color w:val="auto"/>
          <w:szCs w:val="28"/>
          <w:highlight w:val="none"/>
        </w:rPr>
      </w:pPr>
    </w:p>
    <w:p>
      <w:pPr>
        <w:wordWrap w:val="0"/>
        <w:autoSpaceDE/>
        <w:autoSpaceDN/>
        <w:spacing w:line="560" w:lineRule="exact"/>
        <w:ind w:left="1393" w:hanging="1392" w:hangingChars="633"/>
        <w:rPr>
          <w:rFonts w:hint="eastAsia" w:ascii="仿宋" w:hAnsi="仿宋" w:cs="仿宋"/>
          <w:snapToGrid w:val="0"/>
          <w:color w:val="auto"/>
          <w:szCs w:val="28"/>
          <w:highlight w:val="none"/>
        </w:rPr>
      </w:pPr>
    </w:p>
    <w:p>
      <w:pPr>
        <w:pStyle w:val="16"/>
        <w:rPr>
          <w:rFonts w:hint="eastAsia" w:ascii="仿宋" w:hAnsi="仿宋" w:cs="仿宋"/>
          <w:snapToGrid w:val="0"/>
          <w:color w:val="auto"/>
          <w:szCs w:val="28"/>
          <w:highlight w:val="none"/>
        </w:rPr>
      </w:pPr>
    </w:p>
    <w:p>
      <w:pPr>
        <w:pStyle w:val="16"/>
        <w:rPr>
          <w:rFonts w:hint="eastAsia" w:ascii="仿宋" w:hAnsi="仿宋" w:cs="仿宋"/>
          <w:snapToGrid w:val="0"/>
          <w:color w:val="auto"/>
          <w:szCs w:val="28"/>
          <w:highlight w:val="none"/>
        </w:rPr>
      </w:pPr>
    </w:p>
    <w:p>
      <w:pPr>
        <w:pStyle w:val="16"/>
        <w:rPr>
          <w:rFonts w:hint="eastAsia" w:ascii="仿宋" w:hAnsi="仿宋" w:cs="仿宋"/>
          <w:snapToGrid w:val="0"/>
          <w:color w:val="auto"/>
          <w:szCs w:val="28"/>
          <w:highlight w:val="none"/>
        </w:rPr>
      </w:pPr>
    </w:p>
    <w:p>
      <w:pPr>
        <w:pStyle w:val="16"/>
        <w:rPr>
          <w:rFonts w:hint="eastAsia" w:ascii="仿宋" w:hAnsi="仿宋" w:cs="仿宋"/>
          <w:snapToGrid w:val="0"/>
          <w:color w:val="auto"/>
          <w:szCs w:val="28"/>
          <w:highlight w:val="none"/>
        </w:rPr>
      </w:pPr>
    </w:p>
    <w:p>
      <w:pPr>
        <w:pStyle w:val="16"/>
        <w:rPr>
          <w:rFonts w:hint="eastAsia" w:ascii="仿宋" w:hAnsi="仿宋" w:cs="仿宋"/>
          <w:snapToGrid w:val="0"/>
          <w:color w:val="auto"/>
          <w:szCs w:val="28"/>
          <w:highlight w:val="none"/>
        </w:rPr>
      </w:pPr>
    </w:p>
    <w:p>
      <w:pPr>
        <w:pStyle w:val="16"/>
        <w:rPr>
          <w:rFonts w:hint="eastAsia" w:ascii="仿宋" w:hAnsi="仿宋" w:cs="仿宋"/>
          <w:snapToGrid w:val="0"/>
          <w:color w:val="auto"/>
          <w:szCs w:val="28"/>
          <w:highlight w:val="none"/>
        </w:rPr>
      </w:pPr>
    </w:p>
    <w:p>
      <w:pPr>
        <w:pStyle w:val="16"/>
        <w:rPr>
          <w:rFonts w:hint="eastAsia" w:ascii="仿宋" w:hAnsi="仿宋" w:cs="仿宋"/>
          <w:snapToGrid w:val="0"/>
          <w:color w:val="auto"/>
          <w:szCs w:val="28"/>
          <w:highlight w:val="none"/>
        </w:rPr>
      </w:pPr>
    </w:p>
    <w:p>
      <w:pPr>
        <w:pStyle w:val="16"/>
        <w:rPr>
          <w:rFonts w:hint="eastAsia" w:ascii="仿宋" w:hAnsi="仿宋" w:cs="仿宋"/>
          <w:snapToGrid w:val="0"/>
          <w:color w:val="auto"/>
          <w:szCs w:val="28"/>
          <w:highlight w:val="none"/>
        </w:rPr>
      </w:pPr>
    </w:p>
    <w:p>
      <w:pPr>
        <w:pStyle w:val="16"/>
        <w:rPr>
          <w:rFonts w:hint="eastAsia" w:ascii="仿宋" w:hAnsi="仿宋" w:cs="仿宋"/>
          <w:snapToGrid w:val="0"/>
          <w:color w:val="auto"/>
          <w:szCs w:val="28"/>
          <w:highlight w:val="none"/>
        </w:rPr>
      </w:pPr>
    </w:p>
    <w:p>
      <w:pPr>
        <w:pStyle w:val="16"/>
        <w:rPr>
          <w:rFonts w:hint="eastAsia" w:ascii="仿宋" w:hAnsi="仿宋" w:cs="仿宋"/>
          <w:snapToGrid w:val="0"/>
          <w:color w:val="auto"/>
          <w:szCs w:val="28"/>
          <w:highlight w:val="none"/>
        </w:rPr>
      </w:pPr>
    </w:p>
    <w:p>
      <w:pPr>
        <w:pStyle w:val="16"/>
        <w:rPr>
          <w:rFonts w:hint="eastAsia" w:ascii="仿宋" w:hAnsi="仿宋" w:cs="仿宋"/>
          <w:snapToGrid w:val="0"/>
          <w:color w:val="auto"/>
          <w:szCs w:val="28"/>
          <w:highlight w:val="none"/>
        </w:rPr>
      </w:pPr>
    </w:p>
    <w:p>
      <w:pPr>
        <w:pStyle w:val="16"/>
        <w:rPr>
          <w:rFonts w:hint="eastAsia" w:ascii="仿宋" w:hAnsi="仿宋" w:cs="仿宋"/>
          <w:snapToGrid w:val="0"/>
          <w:color w:val="auto"/>
          <w:szCs w:val="28"/>
          <w:highlight w:val="none"/>
        </w:rPr>
      </w:pPr>
    </w:p>
    <w:p>
      <w:pPr>
        <w:pStyle w:val="16"/>
        <w:rPr>
          <w:rFonts w:hint="eastAsia" w:ascii="仿宋" w:hAnsi="仿宋" w:cs="仿宋"/>
          <w:snapToGrid w:val="0"/>
          <w:color w:val="auto"/>
          <w:szCs w:val="28"/>
          <w:highlight w:val="none"/>
        </w:rPr>
      </w:pPr>
    </w:p>
    <w:p>
      <w:pPr>
        <w:pStyle w:val="16"/>
        <w:rPr>
          <w:rFonts w:hint="eastAsia" w:ascii="仿宋" w:hAnsi="仿宋" w:cs="仿宋"/>
          <w:snapToGrid w:val="0"/>
          <w:color w:val="auto"/>
          <w:szCs w:val="28"/>
          <w:highlight w:val="none"/>
        </w:rPr>
      </w:pPr>
    </w:p>
    <w:p>
      <w:pPr>
        <w:pStyle w:val="16"/>
        <w:rPr>
          <w:rFonts w:hint="eastAsia" w:ascii="仿宋" w:hAnsi="仿宋" w:cs="仿宋"/>
          <w:snapToGrid w:val="0"/>
          <w:color w:val="auto"/>
          <w:szCs w:val="28"/>
          <w:highlight w:val="none"/>
        </w:rPr>
      </w:pPr>
    </w:p>
    <w:p>
      <w:pPr>
        <w:pStyle w:val="16"/>
        <w:rPr>
          <w:rFonts w:hint="eastAsia" w:ascii="仿宋" w:hAnsi="仿宋" w:cs="仿宋"/>
          <w:snapToGrid w:val="0"/>
          <w:color w:val="auto"/>
          <w:szCs w:val="28"/>
          <w:highlight w:val="none"/>
        </w:rPr>
      </w:pPr>
    </w:p>
    <w:p>
      <w:pPr>
        <w:pStyle w:val="16"/>
        <w:rPr>
          <w:rFonts w:hint="eastAsia" w:ascii="仿宋" w:hAnsi="仿宋" w:cs="仿宋"/>
          <w:snapToGrid w:val="0"/>
          <w:color w:val="auto"/>
          <w:szCs w:val="28"/>
          <w:highlight w:val="none"/>
        </w:rPr>
      </w:pPr>
    </w:p>
    <w:p>
      <w:pPr>
        <w:pStyle w:val="16"/>
        <w:rPr>
          <w:rFonts w:hint="eastAsia" w:ascii="仿宋" w:hAnsi="仿宋" w:cs="仿宋"/>
          <w:snapToGrid w:val="0"/>
          <w:color w:val="auto"/>
          <w:szCs w:val="28"/>
          <w:highlight w:val="none"/>
        </w:rPr>
      </w:pPr>
    </w:p>
    <w:p>
      <w:pPr>
        <w:pStyle w:val="16"/>
        <w:rPr>
          <w:rFonts w:hint="eastAsia" w:ascii="仿宋" w:hAnsi="仿宋" w:cs="仿宋"/>
          <w:snapToGrid w:val="0"/>
          <w:color w:val="auto"/>
          <w:szCs w:val="28"/>
          <w:highlight w:val="none"/>
        </w:rPr>
      </w:pPr>
    </w:p>
    <w:p>
      <w:pPr>
        <w:pStyle w:val="16"/>
        <w:rPr>
          <w:rFonts w:hint="eastAsia" w:ascii="仿宋" w:hAnsi="仿宋" w:cs="仿宋"/>
          <w:snapToGrid w:val="0"/>
          <w:color w:val="auto"/>
          <w:szCs w:val="28"/>
          <w:highlight w:val="none"/>
        </w:rPr>
      </w:pPr>
    </w:p>
    <w:p>
      <w:pPr>
        <w:pStyle w:val="16"/>
        <w:rPr>
          <w:rFonts w:hint="eastAsia" w:ascii="仿宋" w:hAnsi="仿宋" w:cs="仿宋"/>
          <w:snapToGrid w:val="0"/>
          <w:color w:val="auto"/>
          <w:szCs w:val="28"/>
          <w:highlight w:val="none"/>
        </w:rPr>
      </w:pPr>
    </w:p>
    <w:p>
      <w:pPr>
        <w:pStyle w:val="16"/>
        <w:rPr>
          <w:rFonts w:hint="eastAsia" w:ascii="仿宋" w:hAnsi="仿宋" w:cs="仿宋"/>
          <w:snapToGrid w:val="0"/>
          <w:color w:val="auto"/>
          <w:szCs w:val="28"/>
          <w:highlight w:val="none"/>
        </w:rPr>
      </w:pPr>
    </w:p>
    <w:p>
      <w:pPr>
        <w:rPr>
          <w:rFonts w:hint="eastAsia" w:cs="宋体"/>
          <w:b/>
          <w:bCs/>
          <w:color w:val="000000"/>
          <w:sz w:val="48"/>
          <w:szCs w:val="48"/>
          <w:highlight w:val="none"/>
        </w:rPr>
      </w:pPr>
      <w:bookmarkStart w:id="2006" w:name="_Toc11256"/>
      <w:bookmarkStart w:id="2007" w:name="_Toc29472"/>
      <w:r>
        <w:rPr>
          <w:rFonts w:hint="eastAsia" w:cs="宋体"/>
          <w:b/>
          <w:bCs/>
          <w:color w:val="000000"/>
          <w:sz w:val="48"/>
          <w:szCs w:val="48"/>
          <w:highlight w:val="none"/>
        </w:rPr>
        <w:br w:type="page"/>
      </w:r>
    </w:p>
    <w:p>
      <w:pPr>
        <w:jc w:val="center"/>
        <w:outlineLvl w:val="0"/>
        <w:rPr>
          <w:rFonts w:hint="default" w:eastAsia="宋体"/>
          <w:b/>
          <w:bCs/>
          <w:color w:val="auto"/>
          <w:highlight w:val="none"/>
          <w:lang w:val="en-US" w:eastAsia="zh-CN"/>
        </w:rPr>
      </w:pPr>
      <w:bookmarkStart w:id="2008" w:name="_Toc13992"/>
      <w:bookmarkStart w:id="2009" w:name="_Toc9857"/>
      <w:r>
        <w:rPr>
          <w:rFonts w:hint="eastAsia" w:cs="宋体"/>
          <w:b/>
          <w:bCs/>
          <w:color w:val="000000"/>
          <w:sz w:val="48"/>
          <w:szCs w:val="48"/>
          <w:highlight w:val="none"/>
        </w:rPr>
        <w:t>第六部分响应文件格式</w:t>
      </w:r>
      <w:bookmarkEnd w:id="2006"/>
      <w:bookmarkEnd w:id="2007"/>
      <w:r>
        <w:rPr>
          <w:rFonts w:hint="eastAsia" w:cs="宋体"/>
          <w:b/>
          <w:bCs/>
          <w:color w:val="000000"/>
          <w:sz w:val="48"/>
          <w:szCs w:val="48"/>
          <w:highlight w:val="none"/>
          <w:lang w:val="en-US" w:eastAsia="zh-CN"/>
        </w:rPr>
        <w:t>(B包)</w:t>
      </w:r>
      <w:bookmarkEnd w:id="2008"/>
      <w:bookmarkEnd w:id="2009"/>
    </w:p>
    <w:p>
      <w:pPr>
        <w:rPr>
          <w:b/>
          <w:color w:val="auto"/>
          <w:highlight w:val="none"/>
        </w:rPr>
      </w:pPr>
    </w:p>
    <w:p>
      <w:pPr>
        <w:pStyle w:val="12"/>
        <w:rPr>
          <w:b/>
          <w:color w:val="auto"/>
          <w:sz w:val="35"/>
          <w:highlight w:val="none"/>
        </w:rPr>
      </w:pPr>
    </w:p>
    <w:p>
      <w:pPr>
        <w:spacing w:before="1"/>
        <w:ind w:left="2" w:right="89"/>
        <w:jc w:val="center"/>
        <w:rPr>
          <w:color w:val="auto"/>
          <w:sz w:val="28"/>
          <w:highlight w:val="none"/>
        </w:rPr>
      </w:pPr>
      <w:r>
        <w:rPr>
          <w:color w:val="auto"/>
          <w:sz w:val="28"/>
          <w:highlight w:val="none"/>
          <w:u w:val="single"/>
        </w:rPr>
        <w:t>以下封面仅供参考</w:t>
      </w:r>
    </w:p>
    <w:p>
      <w:pPr>
        <w:pStyle w:val="12"/>
        <w:rPr>
          <w:color w:val="auto"/>
          <w:sz w:val="20"/>
          <w:highlight w:val="none"/>
        </w:rPr>
      </w:pPr>
    </w:p>
    <w:p>
      <w:pPr>
        <w:spacing w:before="193"/>
        <w:ind w:left="6188"/>
        <w:rPr>
          <w:b/>
          <w:color w:val="auto"/>
          <w:sz w:val="48"/>
          <w:highlight w:val="none"/>
        </w:rPr>
      </w:pPr>
      <w:r>
        <w:rPr>
          <w:b/>
          <w:color w:val="auto"/>
          <w:sz w:val="48"/>
          <w:highlight w:val="none"/>
        </w:rPr>
        <w:t>（正本</w:t>
      </w:r>
      <w:r>
        <w:rPr>
          <w:rFonts w:ascii="Times New Roman" w:eastAsia="Times New Roman"/>
          <w:b/>
          <w:color w:val="auto"/>
          <w:sz w:val="48"/>
          <w:highlight w:val="none"/>
        </w:rPr>
        <w:t>/</w:t>
      </w:r>
      <w:r>
        <w:rPr>
          <w:b/>
          <w:color w:val="auto"/>
          <w:sz w:val="48"/>
          <w:highlight w:val="none"/>
        </w:rPr>
        <w:t>副本）</w:t>
      </w:r>
    </w:p>
    <w:p>
      <w:pPr>
        <w:pStyle w:val="12"/>
        <w:rPr>
          <w:b/>
          <w:color w:val="auto"/>
          <w:sz w:val="52"/>
          <w:highlight w:val="none"/>
        </w:rPr>
      </w:pPr>
    </w:p>
    <w:p>
      <w:pPr>
        <w:pStyle w:val="12"/>
        <w:spacing w:before="8"/>
        <w:rPr>
          <w:b/>
          <w:color w:val="auto"/>
          <w:sz w:val="48"/>
          <w:highlight w:val="none"/>
        </w:rPr>
      </w:pPr>
    </w:p>
    <w:p>
      <w:pPr>
        <w:ind w:left="2070"/>
        <w:rPr>
          <w:b/>
          <w:color w:val="auto"/>
          <w:spacing w:val="183"/>
          <w:sz w:val="116"/>
          <w:highlight w:val="none"/>
        </w:rPr>
      </w:pPr>
      <w:r>
        <w:rPr>
          <w:b/>
          <w:color w:val="auto"/>
          <w:spacing w:val="183"/>
          <w:sz w:val="116"/>
          <w:highlight w:val="none"/>
        </w:rPr>
        <w:t>响应文件</w:t>
      </w:r>
    </w:p>
    <w:p>
      <w:pPr>
        <w:pStyle w:val="16"/>
        <w:rPr>
          <w:b/>
          <w:color w:val="auto"/>
          <w:spacing w:val="183"/>
          <w:sz w:val="116"/>
          <w:highlight w:val="none"/>
        </w:rPr>
      </w:pPr>
    </w:p>
    <w:p>
      <w:pPr>
        <w:ind w:left="1568"/>
        <w:rPr>
          <w:rFonts w:hint="eastAsia"/>
          <w:b/>
          <w:color w:val="auto"/>
          <w:sz w:val="30"/>
          <w:highlight w:val="none"/>
        </w:rPr>
      </w:pPr>
      <w:r>
        <w:rPr>
          <w:b/>
          <w:color w:val="auto"/>
          <w:sz w:val="30"/>
          <w:highlight w:val="none"/>
        </w:rPr>
        <w:t>采 购 人：</w:t>
      </w:r>
      <w:r>
        <w:rPr>
          <w:rFonts w:hint="eastAsia"/>
          <w:b/>
          <w:color w:val="auto"/>
          <w:sz w:val="30"/>
          <w:highlight w:val="none"/>
          <w:lang w:val="en-US"/>
        </w:rPr>
        <w:t xml:space="preserve"> </w:t>
      </w:r>
    </w:p>
    <w:p>
      <w:pPr>
        <w:pStyle w:val="12"/>
        <w:spacing w:before="12"/>
        <w:rPr>
          <w:b/>
          <w:color w:val="auto"/>
          <w:sz w:val="30"/>
          <w:highlight w:val="none"/>
        </w:rPr>
      </w:pPr>
    </w:p>
    <w:p>
      <w:pPr>
        <w:spacing w:line="388" w:lineRule="auto"/>
        <w:ind w:left="2879" w:right="369" w:hanging="1311"/>
        <w:rPr>
          <w:rFonts w:hint="eastAsia" w:eastAsia="宋体"/>
          <w:b/>
          <w:color w:val="auto"/>
          <w:sz w:val="30"/>
          <w:highlight w:val="none"/>
          <w:lang w:eastAsia="zh-CN"/>
        </w:rPr>
      </w:pPr>
      <w:r>
        <w:rPr>
          <w:b/>
          <w:color w:val="auto"/>
          <w:spacing w:val="-18"/>
          <w:sz w:val="30"/>
          <w:highlight w:val="none"/>
        </w:rPr>
        <w:t>项目名称：</w:t>
      </w:r>
      <w:r>
        <w:rPr>
          <w:rFonts w:hint="eastAsia"/>
          <w:b/>
          <w:color w:val="auto"/>
          <w:spacing w:val="-18"/>
          <w:sz w:val="30"/>
          <w:highlight w:val="none"/>
          <w:lang w:val="en-US"/>
        </w:rPr>
        <w:t xml:space="preserve"> 港门海岸派出所建设综合勤务指挥室及营区修缮项目</w:t>
      </w:r>
      <w:r>
        <w:rPr>
          <w:rFonts w:hint="eastAsia"/>
          <w:b/>
          <w:color w:val="auto"/>
          <w:spacing w:val="-18"/>
          <w:sz w:val="30"/>
          <w:highlight w:val="none"/>
          <w:lang w:val="en-US" w:eastAsia="zh-CN"/>
        </w:rPr>
        <w:t>（B包）</w:t>
      </w:r>
    </w:p>
    <w:p>
      <w:pPr>
        <w:spacing w:before="158"/>
        <w:ind w:left="1568"/>
        <w:rPr>
          <w:rFonts w:hint="eastAsia" w:ascii="Times New Roman"/>
          <w:b/>
          <w:color w:val="auto"/>
          <w:sz w:val="30"/>
          <w:highlight w:val="none"/>
        </w:rPr>
      </w:pPr>
      <w:r>
        <w:rPr>
          <w:b/>
          <w:color w:val="auto"/>
          <w:sz w:val="30"/>
          <w:highlight w:val="none"/>
        </w:rPr>
        <w:t>项目编号：</w:t>
      </w:r>
      <w:r>
        <w:rPr>
          <w:rFonts w:hint="eastAsia"/>
          <w:b/>
          <w:color w:val="auto"/>
          <w:sz w:val="30"/>
          <w:highlight w:val="none"/>
          <w:lang w:eastAsia="zh-CN"/>
        </w:rPr>
        <w:t>HNZN-SYC2021015（</w:t>
      </w:r>
      <w:r>
        <w:rPr>
          <w:rFonts w:hint="eastAsia"/>
          <w:b/>
          <w:color w:val="auto"/>
          <w:sz w:val="30"/>
          <w:highlight w:val="none"/>
          <w:lang w:val="en-US" w:eastAsia="zh-CN"/>
        </w:rPr>
        <w:t>B包</w:t>
      </w:r>
      <w:r>
        <w:rPr>
          <w:rFonts w:hint="eastAsia"/>
          <w:b/>
          <w:color w:val="auto"/>
          <w:sz w:val="30"/>
          <w:highlight w:val="none"/>
          <w:lang w:eastAsia="zh-CN"/>
        </w:rPr>
        <w:t>）</w:t>
      </w:r>
      <w:r>
        <w:rPr>
          <w:rFonts w:hint="eastAsia"/>
          <w:b/>
          <w:color w:val="auto"/>
          <w:sz w:val="30"/>
          <w:highlight w:val="none"/>
          <w:lang w:val="en-US"/>
        </w:rPr>
        <w:t xml:space="preserve"> </w:t>
      </w:r>
    </w:p>
    <w:p>
      <w:pPr>
        <w:pStyle w:val="12"/>
        <w:rPr>
          <w:rFonts w:ascii="Times New Roman"/>
          <w:b/>
          <w:color w:val="auto"/>
          <w:sz w:val="32"/>
          <w:highlight w:val="none"/>
        </w:rPr>
      </w:pPr>
    </w:p>
    <w:p>
      <w:pPr>
        <w:spacing w:before="158"/>
        <w:ind w:left="1568"/>
        <w:rPr>
          <w:rFonts w:hint="default" w:ascii="Times New Roman" w:eastAsia="宋体"/>
          <w:b/>
          <w:color w:val="auto"/>
          <w:sz w:val="30"/>
          <w:highlight w:val="none"/>
          <w:lang w:val="en-US" w:eastAsia="zh-CN"/>
        </w:rPr>
      </w:pPr>
      <w:r>
        <w:rPr>
          <w:rFonts w:hint="eastAsia"/>
          <w:b/>
          <w:color w:val="auto"/>
          <w:sz w:val="30"/>
          <w:highlight w:val="none"/>
          <w:lang w:eastAsia="zh-CN"/>
        </w:rPr>
        <w:t>包号</w:t>
      </w:r>
      <w:r>
        <w:rPr>
          <w:b/>
          <w:color w:val="auto"/>
          <w:sz w:val="30"/>
          <w:highlight w:val="none"/>
        </w:rPr>
        <w:t>：</w:t>
      </w:r>
      <w:r>
        <w:rPr>
          <w:rFonts w:hint="eastAsia"/>
          <w:b/>
          <w:color w:val="auto"/>
          <w:sz w:val="30"/>
          <w:highlight w:val="none"/>
          <w:lang w:val="en-US" w:eastAsia="zh-CN"/>
        </w:rPr>
        <w:t>B包</w:t>
      </w:r>
    </w:p>
    <w:p>
      <w:pPr>
        <w:pStyle w:val="12"/>
        <w:rPr>
          <w:rFonts w:ascii="Times New Roman"/>
          <w:b/>
          <w:color w:val="auto"/>
          <w:sz w:val="32"/>
          <w:highlight w:val="none"/>
        </w:rPr>
      </w:pPr>
    </w:p>
    <w:p>
      <w:pPr>
        <w:pStyle w:val="12"/>
        <w:rPr>
          <w:rFonts w:ascii="Times New Roman"/>
          <w:b/>
          <w:color w:val="auto"/>
          <w:sz w:val="32"/>
          <w:highlight w:val="none"/>
        </w:rPr>
      </w:pPr>
    </w:p>
    <w:p>
      <w:pPr>
        <w:pStyle w:val="12"/>
        <w:spacing w:before="2"/>
        <w:rPr>
          <w:rFonts w:ascii="Times New Roman"/>
          <w:b/>
          <w:color w:val="auto"/>
          <w:sz w:val="37"/>
          <w:highlight w:val="none"/>
        </w:rPr>
      </w:pPr>
    </w:p>
    <w:p>
      <w:pPr>
        <w:tabs>
          <w:tab w:val="left" w:pos="2586"/>
          <w:tab w:val="left" w:pos="6039"/>
          <w:tab w:val="left" w:pos="6111"/>
        </w:tabs>
        <w:spacing w:before="1" w:line="388" w:lineRule="auto"/>
        <w:ind w:left="1983" w:right="2361"/>
        <w:rPr>
          <w:rFonts w:ascii="Times New Roman" w:eastAsia="Times New Roman"/>
          <w:b/>
          <w:color w:val="auto"/>
          <w:sz w:val="30"/>
          <w:highlight w:val="none"/>
        </w:rPr>
      </w:pPr>
      <w:r>
        <w:rPr>
          <w:b/>
          <w:color w:val="auto"/>
          <w:sz w:val="30"/>
          <w:highlight w:val="none"/>
        </w:rPr>
        <w:t>供应商：</w:t>
      </w:r>
      <w:r>
        <w:rPr>
          <w:b/>
          <w:color w:val="auto"/>
          <w:sz w:val="30"/>
          <w:highlight w:val="none"/>
          <w:u w:val="thick"/>
        </w:rPr>
        <w:t xml:space="preserve"> </w:t>
      </w:r>
      <w:r>
        <w:rPr>
          <w:b/>
          <w:color w:val="auto"/>
          <w:sz w:val="30"/>
          <w:highlight w:val="none"/>
          <w:u w:val="thick"/>
        </w:rPr>
        <w:tab/>
      </w:r>
      <w:r>
        <w:rPr>
          <w:b/>
          <w:color w:val="auto"/>
          <w:sz w:val="30"/>
          <w:highlight w:val="none"/>
        </w:rPr>
        <w:t>（盖章</w:t>
      </w:r>
      <w:r>
        <w:rPr>
          <w:b/>
          <w:color w:val="auto"/>
          <w:spacing w:val="-16"/>
          <w:sz w:val="30"/>
          <w:highlight w:val="none"/>
        </w:rPr>
        <w:t xml:space="preserve">） </w:t>
      </w:r>
      <w:r>
        <w:rPr>
          <w:b/>
          <w:color w:val="auto"/>
          <w:sz w:val="30"/>
          <w:highlight w:val="none"/>
        </w:rPr>
        <w:t>地</w:t>
      </w:r>
      <w:r>
        <w:rPr>
          <w:b/>
          <w:color w:val="auto"/>
          <w:sz w:val="30"/>
          <w:highlight w:val="none"/>
        </w:rPr>
        <w:tab/>
      </w:r>
      <w:r>
        <w:rPr>
          <w:b/>
          <w:color w:val="auto"/>
          <w:w w:val="95"/>
          <w:sz w:val="30"/>
          <w:highlight w:val="none"/>
        </w:rPr>
        <w:t>址：</w:t>
      </w:r>
      <w:r>
        <w:rPr>
          <w:rFonts w:ascii="Times New Roman" w:eastAsia="Times New Roman"/>
          <w:b/>
          <w:color w:val="auto"/>
          <w:sz w:val="30"/>
          <w:highlight w:val="none"/>
          <w:u w:val="thick"/>
        </w:rPr>
        <w:t xml:space="preserve"> </w:t>
      </w:r>
      <w:r>
        <w:rPr>
          <w:rFonts w:ascii="Times New Roman" w:eastAsia="Times New Roman"/>
          <w:b/>
          <w:color w:val="auto"/>
          <w:sz w:val="30"/>
          <w:highlight w:val="none"/>
          <w:u w:val="thick"/>
        </w:rPr>
        <w:tab/>
      </w:r>
      <w:r>
        <w:rPr>
          <w:rFonts w:ascii="Times New Roman" w:eastAsia="Times New Roman"/>
          <w:b/>
          <w:color w:val="auto"/>
          <w:sz w:val="30"/>
          <w:highlight w:val="none"/>
          <w:u w:val="thick"/>
        </w:rPr>
        <w:tab/>
      </w:r>
    </w:p>
    <w:p>
      <w:pPr>
        <w:tabs>
          <w:tab w:val="left" w:pos="2586"/>
          <w:tab w:val="left" w:pos="4763"/>
          <w:tab w:val="left" w:pos="5514"/>
        </w:tabs>
        <w:spacing w:before="2"/>
        <w:ind w:left="1983"/>
        <w:rPr>
          <w:sz w:val="30"/>
          <w:highlight w:val="none"/>
        </w:rPr>
        <w:sectPr>
          <w:headerReference r:id="rId16" w:type="default"/>
          <w:footerReference r:id="rId17" w:type="default"/>
          <w:pgSz w:w="11910" w:h="16840"/>
          <w:pgMar w:top="1580" w:right="1020" w:bottom="1160" w:left="1280" w:header="0" w:footer="974" w:gutter="0"/>
          <w:pgNumType w:fmt="decimal"/>
          <w:cols w:space="720" w:num="1"/>
        </w:sectPr>
      </w:pPr>
      <w:r>
        <w:rPr>
          <w:b/>
          <w:color w:val="auto"/>
          <w:sz w:val="30"/>
          <w:highlight w:val="none"/>
        </w:rPr>
        <w:t>日</w:t>
      </w:r>
      <w:r>
        <w:rPr>
          <w:b/>
          <w:color w:val="auto"/>
          <w:sz w:val="30"/>
          <w:highlight w:val="none"/>
        </w:rPr>
        <w:tab/>
      </w:r>
      <w:r>
        <w:rPr>
          <w:b/>
          <w:color w:val="auto"/>
          <w:sz w:val="30"/>
          <w:highlight w:val="none"/>
        </w:rPr>
        <w:t>期：</w:t>
      </w:r>
      <w:r>
        <w:rPr>
          <w:rFonts w:hint="eastAsia" w:ascii="Times New Roman" w:eastAsia="宋体"/>
          <w:b/>
          <w:color w:val="auto"/>
          <w:sz w:val="30"/>
          <w:highlight w:val="none"/>
          <w:lang w:val="en-US" w:eastAsia="zh-CN"/>
        </w:rPr>
        <w:t xml:space="preserve">    </w:t>
      </w:r>
      <w:r>
        <w:rPr>
          <w:b/>
          <w:color w:val="auto"/>
          <w:sz w:val="30"/>
          <w:highlight w:val="none"/>
        </w:rPr>
        <w:t>年</w:t>
      </w:r>
      <w:r>
        <w:rPr>
          <w:b/>
          <w:color w:val="auto"/>
          <w:sz w:val="30"/>
          <w:highlight w:val="none"/>
        </w:rPr>
        <w:tab/>
      </w:r>
      <w:r>
        <w:rPr>
          <w:b/>
          <w:color w:val="auto"/>
          <w:sz w:val="30"/>
          <w:highlight w:val="none"/>
        </w:rPr>
        <w:t>月</w:t>
      </w:r>
      <w:r>
        <w:rPr>
          <w:b/>
          <w:color w:val="auto"/>
          <w:sz w:val="30"/>
          <w:highlight w:val="none"/>
        </w:rPr>
        <w:tab/>
      </w:r>
      <w:r>
        <w:rPr>
          <w:b/>
          <w:color w:val="auto"/>
          <w:sz w:val="30"/>
          <w:highlight w:val="none"/>
        </w:rPr>
        <w:t>日</w:t>
      </w:r>
    </w:p>
    <w:p>
      <w:pPr>
        <w:jc w:val="left"/>
        <w:rPr>
          <w:rFonts w:ascii="宋体" w:hAnsi="宋体" w:cs="宋体"/>
          <w:b/>
          <w:color w:val="000000"/>
          <w:sz w:val="28"/>
          <w:szCs w:val="28"/>
          <w:highlight w:val="none"/>
        </w:rPr>
      </w:pPr>
      <w:r>
        <w:rPr>
          <w:rFonts w:hint="eastAsia" w:ascii="宋体" w:hAnsi="宋体" w:cs="宋体"/>
          <w:b/>
          <w:color w:val="000000"/>
          <w:sz w:val="28"/>
          <w:szCs w:val="28"/>
          <w:highlight w:val="none"/>
        </w:rPr>
        <w:t>（响应文件格式是磋商文件的通用格式。供应商应根据采购项目性质的不同，提交与本项目相关的格式文件或按符合本行业惯例的格式提交格式文件。与本项目无关的格式文件可以忽略。）</w:t>
      </w:r>
    </w:p>
    <w:p>
      <w:pPr>
        <w:pStyle w:val="2"/>
        <w:keepNext w:val="0"/>
        <w:keepLines w:val="0"/>
        <w:rPr>
          <w:rFonts w:ascii="宋体" w:hAnsi="宋体" w:eastAsia="宋体" w:cs="宋体"/>
          <w:color w:val="000000"/>
          <w:sz w:val="32"/>
          <w:highlight w:val="none"/>
        </w:rPr>
      </w:pPr>
      <w:bookmarkStart w:id="2010" w:name="_Toc32262"/>
      <w:bookmarkStart w:id="2011" w:name="_Toc24384"/>
      <w:bookmarkStart w:id="2012" w:name="_Toc29149"/>
      <w:bookmarkStart w:id="2013" w:name="_Toc12805"/>
      <w:bookmarkStart w:id="2014" w:name="_Toc16597"/>
      <w:r>
        <w:rPr>
          <w:rFonts w:hint="eastAsia" w:ascii="宋体" w:hAnsi="宋体" w:eastAsia="宋体" w:cs="宋体"/>
          <w:color w:val="000000"/>
          <w:sz w:val="32"/>
          <w:highlight w:val="none"/>
        </w:rPr>
        <w:t>一、报价文件格式</w:t>
      </w:r>
      <w:bookmarkEnd w:id="2010"/>
      <w:bookmarkEnd w:id="2011"/>
      <w:bookmarkEnd w:id="2012"/>
      <w:bookmarkEnd w:id="2013"/>
      <w:bookmarkEnd w:id="2014"/>
    </w:p>
    <w:p>
      <w:pPr>
        <w:pStyle w:val="2"/>
        <w:keepNext w:val="0"/>
        <w:keepLines w:val="0"/>
        <w:tabs>
          <w:tab w:val="left" w:pos="210"/>
          <w:tab w:val="left" w:pos="540"/>
          <w:tab w:val="left" w:pos="720"/>
        </w:tabs>
        <w:adjustRightInd w:val="0"/>
        <w:spacing w:before="156" w:beforeLines="50" w:beforeAutospacing="0" w:after="156" w:afterLines="50" w:afterAutospacing="0"/>
        <w:rPr>
          <w:rFonts w:ascii="宋体" w:hAnsi="宋体" w:eastAsia="宋体" w:cs="宋体"/>
          <w:color w:val="000000"/>
          <w:sz w:val="32"/>
          <w:highlight w:val="none"/>
        </w:rPr>
      </w:pPr>
      <w:bookmarkStart w:id="2015" w:name="_Toc19734"/>
      <w:bookmarkStart w:id="2016" w:name="_Toc5042"/>
      <w:bookmarkStart w:id="2017" w:name="_Toc10649"/>
      <w:bookmarkStart w:id="2018" w:name="_Toc30987"/>
      <w:bookmarkStart w:id="2019" w:name="_Toc23914"/>
      <w:r>
        <w:rPr>
          <w:rFonts w:hint="eastAsia" w:ascii="宋体" w:hAnsi="宋体" w:eastAsia="宋体" w:cs="宋体"/>
          <w:color w:val="000000"/>
          <w:sz w:val="32"/>
          <w:highlight w:val="none"/>
        </w:rPr>
        <w:t>1、报价函格式</w:t>
      </w:r>
      <w:bookmarkEnd w:id="2015"/>
      <w:bookmarkEnd w:id="2016"/>
      <w:bookmarkEnd w:id="2017"/>
      <w:bookmarkEnd w:id="2018"/>
      <w:bookmarkEnd w:id="2019"/>
    </w:p>
    <w:p>
      <w:pPr>
        <w:jc w:val="left"/>
        <w:rPr>
          <w:rFonts w:ascii="宋体" w:hAnsi="宋体" w:cs="宋体"/>
          <w:b/>
          <w:color w:val="000000"/>
          <w:highlight w:val="none"/>
        </w:rPr>
      </w:pPr>
    </w:p>
    <w:p>
      <w:pPr>
        <w:pStyle w:val="9"/>
        <w:overflowPunct w:val="0"/>
        <w:spacing w:line="560" w:lineRule="exact"/>
        <w:ind w:firstLine="0"/>
        <w:jc w:val="center"/>
        <w:rPr>
          <w:rFonts w:ascii="宋体" w:hAnsi="宋体" w:eastAsia="宋体" w:cs="宋体"/>
          <w:b/>
          <w:color w:val="000000"/>
          <w:sz w:val="36"/>
          <w:szCs w:val="36"/>
          <w:highlight w:val="none"/>
        </w:rPr>
      </w:pPr>
      <w:r>
        <w:rPr>
          <w:rFonts w:hint="eastAsia" w:ascii="宋体" w:hAnsi="宋体" w:eastAsia="宋体" w:cs="宋体"/>
          <w:b/>
          <w:color w:val="000000"/>
          <w:sz w:val="36"/>
          <w:szCs w:val="36"/>
          <w:highlight w:val="none"/>
        </w:rPr>
        <w:t>报  价  函</w:t>
      </w:r>
    </w:p>
    <w:p>
      <w:pPr>
        <w:jc w:val="left"/>
        <w:rPr>
          <w:rFonts w:ascii="宋体" w:hAnsi="宋体" w:cs="宋体"/>
          <w:b/>
          <w:color w:val="000000"/>
          <w:highlight w:val="none"/>
        </w:rPr>
      </w:pPr>
    </w:p>
    <w:p>
      <w:pPr>
        <w:pStyle w:val="45"/>
        <w:spacing w:line="560" w:lineRule="exact"/>
        <w:rPr>
          <w:rFonts w:ascii="Times New Roman" w:hAnsi="Times New Roman" w:eastAsia="宋体"/>
          <w:sz w:val="24"/>
          <w:szCs w:val="24"/>
          <w:highlight w:val="none"/>
        </w:rPr>
      </w:pPr>
      <w:r>
        <w:rPr>
          <w:rFonts w:hint="eastAsia" w:hAnsi="宋体" w:eastAsia="宋体" w:cs="宋体"/>
          <w:color w:val="000000"/>
          <w:sz w:val="24"/>
          <w:szCs w:val="24"/>
          <w:highlight w:val="none"/>
        </w:rPr>
        <w:t>海南卓能工程管理有限公司：</w:t>
      </w:r>
      <w:bookmarkStart w:id="2020" w:name="_Toc22040"/>
    </w:p>
    <w:p>
      <w:pPr>
        <w:jc w:val="left"/>
        <w:rPr>
          <w:b/>
          <w:bCs/>
          <w:highlight w:val="none"/>
        </w:rPr>
      </w:pPr>
    </w:p>
    <w:p>
      <w:pPr>
        <w:pStyle w:val="45"/>
        <w:spacing w:line="360" w:lineRule="auto"/>
        <w:ind w:firstLine="480" w:firstLineChars="200"/>
        <w:rPr>
          <w:rFonts w:hAnsi="宋体" w:eastAsia="宋体" w:cs="宋体"/>
          <w:color w:val="auto"/>
          <w:sz w:val="24"/>
          <w:szCs w:val="24"/>
          <w:highlight w:val="none"/>
        </w:rPr>
      </w:pPr>
      <w:bookmarkStart w:id="2021" w:name="_Toc28313"/>
      <w:r>
        <w:rPr>
          <w:rFonts w:hint="eastAsia" w:hAnsi="宋体" w:eastAsia="宋体" w:cs="宋体"/>
          <w:color w:val="auto"/>
          <w:sz w:val="24"/>
          <w:szCs w:val="24"/>
          <w:highlight w:val="none"/>
        </w:rPr>
        <w:t>我们仔细阅读并全面研究了（项目名称和编号）磋商文件，决定响应磋商文件的邀请，参与本项目。</w:t>
      </w:r>
    </w:p>
    <w:p>
      <w:pPr>
        <w:spacing w:line="360" w:lineRule="auto"/>
        <w:ind w:firstLine="480" w:firstLineChars="200"/>
        <w:rPr>
          <w:color w:val="auto"/>
          <w:sz w:val="24"/>
          <w:highlight w:val="none"/>
        </w:rPr>
      </w:pPr>
      <w:r>
        <w:rPr>
          <w:rFonts w:hint="eastAsia"/>
          <w:color w:val="auto"/>
          <w:sz w:val="24"/>
          <w:highlight w:val="none"/>
        </w:rPr>
        <w:t>1、我方愿意以人民币（大写）</w:t>
      </w:r>
      <w:r>
        <w:rPr>
          <w:rFonts w:hint="eastAsia"/>
          <w:color w:val="auto"/>
          <w:sz w:val="24"/>
          <w:highlight w:val="none"/>
          <w:u w:val="single"/>
          <w:lang w:val="en-US"/>
        </w:rPr>
        <w:t xml:space="preserve">       </w:t>
      </w:r>
      <w:r>
        <w:rPr>
          <w:rFonts w:hint="eastAsia"/>
          <w:color w:val="auto"/>
          <w:sz w:val="24"/>
          <w:highlight w:val="none"/>
        </w:rPr>
        <w:t>元（¥</w:t>
      </w:r>
      <w:r>
        <w:rPr>
          <w:rFonts w:hint="eastAsia"/>
          <w:color w:val="auto"/>
          <w:sz w:val="24"/>
          <w:highlight w:val="none"/>
          <w:u w:val="single"/>
        </w:rPr>
        <w:t xml:space="preserve"> </w:t>
      </w:r>
      <w:r>
        <w:rPr>
          <w:rFonts w:hint="eastAsia"/>
          <w:color w:val="auto"/>
          <w:sz w:val="24"/>
          <w:highlight w:val="none"/>
          <w:u w:val="single"/>
          <w:lang w:val="en-US"/>
        </w:rPr>
        <w:t xml:space="preserve">      </w:t>
      </w:r>
      <w:r>
        <w:rPr>
          <w:rFonts w:hint="eastAsia"/>
          <w:color w:val="auto"/>
          <w:sz w:val="24"/>
          <w:highlight w:val="none"/>
          <w:lang w:val="en-US"/>
        </w:rPr>
        <w:t xml:space="preserve"> </w:t>
      </w:r>
      <w:r>
        <w:rPr>
          <w:rFonts w:hint="eastAsia"/>
          <w:color w:val="auto"/>
          <w:sz w:val="24"/>
          <w:highlight w:val="none"/>
        </w:rPr>
        <w:t>）的总报价，工期</w:t>
      </w:r>
      <w:r>
        <w:rPr>
          <w:rFonts w:hint="eastAsia"/>
          <w:color w:val="auto"/>
          <w:sz w:val="24"/>
          <w:highlight w:val="none"/>
          <w:u w:val="single"/>
          <w:lang w:val="en-US"/>
        </w:rPr>
        <w:t xml:space="preserve">   </w:t>
      </w:r>
      <w:r>
        <w:rPr>
          <w:rFonts w:hint="eastAsia"/>
          <w:color w:val="auto"/>
          <w:sz w:val="24"/>
          <w:highlight w:val="none"/>
          <w:lang w:val="en-US"/>
        </w:rPr>
        <w:t>日历天，</w:t>
      </w:r>
      <w:r>
        <w:rPr>
          <w:rFonts w:hint="eastAsia"/>
          <w:color w:val="auto"/>
          <w:sz w:val="24"/>
          <w:highlight w:val="none"/>
        </w:rPr>
        <w:t>按合同约定实施和完成承包工程，修补工程中的任何缺陷，质量达到</w:t>
      </w:r>
      <w:r>
        <w:rPr>
          <w:rFonts w:hint="eastAsia"/>
          <w:color w:val="auto"/>
          <w:sz w:val="24"/>
          <w:highlight w:val="none"/>
          <w:u w:val="single"/>
        </w:rPr>
        <w:t xml:space="preserve">合格 </w:t>
      </w:r>
      <w:r>
        <w:rPr>
          <w:rFonts w:hint="eastAsia"/>
          <w:color w:val="auto"/>
          <w:sz w:val="24"/>
          <w:highlight w:val="none"/>
        </w:rPr>
        <w:t>。</w:t>
      </w:r>
    </w:p>
    <w:p>
      <w:pPr>
        <w:pStyle w:val="45"/>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2、我们充分理解并完全接受合同协议书中的各项约定，没有任何异议，不附加任何条件。</w:t>
      </w:r>
    </w:p>
    <w:p>
      <w:pPr>
        <w:pStyle w:val="45"/>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3、如果我们被授予合同，我们将严格履行合同规定的责任和义务，保证按期、按质、按量完成合同义务。</w:t>
      </w:r>
    </w:p>
    <w:p>
      <w:pPr>
        <w:pStyle w:val="45"/>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4、我们同意按磋商文件中的规定，本响应文件的有效期限为开启响应文件后</w:t>
      </w:r>
      <w:r>
        <w:rPr>
          <w:rFonts w:hint="eastAsia" w:hAnsi="宋体" w:eastAsia="宋体" w:cs="宋体"/>
          <w:b/>
          <w:color w:val="auto"/>
          <w:sz w:val="24"/>
          <w:szCs w:val="24"/>
          <w:highlight w:val="none"/>
          <w:u w:val="single"/>
        </w:rPr>
        <w:t>90</w:t>
      </w:r>
      <w:r>
        <w:rPr>
          <w:rFonts w:hint="eastAsia" w:hAnsi="宋体" w:eastAsia="宋体" w:cs="宋体"/>
          <w:color w:val="auto"/>
          <w:sz w:val="24"/>
          <w:szCs w:val="24"/>
          <w:highlight w:val="none"/>
        </w:rPr>
        <w:t>日历天。</w:t>
      </w:r>
    </w:p>
    <w:p>
      <w:pPr>
        <w:pStyle w:val="45"/>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5、我们愿意提供采购方在磋商文件中要求的所有资料。</w:t>
      </w:r>
    </w:p>
    <w:p>
      <w:pPr>
        <w:pStyle w:val="45"/>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6、我们愿意遵守采购公告及磋商文件中明示的收费标准。</w:t>
      </w:r>
    </w:p>
    <w:p>
      <w:pPr>
        <w:pStyle w:val="45"/>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7、我们承诺响应文件在提交响应文件截止时间后至磋商有效期截止前保持有效，不作任何更改和变动。</w:t>
      </w:r>
    </w:p>
    <w:p>
      <w:pPr>
        <w:pStyle w:val="45"/>
        <w:spacing w:line="360" w:lineRule="auto"/>
        <w:ind w:firstLine="480" w:firstLineChars="200"/>
        <w:rPr>
          <w:rFonts w:hAnsi="宋体" w:eastAsia="宋体" w:cs="宋体"/>
          <w:color w:val="auto"/>
          <w:sz w:val="24"/>
          <w:szCs w:val="24"/>
          <w:highlight w:val="none"/>
        </w:rPr>
      </w:pPr>
    </w:p>
    <w:p>
      <w:pPr>
        <w:pStyle w:val="45"/>
        <w:spacing w:line="560" w:lineRule="exact"/>
        <w:ind w:left="3400" w:hanging="3400"/>
        <w:jc w:val="left"/>
        <w:rPr>
          <w:rFonts w:hAnsi="宋体" w:eastAsia="宋体" w:cs="宋体"/>
          <w:color w:val="auto"/>
          <w:sz w:val="24"/>
          <w:szCs w:val="24"/>
          <w:highlight w:val="none"/>
        </w:rPr>
      </w:pPr>
      <w:r>
        <w:rPr>
          <w:rFonts w:hint="eastAsia" w:hAnsi="宋体" w:eastAsia="宋体" w:cs="宋体"/>
          <w:color w:val="auto"/>
          <w:sz w:val="24"/>
          <w:szCs w:val="24"/>
          <w:highlight w:val="none"/>
        </w:rPr>
        <w:t>供应商：</w:t>
      </w:r>
      <w:r>
        <w:rPr>
          <w:rFonts w:hint="eastAsia" w:hAnsi="宋体" w:eastAsia="宋体" w:cs="宋体"/>
          <w:iCs/>
          <w:color w:val="auto"/>
          <w:sz w:val="24"/>
          <w:szCs w:val="21"/>
          <w:highlight w:val="none"/>
        </w:rPr>
        <w:t>（填写名称并盖章）</w:t>
      </w:r>
    </w:p>
    <w:p>
      <w:pPr>
        <w:pStyle w:val="45"/>
        <w:rPr>
          <w:rFonts w:hAnsi="宋体" w:eastAsia="宋体" w:cs="宋体"/>
          <w:color w:val="auto"/>
          <w:sz w:val="21"/>
          <w:szCs w:val="21"/>
          <w:highlight w:val="none"/>
        </w:rPr>
      </w:pPr>
    </w:p>
    <w:p>
      <w:pPr>
        <w:pStyle w:val="45"/>
        <w:rPr>
          <w:rFonts w:hAnsi="宋体" w:eastAsia="宋体" w:cs="宋体"/>
          <w:color w:val="auto"/>
          <w:sz w:val="21"/>
          <w:szCs w:val="21"/>
          <w:highlight w:val="none"/>
        </w:rPr>
      </w:pPr>
    </w:p>
    <w:p>
      <w:pPr>
        <w:pStyle w:val="45"/>
        <w:spacing w:line="560" w:lineRule="exact"/>
        <w:ind w:left="3400" w:hanging="3400"/>
        <w:jc w:val="left"/>
        <w:rPr>
          <w:rFonts w:hAnsi="宋体" w:eastAsia="宋体" w:cs="宋体"/>
          <w:color w:val="auto"/>
          <w:sz w:val="24"/>
          <w:szCs w:val="24"/>
          <w:highlight w:val="none"/>
        </w:rPr>
      </w:pPr>
      <w:r>
        <w:rPr>
          <w:rFonts w:hint="eastAsia" w:hAnsi="宋体" w:eastAsia="宋体" w:cs="宋体"/>
          <w:color w:val="auto"/>
          <w:sz w:val="24"/>
          <w:szCs w:val="24"/>
          <w:highlight w:val="none"/>
        </w:rPr>
        <w:t>法定代表人或授权代表：</w:t>
      </w:r>
      <w:r>
        <w:rPr>
          <w:rFonts w:hint="eastAsia" w:hAnsi="宋体" w:eastAsia="宋体" w:cs="宋体"/>
          <w:iCs/>
          <w:color w:val="auto"/>
          <w:sz w:val="24"/>
          <w:szCs w:val="21"/>
          <w:highlight w:val="none"/>
        </w:rPr>
        <w:t>（签字或盖章）</w:t>
      </w:r>
    </w:p>
    <w:p>
      <w:pPr>
        <w:pStyle w:val="45"/>
        <w:rPr>
          <w:rFonts w:hAnsi="宋体" w:eastAsia="宋体" w:cs="宋体"/>
          <w:b/>
          <w:color w:val="auto"/>
          <w:sz w:val="21"/>
          <w:szCs w:val="21"/>
          <w:highlight w:val="none"/>
        </w:rPr>
      </w:pPr>
    </w:p>
    <w:p>
      <w:pPr>
        <w:pStyle w:val="45"/>
        <w:tabs>
          <w:tab w:val="left" w:pos="5040"/>
        </w:tabs>
        <w:spacing w:line="560" w:lineRule="exact"/>
        <w:rPr>
          <w:rFonts w:hAnsi="宋体" w:eastAsia="宋体" w:cs="宋体"/>
          <w:color w:val="auto"/>
          <w:sz w:val="24"/>
          <w:szCs w:val="24"/>
          <w:highlight w:val="none"/>
        </w:rPr>
      </w:pPr>
      <w:r>
        <w:rPr>
          <w:rFonts w:hint="eastAsia" w:hAnsi="宋体" w:eastAsia="宋体" w:cs="宋体"/>
          <w:color w:val="auto"/>
          <w:sz w:val="24"/>
          <w:szCs w:val="24"/>
          <w:highlight w:val="none"/>
        </w:rPr>
        <w:t>地址：</w:t>
      </w:r>
      <w:r>
        <w:rPr>
          <w:rFonts w:hint="eastAsia" w:hAnsi="宋体" w:eastAsia="宋体" w:cs="宋体"/>
          <w:color w:val="auto"/>
          <w:sz w:val="24"/>
          <w:szCs w:val="24"/>
          <w:highlight w:val="none"/>
        </w:rPr>
        <w:tab/>
      </w:r>
      <w:r>
        <w:rPr>
          <w:rFonts w:hint="eastAsia" w:hAnsi="宋体" w:eastAsia="宋体" w:cs="宋体"/>
          <w:color w:val="auto"/>
          <w:sz w:val="24"/>
          <w:szCs w:val="24"/>
          <w:highlight w:val="none"/>
        </w:rPr>
        <w:t>邮政编码：</w:t>
      </w:r>
    </w:p>
    <w:p>
      <w:pPr>
        <w:pStyle w:val="45"/>
        <w:tabs>
          <w:tab w:val="left" w:pos="5040"/>
        </w:tabs>
        <w:spacing w:line="560" w:lineRule="exact"/>
        <w:rPr>
          <w:rFonts w:hAnsi="宋体" w:eastAsia="宋体" w:cs="宋体"/>
          <w:color w:val="auto"/>
          <w:sz w:val="24"/>
          <w:szCs w:val="24"/>
          <w:highlight w:val="none"/>
        </w:rPr>
      </w:pPr>
      <w:r>
        <w:rPr>
          <w:rFonts w:hint="eastAsia" w:hAnsi="宋体" w:eastAsia="宋体" w:cs="宋体"/>
          <w:color w:val="auto"/>
          <w:sz w:val="24"/>
          <w:szCs w:val="24"/>
          <w:highlight w:val="none"/>
        </w:rPr>
        <w:t>联系人：</w:t>
      </w:r>
      <w:r>
        <w:rPr>
          <w:rFonts w:hint="eastAsia" w:hAnsi="宋体" w:eastAsia="宋体" w:cs="宋体"/>
          <w:color w:val="auto"/>
          <w:sz w:val="24"/>
          <w:szCs w:val="24"/>
          <w:highlight w:val="none"/>
        </w:rPr>
        <w:tab/>
      </w:r>
      <w:r>
        <w:rPr>
          <w:rFonts w:hint="eastAsia" w:hAnsi="宋体" w:eastAsia="宋体" w:cs="宋体"/>
          <w:color w:val="auto"/>
          <w:sz w:val="24"/>
          <w:szCs w:val="24"/>
          <w:highlight w:val="none"/>
        </w:rPr>
        <w:t>联系电话：</w:t>
      </w:r>
    </w:p>
    <w:p>
      <w:pPr>
        <w:pStyle w:val="45"/>
        <w:tabs>
          <w:tab w:val="left" w:pos="5040"/>
        </w:tabs>
        <w:spacing w:line="560" w:lineRule="exact"/>
        <w:rPr>
          <w:rFonts w:hAnsi="宋体" w:eastAsia="宋体" w:cs="宋体"/>
          <w:color w:val="auto"/>
          <w:sz w:val="24"/>
          <w:szCs w:val="24"/>
          <w:highlight w:val="none"/>
        </w:rPr>
      </w:pPr>
      <w:r>
        <w:rPr>
          <w:rFonts w:hint="eastAsia" w:hAnsi="宋体" w:eastAsia="宋体" w:cs="宋体"/>
          <w:color w:val="auto"/>
          <w:sz w:val="24"/>
          <w:szCs w:val="24"/>
          <w:highlight w:val="none"/>
        </w:rPr>
        <w:t>电子邮件：</w:t>
      </w:r>
      <w:r>
        <w:rPr>
          <w:rFonts w:hint="eastAsia" w:hAnsi="宋体" w:eastAsia="宋体" w:cs="宋体"/>
          <w:color w:val="auto"/>
          <w:sz w:val="24"/>
          <w:szCs w:val="24"/>
          <w:highlight w:val="none"/>
        </w:rPr>
        <w:tab/>
      </w:r>
      <w:r>
        <w:rPr>
          <w:rFonts w:hint="eastAsia" w:hAnsi="宋体" w:eastAsia="宋体" w:cs="宋体"/>
          <w:color w:val="auto"/>
          <w:sz w:val="24"/>
          <w:szCs w:val="24"/>
          <w:highlight w:val="none"/>
        </w:rPr>
        <w:t>传真：</w:t>
      </w:r>
    </w:p>
    <w:p>
      <w:pPr>
        <w:pStyle w:val="45"/>
        <w:rPr>
          <w:rFonts w:hAnsi="宋体" w:eastAsia="宋体" w:cs="宋体"/>
          <w:color w:val="auto"/>
          <w:sz w:val="21"/>
          <w:szCs w:val="21"/>
          <w:highlight w:val="none"/>
        </w:rPr>
      </w:pPr>
    </w:p>
    <w:p>
      <w:pPr>
        <w:pStyle w:val="45"/>
        <w:rPr>
          <w:rFonts w:hAnsi="宋体" w:eastAsia="宋体" w:cs="宋体"/>
          <w:color w:val="auto"/>
          <w:sz w:val="21"/>
          <w:szCs w:val="21"/>
          <w:highlight w:val="none"/>
        </w:rPr>
      </w:pPr>
    </w:p>
    <w:p>
      <w:pPr>
        <w:pStyle w:val="45"/>
        <w:rPr>
          <w:rFonts w:hAnsi="宋体" w:eastAsia="宋体" w:cs="宋体"/>
          <w:color w:val="auto"/>
          <w:sz w:val="21"/>
          <w:szCs w:val="21"/>
          <w:highlight w:val="none"/>
        </w:rPr>
      </w:pPr>
    </w:p>
    <w:p>
      <w:pPr>
        <w:pStyle w:val="45"/>
        <w:rPr>
          <w:rFonts w:hAnsi="宋体" w:eastAsia="宋体" w:cs="宋体"/>
          <w:color w:val="auto"/>
          <w:sz w:val="24"/>
          <w:szCs w:val="24"/>
          <w:highlight w:val="none"/>
        </w:rPr>
        <w:sectPr>
          <w:footerReference r:id="rId19" w:type="first"/>
          <w:footerReference r:id="rId18" w:type="default"/>
          <w:pgSz w:w="11906" w:h="16838"/>
          <w:pgMar w:top="1418" w:right="1418" w:bottom="1418" w:left="1588" w:header="851" w:footer="851" w:gutter="0"/>
          <w:pgNumType w:fmt="decimal"/>
          <w:cols w:space="720" w:num="1"/>
          <w:docGrid w:type="lines" w:linePitch="312" w:charSpace="0"/>
        </w:sectPr>
      </w:pPr>
      <w:r>
        <w:rPr>
          <w:rFonts w:hint="eastAsia" w:hAnsi="宋体" w:eastAsia="宋体" w:cs="宋体"/>
          <w:color w:val="auto"/>
          <w:sz w:val="24"/>
          <w:szCs w:val="24"/>
          <w:highlight w:val="none"/>
        </w:rPr>
        <w:t>日期：     年     月     日</w:t>
      </w:r>
    </w:p>
    <w:p>
      <w:pPr>
        <w:pStyle w:val="2"/>
        <w:keepNext w:val="0"/>
        <w:keepLines w:val="0"/>
        <w:tabs>
          <w:tab w:val="left" w:pos="540"/>
          <w:tab w:val="left" w:pos="720"/>
        </w:tabs>
        <w:spacing w:before="120" w:beforeLines="50" w:beforeAutospacing="0" w:after="120" w:afterLines="50" w:afterAutospacing="0"/>
        <w:rPr>
          <w:rFonts w:ascii="宋体" w:hAnsi="宋体" w:eastAsia="宋体" w:cs="宋体"/>
          <w:color w:val="000000"/>
          <w:sz w:val="32"/>
          <w:highlight w:val="none"/>
        </w:rPr>
      </w:pPr>
      <w:bookmarkStart w:id="2022" w:name="_Toc5552"/>
      <w:bookmarkStart w:id="2023" w:name="_Toc14854"/>
      <w:bookmarkStart w:id="2024" w:name="_Toc28420"/>
      <w:r>
        <w:rPr>
          <w:rFonts w:hint="eastAsia" w:ascii="宋体" w:hAnsi="宋体" w:eastAsia="宋体" w:cs="宋体"/>
          <w:color w:val="000000"/>
          <w:sz w:val="32"/>
          <w:highlight w:val="none"/>
        </w:rPr>
        <w:t>2、报价一览表格式</w:t>
      </w:r>
      <w:bookmarkEnd w:id="2020"/>
      <w:bookmarkEnd w:id="2021"/>
      <w:bookmarkEnd w:id="2022"/>
      <w:bookmarkEnd w:id="2023"/>
      <w:bookmarkEnd w:id="2024"/>
    </w:p>
    <w:p>
      <w:pPr>
        <w:rPr>
          <w:rFonts w:ascii="宋体" w:hAnsi="宋体" w:cs="宋体"/>
          <w:color w:val="000000"/>
          <w:highlight w:val="none"/>
        </w:rPr>
      </w:pPr>
    </w:p>
    <w:p>
      <w:pPr>
        <w:pStyle w:val="9"/>
        <w:overflowPunct w:val="0"/>
        <w:spacing w:line="560" w:lineRule="exact"/>
        <w:ind w:firstLine="0"/>
        <w:jc w:val="center"/>
        <w:rPr>
          <w:rFonts w:ascii="宋体" w:hAnsi="宋体" w:eastAsia="宋体" w:cs="宋体"/>
          <w:b/>
          <w:color w:val="000000"/>
          <w:sz w:val="36"/>
          <w:szCs w:val="36"/>
          <w:highlight w:val="none"/>
        </w:rPr>
      </w:pPr>
      <w:r>
        <w:rPr>
          <w:rFonts w:hint="eastAsia" w:ascii="宋体" w:hAnsi="宋体" w:eastAsia="宋体" w:cs="宋体"/>
          <w:b/>
          <w:color w:val="000000"/>
          <w:sz w:val="36"/>
          <w:szCs w:val="36"/>
          <w:highlight w:val="none"/>
        </w:rPr>
        <w:t>报价一览表</w:t>
      </w:r>
    </w:p>
    <w:p>
      <w:pPr>
        <w:spacing w:line="360" w:lineRule="auto"/>
        <w:rPr>
          <w:color w:val="000000"/>
          <w:sz w:val="24"/>
          <w:szCs w:val="24"/>
          <w:highlight w:val="none"/>
        </w:rPr>
      </w:pPr>
      <w:r>
        <w:rPr>
          <w:rFonts w:hint="eastAsia" w:cs="宋体"/>
          <w:color w:val="000000"/>
          <w:sz w:val="24"/>
          <w:szCs w:val="24"/>
          <w:highlight w:val="none"/>
        </w:rPr>
        <w:t>项目编号：</w:t>
      </w:r>
      <w:r>
        <w:rPr>
          <w:rFonts w:hint="eastAsia" w:cs="宋体"/>
          <w:color w:val="000000"/>
          <w:sz w:val="24"/>
          <w:szCs w:val="24"/>
          <w:highlight w:val="none"/>
          <w:lang w:eastAsia="zh-CN"/>
        </w:rPr>
        <w:t>HNZN-SYC202101</w:t>
      </w:r>
      <w:r>
        <w:rPr>
          <w:rFonts w:hint="eastAsia" w:cs="宋体"/>
          <w:color w:val="000000"/>
          <w:sz w:val="24"/>
          <w:szCs w:val="24"/>
          <w:highlight w:val="none"/>
          <w:lang w:val="en-US" w:eastAsia="zh-CN"/>
        </w:rPr>
        <w:t>5</w:t>
      </w:r>
      <w:r>
        <w:rPr>
          <w:rFonts w:hint="eastAsia" w:cs="宋体"/>
          <w:color w:val="000000"/>
          <w:sz w:val="24"/>
          <w:szCs w:val="24"/>
          <w:highlight w:val="none"/>
        </w:rPr>
        <w:t xml:space="preserve">                   金额单位：元</w:t>
      </w:r>
    </w:p>
    <w:tbl>
      <w:tblPr>
        <w:tblStyle w:val="25"/>
        <w:tblpPr w:leftFromText="180" w:rightFromText="180" w:vertAnchor="text" w:horzAnchor="page" w:tblpX="1283" w:tblpY="294"/>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2944"/>
        <w:gridCol w:w="924"/>
        <w:gridCol w:w="756"/>
        <w:gridCol w:w="924"/>
        <w:gridCol w:w="1140"/>
        <w:gridCol w:w="19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79" w:type="dxa"/>
            <w:noWrap w:val="0"/>
            <w:vAlign w:val="top"/>
          </w:tcPr>
          <w:p>
            <w:pPr>
              <w:pStyle w:val="40"/>
              <w:spacing w:before="103"/>
              <w:ind w:left="79" w:right="69"/>
              <w:jc w:val="center"/>
              <w:rPr>
                <w:sz w:val="24"/>
                <w:szCs w:val="24"/>
                <w:highlight w:val="none"/>
              </w:rPr>
            </w:pPr>
            <w:r>
              <w:rPr>
                <w:sz w:val="24"/>
                <w:szCs w:val="24"/>
                <w:highlight w:val="none"/>
              </w:rPr>
              <w:t>序号</w:t>
            </w:r>
          </w:p>
        </w:tc>
        <w:tc>
          <w:tcPr>
            <w:tcW w:w="2944" w:type="dxa"/>
            <w:noWrap w:val="0"/>
            <w:vAlign w:val="top"/>
          </w:tcPr>
          <w:p>
            <w:pPr>
              <w:pStyle w:val="40"/>
              <w:spacing w:before="103"/>
              <w:ind w:left="30" w:right="19"/>
              <w:jc w:val="center"/>
              <w:rPr>
                <w:sz w:val="24"/>
                <w:szCs w:val="24"/>
                <w:highlight w:val="none"/>
              </w:rPr>
            </w:pPr>
            <w:r>
              <w:rPr>
                <w:sz w:val="24"/>
                <w:szCs w:val="24"/>
                <w:highlight w:val="none"/>
              </w:rPr>
              <w:t>名 称</w:t>
            </w:r>
          </w:p>
        </w:tc>
        <w:tc>
          <w:tcPr>
            <w:tcW w:w="924" w:type="dxa"/>
            <w:noWrap w:val="0"/>
            <w:vAlign w:val="top"/>
          </w:tcPr>
          <w:p>
            <w:pPr>
              <w:pStyle w:val="40"/>
              <w:spacing w:before="103"/>
              <w:ind w:left="200" w:right="193"/>
              <w:jc w:val="center"/>
              <w:rPr>
                <w:sz w:val="24"/>
                <w:szCs w:val="24"/>
                <w:highlight w:val="none"/>
              </w:rPr>
            </w:pPr>
            <w:r>
              <w:rPr>
                <w:sz w:val="24"/>
                <w:szCs w:val="24"/>
                <w:highlight w:val="none"/>
              </w:rPr>
              <w:t>单位</w:t>
            </w:r>
          </w:p>
        </w:tc>
        <w:tc>
          <w:tcPr>
            <w:tcW w:w="756" w:type="dxa"/>
            <w:noWrap w:val="0"/>
            <w:vAlign w:val="top"/>
          </w:tcPr>
          <w:p>
            <w:pPr>
              <w:pStyle w:val="40"/>
              <w:spacing w:before="103"/>
              <w:ind w:left="116" w:right="109"/>
              <w:jc w:val="center"/>
              <w:rPr>
                <w:sz w:val="24"/>
                <w:szCs w:val="24"/>
                <w:highlight w:val="none"/>
              </w:rPr>
            </w:pPr>
            <w:r>
              <w:rPr>
                <w:sz w:val="24"/>
                <w:szCs w:val="24"/>
                <w:highlight w:val="none"/>
              </w:rPr>
              <w:t>数量</w:t>
            </w:r>
          </w:p>
        </w:tc>
        <w:tc>
          <w:tcPr>
            <w:tcW w:w="924" w:type="dxa"/>
            <w:noWrap w:val="0"/>
            <w:vAlign w:val="top"/>
          </w:tcPr>
          <w:p>
            <w:pPr>
              <w:pStyle w:val="40"/>
              <w:spacing w:before="103"/>
              <w:ind w:left="220"/>
              <w:rPr>
                <w:sz w:val="24"/>
                <w:szCs w:val="24"/>
                <w:highlight w:val="none"/>
              </w:rPr>
            </w:pPr>
            <w:r>
              <w:rPr>
                <w:sz w:val="24"/>
                <w:szCs w:val="24"/>
                <w:highlight w:val="none"/>
              </w:rPr>
              <w:t>单价</w:t>
            </w:r>
          </w:p>
        </w:tc>
        <w:tc>
          <w:tcPr>
            <w:tcW w:w="1140" w:type="dxa"/>
            <w:noWrap w:val="0"/>
            <w:vAlign w:val="top"/>
          </w:tcPr>
          <w:p>
            <w:pPr>
              <w:pStyle w:val="40"/>
              <w:spacing w:before="103"/>
              <w:ind w:left="308" w:right="301"/>
              <w:jc w:val="center"/>
              <w:rPr>
                <w:sz w:val="24"/>
                <w:szCs w:val="24"/>
                <w:highlight w:val="none"/>
              </w:rPr>
            </w:pPr>
            <w:r>
              <w:rPr>
                <w:sz w:val="24"/>
                <w:szCs w:val="24"/>
                <w:highlight w:val="none"/>
              </w:rPr>
              <w:t>合价</w:t>
            </w:r>
          </w:p>
        </w:tc>
        <w:tc>
          <w:tcPr>
            <w:tcW w:w="1932" w:type="dxa"/>
            <w:noWrap w:val="0"/>
            <w:vAlign w:val="top"/>
          </w:tcPr>
          <w:p>
            <w:pPr>
              <w:pStyle w:val="40"/>
              <w:spacing w:before="103"/>
              <w:ind w:left="704" w:right="697"/>
              <w:jc w:val="center"/>
              <w:rPr>
                <w:sz w:val="24"/>
                <w:szCs w:val="24"/>
                <w:highlight w:val="none"/>
              </w:rPr>
            </w:pPr>
            <w:r>
              <w:rPr>
                <w:rFonts w:hint="eastAsia"/>
                <w:sz w:val="24"/>
                <w:szCs w:val="24"/>
                <w:highlight w:val="none"/>
              </w:rPr>
              <w:t>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4" w:hRule="atLeast"/>
        </w:trPr>
        <w:tc>
          <w:tcPr>
            <w:tcW w:w="679" w:type="dxa"/>
            <w:noWrap w:val="0"/>
            <w:vAlign w:val="center"/>
          </w:tcPr>
          <w:p>
            <w:pPr>
              <w:jc w:val="center"/>
              <w:rPr>
                <w:sz w:val="24"/>
                <w:szCs w:val="24"/>
                <w:highlight w:val="none"/>
              </w:rPr>
            </w:pPr>
            <w:r>
              <w:rPr>
                <w:sz w:val="24"/>
                <w:szCs w:val="24"/>
                <w:highlight w:val="none"/>
              </w:rPr>
              <w:t>1</w:t>
            </w:r>
          </w:p>
        </w:tc>
        <w:tc>
          <w:tcPr>
            <w:tcW w:w="2944" w:type="dxa"/>
            <w:noWrap w:val="0"/>
            <w:vAlign w:val="center"/>
          </w:tcPr>
          <w:p>
            <w:pPr>
              <w:jc w:val="center"/>
              <w:rPr>
                <w:rFonts w:hint="eastAsia" w:eastAsia="宋体"/>
                <w:sz w:val="24"/>
                <w:szCs w:val="24"/>
                <w:highlight w:val="none"/>
                <w:lang w:eastAsia="zh-CN"/>
              </w:rPr>
            </w:pPr>
            <w:r>
              <w:rPr>
                <w:rFonts w:hint="eastAsia"/>
                <w:sz w:val="24"/>
                <w:szCs w:val="24"/>
                <w:highlight w:val="none"/>
                <w:lang w:eastAsia="zh-CN"/>
              </w:rPr>
              <w:t>港门海岸派出所建设综合勤务指挥室及营区修缮项目</w:t>
            </w:r>
          </w:p>
        </w:tc>
        <w:tc>
          <w:tcPr>
            <w:tcW w:w="924" w:type="dxa"/>
            <w:noWrap w:val="0"/>
            <w:vAlign w:val="center"/>
          </w:tcPr>
          <w:p>
            <w:pPr>
              <w:jc w:val="center"/>
              <w:rPr>
                <w:sz w:val="24"/>
                <w:szCs w:val="24"/>
                <w:highlight w:val="none"/>
              </w:rPr>
            </w:pPr>
            <w:r>
              <w:rPr>
                <w:sz w:val="24"/>
                <w:szCs w:val="24"/>
                <w:highlight w:val="none"/>
              </w:rPr>
              <w:t>项</w:t>
            </w:r>
          </w:p>
        </w:tc>
        <w:tc>
          <w:tcPr>
            <w:tcW w:w="756" w:type="dxa"/>
            <w:noWrap w:val="0"/>
            <w:vAlign w:val="center"/>
          </w:tcPr>
          <w:p>
            <w:pPr>
              <w:jc w:val="center"/>
              <w:rPr>
                <w:sz w:val="24"/>
                <w:szCs w:val="24"/>
                <w:highlight w:val="none"/>
              </w:rPr>
            </w:pPr>
            <w:r>
              <w:rPr>
                <w:sz w:val="24"/>
                <w:szCs w:val="24"/>
                <w:highlight w:val="none"/>
              </w:rPr>
              <w:t>1</w:t>
            </w:r>
          </w:p>
        </w:tc>
        <w:tc>
          <w:tcPr>
            <w:tcW w:w="924" w:type="dxa"/>
            <w:noWrap w:val="0"/>
            <w:vAlign w:val="top"/>
          </w:tcPr>
          <w:p>
            <w:pPr>
              <w:jc w:val="center"/>
              <w:rPr>
                <w:sz w:val="24"/>
                <w:szCs w:val="24"/>
                <w:highlight w:val="none"/>
              </w:rPr>
            </w:pPr>
          </w:p>
        </w:tc>
        <w:tc>
          <w:tcPr>
            <w:tcW w:w="1140" w:type="dxa"/>
            <w:noWrap w:val="0"/>
            <w:vAlign w:val="top"/>
          </w:tcPr>
          <w:p>
            <w:pPr>
              <w:jc w:val="center"/>
              <w:rPr>
                <w:sz w:val="24"/>
                <w:szCs w:val="24"/>
                <w:highlight w:val="none"/>
              </w:rPr>
            </w:pPr>
          </w:p>
        </w:tc>
        <w:tc>
          <w:tcPr>
            <w:tcW w:w="1932" w:type="dxa"/>
            <w:noWrap w:val="0"/>
            <w:vAlign w:val="top"/>
          </w:tcPr>
          <w:p>
            <w:pPr>
              <w:jc w:val="center"/>
              <w:rPr>
                <w:sz w:val="24"/>
                <w:szCs w:val="24"/>
                <w:highlight w:val="none"/>
              </w:rPr>
            </w:pPr>
          </w:p>
          <w:p>
            <w:pPr>
              <w:rPr>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3623" w:type="dxa"/>
            <w:gridSpan w:val="2"/>
            <w:noWrap w:val="0"/>
            <w:vAlign w:val="top"/>
          </w:tcPr>
          <w:p>
            <w:pPr>
              <w:pStyle w:val="40"/>
              <w:spacing w:before="1"/>
              <w:rPr>
                <w:sz w:val="24"/>
                <w:szCs w:val="24"/>
                <w:highlight w:val="none"/>
              </w:rPr>
            </w:pPr>
          </w:p>
          <w:p>
            <w:pPr>
              <w:pStyle w:val="40"/>
              <w:spacing w:before="1"/>
              <w:ind w:left="850"/>
              <w:rPr>
                <w:sz w:val="24"/>
                <w:szCs w:val="24"/>
                <w:highlight w:val="none"/>
              </w:rPr>
            </w:pPr>
            <w:r>
              <w:rPr>
                <w:sz w:val="24"/>
                <w:szCs w:val="24"/>
                <w:highlight w:val="none"/>
              </w:rPr>
              <w:t>本项目合计报价：</w:t>
            </w:r>
          </w:p>
        </w:tc>
        <w:tc>
          <w:tcPr>
            <w:tcW w:w="5676" w:type="dxa"/>
            <w:gridSpan w:val="5"/>
            <w:noWrap w:val="0"/>
            <w:vAlign w:val="top"/>
          </w:tcPr>
          <w:p>
            <w:pPr>
              <w:pStyle w:val="40"/>
              <w:rPr>
                <w:rFonts w:ascii="Times New Roman"/>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547" w:type="dxa"/>
            <w:gridSpan w:val="3"/>
            <w:tcBorders>
              <w:right w:val="nil"/>
            </w:tcBorders>
            <w:noWrap w:val="0"/>
            <w:vAlign w:val="top"/>
          </w:tcPr>
          <w:p>
            <w:pPr>
              <w:pStyle w:val="40"/>
              <w:tabs>
                <w:tab w:val="left" w:pos="3387"/>
              </w:tabs>
              <w:spacing w:before="101"/>
              <w:ind w:left="27"/>
              <w:rPr>
                <w:sz w:val="24"/>
                <w:szCs w:val="24"/>
                <w:highlight w:val="none"/>
              </w:rPr>
            </w:pPr>
            <w:r>
              <w:rPr>
                <w:rFonts w:ascii="Times New Roman" w:eastAsia="Times New Roman"/>
                <w:sz w:val="24"/>
                <w:szCs w:val="24"/>
                <w:highlight w:val="none"/>
              </w:rPr>
              <w:t>1</w:t>
            </w:r>
            <w:r>
              <w:rPr>
                <w:sz w:val="24"/>
                <w:szCs w:val="24"/>
                <w:highlight w:val="none"/>
              </w:rPr>
              <w:t>、供应商企业类型：大型（</w:t>
            </w:r>
            <w:r>
              <w:rPr>
                <w:sz w:val="24"/>
                <w:szCs w:val="24"/>
                <w:highlight w:val="none"/>
              </w:rPr>
              <w:tab/>
            </w:r>
            <w:r>
              <w:rPr>
                <w:sz w:val="24"/>
                <w:szCs w:val="24"/>
                <w:highlight w:val="none"/>
              </w:rPr>
              <w:t>） 中型（</w:t>
            </w:r>
          </w:p>
        </w:tc>
        <w:tc>
          <w:tcPr>
            <w:tcW w:w="1680" w:type="dxa"/>
            <w:gridSpan w:val="2"/>
            <w:tcBorders>
              <w:left w:val="nil"/>
              <w:right w:val="nil"/>
            </w:tcBorders>
            <w:noWrap w:val="0"/>
            <w:vAlign w:val="top"/>
          </w:tcPr>
          <w:p>
            <w:pPr>
              <w:pStyle w:val="40"/>
              <w:spacing w:before="101"/>
              <w:ind w:left="285"/>
              <w:rPr>
                <w:sz w:val="24"/>
                <w:szCs w:val="24"/>
                <w:highlight w:val="none"/>
              </w:rPr>
            </w:pPr>
            <w:r>
              <w:rPr>
                <w:sz w:val="24"/>
                <w:szCs w:val="24"/>
                <w:highlight w:val="none"/>
              </w:rPr>
              <w:t>） 小型（</w:t>
            </w:r>
          </w:p>
        </w:tc>
        <w:tc>
          <w:tcPr>
            <w:tcW w:w="1140" w:type="dxa"/>
            <w:tcBorders>
              <w:left w:val="nil"/>
              <w:right w:val="nil"/>
            </w:tcBorders>
            <w:noWrap w:val="0"/>
            <w:vAlign w:val="top"/>
          </w:tcPr>
          <w:p>
            <w:pPr>
              <w:pStyle w:val="40"/>
              <w:spacing w:before="101"/>
              <w:ind w:left="31"/>
              <w:jc w:val="center"/>
              <w:rPr>
                <w:sz w:val="24"/>
                <w:szCs w:val="24"/>
                <w:highlight w:val="none"/>
              </w:rPr>
            </w:pPr>
            <w:r>
              <w:rPr>
                <w:sz w:val="24"/>
                <w:szCs w:val="24"/>
                <w:highlight w:val="none"/>
              </w:rPr>
              <w:t>） 微型（</w:t>
            </w:r>
          </w:p>
        </w:tc>
        <w:tc>
          <w:tcPr>
            <w:tcW w:w="1932" w:type="dxa"/>
            <w:tcBorders>
              <w:left w:val="nil"/>
            </w:tcBorders>
            <w:noWrap w:val="0"/>
            <w:vAlign w:val="top"/>
          </w:tcPr>
          <w:p>
            <w:pPr>
              <w:pStyle w:val="40"/>
              <w:spacing w:before="101"/>
              <w:ind w:left="345"/>
              <w:rPr>
                <w:sz w:val="24"/>
                <w:szCs w:val="24"/>
                <w:highlight w:val="none"/>
              </w:rPr>
            </w:pPr>
            <w:r>
              <w:rPr>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4547" w:type="dxa"/>
            <w:gridSpan w:val="3"/>
            <w:tcBorders>
              <w:right w:val="nil"/>
            </w:tcBorders>
            <w:noWrap w:val="0"/>
            <w:vAlign w:val="top"/>
          </w:tcPr>
          <w:p>
            <w:pPr>
              <w:pStyle w:val="40"/>
              <w:tabs>
                <w:tab w:val="left" w:pos="3987"/>
              </w:tabs>
              <w:spacing w:before="145"/>
              <w:ind w:left="27"/>
              <w:rPr>
                <w:sz w:val="24"/>
                <w:szCs w:val="24"/>
                <w:highlight w:val="none"/>
              </w:rPr>
            </w:pPr>
            <w:r>
              <w:rPr>
                <w:rFonts w:ascii="Times New Roman" w:eastAsia="Times New Roman"/>
                <w:sz w:val="24"/>
                <w:szCs w:val="24"/>
                <w:highlight w:val="none"/>
              </w:rPr>
              <w:t>2</w:t>
            </w:r>
            <w:r>
              <w:rPr>
                <w:sz w:val="24"/>
                <w:szCs w:val="24"/>
                <w:highlight w:val="none"/>
              </w:rPr>
              <w:t>、供应商是否为监狱企业：是（</w:t>
            </w:r>
            <w:r>
              <w:rPr>
                <w:sz w:val="24"/>
                <w:szCs w:val="24"/>
                <w:highlight w:val="none"/>
              </w:rPr>
              <w:tab/>
            </w:r>
            <w:r>
              <w:rPr>
                <w:sz w:val="24"/>
                <w:szCs w:val="24"/>
                <w:highlight w:val="none"/>
              </w:rPr>
              <w:t>）</w:t>
            </w:r>
          </w:p>
        </w:tc>
        <w:tc>
          <w:tcPr>
            <w:tcW w:w="1680" w:type="dxa"/>
            <w:gridSpan w:val="2"/>
            <w:tcBorders>
              <w:left w:val="nil"/>
              <w:right w:val="nil"/>
            </w:tcBorders>
            <w:noWrap w:val="0"/>
            <w:vAlign w:val="top"/>
          </w:tcPr>
          <w:p>
            <w:pPr>
              <w:pStyle w:val="40"/>
              <w:tabs>
                <w:tab w:val="left" w:pos="1125"/>
              </w:tabs>
              <w:spacing w:before="145"/>
              <w:ind w:left="165"/>
              <w:rPr>
                <w:sz w:val="24"/>
                <w:szCs w:val="24"/>
                <w:highlight w:val="none"/>
              </w:rPr>
            </w:pPr>
            <w:r>
              <w:rPr>
                <w:sz w:val="24"/>
                <w:szCs w:val="24"/>
                <w:highlight w:val="none"/>
              </w:rPr>
              <w:t>否（</w:t>
            </w:r>
            <w:r>
              <w:rPr>
                <w:sz w:val="24"/>
                <w:szCs w:val="24"/>
                <w:highlight w:val="none"/>
              </w:rPr>
              <w:tab/>
            </w:r>
            <w:r>
              <w:rPr>
                <w:sz w:val="24"/>
                <w:szCs w:val="24"/>
                <w:highlight w:val="none"/>
              </w:rPr>
              <w:t>）</w:t>
            </w:r>
          </w:p>
        </w:tc>
        <w:tc>
          <w:tcPr>
            <w:tcW w:w="1140" w:type="dxa"/>
            <w:tcBorders>
              <w:left w:val="nil"/>
              <w:right w:val="nil"/>
            </w:tcBorders>
            <w:noWrap w:val="0"/>
            <w:vAlign w:val="top"/>
          </w:tcPr>
          <w:p>
            <w:pPr>
              <w:pStyle w:val="40"/>
              <w:rPr>
                <w:rFonts w:ascii="Times New Roman"/>
                <w:sz w:val="24"/>
                <w:szCs w:val="24"/>
                <w:highlight w:val="none"/>
              </w:rPr>
            </w:pPr>
          </w:p>
        </w:tc>
        <w:tc>
          <w:tcPr>
            <w:tcW w:w="1932" w:type="dxa"/>
            <w:tcBorders>
              <w:left w:val="nil"/>
            </w:tcBorders>
            <w:noWrap w:val="0"/>
            <w:vAlign w:val="top"/>
          </w:tcPr>
          <w:p>
            <w:pPr>
              <w:pStyle w:val="40"/>
              <w:rPr>
                <w:rFonts w:ascii="Times New Roman"/>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4547" w:type="dxa"/>
            <w:gridSpan w:val="3"/>
            <w:tcBorders>
              <w:right w:val="nil"/>
            </w:tcBorders>
            <w:noWrap w:val="0"/>
            <w:vAlign w:val="top"/>
          </w:tcPr>
          <w:p>
            <w:pPr>
              <w:pStyle w:val="40"/>
              <w:spacing w:before="155"/>
              <w:ind w:left="27"/>
              <w:rPr>
                <w:sz w:val="24"/>
                <w:szCs w:val="24"/>
                <w:highlight w:val="none"/>
              </w:rPr>
            </w:pPr>
            <w:r>
              <w:rPr>
                <w:rFonts w:ascii="Times New Roman" w:eastAsia="Times New Roman"/>
                <w:sz w:val="24"/>
                <w:szCs w:val="24"/>
                <w:highlight w:val="none"/>
              </w:rPr>
              <w:t>3</w:t>
            </w:r>
            <w:r>
              <w:rPr>
                <w:sz w:val="24"/>
                <w:szCs w:val="24"/>
                <w:highlight w:val="none"/>
              </w:rPr>
              <w:t>、供应商是否为残疾人福利性单位：是（</w:t>
            </w:r>
          </w:p>
        </w:tc>
        <w:tc>
          <w:tcPr>
            <w:tcW w:w="1680" w:type="dxa"/>
            <w:gridSpan w:val="2"/>
            <w:tcBorders>
              <w:left w:val="nil"/>
              <w:right w:val="nil"/>
            </w:tcBorders>
            <w:noWrap w:val="0"/>
            <w:vAlign w:val="top"/>
          </w:tcPr>
          <w:p>
            <w:pPr>
              <w:pStyle w:val="40"/>
              <w:tabs>
                <w:tab w:val="left" w:pos="1125"/>
              </w:tabs>
              <w:spacing w:before="155"/>
              <w:ind w:left="405"/>
              <w:rPr>
                <w:sz w:val="24"/>
                <w:szCs w:val="24"/>
                <w:highlight w:val="none"/>
              </w:rPr>
            </w:pPr>
            <w:r>
              <w:rPr>
                <w:sz w:val="24"/>
                <w:szCs w:val="24"/>
                <w:highlight w:val="none"/>
              </w:rPr>
              <w:t>）</w:t>
            </w:r>
            <w:r>
              <w:rPr>
                <w:sz w:val="24"/>
                <w:szCs w:val="24"/>
                <w:highlight w:val="none"/>
              </w:rPr>
              <w:tab/>
            </w:r>
            <w:r>
              <w:rPr>
                <w:sz w:val="24"/>
                <w:szCs w:val="24"/>
                <w:highlight w:val="none"/>
              </w:rPr>
              <w:t>否（</w:t>
            </w:r>
          </w:p>
        </w:tc>
        <w:tc>
          <w:tcPr>
            <w:tcW w:w="1140" w:type="dxa"/>
            <w:tcBorders>
              <w:left w:val="nil"/>
              <w:right w:val="nil"/>
            </w:tcBorders>
            <w:noWrap w:val="0"/>
            <w:vAlign w:val="top"/>
          </w:tcPr>
          <w:p>
            <w:pPr>
              <w:pStyle w:val="40"/>
              <w:spacing w:before="155"/>
              <w:ind w:right="86"/>
              <w:jc w:val="center"/>
              <w:rPr>
                <w:sz w:val="24"/>
                <w:szCs w:val="24"/>
                <w:highlight w:val="none"/>
              </w:rPr>
            </w:pPr>
            <w:r>
              <w:rPr>
                <w:sz w:val="24"/>
                <w:szCs w:val="24"/>
                <w:highlight w:val="none"/>
              </w:rPr>
              <w:t>）</w:t>
            </w:r>
          </w:p>
        </w:tc>
        <w:tc>
          <w:tcPr>
            <w:tcW w:w="1932" w:type="dxa"/>
            <w:tcBorders>
              <w:left w:val="nil"/>
            </w:tcBorders>
            <w:noWrap w:val="0"/>
            <w:vAlign w:val="top"/>
          </w:tcPr>
          <w:p>
            <w:pPr>
              <w:pStyle w:val="40"/>
              <w:rPr>
                <w:rFonts w:ascii="Times New Roman"/>
                <w:sz w:val="24"/>
                <w:szCs w:val="24"/>
                <w:highlight w:val="none"/>
              </w:rPr>
            </w:pPr>
          </w:p>
        </w:tc>
      </w:tr>
    </w:tbl>
    <w:p>
      <w:pPr>
        <w:spacing w:line="360" w:lineRule="auto"/>
        <w:rPr>
          <w:rFonts w:cs="宋体"/>
          <w:color w:val="000000"/>
          <w:sz w:val="24"/>
          <w:szCs w:val="24"/>
          <w:highlight w:val="none"/>
        </w:rPr>
      </w:pPr>
    </w:p>
    <w:p>
      <w:pPr>
        <w:spacing w:line="360" w:lineRule="auto"/>
        <w:rPr>
          <w:rFonts w:cs="宋体"/>
          <w:color w:val="000000"/>
          <w:sz w:val="24"/>
          <w:szCs w:val="24"/>
          <w:highlight w:val="none"/>
        </w:rPr>
      </w:pPr>
    </w:p>
    <w:p>
      <w:pPr>
        <w:spacing w:line="360" w:lineRule="auto"/>
        <w:rPr>
          <w:color w:val="000000"/>
          <w:sz w:val="24"/>
          <w:szCs w:val="24"/>
          <w:highlight w:val="none"/>
        </w:rPr>
      </w:pPr>
      <w:r>
        <w:rPr>
          <w:rFonts w:hint="eastAsia" w:cs="宋体"/>
          <w:color w:val="000000"/>
          <w:sz w:val="24"/>
          <w:szCs w:val="24"/>
          <w:highlight w:val="none"/>
        </w:rPr>
        <w:t>供应商：（填写名称并盖章）</w:t>
      </w:r>
    </w:p>
    <w:p>
      <w:pPr>
        <w:spacing w:line="360" w:lineRule="auto"/>
        <w:rPr>
          <w:color w:val="000000"/>
          <w:sz w:val="24"/>
          <w:szCs w:val="24"/>
          <w:highlight w:val="none"/>
        </w:rPr>
      </w:pPr>
    </w:p>
    <w:p>
      <w:pPr>
        <w:spacing w:line="360" w:lineRule="auto"/>
        <w:rPr>
          <w:rFonts w:cs="宋体"/>
          <w:color w:val="000000"/>
          <w:sz w:val="24"/>
          <w:szCs w:val="24"/>
          <w:highlight w:val="none"/>
        </w:rPr>
      </w:pPr>
      <w:r>
        <w:rPr>
          <w:rFonts w:hint="eastAsia" w:cs="宋体"/>
          <w:color w:val="000000"/>
          <w:sz w:val="24"/>
          <w:szCs w:val="24"/>
          <w:highlight w:val="none"/>
        </w:rPr>
        <w:t>法定代表人或授权代表签字：（签字或盖章）</w:t>
      </w:r>
    </w:p>
    <w:p>
      <w:pPr>
        <w:spacing w:line="360" w:lineRule="auto"/>
        <w:rPr>
          <w:rFonts w:cs="宋体"/>
          <w:color w:val="000000"/>
          <w:sz w:val="24"/>
          <w:szCs w:val="24"/>
          <w:highlight w:val="none"/>
        </w:rPr>
      </w:pPr>
      <w:r>
        <w:rPr>
          <w:rFonts w:hint="eastAsia" w:cs="宋体"/>
          <w:color w:val="000000"/>
          <w:sz w:val="24"/>
          <w:szCs w:val="24"/>
          <w:highlight w:val="none"/>
        </w:rPr>
        <w:t>注：</w:t>
      </w:r>
    </w:p>
    <w:p>
      <w:pPr>
        <w:spacing w:line="360" w:lineRule="auto"/>
        <w:rPr>
          <w:rFonts w:cs="宋体"/>
          <w:color w:val="000000"/>
          <w:sz w:val="24"/>
          <w:szCs w:val="24"/>
          <w:highlight w:val="none"/>
        </w:rPr>
      </w:pPr>
      <w:r>
        <w:rPr>
          <w:rFonts w:hint="eastAsia" w:cs="宋体"/>
          <w:color w:val="000000"/>
          <w:sz w:val="24"/>
          <w:szCs w:val="24"/>
          <w:highlight w:val="none"/>
        </w:rPr>
        <w:t>1、供应商企业类型、是否监狱企业栏和是否残疾人福利性单位栏，供应商须在相应的括弧里打勾（√），否则承担不利后果。</w:t>
      </w:r>
    </w:p>
    <w:p>
      <w:pPr>
        <w:spacing w:line="360" w:lineRule="auto"/>
        <w:rPr>
          <w:rFonts w:cs="宋体"/>
          <w:color w:val="000000"/>
          <w:sz w:val="24"/>
          <w:szCs w:val="24"/>
          <w:highlight w:val="none"/>
        </w:rPr>
      </w:pPr>
      <w:r>
        <w:rPr>
          <w:rFonts w:hint="eastAsia" w:cs="宋体"/>
          <w:color w:val="000000"/>
          <w:sz w:val="24"/>
          <w:szCs w:val="24"/>
          <w:highlight w:val="none"/>
        </w:rPr>
        <w:t xml:space="preserve">2、本项目对小微企业、监狱企业、残疾人福利性单位的报价给予 </w:t>
      </w:r>
      <w:r>
        <w:rPr>
          <w:rFonts w:hint="eastAsia" w:cs="宋体"/>
          <w:color w:val="000000"/>
          <w:sz w:val="24"/>
          <w:szCs w:val="24"/>
          <w:highlight w:val="none"/>
          <w:lang w:val="en-US" w:eastAsia="zh-CN"/>
        </w:rPr>
        <w:t>5</w:t>
      </w:r>
      <w:r>
        <w:rPr>
          <w:rFonts w:hint="eastAsia" w:cs="宋体"/>
          <w:color w:val="000000"/>
          <w:sz w:val="24"/>
          <w:szCs w:val="24"/>
          <w:highlight w:val="none"/>
        </w:rPr>
        <w:t>%的扣除，用扣除后的价格参与价格评审。扣除后的价格仅用来计算价格得分，成交金额以最后报价为准。供应商须按要求提供声明函（格式文件附后），否则将不进行价格扣除。</w:t>
      </w:r>
    </w:p>
    <w:p>
      <w:pPr>
        <w:spacing w:line="360" w:lineRule="auto"/>
        <w:rPr>
          <w:rFonts w:cs="宋体"/>
          <w:color w:val="000000"/>
          <w:sz w:val="24"/>
          <w:szCs w:val="24"/>
          <w:highlight w:val="none"/>
        </w:rPr>
      </w:pPr>
      <w:r>
        <w:rPr>
          <w:rFonts w:hint="eastAsia" w:cs="宋体"/>
          <w:color w:val="000000"/>
          <w:sz w:val="24"/>
          <w:szCs w:val="24"/>
          <w:highlight w:val="none"/>
        </w:rPr>
        <w:t>3、供应商同时为小微企业、监狱企业或残疾人福利性单位的，评审中只享受一次价格扣除，不重复进行价格扣除。</w:t>
      </w:r>
    </w:p>
    <w:p>
      <w:pPr>
        <w:spacing w:before="47"/>
        <w:rPr>
          <w:rFonts w:cs="宋体"/>
          <w:color w:val="000000"/>
          <w:sz w:val="24"/>
          <w:szCs w:val="24"/>
          <w:highlight w:val="none"/>
        </w:rPr>
      </w:pPr>
      <w:r>
        <w:rPr>
          <w:rFonts w:hint="eastAsia" w:cs="宋体"/>
          <w:color w:val="000000"/>
          <w:sz w:val="24"/>
          <w:szCs w:val="24"/>
          <w:highlight w:val="none"/>
        </w:rPr>
        <w:t>4、供应商应如实填写企业信息，如有虚假，将依法承担相应责任。</w:t>
      </w:r>
    </w:p>
    <w:p>
      <w:pPr>
        <w:rPr>
          <w:rFonts w:hint="eastAsia" w:ascii="宋体" w:hAnsi="宋体" w:eastAsia="宋体" w:cs="宋体"/>
          <w:color w:val="000000"/>
          <w:sz w:val="32"/>
          <w:highlight w:val="none"/>
        </w:rPr>
      </w:pPr>
      <w:bookmarkStart w:id="2025" w:name="_Toc10163"/>
      <w:r>
        <w:rPr>
          <w:rFonts w:hint="eastAsia" w:ascii="宋体" w:hAnsi="宋体" w:eastAsia="宋体" w:cs="宋体"/>
          <w:color w:val="000000"/>
          <w:sz w:val="32"/>
          <w:highlight w:val="none"/>
        </w:rPr>
        <w:br w:type="page"/>
      </w:r>
    </w:p>
    <w:p>
      <w:pPr>
        <w:spacing w:line="360" w:lineRule="auto"/>
        <w:jc w:val="left"/>
      </w:pPr>
      <w:bookmarkStart w:id="2026" w:name="_Toc22783"/>
      <w:bookmarkStart w:id="2027" w:name="_Toc7506"/>
      <w:bookmarkStart w:id="2028" w:name="_Toc10507"/>
      <w:bookmarkStart w:id="2029" w:name="_Toc26397"/>
      <w:r>
        <w:rPr>
          <w:rFonts w:hint="eastAsia"/>
          <w:b/>
          <w:sz w:val="32"/>
        </w:rPr>
        <w:t>2</w:t>
      </w:r>
      <w:r>
        <w:rPr>
          <w:rFonts w:hint="eastAsia" w:ascii="宋体" w:hAnsi="宋体" w:eastAsia="宋体"/>
          <w:b/>
          <w:sz w:val="32"/>
        </w:rPr>
        <w:t>.</w:t>
      </w:r>
      <w:r>
        <w:rPr>
          <w:rFonts w:eastAsia="Times New Roman"/>
          <w:b/>
          <w:sz w:val="32"/>
        </w:rPr>
        <w:t>1</w:t>
      </w:r>
      <w:r>
        <w:rPr>
          <w:rFonts w:hint="eastAsia" w:eastAsia="宋体"/>
          <w:b/>
          <w:sz w:val="32"/>
          <w:lang w:eastAsia="zh-CN"/>
        </w:rPr>
        <w:t>、</w:t>
      </w:r>
      <w:r>
        <w:rPr>
          <w:rFonts w:hint="eastAsia"/>
          <w:b/>
          <w:sz w:val="32"/>
        </w:rPr>
        <w:t>工程量清单（工程量清单格式详见附件）</w:t>
      </w:r>
    </w:p>
    <w:p>
      <w:pPr>
        <w:spacing w:line="360" w:lineRule="auto"/>
        <w:ind w:left="240"/>
      </w:pPr>
    </w:p>
    <w:p>
      <w:pPr>
        <w:spacing w:line="360" w:lineRule="auto"/>
        <w:ind w:firstLine="240" w:firstLineChars="100"/>
        <w:rPr>
          <w:rFonts w:cs="宋体"/>
          <w:color w:val="000000"/>
          <w:sz w:val="24"/>
          <w:szCs w:val="24"/>
        </w:rPr>
      </w:pPr>
    </w:p>
    <w:p>
      <w:pPr>
        <w:spacing w:line="360" w:lineRule="auto"/>
        <w:ind w:firstLine="240" w:firstLineChars="100"/>
        <w:rPr>
          <w:color w:val="000000"/>
          <w:sz w:val="24"/>
          <w:szCs w:val="24"/>
        </w:rPr>
      </w:pPr>
      <w:r>
        <w:rPr>
          <w:rFonts w:hint="eastAsia" w:cs="宋体"/>
          <w:color w:val="000000"/>
          <w:sz w:val="24"/>
          <w:szCs w:val="24"/>
        </w:rPr>
        <w:t>供应商：（填写名称并盖章）</w:t>
      </w:r>
    </w:p>
    <w:p>
      <w:pPr>
        <w:spacing w:line="360" w:lineRule="auto"/>
        <w:rPr>
          <w:color w:val="000000"/>
          <w:sz w:val="24"/>
          <w:szCs w:val="24"/>
        </w:rPr>
      </w:pPr>
    </w:p>
    <w:p>
      <w:pPr>
        <w:spacing w:line="360" w:lineRule="auto"/>
        <w:ind w:firstLine="240" w:firstLineChars="100"/>
        <w:rPr>
          <w:rFonts w:cs="宋体"/>
          <w:color w:val="000000"/>
          <w:sz w:val="24"/>
          <w:szCs w:val="24"/>
        </w:rPr>
      </w:pPr>
      <w:r>
        <w:rPr>
          <w:rFonts w:hint="eastAsia" w:cs="宋体"/>
          <w:color w:val="000000"/>
          <w:sz w:val="24"/>
          <w:szCs w:val="24"/>
        </w:rPr>
        <w:t>法定代表人或授权代表签字：（签字或盖章）</w:t>
      </w:r>
    </w:p>
    <w:p>
      <w:pPr>
        <w:spacing w:line="360" w:lineRule="auto"/>
      </w:pPr>
    </w:p>
    <w:p>
      <w:pPr>
        <w:spacing w:line="360" w:lineRule="auto"/>
        <w:ind w:firstLine="240" w:firstLineChars="100"/>
      </w:pPr>
      <w:r>
        <w:rPr>
          <w:rFonts w:hint="eastAsia"/>
          <w:sz w:val="24"/>
          <w:szCs w:val="24"/>
        </w:rPr>
        <w:t>日期：年月日</w:t>
      </w:r>
    </w:p>
    <w:p>
      <w:r>
        <w:rPr>
          <w:color w:val="000000"/>
          <w:sz w:val="24"/>
          <w:szCs w:val="24"/>
        </w:rPr>
        <w:br w:type="page"/>
      </w:r>
    </w:p>
    <w:p>
      <w:pPr>
        <w:pStyle w:val="2"/>
        <w:keepNext w:val="0"/>
        <w:keepLines w:val="0"/>
        <w:tabs>
          <w:tab w:val="left" w:pos="540"/>
          <w:tab w:val="left" w:pos="720"/>
        </w:tabs>
        <w:spacing w:before="120" w:beforeLines="50" w:beforeAutospacing="0" w:after="120" w:afterLines="50" w:afterAutospacing="0"/>
        <w:rPr>
          <w:sz w:val="43"/>
          <w:highlight w:val="none"/>
        </w:rPr>
      </w:pPr>
      <w:r>
        <w:rPr>
          <w:rFonts w:hint="eastAsia" w:ascii="宋体" w:hAnsi="宋体" w:eastAsia="宋体" w:cs="宋体"/>
          <w:color w:val="000000"/>
          <w:sz w:val="32"/>
          <w:highlight w:val="none"/>
          <w:lang w:val="en-US" w:eastAsia="zh-CN"/>
        </w:rPr>
        <w:t>3</w:t>
      </w:r>
      <w:r>
        <w:rPr>
          <w:rFonts w:hint="eastAsia" w:ascii="宋体" w:hAnsi="宋体" w:eastAsia="宋体" w:cs="宋体"/>
          <w:color w:val="000000"/>
          <w:sz w:val="32"/>
          <w:highlight w:val="none"/>
        </w:rPr>
        <w:t>、 中小企业声明函</w:t>
      </w:r>
      <w:bookmarkEnd w:id="2025"/>
      <w:bookmarkEnd w:id="2026"/>
      <w:bookmarkEnd w:id="2027"/>
      <w:bookmarkEnd w:id="2028"/>
      <w:bookmarkEnd w:id="2029"/>
    </w:p>
    <w:p>
      <w:pPr>
        <w:spacing w:line="360" w:lineRule="auto"/>
        <w:ind w:firstLine="843" w:firstLineChars="300"/>
        <w:jc w:val="center"/>
        <w:rPr>
          <w:sz w:val="28"/>
          <w:szCs w:val="28"/>
          <w:highlight w:val="none"/>
        </w:rPr>
      </w:pPr>
      <w:bookmarkStart w:id="2030" w:name="_Toc19245"/>
      <w:r>
        <w:rPr>
          <w:rFonts w:hint="eastAsia" w:ascii="宋体" w:hAnsi="宋体" w:cs="宋体"/>
          <w:b/>
          <w:color w:val="000000"/>
          <w:sz w:val="28"/>
          <w:szCs w:val="28"/>
          <w:highlight w:val="none"/>
          <w:lang w:bidi="ar"/>
        </w:rPr>
        <w:t>中小型企业声明函（如不符合可不提供）</w:t>
      </w:r>
    </w:p>
    <w:p>
      <w:pPr>
        <w:spacing w:before="156" w:beforeLines="50" w:line="360" w:lineRule="auto"/>
        <w:ind w:firstLine="480" w:firstLineChars="200"/>
        <w:rPr>
          <w:rFonts w:hint="eastAsia" w:ascii="Times New Roman" w:hAnsi="Times New Roman"/>
          <w:color w:val="auto"/>
          <w:sz w:val="24"/>
          <w:szCs w:val="24"/>
          <w:highlight w:val="none"/>
          <w:lang w:val="en-US" w:eastAsia="zh-CN"/>
        </w:rPr>
      </w:pPr>
      <w:r>
        <w:rPr>
          <w:rFonts w:ascii="Times New Roman" w:hAnsi="Times New Roman"/>
          <w:color w:val="auto"/>
          <w:sz w:val="24"/>
          <w:szCs w:val="24"/>
          <w:highlight w:val="none"/>
          <w:lang w:val="en-US" w:eastAsia="zh-CN"/>
        </w:rPr>
        <w:t>本公司（联合体）郑重声明，根据《政府采购促进中小</w:t>
      </w:r>
      <w:r>
        <w:rPr>
          <w:rFonts w:hint="eastAsia" w:ascii="Times New Roman" w:hAnsi="Times New Roman"/>
          <w:color w:val="auto"/>
          <w:sz w:val="24"/>
          <w:szCs w:val="24"/>
          <w:highlight w:val="none"/>
          <w:lang w:val="en-US" w:eastAsia="zh-CN"/>
        </w:rPr>
        <w:t>企业发展管理办法》（财库﹝2020﹞46 号）的规定，本公司（联合体）参加</w:t>
      </w:r>
      <w:r>
        <w:rPr>
          <w:rFonts w:hint="eastAsia" w:ascii="Times New Roman" w:hAnsi="Times New Roman"/>
          <w:color w:val="auto"/>
          <w:sz w:val="24"/>
          <w:szCs w:val="24"/>
          <w:highlight w:val="none"/>
          <w:u w:val="single"/>
          <w:lang w:val="en-US" w:eastAsia="zh-CN"/>
        </w:rPr>
        <w:t xml:space="preserve">  （单位名称）</w:t>
      </w:r>
      <w:r>
        <w:rPr>
          <w:rFonts w:hint="eastAsia" w:ascii="Times New Roman" w:hAnsi="Times New Roman"/>
          <w:color w:val="auto"/>
          <w:sz w:val="24"/>
          <w:szCs w:val="24"/>
          <w:highlight w:val="none"/>
          <w:lang w:val="en-US" w:eastAsia="zh-CN"/>
        </w:rPr>
        <w:t xml:space="preserve">的  </w:t>
      </w:r>
      <w:r>
        <w:rPr>
          <w:rFonts w:hint="eastAsia" w:ascii="Times New Roman" w:hAnsi="Times New Roman"/>
          <w:color w:val="auto"/>
          <w:sz w:val="24"/>
          <w:szCs w:val="24"/>
          <w:highlight w:val="none"/>
          <w:u w:val="single"/>
          <w:lang w:val="en-US" w:eastAsia="zh-CN"/>
        </w:rPr>
        <w:t>（项目名称）</w:t>
      </w:r>
      <w:r>
        <w:rPr>
          <w:rFonts w:hint="eastAsia" w:ascii="Times New Roman" w:hAnsi="Times New Roman"/>
          <w:color w:val="auto"/>
          <w:sz w:val="24"/>
          <w:szCs w:val="24"/>
          <w:highlight w:val="none"/>
          <w:lang w:val="en-US" w:eastAsia="zh-CN"/>
        </w:rPr>
        <w:t xml:space="preserve">采购活动，服务全部由符合政策要求的中小企业承接。相关企业（含联合体中的中小企业、签订分包意向协议的中小企业）的具体情况如下： </w:t>
      </w:r>
    </w:p>
    <w:p>
      <w:pPr>
        <w:spacing w:before="156" w:beforeLines="50" w:line="360" w:lineRule="auto"/>
        <w:ind w:firstLine="480" w:firstLineChars="200"/>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u w:val="single"/>
          <w:lang w:val="en-US" w:eastAsia="zh-CN"/>
        </w:rPr>
        <w:t xml:space="preserve"> （项目名称） </w:t>
      </w:r>
      <w:r>
        <w:rPr>
          <w:rFonts w:hint="eastAsia" w:ascii="Times New Roman" w:hAnsi="Times New Roman"/>
          <w:color w:val="auto"/>
          <w:sz w:val="24"/>
          <w:szCs w:val="24"/>
          <w:highlight w:val="none"/>
          <w:lang w:val="en-US" w:eastAsia="zh-CN"/>
        </w:rPr>
        <w:t>，属于</w:t>
      </w:r>
      <w:r>
        <w:rPr>
          <w:rFonts w:hint="eastAsia"/>
          <w:color w:val="auto"/>
          <w:sz w:val="24"/>
          <w:szCs w:val="24"/>
          <w:highlight w:val="none"/>
          <w:u w:val="single"/>
          <w:lang w:val="en-US" w:eastAsia="zh-CN"/>
        </w:rPr>
        <w:t xml:space="preserve"> （行业）</w:t>
      </w:r>
      <w:r>
        <w:rPr>
          <w:rFonts w:hint="eastAsia" w:ascii="宋体" w:hAnsi="宋体" w:eastAsia="宋体" w:cs="宋体"/>
          <w:color w:val="auto"/>
          <w:kern w:val="0"/>
          <w:sz w:val="24"/>
          <w:highlight w:val="none"/>
          <w:u w:val="single"/>
          <w:lang w:val="en-US" w:eastAsia="zh-CN"/>
        </w:rPr>
        <w:t xml:space="preserve"> </w:t>
      </w:r>
      <w:r>
        <w:rPr>
          <w:rFonts w:hint="eastAsia"/>
          <w:color w:val="auto"/>
          <w:sz w:val="24"/>
          <w:szCs w:val="24"/>
          <w:highlight w:val="none"/>
          <w:u w:val="single"/>
          <w:lang w:val="en-US" w:eastAsia="zh-CN"/>
        </w:rPr>
        <w:t xml:space="preserve"> </w:t>
      </w:r>
      <w:r>
        <w:rPr>
          <w:rFonts w:hint="eastAsia" w:ascii="Times New Roman" w:hAnsi="Times New Roman"/>
          <w:color w:val="auto"/>
          <w:sz w:val="24"/>
          <w:szCs w:val="24"/>
          <w:highlight w:val="none"/>
          <w:lang w:val="en-US" w:eastAsia="zh-CN"/>
        </w:rPr>
        <w:t>； 承建（承接）企业为</w:t>
      </w:r>
      <w:r>
        <w:rPr>
          <w:rFonts w:hint="eastAsia" w:ascii="Times New Roman" w:hAnsi="Times New Roman"/>
          <w:color w:val="auto"/>
          <w:sz w:val="24"/>
          <w:szCs w:val="24"/>
          <w:highlight w:val="none"/>
          <w:u w:val="single"/>
          <w:lang w:val="en-US" w:eastAsia="zh-CN"/>
        </w:rPr>
        <w:t>（企业名称）</w:t>
      </w:r>
      <w:r>
        <w:rPr>
          <w:rFonts w:hint="eastAsia" w:ascii="Times New Roman" w:hAnsi="Times New Roman"/>
          <w:color w:val="auto"/>
          <w:sz w:val="24"/>
          <w:szCs w:val="24"/>
          <w:highlight w:val="none"/>
          <w:lang w:val="en-US" w:eastAsia="zh-CN"/>
        </w:rPr>
        <w:t>，从业人员</w:t>
      </w:r>
      <w:r>
        <w:rPr>
          <w:rFonts w:hint="eastAsia" w:ascii="Times New Roman" w:hAnsi="Times New Roman"/>
          <w:color w:val="auto"/>
          <w:sz w:val="24"/>
          <w:szCs w:val="24"/>
          <w:highlight w:val="none"/>
          <w:u w:val="single"/>
          <w:lang w:val="en-US" w:eastAsia="zh-CN"/>
        </w:rPr>
        <w:t xml:space="preserve"> </w:t>
      </w:r>
      <w:r>
        <w:rPr>
          <w:rFonts w:hint="eastAsia"/>
          <w:color w:val="auto"/>
          <w:sz w:val="24"/>
          <w:szCs w:val="24"/>
          <w:highlight w:val="none"/>
          <w:u w:val="single"/>
          <w:lang w:val="en-US" w:eastAsia="zh-CN"/>
        </w:rPr>
        <w:t xml:space="preserve">   </w:t>
      </w:r>
      <w:r>
        <w:rPr>
          <w:rFonts w:hint="eastAsia" w:ascii="Times New Roman" w:hAnsi="Times New Roman"/>
          <w:color w:val="auto"/>
          <w:sz w:val="24"/>
          <w:szCs w:val="24"/>
          <w:highlight w:val="none"/>
          <w:lang w:val="en-US" w:eastAsia="zh-CN"/>
        </w:rPr>
        <w:t>人，营业收入为</w:t>
      </w:r>
      <w:r>
        <w:rPr>
          <w:rFonts w:hint="eastAsia"/>
          <w:color w:val="auto"/>
          <w:sz w:val="24"/>
          <w:szCs w:val="24"/>
          <w:highlight w:val="none"/>
          <w:u w:val="single"/>
          <w:lang w:val="en-US" w:eastAsia="zh-CN"/>
        </w:rPr>
        <w:t xml:space="preserve">    </w:t>
      </w:r>
      <w:r>
        <w:rPr>
          <w:rFonts w:hint="eastAsia" w:ascii="Times New Roman" w:hAnsi="Times New Roman"/>
          <w:color w:val="auto"/>
          <w:sz w:val="24"/>
          <w:szCs w:val="24"/>
          <w:highlight w:val="none"/>
          <w:lang w:val="en-US" w:eastAsia="zh-CN"/>
        </w:rPr>
        <w:t>万元，资产总额为</w:t>
      </w:r>
      <w:r>
        <w:rPr>
          <w:rFonts w:hint="eastAsia"/>
          <w:color w:val="auto"/>
          <w:sz w:val="24"/>
          <w:szCs w:val="24"/>
          <w:highlight w:val="none"/>
          <w:u w:val="single"/>
          <w:lang w:val="en-US" w:eastAsia="zh-CN"/>
        </w:rPr>
        <w:t xml:space="preserve">    </w:t>
      </w:r>
      <w:r>
        <w:rPr>
          <w:rFonts w:hint="eastAsia" w:ascii="Times New Roman" w:hAnsi="Times New Roman"/>
          <w:color w:val="auto"/>
          <w:sz w:val="24"/>
          <w:szCs w:val="24"/>
          <w:highlight w:val="none"/>
          <w:lang w:val="en-US" w:eastAsia="zh-CN"/>
        </w:rPr>
        <w:t>万元，属于</w:t>
      </w:r>
      <w:r>
        <w:rPr>
          <w:rFonts w:hint="eastAsia" w:ascii="Times New Roman" w:hAnsi="Times New Roman"/>
          <w:color w:val="auto"/>
          <w:sz w:val="24"/>
          <w:szCs w:val="24"/>
          <w:highlight w:val="none"/>
          <w:u w:val="single"/>
          <w:lang w:val="en-US" w:eastAsia="zh-CN"/>
        </w:rPr>
        <w:t>（中型企业、 小型企业、微型企业）</w:t>
      </w:r>
      <w:r>
        <w:rPr>
          <w:rFonts w:hint="eastAsia" w:ascii="Times New Roman" w:hAnsi="Times New Roman"/>
          <w:color w:val="auto"/>
          <w:sz w:val="24"/>
          <w:szCs w:val="24"/>
          <w:highlight w:val="none"/>
          <w:lang w:val="en-US" w:eastAsia="zh-CN"/>
        </w:rPr>
        <w:t xml:space="preserve">； </w:t>
      </w:r>
    </w:p>
    <w:p>
      <w:pPr>
        <w:pStyle w:val="39"/>
        <w:rPr>
          <w:highlight w:val="none"/>
        </w:rPr>
      </w:pPr>
    </w:p>
    <w:p>
      <w:pPr>
        <w:spacing w:before="156" w:beforeLines="50"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 xml:space="preserve">以上企业，不属于大企业的分支机构，不存在控股股东为大企业的情形，也不存在与大企业的负责人为同一人的情形。 </w:t>
      </w:r>
    </w:p>
    <w:p>
      <w:pPr>
        <w:spacing w:before="156" w:beforeLines="50"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 xml:space="preserve">本企业对上述声明内容的真实性负责。如有虚假，将依法承担相应责任。 </w:t>
      </w:r>
    </w:p>
    <w:p>
      <w:pPr>
        <w:spacing w:before="156" w:beforeLines="50" w:line="360" w:lineRule="auto"/>
        <w:ind w:firstLine="480" w:firstLineChars="200"/>
        <w:rPr>
          <w:rFonts w:hint="eastAsia" w:ascii="Times New Roman" w:hAnsi="Times New Roman"/>
          <w:color w:val="auto"/>
          <w:sz w:val="24"/>
          <w:szCs w:val="24"/>
          <w:highlight w:val="none"/>
          <w:lang w:val="en-US" w:eastAsia="zh-CN"/>
        </w:rPr>
      </w:pPr>
    </w:p>
    <w:p>
      <w:pPr>
        <w:spacing w:before="156" w:beforeLines="50" w:line="360" w:lineRule="auto"/>
        <w:ind w:firstLine="480" w:firstLineChars="200"/>
        <w:rPr>
          <w:rFonts w:hint="eastAsia" w:ascii="Times New Roman" w:hAnsi="Times New Roman"/>
          <w:color w:val="auto"/>
          <w:sz w:val="24"/>
          <w:szCs w:val="24"/>
          <w:highlight w:val="none"/>
          <w:lang w:val="en-US" w:eastAsia="zh-CN"/>
        </w:rPr>
      </w:pPr>
    </w:p>
    <w:p>
      <w:pPr>
        <w:spacing w:before="156" w:beforeLines="50" w:line="360" w:lineRule="auto"/>
        <w:ind w:firstLine="4800" w:firstLineChars="2000"/>
        <w:rPr>
          <w:rFonts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 xml:space="preserve">企业名称（盖章）： </w:t>
      </w:r>
    </w:p>
    <w:p>
      <w:pPr>
        <w:spacing w:before="156" w:beforeLines="50" w:line="360" w:lineRule="auto"/>
        <w:ind w:firstLine="4800" w:firstLineChars="2000"/>
        <w:rPr>
          <w:color w:val="auto"/>
          <w:highlight w:val="none"/>
        </w:rPr>
      </w:pPr>
      <w:r>
        <w:rPr>
          <w:rFonts w:hint="eastAsia" w:ascii="Times New Roman" w:hAnsi="Times New Roman"/>
          <w:color w:val="auto"/>
          <w:sz w:val="24"/>
          <w:szCs w:val="24"/>
          <w:highlight w:val="none"/>
          <w:lang w:val="en-US" w:eastAsia="zh-CN"/>
        </w:rPr>
        <w:t xml:space="preserve">日 期： </w:t>
      </w:r>
    </w:p>
    <w:p>
      <w:pPr>
        <w:spacing w:before="156" w:beforeLines="50" w:line="360" w:lineRule="auto"/>
        <w:rPr>
          <w:rFonts w:ascii="Times New Roman" w:hAnsi="Times New Roman" w:eastAsia="宋体" w:cs="Times New Roman"/>
          <w:b/>
          <w:bCs/>
          <w:sz w:val="20"/>
          <w:szCs w:val="20"/>
          <w:highlight w:val="none"/>
        </w:rPr>
      </w:pPr>
    </w:p>
    <w:p>
      <w:pPr>
        <w:spacing w:before="156" w:beforeLines="50" w:line="360" w:lineRule="auto"/>
        <w:ind w:firstLine="402" w:firstLineChars="200"/>
        <w:rPr>
          <w:rFonts w:hint="eastAsia" w:ascii="Times New Roman" w:hAnsi="Times New Roman" w:cs="Times New Roman"/>
          <w:b/>
          <w:bCs/>
          <w:kern w:val="2"/>
          <w:sz w:val="20"/>
          <w:szCs w:val="20"/>
          <w:highlight w:val="none"/>
          <w:lang w:val="en-US" w:eastAsia="zh-CN" w:bidi="ar-SA"/>
        </w:rPr>
      </w:pPr>
      <w:r>
        <w:rPr>
          <w:rFonts w:ascii="Times New Roman" w:hAnsi="Times New Roman" w:eastAsia="宋体" w:cs="Times New Roman"/>
          <w:b/>
          <w:bCs/>
          <w:sz w:val="20"/>
          <w:szCs w:val="20"/>
          <w:highlight w:val="none"/>
        </w:rPr>
        <w:t>注：</w:t>
      </w:r>
      <w:r>
        <w:rPr>
          <w:rFonts w:hint="eastAsia" w:cs="Times New Roman"/>
          <w:b/>
          <w:bCs/>
          <w:sz w:val="20"/>
          <w:szCs w:val="20"/>
          <w:highlight w:val="none"/>
          <w:lang w:val="en-US" w:eastAsia="zh-CN"/>
        </w:rPr>
        <w:t>1、</w:t>
      </w:r>
      <w:r>
        <w:rPr>
          <w:rFonts w:hint="eastAsia" w:ascii="Times New Roman" w:hAnsi="Times New Roman" w:eastAsia="宋体" w:cs="Times New Roman"/>
          <w:b/>
          <w:bCs/>
          <w:kern w:val="2"/>
          <w:sz w:val="20"/>
          <w:szCs w:val="20"/>
          <w:highlight w:val="none"/>
          <w:lang w:val="en-US" w:eastAsia="zh-CN" w:bidi="ar-SA"/>
        </w:rPr>
        <w:t>供应商为非中小企业的，可不提供</w:t>
      </w:r>
      <w:r>
        <w:rPr>
          <w:rFonts w:hint="eastAsia" w:cs="Times New Roman"/>
          <w:b/>
          <w:bCs/>
          <w:kern w:val="2"/>
          <w:sz w:val="20"/>
          <w:szCs w:val="20"/>
          <w:highlight w:val="none"/>
          <w:lang w:val="en-US" w:eastAsia="zh-CN" w:bidi="ar-SA"/>
        </w:rPr>
        <w:t>此声明</w:t>
      </w:r>
      <w:r>
        <w:rPr>
          <w:rFonts w:hint="eastAsia" w:ascii="Times New Roman" w:hAnsi="Times New Roman" w:cs="Times New Roman"/>
          <w:b/>
          <w:bCs/>
          <w:kern w:val="2"/>
          <w:sz w:val="20"/>
          <w:szCs w:val="20"/>
          <w:highlight w:val="none"/>
          <w:lang w:val="en-US" w:eastAsia="zh-CN" w:bidi="ar-SA"/>
        </w:rPr>
        <w:t>。</w:t>
      </w:r>
    </w:p>
    <w:p>
      <w:pPr>
        <w:spacing w:before="156" w:beforeLines="50" w:line="360" w:lineRule="auto"/>
        <w:ind w:firstLine="803" w:firstLineChars="400"/>
        <w:rPr>
          <w:rFonts w:hint="default"/>
          <w:highlight w:val="none"/>
          <w:lang w:val="en-US" w:eastAsia="zh-CN"/>
        </w:rPr>
      </w:pPr>
      <w:r>
        <w:rPr>
          <w:rFonts w:hint="eastAsia" w:cs="Times New Roman"/>
          <w:b/>
          <w:bCs/>
          <w:kern w:val="2"/>
          <w:sz w:val="20"/>
          <w:szCs w:val="20"/>
          <w:highlight w:val="none"/>
          <w:lang w:val="en-US" w:eastAsia="zh-CN" w:bidi="ar-SA"/>
        </w:rPr>
        <w:t>2、</w:t>
      </w:r>
      <w:r>
        <w:rPr>
          <w:rFonts w:hint="eastAsia" w:ascii="Times New Roman" w:hAnsi="Times New Roman" w:eastAsia="宋体" w:cs="Times New Roman"/>
          <w:b/>
          <w:bCs/>
          <w:kern w:val="2"/>
          <w:sz w:val="20"/>
          <w:szCs w:val="20"/>
          <w:highlight w:val="none"/>
          <w:lang w:val="en-US" w:eastAsia="zh-CN" w:bidi="ar-SA"/>
        </w:rPr>
        <w:t>从业人员、营业收入、资产总额填报上一年度数据，无上一年度数据的新成立企业可不填报。</w:t>
      </w:r>
    </w:p>
    <w:p>
      <w:pPr>
        <w:rPr>
          <w:rFonts w:hint="eastAsia" w:ascii="宋体" w:hAnsi="宋体" w:eastAsia="宋体" w:cs="宋体"/>
          <w:color w:val="000000"/>
          <w:sz w:val="32"/>
          <w:highlight w:val="none"/>
        </w:rPr>
      </w:pPr>
      <w:r>
        <w:rPr>
          <w:rFonts w:hint="eastAsia" w:ascii="宋体" w:hAnsi="宋体" w:eastAsia="宋体" w:cs="宋体"/>
          <w:color w:val="000000"/>
          <w:sz w:val="32"/>
          <w:highlight w:val="none"/>
        </w:rPr>
        <w:br w:type="page"/>
      </w:r>
    </w:p>
    <w:p>
      <w:pPr>
        <w:pStyle w:val="2"/>
        <w:keepNext w:val="0"/>
        <w:keepLines w:val="0"/>
        <w:tabs>
          <w:tab w:val="left" w:pos="540"/>
          <w:tab w:val="left" w:pos="720"/>
        </w:tabs>
        <w:spacing w:before="120" w:beforeLines="50" w:beforeAutospacing="0" w:after="120" w:afterLines="50" w:afterAutospacing="0"/>
        <w:rPr>
          <w:rFonts w:ascii="宋体" w:hAnsi="宋体" w:eastAsia="宋体" w:cs="宋体"/>
          <w:color w:val="000000"/>
          <w:sz w:val="32"/>
          <w:highlight w:val="none"/>
        </w:rPr>
      </w:pPr>
      <w:bookmarkStart w:id="2031" w:name="_Toc11182"/>
      <w:bookmarkStart w:id="2032" w:name="_Toc6641"/>
      <w:bookmarkStart w:id="2033" w:name="_Toc9820"/>
      <w:bookmarkStart w:id="2034" w:name="_Toc4716"/>
      <w:r>
        <w:rPr>
          <w:rFonts w:hint="eastAsia" w:ascii="宋体" w:hAnsi="宋体" w:eastAsia="宋体" w:cs="宋体"/>
          <w:color w:val="000000"/>
          <w:sz w:val="32"/>
          <w:highlight w:val="none"/>
          <w:lang w:val="en-US" w:eastAsia="zh-CN"/>
        </w:rPr>
        <w:t>4</w:t>
      </w:r>
      <w:r>
        <w:rPr>
          <w:rFonts w:hint="eastAsia" w:ascii="宋体" w:hAnsi="宋体" w:eastAsia="宋体" w:cs="宋体"/>
          <w:color w:val="000000"/>
          <w:sz w:val="32"/>
          <w:highlight w:val="none"/>
        </w:rPr>
        <w:t>、 监狱企业证明文件</w:t>
      </w:r>
      <w:bookmarkEnd w:id="2030"/>
      <w:bookmarkEnd w:id="2031"/>
      <w:bookmarkEnd w:id="2032"/>
      <w:bookmarkEnd w:id="2033"/>
      <w:bookmarkEnd w:id="2034"/>
    </w:p>
    <w:p>
      <w:pPr>
        <w:pStyle w:val="12"/>
        <w:rPr>
          <w:b/>
          <w:sz w:val="34"/>
          <w:highlight w:val="none"/>
        </w:rPr>
      </w:pPr>
    </w:p>
    <w:p>
      <w:pPr>
        <w:pStyle w:val="12"/>
        <w:rPr>
          <w:b/>
          <w:sz w:val="34"/>
          <w:highlight w:val="none"/>
        </w:rPr>
      </w:pPr>
    </w:p>
    <w:p>
      <w:pPr>
        <w:spacing w:line="360" w:lineRule="auto"/>
        <w:rPr>
          <w:rFonts w:cs="宋体"/>
          <w:color w:val="000000"/>
          <w:sz w:val="24"/>
          <w:szCs w:val="24"/>
          <w:highlight w:val="none"/>
        </w:rPr>
      </w:pPr>
    </w:p>
    <w:p>
      <w:pPr>
        <w:spacing w:line="360" w:lineRule="auto"/>
        <w:rPr>
          <w:rFonts w:cs="宋体"/>
          <w:color w:val="000000"/>
          <w:sz w:val="24"/>
          <w:szCs w:val="24"/>
          <w:highlight w:val="none"/>
        </w:rPr>
      </w:pPr>
    </w:p>
    <w:p>
      <w:pPr>
        <w:spacing w:line="360" w:lineRule="auto"/>
        <w:ind w:firstLine="480" w:firstLineChars="200"/>
        <w:rPr>
          <w:rFonts w:cs="宋体"/>
          <w:color w:val="000000"/>
          <w:sz w:val="24"/>
          <w:szCs w:val="24"/>
          <w:highlight w:val="none"/>
        </w:rPr>
      </w:pPr>
      <w:r>
        <w:rPr>
          <w:rFonts w:hint="eastAsia" w:cs="宋体"/>
          <w:color w:val="000000"/>
          <w:sz w:val="24"/>
          <w:szCs w:val="24"/>
          <w:highlight w:val="none"/>
        </w:rPr>
        <w:t>监狱企业参加政府采购活动时，应当提供由省级以上监狱管理局、戒毒管理局（含新疆生产建设兵团）出具的属于监狱企业的证明文件。</w:t>
      </w:r>
    </w:p>
    <w:p>
      <w:pPr>
        <w:spacing w:line="360" w:lineRule="auto"/>
        <w:rPr>
          <w:rFonts w:cs="宋体"/>
          <w:color w:val="000000"/>
          <w:sz w:val="24"/>
          <w:szCs w:val="24"/>
          <w:highlight w:val="none"/>
        </w:rPr>
      </w:pPr>
    </w:p>
    <w:p>
      <w:pPr>
        <w:spacing w:line="360" w:lineRule="auto"/>
        <w:rPr>
          <w:rFonts w:cs="宋体"/>
          <w:color w:val="000000"/>
          <w:sz w:val="24"/>
          <w:szCs w:val="24"/>
          <w:highlight w:val="none"/>
        </w:rPr>
      </w:pPr>
    </w:p>
    <w:p>
      <w:pPr>
        <w:pStyle w:val="12"/>
        <w:rPr>
          <w:sz w:val="28"/>
          <w:highlight w:val="none"/>
        </w:rPr>
      </w:pPr>
    </w:p>
    <w:p>
      <w:pPr>
        <w:pStyle w:val="12"/>
        <w:rPr>
          <w:rFonts w:ascii="Times New Roman"/>
          <w:color w:val="000000"/>
          <w:sz w:val="24"/>
          <w:szCs w:val="24"/>
          <w:highlight w:val="none"/>
        </w:rPr>
      </w:pPr>
      <w:r>
        <w:rPr>
          <w:rFonts w:hint="eastAsia" w:ascii="Times New Roman"/>
          <w:color w:val="000000"/>
          <w:sz w:val="24"/>
          <w:szCs w:val="24"/>
          <w:highlight w:val="none"/>
        </w:rPr>
        <w:t>单位名称（盖章）：</w:t>
      </w:r>
    </w:p>
    <w:p>
      <w:pPr>
        <w:pStyle w:val="12"/>
        <w:rPr>
          <w:rFonts w:ascii="Times New Roman"/>
          <w:color w:val="000000"/>
          <w:sz w:val="24"/>
          <w:szCs w:val="24"/>
          <w:highlight w:val="none"/>
        </w:rPr>
      </w:pPr>
    </w:p>
    <w:p>
      <w:pPr>
        <w:pStyle w:val="12"/>
        <w:rPr>
          <w:rFonts w:ascii="Times New Roman"/>
          <w:color w:val="000000"/>
          <w:sz w:val="24"/>
          <w:szCs w:val="24"/>
          <w:highlight w:val="none"/>
        </w:rPr>
      </w:pPr>
    </w:p>
    <w:p>
      <w:pPr>
        <w:pStyle w:val="12"/>
        <w:rPr>
          <w:rFonts w:ascii="Times New Roman"/>
          <w:color w:val="000000"/>
          <w:sz w:val="24"/>
          <w:szCs w:val="24"/>
          <w:highlight w:val="none"/>
        </w:rPr>
      </w:pPr>
      <w:r>
        <w:rPr>
          <w:rFonts w:hint="eastAsia" w:ascii="Times New Roman"/>
          <w:color w:val="000000"/>
          <w:sz w:val="24"/>
          <w:szCs w:val="24"/>
          <w:highlight w:val="none"/>
        </w:rPr>
        <w:t>日</w:t>
      </w:r>
      <w:r>
        <w:rPr>
          <w:rFonts w:hint="eastAsia" w:ascii="Times New Roman"/>
          <w:color w:val="000000"/>
          <w:sz w:val="24"/>
          <w:szCs w:val="24"/>
          <w:highlight w:val="none"/>
        </w:rPr>
        <w:tab/>
      </w:r>
      <w:r>
        <w:rPr>
          <w:rFonts w:hint="eastAsia" w:ascii="Times New Roman"/>
          <w:color w:val="000000"/>
          <w:sz w:val="24"/>
          <w:szCs w:val="24"/>
          <w:highlight w:val="none"/>
        </w:rPr>
        <w:t>期：   年</w:t>
      </w:r>
      <w:r>
        <w:rPr>
          <w:rFonts w:hint="eastAsia" w:ascii="Times New Roman"/>
          <w:color w:val="000000"/>
          <w:sz w:val="24"/>
          <w:szCs w:val="24"/>
          <w:highlight w:val="none"/>
        </w:rPr>
        <w:tab/>
      </w:r>
      <w:r>
        <w:rPr>
          <w:rFonts w:hint="eastAsia" w:ascii="Times New Roman"/>
          <w:color w:val="000000"/>
          <w:sz w:val="24"/>
          <w:szCs w:val="24"/>
          <w:highlight w:val="none"/>
        </w:rPr>
        <w:t xml:space="preserve">月 </w:t>
      </w:r>
      <w:r>
        <w:rPr>
          <w:rFonts w:hint="eastAsia" w:ascii="Times New Roman"/>
          <w:color w:val="000000"/>
          <w:sz w:val="24"/>
          <w:szCs w:val="24"/>
          <w:highlight w:val="none"/>
        </w:rPr>
        <w:tab/>
      </w:r>
      <w:r>
        <w:rPr>
          <w:rFonts w:hint="eastAsia" w:ascii="Times New Roman"/>
          <w:color w:val="000000"/>
          <w:sz w:val="24"/>
          <w:szCs w:val="24"/>
          <w:highlight w:val="none"/>
        </w:rPr>
        <w:t>日</w:t>
      </w:r>
    </w:p>
    <w:p>
      <w:pPr>
        <w:pStyle w:val="12"/>
        <w:rPr>
          <w:rFonts w:ascii="Times New Roman"/>
          <w:color w:val="000000"/>
          <w:sz w:val="24"/>
          <w:szCs w:val="24"/>
          <w:highlight w:val="none"/>
        </w:rPr>
      </w:pPr>
    </w:p>
    <w:p>
      <w:pPr>
        <w:pStyle w:val="12"/>
        <w:rPr>
          <w:rFonts w:ascii="Times New Roman"/>
          <w:color w:val="000000"/>
          <w:sz w:val="24"/>
          <w:szCs w:val="24"/>
          <w:highlight w:val="none"/>
        </w:rPr>
      </w:pPr>
    </w:p>
    <w:p>
      <w:pPr>
        <w:pStyle w:val="12"/>
        <w:rPr>
          <w:sz w:val="28"/>
          <w:highlight w:val="none"/>
        </w:rPr>
      </w:pPr>
    </w:p>
    <w:p>
      <w:pPr>
        <w:pStyle w:val="12"/>
        <w:rPr>
          <w:sz w:val="28"/>
          <w:highlight w:val="none"/>
        </w:rPr>
      </w:pPr>
    </w:p>
    <w:p>
      <w:pPr>
        <w:pStyle w:val="12"/>
        <w:spacing w:before="10"/>
        <w:rPr>
          <w:sz w:val="34"/>
          <w:highlight w:val="none"/>
        </w:rPr>
      </w:pPr>
    </w:p>
    <w:p>
      <w:pPr>
        <w:ind w:left="788"/>
        <w:jc w:val="left"/>
        <w:rPr>
          <w:b/>
          <w:sz w:val="24"/>
          <w:highlight w:val="none"/>
        </w:rPr>
      </w:pPr>
      <w:r>
        <w:rPr>
          <w:b/>
          <w:sz w:val="24"/>
          <w:highlight w:val="none"/>
        </w:rPr>
        <w:t>注：</w:t>
      </w:r>
    </w:p>
    <w:p>
      <w:pPr>
        <w:spacing w:before="161" w:line="364" w:lineRule="auto"/>
        <w:ind w:left="308" w:right="367" w:firstLine="480"/>
        <w:jc w:val="left"/>
        <w:rPr>
          <w:b/>
          <w:sz w:val="24"/>
          <w:highlight w:val="none"/>
        </w:rPr>
      </w:pPr>
      <w:r>
        <w:rPr>
          <w:rFonts w:eastAsia="Times New Roman"/>
          <w:b/>
          <w:w w:val="95"/>
          <w:sz w:val="24"/>
          <w:highlight w:val="none"/>
        </w:rPr>
        <w:t>1</w:t>
      </w:r>
      <w:r>
        <w:rPr>
          <w:b/>
          <w:spacing w:val="3"/>
          <w:w w:val="95"/>
          <w:sz w:val="24"/>
          <w:highlight w:val="none"/>
        </w:rPr>
        <w:t>、在政府采购活动中，监狱企业视同小型、微型企业，享受预留份额、评审中</w:t>
      </w:r>
      <w:r>
        <w:rPr>
          <w:b/>
          <w:spacing w:val="3"/>
          <w:sz w:val="24"/>
          <w:highlight w:val="none"/>
        </w:rPr>
        <w:t>价格扣除等政府采购促进中小企业发展的政府采购政策。</w:t>
      </w:r>
    </w:p>
    <w:p>
      <w:pPr>
        <w:spacing w:before="1"/>
        <w:ind w:left="788"/>
        <w:jc w:val="left"/>
        <w:rPr>
          <w:b/>
          <w:sz w:val="24"/>
          <w:highlight w:val="none"/>
        </w:rPr>
      </w:pPr>
      <w:r>
        <w:rPr>
          <w:rFonts w:eastAsia="Times New Roman"/>
          <w:b/>
          <w:sz w:val="24"/>
          <w:highlight w:val="none"/>
        </w:rPr>
        <w:t>2</w:t>
      </w:r>
      <w:r>
        <w:rPr>
          <w:b/>
          <w:sz w:val="24"/>
          <w:highlight w:val="none"/>
        </w:rPr>
        <w:t>、供应商为非监狱企业的，可不提供此项证明文件。</w:t>
      </w:r>
    </w:p>
    <w:p>
      <w:pPr>
        <w:jc w:val="left"/>
        <w:rPr>
          <w:sz w:val="24"/>
          <w:highlight w:val="none"/>
        </w:rPr>
        <w:sectPr>
          <w:footerReference r:id="rId20" w:type="default"/>
          <w:pgSz w:w="11910" w:h="16840"/>
          <w:pgMar w:top="1560" w:right="1020" w:bottom="1380" w:left="1280" w:header="0" w:footer="1196" w:gutter="0"/>
          <w:pgNumType w:fmt="decimal"/>
          <w:cols w:space="720" w:num="1"/>
        </w:sectPr>
      </w:pPr>
    </w:p>
    <w:p>
      <w:pPr>
        <w:pStyle w:val="2"/>
        <w:keepNext w:val="0"/>
        <w:keepLines w:val="0"/>
        <w:tabs>
          <w:tab w:val="left" w:pos="540"/>
          <w:tab w:val="left" w:pos="720"/>
        </w:tabs>
        <w:spacing w:before="156" w:beforeLines="50" w:beforeAutospacing="0" w:after="156" w:afterLines="50" w:afterAutospacing="0"/>
        <w:rPr>
          <w:sz w:val="43"/>
          <w:highlight w:val="none"/>
        </w:rPr>
      </w:pPr>
      <w:bookmarkStart w:id="2035" w:name="_Toc30744"/>
      <w:bookmarkStart w:id="2036" w:name="_Toc15696"/>
      <w:bookmarkStart w:id="2037" w:name="_Toc10129"/>
      <w:bookmarkStart w:id="2038" w:name="_Toc2856"/>
      <w:bookmarkStart w:id="2039" w:name="_Toc5006"/>
      <w:r>
        <w:rPr>
          <w:rFonts w:hint="eastAsia" w:ascii="宋体" w:hAnsi="宋体" w:eastAsia="宋体" w:cs="宋体"/>
          <w:color w:val="000000"/>
          <w:sz w:val="32"/>
          <w:highlight w:val="none"/>
          <w:lang w:val="en-US" w:eastAsia="zh-CN"/>
        </w:rPr>
        <w:t>5</w:t>
      </w:r>
      <w:r>
        <w:rPr>
          <w:rFonts w:hint="eastAsia" w:ascii="宋体" w:hAnsi="宋体" w:eastAsia="宋体" w:cs="宋体"/>
          <w:color w:val="000000"/>
          <w:sz w:val="32"/>
          <w:highlight w:val="none"/>
        </w:rPr>
        <w:t>、 残疾人福利性单位声明函</w:t>
      </w:r>
      <w:bookmarkEnd w:id="2035"/>
      <w:bookmarkEnd w:id="2036"/>
      <w:bookmarkEnd w:id="2037"/>
      <w:bookmarkEnd w:id="2038"/>
      <w:bookmarkEnd w:id="2039"/>
    </w:p>
    <w:p>
      <w:pPr>
        <w:ind w:left="548"/>
        <w:jc w:val="center"/>
        <w:rPr>
          <w:b/>
          <w:sz w:val="32"/>
          <w:highlight w:val="none"/>
        </w:rPr>
      </w:pPr>
      <w:r>
        <w:rPr>
          <w:b/>
          <w:sz w:val="32"/>
          <w:highlight w:val="none"/>
        </w:rPr>
        <w:t>残疾人福利性单位声明函</w:t>
      </w:r>
    </w:p>
    <w:p>
      <w:pPr>
        <w:pStyle w:val="12"/>
        <w:rPr>
          <w:b/>
          <w:highlight w:val="none"/>
        </w:rPr>
      </w:pPr>
    </w:p>
    <w:p>
      <w:pPr>
        <w:pStyle w:val="12"/>
        <w:spacing w:before="3"/>
        <w:rPr>
          <w:b/>
          <w:sz w:val="31"/>
          <w:highlight w:val="none"/>
        </w:rPr>
      </w:pPr>
    </w:p>
    <w:p>
      <w:pPr>
        <w:spacing w:line="360" w:lineRule="auto"/>
        <w:ind w:firstLine="480" w:firstLineChars="200"/>
        <w:rPr>
          <w:rFonts w:cs="宋体"/>
          <w:color w:val="000000"/>
          <w:sz w:val="24"/>
          <w:szCs w:val="24"/>
          <w:highlight w:val="none"/>
        </w:rPr>
      </w:pPr>
      <w:r>
        <w:rPr>
          <w:rFonts w:hint="eastAsia" w:cs="宋体"/>
          <w:color w:val="000000"/>
          <w:sz w:val="24"/>
          <w:szCs w:val="24"/>
          <w:highlight w:val="none"/>
        </w:rPr>
        <w:t xml:space="preserve">本单位郑重声明，根据《财政部 民政部 中国残疾人联合会关于促进残疾人就业政府采购政策的通知》（财库〔2017〕 141 号）的规定，本单位为符合条件的残疾人福利性单位，且本单位参加______________单位的 </w:t>
      </w:r>
      <w:r>
        <w:rPr>
          <w:rFonts w:hint="eastAsia" w:cs="宋体"/>
          <w:color w:val="000000"/>
          <w:sz w:val="24"/>
          <w:szCs w:val="24"/>
          <w:highlight w:val="none"/>
          <w:u w:val="single"/>
        </w:rPr>
        <w:t xml:space="preserve">            </w:t>
      </w:r>
      <w:r>
        <w:rPr>
          <w:rFonts w:hint="eastAsia" w:cs="宋体"/>
          <w:color w:val="000000"/>
          <w:sz w:val="24"/>
          <w:szCs w:val="24"/>
          <w:highlight w:val="none"/>
          <w:u w:val="single"/>
        </w:rPr>
        <w:tab/>
      </w:r>
      <w:r>
        <w:rPr>
          <w:rFonts w:hint="eastAsia" w:cs="宋体"/>
          <w:color w:val="000000"/>
          <w:sz w:val="24"/>
          <w:szCs w:val="24"/>
          <w:highlight w:val="none"/>
        </w:rPr>
        <w:t>项目</w:t>
      </w:r>
    </w:p>
    <w:p>
      <w:pPr>
        <w:spacing w:line="360" w:lineRule="auto"/>
        <w:rPr>
          <w:rFonts w:cs="宋体"/>
          <w:color w:val="000000"/>
          <w:sz w:val="24"/>
          <w:szCs w:val="24"/>
          <w:highlight w:val="none"/>
        </w:rPr>
      </w:pPr>
      <w:r>
        <w:rPr>
          <w:rFonts w:hint="eastAsia" w:cs="宋体"/>
          <w:color w:val="000000"/>
          <w:sz w:val="24"/>
          <w:szCs w:val="24"/>
          <w:highlight w:val="none"/>
        </w:rPr>
        <w:t>采购活动提供本单位制造的货物（由本单位承担工程/提供服务），或者提供其他残疾人福利性单位制造的货物（ 不包括使用非残疾人福利性单位注册商标的货物）。</w:t>
      </w:r>
    </w:p>
    <w:p>
      <w:pPr>
        <w:spacing w:line="360" w:lineRule="auto"/>
        <w:ind w:firstLine="480" w:firstLineChars="200"/>
        <w:rPr>
          <w:rFonts w:cs="宋体"/>
          <w:color w:val="000000"/>
          <w:sz w:val="24"/>
          <w:szCs w:val="24"/>
          <w:highlight w:val="none"/>
        </w:rPr>
      </w:pPr>
      <w:r>
        <w:rPr>
          <w:rFonts w:hint="eastAsia" w:cs="宋体"/>
          <w:color w:val="000000"/>
          <w:sz w:val="24"/>
          <w:szCs w:val="24"/>
          <w:highlight w:val="none"/>
        </w:rPr>
        <w:t>本单位对上述声明的真实性负责。如有虚假，将依法承担相应责任。</w:t>
      </w:r>
    </w:p>
    <w:p>
      <w:pPr>
        <w:pStyle w:val="12"/>
        <w:rPr>
          <w:highlight w:val="none"/>
        </w:rPr>
      </w:pPr>
    </w:p>
    <w:p>
      <w:pPr>
        <w:pStyle w:val="12"/>
        <w:rPr>
          <w:highlight w:val="none"/>
        </w:rPr>
      </w:pPr>
    </w:p>
    <w:p>
      <w:pPr>
        <w:pStyle w:val="12"/>
        <w:rPr>
          <w:highlight w:val="none"/>
        </w:rPr>
      </w:pPr>
    </w:p>
    <w:p>
      <w:pPr>
        <w:spacing w:line="360" w:lineRule="auto"/>
        <w:rPr>
          <w:rFonts w:cs="宋体"/>
          <w:color w:val="000000"/>
          <w:sz w:val="24"/>
          <w:szCs w:val="24"/>
          <w:highlight w:val="none"/>
        </w:rPr>
      </w:pPr>
      <w:r>
        <w:rPr>
          <w:rFonts w:hint="eastAsia" w:cs="宋体"/>
          <w:color w:val="000000"/>
          <w:sz w:val="24"/>
          <w:szCs w:val="24"/>
          <w:highlight w:val="none"/>
        </w:rPr>
        <w:t>单位名称（盖章）：</w:t>
      </w:r>
    </w:p>
    <w:p>
      <w:pPr>
        <w:spacing w:line="360" w:lineRule="auto"/>
        <w:rPr>
          <w:rFonts w:cs="宋体"/>
          <w:color w:val="000000"/>
          <w:sz w:val="24"/>
          <w:szCs w:val="24"/>
          <w:highlight w:val="none"/>
        </w:rPr>
      </w:pPr>
    </w:p>
    <w:p>
      <w:pPr>
        <w:spacing w:line="360" w:lineRule="auto"/>
        <w:rPr>
          <w:rFonts w:cs="宋体"/>
          <w:color w:val="000000"/>
          <w:sz w:val="24"/>
          <w:szCs w:val="24"/>
          <w:highlight w:val="none"/>
        </w:rPr>
      </w:pPr>
    </w:p>
    <w:p>
      <w:pPr>
        <w:spacing w:line="360" w:lineRule="auto"/>
        <w:rPr>
          <w:sz w:val="26"/>
          <w:highlight w:val="none"/>
        </w:rPr>
      </w:pPr>
      <w:r>
        <w:rPr>
          <w:rFonts w:hint="eastAsia" w:cs="宋体"/>
          <w:color w:val="000000"/>
          <w:sz w:val="24"/>
          <w:szCs w:val="24"/>
          <w:highlight w:val="none"/>
        </w:rPr>
        <w:t>日</w:t>
      </w:r>
      <w:r>
        <w:rPr>
          <w:rFonts w:hint="eastAsia" w:cs="宋体"/>
          <w:color w:val="000000"/>
          <w:sz w:val="24"/>
          <w:szCs w:val="24"/>
          <w:highlight w:val="none"/>
        </w:rPr>
        <w:tab/>
      </w:r>
      <w:r>
        <w:rPr>
          <w:rFonts w:hint="eastAsia" w:cs="宋体"/>
          <w:color w:val="000000"/>
          <w:sz w:val="24"/>
          <w:szCs w:val="24"/>
          <w:highlight w:val="none"/>
        </w:rPr>
        <w:t xml:space="preserve">期：    年 </w:t>
      </w:r>
      <w:r>
        <w:rPr>
          <w:rFonts w:hint="eastAsia" w:cs="宋体"/>
          <w:color w:val="000000"/>
          <w:sz w:val="24"/>
          <w:szCs w:val="24"/>
          <w:highlight w:val="none"/>
        </w:rPr>
        <w:tab/>
      </w:r>
      <w:r>
        <w:rPr>
          <w:rFonts w:hint="eastAsia" w:cs="宋体"/>
          <w:color w:val="000000"/>
          <w:sz w:val="24"/>
          <w:szCs w:val="24"/>
          <w:highlight w:val="none"/>
        </w:rPr>
        <w:t xml:space="preserve">月  </w:t>
      </w:r>
      <w:r>
        <w:rPr>
          <w:rFonts w:hint="eastAsia" w:cs="宋体"/>
          <w:color w:val="000000"/>
          <w:sz w:val="24"/>
          <w:szCs w:val="24"/>
          <w:highlight w:val="none"/>
        </w:rPr>
        <w:tab/>
      </w:r>
      <w:r>
        <w:rPr>
          <w:rFonts w:hint="eastAsia" w:cs="宋体"/>
          <w:color w:val="000000"/>
          <w:sz w:val="24"/>
          <w:szCs w:val="24"/>
          <w:highlight w:val="none"/>
        </w:rPr>
        <w:t>日</w:t>
      </w:r>
    </w:p>
    <w:p>
      <w:pPr>
        <w:pStyle w:val="12"/>
        <w:spacing w:before="12"/>
        <w:rPr>
          <w:sz w:val="31"/>
          <w:highlight w:val="none"/>
        </w:rPr>
      </w:pPr>
    </w:p>
    <w:p>
      <w:pPr>
        <w:ind w:left="788"/>
        <w:jc w:val="left"/>
        <w:rPr>
          <w:b/>
          <w:sz w:val="24"/>
          <w:highlight w:val="none"/>
        </w:rPr>
      </w:pPr>
      <w:r>
        <w:rPr>
          <w:b/>
          <w:sz w:val="24"/>
          <w:highlight w:val="none"/>
        </w:rPr>
        <w:t>注：</w:t>
      </w:r>
    </w:p>
    <w:p>
      <w:pPr>
        <w:pStyle w:val="12"/>
        <w:spacing w:before="9"/>
        <w:rPr>
          <w:b/>
          <w:highlight w:val="none"/>
        </w:rPr>
      </w:pPr>
    </w:p>
    <w:p>
      <w:pPr>
        <w:spacing w:line="364" w:lineRule="auto"/>
        <w:ind w:left="308" w:right="364" w:firstLine="480"/>
        <w:rPr>
          <w:b/>
          <w:sz w:val="24"/>
          <w:highlight w:val="none"/>
        </w:rPr>
      </w:pPr>
      <w:r>
        <w:rPr>
          <w:rFonts w:eastAsia="Times New Roman"/>
          <w:b/>
          <w:w w:val="95"/>
          <w:sz w:val="24"/>
          <w:highlight w:val="none"/>
        </w:rPr>
        <w:t>1</w:t>
      </w:r>
      <w:r>
        <w:rPr>
          <w:b/>
          <w:spacing w:val="3"/>
          <w:w w:val="95"/>
          <w:sz w:val="24"/>
          <w:highlight w:val="none"/>
        </w:rPr>
        <w:t>、残疾人福利性单位视同小型、微型企业，享受预留份额、评审中价格扣除等</w:t>
      </w:r>
      <w:r>
        <w:rPr>
          <w:b/>
          <w:spacing w:val="-2"/>
          <w:sz w:val="24"/>
          <w:highlight w:val="none"/>
        </w:rPr>
        <w:t>促进中小企业发展的政府采购政策。残疾人福利性单位属于小型、微型企业的，不重复享受政策。</w:t>
      </w:r>
    </w:p>
    <w:p>
      <w:pPr>
        <w:spacing w:before="158" w:line="364" w:lineRule="auto"/>
        <w:ind w:left="308" w:right="364" w:firstLine="480"/>
        <w:jc w:val="left"/>
        <w:rPr>
          <w:b/>
          <w:sz w:val="24"/>
          <w:highlight w:val="none"/>
        </w:rPr>
      </w:pPr>
      <w:r>
        <w:rPr>
          <w:rFonts w:eastAsia="Times New Roman"/>
          <w:b/>
          <w:w w:val="95"/>
          <w:sz w:val="24"/>
          <w:highlight w:val="none"/>
        </w:rPr>
        <w:t>2</w:t>
      </w:r>
      <w:r>
        <w:rPr>
          <w:b/>
          <w:spacing w:val="3"/>
          <w:w w:val="95"/>
          <w:sz w:val="24"/>
          <w:highlight w:val="none"/>
        </w:rPr>
        <w:t>、中标、成交供应商为残疾人福利性单位的，采购代理机构将随中标、成交结</w:t>
      </w:r>
      <w:r>
        <w:rPr>
          <w:b/>
          <w:spacing w:val="3"/>
          <w:sz w:val="24"/>
          <w:highlight w:val="none"/>
        </w:rPr>
        <w:t>果同时公告其《残疾人福利性单位声明函》，接受社会监督。</w:t>
      </w:r>
    </w:p>
    <w:p>
      <w:pPr>
        <w:spacing w:before="157"/>
        <w:ind w:left="788"/>
        <w:jc w:val="left"/>
        <w:rPr>
          <w:b/>
          <w:sz w:val="24"/>
          <w:highlight w:val="none"/>
        </w:rPr>
      </w:pPr>
      <w:r>
        <w:rPr>
          <w:rFonts w:eastAsia="Times New Roman"/>
          <w:b/>
          <w:sz w:val="24"/>
          <w:highlight w:val="none"/>
        </w:rPr>
        <w:t>3</w:t>
      </w:r>
      <w:r>
        <w:rPr>
          <w:b/>
          <w:sz w:val="24"/>
          <w:highlight w:val="none"/>
        </w:rPr>
        <w:t>、供应商为非残疾人福利性单位的，可不提供此声明。</w:t>
      </w:r>
    </w:p>
    <w:p>
      <w:pPr>
        <w:rPr>
          <w:rFonts w:ascii="宋体" w:hAnsi="宋体" w:cs="宋体"/>
          <w:color w:val="000000"/>
          <w:sz w:val="32"/>
          <w:highlight w:val="none"/>
        </w:rPr>
      </w:pPr>
      <w:r>
        <w:rPr>
          <w:rFonts w:hint="eastAsia" w:ascii="宋体" w:hAnsi="宋体" w:cs="宋体"/>
          <w:color w:val="000000"/>
          <w:sz w:val="32"/>
          <w:highlight w:val="none"/>
        </w:rPr>
        <w:br w:type="page"/>
      </w:r>
    </w:p>
    <w:p>
      <w:pPr>
        <w:pStyle w:val="2"/>
        <w:keepNext w:val="0"/>
        <w:keepLines w:val="0"/>
        <w:tabs>
          <w:tab w:val="left" w:pos="360"/>
          <w:tab w:val="left" w:pos="540"/>
        </w:tabs>
        <w:spacing w:before="156" w:beforeLines="50" w:beforeAutospacing="0" w:after="156" w:afterLines="50" w:afterAutospacing="0"/>
        <w:rPr>
          <w:rFonts w:ascii="宋体" w:hAnsi="宋体" w:eastAsia="宋体" w:cs="宋体"/>
          <w:color w:val="000000"/>
          <w:sz w:val="32"/>
          <w:highlight w:val="none"/>
        </w:rPr>
      </w:pPr>
      <w:bookmarkStart w:id="2040" w:name="_Toc8422"/>
      <w:bookmarkStart w:id="2041" w:name="_Toc19994"/>
      <w:bookmarkStart w:id="2042" w:name="_Toc28777"/>
      <w:bookmarkStart w:id="2043" w:name="_Toc18115"/>
      <w:bookmarkStart w:id="2044" w:name="_Toc7913"/>
      <w:r>
        <w:rPr>
          <w:rFonts w:hint="eastAsia" w:ascii="宋体" w:hAnsi="宋体" w:eastAsia="宋体" w:cs="宋体"/>
          <w:color w:val="000000"/>
          <w:sz w:val="32"/>
          <w:highlight w:val="none"/>
        </w:rPr>
        <w:t>二、商务响应文件</w:t>
      </w:r>
      <w:bookmarkEnd w:id="2040"/>
      <w:bookmarkEnd w:id="2041"/>
      <w:bookmarkEnd w:id="2042"/>
      <w:bookmarkEnd w:id="2043"/>
      <w:bookmarkEnd w:id="2044"/>
    </w:p>
    <w:p>
      <w:pPr>
        <w:pStyle w:val="2"/>
        <w:keepNext w:val="0"/>
        <w:keepLines w:val="0"/>
        <w:numPr>
          <w:ilvl w:val="0"/>
          <w:numId w:val="0"/>
        </w:numPr>
        <w:tabs>
          <w:tab w:val="left" w:pos="360"/>
          <w:tab w:val="left" w:pos="540"/>
        </w:tabs>
        <w:spacing w:before="156" w:beforeLines="50" w:beforeAutospacing="0" w:after="156" w:afterLines="50" w:afterAutospacing="0"/>
        <w:ind w:leftChars="0"/>
        <w:rPr>
          <w:rFonts w:ascii="宋体" w:hAnsi="宋体" w:eastAsia="宋体" w:cs="宋体"/>
          <w:color w:val="000000"/>
          <w:sz w:val="32"/>
          <w:highlight w:val="none"/>
        </w:rPr>
      </w:pPr>
      <w:bookmarkStart w:id="2045" w:name="_Toc16482"/>
      <w:bookmarkStart w:id="2046" w:name="_Toc32275"/>
      <w:bookmarkStart w:id="2047" w:name="_Toc6421"/>
      <w:bookmarkStart w:id="2048" w:name="_Toc21498"/>
      <w:bookmarkStart w:id="2049" w:name="_Toc6190"/>
      <w:r>
        <w:rPr>
          <w:rFonts w:hint="eastAsia" w:ascii="宋体" w:hAnsi="宋体" w:eastAsia="宋体" w:cs="宋体"/>
          <w:color w:val="000000"/>
          <w:sz w:val="32"/>
          <w:highlight w:val="none"/>
          <w:lang w:val="en-US" w:eastAsia="zh-CN"/>
        </w:rPr>
        <w:t>1、</w:t>
      </w:r>
      <w:r>
        <w:rPr>
          <w:rFonts w:hint="eastAsia" w:ascii="宋体" w:hAnsi="宋体" w:eastAsia="宋体" w:cs="宋体"/>
          <w:color w:val="000000"/>
          <w:sz w:val="32"/>
          <w:highlight w:val="none"/>
        </w:rPr>
        <w:t>法人代表身份证明和法定代表人授权委托书格式</w:t>
      </w:r>
      <w:bookmarkEnd w:id="2045"/>
      <w:bookmarkEnd w:id="2046"/>
      <w:bookmarkEnd w:id="2047"/>
      <w:bookmarkEnd w:id="2048"/>
      <w:bookmarkEnd w:id="2049"/>
    </w:p>
    <w:p>
      <w:pPr>
        <w:pStyle w:val="16"/>
        <w:spacing w:line="360" w:lineRule="auto"/>
        <w:ind w:firstLine="720" w:firstLineChars="200"/>
        <w:rPr>
          <w:rFonts w:hAnsi="宋体"/>
          <w:color w:val="000000"/>
          <w:sz w:val="36"/>
          <w:szCs w:val="36"/>
          <w:highlight w:val="none"/>
        </w:rPr>
      </w:pPr>
      <w:r>
        <w:rPr>
          <w:rFonts w:hint="eastAsia" w:hAnsi="宋体"/>
          <w:color w:val="000000"/>
          <w:sz w:val="36"/>
          <w:szCs w:val="36"/>
          <w:highlight w:val="none"/>
        </w:rPr>
        <w:t>法人代表身份证明（法定代表人参加投标）</w:t>
      </w:r>
    </w:p>
    <w:p>
      <w:pPr>
        <w:pStyle w:val="16"/>
        <w:spacing w:line="360" w:lineRule="auto"/>
        <w:ind w:firstLine="480" w:firstLineChars="200"/>
        <w:rPr>
          <w:rFonts w:hAnsi="宋体"/>
          <w:color w:val="000000"/>
          <w:sz w:val="24"/>
          <w:szCs w:val="24"/>
          <w:highlight w:val="none"/>
        </w:rPr>
      </w:pPr>
    </w:p>
    <w:p>
      <w:pPr>
        <w:pStyle w:val="16"/>
        <w:spacing w:line="360" w:lineRule="auto"/>
        <w:ind w:firstLine="480" w:firstLineChars="200"/>
        <w:rPr>
          <w:rFonts w:hAnsi="宋体"/>
          <w:color w:val="000000"/>
          <w:sz w:val="24"/>
          <w:szCs w:val="24"/>
          <w:highlight w:val="none"/>
        </w:rPr>
      </w:pPr>
      <w:r>
        <w:rPr>
          <w:rFonts w:hint="eastAsia" w:hAnsi="宋体"/>
          <w:color w:val="000000"/>
          <w:sz w:val="24"/>
          <w:szCs w:val="24"/>
          <w:highlight w:val="none"/>
        </w:rPr>
        <w:t>投标人名称：</w:t>
      </w:r>
    </w:p>
    <w:p>
      <w:pPr>
        <w:pStyle w:val="16"/>
        <w:spacing w:line="360" w:lineRule="auto"/>
        <w:ind w:firstLine="480" w:firstLineChars="200"/>
        <w:rPr>
          <w:rFonts w:hAnsi="宋体"/>
          <w:color w:val="000000"/>
          <w:sz w:val="24"/>
          <w:szCs w:val="24"/>
          <w:highlight w:val="none"/>
        </w:rPr>
      </w:pPr>
      <w:r>
        <w:rPr>
          <w:rFonts w:hint="eastAsia" w:hAnsi="宋体"/>
          <w:color w:val="000000"/>
          <w:sz w:val="24"/>
          <w:szCs w:val="24"/>
          <w:highlight w:val="none"/>
        </w:rPr>
        <w:t>注册号：</w:t>
      </w:r>
    </w:p>
    <w:p>
      <w:pPr>
        <w:pStyle w:val="16"/>
        <w:spacing w:line="360" w:lineRule="auto"/>
        <w:ind w:firstLine="480" w:firstLineChars="200"/>
        <w:rPr>
          <w:rFonts w:hAnsi="宋体"/>
          <w:color w:val="000000"/>
          <w:sz w:val="24"/>
          <w:szCs w:val="24"/>
          <w:highlight w:val="none"/>
        </w:rPr>
      </w:pPr>
      <w:r>
        <w:rPr>
          <w:rFonts w:hint="eastAsia" w:hAnsi="宋体"/>
          <w:color w:val="000000"/>
          <w:sz w:val="24"/>
          <w:szCs w:val="24"/>
          <w:highlight w:val="none"/>
        </w:rPr>
        <w:t>注册地址：</w:t>
      </w:r>
    </w:p>
    <w:p>
      <w:pPr>
        <w:pStyle w:val="16"/>
        <w:spacing w:line="360" w:lineRule="auto"/>
        <w:ind w:firstLine="480" w:firstLineChars="200"/>
        <w:rPr>
          <w:rFonts w:hAnsi="宋体"/>
          <w:color w:val="000000"/>
          <w:sz w:val="24"/>
          <w:szCs w:val="24"/>
          <w:highlight w:val="none"/>
        </w:rPr>
      </w:pPr>
      <w:r>
        <w:rPr>
          <w:rFonts w:hint="eastAsia" w:hAnsi="宋体"/>
          <w:color w:val="000000"/>
          <w:sz w:val="24"/>
          <w:szCs w:val="24"/>
          <w:highlight w:val="none"/>
        </w:rPr>
        <w:t>成立时间：      年    月     日</w:t>
      </w:r>
    </w:p>
    <w:p>
      <w:pPr>
        <w:pStyle w:val="16"/>
        <w:spacing w:line="360" w:lineRule="auto"/>
        <w:ind w:firstLine="480" w:firstLineChars="200"/>
        <w:rPr>
          <w:rFonts w:hAnsi="宋体"/>
          <w:color w:val="000000"/>
          <w:sz w:val="24"/>
          <w:szCs w:val="24"/>
          <w:highlight w:val="none"/>
        </w:rPr>
      </w:pPr>
      <w:r>
        <w:rPr>
          <w:rFonts w:hint="eastAsia" w:hAnsi="宋体"/>
          <w:color w:val="000000"/>
          <w:sz w:val="24"/>
          <w:szCs w:val="24"/>
          <w:highlight w:val="none"/>
        </w:rPr>
        <w:t>经营范围：</w:t>
      </w:r>
    </w:p>
    <w:p>
      <w:pPr>
        <w:pStyle w:val="16"/>
        <w:spacing w:line="360" w:lineRule="auto"/>
        <w:ind w:firstLine="480" w:firstLineChars="200"/>
        <w:rPr>
          <w:rFonts w:hAnsi="宋体"/>
          <w:color w:val="000000"/>
          <w:sz w:val="24"/>
          <w:szCs w:val="24"/>
          <w:highlight w:val="none"/>
        </w:rPr>
      </w:pPr>
      <w:r>
        <w:rPr>
          <w:rFonts w:hint="eastAsia" w:hAnsi="宋体"/>
          <w:color w:val="000000"/>
          <w:sz w:val="24"/>
          <w:szCs w:val="24"/>
          <w:highlight w:val="none"/>
        </w:rPr>
        <w:t>姓名：          性别：           年龄：        系    （投标人名称）的法定代表人。</w:t>
      </w:r>
    </w:p>
    <w:p>
      <w:pPr>
        <w:pStyle w:val="16"/>
        <w:spacing w:line="360" w:lineRule="auto"/>
        <w:ind w:firstLine="480" w:firstLineChars="200"/>
        <w:rPr>
          <w:rFonts w:hAnsi="宋体"/>
          <w:color w:val="000000"/>
          <w:sz w:val="24"/>
          <w:szCs w:val="24"/>
          <w:highlight w:val="none"/>
        </w:rPr>
      </w:pPr>
      <w:r>
        <w:rPr>
          <w:rFonts w:hint="eastAsia" w:hAnsi="宋体"/>
          <w:color w:val="000000"/>
          <w:sz w:val="24"/>
          <w:szCs w:val="24"/>
          <w:highlight w:val="none"/>
        </w:rPr>
        <w:t>特此说明。</w:t>
      </w:r>
    </w:p>
    <w:p>
      <w:pPr>
        <w:pStyle w:val="16"/>
        <w:spacing w:line="360" w:lineRule="auto"/>
        <w:ind w:firstLine="480" w:firstLineChars="200"/>
        <w:rPr>
          <w:rFonts w:hAnsi="宋体"/>
          <w:color w:val="000000"/>
          <w:sz w:val="24"/>
          <w:szCs w:val="24"/>
          <w:highlight w:val="none"/>
        </w:rPr>
      </w:pPr>
    </w:p>
    <w:p>
      <w:pPr>
        <w:pStyle w:val="16"/>
        <w:spacing w:line="360" w:lineRule="auto"/>
        <w:ind w:firstLine="480" w:firstLineChars="200"/>
        <w:rPr>
          <w:rFonts w:hAnsi="宋体"/>
          <w:color w:val="000000"/>
          <w:sz w:val="24"/>
          <w:szCs w:val="24"/>
          <w:highlight w:val="none"/>
        </w:rPr>
      </w:pPr>
      <w:r>
        <w:rPr>
          <w:rFonts w:hint="eastAsia" w:hAnsi="宋体"/>
          <w:color w:val="000000"/>
          <w:sz w:val="24"/>
          <w:szCs w:val="24"/>
          <w:highlight w:val="none"/>
        </w:rPr>
        <w:t>附件：法定代表人身份证复印件</w:t>
      </w:r>
    </w:p>
    <w:p>
      <w:pPr>
        <w:pStyle w:val="16"/>
        <w:spacing w:line="360" w:lineRule="auto"/>
        <w:ind w:firstLine="480" w:firstLineChars="200"/>
        <w:rPr>
          <w:rFonts w:hAnsi="宋体"/>
          <w:color w:val="000000"/>
          <w:sz w:val="24"/>
          <w:szCs w:val="24"/>
          <w:highlight w:val="none"/>
        </w:rPr>
      </w:pPr>
    </w:p>
    <w:p>
      <w:pPr>
        <w:pStyle w:val="16"/>
        <w:spacing w:line="360" w:lineRule="auto"/>
        <w:ind w:firstLine="480" w:firstLineChars="200"/>
        <w:rPr>
          <w:rFonts w:hAnsi="宋体"/>
          <w:color w:val="000000"/>
          <w:sz w:val="24"/>
          <w:szCs w:val="24"/>
          <w:highlight w:val="none"/>
        </w:rPr>
      </w:pPr>
    </w:p>
    <w:p>
      <w:pPr>
        <w:pStyle w:val="16"/>
        <w:spacing w:line="360" w:lineRule="auto"/>
        <w:ind w:firstLine="480" w:firstLineChars="200"/>
        <w:rPr>
          <w:rFonts w:hAnsi="宋体"/>
          <w:color w:val="000000"/>
          <w:sz w:val="24"/>
          <w:szCs w:val="24"/>
          <w:highlight w:val="none"/>
        </w:rPr>
      </w:pPr>
    </w:p>
    <w:p>
      <w:pPr>
        <w:pStyle w:val="16"/>
        <w:spacing w:line="360" w:lineRule="auto"/>
        <w:ind w:firstLine="480" w:firstLineChars="200"/>
        <w:rPr>
          <w:rFonts w:hAnsi="宋体"/>
          <w:color w:val="000000"/>
          <w:sz w:val="24"/>
          <w:szCs w:val="24"/>
          <w:highlight w:val="none"/>
        </w:rPr>
      </w:pPr>
      <w:r>
        <w:rPr>
          <w:rFonts w:hint="eastAsia" w:hAnsi="宋体"/>
          <w:color w:val="000000"/>
          <w:sz w:val="24"/>
          <w:szCs w:val="24"/>
          <w:highlight w:val="none"/>
        </w:rPr>
        <w:t>法定代表人签字：</w:t>
      </w:r>
    </w:p>
    <w:p>
      <w:pPr>
        <w:pStyle w:val="16"/>
        <w:spacing w:line="360" w:lineRule="auto"/>
        <w:ind w:firstLine="480" w:firstLineChars="200"/>
        <w:rPr>
          <w:rFonts w:hAnsi="宋体"/>
          <w:color w:val="000000"/>
          <w:sz w:val="24"/>
          <w:szCs w:val="24"/>
          <w:highlight w:val="none"/>
        </w:rPr>
      </w:pPr>
      <w:r>
        <w:rPr>
          <w:rFonts w:hint="eastAsia" w:hAnsi="宋体"/>
          <w:color w:val="000000"/>
          <w:sz w:val="24"/>
          <w:szCs w:val="24"/>
          <w:highlight w:val="none"/>
        </w:rPr>
        <w:t>投标人名称：         （盖章）</w:t>
      </w:r>
    </w:p>
    <w:p>
      <w:pPr>
        <w:pStyle w:val="16"/>
        <w:spacing w:line="360" w:lineRule="auto"/>
        <w:ind w:firstLine="480" w:firstLineChars="200"/>
        <w:rPr>
          <w:rFonts w:hAnsi="宋体"/>
          <w:color w:val="000000"/>
          <w:sz w:val="24"/>
          <w:szCs w:val="24"/>
          <w:highlight w:val="none"/>
        </w:rPr>
      </w:pPr>
      <w:r>
        <w:rPr>
          <w:rFonts w:hint="eastAsia" w:hAnsi="宋体"/>
          <w:color w:val="000000"/>
          <w:sz w:val="24"/>
          <w:szCs w:val="24"/>
          <w:highlight w:val="none"/>
        </w:rPr>
        <w:t>日    期：</w:t>
      </w:r>
    </w:p>
    <w:p>
      <w:pPr>
        <w:pStyle w:val="9"/>
        <w:overflowPunct w:val="0"/>
        <w:spacing w:line="560" w:lineRule="exact"/>
        <w:ind w:firstLine="0"/>
        <w:rPr>
          <w:rFonts w:ascii="宋体" w:hAnsi="宋体" w:eastAsia="宋体" w:cs="宋体"/>
          <w:b/>
          <w:color w:val="000000"/>
          <w:highlight w:val="none"/>
        </w:rPr>
      </w:pPr>
      <w:r>
        <w:rPr>
          <w:rFonts w:hAnsi="宋体"/>
          <w:color w:val="000000"/>
          <w:highlight w:val="none"/>
        </w:rPr>
        <mc:AlternateContent>
          <mc:Choice Requires="wps">
            <w:drawing>
              <wp:anchor distT="0" distB="0" distL="114300" distR="114300" simplePos="0" relativeHeight="251661312" behindDoc="0" locked="0" layoutInCell="1" allowOverlap="1">
                <wp:simplePos x="0" y="0"/>
                <wp:positionH relativeFrom="column">
                  <wp:posOffset>3061970</wp:posOffset>
                </wp:positionH>
                <wp:positionV relativeFrom="paragraph">
                  <wp:posOffset>257810</wp:posOffset>
                </wp:positionV>
                <wp:extent cx="2650490" cy="1945640"/>
                <wp:effectExtent l="4445" t="4445" r="12065" b="12065"/>
                <wp:wrapNone/>
                <wp:docPr id="14" name="矩形 14"/>
                <wp:cNvGraphicFramePr/>
                <a:graphic xmlns:a="http://schemas.openxmlformats.org/drawingml/2006/main">
                  <a:graphicData uri="http://schemas.microsoft.com/office/word/2010/wordprocessingShape">
                    <wps:wsp>
                      <wps:cNvSpPr/>
                      <wps:spPr>
                        <a:xfrm>
                          <a:off x="0" y="0"/>
                          <a:ext cx="2650490" cy="19456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left="-1131" w:leftChars="-514"/>
                              <w:jc w:val="center"/>
                              <w:rPr>
                                <w:rFonts w:eastAsia="华文中宋"/>
                                <w:b/>
                                <w:sz w:val="28"/>
                              </w:rPr>
                            </w:pPr>
                          </w:p>
                          <w:p>
                            <w:pPr>
                              <w:ind w:left="-1131" w:leftChars="-514"/>
                              <w:jc w:val="center"/>
                              <w:rPr>
                                <w:rFonts w:eastAsia="华文中宋"/>
                                <w:b/>
                                <w:sz w:val="28"/>
                              </w:rPr>
                            </w:pPr>
                            <w:r>
                              <w:rPr>
                                <w:rFonts w:hint="eastAsia" w:eastAsia="华文中宋"/>
                                <w:b/>
                                <w:sz w:val="28"/>
                              </w:rPr>
                              <w:t xml:space="preserve">          法定代表人</w:t>
                            </w:r>
                          </w:p>
                          <w:p>
                            <w:pPr>
                              <w:ind w:left="-1131" w:leftChars="-514"/>
                              <w:jc w:val="center"/>
                              <w:rPr>
                                <w:rFonts w:eastAsia="华文中宋"/>
                                <w:sz w:val="28"/>
                              </w:rPr>
                            </w:pPr>
                            <w:r>
                              <w:rPr>
                                <w:rFonts w:hint="eastAsia" w:eastAsia="华文中宋"/>
                                <w:b/>
                                <w:sz w:val="28"/>
                              </w:rPr>
                              <w:t xml:space="preserve">         居民身份证复印件反面粘贴处</w:t>
                            </w:r>
                          </w:p>
                        </w:txbxContent>
                      </wps:txbx>
                      <wps:bodyPr vert="horz" wrap="square" anchor="t" anchorCtr="0" upright="1"/>
                    </wps:wsp>
                  </a:graphicData>
                </a:graphic>
              </wp:anchor>
            </w:drawing>
          </mc:Choice>
          <mc:Fallback>
            <w:pict>
              <v:rect id="_x0000_s1026" o:spid="_x0000_s1026" o:spt="1" style="position:absolute;left:0pt;margin-left:241.1pt;margin-top:20.3pt;height:153.2pt;width:208.7pt;z-index:251661312;mso-width-relative:page;mso-height-relative:page;" fillcolor="#FFFFFF" filled="t" stroked="t" coordsize="21600,21600" o:gfxdata="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oPMzNgAAAAKAQAADwAAAAAAAAABACAAAAAiAAAAZHJzL2Rvd25yZXYueG1sUEsBAhQAFAAA&#10;AAgAh07iQGWASJYoAgAAbQQAAA4AAAAAAAAAAQAgAAAAJwEAAGRycy9lMm9Eb2MueG1sUEsFBgAA&#10;AAAGAAYAWQEAAMEFAAAAAA==&#10;">
                <v:fill on="t" focussize="0,0"/>
                <v:stroke color="#000000" joinstyle="miter"/>
                <v:imagedata o:title=""/>
                <o:lock v:ext="edit" aspectratio="f"/>
                <v:textbox>
                  <w:txbxContent>
                    <w:p>
                      <w:pPr>
                        <w:ind w:left="-1131" w:leftChars="-514"/>
                        <w:jc w:val="center"/>
                        <w:rPr>
                          <w:rFonts w:eastAsia="华文中宋"/>
                          <w:b/>
                          <w:sz w:val="28"/>
                        </w:rPr>
                      </w:pPr>
                    </w:p>
                    <w:p>
                      <w:pPr>
                        <w:ind w:left="-1131" w:leftChars="-514"/>
                        <w:jc w:val="center"/>
                        <w:rPr>
                          <w:rFonts w:eastAsia="华文中宋"/>
                          <w:b/>
                          <w:sz w:val="28"/>
                        </w:rPr>
                      </w:pPr>
                      <w:r>
                        <w:rPr>
                          <w:rFonts w:hint="eastAsia" w:eastAsia="华文中宋"/>
                          <w:b/>
                          <w:sz w:val="28"/>
                        </w:rPr>
                        <w:t xml:space="preserve">          法定代表人</w:t>
                      </w:r>
                    </w:p>
                    <w:p>
                      <w:pPr>
                        <w:ind w:left="-1131" w:leftChars="-514"/>
                        <w:jc w:val="center"/>
                        <w:rPr>
                          <w:rFonts w:eastAsia="华文中宋"/>
                          <w:sz w:val="28"/>
                        </w:rPr>
                      </w:pPr>
                      <w:r>
                        <w:rPr>
                          <w:rFonts w:hint="eastAsia" w:eastAsia="华文中宋"/>
                          <w:b/>
                          <w:sz w:val="28"/>
                        </w:rPr>
                        <w:t xml:space="preserve">         居民身份证复印件反面粘贴处</w:t>
                      </w:r>
                    </w:p>
                  </w:txbxContent>
                </v:textbox>
              </v:rect>
            </w:pict>
          </mc:Fallback>
        </mc:AlternateContent>
      </w:r>
      <w:r>
        <w:rPr>
          <w:rFonts w:hAnsi="宋体"/>
          <w:color w:val="000000"/>
          <w:highlight w:val="none"/>
        </w:rPr>
        <mc:AlternateContent>
          <mc:Choice Requires="wps">
            <w:drawing>
              <wp:anchor distT="0" distB="0" distL="114300" distR="114300" simplePos="0" relativeHeight="251660288" behindDoc="0" locked="0" layoutInCell="1" allowOverlap="1">
                <wp:simplePos x="0" y="0"/>
                <wp:positionH relativeFrom="column">
                  <wp:posOffset>-213360</wp:posOffset>
                </wp:positionH>
                <wp:positionV relativeFrom="paragraph">
                  <wp:posOffset>188595</wp:posOffset>
                </wp:positionV>
                <wp:extent cx="2853055" cy="2022475"/>
                <wp:effectExtent l="4445" t="4445" r="19050" b="11430"/>
                <wp:wrapNone/>
                <wp:docPr id="15" name="矩形 15"/>
                <wp:cNvGraphicFramePr/>
                <a:graphic xmlns:a="http://schemas.openxmlformats.org/drawingml/2006/main">
                  <a:graphicData uri="http://schemas.microsoft.com/office/word/2010/wordprocessingShape">
                    <wps:wsp>
                      <wps:cNvSpPr/>
                      <wps:spPr>
                        <a:xfrm>
                          <a:off x="0" y="0"/>
                          <a:ext cx="2853055" cy="2022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华文中宋"/>
                                <w:b/>
                                <w:sz w:val="28"/>
                              </w:rPr>
                            </w:pPr>
                          </w:p>
                          <w:p>
                            <w:pPr>
                              <w:ind w:left="-1131" w:leftChars="-514"/>
                              <w:jc w:val="center"/>
                              <w:rPr>
                                <w:rFonts w:eastAsia="华文中宋"/>
                                <w:b/>
                                <w:sz w:val="28"/>
                              </w:rPr>
                            </w:pPr>
                            <w:r>
                              <w:rPr>
                                <w:rFonts w:hint="eastAsia" w:eastAsia="华文中宋"/>
                                <w:b/>
                                <w:sz w:val="28"/>
                              </w:rPr>
                              <w:t xml:space="preserve">             法定代表人</w:t>
                            </w:r>
                          </w:p>
                          <w:p>
                            <w:pPr>
                              <w:ind w:left="-1131" w:leftChars="-514"/>
                              <w:jc w:val="center"/>
                              <w:rPr>
                                <w:rFonts w:eastAsia="华文中宋"/>
                                <w:sz w:val="28"/>
                              </w:rPr>
                            </w:pPr>
                            <w:r>
                              <w:rPr>
                                <w:rFonts w:hint="eastAsia" w:eastAsia="华文中宋"/>
                                <w:b/>
                                <w:sz w:val="28"/>
                              </w:rPr>
                              <w:t xml:space="preserve">            居民身份证复印件正面粘贴处</w:t>
                            </w:r>
                          </w:p>
                        </w:txbxContent>
                      </wps:txbx>
                      <wps:bodyPr vert="horz" wrap="square" anchor="t" anchorCtr="0" upright="1"/>
                    </wps:wsp>
                  </a:graphicData>
                </a:graphic>
              </wp:anchor>
            </w:drawing>
          </mc:Choice>
          <mc:Fallback>
            <w:pict>
              <v:rect id="_x0000_s1026" o:spid="_x0000_s1026" o:spt="1" style="position:absolute;left:0pt;margin-left:-16.8pt;margin-top:14.85pt;height:159.25pt;width:224.65pt;z-index:251660288;mso-width-relative:page;mso-height-relative:page;" fillcolor="#FFFFFF" filled="t" stroked="t" coordsize="21600,21600" o:gfxdata="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NMeDLaAAAACgEAAA8AAAAAAAAAAQAgAAAAIgAAAGRycy9kb3ducmV2LnhtbFBLAQIUABQA&#10;AAAIAIdO4kDGuuhiJwIAAG0EAAAOAAAAAAAAAAEAIAAAACkBAABkcnMvZTJvRG9jLnhtbFBLBQYA&#10;AAAABgAGAFkBAADCBQAAAAA=&#10;">
                <v:fill on="t" focussize="0,0"/>
                <v:stroke color="#000000" joinstyle="miter"/>
                <v:imagedata o:title=""/>
                <o:lock v:ext="edit" aspectratio="f"/>
                <v:textbox>
                  <w:txbxContent>
                    <w:p>
                      <w:pPr>
                        <w:rPr>
                          <w:rFonts w:eastAsia="华文中宋"/>
                          <w:b/>
                          <w:sz w:val="28"/>
                        </w:rPr>
                      </w:pPr>
                    </w:p>
                    <w:p>
                      <w:pPr>
                        <w:ind w:left="-1131" w:leftChars="-514"/>
                        <w:jc w:val="center"/>
                        <w:rPr>
                          <w:rFonts w:eastAsia="华文中宋"/>
                          <w:b/>
                          <w:sz w:val="28"/>
                        </w:rPr>
                      </w:pPr>
                      <w:r>
                        <w:rPr>
                          <w:rFonts w:hint="eastAsia" w:eastAsia="华文中宋"/>
                          <w:b/>
                          <w:sz w:val="28"/>
                        </w:rPr>
                        <w:t xml:space="preserve">             法定代表人</w:t>
                      </w:r>
                    </w:p>
                    <w:p>
                      <w:pPr>
                        <w:ind w:left="-1131" w:leftChars="-514"/>
                        <w:jc w:val="center"/>
                        <w:rPr>
                          <w:rFonts w:eastAsia="华文中宋"/>
                          <w:sz w:val="28"/>
                        </w:rPr>
                      </w:pPr>
                      <w:r>
                        <w:rPr>
                          <w:rFonts w:hint="eastAsia" w:eastAsia="华文中宋"/>
                          <w:b/>
                          <w:sz w:val="28"/>
                        </w:rPr>
                        <w:t xml:space="preserve">            居民身份证复印件正面粘贴处</w:t>
                      </w:r>
                    </w:p>
                  </w:txbxContent>
                </v:textbox>
              </v:rect>
            </w:pict>
          </mc:Fallback>
        </mc:AlternateContent>
      </w:r>
    </w:p>
    <w:p>
      <w:pPr>
        <w:pStyle w:val="9"/>
        <w:overflowPunct w:val="0"/>
        <w:spacing w:line="560" w:lineRule="exact"/>
        <w:ind w:firstLine="0"/>
        <w:rPr>
          <w:rFonts w:ascii="宋体" w:hAnsi="宋体" w:eastAsia="宋体" w:cs="宋体"/>
          <w:b/>
          <w:color w:val="000000"/>
          <w:highlight w:val="none"/>
        </w:rPr>
      </w:pPr>
    </w:p>
    <w:p>
      <w:pPr>
        <w:pStyle w:val="9"/>
        <w:overflowPunct w:val="0"/>
        <w:spacing w:line="560" w:lineRule="exact"/>
        <w:ind w:firstLine="0"/>
        <w:rPr>
          <w:rFonts w:ascii="宋体" w:hAnsi="宋体" w:eastAsia="宋体" w:cs="宋体"/>
          <w:b/>
          <w:color w:val="000000"/>
          <w:highlight w:val="none"/>
        </w:rPr>
      </w:pPr>
    </w:p>
    <w:p>
      <w:pPr>
        <w:pStyle w:val="9"/>
        <w:overflowPunct w:val="0"/>
        <w:spacing w:line="560" w:lineRule="exact"/>
        <w:ind w:firstLine="0"/>
        <w:rPr>
          <w:rFonts w:ascii="宋体" w:hAnsi="宋体" w:eastAsia="宋体" w:cs="宋体"/>
          <w:b/>
          <w:color w:val="000000"/>
          <w:highlight w:val="none"/>
        </w:rPr>
      </w:pPr>
    </w:p>
    <w:p>
      <w:pPr>
        <w:pStyle w:val="9"/>
        <w:overflowPunct w:val="0"/>
        <w:spacing w:line="560" w:lineRule="exact"/>
        <w:ind w:firstLine="0"/>
        <w:rPr>
          <w:rFonts w:ascii="宋体" w:hAnsi="宋体" w:eastAsia="宋体" w:cs="宋体"/>
          <w:b/>
          <w:color w:val="000000"/>
          <w:highlight w:val="none"/>
        </w:rPr>
      </w:pPr>
    </w:p>
    <w:p>
      <w:pPr>
        <w:pStyle w:val="9"/>
        <w:overflowPunct w:val="0"/>
        <w:spacing w:line="560" w:lineRule="exact"/>
        <w:ind w:firstLine="0"/>
        <w:rPr>
          <w:rFonts w:ascii="宋体" w:hAnsi="宋体" w:eastAsia="宋体" w:cs="宋体"/>
          <w:b/>
          <w:color w:val="000000"/>
          <w:highlight w:val="none"/>
        </w:rPr>
      </w:pPr>
    </w:p>
    <w:p>
      <w:pPr>
        <w:pStyle w:val="9"/>
        <w:overflowPunct w:val="0"/>
        <w:spacing w:line="560" w:lineRule="exact"/>
        <w:ind w:firstLine="0"/>
        <w:rPr>
          <w:rFonts w:ascii="宋体" w:hAnsi="宋体" w:eastAsia="宋体" w:cs="宋体"/>
          <w:b/>
          <w:color w:val="000000"/>
          <w:highlight w:val="none"/>
        </w:rPr>
      </w:pPr>
    </w:p>
    <w:p>
      <w:pPr>
        <w:pStyle w:val="9"/>
        <w:overflowPunct w:val="0"/>
        <w:spacing w:line="560" w:lineRule="exact"/>
        <w:ind w:firstLine="0"/>
        <w:jc w:val="center"/>
        <w:rPr>
          <w:rFonts w:ascii="宋体" w:hAnsi="宋体" w:eastAsia="宋体" w:cs="宋体"/>
          <w:b/>
          <w:color w:val="000000"/>
          <w:sz w:val="32"/>
          <w:szCs w:val="32"/>
          <w:highlight w:val="none"/>
        </w:rPr>
      </w:pPr>
      <w:r>
        <w:rPr>
          <w:rFonts w:hint="eastAsia" w:ascii="宋体" w:hAnsi="宋体" w:eastAsia="宋体" w:cs="宋体"/>
          <w:b/>
          <w:color w:val="000000"/>
          <w:sz w:val="32"/>
          <w:szCs w:val="32"/>
          <w:highlight w:val="none"/>
        </w:rPr>
        <w:t>授权委托书</w:t>
      </w:r>
    </w:p>
    <w:p>
      <w:pPr>
        <w:pStyle w:val="9"/>
        <w:overflowPunct w:val="0"/>
        <w:spacing w:line="360" w:lineRule="auto"/>
        <w:jc w:val="center"/>
        <w:rPr>
          <w:rFonts w:ascii="宋体" w:hAnsi="宋体" w:eastAsia="宋体" w:cs="宋体"/>
          <w:b/>
          <w:color w:val="000000"/>
          <w:highlight w:val="none"/>
        </w:rPr>
      </w:pPr>
    </w:p>
    <w:p>
      <w:pPr>
        <w:pStyle w:val="9"/>
        <w:overflowPunct w:val="0"/>
        <w:spacing w:line="360" w:lineRule="auto"/>
        <w:ind w:firstLine="480" w:firstLineChars="200"/>
        <w:jc w:val="both"/>
        <w:rPr>
          <w:rFonts w:ascii="宋体" w:hAnsi="宋体" w:eastAsia="宋体" w:cs="宋体"/>
          <w:color w:val="000000"/>
          <w:highlight w:val="none"/>
        </w:rPr>
      </w:pPr>
      <w:r>
        <w:rPr>
          <w:rFonts w:hint="eastAsia" w:ascii="宋体" w:hAnsi="宋体" w:eastAsia="宋体" w:cs="宋体"/>
          <w:color w:val="000000"/>
          <w:highlight w:val="none"/>
        </w:rPr>
        <w:t xml:space="preserve">本授权委托书声明：我 </w:t>
      </w:r>
      <w:r>
        <w:rPr>
          <w:rFonts w:hint="eastAsia" w:ascii="宋体" w:hAnsi="宋体" w:eastAsia="宋体" w:cs="宋体"/>
          <w:iCs/>
          <w:color w:val="000000"/>
          <w:szCs w:val="21"/>
          <w:highlight w:val="none"/>
          <w:u w:val="single"/>
        </w:rPr>
        <w:t xml:space="preserve">  （姓名）  </w:t>
      </w:r>
      <w:r>
        <w:rPr>
          <w:rFonts w:hint="eastAsia" w:ascii="宋体" w:hAnsi="宋体" w:eastAsia="宋体" w:cs="宋体"/>
          <w:color w:val="000000"/>
          <w:highlight w:val="none"/>
        </w:rPr>
        <w:t>系</w:t>
      </w:r>
      <w:r>
        <w:rPr>
          <w:rFonts w:hint="eastAsia" w:ascii="宋体" w:hAnsi="宋体" w:eastAsia="宋体" w:cs="宋体"/>
          <w:iCs/>
          <w:color w:val="000000"/>
          <w:szCs w:val="21"/>
          <w:highlight w:val="none"/>
          <w:u w:val="single"/>
        </w:rPr>
        <w:t xml:space="preserve">   （单位名称）  </w:t>
      </w:r>
      <w:r>
        <w:rPr>
          <w:rFonts w:hint="eastAsia" w:ascii="宋体" w:hAnsi="宋体" w:eastAsia="宋体" w:cs="宋体"/>
          <w:color w:val="000000"/>
          <w:highlight w:val="none"/>
        </w:rPr>
        <w:t>的法定代表人，现授权委托</w:t>
      </w:r>
      <w:r>
        <w:rPr>
          <w:rFonts w:hint="eastAsia" w:ascii="宋体" w:hAnsi="宋体" w:eastAsia="宋体" w:cs="宋体"/>
          <w:iCs/>
          <w:color w:val="000000"/>
          <w:szCs w:val="21"/>
          <w:highlight w:val="none"/>
          <w:u w:val="single"/>
        </w:rPr>
        <w:t xml:space="preserve">  （被授权人姓名及身份证号码）  </w:t>
      </w:r>
      <w:r>
        <w:rPr>
          <w:rFonts w:hint="eastAsia" w:ascii="宋体" w:hAnsi="宋体" w:eastAsia="宋体" w:cs="宋体"/>
          <w:color w:val="000000"/>
          <w:highlight w:val="none"/>
        </w:rPr>
        <w:t>为我公司的代理人，以本公司的名义参加海南卓能工程管理有限公司组织的编号为</w:t>
      </w:r>
      <w:r>
        <w:rPr>
          <w:rFonts w:hint="eastAsia" w:ascii="宋体" w:hAnsi="宋体" w:eastAsia="宋体" w:cs="宋体"/>
          <w:color w:val="000000"/>
          <w:highlight w:val="none"/>
          <w:u w:val="single"/>
        </w:rPr>
        <w:t xml:space="preserve">       </w:t>
      </w:r>
      <w:r>
        <w:rPr>
          <w:rFonts w:hint="eastAsia" w:ascii="宋体" w:hAnsi="宋体" w:eastAsia="宋体" w:cs="宋体"/>
          <w:color w:val="000000"/>
          <w:highlight w:val="none"/>
        </w:rPr>
        <w:t>的磋商采购活动，处理与本磋商项目有关的一切事务。被授权人在磋商过程及合同签订中所签署的一切文件，我均予以承认。</w:t>
      </w:r>
    </w:p>
    <w:p>
      <w:pPr>
        <w:pStyle w:val="9"/>
        <w:overflowPunct w:val="0"/>
        <w:spacing w:line="360" w:lineRule="auto"/>
        <w:ind w:firstLine="480" w:firstLineChars="200"/>
        <w:jc w:val="both"/>
        <w:rPr>
          <w:rFonts w:ascii="宋体" w:hAnsi="宋体" w:eastAsia="宋体" w:cs="宋体"/>
          <w:color w:val="000000"/>
          <w:highlight w:val="none"/>
        </w:rPr>
      </w:pPr>
      <w:r>
        <w:rPr>
          <w:rFonts w:hint="eastAsia" w:ascii="宋体" w:hAnsi="宋体" w:eastAsia="宋体" w:cs="宋体"/>
          <w:color w:val="000000"/>
          <w:highlight w:val="none"/>
        </w:rPr>
        <w:t>与本项目有关的质疑、投诉事项，我将亲自处理或另行特别授权。</w:t>
      </w:r>
    </w:p>
    <w:p>
      <w:pPr>
        <w:pStyle w:val="9"/>
        <w:overflowPunct w:val="0"/>
        <w:spacing w:line="360" w:lineRule="auto"/>
        <w:ind w:firstLine="480" w:firstLineChars="200"/>
        <w:jc w:val="both"/>
        <w:rPr>
          <w:rFonts w:ascii="宋体" w:hAnsi="宋体" w:eastAsia="宋体" w:cs="宋体"/>
          <w:color w:val="000000"/>
          <w:highlight w:val="none"/>
        </w:rPr>
      </w:pPr>
      <w:r>
        <w:rPr>
          <w:rFonts w:hint="eastAsia" w:ascii="宋体" w:hAnsi="宋体" w:eastAsia="宋体" w:cs="宋体"/>
          <w:color w:val="000000"/>
          <w:highlight w:val="none"/>
        </w:rPr>
        <w:t>本授权委托书的效力自签署日起至合同履行完毕止。</w:t>
      </w:r>
    </w:p>
    <w:p>
      <w:pPr>
        <w:pStyle w:val="9"/>
        <w:overflowPunct w:val="0"/>
        <w:spacing w:line="360" w:lineRule="auto"/>
        <w:ind w:firstLine="480" w:firstLineChars="200"/>
        <w:jc w:val="both"/>
        <w:rPr>
          <w:rFonts w:ascii="宋体" w:hAnsi="宋体" w:eastAsia="宋体" w:cs="宋体"/>
          <w:color w:val="000000"/>
          <w:highlight w:val="none"/>
        </w:rPr>
      </w:pPr>
      <w:r>
        <w:rPr>
          <w:rFonts w:hint="eastAsia" w:ascii="宋体" w:hAnsi="宋体" w:eastAsia="宋体" w:cs="宋体"/>
          <w:color w:val="000000"/>
          <w:highlight w:val="none"/>
        </w:rPr>
        <w:t>被授权人无转委托权。特此委托。</w:t>
      </w:r>
    </w:p>
    <w:p>
      <w:pPr>
        <w:pStyle w:val="9"/>
        <w:overflowPunct w:val="0"/>
        <w:spacing w:line="460" w:lineRule="exact"/>
        <w:jc w:val="both"/>
        <w:rPr>
          <w:rFonts w:ascii="宋体" w:hAnsi="宋体" w:eastAsia="宋体" w:cs="宋体"/>
          <w:color w:val="000000"/>
          <w:highlight w:val="none"/>
        </w:rPr>
      </w:pPr>
      <w:r>
        <w:rPr>
          <w:rFonts w:hint="eastAsia" w:ascii="宋体" w:hAnsi="宋体" w:eastAsia="宋体" w:cs="宋体"/>
          <w:color w:val="000000"/>
          <w:highlight w:val="none"/>
        </w:rPr>
        <w:t xml:space="preserve"> 本授权书于年月日签字生效，特此证明。</w:t>
      </w:r>
    </w:p>
    <w:p>
      <w:pPr>
        <w:pStyle w:val="9"/>
        <w:overflowPunct w:val="0"/>
        <w:spacing w:line="460" w:lineRule="exact"/>
        <w:jc w:val="both"/>
        <w:rPr>
          <w:rFonts w:ascii="宋体" w:hAnsi="宋体" w:eastAsia="宋体" w:cs="宋体"/>
          <w:color w:val="000000"/>
          <w:highlight w:val="none"/>
        </w:rPr>
      </w:pPr>
    </w:p>
    <w:p>
      <w:pPr>
        <w:pStyle w:val="9"/>
        <w:overflowPunct w:val="0"/>
        <w:spacing w:line="460" w:lineRule="exact"/>
        <w:jc w:val="both"/>
        <w:rPr>
          <w:rFonts w:ascii="宋体" w:hAnsi="宋体" w:eastAsia="宋体" w:cs="宋体"/>
          <w:color w:val="000000"/>
          <w:highlight w:val="none"/>
        </w:rPr>
      </w:pPr>
    </w:p>
    <w:p>
      <w:pPr>
        <w:pStyle w:val="9"/>
        <w:overflowPunct w:val="0"/>
        <w:spacing w:line="460" w:lineRule="exact"/>
        <w:jc w:val="both"/>
        <w:rPr>
          <w:rFonts w:ascii="宋体" w:hAnsi="宋体" w:eastAsia="宋体" w:cs="宋体"/>
          <w:color w:val="000000"/>
          <w:highlight w:val="none"/>
        </w:rPr>
      </w:pPr>
    </w:p>
    <w:p>
      <w:pPr>
        <w:adjustRightInd w:val="0"/>
        <w:snapToGrid w:val="0"/>
        <w:spacing w:before="156" w:beforeLines="50" w:after="156" w:afterLines="50"/>
        <w:ind w:firstLine="3840" w:firstLineChars="1600"/>
        <w:rPr>
          <w:rFonts w:ascii="宋体" w:hAnsi="宋体" w:cs="宋体"/>
          <w:color w:val="000000"/>
          <w:sz w:val="24"/>
          <w:highlight w:val="none"/>
        </w:rPr>
      </w:pPr>
      <w:r>
        <w:rPr>
          <w:rFonts w:hint="eastAsia" w:ascii="宋体" w:hAnsi="宋体" w:cs="宋体"/>
          <w:color w:val="000000"/>
          <w:sz w:val="24"/>
          <w:highlight w:val="none"/>
        </w:rPr>
        <w:t>供应商：</w:t>
      </w:r>
      <w:r>
        <w:rPr>
          <w:rFonts w:hint="eastAsia" w:ascii="宋体" w:hAnsi="宋体" w:cs="宋体"/>
          <w:iCs/>
          <w:color w:val="000000"/>
          <w:sz w:val="24"/>
          <w:highlight w:val="none"/>
        </w:rPr>
        <w:t>（填写名称并盖章）</w:t>
      </w:r>
    </w:p>
    <w:p>
      <w:pPr>
        <w:adjustRightInd w:val="0"/>
        <w:snapToGrid w:val="0"/>
        <w:spacing w:before="156" w:beforeLines="50"/>
        <w:ind w:firstLine="3840" w:firstLineChars="1600"/>
        <w:rPr>
          <w:rFonts w:ascii="宋体" w:hAnsi="宋体" w:cs="宋体"/>
          <w:iCs/>
          <w:color w:val="000000"/>
          <w:sz w:val="24"/>
          <w:highlight w:val="none"/>
        </w:rPr>
      </w:pPr>
      <w:r>
        <w:rPr>
          <w:rFonts w:hint="eastAsia" w:ascii="宋体" w:hAnsi="宋体" w:cs="宋体"/>
          <w:color w:val="000000"/>
          <w:sz w:val="24"/>
          <w:highlight w:val="none"/>
        </w:rPr>
        <w:t>法人及授权代表：</w:t>
      </w:r>
      <w:r>
        <w:rPr>
          <w:rFonts w:hint="eastAsia" w:ascii="宋体" w:hAnsi="宋体" w:cs="宋体"/>
          <w:iCs/>
          <w:color w:val="000000"/>
          <w:sz w:val="24"/>
          <w:highlight w:val="none"/>
        </w:rPr>
        <w:t>（签字或盖章）</w:t>
      </w:r>
    </w:p>
    <w:p>
      <w:pPr>
        <w:adjustRightInd w:val="0"/>
        <w:snapToGrid w:val="0"/>
        <w:spacing w:before="156" w:beforeLines="50"/>
        <w:ind w:firstLine="3840" w:firstLineChars="1600"/>
        <w:rPr>
          <w:rFonts w:ascii="宋体" w:hAnsi="宋体" w:cs="宋体"/>
          <w:iCs/>
          <w:color w:val="000000"/>
          <w:sz w:val="24"/>
          <w:highlight w:val="none"/>
        </w:rPr>
      </w:pPr>
      <w:r>
        <w:rPr>
          <w:rFonts w:hint="eastAsia" w:ascii="宋体" w:hAnsi="宋体" w:cs="宋体"/>
          <w:iCs/>
          <w:color w:val="000000"/>
          <w:sz w:val="24"/>
          <w:highlight w:val="none"/>
        </w:rPr>
        <w:t>日期：</w:t>
      </w:r>
    </w:p>
    <w:p>
      <w:pPr>
        <w:spacing w:line="560" w:lineRule="exact"/>
        <w:rPr>
          <w:rFonts w:ascii="宋体" w:hAnsi="宋体" w:cs="宋体"/>
          <w:b/>
          <w:color w:val="000000"/>
          <w:sz w:val="24"/>
          <w:highlight w:val="none"/>
        </w:rPr>
      </w:pPr>
    </w:p>
    <w:p>
      <w:pPr>
        <w:pStyle w:val="2"/>
        <w:keepNext w:val="0"/>
        <w:keepLines w:val="0"/>
        <w:rPr>
          <w:rFonts w:ascii="宋体" w:hAnsi="宋体" w:eastAsia="宋体" w:cs="宋体"/>
          <w:color w:val="000000"/>
          <w:sz w:val="32"/>
          <w:highlight w:val="none"/>
        </w:rPr>
        <w:sectPr>
          <w:footerReference r:id="rId21" w:type="default"/>
          <w:footerReference r:id="rId22" w:type="even"/>
          <w:pgSz w:w="11906" w:h="16838"/>
          <w:pgMar w:top="1361" w:right="1418" w:bottom="1361" w:left="1588" w:header="851" w:footer="992" w:gutter="0"/>
          <w:pgNumType w:fmt="decimal"/>
          <w:cols w:space="720" w:num="1"/>
          <w:docGrid w:type="lines" w:linePitch="312" w:charSpace="0"/>
        </w:sectPr>
      </w:pPr>
    </w:p>
    <w:p>
      <w:pPr>
        <w:pStyle w:val="2"/>
        <w:keepNext w:val="0"/>
        <w:keepLines w:val="0"/>
        <w:numPr>
          <w:ilvl w:val="0"/>
          <w:numId w:val="0"/>
        </w:numPr>
        <w:tabs>
          <w:tab w:val="left" w:pos="360"/>
          <w:tab w:val="left" w:pos="540"/>
        </w:tabs>
        <w:spacing w:before="120" w:beforeLines="50" w:beforeAutospacing="0" w:after="120" w:afterLines="50" w:afterAutospacing="0"/>
        <w:ind w:left="220" w:leftChars="0"/>
        <w:rPr>
          <w:rFonts w:ascii="宋体" w:hAnsi="宋体" w:cs="宋体"/>
          <w:color w:val="000000"/>
          <w:highlight w:val="none"/>
        </w:rPr>
      </w:pPr>
      <w:bookmarkStart w:id="2050" w:name="_Toc5347"/>
      <w:bookmarkStart w:id="2051" w:name="_Toc24038"/>
      <w:bookmarkStart w:id="2052" w:name="_Toc31630"/>
      <w:bookmarkStart w:id="2053" w:name="_Toc28935"/>
      <w:bookmarkStart w:id="2054" w:name="_Toc10817"/>
      <w:r>
        <w:rPr>
          <w:rFonts w:hint="eastAsia" w:ascii="宋体" w:hAnsi="宋体" w:eastAsia="宋体" w:cs="宋体"/>
          <w:color w:val="000000"/>
          <w:sz w:val="32"/>
          <w:highlight w:val="none"/>
          <w:lang w:val="en-US" w:eastAsia="zh-CN"/>
        </w:rPr>
        <w:t>2、</w:t>
      </w:r>
      <w:r>
        <w:rPr>
          <w:rFonts w:hint="eastAsia" w:ascii="宋体" w:hAnsi="宋体" w:eastAsia="宋体" w:cs="宋体"/>
          <w:color w:val="000000"/>
          <w:sz w:val="32"/>
          <w:highlight w:val="none"/>
        </w:rPr>
        <w:t>商务条款偏离表格式</w:t>
      </w:r>
      <w:bookmarkEnd w:id="2050"/>
      <w:bookmarkEnd w:id="2051"/>
      <w:bookmarkEnd w:id="2052"/>
      <w:bookmarkEnd w:id="2053"/>
      <w:bookmarkEnd w:id="2054"/>
    </w:p>
    <w:p>
      <w:pPr>
        <w:pStyle w:val="9"/>
        <w:overflowPunct w:val="0"/>
        <w:spacing w:line="560" w:lineRule="exact"/>
        <w:ind w:firstLine="0"/>
        <w:jc w:val="center"/>
        <w:rPr>
          <w:rFonts w:ascii="宋体" w:hAnsi="宋体" w:eastAsia="宋体" w:cs="宋体"/>
          <w:b/>
          <w:color w:val="000000"/>
          <w:sz w:val="36"/>
          <w:szCs w:val="36"/>
          <w:highlight w:val="none"/>
        </w:rPr>
      </w:pPr>
      <w:r>
        <w:rPr>
          <w:rFonts w:hint="eastAsia" w:ascii="宋体" w:hAnsi="宋体" w:eastAsia="宋体" w:cs="宋体"/>
          <w:b/>
          <w:color w:val="000000"/>
          <w:sz w:val="36"/>
          <w:szCs w:val="36"/>
          <w:highlight w:val="none"/>
        </w:rPr>
        <w:t>商务条款偏离一览表</w:t>
      </w:r>
    </w:p>
    <w:p>
      <w:pPr>
        <w:adjustRightInd w:val="0"/>
        <w:snapToGrid w:val="0"/>
        <w:rPr>
          <w:rFonts w:ascii="宋体" w:hAnsi="宋体" w:cs="宋体"/>
          <w:color w:val="000000"/>
          <w:highlight w:val="none"/>
        </w:rPr>
      </w:pPr>
    </w:p>
    <w:p>
      <w:pPr>
        <w:spacing w:line="360" w:lineRule="auto"/>
        <w:rPr>
          <w:rFonts w:hint="eastAsia" w:ascii="宋体" w:hAnsi="宋体" w:eastAsia="宋体" w:cs="宋体"/>
          <w:color w:val="000000"/>
          <w:sz w:val="24"/>
          <w:highlight w:val="none"/>
          <w:lang w:eastAsia="zh-CN"/>
        </w:rPr>
      </w:pPr>
      <w:r>
        <w:rPr>
          <w:rFonts w:hint="eastAsia" w:ascii="宋体" w:hAnsi="宋体" w:cs="宋体"/>
          <w:color w:val="000000"/>
          <w:sz w:val="24"/>
          <w:highlight w:val="none"/>
        </w:rPr>
        <w:t>项目名称：</w:t>
      </w:r>
      <w:r>
        <w:rPr>
          <w:rFonts w:hint="eastAsia" w:ascii="宋体" w:hAnsi="宋体" w:cs="宋体"/>
          <w:color w:val="000000"/>
          <w:sz w:val="24"/>
          <w:highlight w:val="none"/>
          <w:lang w:eastAsia="zh-CN"/>
        </w:rPr>
        <w:t>港门海岸派出所建设综合勤务指挥室及营区修缮项目</w:t>
      </w:r>
    </w:p>
    <w:p>
      <w:pPr>
        <w:spacing w:line="360" w:lineRule="auto"/>
        <w:rPr>
          <w:rFonts w:hint="eastAsia" w:ascii="宋体" w:hAnsi="宋体" w:eastAsia="宋体" w:cs="宋体"/>
          <w:color w:val="000000"/>
          <w:sz w:val="24"/>
          <w:highlight w:val="none"/>
          <w:lang w:eastAsia="zh-CN"/>
        </w:rPr>
      </w:pPr>
      <w:r>
        <w:rPr>
          <w:rFonts w:hint="eastAsia" w:ascii="宋体" w:hAnsi="宋体" w:cs="宋体"/>
          <w:color w:val="000000"/>
          <w:sz w:val="24"/>
          <w:highlight w:val="none"/>
        </w:rPr>
        <w:t>项目编号：</w:t>
      </w:r>
      <w:r>
        <w:rPr>
          <w:rFonts w:hint="eastAsia" w:ascii="宋体" w:hAnsi="宋体" w:cs="宋体"/>
          <w:color w:val="000000"/>
          <w:sz w:val="24"/>
          <w:highlight w:val="none"/>
          <w:lang w:eastAsia="zh-CN"/>
        </w:rPr>
        <w:t>HNZN-SYC202101</w:t>
      </w:r>
      <w:r>
        <w:rPr>
          <w:rFonts w:hint="eastAsia" w:ascii="宋体" w:hAnsi="宋体" w:cs="宋体"/>
          <w:color w:val="000000"/>
          <w:sz w:val="24"/>
          <w:highlight w:val="none"/>
          <w:lang w:val="en-US" w:eastAsia="zh-CN"/>
        </w:rPr>
        <w:t>5</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715"/>
        <w:gridCol w:w="2545"/>
        <w:gridCol w:w="1327"/>
        <w:gridCol w:w="1203"/>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740" w:type="dxa"/>
            <w:noWrap w:val="0"/>
            <w:vAlign w:val="center"/>
          </w:tcPr>
          <w:p>
            <w:pPr>
              <w:jc w:val="center"/>
              <w:rPr>
                <w:rFonts w:ascii="宋体" w:hAnsi="宋体" w:cs="宋体"/>
                <w:color w:val="000000"/>
                <w:sz w:val="24"/>
                <w:highlight w:val="none"/>
              </w:rPr>
            </w:pPr>
            <w:r>
              <w:rPr>
                <w:rFonts w:hint="eastAsia" w:ascii="宋体" w:hAnsi="宋体" w:cs="宋体"/>
                <w:color w:val="000000"/>
                <w:sz w:val="24"/>
                <w:highlight w:val="none"/>
              </w:rPr>
              <w:t>序号</w:t>
            </w:r>
          </w:p>
        </w:tc>
        <w:tc>
          <w:tcPr>
            <w:tcW w:w="1715" w:type="dxa"/>
            <w:noWrap w:val="0"/>
            <w:vAlign w:val="center"/>
          </w:tcPr>
          <w:p>
            <w:pPr>
              <w:jc w:val="center"/>
              <w:rPr>
                <w:rFonts w:ascii="宋体" w:hAnsi="宋体" w:cs="宋体"/>
                <w:color w:val="000000"/>
                <w:sz w:val="24"/>
                <w:highlight w:val="none"/>
              </w:rPr>
            </w:pPr>
            <w:r>
              <w:rPr>
                <w:rFonts w:hint="eastAsia" w:ascii="宋体" w:hAnsi="宋体" w:cs="宋体"/>
                <w:color w:val="000000"/>
                <w:sz w:val="24"/>
                <w:highlight w:val="none"/>
              </w:rPr>
              <w:t>项目</w:t>
            </w:r>
          </w:p>
        </w:tc>
        <w:tc>
          <w:tcPr>
            <w:tcW w:w="2545" w:type="dxa"/>
            <w:noWrap w:val="0"/>
            <w:vAlign w:val="center"/>
          </w:tcPr>
          <w:p>
            <w:pPr>
              <w:jc w:val="center"/>
              <w:rPr>
                <w:rFonts w:ascii="宋体" w:hAnsi="宋体" w:cs="宋体"/>
                <w:color w:val="000000"/>
                <w:sz w:val="24"/>
                <w:highlight w:val="none"/>
              </w:rPr>
            </w:pPr>
            <w:r>
              <w:rPr>
                <w:rFonts w:hint="eastAsia" w:ascii="宋体" w:hAnsi="宋体" w:cs="宋体"/>
                <w:color w:val="000000"/>
                <w:sz w:val="24"/>
                <w:highlight w:val="none"/>
              </w:rPr>
              <w:t>磋商文件要求</w:t>
            </w:r>
          </w:p>
        </w:tc>
        <w:tc>
          <w:tcPr>
            <w:tcW w:w="1327" w:type="dxa"/>
            <w:noWrap w:val="0"/>
            <w:vAlign w:val="center"/>
          </w:tcPr>
          <w:p>
            <w:pPr>
              <w:jc w:val="center"/>
              <w:rPr>
                <w:rFonts w:ascii="宋体" w:hAnsi="宋体" w:cs="宋体"/>
                <w:color w:val="000000"/>
                <w:sz w:val="24"/>
                <w:highlight w:val="none"/>
              </w:rPr>
            </w:pPr>
            <w:r>
              <w:rPr>
                <w:rFonts w:hint="eastAsia" w:ascii="宋体" w:hAnsi="宋体" w:cs="宋体"/>
                <w:color w:val="000000"/>
                <w:sz w:val="24"/>
                <w:highlight w:val="none"/>
              </w:rPr>
              <w:t>响应情况</w:t>
            </w:r>
          </w:p>
        </w:tc>
        <w:tc>
          <w:tcPr>
            <w:tcW w:w="1203" w:type="dxa"/>
            <w:noWrap w:val="0"/>
            <w:vAlign w:val="center"/>
          </w:tcPr>
          <w:p>
            <w:pPr>
              <w:jc w:val="center"/>
              <w:rPr>
                <w:rFonts w:ascii="宋体" w:hAnsi="宋体" w:cs="宋体"/>
                <w:color w:val="000000"/>
                <w:sz w:val="24"/>
                <w:highlight w:val="none"/>
              </w:rPr>
            </w:pPr>
            <w:r>
              <w:rPr>
                <w:rFonts w:hint="eastAsia" w:ascii="宋体" w:hAnsi="宋体" w:cs="宋体"/>
                <w:color w:val="000000"/>
                <w:sz w:val="24"/>
                <w:highlight w:val="none"/>
              </w:rPr>
              <w:t>偏离程度</w:t>
            </w:r>
          </w:p>
        </w:tc>
        <w:tc>
          <w:tcPr>
            <w:tcW w:w="1210" w:type="dxa"/>
            <w:noWrap w:val="0"/>
            <w:vAlign w:val="center"/>
          </w:tcPr>
          <w:p>
            <w:pPr>
              <w:jc w:val="center"/>
              <w:rPr>
                <w:rFonts w:ascii="宋体" w:hAnsi="宋体" w:cs="宋体"/>
                <w:color w:val="000000"/>
                <w:sz w:val="24"/>
                <w:highlight w:val="none"/>
              </w:rPr>
            </w:pPr>
            <w:r>
              <w:rPr>
                <w:rFonts w:hint="eastAsia" w:ascii="宋体" w:hAnsi="宋体" w:cs="宋体"/>
                <w:color w:val="000000"/>
                <w:sz w:val="24"/>
                <w:highlight w:val="none"/>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740" w:type="dxa"/>
            <w:noWrap w:val="0"/>
            <w:vAlign w:val="center"/>
          </w:tcPr>
          <w:p>
            <w:pPr>
              <w:jc w:val="center"/>
              <w:rPr>
                <w:rFonts w:ascii="宋体" w:hAnsi="宋体" w:cs="宋体"/>
                <w:color w:val="000000"/>
                <w:sz w:val="24"/>
                <w:highlight w:val="none"/>
              </w:rPr>
            </w:pPr>
            <w:r>
              <w:rPr>
                <w:rFonts w:hint="eastAsia" w:ascii="宋体" w:hAnsi="宋体" w:cs="宋体"/>
                <w:color w:val="000000"/>
                <w:sz w:val="24"/>
                <w:highlight w:val="none"/>
              </w:rPr>
              <w:t>1</w:t>
            </w:r>
          </w:p>
        </w:tc>
        <w:tc>
          <w:tcPr>
            <w:tcW w:w="1715" w:type="dxa"/>
            <w:noWrap w:val="0"/>
            <w:vAlign w:val="center"/>
          </w:tcPr>
          <w:p>
            <w:pPr>
              <w:jc w:val="center"/>
              <w:rPr>
                <w:rFonts w:ascii="宋体" w:hAnsi="宋体" w:cs="宋体"/>
                <w:color w:val="000000"/>
                <w:sz w:val="24"/>
                <w:highlight w:val="none"/>
              </w:rPr>
            </w:pPr>
            <w:r>
              <w:rPr>
                <w:rFonts w:hint="eastAsia" w:ascii="宋体" w:hAnsi="宋体" w:cs="宋体"/>
                <w:color w:val="000000"/>
                <w:sz w:val="24"/>
                <w:highlight w:val="none"/>
              </w:rPr>
              <w:t>投标人资格证明文件</w:t>
            </w:r>
          </w:p>
        </w:tc>
        <w:tc>
          <w:tcPr>
            <w:tcW w:w="2545" w:type="dxa"/>
            <w:noWrap w:val="0"/>
            <w:vAlign w:val="center"/>
          </w:tcPr>
          <w:p>
            <w:pPr>
              <w:spacing w:line="440" w:lineRule="exact"/>
              <w:rPr>
                <w:rFonts w:ascii="宋体" w:hAnsi="宋体" w:cs="宋体"/>
                <w:color w:val="000000"/>
                <w:sz w:val="24"/>
                <w:highlight w:val="none"/>
              </w:rPr>
            </w:pPr>
            <w:r>
              <w:rPr>
                <w:rFonts w:hint="eastAsia" w:ascii="宋体" w:hAnsi="宋体" w:cs="宋体"/>
                <w:color w:val="000000"/>
                <w:sz w:val="24"/>
                <w:highlight w:val="none"/>
              </w:rPr>
              <w:t>符合磋商文件对投标人资格的要求</w:t>
            </w:r>
          </w:p>
        </w:tc>
        <w:tc>
          <w:tcPr>
            <w:tcW w:w="1327" w:type="dxa"/>
            <w:noWrap w:val="0"/>
            <w:vAlign w:val="center"/>
          </w:tcPr>
          <w:p>
            <w:pPr>
              <w:jc w:val="center"/>
              <w:rPr>
                <w:rFonts w:ascii="宋体" w:hAnsi="宋体" w:cs="宋体"/>
                <w:color w:val="000000"/>
                <w:sz w:val="24"/>
                <w:highlight w:val="none"/>
              </w:rPr>
            </w:pPr>
          </w:p>
        </w:tc>
        <w:tc>
          <w:tcPr>
            <w:tcW w:w="1203" w:type="dxa"/>
            <w:noWrap w:val="0"/>
            <w:vAlign w:val="center"/>
          </w:tcPr>
          <w:p>
            <w:pPr>
              <w:jc w:val="center"/>
              <w:rPr>
                <w:rFonts w:ascii="宋体" w:hAnsi="宋体" w:cs="宋体"/>
                <w:color w:val="000000"/>
                <w:sz w:val="24"/>
                <w:highlight w:val="none"/>
              </w:rPr>
            </w:pPr>
          </w:p>
        </w:tc>
        <w:tc>
          <w:tcPr>
            <w:tcW w:w="1210" w:type="dxa"/>
            <w:noWrap w:val="0"/>
            <w:vAlign w:val="center"/>
          </w:tcPr>
          <w:p>
            <w:pPr>
              <w:jc w:val="center"/>
              <w:rPr>
                <w:rFonts w:ascii="宋体" w:hAnsi="宋体" w:cs="宋体"/>
                <w:color w:val="000000"/>
                <w:sz w:val="24"/>
                <w:highlight w:val="none"/>
              </w:rPr>
            </w:pPr>
            <w:r>
              <w:rPr>
                <w:rFonts w:hint="eastAsia" w:ascii="宋体" w:hAnsi="宋体" w:cs="宋体"/>
                <w:color w:val="000000"/>
                <w:sz w:val="24"/>
                <w:highlight w:val="none"/>
              </w:rPr>
              <w:t>见响应文件</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40" w:type="dxa"/>
            <w:noWrap w:val="0"/>
            <w:vAlign w:val="center"/>
          </w:tcPr>
          <w:p>
            <w:pPr>
              <w:jc w:val="center"/>
              <w:rPr>
                <w:rFonts w:hint="eastAsia" w:ascii="宋体" w:hAnsi="宋体" w:eastAsia="宋体" w:cs="宋体"/>
                <w:color w:val="000000"/>
                <w:sz w:val="24"/>
                <w:highlight w:val="none"/>
                <w:lang w:eastAsia="zh-CN"/>
              </w:rPr>
            </w:pPr>
            <w:r>
              <w:rPr>
                <w:rFonts w:hint="eastAsia" w:ascii="宋体" w:hAnsi="宋体" w:cs="宋体"/>
                <w:color w:val="000000"/>
                <w:sz w:val="24"/>
                <w:highlight w:val="none"/>
                <w:lang w:val="en-US" w:eastAsia="zh-CN"/>
              </w:rPr>
              <w:t>2</w:t>
            </w:r>
          </w:p>
        </w:tc>
        <w:tc>
          <w:tcPr>
            <w:tcW w:w="1715" w:type="dxa"/>
            <w:noWrap w:val="0"/>
            <w:vAlign w:val="center"/>
          </w:tcPr>
          <w:p>
            <w:pPr>
              <w:jc w:val="center"/>
              <w:rPr>
                <w:rFonts w:ascii="宋体" w:hAnsi="宋体" w:cs="宋体"/>
                <w:color w:val="000000"/>
                <w:sz w:val="24"/>
                <w:highlight w:val="none"/>
              </w:rPr>
            </w:pPr>
            <w:r>
              <w:rPr>
                <w:rFonts w:hint="eastAsia" w:ascii="宋体" w:hAnsi="宋体" w:cs="宋体"/>
                <w:color w:val="000000"/>
                <w:sz w:val="24"/>
                <w:highlight w:val="none"/>
              </w:rPr>
              <w:t>响应文件份数</w:t>
            </w:r>
          </w:p>
        </w:tc>
        <w:tc>
          <w:tcPr>
            <w:tcW w:w="2545" w:type="dxa"/>
            <w:noWrap w:val="0"/>
            <w:vAlign w:val="center"/>
          </w:tcPr>
          <w:p>
            <w:pPr>
              <w:spacing w:line="440" w:lineRule="exact"/>
              <w:jc w:val="center"/>
              <w:rPr>
                <w:rFonts w:ascii="宋体" w:hAnsi="宋体" w:cs="宋体"/>
                <w:color w:val="000000"/>
                <w:sz w:val="24"/>
                <w:highlight w:val="none"/>
              </w:rPr>
            </w:pPr>
            <w:r>
              <w:rPr>
                <w:rFonts w:hint="eastAsia" w:ascii="宋体" w:hAnsi="宋体" w:cs="宋体"/>
                <w:color w:val="000000"/>
                <w:sz w:val="24"/>
                <w:highlight w:val="none"/>
              </w:rPr>
              <w:t>一份正本贰份副本一份电子版</w:t>
            </w:r>
          </w:p>
        </w:tc>
        <w:tc>
          <w:tcPr>
            <w:tcW w:w="1327" w:type="dxa"/>
            <w:noWrap w:val="0"/>
            <w:vAlign w:val="center"/>
          </w:tcPr>
          <w:p>
            <w:pPr>
              <w:jc w:val="center"/>
              <w:rPr>
                <w:rFonts w:ascii="宋体" w:hAnsi="宋体" w:cs="宋体"/>
                <w:color w:val="000000"/>
                <w:sz w:val="24"/>
                <w:highlight w:val="none"/>
              </w:rPr>
            </w:pPr>
          </w:p>
        </w:tc>
        <w:tc>
          <w:tcPr>
            <w:tcW w:w="1203" w:type="dxa"/>
            <w:noWrap w:val="0"/>
            <w:vAlign w:val="center"/>
          </w:tcPr>
          <w:p>
            <w:pPr>
              <w:jc w:val="center"/>
              <w:rPr>
                <w:rFonts w:ascii="宋体" w:hAnsi="宋体" w:cs="宋体"/>
                <w:color w:val="000000"/>
                <w:sz w:val="24"/>
                <w:highlight w:val="none"/>
              </w:rPr>
            </w:pPr>
          </w:p>
        </w:tc>
        <w:tc>
          <w:tcPr>
            <w:tcW w:w="1210" w:type="dxa"/>
            <w:noWrap w:val="0"/>
            <w:vAlign w:val="center"/>
          </w:tcPr>
          <w:p>
            <w:pPr>
              <w:jc w:val="center"/>
              <w:rPr>
                <w:rFonts w:ascii="宋体" w:hAnsi="宋体" w:cs="宋体"/>
                <w:color w:val="000000"/>
                <w:sz w:val="24"/>
                <w:highlight w:val="none"/>
              </w:rPr>
            </w:pPr>
            <w:r>
              <w:rPr>
                <w:rFonts w:hint="eastAsia" w:ascii="宋体" w:hAnsi="宋体" w:cs="宋体"/>
                <w:color w:val="00000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40" w:type="dxa"/>
            <w:noWrap w:val="0"/>
            <w:vAlign w:val="center"/>
          </w:tcPr>
          <w:p>
            <w:pPr>
              <w:jc w:val="center"/>
              <w:rPr>
                <w:rFonts w:hint="eastAsia" w:ascii="宋体" w:hAnsi="宋体" w:eastAsia="宋体" w:cs="宋体"/>
                <w:color w:val="000000"/>
                <w:sz w:val="24"/>
                <w:highlight w:val="none"/>
                <w:lang w:eastAsia="zh-CN"/>
              </w:rPr>
            </w:pPr>
            <w:r>
              <w:rPr>
                <w:rFonts w:hint="eastAsia" w:ascii="宋体" w:hAnsi="宋体" w:cs="宋体"/>
                <w:color w:val="000000"/>
                <w:sz w:val="24"/>
                <w:highlight w:val="none"/>
                <w:lang w:val="en-US" w:eastAsia="zh-CN"/>
              </w:rPr>
              <w:t>3</w:t>
            </w:r>
          </w:p>
        </w:tc>
        <w:tc>
          <w:tcPr>
            <w:tcW w:w="1715" w:type="dxa"/>
            <w:noWrap w:val="0"/>
            <w:vAlign w:val="center"/>
          </w:tcPr>
          <w:p>
            <w:pPr>
              <w:jc w:val="center"/>
              <w:rPr>
                <w:rFonts w:ascii="宋体" w:hAnsi="宋体" w:cs="宋体"/>
                <w:color w:val="000000"/>
                <w:sz w:val="24"/>
                <w:highlight w:val="none"/>
              </w:rPr>
            </w:pPr>
            <w:r>
              <w:rPr>
                <w:rFonts w:hint="eastAsia" w:ascii="宋体" w:hAnsi="宋体" w:cs="宋体"/>
                <w:color w:val="000000"/>
                <w:sz w:val="24"/>
                <w:highlight w:val="none"/>
              </w:rPr>
              <w:t>磋商有效期</w:t>
            </w:r>
          </w:p>
        </w:tc>
        <w:tc>
          <w:tcPr>
            <w:tcW w:w="2545" w:type="dxa"/>
            <w:noWrap w:val="0"/>
            <w:vAlign w:val="center"/>
          </w:tcPr>
          <w:p>
            <w:pPr>
              <w:spacing w:line="440" w:lineRule="exact"/>
              <w:jc w:val="center"/>
              <w:rPr>
                <w:rFonts w:ascii="宋体" w:hAnsi="宋体" w:cs="宋体"/>
                <w:color w:val="000000"/>
                <w:sz w:val="24"/>
                <w:highlight w:val="none"/>
              </w:rPr>
            </w:pPr>
            <w:r>
              <w:rPr>
                <w:rFonts w:hint="eastAsia" w:ascii="宋体" w:hAnsi="宋体" w:cs="宋体"/>
                <w:color w:val="000000"/>
                <w:sz w:val="24"/>
                <w:highlight w:val="none"/>
              </w:rPr>
              <w:t>自响应文件开启之日起90日历天</w:t>
            </w:r>
          </w:p>
        </w:tc>
        <w:tc>
          <w:tcPr>
            <w:tcW w:w="1327" w:type="dxa"/>
            <w:noWrap w:val="0"/>
            <w:vAlign w:val="center"/>
          </w:tcPr>
          <w:p>
            <w:pPr>
              <w:jc w:val="center"/>
              <w:rPr>
                <w:rFonts w:ascii="宋体" w:hAnsi="宋体" w:cs="宋体"/>
                <w:color w:val="000000"/>
                <w:sz w:val="24"/>
                <w:highlight w:val="none"/>
              </w:rPr>
            </w:pPr>
          </w:p>
        </w:tc>
        <w:tc>
          <w:tcPr>
            <w:tcW w:w="1203" w:type="dxa"/>
            <w:noWrap w:val="0"/>
            <w:vAlign w:val="center"/>
          </w:tcPr>
          <w:p>
            <w:pPr>
              <w:jc w:val="center"/>
              <w:rPr>
                <w:rFonts w:ascii="宋体" w:hAnsi="宋体" w:cs="宋体"/>
                <w:color w:val="000000"/>
                <w:sz w:val="24"/>
                <w:highlight w:val="none"/>
              </w:rPr>
            </w:pPr>
          </w:p>
        </w:tc>
        <w:tc>
          <w:tcPr>
            <w:tcW w:w="1210" w:type="dxa"/>
            <w:noWrap w:val="0"/>
            <w:vAlign w:val="center"/>
          </w:tcPr>
          <w:p>
            <w:pPr>
              <w:jc w:val="center"/>
              <w:rPr>
                <w:rFonts w:ascii="宋体" w:hAnsi="宋体" w:cs="宋体"/>
                <w:color w:val="000000"/>
                <w:sz w:val="24"/>
                <w:highlight w:val="none"/>
              </w:rPr>
            </w:pPr>
            <w:r>
              <w:rPr>
                <w:rFonts w:hint="eastAsia" w:ascii="宋体" w:hAnsi="宋体" w:cs="宋体"/>
                <w:color w:val="000000"/>
                <w:sz w:val="24"/>
                <w:highlight w:val="none"/>
              </w:rPr>
              <w:t>见响应文件</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40" w:type="dxa"/>
            <w:noWrap w:val="0"/>
            <w:vAlign w:val="center"/>
          </w:tcPr>
          <w:p>
            <w:pPr>
              <w:jc w:val="center"/>
              <w:rPr>
                <w:rFonts w:hint="eastAsia" w:ascii="宋体" w:hAnsi="宋体" w:eastAsia="宋体" w:cs="宋体"/>
                <w:color w:val="000000"/>
                <w:sz w:val="24"/>
                <w:highlight w:val="none"/>
                <w:lang w:eastAsia="zh-CN"/>
              </w:rPr>
            </w:pPr>
            <w:r>
              <w:rPr>
                <w:rFonts w:hint="eastAsia" w:ascii="宋体" w:hAnsi="宋体" w:cs="宋体"/>
                <w:color w:val="000000"/>
                <w:sz w:val="24"/>
                <w:highlight w:val="none"/>
                <w:lang w:val="en-US" w:eastAsia="zh-CN"/>
              </w:rPr>
              <w:t>4</w:t>
            </w:r>
          </w:p>
        </w:tc>
        <w:tc>
          <w:tcPr>
            <w:tcW w:w="1715" w:type="dxa"/>
            <w:noWrap w:val="0"/>
            <w:vAlign w:val="center"/>
          </w:tcPr>
          <w:p>
            <w:pPr>
              <w:jc w:val="center"/>
              <w:rPr>
                <w:rFonts w:ascii="宋体" w:hAnsi="宋体" w:cs="宋体"/>
                <w:color w:val="000000"/>
                <w:sz w:val="24"/>
                <w:highlight w:val="none"/>
              </w:rPr>
            </w:pPr>
            <w:r>
              <w:rPr>
                <w:rFonts w:hint="eastAsia" w:ascii="宋体" w:hAnsi="宋体" w:cs="宋体"/>
                <w:color w:val="000000"/>
                <w:sz w:val="24"/>
                <w:highlight w:val="none"/>
              </w:rPr>
              <w:t>工期</w:t>
            </w:r>
          </w:p>
        </w:tc>
        <w:tc>
          <w:tcPr>
            <w:tcW w:w="2545" w:type="dxa"/>
            <w:noWrap w:val="0"/>
            <w:vAlign w:val="center"/>
          </w:tcPr>
          <w:p>
            <w:pPr>
              <w:spacing w:line="440" w:lineRule="exact"/>
              <w:jc w:val="center"/>
              <w:rPr>
                <w:rFonts w:ascii="宋体" w:hAnsi="宋体" w:cs="宋体"/>
                <w:color w:val="000000"/>
                <w:sz w:val="24"/>
                <w:highlight w:val="none"/>
              </w:rPr>
            </w:pPr>
            <w:r>
              <w:rPr>
                <w:rFonts w:hint="eastAsia" w:ascii="宋体" w:hAnsi="宋体" w:cs="宋体"/>
                <w:color w:val="000000"/>
                <w:sz w:val="24"/>
                <w:highlight w:val="none"/>
                <w:lang w:val="en-US" w:eastAsia="zh-CN"/>
              </w:rPr>
              <w:t>90</w:t>
            </w:r>
            <w:r>
              <w:rPr>
                <w:rFonts w:ascii="宋体" w:hAnsi="宋体" w:cs="宋体"/>
                <w:color w:val="000000"/>
                <w:sz w:val="24"/>
                <w:highlight w:val="none"/>
              </w:rPr>
              <w:t>日历天</w:t>
            </w:r>
          </w:p>
        </w:tc>
        <w:tc>
          <w:tcPr>
            <w:tcW w:w="1327" w:type="dxa"/>
            <w:noWrap w:val="0"/>
            <w:vAlign w:val="center"/>
          </w:tcPr>
          <w:p>
            <w:pPr>
              <w:jc w:val="center"/>
              <w:rPr>
                <w:rFonts w:ascii="宋体" w:hAnsi="宋体" w:cs="宋体"/>
                <w:color w:val="000000"/>
                <w:sz w:val="24"/>
                <w:highlight w:val="none"/>
              </w:rPr>
            </w:pPr>
          </w:p>
        </w:tc>
        <w:tc>
          <w:tcPr>
            <w:tcW w:w="1203" w:type="dxa"/>
            <w:noWrap w:val="0"/>
            <w:vAlign w:val="center"/>
          </w:tcPr>
          <w:p>
            <w:pPr>
              <w:jc w:val="center"/>
              <w:rPr>
                <w:rFonts w:ascii="宋体" w:hAnsi="宋体" w:cs="宋体"/>
                <w:color w:val="000000"/>
                <w:sz w:val="24"/>
                <w:highlight w:val="none"/>
              </w:rPr>
            </w:pPr>
          </w:p>
        </w:tc>
        <w:tc>
          <w:tcPr>
            <w:tcW w:w="1210" w:type="dxa"/>
            <w:noWrap w:val="0"/>
            <w:vAlign w:val="center"/>
          </w:tcPr>
          <w:p>
            <w:pPr>
              <w:jc w:val="center"/>
              <w:rPr>
                <w:rFonts w:ascii="宋体" w:hAnsi="宋体" w:cs="宋体"/>
                <w:color w:val="000000"/>
                <w:sz w:val="24"/>
                <w:highlight w:val="none"/>
              </w:rPr>
            </w:pPr>
            <w:r>
              <w:rPr>
                <w:rFonts w:hint="eastAsia" w:ascii="宋体" w:hAnsi="宋体" w:cs="宋体"/>
                <w:color w:val="000000"/>
                <w:sz w:val="24"/>
                <w:highlight w:val="none"/>
              </w:rPr>
              <w:t>见响应文件</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40" w:type="dxa"/>
            <w:noWrap w:val="0"/>
            <w:vAlign w:val="center"/>
          </w:tcPr>
          <w:p>
            <w:pPr>
              <w:jc w:val="center"/>
              <w:rPr>
                <w:rFonts w:hint="eastAsia" w:ascii="宋体" w:hAnsi="宋体" w:eastAsia="宋体" w:cs="宋体"/>
                <w:color w:val="000000"/>
                <w:sz w:val="24"/>
                <w:highlight w:val="none"/>
                <w:lang w:eastAsia="zh-CN"/>
              </w:rPr>
            </w:pPr>
            <w:r>
              <w:rPr>
                <w:rFonts w:hint="eastAsia" w:ascii="宋体" w:hAnsi="宋体" w:cs="宋体"/>
                <w:color w:val="000000"/>
                <w:sz w:val="24"/>
                <w:highlight w:val="none"/>
                <w:lang w:val="en-US" w:eastAsia="zh-CN"/>
              </w:rPr>
              <w:t>5</w:t>
            </w:r>
          </w:p>
        </w:tc>
        <w:tc>
          <w:tcPr>
            <w:tcW w:w="1715" w:type="dxa"/>
            <w:noWrap w:val="0"/>
            <w:vAlign w:val="center"/>
          </w:tcPr>
          <w:p>
            <w:pPr>
              <w:jc w:val="center"/>
              <w:rPr>
                <w:rFonts w:ascii="宋体" w:hAnsi="宋体" w:cs="宋体"/>
                <w:color w:val="000000"/>
                <w:sz w:val="24"/>
                <w:highlight w:val="none"/>
              </w:rPr>
            </w:pPr>
            <w:r>
              <w:rPr>
                <w:rFonts w:hint="eastAsia" w:ascii="宋体" w:hAnsi="宋体" w:cs="宋体"/>
                <w:color w:val="000000"/>
                <w:sz w:val="24"/>
                <w:highlight w:val="none"/>
              </w:rPr>
              <w:t>工程质量要求</w:t>
            </w:r>
          </w:p>
        </w:tc>
        <w:tc>
          <w:tcPr>
            <w:tcW w:w="2545" w:type="dxa"/>
            <w:noWrap w:val="0"/>
            <w:vAlign w:val="center"/>
          </w:tcPr>
          <w:p>
            <w:pPr>
              <w:spacing w:line="440" w:lineRule="exact"/>
              <w:jc w:val="center"/>
              <w:rPr>
                <w:rFonts w:ascii="宋体" w:hAnsi="宋体" w:cs="宋体"/>
                <w:color w:val="000000"/>
                <w:sz w:val="24"/>
                <w:highlight w:val="none"/>
              </w:rPr>
            </w:pPr>
            <w:r>
              <w:rPr>
                <w:rFonts w:hint="eastAsia" w:ascii="宋体" w:hAnsi="宋体" w:cs="宋体"/>
                <w:color w:val="000000"/>
                <w:sz w:val="24"/>
                <w:highlight w:val="none"/>
              </w:rPr>
              <w:t>合格</w:t>
            </w:r>
          </w:p>
        </w:tc>
        <w:tc>
          <w:tcPr>
            <w:tcW w:w="1327" w:type="dxa"/>
            <w:noWrap w:val="0"/>
            <w:vAlign w:val="center"/>
          </w:tcPr>
          <w:p>
            <w:pPr>
              <w:jc w:val="center"/>
              <w:rPr>
                <w:rFonts w:ascii="宋体" w:hAnsi="宋体" w:cs="宋体"/>
                <w:color w:val="000000"/>
                <w:sz w:val="24"/>
                <w:highlight w:val="none"/>
              </w:rPr>
            </w:pPr>
          </w:p>
        </w:tc>
        <w:tc>
          <w:tcPr>
            <w:tcW w:w="1203" w:type="dxa"/>
            <w:noWrap w:val="0"/>
            <w:vAlign w:val="center"/>
          </w:tcPr>
          <w:p>
            <w:pPr>
              <w:jc w:val="center"/>
              <w:rPr>
                <w:rFonts w:ascii="宋体" w:hAnsi="宋体" w:cs="宋体"/>
                <w:color w:val="000000"/>
                <w:sz w:val="24"/>
                <w:highlight w:val="none"/>
              </w:rPr>
            </w:pPr>
          </w:p>
        </w:tc>
        <w:tc>
          <w:tcPr>
            <w:tcW w:w="1210" w:type="dxa"/>
            <w:noWrap w:val="0"/>
            <w:vAlign w:val="center"/>
          </w:tcPr>
          <w:p>
            <w:pPr>
              <w:jc w:val="center"/>
              <w:rPr>
                <w:rFonts w:ascii="宋体" w:hAnsi="宋体" w:cs="宋体"/>
                <w:color w:val="000000"/>
                <w:sz w:val="24"/>
                <w:highlight w:val="none"/>
              </w:rPr>
            </w:pPr>
            <w:r>
              <w:rPr>
                <w:rFonts w:hint="eastAsia" w:ascii="宋体" w:hAnsi="宋体" w:cs="宋体"/>
                <w:color w:val="000000"/>
                <w:sz w:val="24"/>
                <w:highlight w:val="none"/>
              </w:rPr>
              <w:t>见响应文件</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40" w:type="dxa"/>
            <w:noWrap w:val="0"/>
            <w:vAlign w:val="center"/>
          </w:tcPr>
          <w:p>
            <w:pPr>
              <w:jc w:val="center"/>
              <w:rPr>
                <w:rFonts w:hint="eastAsia" w:ascii="宋体" w:hAnsi="宋体" w:eastAsia="宋体" w:cs="宋体"/>
                <w:color w:val="000000"/>
                <w:sz w:val="24"/>
                <w:highlight w:val="none"/>
                <w:lang w:eastAsia="zh-CN"/>
              </w:rPr>
            </w:pPr>
            <w:r>
              <w:rPr>
                <w:rFonts w:hint="eastAsia" w:cs="宋体"/>
                <w:color w:val="000000"/>
                <w:sz w:val="24"/>
                <w:highlight w:val="none"/>
                <w:lang w:val="en-US" w:eastAsia="zh-CN"/>
              </w:rPr>
              <w:t>6</w:t>
            </w:r>
          </w:p>
        </w:tc>
        <w:tc>
          <w:tcPr>
            <w:tcW w:w="1715" w:type="dxa"/>
            <w:noWrap w:val="0"/>
            <w:vAlign w:val="center"/>
          </w:tcPr>
          <w:p>
            <w:pPr>
              <w:spacing w:line="440" w:lineRule="exact"/>
              <w:jc w:val="center"/>
              <w:rPr>
                <w:rFonts w:ascii="宋体" w:hAnsi="宋体" w:cs="宋体"/>
                <w:color w:val="000000"/>
                <w:sz w:val="24"/>
                <w:highlight w:val="none"/>
              </w:rPr>
            </w:pPr>
            <w:r>
              <w:rPr>
                <w:rFonts w:hint="eastAsia" w:ascii="宋体" w:hAnsi="宋体" w:cs="宋体"/>
                <w:color w:val="000000"/>
                <w:sz w:val="24"/>
                <w:highlight w:val="none"/>
              </w:rPr>
              <w:t>投标价</w:t>
            </w:r>
          </w:p>
        </w:tc>
        <w:tc>
          <w:tcPr>
            <w:tcW w:w="2545" w:type="dxa"/>
            <w:noWrap w:val="0"/>
            <w:vAlign w:val="center"/>
          </w:tcPr>
          <w:p>
            <w:pPr>
              <w:spacing w:line="440" w:lineRule="exact"/>
              <w:jc w:val="center"/>
              <w:rPr>
                <w:rFonts w:ascii="宋体" w:hAnsi="宋体" w:cs="宋体"/>
                <w:color w:val="000000"/>
                <w:sz w:val="24"/>
                <w:highlight w:val="none"/>
              </w:rPr>
            </w:pPr>
            <w:r>
              <w:rPr>
                <w:rFonts w:hint="eastAsia" w:ascii="宋体" w:hAnsi="宋体" w:cs="宋体"/>
                <w:color w:val="000000"/>
                <w:sz w:val="24"/>
                <w:highlight w:val="none"/>
              </w:rPr>
              <w:t>投标报价不超预算，并且是唯一的、无选择性的报价</w:t>
            </w:r>
          </w:p>
        </w:tc>
        <w:tc>
          <w:tcPr>
            <w:tcW w:w="1327" w:type="dxa"/>
            <w:noWrap w:val="0"/>
            <w:vAlign w:val="center"/>
          </w:tcPr>
          <w:p>
            <w:pPr>
              <w:jc w:val="center"/>
              <w:rPr>
                <w:rFonts w:ascii="宋体" w:hAnsi="宋体" w:cs="宋体"/>
                <w:color w:val="000000"/>
                <w:sz w:val="24"/>
                <w:highlight w:val="none"/>
              </w:rPr>
            </w:pPr>
          </w:p>
        </w:tc>
        <w:tc>
          <w:tcPr>
            <w:tcW w:w="1203" w:type="dxa"/>
            <w:noWrap w:val="0"/>
            <w:vAlign w:val="center"/>
          </w:tcPr>
          <w:p>
            <w:pPr>
              <w:jc w:val="center"/>
              <w:rPr>
                <w:rFonts w:ascii="宋体" w:hAnsi="宋体" w:cs="宋体"/>
                <w:color w:val="000000"/>
                <w:sz w:val="24"/>
                <w:highlight w:val="none"/>
              </w:rPr>
            </w:pPr>
          </w:p>
        </w:tc>
        <w:tc>
          <w:tcPr>
            <w:tcW w:w="1210" w:type="dxa"/>
            <w:noWrap w:val="0"/>
            <w:vAlign w:val="center"/>
          </w:tcPr>
          <w:p>
            <w:pPr>
              <w:jc w:val="center"/>
              <w:rPr>
                <w:rFonts w:ascii="宋体" w:hAnsi="宋体" w:cs="宋体"/>
                <w:color w:val="000000"/>
                <w:sz w:val="24"/>
                <w:highlight w:val="none"/>
              </w:rPr>
            </w:pPr>
            <w:r>
              <w:rPr>
                <w:rFonts w:hint="eastAsia" w:ascii="宋体" w:hAnsi="宋体" w:cs="宋体"/>
                <w:color w:val="000000"/>
                <w:sz w:val="24"/>
                <w:highlight w:val="none"/>
              </w:rPr>
              <w:t>见响应文件</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40" w:type="dxa"/>
            <w:noWrap w:val="0"/>
            <w:vAlign w:val="center"/>
          </w:tcPr>
          <w:p>
            <w:pPr>
              <w:jc w:val="center"/>
              <w:rPr>
                <w:rFonts w:hint="eastAsia" w:ascii="宋体" w:hAnsi="宋体" w:eastAsia="宋体" w:cs="宋体"/>
                <w:color w:val="000000"/>
                <w:sz w:val="24"/>
                <w:highlight w:val="none"/>
                <w:lang w:eastAsia="zh-CN"/>
              </w:rPr>
            </w:pPr>
            <w:r>
              <w:rPr>
                <w:rFonts w:hint="eastAsia" w:cs="宋体"/>
                <w:color w:val="000000"/>
                <w:sz w:val="24"/>
                <w:highlight w:val="none"/>
                <w:lang w:val="en-US" w:eastAsia="zh-CN"/>
              </w:rPr>
              <w:t>7</w:t>
            </w:r>
          </w:p>
        </w:tc>
        <w:tc>
          <w:tcPr>
            <w:tcW w:w="1715" w:type="dxa"/>
            <w:noWrap w:val="0"/>
            <w:vAlign w:val="center"/>
          </w:tcPr>
          <w:p>
            <w:pPr>
              <w:spacing w:line="440" w:lineRule="exact"/>
              <w:jc w:val="center"/>
              <w:rPr>
                <w:rFonts w:ascii="宋体" w:hAnsi="宋体" w:cs="宋体"/>
                <w:color w:val="000000"/>
                <w:sz w:val="24"/>
                <w:highlight w:val="none"/>
              </w:rPr>
            </w:pPr>
            <w:r>
              <w:rPr>
                <w:rFonts w:hint="eastAsia" w:ascii="宋体" w:hAnsi="宋体" w:cs="宋体"/>
                <w:color w:val="000000"/>
                <w:sz w:val="24"/>
                <w:highlight w:val="none"/>
              </w:rPr>
              <w:t>响应文件的签署符合招标文件要求</w:t>
            </w:r>
          </w:p>
        </w:tc>
        <w:tc>
          <w:tcPr>
            <w:tcW w:w="2545" w:type="dxa"/>
            <w:noWrap w:val="0"/>
            <w:vAlign w:val="center"/>
          </w:tcPr>
          <w:p>
            <w:pPr>
              <w:spacing w:line="440" w:lineRule="exact"/>
              <w:jc w:val="center"/>
              <w:rPr>
                <w:rFonts w:ascii="宋体" w:hAnsi="宋体" w:cs="宋体"/>
                <w:color w:val="000000"/>
                <w:sz w:val="24"/>
                <w:highlight w:val="none"/>
              </w:rPr>
            </w:pPr>
            <w:r>
              <w:rPr>
                <w:rFonts w:hint="eastAsia" w:ascii="宋体" w:hAnsi="宋体" w:cs="宋体"/>
                <w:color w:val="000000"/>
                <w:sz w:val="24"/>
                <w:highlight w:val="none"/>
              </w:rPr>
              <w:t>响应文件的签署</w:t>
            </w:r>
          </w:p>
        </w:tc>
        <w:tc>
          <w:tcPr>
            <w:tcW w:w="1327" w:type="dxa"/>
            <w:noWrap w:val="0"/>
            <w:vAlign w:val="center"/>
          </w:tcPr>
          <w:p>
            <w:pPr>
              <w:jc w:val="center"/>
              <w:rPr>
                <w:rFonts w:ascii="宋体" w:hAnsi="宋体" w:cs="宋体"/>
                <w:color w:val="000000"/>
                <w:sz w:val="24"/>
                <w:highlight w:val="none"/>
              </w:rPr>
            </w:pPr>
          </w:p>
        </w:tc>
        <w:tc>
          <w:tcPr>
            <w:tcW w:w="1203" w:type="dxa"/>
            <w:noWrap w:val="0"/>
            <w:vAlign w:val="center"/>
          </w:tcPr>
          <w:p>
            <w:pPr>
              <w:jc w:val="center"/>
              <w:rPr>
                <w:rFonts w:ascii="宋体" w:hAnsi="宋体" w:cs="宋体"/>
                <w:color w:val="000000"/>
                <w:sz w:val="24"/>
                <w:highlight w:val="none"/>
              </w:rPr>
            </w:pPr>
          </w:p>
        </w:tc>
        <w:tc>
          <w:tcPr>
            <w:tcW w:w="1210" w:type="dxa"/>
            <w:noWrap w:val="0"/>
            <w:vAlign w:val="center"/>
          </w:tcPr>
          <w:p>
            <w:pPr>
              <w:jc w:val="center"/>
              <w:rPr>
                <w:rFonts w:ascii="宋体" w:hAnsi="宋体" w:cs="宋体"/>
                <w:color w:val="000000"/>
                <w:sz w:val="24"/>
                <w:highlight w:val="none"/>
              </w:rPr>
            </w:pPr>
            <w:r>
              <w:rPr>
                <w:rFonts w:hint="eastAsia" w:ascii="宋体" w:hAnsi="宋体" w:cs="宋体"/>
                <w:color w:val="00000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40" w:type="dxa"/>
            <w:noWrap w:val="0"/>
            <w:vAlign w:val="center"/>
          </w:tcPr>
          <w:p>
            <w:pPr>
              <w:jc w:val="center"/>
              <w:rPr>
                <w:rFonts w:ascii="宋体" w:hAnsi="宋体" w:cs="宋体"/>
                <w:color w:val="000000"/>
                <w:sz w:val="24"/>
                <w:highlight w:val="none"/>
              </w:rPr>
            </w:pPr>
          </w:p>
        </w:tc>
        <w:tc>
          <w:tcPr>
            <w:tcW w:w="1715" w:type="dxa"/>
            <w:noWrap w:val="0"/>
            <w:vAlign w:val="center"/>
          </w:tcPr>
          <w:p>
            <w:pPr>
              <w:spacing w:line="440" w:lineRule="exact"/>
              <w:jc w:val="center"/>
              <w:rPr>
                <w:rFonts w:ascii="宋体" w:hAnsi="宋体" w:cs="宋体"/>
                <w:color w:val="000000"/>
                <w:sz w:val="24"/>
                <w:highlight w:val="none"/>
              </w:rPr>
            </w:pPr>
          </w:p>
        </w:tc>
        <w:tc>
          <w:tcPr>
            <w:tcW w:w="2545" w:type="dxa"/>
            <w:noWrap w:val="0"/>
            <w:vAlign w:val="center"/>
          </w:tcPr>
          <w:p>
            <w:pPr>
              <w:spacing w:line="440" w:lineRule="exact"/>
              <w:jc w:val="center"/>
              <w:rPr>
                <w:rFonts w:ascii="宋体" w:hAnsi="宋体" w:cs="宋体"/>
                <w:color w:val="000000"/>
                <w:sz w:val="24"/>
                <w:highlight w:val="none"/>
              </w:rPr>
            </w:pPr>
          </w:p>
        </w:tc>
        <w:tc>
          <w:tcPr>
            <w:tcW w:w="1327" w:type="dxa"/>
            <w:noWrap w:val="0"/>
            <w:vAlign w:val="center"/>
          </w:tcPr>
          <w:p>
            <w:pPr>
              <w:jc w:val="center"/>
              <w:rPr>
                <w:rFonts w:ascii="宋体" w:hAnsi="宋体" w:cs="宋体"/>
                <w:color w:val="000000"/>
                <w:sz w:val="24"/>
                <w:highlight w:val="none"/>
              </w:rPr>
            </w:pPr>
          </w:p>
        </w:tc>
        <w:tc>
          <w:tcPr>
            <w:tcW w:w="1203" w:type="dxa"/>
            <w:noWrap w:val="0"/>
            <w:vAlign w:val="center"/>
          </w:tcPr>
          <w:p>
            <w:pPr>
              <w:jc w:val="center"/>
              <w:rPr>
                <w:rFonts w:ascii="宋体" w:hAnsi="宋体" w:cs="宋体"/>
                <w:color w:val="000000"/>
                <w:sz w:val="24"/>
                <w:highlight w:val="none"/>
              </w:rPr>
            </w:pPr>
          </w:p>
        </w:tc>
        <w:tc>
          <w:tcPr>
            <w:tcW w:w="1210" w:type="dxa"/>
            <w:noWrap w:val="0"/>
            <w:vAlign w:val="center"/>
          </w:tcPr>
          <w:p>
            <w:pPr>
              <w:jc w:val="center"/>
              <w:rPr>
                <w:rFonts w:ascii="宋体" w:hAnsi="宋体" w:cs="宋体"/>
                <w:color w:val="000000"/>
                <w:sz w:val="24"/>
                <w:highlight w:val="none"/>
              </w:rPr>
            </w:pPr>
          </w:p>
        </w:tc>
      </w:tr>
    </w:tbl>
    <w:p>
      <w:pPr>
        <w:adjustRightInd w:val="0"/>
        <w:snapToGrid w:val="0"/>
        <w:ind w:right="220" w:rightChars="100" w:firstLine="240" w:firstLineChars="100"/>
        <w:rPr>
          <w:rFonts w:ascii="宋体" w:hAnsi="宋体" w:cs="宋体"/>
          <w:color w:val="000000"/>
          <w:sz w:val="24"/>
          <w:highlight w:val="none"/>
        </w:rPr>
      </w:pPr>
    </w:p>
    <w:p>
      <w:pPr>
        <w:adjustRightInd w:val="0"/>
        <w:snapToGrid w:val="0"/>
        <w:spacing w:before="120" w:beforeLines="50" w:after="120" w:afterLines="50"/>
        <w:ind w:firstLine="3840" w:firstLineChars="1600"/>
        <w:rPr>
          <w:rFonts w:ascii="宋体" w:hAnsi="宋体" w:cs="宋体"/>
          <w:color w:val="000000"/>
          <w:sz w:val="24"/>
          <w:highlight w:val="none"/>
        </w:rPr>
      </w:pPr>
      <w:r>
        <w:rPr>
          <w:rFonts w:hint="eastAsia" w:ascii="宋体" w:hAnsi="宋体" w:cs="宋体"/>
          <w:color w:val="000000"/>
          <w:sz w:val="24"/>
          <w:highlight w:val="none"/>
        </w:rPr>
        <w:t>供应商：</w:t>
      </w:r>
      <w:r>
        <w:rPr>
          <w:rFonts w:hint="eastAsia" w:ascii="宋体" w:hAnsi="宋体" w:cs="宋体"/>
          <w:iCs/>
          <w:color w:val="000000"/>
          <w:sz w:val="24"/>
          <w:highlight w:val="none"/>
        </w:rPr>
        <w:t>（填写名称并盖章）</w:t>
      </w:r>
    </w:p>
    <w:p>
      <w:pPr>
        <w:adjustRightInd w:val="0"/>
        <w:snapToGrid w:val="0"/>
        <w:spacing w:before="120" w:beforeLines="50"/>
        <w:ind w:firstLine="3840" w:firstLineChars="1600"/>
        <w:rPr>
          <w:rFonts w:ascii="宋体" w:hAnsi="宋体" w:cs="宋体"/>
          <w:iCs/>
          <w:color w:val="000000"/>
          <w:sz w:val="24"/>
          <w:highlight w:val="none"/>
        </w:rPr>
      </w:pPr>
      <w:r>
        <w:rPr>
          <w:rFonts w:hint="eastAsia" w:ascii="宋体" w:hAnsi="宋体" w:cs="宋体"/>
          <w:color w:val="000000"/>
          <w:sz w:val="24"/>
          <w:highlight w:val="none"/>
        </w:rPr>
        <w:t>法人及授权代表：</w:t>
      </w:r>
      <w:r>
        <w:rPr>
          <w:rFonts w:hint="eastAsia" w:ascii="宋体" w:hAnsi="宋体" w:cs="宋体"/>
          <w:iCs/>
          <w:color w:val="000000"/>
          <w:sz w:val="24"/>
          <w:highlight w:val="none"/>
        </w:rPr>
        <w:t>（签字或盖章）</w:t>
      </w:r>
    </w:p>
    <w:p>
      <w:pPr>
        <w:adjustRightInd w:val="0"/>
        <w:snapToGrid w:val="0"/>
        <w:spacing w:before="120" w:beforeLines="50"/>
        <w:ind w:firstLine="3840" w:firstLineChars="1600"/>
        <w:rPr>
          <w:rFonts w:ascii="宋体" w:hAnsi="宋体" w:cs="宋体"/>
          <w:iCs/>
          <w:color w:val="000000"/>
          <w:sz w:val="24"/>
          <w:highlight w:val="none"/>
        </w:rPr>
      </w:pPr>
      <w:r>
        <w:rPr>
          <w:rFonts w:hint="eastAsia" w:ascii="宋体" w:hAnsi="宋体" w:cs="宋体"/>
          <w:iCs/>
          <w:color w:val="000000"/>
          <w:sz w:val="24"/>
          <w:highlight w:val="none"/>
        </w:rPr>
        <w:t>日期：</w:t>
      </w:r>
    </w:p>
    <w:p>
      <w:pPr>
        <w:rPr>
          <w:rFonts w:ascii="宋体" w:hAnsi="宋体" w:cs="宋体"/>
          <w:color w:val="000000"/>
          <w:sz w:val="32"/>
          <w:highlight w:val="none"/>
        </w:rPr>
      </w:pPr>
      <w:r>
        <w:rPr>
          <w:rFonts w:hint="eastAsia" w:ascii="宋体" w:hAnsi="宋体" w:cs="宋体"/>
          <w:color w:val="000000"/>
          <w:sz w:val="32"/>
          <w:highlight w:val="none"/>
        </w:rPr>
        <w:br w:type="page"/>
      </w:r>
    </w:p>
    <w:p>
      <w:pPr>
        <w:pStyle w:val="2"/>
        <w:keepNext w:val="0"/>
        <w:keepLines w:val="0"/>
        <w:numPr>
          <w:ilvl w:val="0"/>
          <w:numId w:val="0"/>
        </w:numPr>
        <w:tabs>
          <w:tab w:val="left" w:pos="360"/>
          <w:tab w:val="left" w:pos="540"/>
        </w:tabs>
        <w:spacing w:before="120" w:beforeLines="50" w:beforeAutospacing="0" w:after="120" w:afterLines="50" w:afterAutospacing="0"/>
        <w:ind w:left="440" w:leftChars="0"/>
        <w:rPr>
          <w:rFonts w:ascii="宋体" w:hAnsi="宋体" w:eastAsia="宋体" w:cs="宋体"/>
          <w:color w:val="000000"/>
          <w:sz w:val="32"/>
          <w:highlight w:val="none"/>
        </w:rPr>
      </w:pPr>
      <w:bookmarkStart w:id="2055" w:name="_Toc27251"/>
      <w:bookmarkStart w:id="2056" w:name="_Toc13229"/>
      <w:bookmarkStart w:id="2057" w:name="_Toc19672"/>
      <w:bookmarkStart w:id="2058" w:name="_Toc18900"/>
      <w:bookmarkStart w:id="2059" w:name="_Toc1841"/>
      <w:r>
        <w:rPr>
          <w:rFonts w:hint="eastAsia" w:ascii="宋体" w:hAnsi="宋体" w:eastAsia="宋体" w:cs="宋体"/>
          <w:color w:val="000000"/>
          <w:sz w:val="32"/>
          <w:highlight w:val="none"/>
          <w:lang w:val="en-US" w:eastAsia="zh-CN"/>
        </w:rPr>
        <w:t>3、</w:t>
      </w:r>
      <w:r>
        <w:rPr>
          <w:rFonts w:hint="eastAsia" w:ascii="宋体" w:hAnsi="宋体" w:eastAsia="宋体" w:cs="宋体"/>
          <w:color w:val="000000"/>
          <w:sz w:val="32"/>
          <w:highlight w:val="none"/>
        </w:rPr>
        <w:t>项目管理机构</w:t>
      </w:r>
      <w:bookmarkEnd w:id="2055"/>
      <w:bookmarkEnd w:id="2056"/>
      <w:bookmarkEnd w:id="2057"/>
      <w:bookmarkEnd w:id="2058"/>
      <w:bookmarkEnd w:id="2059"/>
    </w:p>
    <w:p>
      <w:pPr>
        <w:adjustRightInd w:val="0"/>
        <w:snapToGrid w:val="0"/>
        <w:rPr>
          <w:rFonts w:ascii="宋体" w:hAnsi="宋体" w:cs="宋体"/>
          <w:color w:val="000000"/>
          <w:highlight w:val="none"/>
        </w:rPr>
      </w:pPr>
    </w:p>
    <w:p>
      <w:pPr>
        <w:pStyle w:val="47"/>
        <w:ind w:left="425" w:firstLine="0"/>
        <w:outlineLvl w:val="9"/>
        <w:rPr>
          <w:rFonts w:cs="宋体"/>
          <w:b/>
          <w:color w:val="000000"/>
          <w:highlight w:val="none"/>
        </w:rPr>
      </w:pPr>
      <w:bookmarkStart w:id="2060" w:name="_Toc1298"/>
      <w:bookmarkStart w:id="2061" w:name="_Toc28804"/>
      <w:r>
        <w:rPr>
          <w:rFonts w:hint="eastAsia" w:cs="宋体"/>
          <w:b/>
          <w:color w:val="000000"/>
          <w:highlight w:val="none"/>
        </w:rPr>
        <w:t>（一）项目管理机构组成表</w:t>
      </w:r>
      <w:bookmarkEnd w:id="2060"/>
      <w:bookmarkEnd w:id="2061"/>
    </w:p>
    <w:p>
      <w:pPr>
        <w:autoSpaceDE w:val="0"/>
        <w:autoSpaceDN w:val="0"/>
        <w:adjustRightInd w:val="0"/>
        <w:rPr>
          <w:rFonts w:ascii="宋体" w:hAnsi="宋体" w:cs="宋体"/>
          <w:color w:val="000000"/>
          <w:highlight w:val="none"/>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780"/>
        <w:gridCol w:w="860"/>
        <w:gridCol w:w="1180"/>
        <w:gridCol w:w="780"/>
        <w:gridCol w:w="1524"/>
        <w:gridCol w:w="1275"/>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restart"/>
            <w:noWrap w:val="0"/>
            <w:vAlign w:val="center"/>
          </w:tcPr>
          <w:p>
            <w:pPr>
              <w:autoSpaceDE w:val="0"/>
              <w:autoSpaceDN w:val="0"/>
              <w:adjustRightInd w:val="0"/>
              <w:jc w:val="center"/>
              <w:rPr>
                <w:rFonts w:ascii="宋体" w:hAnsi="宋体" w:cs="宋体"/>
                <w:color w:val="000000"/>
                <w:highlight w:val="none"/>
              </w:rPr>
            </w:pPr>
            <w:r>
              <w:rPr>
                <w:rFonts w:hint="eastAsia" w:ascii="宋体" w:hAnsi="宋体" w:cs="宋体"/>
                <w:color w:val="000000"/>
                <w:highlight w:val="none"/>
              </w:rPr>
              <w:t>职务</w:t>
            </w:r>
          </w:p>
        </w:tc>
        <w:tc>
          <w:tcPr>
            <w:tcW w:w="780" w:type="dxa"/>
            <w:vMerge w:val="restart"/>
            <w:noWrap w:val="0"/>
            <w:vAlign w:val="center"/>
          </w:tcPr>
          <w:p>
            <w:pPr>
              <w:autoSpaceDE w:val="0"/>
              <w:autoSpaceDN w:val="0"/>
              <w:adjustRightInd w:val="0"/>
              <w:jc w:val="center"/>
              <w:rPr>
                <w:rFonts w:ascii="宋体" w:hAnsi="宋体" w:cs="宋体"/>
                <w:color w:val="000000"/>
                <w:highlight w:val="none"/>
              </w:rPr>
            </w:pPr>
            <w:r>
              <w:rPr>
                <w:rFonts w:hint="eastAsia" w:ascii="宋体" w:hAnsi="宋体" w:cs="宋体"/>
                <w:color w:val="000000"/>
                <w:highlight w:val="none"/>
              </w:rPr>
              <w:t>姓名</w:t>
            </w:r>
          </w:p>
        </w:tc>
        <w:tc>
          <w:tcPr>
            <w:tcW w:w="860" w:type="dxa"/>
            <w:vMerge w:val="restart"/>
            <w:noWrap w:val="0"/>
            <w:vAlign w:val="center"/>
          </w:tcPr>
          <w:p>
            <w:pPr>
              <w:autoSpaceDE w:val="0"/>
              <w:autoSpaceDN w:val="0"/>
              <w:adjustRightInd w:val="0"/>
              <w:jc w:val="center"/>
              <w:rPr>
                <w:rFonts w:ascii="宋体" w:hAnsi="宋体" w:cs="宋体"/>
                <w:color w:val="000000"/>
                <w:highlight w:val="none"/>
              </w:rPr>
            </w:pPr>
            <w:r>
              <w:rPr>
                <w:rFonts w:hint="eastAsia" w:ascii="宋体" w:hAnsi="宋体" w:cs="宋体"/>
                <w:color w:val="000000"/>
                <w:highlight w:val="none"/>
              </w:rPr>
              <w:t>职称</w:t>
            </w:r>
          </w:p>
        </w:tc>
        <w:tc>
          <w:tcPr>
            <w:tcW w:w="4759" w:type="dxa"/>
            <w:gridSpan w:val="4"/>
            <w:noWrap w:val="0"/>
            <w:vAlign w:val="center"/>
          </w:tcPr>
          <w:p>
            <w:pPr>
              <w:autoSpaceDE w:val="0"/>
              <w:autoSpaceDN w:val="0"/>
              <w:adjustRightInd w:val="0"/>
              <w:jc w:val="center"/>
              <w:rPr>
                <w:rFonts w:ascii="宋体" w:hAnsi="宋体" w:cs="宋体"/>
                <w:color w:val="000000"/>
                <w:highlight w:val="none"/>
              </w:rPr>
            </w:pPr>
            <w:r>
              <w:rPr>
                <w:rFonts w:hint="eastAsia" w:ascii="宋体" w:hAnsi="宋体" w:cs="宋体"/>
                <w:color w:val="000000"/>
                <w:highlight w:val="none"/>
              </w:rPr>
              <w:t>执业或职业资格证明</w:t>
            </w:r>
          </w:p>
        </w:tc>
        <w:tc>
          <w:tcPr>
            <w:tcW w:w="947" w:type="dxa"/>
            <w:noWrap w:val="0"/>
            <w:vAlign w:val="center"/>
          </w:tcPr>
          <w:p>
            <w:pPr>
              <w:autoSpaceDE w:val="0"/>
              <w:autoSpaceDN w:val="0"/>
              <w:adjustRightInd w:val="0"/>
              <w:jc w:val="center"/>
              <w:rPr>
                <w:rFonts w:ascii="宋体" w:hAnsi="宋体" w:cs="宋体"/>
                <w:color w:val="000000"/>
                <w:highlight w:val="none"/>
              </w:rPr>
            </w:pPr>
            <w:r>
              <w:rPr>
                <w:rFonts w:hint="eastAsia" w:ascii="宋体" w:hAnsi="宋体" w:cs="宋体"/>
                <w:color w:val="00000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pPr>
              <w:autoSpaceDE w:val="0"/>
              <w:autoSpaceDN w:val="0"/>
              <w:adjustRightInd w:val="0"/>
              <w:jc w:val="center"/>
              <w:rPr>
                <w:rFonts w:ascii="宋体" w:hAnsi="宋体" w:cs="宋体"/>
                <w:color w:val="000000"/>
                <w:highlight w:val="none"/>
              </w:rPr>
            </w:pPr>
          </w:p>
        </w:tc>
        <w:tc>
          <w:tcPr>
            <w:tcW w:w="780" w:type="dxa"/>
            <w:vMerge w:val="continue"/>
            <w:noWrap w:val="0"/>
            <w:vAlign w:val="center"/>
          </w:tcPr>
          <w:p>
            <w:pPr>
              <w:autoSpaceDE w:val="0"/>
              <w:autoSpaceDN w:val="0"/>
              <w:adjustRightInd w:val="0"/>
              <w:jc w:val="center"/>
              <w:rPr>
                <w:rFonts w:ascii="宋体" w:hAnsi="宋体" w:cs="宋体"/>
                <w:color w:val="000000"/>
                <w:highlight w:val="none"/>
              </w:rPr>
            </w:pPr>
          </w:p>
        </w:tc>
        <w:tc>
          <w:tcPr>
            <w:tcW w:w="860" w:type="dxa"/>
            <w:vMerge w:val="continue"/>
            <w:noWrap w:val="0"/>
            <w:vAlign w:val="center"/>
          </w:tcPr>
          <w:p>
            <w:pPr>
              <w:autoSpaceDE w:val="0"/>
              <w:autoSpaceDN w:val="0"/>
              <w:adjustRightInd w:val="0"/>
              <w:jc w:val="center"/>
              <w:rPr>
                <w:rFonts w:ascii="宋体" w:hAnsi="宋体" w:cs="宋体"/>
                <w:color w:val="000000"/>
                <w:highlight w:val="none"/>
              </w:rPr>
            </w:pPr>
          </w:p>
        </w:tc>
        <w:tc>
          <w:tcPr>
            <w:tcW w:w="1180" w:type="dxa"/>
            <w:noWrap w:val="0"/>
            <w:vAlign w:val="center"/>
          </w:tcPr>
          <w:p>
            <w:pPr>
              <w:autoSpaceDE w:val="0"/>
              <w:autoSpaceDN w:val="0"/>
              <w:adjustRightInd w:val="0"/>
              <w:jc w:val="center"/>
              <w:rPr>
                <w:rFonts w:ascii="宋体" w:hAnsi="宋体" w:cs="宋体"/>
                <w:color w:val="000000"/>
                <w:highlight w:val="none"/>
              </w:rPr>
            </w:pPr>
            <w:r>
              <w:rPr>
                <w:rFonts w:hint="eastAsia" w:ascii="宋体" w:hAnsi="宋体" w:cs="宋体"/>
                <w:color w:val="000000"/>
                <w:highlight w:val="none"/>
              </w:rPr>
              <w:t>证书名称</w:t>
            </w:r>
          </w:p>
        </w:tc>
        <w:tc>
          <w:tcPr>
            <w:tcW w:w="780" w:type="dxa"/>
            <w:noWrap w:val="0"/>
            <w:vAlign w:val="center"/>
          </w:tcPr>
          <w:p>
            <w:pPr>
              <w:autoSpaceDE w:val="0"/>
              <w:autoSpaceDN w:val="0"/>
              <w:adjustRightInd w:val="0"/>
              <w:jc w:val="center"/>
              <w:rPr>
                <w:rFonts w:ascii="宋体" w:hAnsi="宋体" w:cs="宋体"/>
                <w:color w:val="000000"/>
                <w:highlight w:val="none"/>
              </w:rPr>
            </w:pPr>
            <w:r>
              <w:rPr>
                <w:rFonts w:hint="eastAsia" w:ascii="宋体" w:hAnsi="宋体" w:cs="宋体"/>
                <w:color w:val="000000"/>
                <w:highlight w:val="none"/>
              </w:rPr>
              <w:t>级别</w:t>
            </w:r>
          </w:p>
        </w:tc>
        <w:tc>
          <w:tcPr>
            <w:tcW w:w="1524" w:type="dxa"/>
            <w:noWrap w:val="0"/>
            <w:vAlign w:val="center"/>
          </w:tcPr>
          <w:p>
            <w:pPr>
              <w:autoSpaceDE w:val="0"/>
              <w:autoSpaceDN w:val="0"/>
              <w:adjustRightInd w:val="0"/>
              <w:jc w:val="center"/>
              <w:rPr>
                <w:rFonts w:ascii="宋体" w:hAnsi="宋体" w:cs="宋体"/>
                <w:color w:val="000000"/>
                <w:highlight w:val="none"/>
              </w:rPr>
            </w:pPr>
            <w:r>
              <w:rPr>
                <w:rFonts w:hint="eastAsia" w:ascii="宋体" w:hAnsi="宋体" w:cs="宋体"/>
                <w:color w:val="000000"/>
                <w:highlight w:val="none"/>
              </w:rPr>
              <w:t>证号</w:t>
            </w:r>
          </w:p>
        </w:tc>
        <w:tc>
          <w:tcPr>
            <w:tcW w:w="1275" w:type="dxa"/>
            <w:noWrap w:val="0"/>
            <w:vAlign w:val="center"/>
          </w:tcPr>
          <w:p>
            <w:pPr>
              <w:autoSpaceDE w:val="0"/>
              <w:autoSpaceDN w:val="0"/>
              <w:adjustRightInd w:val="0"/>
              <w:jc w:val="center"/>
              <w:rPr>
                <w:rFonts w:ascii="宋体" w:hAnsi="宋体" w:cs="宋体"/>
                <w:color w:val="000000"/>
                <w:highlight w:val="none"/>
              </w:rPr>
            </w:pPr>
            <w:r>
              <w:rPr>
                <w:rFonts w:hint="eastAsia" w:ascii="宋体" w:hAnsi="宋体" w:cs="宋体"/>
                <w:color w:val="000000"/>
                <w:highlight w:val="none"/>
              </w:rPr>
              <w:t>专业</w:t>
            </w:r>
          </w:p>
        </w:tc>
        <w:tc>
          <w:tcPr>
            <w:tcW w:w="947" w:type="dxa"/>
            <w:noWrap w:val="0"/>
            <w:vAlign w:val="center"/>
          </w:tcPr>
          <w:p>
            <w:pPr>
              <w:autoSpaceDE w:val="0"/>
              <w:autoSpaceDN w:val="0"/>
              <w:adjustRightInd w:val="0"/>
              <w:jc w:val="center"/>
              <w:rPr>
                <w:rFonts w:ascii="宋体" w:hAnsi="宋体" w:cs="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noWrap w:val="0"/>
            <w:vAlign w:val="center"/>
          </w:tcPr>
          <w:p>
            <w:pPr>
              <w:autoSpaceDE w:val="0"/>
              <w:autoSpaceDN w:val="0"/>
              <w:adjustRightInd w:val="0"/>
              <w:jc w:val="center"/>
              <w:rPr>
                <w:rFonts w:ascii="宋体" w:hAnsi="宋体" w:cs="宋体"/>
                <w:color w:val="000000"/>
                <w:highlight w:val="none"/>
              </w:rPr>
            </w:pPr>
          </w:p>
        </w:tc>
        <w:tc>
          <w:tcPr>
            <w:tcW w:w="780" w:type="dxa"/>
            <w:noWrap w:val="0"/>
            <w:vAlign w:val="center"/>
          </w:tcPr>
          <w:p>
            <w:pPr>
              <w:autoSpaceDE w:val="0"/>
              <w:autoSpaceDN w:val="0"/>
              <w:adjustRightInd w:val="0"/>
              <w:jc w:val="center"/>
              <w:rPr>
                <w:rFonts w:ascii="宋体" w:hAnsi="宋体" w:cs="宋体"/>
                <w:color w:val="000000"/>
                <w:highlight w:val="none"/>
              </w:rPr>
            </w:pPr>
          </w:p>
        </w:tc>
        <w:tc>
          <w:tcPr>
            <w:tcW w:w="860" w:type="dxa"/>
            <w:noWrap w:val="0"/>
            <w:vAlign w:val="center"/>
          </w:tcPr>
          <w:p>
            <w:pPr>
              <w:autoSpaceDE w:val="0"/>
              <w:autoSpaceDN w:val="0"/>
              <w:adjustRightInd w:val="0"/>
              <w:jc w:val="center"/>
              <w:rPr>
                <w:rFonts w:ascii="宋体" w:hAnsi="宋体" w:cs="宋体"/>
                <w:color w:val="000000"/>
                <w:highlight w:val="none"/>
              </w:rPr>
            </w:pPr>
          </w:p>
        </w:tc>
        <w:tc>
          <w:tcPr>
            <w:tcW w:w="1180" w:type="dxa"/>
            <w:noWrap w:val="0"/>
            <w:vAlign w:val="center"/>
          </w:tcPr>
          <w:p>
            <w:pPr>
              <w:autoSpaceDE w:val="0"/>
              <w:autoSpaceDN w:val="0"/>
              <w:adjustRightInd w:val="0"/>
              <w:jc w:val="center"/>
              <w:rPr>
                <w:rFonts w:ascii="宋体" w:hAnsi="宋体" w:cs="宋体"/>
                <w:color w:val="000000"/>
                <w:highlight w:val="none"/>
              </w:rPr>
            </w:pPr>
          </w:p>
        </w:tc>
        <w:tc>
          <w:tcPr>
            <w:tcW w:w="780" w:type="dxa"/>
            <w:noWrap w:val="0"/>
            <w:vAlign w:val="center"/>
          </w:tcPr>
          <w:p>
            <w:pPr>
              <w:autoSpaceDE w:val="0"/>
              <w:autoSpaceDN w:val="0"/>
              <w:adjustRightInd w:val="0"/>
              <w:jc w:val="center"/>
              <w:rPr>
                <w:rFonts w:ascii="宋体" w:hAnsi="宋体" w:cs="宋体"/>
                <w:color w:val="000000"/>
                <w:highlight w:val="none"/>
              </w:rPr>
            </w:pPr>
          </w:p>
        </w:tc>
        <w:tc>
          <w:tcPr>
            <w:tcW w:w="1524" w:type="dxa"/>
            <w:noWrap w:val="0"/>
            <w:vAlign w:val="center"/>
          </w:tcPr>
          <w:p>
            <w:pPr>
              <w:autoSpaceDE w:val="0"/>
              <w:autoSpaceDN w:val="0"/>
              <w:adjustRightInd w:val="0"/>
              <w:jc w:val="center"/>
              <w:rPr>
                <w:rFonts w:ascii="宋体" w:hAnsi="宋体" w:cs="宋体"/>
                <w:color w:val="000000"/>
                <w:highlight w:val="none"/>
              </w:rPr>
            </w:pPr>
          </w:p>
        </w:tc>
        <w:tc>
          <w:tcPr>
            <w:tcW w:w="1275" w:type="dxa"/>
            <w:noWrap w:val="0"/>
            <w:vAlign w:val="center"/>
          </w:tcPr>
          <w:p>
            <w:pPr>
              <w:autoSpaceDE w:val="0"/>
              <w:autoSpaceDN w:val="0"/>
              <w:adjustRightInd w:val="0"/>
              <w:jc w:val="center"/>
              <w:rPr>
                <w:rFonts w:ascii="宋体" w:hAnsi="宋体" w:cs="宋体"/>
                <w:color w:val="000000"/>
                <w:highlight w:val="none"/>
              </w:rPr>
            </w:pPr>
          </w:p>
        </w:tc>
        <w:tc>
          <w:tcPr>
            <w:tcW w:w="947" w:type="dxa"/>
            <w:noWrap w:val="0"/>
            <w:vAlign w:val="center"/>
          </w:tcPr>
          <w:p>
            <w:pPr>
              <w:autoSpaceDE w:val="0"/>
              <w:autoSpaceDN w:val="0"/>
              <w:adjustRightInd w:val="0"/>
              <w:jc w:val="center"/>
              <w:rPr>
                <w:rFonts w:ascii="宋体" w:hAnsi="宋体" w:cs="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noWrap w:val="0"/>
            <w:vAlign w:val="center"/>
          </w:tcPr>
          <w:p>
            <w:pPr>
              <w:autoSpaceDE w:val="0"/>
              <w:autoSpaceDN w:val="0"/>
              <w:adjustRightInd w:val="0"/>
              <w:jc w:val="center"/>
              <w:rPr>
                <w:rFonts w:ascii="宋体" w:hAnsi="宋体" w:cs="宋体"/>
                <w:color w:val="000000"/>
                <w:highlight w:val="none"/>
              </w:rPr>
            </w:pPr>
          </w:p>
        </w:tc>
        <w:tc>
          <w:tcPr>
            <w:tcW w:w="780" w:type="dxa"/>
            <w:noWrap w:val="0"/>
            <w:vAlign w:val="center"/>
          </w:tcPr>
          <w:p>
            <w:pPr>
              <w:autoSpaceDE w:val="0"/>
              <w:autoSpaceDN w:val="0"/>
              <w:adjustRightInd w:val="0"/>
              <w:jc w:val="center"/>
              <w:rPr>
                <w:rFonts w:ascii="宋体" w:hAnsi="宋体" w:cs="宋体"/>
                <w:color w:val="000000"/>
                <w:highlight w:val="none"/>
              </w:rPr>
            </w:pPr>
          </w:p>
        </w:tc>
        <w:tc>
          <w:tcPr>
            <w:tcW w:w="860" w:type="dxa"/>
            <w:noWrap w:val="0"/>
            <w:vAlign w:val="center"/>
          </w:tcPr>
          <w:p>
            <w:pPr>
              <w:autoSpaceDE w:val="0"/>
              <w:autoSpaceDN w:val="0"/>
              <w:adjustRightInd w:val="0"/>
              <w:jc w:val="center"/>
              <w:rPr>
                <w:rFonts w:ascii="宋体" w:hAnsi="宋体" w:cs="宋体"/>
                <w:color w:val="000000"/>
                <w:highlight w:val="none"/>
              </w:rPr>
            </w:pPr>
          </w:p>
        </w:tc>
        <w:tc>
          <w:tcPr>
            <w:tcW w:w="1180" w:type="dxa"/>
            <w:noWrap w:val="0"/>
            <w:vAlign w:val="center"/>
          </w:tcPr>
          <w:p>
            <w:pPr>
              <w:autoSpaceDE w:val="0"/>
              <w:autoSpaceDN w:val="0"/>
              <w:adjustRightInd w:val="0"/>
              <w:jc w:val="center"/>
              <w:rPr>
                <w:rFonts w:ascii="宋体" w:hAnsi="宋体" w:cs="宋体"/>
                <w:color w:val="000000"/>
                <w:highlight w:val="none"/>
              </w:rPr>
            </w:pPr>
          </w:p>
        </w:tc>
        <w:tc>
          <w:tcPr>
            <w:tcW w:w="780" w:type="dxa"/>
            <w:noWrap w:val="0"/>
            <w:vAlign w:val="center"/>
          </w:tcPr>
          <w:p>
            <w:pPr>
              <w:autoSpaceDE w:val="0"/>
              <w:autoSpaceDN w:val="0"/>
              <w:adjustRightInd w:val="0"/>
              <w:jc w:val="center"/>
              <w:rPr>
                <w:rFonts w:ascii="宋体" w:hAnsi="宋体" w:cs="宋体"/>
                <w:color w:val="000000"/>
                <w:highlight w:val="none"/>
              </w:rPr>
            </w:pPr>
          </w:p>
        </w:tc>
        <w:tc>
          <w:tcPr>
            <w:tcW w:w="1524" w:type="dxa"/>
            <w:noWrap w:val="0"/>
            <w:vAlign w:val="center"/>
          </w:tcPr>
          <w:p>
            <w:pPr>
              <w:autoSpaceDE w:val="0"/>
              <w:autoSpaceDN w:val="0"/>
              <w:adjustRightInd w:val="0"/>
              <w:jc w:val="center"/>
              <w:rPr>
                <w:rFonts w:ascii="宋体" w:hAnsi="宋体" w:cs="宋体"/>
                <w:color w:val="000000"/>
                <w:highlight w:val="none"/>
              </w:rPr>
            </w:pPr>
          </w:p>
        </w:tc>
        <w:tc>
          <w:tcPr>
            <w:tcW w:w="1275" w:type="dxa"/>
            <w:noWrap w:val="0"/>
            <w:vAlign w:val="center"/>
          </w:tcPr>
          <w:p>
            <w:pPr>
              <w:autoSpaceDE w:val="0"/>
              <w:autoSpaceDN w:val="0"/>
              <w:adjustRightInd w:val="0"/>
              <w:jc w:val="center"/>
              <w:rPr>
                <w:rFonts w:ascii="宋体" w:hAnsi="宋体" w:cs="宋体"/>
                <w:color w:val="000000"/>
                <w:highlight w:val="none"/>
              </w:rPr>
            </w:pPr>
          </w:p>
        </w:tc>
        <w:tc>
          <w:tcPr>
            <w:tcW w:w="947" w:type="dxa"/>
            <w:noWrap w:val="0"/>
            <w:vAlign w:val="center"/>
          </w:tcPr>
          <w:p>
            <w:pPr>
              <w:autoSpaceDE w:val="0"/>
              <w:autoSpaceDN w:val="0"/>
              <w:adjustRightInd w:val="0"/>
              <w:jc w:val="center"/>
              <w:rPr>
                <w:rFonts w:ascii="宋体" w:hAnsi="宋体" w:cs="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noWrap w:val="0"/>
            <w:vAlign w:val="center"/>
          </w:tcPr>
          <w:p>
            <w:pPr>
              <w:autoSpaceDE w:val="0"/>
              <w:autoSpaceDN w:val="0"/>
              <w:adjustRightInd w:val="0"/>
              <w:jc w:val="center"/>
              <w:rPr>
                <w:rFonts w:ascii="宋体" w:hAnsi="宋体" w:cs="宋体"/>
                <w:color w:val="000000"/>
                <w:highlight w:val="none"/>
              </w:rPr>
            </w:pPr>
          </w:p>
        </w:tc>
        <w:tc>
          <w:tcPr>
            <w:tcW w:w="780" w:type="dxa"/>
            <w:noWrap w:val="0"/>
            <w:vAlign w:val="center"/>
          </w:tcPr>
          <w:p>
            <w:pPr>
              <w:autoSpaceDE w:val="0"/>
              <w:autoSpaceDN w:val="0"/>
              <w:adjustRightInd w:val="0"/>
              <w:jc w:val="center"/>
              <w:rPr>
                <w:rFonts w:ascii="宋体" w:hAnsi="宋体" w:cs="宋体"/>
                <w:color w:val="000000"/>
                <w:highlight w:val="none"/>
              </w:rPr>
            </w:pPr>
          </w:p>
        </w:tc>
        <w:tc>
          <w:tcPr>
            <w:tcW w:w="860" w:type="dxa"/>
            <w:noWrap w:val="0"/>
            <w:vAlign w:val="center"/>
          </w:tcPr>
          <w:p>
            <w:pPr>
              <w:autoSpaceDE w:val="0"/>
              <w:autoSpaceDN w:val="0"/>
              <w:adjustRightInd w:val="0"/>
              <w:jc w:val="center"/>
              <w:rPr>
                <w:rFonts w:ascii="宋体" w:hAnsi="宋体" w:cs="宋体"/>
                <w:color w:val="000000"/>
                <w:highlight w:val="none"/>
              </w:rPr>
            </w:pPr>
          </w:p>
        </w:tc>
        <w:tc>
          <w:tcPr>
            <w:tcW w:w="1180" w:type="dxa"/>
            <w:noWrap w:val="0"/>
            <w:vAlign w:val="center"/>
          </w:tcPr>
          <w:p>
            <w:pPr>
              <w:autoSpaceDE w:val="0"/>
              <w:autoSpaceDN w:val="0"/>
              <w:adjustRightInd w:val="0"/>
              <w:jc w:val="center"/>
              <w:rPr>
                <w:rFonts w:ascii="宋体" w:hAnsi="宋体" w:cs="宋体"/>
                <w:color w:val="000000"/>
                <w:highlight w:val="none"/>
              </w:rPr>
            </w:pPr>
          </w:p>
        </w:tc>
        <w:tc>
          <w:tcPr>
            <w:tcW w:w="780" w:type="dxa"/>
            <w:noWrap w:val="0"/>
            <w:vAlign w:val="center"/>
          </w:tcPr>
          <w:p>
            <w:pPr>
              <w:autoSpaceDE w:val="0"/>
              <w:autoSpaceDN w:val="0"/>
              <w:adjustRightInd w:val="0"/>
              <w:jc w:val="center"/>
              <w:rPr>
                <w:rFonts w:ascii="宋体" w:hAnsi="宋体" w:cs="宋体"/>
                <w:color w:val="000000"/>
                <w:highlight w:val="none"/>
              </w:rPr>
            </w:pPr>
          </w:p>
        </w:tc>
        <w:tc>
          <w:tcPr>
            <w:tcW w:w="1524" w:type="dxa"/>
            <w:noWrap w:val="0"/>
            <w:vAlign w:val="center"/>
          </w:tcPr>
          <w:p>
            <w:pPr>
              <w:autoSpaceDE w:val="0"/>
              <w:autoSpaceDN w:val="0"/>
              <w:adjustRightInd w:val="0"/>
              <w:jc w:val="center"/>
              <w:rPr>
                <w:rFonts w:ascii="宋体" w:hAnsi="宋体" w:cs="宋体"/>
                <w:color w:val="000000"/>
                <w:highlight w:val="none"/>
              </w:rPr>
            </w:pPr>
          </w:p>
        </w:tc>
        <w:tc>
          <w:tcPr>
            <w:tcW w:w="1275" w:type="dxa"/>
            <w:noWrap w:val="0"/>
            <w:vAlign w:val="center"/>
          </w:tcPr>
          <w:p>
            <w:pPr>
              <w:autoSpaceDE w:val="0"/>
              <w:autoSpaceDN w:val="0"/>
              <w:adjustRightInd w:val="0"/>
              <w:jc w:val="center"/>
              <w:rPr>
                <w:rFonts w:ascii="宋体" w:hAnsi="宋体" w:cs="宋体"/>
                <w:color w:val="000000"/>
                <w:highlight w:val="none"/>
              </w:rPr>
            </w:pPr>
          </w:p>
        </w:tc>
        <w:tc>
          <w:tcPr>
            <w:tcW w:w="947" w:type="dxa"/>
            <w:noWrap w:val="0"/>
            <w:vAlign w:val="center"/>
          </w:tcPr>
          <w:p>
            <w:pPr>
              <w:autoSpaceDE w:val="0"/>
              <w:autoSpaceDN w:val="0"/>
              <w:adjustRightInd w:val="0"/>
              <w:jc w:val="center"/>
              <w:rPr>
                <w:rFonts w:ascii="宋体" w:hAnsi="宋体" w:cs="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noWrap w:val="0"/>
            <w:vAlign w:val="center"/>
          </w:tcPr>
          <w:p>
            <w:pPr>
              <w:autoSpaceDE w:val="0"/>
              <w:autoSpaceDN w:val="0"/>
              <w:adjustRightInd w:val="0"/>
              <w:jc w:val="center"/>
              <w:rPr>
                <w:rFonts w:ascii="宋体" w:hAnsi="宋体" w:cs="宋体"/>
                <w:color w:val="000000"/>
                <w:highlight w:val="none"/>
              </w:rPr>
            </w:pPr>
          </w:p>
        </w:tc>
        <w:tc>
          <w:tcPr>
            <w:tcW w:w="780" w:type="dxa"/>
            <w:noWrap w:val="0"/>
            <w:vAlign w:val="center"/>
          </w:tcPr>
          <w:p>
            <w:pPr>
              <w:autoSpaceDE w:val="0"/>
              <w:autoSpaceDN w:val="0"/>
              <w:adjustRightInd w:val="0"/>
              <w:jc w:val="center"/>
              <w:rPr>
                <w:rFonts w:ascii="宋体" w:hAnsi="宋体" w:cs="宋体"/>
                <w:color w:val="000000"/>
                <w:highlight w:val="none"/>
              </w:rPr>
            </w:pPr>
          </w:p>
        </w:tc>
        <w:tc>
          <w:tcPr>
            <w:tcW w:w="860" w:type="dxa"/>
            <w:noWrap w:val="0"/>
            <w:vAlign w:val="center"/>
          </w:tcPr>
          <w:p>
            <w:pPr>
              <w:autoSpaceDE w:val="0"/>
              <w:autoSpaceDN w:val="0"/>
              <w:adjustRightInd w:val="0"/>
              <w:jc w:val="center"/>
              <w:rPr>
                <w:rFonts w:ascii="宋体" w:hAnsi="宋体" w:cs="宋体"/>
                <w:color w:val="000000"/>
                <w:highlight w:val="none"/>
              </w:rPr>
            </w:pPr>
          </w:p>
        </w:tc>
        <w:tc>
          <w:tcPr>
            <w:tcW w:w="1180" w:type="dxa"/>
            <w:noWrap w:val="0"/>
            <w:vAlign w:val="center"/>
          </w:tcPr>
          <w:p>
            <w:pPr>
              <w:autoSpaceDE w:val="0"/>
              <w:autoSpaceDN w:val="0"/>
              <w:adjustRightInd w:val="0"/>
              <w:jc w:val="center"/>
              <w:rPr>
                <w:rFonts w:ascii="宋体" w:hAnsi="宋体" w:cs="宋体"/>
                <w:color w:val="000000"/>
                <w:highlight w:val="none"/>
              </w:rPr>
            </w:pPr>
          </w:p>
        </w:tc>
        <w:tc>
          <w:tcPr>
            <w:tcW w:w="780" w:type="dxa"/>
            <w:noWrap w:val="0"/>
            <w:vAlign w:val="center"/>
          </w:tcPr>
          <w:p>
            <w:pPr>
              <w:autoSpaceDE w:val="0"/>
              <w:autoSpaceDN w:val="0"/>
              <w:adjustRightInd w:val="0"/>
              <w:jc w:val="center"/>
              <w:rPr>
                <w:rFonts w:ascii="宋体" w:hAnsi="宋体" w:cs="宋体"/>
                <w:color w:val="000000"/>
                <w:highlight w:val="none"/>
              </w:rPr>
            </w:pPr>
          </w:p>
        </w:tc>
        <w:tc>
          <w:tcPr>
            <w:tcW w:w="1524" w:type="dxa"/>
            <w:noWrap w:val="0"/>
            <w:vAlign w:val="center"/>
          </w:tcPr>
          <w:p>
            <w:pPr>
              <w:autoSpaceDE w:val="0"/>
              <w:autoSpaceDN w:val="0"/>
              <w:adjustRightInd w:val="0"/>
              <w:jc w:val="center"/>
              <w:rPr>
                <w:rFonts w:ascii="宋体" w:hAnsi="宋体" w:cs="宋体"/>
                <w:color w:val="000000"/>
                <w:highlight w:val="none"/>
              </w:rPr>
            </w:pPr>
          </w:p>
        </w:tc>
        <w:tc>
          <w:tcPr>
            <w:tcW w:w="1275" w:type="dxa"/>
            <w:noWrap w:val="0"/>
            <w:vAlign w:val="center"/>
          </w:tcPr>
          <w:p>
            <w:pPr>
              <w:autoSpaceDE w:val="0"/>
              <w:autoSpaceDN w:val="0"/>
              <w:adjustRightInd w:val="0"/>
              <w:jc w:val="center"/>
              <w:rPr>
                <w:rFonts w:ascii="宋体" w:hAnsi="宋体" w:cs="宋体"/>
                <w:color w:val="000000"/>
                <w:highlight w:val="none"/>
              </w:rPr>
            </w:pPr>
          </w:p>
        </w:tc>
        <w:tc>
          <w:tcPr>
            <w:tcW w:w="947" w:type="dxa"/>
            <w:noWrap w:val="0"/>
            <w:vAlign w:val="center"/>
          </w:tcPr>
          <w:p>
            <w:pPr>
              <w:autoSpaceDE w:val="0"/>
              <w:autoSpaceDN w:val="0"/>
              <w:adjustRightInd w:val="0"/>
              <w:jc w:val="center"/>
              <w:rPr>
                <w:rFonts w:ascii="宋体" w:hAnsi="宋体" w:cs="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noWrap w:val="0"/>
            <w:vAlign w:val="center"/>
          </w:tcPr>
          <w:p>
            <w:pPr>
              <w:autoSpaceDE w:val="0"/>
              <w:autoSpaceDN w:val="0"/>
              <w:adjustRightInd w:val="0"/>
              <w:jc w:val="center"/>
              <w:rPr>
                <w:rFonts w:ascii="宋体" w:hAnsi="宋体" w:cs="宋体"/>
                <w:color w:val="000000"/>
                <w:highlight w:val="none"/>
              </w:rPr>
            </w:pPr>
          </w:p>
        </w:tc>
        <w:tc>
          <w:tcPr>
            <w:tcW w:w="780" w:type="dxa"/>
            <w:noWrap w:val="0"/>
            <w:vAlign w:val="center"/>
          </w:tcPr>
          <w:p>
            <w:pPr>
              <w:autoSpaceDE w:val="0"/>
              <w:autoSpaceDN w:val="0"/>
              <w:adjustRightInd w:val="0"/>
              <w:jc w:val="center"/>
              <w:rPr>
                <w:rFonts w:ascii="宋体" w:hAnsi="宋体" w:cs="宋体"/>
                <w:color w:val="000000"/>
                <w:highlight w:val="none"/>
              </w:rPr>
            </w:pPr>
          </w:p>
        </w:tc>
        <w:tc>
          <w:tcPr>
            <w:tcW w:w="860" w:type="dxa"/>
            <w:noWrap w:val="0"/>
            <w:vAlign w:val="center"/>
          </w:tcPr>
          <w:p>
            <w:pPr>
              <w:autoSpaceDE w:val="0"/>
              <w:autoSpaceDN w:val="0"/>
              <w:adjustRightInd w:val="0"/>
              <w:jc w:val="center"/>
              <w:rPr>
                <w:rFonts w:ascii="宋体" w:hAnsi="宋体" w:cs="宋体"/>
                <w:color w:val="000000"/>
                <w:highlight w:val="none"/>
              </w:rPr>
            </w:pPr>
          </w:p>
        </w:tc>
        <w:tc>
          <w:tcPr>
            <w:tcW w:w="1180" w:type="dxa"/>
            <w:noWrap w:val="0"/>
            <w:vAlign w:val="center"/>
          </w:tcPr>
          <w:p>
            <w:pPr>
              <w:autoSpaceDE w:val="0"/>
              <w:autoSpaceDN w:val="0"/>
              <w:adjustRightInd w:val="0"/>
              <w:jc w:val="center"/>
              <w:rPr>
                <w:rFonts w:ascii="宋体" w:hAnsi="宋体" w:cs="宋体"/>
                <w:color w:val="000000"/>
                <w:highlight w:val="none"/>
              </w:rPr>
            </w:pPr>
          </w:p>
        </w:tc>
        <w:tc>
          <w:tcPr>
            <w:tcW w:w="780" w:type="dxa"/>
            <w:noWrap w:val="0"/>
            <w:vAlign w:val="center"/>
          </w:tcPr>
          <w:p>
            <w:pPr>
              <w:autoSpaceDE w:val="0"/>
              <w:autoSpaceDN w:val="0"/>
              <w:adjustRightInd w:val="0"/>
              <w:jc w:val="center"/>
              <w:rPr>
                <w:rFonts w:ascii="宋体" w:hAnsi="宋体" w:cs="宋体"/>
                <w:color w:val="000000"/>
                <w:highlight w:val="none"/>
              </w:rPr>
            </w:pPr>
          </w:p>
        </w:tc>
        <w:tc>
          <w:tcPr>
            <w:tcW w:w="1524" w:type="dxa"/>
            <w:noWrap w:val="0"/>
            <w:vAlign w:val="center"/>
          </w:tcPr>
          <w:p>
            <w:pPr>
              <w:autoSpaceDE w:val="0"/>
              <w:autoSpaceDN w:val="0"/>
              <w:adjustRightInd w:val="0"/>
              <w:jc w:val="center"/>
              <w:rPr>
                <w:rFonts w:ascii="宋体" w:hAnsi="宋体" w:cs="宋体"/>
                <w:color w:val="000000"/>
                <w:highlight w:val="none"/>
              </w:rPr>
            </w:pPr>
          </w:p>
        </w:tc>
        <w:tc>
          <w:tcPr>
            <w:tcW w:w="1275" w:type="dxa"/>
            <w:noWrap w:val="0"/>
            <w:vAlign w:val="center"/>
          </w:tcPr>
          <w:p>
            <w:pPr>
              <w:autoSpaceDE w:val="0"/>
              <w:autoSpaceDN w:val="0"/>
              <w:adjustRightInd w:val="0"/>
              <w:jc w:val="center"/>
              <w:rPr>
                <w:rFonts w:ascii="宋体" w:hAnsi="宋体" w:cs="宋体"/>
                <w:color w:val="000000"/>
                <w:highlight w:val="none"/>
              </w:rPr>
            </w:pPr>
          </w:p>
        </w:tc>
        <w:tc>
          <w:tcPr>
            <w:tcW w:w="947" w:type="dxa"/>
            <w:noWrap w:val="0"/>
            <w:vAlign w:val="center"/>
          </w:tcPr>
          <w:p>
            <w:pPr>
              <w:autoSpaceDE w:val="0"/>
              <w:autoSpaceDN w:val="0"/>
              <w:adjustRightInd w:val="0"/>
              <w:jc w:val="center"/>
              <w:rPr>
                <w:rFonts w:ascii="宋体" w:hAnsi="宋体" w:cs="宋体"/>
                <w:color w:val="000000"/>
                <w:highlight w:val="none"/>
              </w:rPr>
            </w:pPr>
          </w:p>
        </w:tc>
      </w:tr>
    </w:tbl>
    <w:p>
      <w:pPr>
        <w:pStyle w:val="47"/>
        <w:ind w:left="425" w:firstLine="0"/>
        <w:outlineLvl w:val="9"/>
        <w:rPr>
          <w:rFonts w:cs="宋体"/>
          <w:color w:val="000000"/>
          <w:highlight w:val="none"/>
        </w:rPr>
      </w:pPr>
    </w:p>
    <w:p>
      <w:pPr>
        <w:pStyle w:val="47"/>
        <w:ind w:left="425" w:firstLine="0"/>
        <w:outlineLvl w:val="9"/>
        <w:rPr>
          <w:rFonts w:cs="宋体"/>
          <w:color w:val="000000"/>
          <w:highlight w:val="none"/>
        </w:rPr>
      </w:pPr>
    </w:p>
    <w:p>
      <w:pPr>
        <w:adjustRightInd w:val="0"/>
        <w:snapToGrid w:val="0"/>
        <w:spacing w:before="120" w:beforeLines="50" w:after="120" w:afterLines="50"/>
        <w:ind w:firstLine="3840" w:firstLineChars="1600"/>
        <w:rPr>
          <w:rFonts w:ascii="宋体" w:hAnsi="宋体" w:cs="宋体"/>
          <w:color w:val="000000"/>
          <w:sz w:val="24"/>
          <w:highlight w:val="none"/>
        </w:rPr>
      </w:pPr>
      <w:r>
        <w:rPr>
          <w:rFonts w:hint="eastAsia" w:ascii="宋体" w:hAnsi="宋体" w:cs="宋体"/>
          <w:color w:val="000000"/>
          <w:sz w:val="24"/>
          <w:highlight w:val="none"/>
        </w:rPr>
        <w:t>供应商：</w:t>
      </w:r>
      <w:r>
        <w:rPr>
          <w:rFonts w:hint="eastAsia" w:ascii="宋体" w:hAnsi="宋体" w:cs="宋体"/>
          <w:iCs/>
          <w:color w:val="000000"/>
          <w:sz w:val="24"/>
          <w:highlight w:val="none"/>
        </w:rPr>
        <w:t>（填写名称并盖章）</w:t>
      </w:r>
    </w:p>
    <w:p>
      <w:pPr>
        <w:adjustRightInd w:val="0"/>
        <w:snapToGrid w:val="0"/>
        <w:spacing w:before="120" w:beforeLines="50"/>
        <w:ind w:firstLine="3840" w:firstLineChars="1600"/>
        <w:rPr>
          <w:rFonts w:ascii="宋体" w:hAnsi="宋体" w:cs="宋体"/>
          <w:iCs/>
          <w:color w:val="000000"/>
          <w:sz w:val="24"/>
          <w:highlight w:val="none"/>
        </w:rPr>
      </w:pPr>
      <w:r>
        <w:rPr>
          <w:rFonts w:hint="eastAsia" w:ascii="宋体" w:hAnsi="宋体" w:cs="宋体"/>
          <w:color w:val="000000"/>
          <w:sz w:val="24"/>
          <w:highlight w:val="none"/>
        </w:rPr>
        <w:t>法人及授权代表：</w:t>
      </w:r>
      <w:r>
        <w:rPr>
          <w:rFonts w:hint="eastAsia" w:ascii="宋体" w:hAnsi="宋体" w:cs="宋体"/>
          <w:iCs/>
          <w:color w:val="000000"/>
          <w:sz w:val="24"/>
          <w:highlight w:val="none"/>
        </w:rPr>
        <w:t>（签字或盖章）</w:t>
      </w:r>
    </w:p>
    <w:p>
      <w:pPr>
        <w:adjustRightInd w:val="0"/>
        <w:snapToGrid w:val="0"/>
        <w:spacing w:before="120" w:beforeLines="50"/>
        <w:ind w:firstLine="3840" w:firstLineChars="1600"/>
        <w:rPr>
          <w:rFonts w:ascii="宋体" w:hAnsi="宋体" w:cs="宋体"/>
          <w:iCs/>
          <w:color w:val="000000"/>
          <w:sz w:val="24"/>
          <w:highlight w:val="none"/>
        </w:rPr>
      </w:pPr>
      <w:r>
        <w:rPr>
          <w:rFonts w:hint="eastAsia" w:ascii="宋体" w:hAnsi="宋体" w:cs="宋体"/>
          <w:iCs/>
          <w:color w:val="000000"/>
          <w:sz w:val="24"/>
          <w:highlight w:val="none"/>
        </w:rPr>
        <w:t>日期：</w:t>
      </w:r>
    </w:p>
    <w:p>
      <w:pPr>
        <w:pStyle w:val="47"/>
        <w:ind w:left="425" w:firstLine="0"/>
        <w:outlineLvl w:val="9"/>
        <w:rPr>
          <w:rFonts w:cs="宋体"/>
          <w:color w:val="000000"/>
          <w:highlight w:val="none"/>
        </w:rPr>
      </w:pPr>
      <w:r>
        <w:rPr>
          <w:rFonts w:hint="eastAsia" w:cs="宋体"/>
          <w:color w:val="000000"/>
          <w:highlight w:val="none"/>
        </w:rPr>
        <w:br w:type="page"/>
      </w:r>
      <w:bookmarkStart w:id="2062" w:name="_Toc20629"/>
      <w:bookmarkStart w:id="2063" w:name="_Toc3007"/>
      <w:r>
        <w:rPr>
          <w:rFonts w:hint="eastAsia" w:cs="宋体"/>
          <w:b/>
          <w:color w:val="000000"/>
          <w:highlight w:val="none"/>
        </w:rPr>
        <w:t>（二）主要人员简历表</w:t>
      </w:r>
      <w:bookmarkEnd w:id="2062"/>
      <w:bookmarkEnd w:id="2063"/>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“主要人员简历表”中的项目经理应附建造师执业资格证书、注册证书、身份证复印件；技术负责人应附身份证、职称证复印件；其他主要人员应附执业证或上岗证书</w:t>
      </w:r>
      <w:r>
        <w:rPr>
          <w:rFonts w:hint="eastAsia" w:cs="宋体"/>
          <w:color w:val="000000"/>
          <w:sz w:val="24"/>
          <w:highlight w:val="none"/>
          <w:lang w:eastAsia="zh-CN"/>
        </w:rPr>
        <w:t>（如有）</w:t>
      </w:r>
      <w:r>
        <w:rPr>
          <w:rFonts w:hint="eastAsia" w:ascii="宋体" w:hAnsi="宋体" w:cs="宋体"/>
          <w:color w:val="000000"/>
          <w:sz w:val="24"/>
          <w:highlight w:val="none"/>
        </w:rPr>
        <w:t>、身份证复印件。</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88"/>
        <w:gridCol w:w="1131"/>
        <w:gridCol w:w="868"/>
        <w:gridCol w:w="520"/>
        <w:gridCol w:w="1080"/>
        <w:gridCol w:w="1099"/>
        <w:gridCol w:w="69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420" w:type="dxa"/>
            <w:noWrap w:val="0"/>
            <w:vAlign w:val="center"/>
          </w:tcPr>
          <w:p>
            <w:pPr>
              <w:autoSpaceDE w:val="0"/>
              <w:autoSpaceDN w:val="0"/>
              <w:adjustRightInd w:val="0"/>
              <w:jc w:val="center"/>
              <w:rPr>
                <w:rFonts w:ascii="宋体" w:hAnsi="宋体" w:cs="宋体"/>
                <w:color w:val="000000"/>
                <w:highlight w:val="none"/>
              </w:rPr>
            </w:pPr>
            <w:r>
              <w:rPr>
                <w:rFonts w:hint="eastAsia" w:ascii="宋体" w:hAnsi="宋体" w:cs="宋体"/>
                <w:color w:val="000000"/>
                <w:highlight w:val="none"/>
              </w:rPr>
              <w:t>姓 名</w:t>
            </w:r>
          </w:p>
        </w:tc>
        <w:tc>
          <w:tcPr>
            <w:tcW w:w="1419" w:type="dxa"/>
            <w:gridSpan w:val="2"/>
            <w:noWrap w:val="0"/>
            <w:vAlign w:val="center"/>
          </w:tcPr>
          <w:p>
            <w:pPr>
              <w:autoSpaceDE w:val="0"/>
              <w:autoSpaceDN w:val="0"/>
              <w:adjustRightInd w:val="0"/>
              <w:jc w:val="center"/>
              <w:rPr>
                <w:rFonts w:ascii="宋体" w:hAnsi="宋体" w:cs="宋体"/>
                <w:color w:val="000000"/>
                <w:highlight w:val="none"/>
              </w:rPr>
            </w:pPr>
          </w:p>
        </w:tc>
        <w:tc>
          <w:tcPr>
            <w:tcW w:w="868" w:type="dxa"/>
            <w:noWrap w:val="0"/>
            <w:vAlign w:val="center"/>
          </w:tcPr>
          <w:p>
            <w:pPr>
              <w:autoSpaceDE w:val="0"/>
              <w:autoSpaceDN w:val="0"/>
              <w:adjustRightInd w:val="0"/>
              <w:jc w:val="center"/>
              <w:rPr>
                <w:rFonts w:ascii="宋体" w:hAnsi="宋体" w:cs="宋体"/>
                <w:color w:val="000000"/>
                <w:highlight w:val="none"/>
              </w:rPr>
            </w:pPr>
            <w:r>
              <w:rPr>
                <w:rFonts w:hint="eastAsia" w:ascii="宋体" w:hAnsi="宋体" w:cs="宋体"/>
                <w:color w:val="000000"/>
                <w:highlight w:val="none"/>
              </w:rPr>
              <w:t>年 龄</w:t>
            </w:r>
          </w:p>
        </w:tc>
        <w:tc>
          <w:tcPr>
            <w:tcW w:w="1600" w:type="dxa"/>
            <w:gridSpan w:val="2"/>
            <w:noWrap w:val="0"/>
            <w:vAlign w:val="center"/>
          </w:tcPr>
          <w:p>
            <w:pPr>
              <w:autoSpaceDE w:val="0"/>
              <w:autoSpaceDN w:val="0"/>
              <w:adjustRightInd w:val="0"/>
              <w:jc w:val="center"/>
              <w:rPr>
                <w:rFonts w:ascii="宋体" w:hAnsi="宋体" w:cs="宋体"/>
                <w:color w:val="000000"/>
                <w:highlight w:val="none"/>
              </w:rPr>
            </w:pPr>
          </w:p>
        </w:tc>
        <w:tc>
          <w:tcPr>
            <w:tcW w:w="1792" w:type="dxa"/>
            <w:gridSpan w:val="2"/>
            <w:noWrap w:val="0"/>
            <w:vAlign w:val="center"/>
          </w:tcPr>
          <w:p>
            <w:pPr>
              <w:autoSpaceDE w:val="0"/>
              <w:autoSpaceDN w:val="0"/>
              <w:adjustRightInd w:val="0"/>
              <w:jc w:val="center"/>
              <w:rPr>
                <w:rFonts w:ascii="宋体" w:hAnsi="宋体" w:cs="宋体"/>
                <w:color w:val="000000"/>
                <w:highlight w:val="none"/>
              </w:rPr>
            </w:pPr>
            <w:r>
              <w:rPr>
                <w:rFonts w:hint="eastAsia" w:ascii="宋体" w:hAnsi="宋体" w:cs="宋体"/>
                <w:color w:val="000000"/>
                <w:highlight w:val="none"/>
              </w:rPr>
              <w:t>学历</w:t>
            </w:r>
          </w:p>
        </w:tc>
        <w:tc>
          <w:tcPr>
            <w:tcW w:w="1421" w:type="dxa"/>
            <w:noWrap w:val="0"/>
            <w:vAlign w:val="center"/>
          </w:tcPr>
          <w:p>
            <w:pPr>
              <w:autoSpaceDE w:val="0"/>
              <w:autoSpaceDN w:val="0"/>
              <w:adjustRightInd w:val="0"/>
              <w:jc w:val="center"/>
              <w:rPr>
                <w:rFonts w:ascii="宋体" w:hAnsi="宋体" w:cs="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420" w:type="dxa"/>
            <w:noWrap w:val="0"/>
            <w:vAlign w:val="center"/>
          </w:tcPr>
          <w:p>
            <w:pPr>
              <w:autoSpaceDE w:val="0"/>
              <w:autoSpaceDN w:val="0"/>
              <w:adjustRightInd w:val="0"/>
              <w:jc w:val="center"/>
              <w:rPr>
                <w:rFonts w:ascii="宋体" w:hAnsi="宋体" w:cs="宋体"/>
                <w:color w:val="000000"/>
                <w:highlight w:val="none"/>
              </w:rPr>
            </w:pPr>
            <w:r>
              <w:rPr>
                <w:rFonts w:hint="eastAsia" w:ascii="宋体" w:hAnsi="宋体" w:cs="宋体"/>
                <w:color w:val="000000"/>
                <w:highlight w:val="none"/>
              </w:rPr>
              <w:t>职 称</w:t>
            </w:r>
          </w:p>
        </w:tc>
        <w:tc>
          <w:tcPr>
            <w:tcW w:w="1419" w:type="dxa"/>
            <w:gridSpan w:val="2"/>
            <w:noWrap w:val="0"/>
            <w:vAlign w:val="center"/>
          </w:tcPr>
          <w:p>
            <w:pPr>
              <w:autoSpaceDE w:val="0"/>
              <w:autoSpaceDN w:val="0"/>
              <w:adjustRightInd w:val="0"/>
              <w:jc w:val="center"/>
              <w:rPr>
                <w:rFonts w:ascii="宋体" w:hAnsi="宋体" w:cs="宋体"/>
                <w:color w:val="000000"/>
                <w:highlight w:val="none"/>
              </w:rPr>
            </w:pPr>
          </w:p>
        </w:tc>
        <w:tc>
          <w:tcPr>
            <w:tcW w:w="868" w:type="dxa"/>
            <w:noWrap w:val="0"/>
            <w:vAlign w:val="center"/>
          </w:tcPr>
          <w:p>
            <w:pPr>
              <w:autoSpaceDE w:val="0"/>
              <w:autoSpaceDN w:val="0"/>
              <w:adjustRightInd w:val="0"/>
              <w:jc w:val="center"/>
              <w:rPr>
                <w:rFonts w:ascii="宋体" w:hAnsi="宋体" w:cs="宋体"/>
                <w:color w:val="000000"/>
                <w:highlight w:val="none"/>
              </w:rPr>
            </w:pPr>
            <w:r>
              <w:rPr>
                <w:rFonts w:hint="eastAsia" w:ascii="宋体" w:hAnsi="宋体" w:cs="宋体"/>
                <w:color w:val="000000"/>
                <w:highlight w:val="none"/>
              </w:rPr>
              <w:t>职 务</w:t>
            </w:r>
          </w:p>
        </w:tc>
        <w:tc>
          <w:tcPr>
            <w:tcW w:w="1600" w:type="dxa"/>
            <w:gridSpan w:val="2"/>
            <w:noWrap w:val="0"/>
            <w:vAlign w:val="center"/>
          </w:tcPr>
          <w:p>
            <w:pPr>
              <w:autoSpaceDE w:val="0"/>
              <w:autoSpaceDN w:val="0"/>
              <w:adjustRightInd w:val="0"/>
              <w:jc w:val="center"/>
              <w:rPr>
                <w:rFonts w:ascii="宋体" w:hAnsi="宋体" w:cs="宋体"/>
                <w:color w:val="000000"/>
                <w:highlight w:val="none"/>
              </w:rPr>
            </w:pPr>
          </w:p>
        </w:tc>
        <w:tc>
          <w:tcPr>
            <w:tcW w:w="1792" w:type="dxa"/>
            <w:gridSpan w:val="2"/>
            <w:noWrap w:val="0"/>
            <w:vAlign w:val="center"/>
          </w:tcPr>
          <w:p>
            <w:pPr>
              <w:autoSpaceDE w:val="0"/>
              <w:autoSpaceDN w:val="0"/>
              <w:adjustRightInd w:val="0"/>
              <w:jc w:val="center"/>
              <w:rPr>
                <w:rFonts w:ascii="宋体" w:hAnsi="宋体" w:cs="宋体"/>
                <w:color w:val="000000"/>
                <w:highlight w:val="none"/>
              </w:rPr>
            </w:pPr>
            <w:r>
              <w:rPr>
                <w:rFonts w:hint="eastAsia" w:ascii="宋体" w:hAnsi="宋体" w:cs="宋体"/>
                <w:color w:val="000000"/>
                <w:highlight w:val="none"/>
              </w:rPr>
              <w:t>拟在本合同任职</w:t>
            </w:r>
          </w:p>
        </w:tc>
        <w:tc>
          <w:tcPr>
            <w:tcW w:w="1421" w:type="dxa"/>
            <w:noWrap w:val="0"/>
            <w:vAlign w:val="center"/>
          </w:tcPr>
          <w:p>
            <w:pPr>
              <w:autoSpaceDE w:val="0"/>
              <w:autoSpaceDN w:val="0"/>
              <w:adjustRightInd w:val="0"/>
              <w:jc w:val="center"/>
              <w:rPr>
                <w:rFonts w:ascii="宋体" w:hAnsi="宋体" w:cs="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420" w:type="dxa"/>
            <w:noWrap w:val="0"/>
            <w:vAlign w:val="center"/>
          </w:tcPr>
          <w:p>
            <w:pPr>
              <w:autoSpaceDE w:val="0"/>
              <w:autoSpaceDN w:val="0"/>
              <w:adjustRightInd w:val="0"/>
              <w:rPr>
                <w:rFonts w:ascii="宋体" w:hAnsi="宋体" w:cs="宋体"/>
                <w:color w:val="000000"/>
                <w:highlight w:val="none"/>
              </w:rPr>
            </w:pPr>
            <w:r>
              <w:rPr>
                <w:rFonts w:hint="eastAsia" w:ascii="宋体" w:hAnsi="宋体" w:cs="宋体"/>
                <w:color w:val="000000"/>
                <w:highlight w:val="none"/>
              </w:rPr>
              <w:t>毕业学校</w:t>
            </w:r>
          </w:p>
        </w:tc>
        <w:tc>
          <w:tcPr>
            <w:tcW w:w="7100" w:type="dxa"/>
            <w:gridSpan w:val="8"/>
            <w:noWrap w:val="0"/>
            <w:vAlign w:val="center"/>
          </w:tcPr>
          <w:p>
            <w:pPr>
              <w:autoSpaceDE w:val="0"/>
              <w:autoSpaceDN w:val="0"/>
              <w:adjustRightInd w:val="0"/>
              <w:rPr>
                <w:rFonts w:ascii="宋体" w:hAnsi="宋体" w:cs="宋体"/>
                <w:color w:val="000000"/>
                <w:highlight w:val="none"/>
              </w:rPr>
            </w:pPr>
            <w:r>
              <w:rPr>
                <w:rFonts w:hint="eastAsia" w:ascii="宋体" w:hAnsi="宋体" w:cs="宋体"/>
                <w:color w:val="000000"/>
                <w:highlight w:val="none"/>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8520" w:type="dxa"/>
            <w:gridSpan w:val="9"/>
            <w:noWrap w:val="0"/>
            <w:vAlign w:val="center"/>
          </w:tcPr>
          <w:p>
            <w:pPr>
              <w:autoSpaceDE w:val="0"/>
              <w:autoSpaceDN w:val="0"/>
              <w:adjustRightInd w:val="0"/>
              <w:rPr>
                <w:rFonts w:ascii="宋体" w:hAnsi="宋体" w:cs="宋体"/>
                <w:color w:val="000000"/>
                <w:highlight w:val="none"/>
              </w:rPr>
            </w:pPr>
            <w:r>
              <w:rPr>
                <w:rFonts w:hint="eastAsia" w:ascii="宋体" w:hAnsi="宋体" w:cs="宋体"/>
                <w:color w:val="000000"/>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gridSpan w:val="2"/>
            <w:noWrap w:val="0"/>
            <w:vAlign w:val="center"/>
          </w:tcPr>
          <w:p>
            <w:pPr>
              <w:autoSpaceDE w:val="0"/>
              <w:autoSpaceDN w:val="0"/>
              <w:adjustRightInd w:val="0"/>
              <w:jc w:val="center"/>
              <w:rPr>
                <w:rFonts w:ascii="宋体" w:hAnsi="宋体" w:cs="宋体"/>
                <w:color w:val="000000"/>
                <w:highlight w:val="none"/>
              </w:rPr>
            </w:pPr>
            <w:r>
              <w:rPr>
                <w:rFonts w:hint="eastAsia" w:ascii="宋体" w:hAnsi="宋体" w:cs="宋体"/>
                <w:color w:val="000000"/>
                <w:highlight w:val="none"/>
              </w:rPr>
              <w:t>时 间</w:t>
            </w:r>
          </w:p>
        </w:tc>
        <w:tc>
          <w:tcPr>
            <w:tcW w:w="2519" w:type="dxa"/>
            <w:gridSpan w:val="3"/>
            <w:noWrap w:val="0"/>
            <w:vAlign w:val="center"/>
          </w:tcPr>
          <w:p>
            <w:pPr>
              <w:autoSpaceDE w:val="0"/>
              <w:autoSpaceDN w:val="0"/>
              <w:adjustRightInd w:val="0"/>
              <w:jc w:val="center"/>
              <w:rPr>
                <w:rFonts w:ascii="宋体" w:hAnsi="宋体" w:cs="宋体"/>
                <w:color w:val="000000"/>
                <w:highlight w:val="none"/>
              </w:rPr>
            </w:pPr>
            <w:r>
              <w:rPr>
                <w:rFonts w:hint="eastAsia" w:ascii="宋体" w:hAnsi="宋体" w:cs="宋体"/>
                <w:color w:val="000000"/>
                <w:highlight w:val="none"/>
              </w:rPr>
              <w:t>参加过的类似项目</w:t>
            </w:r>
          </w:p>
        </w:tc>
        <w:tc>
          <w:tcPr>
            <w:tcW w:w="2179" w:type="dxa"/>
            <w:gridSpan w:val="2"/>
            <w:noWrap w:val="0"/>
            <w:vAlign w:val="center"/>
          </w:tcPr>
          <w:p>
            <w:pPr>
              <w:autoSpaceDE w:val="0"/>
              <w:autoSpaceDN w:val="0"/>
              <w:adjustRightInd w:val="0"/>
              <w:jc w:val="center"/>
              <w:rPr>
                <w:rFonts w:ascii="宋体" w:hAnsi="宋体" w:cs="宋体"/>
                <w:color w:val="000000"/>
                <w:highlight w:val="none"/>
              </w:rPr>
            </w:pPr>
            <w:r>
              <w:rPr>
                <w:rFonts w:hint="eastAsia" w:ascii="宋体" w:hAnsi="宋体" w:cs="宋体"/>
                <w:color w:val="000000"/>
                <w:highlight w:val="none"/>
              </w:rPr>
              <w:t>担任职务</w:t>
            </w:r>
          </w:p>
        </w:tc>
        <w:tc>
          <w:tcPr>
            <w:tcW w:w="2114" w:type="dxa"/>
            <w:gridSpan w:val="2"/>
            <w:noWrap w:val="0"/>
            <w:vAlign w:val="center"/>
          </w:tcPr>
          <w:p>
            <w:pPr>
              <w:autoSpaceDE w:val="0"/>
              <w:autoSpaceDN w:val="0"/>
              <w:adjustRightInd w:val="0"/>
              <w:jc w:val="center"/>
              <w:rPr>
                <w:rFonts w:ascii="宋体" w:hAnsi="宋体" w:cs="宋体"/>
                <w:color w:val="000000"/>
                <w:highlight w:val="none"/>
              </w:rPr>
            </w:pPr>
            <w:r>
              <w:rPr>
                <w:rFonts w:hint="eastAsia" w:ascii="宋体" w:hAnsi="宋体" w:cs="宋体"/>
                <w:color w:val="000000"/>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gridSpan w:val="2"/>
            <w:noWrap w:val="0"/>
            <w:vAlign w:val="top"/>
          </w:tcPr>
          <w:p>
            <w:pPr>
              <w:autoSpaceDE w:val="0"/>
              <w:autoSpaceDN w:val="0"/>
              <w:adjustRightInd w:val="0"/>
              <w:rPr>
                <w:rFonts w:ascii="宋体" w:hAnsi="宋体" w:cs="宋体"/>
                <w:color w:val="000000"/>
                <w:highlight w:val="none"/>
              </w:rPr>
            </w:pPr>
          </w:p>
        </w:tc>
        <w:tc>
          <w:tcPr>
            <w:tcW w:w="2519" w:type="dxa"/>
            <w:gridSpan w:val="3"/>
            <w:noWrap w:val="0"/>
            <w:vAlign w:val="top"/>
          </w:tcPr>
          <w:p>
            <w:pPr>
              <w:autoSpaceDE w:val="0"/>
              <w:autoSpaceDN w:val="0"/>
              <w:adjustRightInd w:val="0"/>
              <w:rPr>
                <w:rFonts w:ascii="宋体" w:hAnsi="宋体" w:cs="宋体"/>
                <w:color w:val="000000"/>
                <w:highlight w:val="none"/>
              </w:rPr>
            </w:pPr>
          </w:p>
        </w:tc>
        <w:tc>
          <w:tcPr>
            <w:tcW w:w="2179" w:type="dxa"/>
            <w:gridSpan w:val="2"/>
            <w:noWrap w:val="0"/>
            <w:vAlign w:val="top"/>
          </w:tcPr>
          <w:p>
            <w:pPr>
              <w:autoSpaceDE w:val="0"/>
              <w:autoSpaceDN w:val="0"/>
              <w:adjustRightInd w:val="0"/>
              <w:rPr>
                <w:rFonts w:ascii="宋体" w:hAnsi="宋体" w:cs="宋体"/>
                <w:color w:val="000000"/>
                <w:highlight w:val="none"/>
              </w:rPr>
            </w:pPr>
          </w:p>
        </w:tc>
        <w:tc>
          <w:tcPr>
            <w:tcW w:w="2114" w:type="dxa"/>
            <w:gridSpan w:val="2"/>
            <w:noWrap w:val="0"/>
            <w:vAlign w:val="top"/>
          </w:tcPr>
          <w:p>
            <w:pPr>
              <w:autoSpaceDE w:val="0"/>
              <w:autoSpaceDN w:val="0"/>
              <w:adjustRightInd w:val="0"/>
              <w:rPr>
                <w:rFonts w:ascii="宋体" w:hAnsi="宋体" w:cs="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gridSpan w:val="2"/>
            <w:noWrap w:val="0"/>
            <w:vAlign w:val="top"/>
          </w:tcPr>
          <w:p>
            <w:pPr>
              <w:autoSpaceDE w:val="0"/>
              <w:autoSpaceDN w:val="0"/>
              <w:adjustRightInd w:val="0"/>
              <w:rPr>
                <w:rFonts w:ascii="宋体" w:hAnsi="宋体" w:cs="宋体"/>
                <w:color w:val="000000"/>
                <w:highlight w:val="none"/>
              </w:rPr>
            </w:pPr>
          </w:p>
        </w:tc>
        <w:tc>
          <w:tcPr>
            <w:tcW w:w="2519" w:type="dxa"/>
            <w:gridSpan w:val="3"/>
            <w:noWrap w:val="0"/>
            <w:vAlign w:val="top"/>
          </w:tcPr>
          <w:p>
            <w:pPr>
              <w:autoSpaceDE w:val="0"/>
              <w:autoSpaceDN w:val="0"/>
              <w:adjustRightInd w:val="0"/>
              <w:rPr>
                <w:rFonts w:ascii="宋体" w:hAnsi="宋体" w:cs="宋体"/>
                <w:color w:val="000000"/>
                <w:highlight w:val="none"/>
              </w:rPr>
            </w:pPr>
          </w:p>
        </w:tc>
        <w:tc>
          <w:tcPr>
            <w:tcW w:w="2179" w:type="dxa"/>
            <w:gridSpan w:val="2"/>
            <w:noWrap w:val="0"/>
            <w:vAlign w:val="top"/>
          </w:tcPr>
          <w:p>
            <w:pPr>
              <w:autoSpaceDE w:val="0"/>
              <w:autoSpaceDN w:val="0"/>
              <w:adjustRightInd w:val="0"/>
              <w:rPr>
                <w:rFonts w:ascii="宋体" w:hAnsi="宋体" w:cs="宋体"/>
                <w:color w:val="000000"/>
                <w:highlight w:val="none"/>
              </w:rPr>
            </w:pPr>
          </w:p>
        </w:tc>
        <w:tc>
          <w:tcPr>
            <w:tcW w:w="2114" w:type="dxa"/>
            <w:gridSpan w:val="2"/>
            <w:noWrap w:val="0"/>
            <w:vAlign w:val="top"/>
          </w:tcPr>
          <w:p>
            <w:pPr>
              <w:autoSpaceDE w:val="0"/>
              <w:autoSpaceDN w:val="0"/>
              <w:adjustRightInd w:val="0"/>
              <w:rPr>
                <w:rFonts w:ascii="宋体" w:hAnsi="宋体" w:cs="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gridSpan w:val="2"/>
            <w:noWrap w:val="0"/>
            <w:vAlign w:val="top"/>
          </w:tcPr>
          <w:p>
            <w:pPr>
              <w:autoSpaceDE w:val="0"/>
              <w:autoSpaceDN w:val="0"/>
              <w:adjustRightInd w:val="0"/>
              <w:rPr>
                <w:rFonts w:ascii="宋体" w:hAnsi="宋体" w:cs="宋体"/>
                <w:color w:val="000000"/>
                <w:highlight w:val="none"/>
              </w:rPr>
            </w:pPr>
          </w:p>
        </w:tc>
        <w:tc>
          <w:tcPr>
            <w:tcW w:w="2519" w:type="dxa"/>
            <w:gridSpan w:val="3"/>
            <w:noWrap w:val="0"/>
            <w:vAlign w:val="top"/>
          </w:tcPr>
          <w:p>
            <w:pPr>
              <w:autoSpaceDE w:val="0"/>
              <w:autoSpaceDN w:val="0"/>
              <w:adjustRightInd w:val="0"/>
              <w:rPr>
                <w:rFonts w:ascii="宋体" w:hAnsi="宋体" w:cs="宋体"/>
                <w:color w:val="000000"/>
                <w:highlight w:val="none"/>
              </w:rPr>
            </w:pPr>
          </w:p>
        </w:tc>
        <w:tc>
          <w:tcPr>
            <w:tcW w:w="2179" w:type="dxa"/>
            <w:gridSpan w:val="2"/>
            <w:noWrap w:val="0"/>
            <w:vAlign w:val="top"/>
          </w:tcPr>
          <w:p>
            <w:pPr>
              <w:autoSpaceDE w:val="0"/>
              <w:autoSpaceDN w:val="0"/>
              <w:adjustRightInd w:val="0"/>
              <w:rPr>
                <w:rFonts w:ascii="宋体" w:hAnsi="宋体" w:cs="宋体"/>
                <w:color w:val="000000"/>
                <w:highlight w:val="none"/>
              </w:rPr>
            </w:pPr>
          </w:p>
        </w:tc>
        <w:tc>
          <w:tcPr>
            <w:tcW w:w="2114" w:type="dxa"/>
            <w:gridSpan w:val="2"/>
            <w:noWrap w:val="0"/>
            <w:vAlign w:val="top"/>
          </w:tcPr>
          <w:p>
            <w:pPr>
              <w:autoSpaceDE w:val="0"/>
              <w:autoSpaceDN w:val="0"/>
              <w:adjustRightInd w:val="0"/>
              <w:rPr>
                <w:rFonts w:ascii="宋体" w:hAnsi="宋体" w:cs="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gridSpan w:val="2"/>
            <w:noWrap w:val="0"/>
            <w:vAlign w:val="top"/>
          </w:tcPr>
          <w:p>
            <w:pPr>
              <w:autoSpaceDE w:val="0"/>
              <w:autoSpaceDN w:val="0"/>
              <w:adjustRightInd w:val="0"/>
              <w:rPr>
                <w:rFonts w:ascii="宋体" w:hAnsi="宋体" w:cs="宋体"/>
                <w:color w:val="000000"/>
                <w:highlight w:val="none"/>
              </w:rPr>
            </w:pPr>
          </w:p>
        </w:tc>
        <w:tc>
          <w:tcPr>
            <w:tcW w:w="2519" w:type="dxa"/>
            <w:gridSpan w:val="3"/>
            <w:noWrap w:val="0"/>
            <w:vAlign w:val="top"/>
          </w:tcPr>
          <w:p>
            <w:pPr>
              <w:autoSpaceDE w:val="0"/>
              <w:autoSpaceDN w:val="0"/>
              <w:adjustRightInd w:val="0"/>
              <w:rPr>
                <w:rFonts w:ascii="宋体" w:hAnsi="宋体" w:cs="宋体"/>
                <w:color w:val="000000"/>
                <w:highlight w:val="none"/>
              </w:rPr>
            </w:pPr>
          </w:p>
        </w:tc>
        <w:tc>
          <w:tcPr>
            <w:tcW w:w="2179" w:type="dxa"/>
            <w:gridSpan w:val="2"/>
            <w:noWrap w:val="0"/>
            <w:vAlign w:val="top"/>
          </w:tcPr>
          <w:p>
            <w:pPr>
              <w:autoSpaceDE w:val="0"/>
              <w:autoSpaceDN w:val="0"/>
              <w:adjustRightInd w:val="0"/>
              <w:rPr>
                <w:rFonts w:ascii="宋体" w:hAnsi="宋体" w:cs="宋体"/>
                <w:color w:val="000000"/>
                <w:highlight w:val="none"/>
              </w:rPr>
            </w:pPr>
          </w:p>
        </w:tc>
        <w:tc>
          <w:tcPr>
            <w:tcW w:w="2114" w:type="dxa"/>
            <w:gridSpan w:val="2"/>
            <w:noWrap w:val="0"/>
            <w:vAlign w:val="top"/>
          </w:tcPr>
          <w:p>
            <w:pPr>
              <w:autoSpaceDE w:val="0"/>
              <w:autoSpaceDN w:val="0"/>
              <w:adjustRightInd w:val="0"/>
              <w:rPr>
                <w:rFonts w:ascii="宋体" w:hAnsi="宋体" w:cs="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gridSpan w:val="2"/>
            <w:noWrap w:val="0"/>
            <w:vAlign w:val="top"/>
          </w:tcPr>
          <w:p>
            <w:pPr>
              <w:autoSpaceDE w:val="0"/>
              <w:autoSpaceDN w:val="0"/>
              <w:adjustRightInd w:val="0"/>
              <w:rPr>
                <w:rFonts w:ascii="宋体" w:hAnsi="宋体" w:cs="宋体"/>
                <w:color w:val="000000"/>
                <w:highlight w:val="none"/>
              </w:rPr>
            </w:pPr>
          </w:p>
        </w:tc>
        <w:tc>
          <w:tcPr>
            <w:tcW w:w="2519" w:type="dxa"/>
            <w:gridSpan w:val="3"/>
            <w:noWrap w:val="0"/>
            <w:vAlign w:val="top"/>
          </w:tcPr>
          <w:p>
            <w:pPr>
              <w:autoSpaceDE w:val="0"/>
              <w:autoSpaceDN w:val="0"/>
              <w:adjustRightInd w:val="0"/>
              <w:rPr>
                <w:rFonts w:ascii="宋体" w:hAnsi="宋体" w:cs="宋体"/>
                <w:color w:val="000000"/>
                <w:highlight w:val="none"/>
              </w:rPr>
            </w:pPr>
          </w:p>
        </w:tc>
        <w:tc>
          <w:tcPr>
            <w:tcW w:w="2179" w:type="dxa"/>
            <w:gridSpan w:val="2"/>
            <w:noWrap w:val="0"/>
            <w:vAlign w:val="top"/>
          </w:tcPr>
          <w:p>
            <w:pPr>
              <w:autoSpaceDE w:val="0"/>
              <w:autoSpaceDN w:val="0"/>
              <w:adjustRightInd w:val="0"/>
              <w:rPr>
                <w:rFonts w:ascii="宋体" w:hAnsi="宋体" w:cs="宋体"/>
                <w:color w:val="000000"/>
                <w:highlight w:val="none"/>
              </w:rPr>
            </w:pPr>
          </w:p>
        </w:tc>
        <w:tc>
          <w:tcPr>
            <w:tcW w:w="2114" w:type="dxa"/>
            <w:gridSpan w:val="2"/>
            <w:noWrap w:val="0"/>
            <w:vAlign w:val="top"/>
          </w:tcPr>
          <w:p>
            <w:pPr>
              <w:autoSpaceDE w:val="0"/>
              <w:autoSpaceDN w:val="0"/>
              <w:adjustRightInd w:val="0"/>
              <w:rPr>
                <w:rFonts w:ascii="宋体" w:hAnsi="宋体" w:cs="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gridSpan w:val="2"/>
            <w:noWrap w:val="0"/>
            <w:vAlign w:val="top"/>
          </w:tcPr>
          <w:p>
            <w:pPr>
              <w:autoSpaceDE w:val="0"/>
              <w:autoSpaceDN w:val="0"/>
              <w:adjustRightInd w:val="0"/>
              <w:rPr>
                <w:rFonts w:ascii="宋体" w:hAnsi="宋体" w:cs="宋体"/>
                <w:color w:val="000000"/>
                <w:highlight w:val="none"/>
              </w:rPr>
            </w:pPr>
          </w:p>
        </w:tc>
        <w:tc>
          <w:tcPr>
            <w:tcW w:w="2519" w:type="dxa"/>
            <w:gridSpan w:val="3"/>
            <w:noWrap w:val="0"/>
            <w:vAlign w:val="top"/>
          </w:tcPr>
          <w:p>
            <w:pPr>
              <w:autoSpaceDE w:val="0"/>
              <w:autoSpaceDN w:val="0"/>
              <w:adjustRightInd w:val="0"/>
              <w:rPr>
                <w:rFonts w:ascii="宋体" w:hAnsi="宋体" w:cs="宋体"/>
                <w:color w:val="000000"/>
                <w:highlight w:val="none"/>
              </w:rPr>
            </w:pPr>
          </w:p>
        </w:tc>
        <w:tc>
          <w:tcPr>
            <w:tcW w:w="2179" w:type="dxa"/>
            <w:gridSpan w:val="2"/>
            <w:noWrap w:val="0"/>
            <w:vAlign w:val="top"/>
          </w:tcPr>
          <w:p>
            <w:pPr>
              <w:autoSpaceDE w:val="0"/>
              <w:autoSpaceDN w:val="0"/>
              <w:adjustRightInd w:val="0"/>
              <w:rPr>
                <w:rFonts w:ascii="宋体" w:hAnsi="宋体" w:cs="宋体"/>
                <w:color w:val="000000"/>
                <w:highlight w:val="none"/>
              </w:rPr>
            </w:pPr>
          </w:p>
        </w:tc>
        <w:tc>
          <w:tcPr>
            <w:tcW w:w="2114" w:type="dxa"/>
            <w:gridSpan w:val="2"/>
            <w:noWrap w:val="0"/>
            <w:vAlign w:val="top"/>
          </w:tcPr>
          <w:p>
            <w:pPr>
              <w:autoSpaceDE w:val="0"/>
              <w:autoSpaceDN w:val="0"/>
              <w:adjustRightInd w:val="0"/>
              <w:rPr>
                <w:rFonts w:ascii="宋体" w:hAnsi="宋体" w:cs="宋体"/>
                <w:color w:val="000000"/>
                <w:highlight w:val="none"/>
              </w:rPr>
            </w:pPr>
          </w:p>
        </w:tc>
      </w:tr>
    </w:tbl>
    <w:p>
      <w:pPr>
        <w:spacing w:line="480" w:lineRule="auto"/>
        <w:ind w:firstLine="480"/>
        <w:rPr>
          <w:rFonts w:ascii="宋体" w:hAnsi="宋体" w:cs="宋体"/>
          <w:color w:val="000000"/>
          <w:sz w:val="24"/>
          <w:highlight w:val="none"/>
        </w:rPr>
      </w:pPr>
    </w:p>
    <w:p>
      <w:pPr>
        <w:spacing w:line="480" w:lineRule="auto"/>
        <w:ind w:firstLine="480"/>
        <w:rPr>
          <w:rFonts w:ascii="宋体" w:hAnsi="宋体" w:cs="宋体"/>
          <w:color w:val="000000"/>
          <w:sz w:val="24"/>
          <w:highlight w:val="none"/>
        </w:rPr>
      </w:pPr>
    </w:p>
    <w:p>
      <w:pPr>
        <w:spacing w:line="480" w:lineRule="auto"/>
        <w:ind w:firstLine="480"/>
        <w:rPr>
          <w:rFonts w:ascii="宋体" w:hAnsi="宋体" w:cs="宋体"/>
          <w:color w:val="000000"/>
          <w:sz w:val="24"/>
          <w:highlight w:val="none"/>
        </w:rPr>
      </w:pPr>
    </w:p>
    <w:p>
      <w:pPr>
        <w:adjustRightInd w:val="0"/>
        <w:snapToGrid w:val="0"/>
        <w:rPr>
          <w:rFonts w:ascii="宋体" w:hAnsi="宋体" w:cs="宋体"/>
          <w:color w:val="000000"/>
          <w:highlight w:val="none"/>
        </w:rPr>
      </w:pPr>
    </w:p>
    <w:p>
      <w:pPr>
        <w:adjustRightInd w:val="0"/>
        <w:snapToGrid w:val="0"/>
        <w:rPr>
          <w:rFonts w:ascii="宋体" w:hAnsi="宋体" w:cs="宋体"/>
          <w:color w:val="000000"/>
          <w:highlight w:val="none"/>
        </w:rPr>
      </w:pPr>
    </w:p>
    <w:p>
      <w:pPr>
        <w:adjustRightInd w:val="0"/>
        <w:snapToGrid w:val="0"/>
        <w:rPr>
          <w:rFonts w:ascii="宋体" w:hAnsi="宋体" w:cs="宋体"/>
          <w:color w:val="000000"/>
          <w:highlight w:val="none"/>
        </w:rPr>
      </w:pPr>
    </w:p>
    <w:p>
      <w:pPr>
        <w:pStyle w:val="2"/>
        <w:keepNext w:val="0"/>
        <w:keepLines w:val="0"/>
        <w:numPr>
          <w:ilvl w:val="0"/>
          <w:numId w:val="0"/>
        </w:numPr>
        <w:tabs>
          <w:tab w:val="left" w:pos="360"/>
          <w:tab w:val="left" w:pos="540"/>
        </w:tabs>
        <w:spacing w:before="120" w:beforeLines="50" w:beforeAutospacing="0" w:after="120" w:afterLines="50" w:afterAutospacing="0"/>
        <w:ind w:left="220" w:leftChars="0"/>
        <w:rPr>
          <w:rFonts w:ascii="宋体" w:hAnsi="宋体" w:eastAsia="宋体" w:cs="宋体"/>
          <w:color w:val="000000"/>
          <w:sz w:val="28"/>
          <w:szCs w:val="28"/>
          <w:highlight w:val="none"/>
        </w:rPr>
      </w:pPr>
      <w:r>
        <w:rPr>
          <w:rFonts w:hint="eastAsia" w:ascii="宋体" w:hAnsi="宋体" w:eastAsia="宋体" w:cs="宋体"/>
          <w:color w:val="000000"/>
          <w:sz w:val="24"/>
          <w:highlight w:val="none"/>
        </w:rPr>
        <w:br w:type="page"/>
      </w:r>
      <w:bookmarkStart w:id="2064" w:name="_Toc21736"/>
      <w:bookmarkStart w:id="2065" w:name="_Toc22926"/>
      <w:bookmarkStart w:id="2066" w:name="_Toc25720"/>
      <w:bookmarkStart w:id="2067" w:name="_Toc4932"/>
      <w:bookmarkStart w:id="2068" w:name="_Toc6584"/>
      <w:r>
        <w:rPr>
          <w:rFonts w:hint="eastAsia" w:ascii="宋体" w:hAnsi="宋体" w:eastAsia="宋体" w:cs="宋体"/>
          <w:color w:val="000000"/>
          <w:sz w:val="24"/>
          <w:highlight w:val="none"/>
          <w:lang w:val="en-US" w:eastAsia="zh-CN"/>
        </w:rPr>
        <w:t>4、</w:t>
      </w:r>
      <w:r>
        <w:rPr>
          <w:rFonts w:hint="eastAsia" w:ascii="宋体" w:hAnsi="宋体" w:eastAsia="宋体" w:cs="宋体"/>
          <w:color w:val="000000"/>
          <w:sz w:val="32"/>
          <w:highlight w:val="none"/>
        </w:rPr>
        <w:t>供应商基本情况表</w:t>
      </w:r>
      <w:bookmarkEnd w:id="2064"/>
      <w:bookmarkEnd w:id="2065"/>
      <w:bookmarkEnd w:id="2066"/>
      <w:bookmarkEnd w:id="2067"/>
      <w:bookmarkEnd w:id="2068"/>
    </w:p>
    <w:p>
      <w:pPr>
        <w:jc w:val="center"/>
        <w:rPr>
          <w:rFonts w:ascii="宋体" w:hAnsi="宋体" w:cs="宋体"/>
          <w:b/>
          <w:bCs/>
          <w:color w:val="000000"/>
          <w:sz w:val="36"/>
          <w:szCs w:val="36"/>
          <w:highlight w:val="none"/>
        </w:rPr>
      </w:pPr>
      <w:r>
        <w:rPr>
          <w:rFonts w:hint="eastAsia" w:ascii="宋体" w:hAnsi="宋体" w:cs="宋体"/>
          <w:b/>
          <w:bCs/>
          <w:color w:val="000000"/>
          <w:sz w:val="36"/>
          <w:szCs w:val="36"/>
          <w:highlight w:val="none"/>
        </w:rPr>
        <w:t>供应商基本情况表</w:t>
      </w:r>
    </w:p>
    <w:tbl>
      <w:tblPr>
        <w:tblStyle w:val="25"/>
        <w:tblW w:w="0" w:type="auto"/>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97"/>
        <w:gridCol w:w="851"/>
        <w:gridCol w:w="169"/>
        <w:gridCol w:w="1451"/>
        <w:gridCol w:w="724"/>
        <w:gridCol w:w="434"/>
        <w:gridCol w:w="8"/>
        <w:gridCol w:w="458"/>
        <w:gridCol w:w="936"/>
        <w:gridCol w:w="684"/>
        <w:gridCol w:w="1697"/>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97" w:type="dxa"/>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供应商名称</w:t>
            </w:r>
          </w:p>
        </w:tc>
        <w:tc>
          <w:tcPr>
            <w:tcW w:w="7412" w:type="dxa"/>
            <w:gridSpan w:val="10"/>
            <w:noWrap w:val="0"/>
            <w:vAlign w:val="center"/>
          </w:tcPr>
          <w:p>
            <w:pPr>
              <w:autoSpaceDE w:val="0"/>
              <w:autoSpaceDN w:val="0"/>
              <w:adjustRightInd w:val="0"/>
              <w:spacing w:line="360" w:lineRule="auto"/>
              <w:rPr>
                <w:rFonts w:ascii="宋体" w:hAnsi="宋体" w:cs="宋体"/>
                <w:color w:val="000000"/>
                <w:kern w:val="0"/>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97" w:type="dxa"/>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注册地址</w:t>
            </w:r>
          </w:p>
        </w:tc>
        <w:tc>
          <w:tcPr>
            <w:tcW w:w="3637" w:type="dxa"/>
            <w:gridSpan w:val="6"/>
            <w:noWrap w:val="0"/>
            <w:vAlign w:val="center"/>
          </w:tcPr>
          <w:p>
            <w:pPr>
              <w:autoSpaceDE w:val="0"/>
              <w:autoSpaceDN w:val="0"/>
              <w:adjustRightInd w:val="0"/>
              <w:spacing w:line="360" w:lineRule="auto"/>
              <w:rPr>
                <w:rFonts w:ascii="宋体" w:hAnsi="宋体" w:cs="宋体"/>
                <w:color w:val="000000"/>
                <w:kern w:val="0"/>
                <w:highlight w:val="none"/>
              </w:rPr>
            </w:pPr>
          </w:p>
        </w:tc>
        <w:tc>
          <w:tcPr>
            <w:tcW w:w="1394" w:type="dxa"/>
            <w:gridSpan w:val="2"/>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邮政编码</w:t>
            </w:r>
          </w:p>
        </w:tc>
        <w:tc>
          <w:tcPr>
            <w:tcW w:w="2381" w:type="dxa"/>
            <w:gridSpan w:val="2"/>
            <w:noWrap w:val="0"/>
            <w:vAlign w:val="center"/>
          </w:tcPr>
          <w:p>
            <w:pPr>
              <w:autoSpaceDE w:val="0"/>
              <w:autoSpaceDN w:val="0"/>
              <w:adjustRightInd w:val="0"/>
              <w:spacing w:line="360" w:lineRule="auto"/>
              <w:rPr>
                <w:rFonts w:ascii="宋体" w:hAnsi="宋体" w:cs="宋体"/>
                <w:color w:val="000000"/>
                <w:kern w:val="0"/>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97" w:type="dxa"/>
            <w:vMerge w:val="restart"/>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联系方式</w:t>
            </w:r>
          </w:p>
        </w:tc>
        <w:tc>
          <w:tcPr>
            <w:tcW w:w="1020" w:type="dxa"/>
            <w:gridSpan w:val="2"/>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联系人</w:t>
            </w:r>
          </w:p>
        </w:tc>
        <w:tc>
          <w:tcPr>
            <w:tcW w:w="2609" w:type="dxa"/>
            <w:gridSpan w:val="3"/>
            <w:noWrap w:val="0"/>
            <w:vAlign w:val="center"/>
          </w:tcPr>
          <w:p>
            <w:pPr>
              <w:autoSpaceDE w:val="0"/>
              <w:autoSpaceDN w:val="0"/>
              <w:adjustRightInd w:val="0"/>
              <w:spacing w:line="360" w:lineRule="auto"/>
              <w:rPr>
                <w:rFonts w:ascii="宋体" w:hAnsi="宋体" w:cs="宋体"/>
                <w:color w:val="000000"/>
                <w:kern w:val="0"/>
                <w:highlight w:val="none"/>
              </w:rPr>
            </w:pPr>
          </w:p>
        </w:tc>
        <w:tc>
          <w:tcPr>
            <w:tcW w:w="1402" w:type="dxa"/>
            <w:gridSpan w:val="3"/>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电话</w:t>
            </w:r>
          </w:p>
        </w:tc>
        <w:tc>
          <w:tcPr>
            <w:tcW w:w="2381" w:type="dxa"/>
            <w:gridSpan w:val="2"/>
            <w:noWrap w:val="0"/>
            <w:vAlign w:val="center"/>
          </w:tcPr>
          <w:p>
            <w:pPr>
              <w:autoSpaceDE w:val="0"/>
              <w:autoSpaceDN w:val="0"/>
              <w:adjustRightInd w:val="0"/>
              <w:spacing w:line="360" w:lineRule="auto"/>
              <w:rPr>
                <w:rFonts w:ascii="宋体" w:hAnsi="宋体" w:cs="宋体"/>
                <w:color w:val="000000"/>
                <w:kern w:val="0"/>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97" w:type="dxa"/>
            <w:vMerge w:val="continue"/>
            <w:noWrap w:val="0"/>
            <w:vAlign w:val="center"/>
          </w:tcPr>
          <w:p>
            <w:pPr>
              <w:autoSpaceDE w:val="0"/>
              <w:autoSpaceDN w:val="0"/>
              <w:adjustRightInd w:val="0"/>
              <w:spacing w:line="360" w:lineRule="auto"/>
              <w:rPr>
                <w:rFonts w:ascii="宋体" w:hAnsi="宋体" w:cs="宋体"/>
                <w:color w:val="000000"/>
                <w:kern w:val="0"/>
                <w:highlight w:val="none"/>
              </w:rPr>
            </w:pPr>
          </w:p>
        </w:tc>
        <w:tc>
          <w:tcPr>
            <w:tcW w:w="1020" w:type="dxa"/>
            <w:gridSpan w:val="2"/>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传真</w:t>
            </w:r>
          </w:p>
        </w:tc>
        <w:tc>
          <w:tcPr>
            <w:tcW w:w="2609" w:type="dxa"/>
            <w:gridSpan w:val="3"/>
            <w:noWrap w:val="0"/>
            <w:vAlign w:val="center"/>
          </w:tcPr>
          <w:p>
            <w:pPr>
              <w:autoSpaceDE w:val="0"/>
              <w:autoSpaceDN w:val="0"/>
              <w:adjustRightInd w:val="0"/>
              <w:spacing w:line="360" w:lineRule="auto"/>
              <w:rPr>
                <w:rFonts w:ascii="宋体" w:hAnsi="宋体" w:cs="宋体"/>
                <w:color w:val="000000"/>
                <w:kern w:val="0"/>
                <w:highlight w:val="none"/>
              </w:rPr>
            </w:pPr>
          </w:p>
        </w:tc>
        <w:tc>
          <w:tcPr>
            <w:tcW w:w="1402" w:type="dxa"/>
            <w:gridSpan w:val="3"/>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网址</w:t>
            </w:r>
          </w:p>
        </w:tc>
        <w:tc>
          <w:tcPr>
            <w:tcW w:w="2381" w:type="dxa"/>
            <w:gridSpan w:val="2"/>
            <w:noWrap w:val="0"/>
            <w:vAlign w:val="center"/>
          </w:tcPr>
          <w:p>
            <w:pPr>
              <w:autoSpaceDE w:val="0"/>
              <w:autoSpaceDN w:val="0"/>
              <w:adjustRightInd w:val="0"/>
              <w:spacing w:line="360" w:lineRule="auto"/>
              <w:rPr>
                <w:rFonts w:ascii="宋体" w:hAnsi="宋体" w:cs="宋体"/>
                <w:color w:val="000000"/>
                <w:kern w:val="0"/>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97" w:type="dxa"/>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法定代表人</w:t>
            </w:r>
          </w:p>
        </w:tc>
        <w:tc>
          <w:tcPr>
            <w:tcW w:w="851" w:type="dxa"/>
            <w:noWrap w:val="0"/>
            <w:vAlign w:val="center"/>
          </w:tcPr>
          <w:p>
            <w:pPr>
              <w:autoSpaceDE w:val="0"/>
              <w:autoSpaceDN w:val="0"/>
              <w:adjustRightInd w:val="0"/>
              <w:spacing w:line="360" w:lineRule="auto"/>
              <w:jc w:val="center"/>
              <w:rPr>
                <w:rFonts w:ascii="宋体" w:hAnsi="宋体" w:cs="宋体"/>
                <w:color w:val="000000"/>
                <w:kern w:val="0"/>
                <w:highlight w:val="none"/>
              </w:rPr>
            </w:pPr>
            <w:r>
              <w:rPr>
                <w:rFonts w:hint="eastAsia" w:ascii="宋体" w:hAnsi="宋体" w:cs="宋体"/>
                <w:color w:val="000000"/>
                <w:kern w:val="0"/>
                <w:highlight w:val="none"/>
              </w:rPr>
              <w:t>姓名</w:t>
            </w:r>
          </w:p>
        </w:tc>
        <w:tc>
          <w:tcPr>
            <w:tcW w:w="1620" w:type="dxa"/>
            <w:gridSpan w:val="2"/>
            <w:noWrap w:val="0"/>
            <w:vAlign w:val="center"/>
          </w:tcPr>
          <w:p>
            <w:pPr>
              <w:autoSpaceDE w:val="0"/>
              <w:autoSpaceDN w:val="0"/>
              <w:adjustRightInd w:val="0"/>
              <w:spacing w:line="360" w:lineRule="auto"/>
              <w:rPr>
                <w:rFonts w:ascii="宋体" w:hAnsi="宋体" w:cs="宋体"/>
                <w:color w:val="000000"/>
                <w:kern w:val="0"/>
                <w:highlight w:val="none"/>
              </w:rPr>
            </w:pPr>
          </w:p>
        </w:tc>
        <w:tc>
          <w:tcPr>
            <w:tcW w:w="1158" w:type="dxa"/>
            <w:gridSpan w:val="2"/>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技术职称</w:t>
            </w:r>
          </w:p>
        </w:tc>
        <w:tc>
          <w:tcPr>
            <w:tcW w:w="1402" w:type="dxa"/>
            <w:gridSpan w:val="3"/>
            <w:noWrap w:val="0"/>
            <w:vAlign w:val="center"/>
          </w:tcPr>
          <w:p>
            <w:pPr>
              <w:autoSpaceDE w:val="0"/>
              <w:autoSpaceDN w:val="0"/>
              <w:adjustRightInd w:val="0"/>
              <w:spacing w:line="360" w:lineRule="auto"/>
              <w:rPr>
                <w:rFonts w:ascii="宋体" w:hAnsi="宋体" w:cs="宋体"/>
                <w:color w:val="000000"/>
                <w:kern w:val="0"/>
                <w:highlight w:val="none"/>
              </w:rPr>
            </w:pPr>
          </w:p>
        </w:tc>
        <w:tc>
          <w:tcPr>
            <w:tcW w:w="684" w:type="dxa"/>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电话</w:t>
            </w:r>
          </w:p>
        </w:tc>
        <w:tc>
          <w:tcPr>
            <w:tcW w:w="1697" w:type="dxa"/>
            <w:noWrap w:val="0"/>
            <w:vAlign w:val="center"/>
          </w:tcPr>
          <w:p>
            <w:pPr>
              <w:autoSpaceDE w:val="0"/>
              <w:autoSpaceDN w:val="0"/>
              <w:adjustRightInd w:val="0"/>
              <w:spacing w:line="360" w:lineRule="auto"/>
              <w:rPr>
                <w:rFonts w:ascii="宋体" w:hAnsi="宋体" w:cs="宋体"/>
                <w:b/>
                <w:bCs/>
                <w:color w:val="000000"/>
                <w:kern w:val="0"/>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597" w:type="dxa"/>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技术负责人</w:t>
            </w:r>
          </w:p>
        </w:tc>
        <w:tc>
          <w:tcPr>
            <w:tcW w:w="851" w:type="dxa"/>
            <w:noWrap w:val="0"/>
            <w:vAlign w:val="center"/>
          </w:tcPr>
          <w:p>
            <w:pPr>
              <w:autoSpaceDE w:val="0"/>
              <w:autoSpaceDN w:val="0"/>
              <w:adjustRightInd w:val="0"/>
              <w:spacing w:line="360" w:lineRule="auto"/>
              <w:jc w:val="center"/>
              <w:rPr>
                <w:rFonts w:ascii="宋体" w:hAnsi="宋体" w:cs="宋体"/>
                <w:color w:val="000000"/>
                <w:kern w:val="0"/>
                <w:highlight w:val="none"/>
              </w:rPr>
            </w:pPr>
            <w:r>
              <w:rPr>
                <w:rFonts w:hint="eastAsia" w:ascii="宋体" w:hAnsi="宋体" w:cs="宋体"/>
                <w:color w:val="000000"/>
                <w:kern w:val="0"/>
                <w:highlight w:val="none"/>
              </w:rPr>
              <w:t>姓名</w:t>
            </w:r>
          </w:p>
        </w:tc>
        <w:tc>
          <w:tcPr>
            <w:tcW w:w="1620" w:type="dxa"/>
            <w:gridSpan w:val="2"/>
            <w:noWrap w:val="0"/>
            <w:vAlign w:val="center"/>
          </w:tcPr>
          <w:p>
            <w:pPr>
              <w:autoSpaceDE w:val="0"/>
              <w:autoSpaceDN w:val="0"/>
              <w:adjustRightInd w:val="0"/>
              <w:spacing w:line="360" w:lineRule="auto"/>
              <w:rPr>
                <w:rFonts w:ascii="宋体" w:hAnsi="宋体" w:cs="宋体"/>
                <w:color w:val="000000"/>
                <w:kern w:val="0"/>
                <w:highlight w:val="none"/>
              </w:rPr>
            </w:pPr>
          </w:p>
        </w:tc>
        <w:tc>
          <w:tcPr>
            <w:tcW w:w="1158" w:type="dxa"/>
            <w:gridSpan w:val="2"/>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技术职称</w:t>
            </w:r>
          </w:p>
        </w:tc>
        <w:tc>
          <w:tcPr>
            <w:tcW w:w="1402" w:type="dxa"/>
            <w:gridSpan w:val="3"/>
            <w:noWrap w:val="0"/>
            <w:vAlign w:val="center"/>
          </w:tcPr>
          <w:p>
            <w:pPr>
              <w:autoSpaceDE w:val="0"/>
              <w:autoSpaceDN w:val="0"/>
              <w:adjustRightInd w:val="0"/>
              <w:spacing w:line="360" w:lineRule="auto"/>
              <w:rPr>
                <w:rFonts w:ascii="宋体" w:hAnsi="宋体" w:cs="宋体"/>
                <w:color w:val="000000"/>
                <w:kern w:val="0"/>
                <w:highlight w:val="none"/>
              </w:rPr>
            </w:pPr>
          </w:p>
        </w:tc>
        <w:tc>
          <w:tcPr>
            <w:tcW w:w="684" w:type="dxa"/>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电话</w:t>
            </w:r>
          </w:p>
        </w:tc>
        <w:tc>
          <w:tcPr>
            <w:tcW w:w="1697" w:type="dxa"/>
            <w:noWrap w:val="0"/>
            <w:vAlign w:val="center"/>
          </w:tcPr>
          <w:p>
            <w:pPr>
              <w:autoSpaceDE w:val="0"/>
              <w:autoSpaceDN w:val="0"/>
              <w:adjustRightInd w:val="0"/>
              <w:spacing w:line="360" w:lineRule="auto"/>
              <w:rPr>
                <w:rFonts w:ascii="宋体" w:hAnsi="宋体" w:cs="宋体"/>
                <w:b/>
                <w:bCs/>
                <w:color w:val="000000"/>
                <w:kern w:val="0"/>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97" w:type="dxa"/>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成立时间</w:t>
            </w:r>
          </w:p>
        </w:tc>
        <w:tc>
          <w:tcPr>
            <w:tcW w:w="3195" w:type="dxa"/>
            <w:gridSpan w:val="4"/>
            <w:tcBorders>
              <w:right w:val="single" w:color="auto" w:sz="4" w:space="0"/>
            </w:tcBorders>
            <w:noWrap w:val="0"/>
            <w:vAlign w:val="center"/>
          </w:tcPr>
          <w:p>
            <w:pPr>
              <w:autoSpaceDE w:val="0"/>
              <w:autoSpaceDN w:val="0"/>
              <w:adjustRightInd w:val="0"/>
              <w:spacing w:line="360" w:lineRule="auto"/>
              <w:ind w:firstLine="1540" w:firstLineChars="700"/>
              <w:jc w:val="left"/>
              <w:rPr>
                <w:rFonts w:ascii="宋体" w:hAnsi="宋体" w:cs="宋体"/>
                <w:color w:val="000000"/>
                <w:kern w:val="0"/>
                <w:highlight w:val="none"/>
              </w:rPr>
            </w:pPr>
          </w:p>
        </w:tc>
        <w:tc>
          <w:tcPr>
            <w:tcW w:w="4217" w:type="dxa"/>
            <w:gridSpan w:val="6"/>
            <w:tcBorders>
              <w:left w:val="single" w:color="auto" w:sz="4" w:space="0"/>
            </w:tcBorders>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97" w:type="dxa"/>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企业资质等级</w:t>
            </w:r>
          </w:p>
        </w:tc>
        <w:tc>
          <w:tcPr>
            <w:tcW w:w="3195" w:type="dxa"/>
            <w:gridSpan w:val="4"/>
            <w:tcBorders>
              <w:right w:val="single" w:color="auto" w:sz="4" w:space="0"/>
            </w:tcBorders>
            <w:noWrap w:val="0"/>
            <w:vAlign w:val="center"/>
          </w:tcPr>
          <w:p>
            <w:pPr>
              <w:autoSpaceDE w:val="0"/>
              <w:autoSpaceDN w:val="0"/>
              <w:adjustRightInd w:val="0"/>
              <w:spacing w:line="360" w:lineRule="auto"/>
              <w:rPr>
                <w:rFonts w:ascii="宋体" w:hAnsi="宋体" w:cs="宋体"/>
                <w:color w:val="000000"/>
                <w:kern w:val="0"/>
                <w:highlight w:val="none"/>
              </w:rPr>
            </w:pPr>
          </w:p>
        </w:tc>
        <w:tc>
          <w:tcPr>
            <w:tcW w:w="900" w:type="dxa"/>
            <w:gridSpan w:val="3"/>
            <w:vMerge w:val="restart"/>
            <w:tcBorders>
              <w:left w:val="single" w:color="auto" w:sz="4" w:space="0"/>
            </w:tcBorders>
            <w:noWrap w:val="0"/>
            <w:vAlign w:val="center"/>
          </w:tcPr>
          <w:p>
            <w:pPr>
              <w:autoSpaceDE w:val="0"/>
              <w:autoSpaceDN w:val="0"/>
              <w:adjustRightInd w:val="0"/>
              <w:spacing w:line="360" w:lineRule="auto"/>
              <w:jc w:val="center"/>
              <w:rPr>
                <w:rFonts w:ascii="宋体" w:hAnsi="宋体" w:cs="宋体"/>
                <w:color w:val="000000"/>
                <w:kern w:val="0"/>
                <w:highlight w:val="none"/>
              </w:rPr>
            </w:pPr>
            <w:r>
              <w:rPr>
                <w:rFonts w:hint="eastAsia" w:ascii="宋体" w:hAnsi="宋体" w:cs="宋体"/>
                <w:color w:val="000000"/>
                <w:kern w:val="0"/>
                <w:highlight w:val="none"/>
              </w:rPr>
              <w:t>其中</w:t>
            </w:r>
          </w:p>
        </w:tc>
        <w:tc>
          <w:tcPr>
            <w:tcW w:w="1620" w:type="dxa"/>
            <w:gridSpan w:val="2"/>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项目经理</w:t>
            </w:r>
          </w:p>
        </w:tc>
        <w:tc>
          <w:tcPr>
            <w:tcW w:w="1697" w:type="dxa"/>
            <w:noWrap w:val="0"/>
            <w:vAlign w:val="center"/>
          </w:tcPr>
          <w:p>
            <w:pPr>
              <w:autoSpaceDE w:val="0"/>
              <w:autoSpaceDN w:val="0"/>
              <w:adjustRightInd w:val="0"/>
              <w:spacing w:line="360" w:lineRule="auto"/>
              <w:rPr>
                <w:rFonts w:ascii="宋体" w:hAnsi="宋体" w:cs="宋体"/>
                <w:b/>
                <w:bCs/>
                <w:color w:val="000000"/>
                <w:kern w:val="0"/>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97" w:type="dxa"/>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营业执照号</w:t>
            </w:r>
          </w:p>
        </w:tc>
        <w:tc>
          <w:tcPr>
            <w:tcW w:w="3195" w:type="dxa"/>
            <w:gridSpan w:val="4"/>
            <w:tcBorders>
              <w:right w:val="single" w:color="auto" w:sz="4" w:space="0"/>
            </w:tcBorders>
            <w:noWrap w:val="0"/>
            <w:vAlign w:val="center"/>
          </w:tcPr>
          <w:p>
            <w:pPr>
              <w:autoSpaceDE w:val="0"/>
              <w:autoSpaceDN w:val="0"/>
              <w:adjustRightInd w:val="0"/>
              <w:spacing w:line="360" w:lineRule="auto"/>
              <w:rPr>
                <w:rFonts w:ascii="宋体" w:hAnsi="宋体" w:cs="宋体"/>
                <w:color w:val="000000"/>
                <w:kern w:val="0"/>
                <w:highlight w:val="none"/>
              </w:rPr>
            </w:pPr>
          </w:p>
        </w:tc>
        <w:tc>
          <w:tcPr>
            <w:tcW w:w="900" w:type="dxa"/>
            <w:gridSpan w:val="3"/>
            <w:vMerge w:val="continue"/>
            <w:tcBorders>
              <w:left w:val="single" w:color="auto" w:sz="4" w:space="0"/>
            </w:tcBorders>
            <w:noWrap w:val="0"/>
            <w:vAlign w:val="center"/>
          </w:tcPr>
          <w:p>
            <w:pPr>
              <w:autoSpaceDE w:val="0"/>
              <w:autoSpaceDN w:val="0"/>
              <w:adjustRightInd w:val="0"/>
              <w:spacing w:line="360" w:lineRule="auto"/>
              <w:rPr>
                <w:rFonts w:ascii="宋体" w:hAnsi="宋体" w:cs="宋体"/>
                <w:color w:val="000000"/>
                <w:kern w:val="0"/>
                <w:highlight w:val="none"/>
              </w:rPr>
            </w:pPr>
          </w:p>
        </w:tc>
        <w:tc>
          <w:tcPr>
            <w:tcW w:w="1620" w:type="dxa"/>
            <w:gridSpan w:val="2"/>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高级职称人员</w:t>
            </w:r>
          </w:p>
        </w:tc>
        <w:tc>
          <w:tcPr>
            <w:tcW w:w="1697" w:type="dxa"/>
            <w:noWrap w:val="0"/>
            <w:vAlign w:val="center"/>
          </w:tcPr>
          <w:p>
            <w:pPr>
              <w:autoSpaceDE w:val="0"/>
              <w:autoSpaceDN w:val="0"/>
              <w:adjustRightInd w:val="0"/>
              <w:spacing w:line="360" w:lineRule="auto"/>
              <w:rPr>
                <w:rFonts w:ascii="宋体" w:hAnsi="宋体" w:cs="宋体"/>
                <w:b/>
                <w:bCs/>
                <w:color w:val="000000"/>
                <w:kern w:val="0"/>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97" w:type="dxa"/>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注册资金</w:t>
            </w:r>
          </w:p>
        </w:tc>
        <w:tc>
          <w:tcPr>
            <w:tcW w:w="3195" w:type="dxa"/>
            <w:gridSpan w:val="4"/>
            <w:tcBorders>
              <w:right w:val="single" w:color="auto" w:sz="4" w:space="0"/>
            </w:tcBorders>
            <w:noWrap w:val="0"/>
            <w:vAlign w:val="center"/>
          </w:tcPr>
          <w:p>
            <w:pPr>
              <w:autoSpaceDE w:val="0"/>
              <w:autoSpaceDN w:val="0"/>
              <w:adjustRightInd w:val="0"/>
              <w:spacing w:line="360" w:lineRule="auto"/>
              <w:rPr>
                <w:rFonts w:ascii="宋体" w:hAnsi="宋体" w:cs="宋体"/>
                <w:color w:val="000000"/>
                <w:kern w:val="0"/>
                <w:highlight w:val="none"/>
              </w:rPr>
            </w:pPr>
          </w:p>
        </w:tc>
        <w:tc>
          <w:tcPr>
            <w:tcW w:w="900" w:type="dxa"/>
            <w:gridSpan w:val="3"/>
            <w:vMerge w:val="continue"/>
            <w:tcBorders>
              <w:left w:val="single" w:color="auto" w:sz="4" w:space="0"/>
            </w:tcBorders>
            <w:noWrap w:val="0"/>
            <w:vAlign w:val="center"/>
          </w:tcPr>
          <w:p>
            <w:pPr>
              <w:autoSpaceDE w:val="0"/>
              <w:autoSpaceDN w:val="0"/>
              <w:adjustRightInd w:val="0"/>
              <w:spacing w:line="360" w:lineRule="auto"/>
              <w:rPr>
                <w:rFonts w:ascii="宋体" w:hAnsi="宋体" w:cs="宋体"/>
                <w:color w:val="000000"/>
                <w:kern w:val="0"/>
                <w:highlight w:val="none"/>
              </w:rPr>
            </w:pPr>
          </w:p>
        </w:tc>
        <w:tc>
          <w:tcPr>
            <w:tcW w:w="1620" w:type="dxa"/>
            <w:gridSpan w:val="2"/>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中级职称人员</w:t>
            </w:r>
          </w:p>
        </w:tc>
        <w:tc>
          <w:tcPr>
            <w:tcW w:w="1697" w:type="dxa"/>
            <w:noWrap w:val="0"/>
            <w:vAlign w:val="center"/>
          </w:tcPr>
          <w:p>
            <w:pPr>
              <w:autoSpaceDE w:val="0"/>
              <w:autoSpaceDN w:val="0"/>
              <w:adjustRightInd w:val="0"/>
              <w:spacing w:line="360" w:lineRule="auto"/>
              <w:rPr>
                <w:rFonts w:ascii="宋体" w:hAnsi="宋体" w:cs="宋体"/>
                <w:b/>
                <w:bCs/>
                <w:color w:val="000000"/>
                <w:kern w:val="0"/>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97" w:type="dxa"/>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开户银行</w:t>
            </w:r>
          </w:p>
        </w:tc>
        <w:tc>
          <w:tcPr>
            <w:tcW w:w="3195" w:type="dxa"/>
            <w:gridSpan w:val="4"/>
            <w:tcBorders>
              <w:right w:val="single" w:color="auto" w:sz="4" w:space="0"/>
            </w:tcBorders>
            <w:noWrap w:val="0"/>
            <w:vAlign w:val="center"/>
          </w:tcPr>
          <w:p>
            <w:pPr>
              <w:autoSpaceDE w:val="0"/>
              <w:autoSpaceDN w:val="0"/>
              <w:adjustRightInd w:val="0"/>
              <w:spacing w:line="360" w:lineRule="auto"/>
              <w:rPr>
                <w:rFonts w:ascii="宋体" w:hAnsi="宋体" w:cs="宋体"/>
                <w:color w:val="000000"/>
                <w:kern w:val="0"/>
                <w:highlight w:val="none"/>
              </w:rPr>
            </w:pPr>
          </w:p>
        </w:tc>
        <w:tc>
          <w:tcPr>
            <w:tcW w:w="900" w:type="dxa"/>
            <w:gridSpan w:val="3"/>
            <w:vMerge w:val="continue"/>
            <w:tcBorders>
              <w:left w:val="single" w:color="auto" w:sz="4" w:space="0"/>
            </w:tcBorders>
            <w:noWrap w:val="0"/>
            <w:vAlign w:val="center"/>
          </w:tcPr>
          <w:p>
            <w:pPr>
              <w:autoSpaceDE w:val="0"/>
              <w:autoSpaceDN w:val="0"/>
              <w:adjustRightInd w:val="0"/>
              <w:spacing w:line="360" w:lineRule="auto"/>
              <w:rPr>
                <w:rFonts w:ascii="宋体" w:hAnsi="宋体" w:cs="宋体"/>
                <w:color w:val="000000"/>
                <w:kern w:val="0"/>
                <w:highlight w:val="none"/>
              </w:rPr>
            </w:pPr>
          </w:p>
        </w:tc>
        <w:tc>
          <w:tcPr>
            <w:tcW w:w="1620" w:type="dxa"/>
            <w:gridSpan w:val="2"/>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初级职称人员</w:t>
            </w:r>
          </w:p>
        </w:tc>
        <w:tc>
          <w:tcPr>
            <w:tcW w:w="1697" w:type="dxa"/>
            <w:noWrap w:val="0"/>
            <w:vAlign w:val="center"/>
          </w:tcPr>
          <w:p>
            <w:pPr>
              <w:autoSpaceDE w:val="0"/>
              <w:autoSpaceDN w:val="0"/>
              <w:adjustRightInd w:val="0"/>
              <w:spacing w:line="360" w:lineRule="auto"/>
              <w:rPr>
                <w:rFonts w:ascii="宋体" w:hAnsi="宋体" w:cs="宋体"/>
                <w:b/>
                <w:bCs/>
                <w:color w:val="000000"/>
                <w:kern w:val="0"/>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97" w:type="dxa"/>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账号</w:t>
            </w:r>
          </w:p>
        </w:tc>
        <w:tc>
          <w:tcPr>
            <w:tcW w:w="3195" w:type="dxa"/>
            <w:gridSpan w:val="4"/>
            <w:tcBorders>
              <w:right w:val="single" w:color="auto" w:sz="4" w:space="0"/>
            </w:tcBorders>
            <w:noWrap w:val="0"/>
            <w:vAlign w:val="center"/>
          </w:tcPr>
          <w:p>
            <w:pPr>
              <w:autoSpaceDE w:val="0"/>
              <w:autoSpaceDN w:val="0"/>
              <w:adjustRightInd w:val="0"/>
              <w:spacing w:line="360" w:lineRule="auto"/>
              <w:rPr>
                <w:rFonts w:ascii="宋体" w:hAnsi="宋体" w:cs="宋体"/>
                <w:color w:val="000000"/>
                <w:kern w:val="0"/>
                <w:highlight w:val="none"/>
              </w:rPr>
            </w:pPr>
          </w:p>
        </w:tc>
        <w:tc>
          <w:tcPr>
            <w:tcW w:w="900" w:type="dxa"/>
            <w:gridSpan w:val="3"/>
            <w:vMerge w:val="continue"/>
            <w:tcBorders>
              <w:left w:val="single" w:color="auto" w:sz="4" w:space="0"/>
            </w:tcBorders>
            <w:noWrap w:val="0"/>
            <w:vAlign w:val="center"/>
          </w:tcPr>
          <w:p>
            <w:pPr>
              <w:autoSpaceDE w:val="0"/>
              <w:autoSpaceDN w:val="0"/>
              <w:adjustRightInd w:val="0"/>
              <w:spacing w:line="360" w:lineRule="auto"/>
              <w:rPr>
                <w:rFonts w:ascii="宋体" w:hAnsi="宋体" w:cs="宋体"/>
                <w:color w:val="000000"/>
                <w:kern w:val="0"/>
                <w:highlight w:val="none"/>
              </w:rPr>
            </w:pPr>
          </w:p>
        </w:tc>
        <w:tc>
          <w:tcPr>
            <w:tcW w:w="1620" w:type="dxa"/>
            <w:gridSpan w:val="2"/>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普通职工</w:t>
            </w:r>
          </w:p>
        </w:tc>
        <w:tc>
          <w:tcPr>
            <w:tcW w:w="1697" w:type="dxa"/>
            <w:noWrap w:val="0"/>
            <w:vAlign w:val="center"/>
          </w:tcPr>
          <w:p>
            <w:pPr>
              <w:autoSpaceDE w:val="0"/>
              <w:autoSpaceDN w:val="0"/>
              <w:adjustRightInd w:val="0"/>
              <w:spacing w:line="360" w:lineRule="auto"/>
              <w:rPr>
                <w:rFonts w:ascii="宋体" w:hAnsi="宋体" w:cs="宋体"/>
                <w:b/>
                <w:bCs/>
                <w:color w:val="000000"/>
                <w:kern w:val="0"/>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jc w:val="center"/>
        </w:trPr>
        <w:tc>
          <w:tcPr>
            <w:tcW w:w="1597" w:type="dxa"/>
            <w:noWrap w:val="0"/>
            <w:vAlign w:val="center"/>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经营范围</w:t>
            </w:r>
          </w:p>
        </w:tc>
        <w:tc>
          <w:tcPr>
            <w:tcW w:w="7412" w:type="dxa"/>
            <w:gridSpan w:val="10"/>
            <w:noWrap w:val="0"/>
            <w:vAlign w:val="center"/>
          </w:tcPr>
          <w:p>
            <w:pPr>
              <w:autoSpaceDE w:val="0"/>
              <w:autoSpaceDN w:val="0"/>
              <w:adjustRightInd w:val="0"/>
              <w:spacing w:line="360" w:lineRule="auto"/>
              <w:rPr>
                <w:rFonts w:ascii="宋体" w:hAnsi="宋体" w:cs="宋体"/>
                <w:b/>
                <w:bCs/>
                <w:color w:val="000000"/>
                <w:kern w:val="0"/>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597" w:type="dxa"/>
            <w:noWrap w:val="0"/>
            <w:vAlign w:val="top"/>
          </w:tcPr>
          <w:p>
            <w:pPr>
              <w:autoSpaceDE w:val="0"/>
              <w:autoSpaceDN w:val="0"/>
              <w:adjustRightInd w:val="0"/>
              <w:spacing w:line="360" w:lineRule="auto"/>
              <w:rPr>
                <w:rFonts w:ascii="宋体" w:hAnsi="宋体" w:cs="宋体"/>
                <w:color w:val="000000"/>
                <w:kern w:val="0"/>
                <w:highlight w:val="none"/>
              </w:rPr>
            </w:pPr>
            <w:r>
              <w:rPr>
                <w:rFonts w:hint="eastAsia" w:ascii="宋体" w:hAnsi="宋体" w:cs="宋体"/>
                <w:color w:val="000000"/>
                <w:kern w:val="0"/>
                <w:highlight w:val="none"/>
              </w:rPr>
              <w:t>备注</w:t>
            </w:r>
          </w:p>
        </w:tc>
        <w:tc>
          <w:tcPr>
            <w:tcW w:w="7412" w:type="dxa"/>
            <w:gridSpan w:val="10"/>
            <w:noWrap w:val="0"/>
            <w:vAlign w:val="top"/>
          </w:tcPr>
          <w:p>
            <w:pPr>
              <w:autoSpaceDE w:val="0"/>
              <w:autoSpaceDN w:val="0"/>
              <w:adjustRightInd w:val="0"/>
              <w:spacing w:line="360" w:lineRule="auto"/>
              <w:rPr>
                <w:rFonts w:ascii="宋体" w:hAnsi="宋体" w:cs="宋体"/>
                <w:color w:val="000000"/>
                <w:kern w:val="0"/>
                <w:highlight w:val="none"/>
              </w:rPr>
            </w:pPr>
          </w:p>
        </w:tc>
      </w:tr>
    </w:tbl>
    <w:p>
      <w:pPr>
        <w:adjustRightInd w:val="0"/>
        <w:snapToGrid w:val="0"/>
        <w:spacing w:before="120" w:beforeLines="50" w:after="120" w:afterLines="50"/>
        <w:ind w:firstLine="3840" w:firstLineChars="1600"/>
        <w:rPr>
          <w:rFonts w:ascii="宋体" w:hAnsi="宋体" w:cs="宋体"/>
          <w:color w:val="000000"/>
          <w:sz w:val="24"/>
          <w:highlight w:val="none"/>
        </w:rPr>
      </w:pPr>
    </w:p>
    <w:p>
      <w:pPr>
        <w:adjustRightInd w:val="0"/>
        <w:snapToGrid w:val="0"/>
        <w:spacing w:before="120" w:beforeLines="50" w:after="120" w:afterLines="50"/>
        <w:ind w:firstLine="3840" w:firstLineChars="1600"/>
        <w:rPr>
          <w:rFonts w:ascii="宋体" w:hAnsi="宋体" w:cs="宋体"/>
          <w:color w:val="000000"/>
          <w:sz w:val="24"/>
          <w:highlight w:val="none"/>
        </w:rPr>
      </w:pPr>
      <w:r>
        <w:rPr>
          <w:rFonts w:hint="eastAsia" w:ascii="宋体" w:hAnsi="宋体" w:cs="宋体"/>
          <w:color w:val="000000"/>
          <w:sz w:val="24"/>
          <w:highlight w:val="none"/>
        </w:rPr>
        <w:t>供应商：</w:t>
      </w:r>
      <w:r>
        <w:rPr>
          <w:rFonts w:hint="eastAsia" w:ascii="宋体" w:hAnsi="宋体" w:cs="宋体"/>
          <w:iCs/>
          <w:color w:val="000000"/>
          <w:sz w:val="24"/>
          <w:highlight w:val="none"/>
        </w:rPr>
        <w:t>（填写名称并盖章）</w:t>
      </w:r>
    </w:p>
    <w:p>
      <w:pPr>
        <w:adjustRightInd w:val="0"/>
        <w:snapToGrid w:val="0"/>
        <w:spacing w:before="120" w:beforeLines="50"/>
        <w:ind w:firstLine="3840" w:firstLineChars="1600"/>
        <w:rPr>
          <w:rFonts w:ascii="宋体" w:hAnsi="宋体" w:cs="宋体"/>
          <w:iCs/>
          <w:color w:val="000000"/>
          <w:sz w:val="24"/>
          <w:highlight w:val="none"/>
        </w:rPr>
      </w:pPr>
      <w:r>
        <w:rPr>
          <w:rFonts w:hint="eastAsia" w:ascii="宋体" w:hAnsi="宋体" w:cs="宋体"/>
          <w:color w:val="000000"/>
          <w:sz w:val="24"/>
          <w:highlight w:val="none"/>
        </w:rPr>
        <w:t>法人及授权代表：</w:t>
      </w:r>
      <w:r>
        <w:rPr>
          <w:rFonts w:hint="eastAsia" w:ascii="宋体" w:hAnsi="宋体" w:cs="宋体"/>
          <w:iCs/>
          <w:color w:val="000000"/>
          <w:sz w:val="24"/>
          <w:highlight w:val="none"/>
        </w:rPr>
        <w:t>（签字或盖章）</w:t>
      </w:r>
    </w:p>
    <w:p>
      <w:pPr>
        <w:adjustRightInd w:val="0"/>
        <w:snapToGrid w:val="0"/>
        <w:spacing w:before="120" w:beforeLines="50"/>
        <w:ind w:firstLine="3840" w:firstLineChars="1600"/>
        <w:rPr>
          <w:rFonts w:ascii="宋体" w:hAnsi="宋体" w:cs="宋体"/>
          <w:iCs/>
          <w:color w:val="000000"/>
          <w:sz w:val="24"/>
          <w:highlight w:val="none"/>
        </w:rPr>
      </w:pPr>
      <w:r>
        <w:rPr>
          <w:rFonts w:hint="eastAsia" w:ascii="宋体" w:hAnsi="宋体" w:cs="宋体"/>
          <w:iCs/>
          <w:color w:val="000000"/>
          <w:sz w:val="24"/>
          <w:highlight w:val="none"/>
        </w:rPr>
        <w:t>日期：</w:t>
      </w:r>
    </w:p>
    <w:p>
      <w:pPr>
        <w:widowControl/>
        <w:jc w:val="left"/>
        <w:rPr>
          <w:rFonts w:ascii="宋体" w:hAnsi="宋体" w:cs="宋体"/>
          <w:color w:val="000000"/>
          <w:kern w:val="0"/>
          <w:sz w:val="24"/>
          <w:highlight w:val="none"/>
        </w:rPr>
      </w:pPr>
    </w:p>
    <w:p>
      <w:pPr>
        <w:widowControl/>
        <w:jc w:val="left"/>
        <w:rPr>
          <w:rFonts w:ascii="宋体" w:hAnsi="宋体" w:cs="宋体"/>
          <w:color w:val="000000"/>
          <w:kern w:val="0"/>
          <w:sz w:val="24"/>
          <w:highlight w:val="none"/>
        </w:rPr>
      </w:pPr>
    </w:p>
    <w:p>
      <w:pPr>
        <w:pStyle w:val="2"/>
        <w:keepNext w:val="0"/>
        <w:keepLines w:val="0"/>
        <w:numPr>
          <w:ilvl w:val="1"/>
          <w:numId w:val="10"/>
        </w:numPr>
        <w:tabs>
          <w:tab w:val="left" w:pos="360"/>
          <w:tab w:val="left" w:pos="540"/>
          <w:tab w:val="clear" w:pos="780"/>
        </w:tabs>
        <w:spacing w:before="120" w:beforeLines="50" w:beforeAutospacing="0" w:after="120" w:afterLines="50" w:afterAutospacing="0"/>
        <w:ind w:left="220" w:leftChars="0" w:firstLine="0" w:firstLineChars="0"/>
        <w:rPr>
          <w:color w:val="000000"/>
          <w:highlight w:val="none"/>
        </w:rPr>
      </w:pPr>
      <w:r>
        <w:rPr>
          <w:rFonts w:hint="eastAsia" w:ascii="宋体" w:hAnsi="宋体" w:eastAsia="宋体" w:cs="宋体"/>
          <w:color w:val="000000"/>
          <w:sz w:val="24"/>
          <w:highlight w:val="none"/>
        </w:rPr>
        <w:br w:type="page"/>
      </w:r>
      <w:bookmarkStart w:id="2069" w:name="_Toc12697"/>
      <w:bookmarkStart w:id="2070" w:name="_Toc769"/>
      <w:bookmarkStart w:id="2071" w:name="_Toc20019"/>
      <w:bookmarkStart w:id="2072" w:name="_Toc28361"/>
      <w:bookmarkStart w:id="2073" w:name="_Toc24966"/>
      <w:r>
        <w:rPr>
          <w:rFonts w:hint="eastAsia" w:ascii="宋体" w:hAnsi="宋体" w:eastAsia="宋体" w:cs="宋体"/>
          <w:color w:val="000000"/>
          <w:sz w:val="32"/>
          <w:highlight w:val="none"/>
        </w:rPr>
        <w:t>资格证明文件</w:t>
      </w:r>
      <w:bookmarkEnd w:id="2069"/>
      <w:bookmarkEnd w:id="2070"/>
      <w:bookmarkEnd w:id="2071"/>
      <w:bookmarkEnd w:id="2072"/>
      <w:bookmarkEnd w:id="2073"/>
    </w:p>
    <w:p>
      <w:pPr>
        <w:spacing w:after="0" w:line="360" w:lineRule="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1、（1）供应商为法人，应提交营业执照或法人登记书或批准文件复印件加盖公章；（2）供应商为非法人组织的，应提交依法登记证书复印件加盖公章；（3）供应商为个体工商户的，应提交个体工商户营业执照复印件加盖公章；（4）供应商为自然人的，应提交自然人的身份证明；</w:t>
      </w:r>
    </w:p>
    <w:p>
      <w:pPr>
        <w:spacing w:after="0" w:line="360" w:lineRule="auto"/>
        <w:rPr>
          <w:rFonts w:hint="eastAsia" w:ascii="宋体" w:hAnsi="宋体" w:eastAsia="宋体" w:cs="宋体"/>
          <w:color w:val="auto"/>
          <w:sz w:val="24"/>
        </w:rPr>
      </w:pPr>
      <w:r>
        <w:rPr>
          <w:rFonts w:hint="eastAsia" w:ascii="宋体" w:hAnsi="宋体" w:eastAsia="宋体" w:cs="宋体"/>
          <w:color w:val="auto"/>
          <w:sz w:val="24"/>
          <w:lang w:val="en-US" w:eastAsia="zh-CN"/>
        </w:rPr>
        <w:t>2、需提供资格承诺函或2020年度经审计的财务报告或2021年至今任意一个月的财务报表（含资产负债表、损益表（非盈利性单位可不提供）、现金流量表）并加盖公章；</w:t>
      </w:r>
    </w:p>
    <w:p>
      <w:pPr>
        <w:spacing w:after="0" w:line="360" w:lineRule="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3、需提供资格承诺函或2021年至今任意一个月的社会保障缴费记录复印件加盖公章；</w:t>
      </w:r>
    </w:p>
    <w:p>
      <w:pPr>
        <w:spacing w:after="0" w:line="360" w:lineRule="auto"/>
        <w:rPr>
          <w:rFonts w:hint="eastAsia" w:ascii="宋体" w:hAnsi="宋体" w:eastAsia="宋体" w:cs="宋体"/>
          <w:color w:val="auto"/>
          <w:sz w:val="24"/>
        </w:rPr>
      </w:pPr>
      <w:r>
        <w:rPr>
          <w:rFonts w:hint="eastAsia" w:ascii="宋体" w:hAnsi="宋体" w:eastAsia="宋体" w:cs="宋体"/>
          <w:color w:val="auto"/>
          <w:sz w:val="24"/>
        </w:rPr>
        <w:t>4</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需提供资格承诺函或2021年至今任意一个月的纳税记录复印件加盖公章。（零纳税须提供税务部门盖章的纳税申报表。）；</w:t>
      </w:r>
    </w:p>
    <w:p>
      <w:pPr>
        <w:spacing w:after="0" w:line="360" w:lineRule="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5</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具有履行合同所必需的设备和专业技术能力（提供承诺书加盖公章）；</w:t>
      </w:r>
    </w:p>
    <w:p>
      <w:pPr>
        <w:spacing w:after="0" w:line="360" w:lineRule="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6、</w:t>
      </w:r>
      <w:r>
        <w:rPr>
          <w:rFonts w:hint="eastAsia" w:ascii="宋体" w:hAnsi="宋体" w:cs="宋体"/>
          <w:color w:val="auto"/>
          <w:sz w:val="24"/>
          <w:highlight w:val="none"/>
          <w:lang w:val="en-US" w:eastAsia="zh-CN"/>
        </w:rPr>
        <w:t>采购人或采购代理机构将在响应文件递交截止后查询供应商的信用记录，供应商存在不良信用记录的，其文件将被作为无效响应被否决。不良信用记录指：供应商在“信用中国”网站（www.creditchina.gov.cn）被列入失信被执行人、重大税收违法案件当事人名单、政府采购严重违法失信名单或在中国政府采购网（www.ccgp.gov.cn）被列入政府采购严重违法失信行为记录名单（需提供承诺书，并由采购人和代理机构于开标现场实时查询核实）</w:t>
      </w:r>
      <w:r>
        <w:rPr>
          <w:rFonts w:hint="eastAsia" w:ascii="宋体" w:hAnsi="宋体" w:cs="宋体"/>
          <w:color w:val="auto"/>
          <w:sz w:val="24"/>
        </w:rPr>
        <w:t>；</w:t>
      </w:r>
    </w:p>
    <w:p>
      <w:pPr>
        <w:spacing w:after="0" w:line="360" w:lineRule="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7、参加政府采购活动前三年内，在经营活动中没有重大违法记录（成立不足三年的从成立之日起计算）（提供无重大违法记录声明函加盖公章）；</w:t>
      </w:r>
    </w:p>
    <w:p>
      <w:pPr>
        <w:spacing w:after="0" w:line="360" w:lineRule="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8、具备建筑</w:t>
      </w:r>
      <w:r>
        <w:rPr>
          <w:rFonts w:hint="eastAsia" w:cs="宋体"/>
          <w:color w:val="auto"/>
          <w:sz w:val="24"/>
          <w:lang w:val="en-US" w:eastAsia="zh-CN"/>
        </w:rPr>
        <w:t>装修装饰</w:t>
      </w:r>
      <w:r>
        <w:rPr>
          <w:rFonts w:hint="eastAsia" w:ascii="宋体" w:hAnsi="宋体" w:eastAsia="宋体" w:cs="宋体"/>
          <w:color w:val="auto"/>
          <w:sz w:val="24"/>
          <w:lang w:val="en-US" w:eastAsia="zh-CN"/>
        </w:rPr>
        <w:t>工程专业承包</w:t>
      </w:r>
      <w:r>
        <w:rPr>
          <w:rFonts w:hint="eastAsia" w:cs="宋体"/>
          <w:color w:val="auto"/>
          <w:sz w:val="24"/>
          <w:lang w:val="en-US" w:eastAsia="zh-CN"/>
        </w:rPr>
        <w:t>二</w:t>
      </w:r>
      <w:r>
        <w:rPr>
          <w:rFonts w:hint="eastAsia" w:ascii="宋体" w:hAnsi="宋体" w:eastAsia="宋体" w:cs="宋体"/>
          <w:color w:val="auto"/>
          <w:sz w:val="24"/>
          <w:lang w:val="en-US" w:eastAsia="zh-CN"/>
        </w:rPr>
        <w:t>级（含）以上资质和有效的安全生产许可证，并在人员、设备、资金等方面具有相应的施工能力；</w:t>
      </w:r>
    </w:p>
    <w:p>
      <w:pPr>
        <w:spacing w:after="0" w:line="360" w:lineRule="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9、拟派项目负责人（项目经理）具备建筑工程专业二级（含）以上注册建造师执业资格，并注册在本单位同时未担任其他在施建设工程项目的项目经理（以全国建筑市场监管公共服务平台查询为准）；</w:t>
      </w:r>
    </w:p>
    <w:p>
      <w:pPr>
        <w:spacing w:after="0" w:line="360" w:lineRule="auto"/>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10、其他（投标人认为需要提供的其它资格证明文件）。</w:t>
      </w:r>
    </w:p>
    <w:p>
      <w:pPr>
        <w:spacing w:line="360" w:lineRule="auto"/>
        <w:rPr>
          <w:color w:val="000000"/>
          <w:sz w:val="28"/>
          <w:szCs w:val="28"/>
          <w:highlight w:val="none"/>
        </w:rPr>
      </w:pPr>
    </w:p>
    <w:p>
      <w:pPr>
        <w:spacing w:line="360" w:lineRule="auto"/>
        <w:rPr>
          <w:color w:val="000000"/>
          <w:sz w:val="28"/>
          <w:szCs w:val="28"/>
          <w:highlight w:val="none"/>
        </w:rPr>
      </w:pPr>
    </w:p>
    <w:p>
      <w:pPr>
        <w:rPr>
          <w:b/>
          <w:sz w:val="30"/>
          <w:highlight w:val="none"/>
        </w:rPr>
      </w:pPr>
      <w:r>
        <w:rPr>
          <w:b/>
          <w:sz w:val="30"/>
          <w:highlight w:val="none"/>
        </w:rPr>
        <w:br w:type="page"/>
      </w:r>
    </w:p>
    <w:p>
      <w:pPr>
        <w:spacing w:before="44"/>
        <w:ind w:right="0"/>
        <w:jc w:val="left"/>
        <w:rPr>
          <w:rFonts w:hint="default"/>
          <w:b/>
          <w:color w:val="auto"/>
          <w:sz w:val="30"/>
        </w:rPr>
      </w:pPr>
      <w:r>
        <w:rPr>
          <w:rFonts w:hint="default"/>
          <w:b/>
          <w:color w:val="auto"/>
          <w:sz w:val="30"/>
          <w:lang w:val="en-US" w:eastAsia="zh-CN"/>
        </w:rPr>
        <w:t>附件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240" w:lineRule="auto"/>
        <w:ind w:left="0" w:leftChars="0" w:right="0" w:rightChars="0" w:firstLine="0"/>
        <w:jc w:val="center"/>
        <w:textAlignment w:val="auto"/>
        <w:rPr>
          <w:rFonts w:hint="default" w:ascii="Times New Roman" w:hAnsi="Times New Roman" w:eastAsia="仿宋" w:cs="Times New Roman"/>
          <w:color w:val="auto"/>
          <w:sz w:val="32"/>
          <w:szCs w:val="32"/>
        </w:rPr>
      </w:pPr>
      <w:r>
        <w:rPr>
          <w:rFonts w:hint="eastAsia" w:ascii="宋体" w:hAnsi="宋体" w:eastAsia="宋体" w:cs="宋体"/>
          <w:b/>
          <w:bCs/>
          <w:i w:val="0"/>
          <w:caps w:val="0"/>
          <w:color w:val="auto"/>
          <w:spacing w:val="0"/>
          <w:kern w:val="0"/>
          <w:sz w:val="40"/>
          <w:szCs w:val="40"/>
          <w:lang w:val="en-US" w:eastAsia="zh-CN" w:bidi="ar"/>
        </w:rPr>
        <w:t>资格承诺函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0"/>
        <w:jc w:val="left"/>
        <w:textAlignment w:val="auto"/>
        <w:outlineLvl w:val="9"/>
        <w:rPr>
          <w:rFonts w:hint="default" w:ascii="Times New Roman" w:hAnsi="Times New Roman" w:eastAsia="仿宋" w:cs="Times New Roman"/>
          <w:i w:val="0"/>
          <w:iCs w:val="0"/>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致：</w:t>
      </w:r>
      <w:r>
        <w:rPr>
          <w:rFonts w:hint="default" w:ascii="Times New Roman" w:hAnsi="Times New Roman" w:eastAsia="仿宋" w:cs="Times New Roman"/>
          <w:i w:val="0"/>
          <w:iCs w:val="0"/>
          <w:caps w:val="0"/>
          <w:color w:val="auto"/>
          <w:spacing w:val="0"/>
          <w:kern w:val="0"/>
          <w:sz w:val="28"/>
          <w:szCs w:val="28"/>
          <w:u w:val="single"/>
          <w:lang w:val="en-US" w:eastAsia="zh-CN" w:bidi="ar"/>
        </w:rPr>
        <w:t>    （采购人、采购代理机构）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640"/>
        <w:jc w:val="left"/>
        <w:textAlignment w:val="auto"/>
        <w:outlineLvl w:val="9"/>
        <w:rPr>
          <w:rFonts w:hint="default" w:ascii="Times New Roman" w:hAnsi="Times New Roman" w:eastAsia="仿宋" w:cs="Times New Roman"/>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我单位参与</w:t>
      </w:r>
      <w:r>
        <w:rPr>
          <w:rFonts w:hint="default" w:ascii="Times New Roman" w:hAnsi="Times New Roman" w:eastAsia="仿宋" w:cs="Times New Roman"/>
          <w:i w:val="0"/>
          <w:caps w:val="0"/>
          <w:color w:val="auto"/>
          <w:spacing w:val="0"/>
          <w:kern w:val="0"/>
          <w:sz w:val="28"/>
          <w:szCs w:val="28"/>
          <w:u w:val="single"/>
          <w:lang w:val="en-US" w:eastAsia="zh-CN" w:bidi="ar"/>
        </w:rPr>
        <w:t>  </w:t>
      </w:r>
      <w:r>
        <w:rPr>
          <w:rFonts w:hint="default" w:ascii="Times New Roman" w:hAnsi="Times New Roman" w:eastAsia="仿宋" w:cs="Times New Roman"/>
          <w:i w:val="0"/>
          <w:iCs w:val="0"/>
          <w:caps w:val="0"/>
          <w:color w:val="auto"/>
          <w:spacing w:val="0"/>
          <w:kern w:val="0"/>
          <w:sz w:val="28"/>
          <w:szCs w:val="28"/>
          <w:u w:val="single"/>
          <w:lang w:val="en-US" w:eastAsia="zh-CN" w:bidi="ar"/>
        </w:rPr>
        <w:t>（项目名称）</w:t>
      </w:r>
      <w:r>
        <w:rPr>
          <w:rFonts w:hint="default" w:ascii="Times New Roman" w:hAnsi="Times New Roman" w:eastAsia="仿宋" w:cs="Times New Roman"/>
          <w:i w:val="0"/>
          <w:caps w:val="0"/>
          <w:color w:val="auto"/>
          <w:spacing w:val="0"/>
          <w:kern w:val="0"/>
          <w:sz w:val="28"/>
          <w:szCs w:val="28"/>
          <w:u w:val="single"/>
          <w:lang w:val="en-US" w:eastAsia="zh-CN" w:bidi="ar"/>
        </w:rPr>
        <w:t>  （项目编号：    ）</w:t>
      </w:r>
      <w:r>
        <w:rPr>
          <w:rFonts w:hint="default" w:ascii="Times New Roman" w:hAnsi="Times New Roman" w:eastAsia="仿宋" w:cs="Times New Roman"/>
          <w:i w:val="0"/>
          <w:caps w:val="0"/>
          <w:color w:val="auto"/>
          <w:spacing w:val="0"/>
          <w:kern w:val="0"/>
          <w:sz w:val="28"/>
          <w:szCs w:val="28"/>
          <w:lang w:val="en-US" w:eastAsia="zh-CN" w:bidi="ar"/>
        </w:rPr>
        <w:t>项目的政府采购活动，现承诺如下：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640"/>
        <w:jc w:val="left"/>
        <w:textAlignment w:val="auto"/>
        <w:outlineLvl w:val="9"/>
        <w:rPr>
          <w:rFonts w:hint="default" w:ascii="Times New Roman" w:hAnsi="Times New Roman" w:eastAsia="仿宋" w:cs="Times New Roman"/>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1.我单位具有符合采购文件资格要求的财务状况报告。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640"/>
        <w:jc w:val="left"/>
        <w:textAlignment w:val="auto"/>
        <w:outlineLvl w:val="9"/>
        <w:rPr>
          <w:rFonts w:hint="default" w:ascii="Times New Roman" w:hAnsi="Times New Roman" w:eastAsia="仿宋" w:cs="Times New Roman"/>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2.我单位具有符合采购文件资格要求的依法缴纳税收的相关证明材料。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640"/>
        <w:jc w:val="left"/>
        <w:textAlignment w:val="auto"/>
        <w:outlineLvl w:val="9"/>
        <w:rPr>
          <w:rFonts w:hint="default" w:ascii="Times New Roman" w:hAnsi="Times New Roman" w:eastAsia="仿宋" w:cs="Times New Roman"/>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3.我单位具有符合采购文件资格要求的依法缴纳社会保障资金的相关证明材料。</w:t>
      </w:r>
    </w:p>
    <w:p>
      <w:pPr>
        <w:keepNext w:val="0"/>
        <w:keepLines w:val="0"/>
        <w:pageBreakBefore w:val="0"/>
        <w:kinsoku/>
        <w:wordWrap/>
        <w:overflowPunct/>
        <w:topLinePunct w:val="0"/>
        <w:autoSpaceDE/>
        <w:autoSpaceDN/>
        <w:bidi w:val="0"/>
        <w:adjustRightInd/>
        <w:snapToGrid/>
        <w:spacing w:line="500" w:lineRule="exact"/>
        <w:ind w:left="0" w:leftChars="0" w:right="0" w:rightChars="0"/>
        <w:textAlignment w:val="auto"/>
        <w:outlineLvl w:val="9"/>
        <w:rPr>
          <w:rFonts w:hint="default"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rPr>
        <w:t>4.如违反上述承诺，同意将相关失信行为纳入三亚市信用信息共享平台。</w:t>
      </w:r>
    </w:p>
    <w:p>
      <w:pPr>
        <w:keepNext w:val="0"/>
        <w:keepLines w:val="0"/>
        <w:pageBreakBefore w:val="0"/>
        <w:kinsoku/>
        <w:wordWrap/>
        <w:overflowPunct/>
        <w:topLinePunct w:val="0"/>
        <w:autoSpaceDE/>
        <w:autoSpaceDN/>
        <w:bidi w:val="0"/>
        <w:adjustRightInd/>
        <w:snapToGrid/>
        <w:spacing w:line="500" w:lineRule="exact"/>
        <w:ind w:left="0" w:leftChars="0" w:right="0" w:rightChars="0"/>
        <w:textAlignment w:val="auto"/>
        <w:outlineLvl w:val="9"/>
        <w:rPr>
          <w:rFonts w:hint="default"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rPr>
        <w:t>5.同意此承诺书在“信用中国（三亚）”网站公示，接受社会各界监督。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640"/>
        <w:jc w:val="left"/>
        <w:textAlignment w:val="auto"/>
        <w:outlineLvl w:val="9"/>
        <w:rPr>
          <w:rFonts w:hint="default" w:ascii="Times New Roman" w:hAnsi="Times New Roman" w:eastAsia="仿宋" w:cs="Times New Roman"/>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若我单位承诺不实，自愿承担提供虚假材料谋取中标、成交的法律责任。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640"/>
        <w:jc w:val="left"/>
        <w:textAlignment w:val="auto"/>
        <w:outlineLvl w:val="9"/>
        <w:rPr>
          <w:rFonts w:hint="default" w:ascii="Times New Roman" w:hAnsi="Times New Roman" w:eastAsia="仿宋" w:cs="Times New Roman"/>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640"/>
        <w:jc w:val="left"/>
        <w:textAlignment w:val="auto"/>
        <w:outlineLvl w:val="9"/>
        <w:rPr>
          <w:rFonts w:hint="default" w:ascii="Times New Roman" w:hAnsi="Times New Roman" w:eastAsia="仿宋" w:cs="Times New Roman"/>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承诺供应商（全称并加盖公章）：</w:t>
      </w:r>
      <w:r>
        <w:rPr>
          <w:rFonts w:hint="default" w:ascii="Times New Roman" w:hAnsi="Times New Roman" w:eastAsia="仿宋" w:cs="Times New Roman"/>
          <w:i w:val="0"/>
          <w:caps w:val="0"/>
          <w:color w:val="auto"/>
          <w:spacing w:val="0"/>
          <w:kern w:val="0"/>
          <w:sz w:val="28"/>
          <w:szCs w:val="28"/>
          <w:u w:val="single"/>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640"/>
        <w:jc w:val="left"/>
        <w:textAlignment w:val="auto"/>
        <w:outlineLvl w:val="9"/>
        <w:rPr>
          <w:rFonts w:hint="default" w:ascii="Times New Roman" w:hAnsi="Times New Roman" w:eastAsia="仿宋" w:cs="Times New Roman"/>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单位负责人或授权代表（签字）：</w:t>
      </w:r>
      <w:r>
        <w:rPr>
          <w:rFonts w:hint="default" w:ascii="Times New Roman" w:hAnsi="Times New Roman" w:eastAsia="仿宋" w:cs="Times New Roman"/>
          <w:i w:val="0"/>
          <w:caps w:val="0"/>
          <w:color w:val="auto"/>
          <w:spacing w:val="0"/>
          <w:kern w:val="0"/>
          <w:sz w:val="28"/>
          <w:szCs w:val="28"/>
          <w:u w:val="single"/>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640"/>
        <w:jc w:val="left"/>
        <w:textAlignment w:val="auto"/>
        <w:outlineLvl w:val="9"/>
        <w:rPr>
          <w:rFonts w:hint="default" w:ascii="Times New Roman" w:hAnsi="Times New Roman" w:eastAsia="仿宋" w:cs="Times New Roman"/>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日期：</w:t>
      </w:r>
      <w:r>
        <w:rPr>
          <w:rFonts w:hint="default" w:ascii="Times New Roman" w:hAnsi="Times New Roman" w:eastAsia="仿宋" w:cs="Times New Roman"/>
          <w:i w:val="0"/>
          <w:caps w:val="0"/>
          <w:color w:val="auto"/>
          <w:spacing w:val="0"/>
          <w:kern w:val="0"/>
          <w:sz w:val="28"/>
          <w:szCs w:val="28"/>
          <w:u w:val="single"/>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0"/>
        <w:jc w:val="left"/>
        <w:textAlignment w:val="auto"/>
        <w:outlineLvl w:val="9"/>
        <w:rPr>
          <w:rFonts w:hint="default" w:ascii="Times New Roman" w:hAnsi="Times New Roman" w:eastAsia="仿宋" w:cs="Times New Roman"/>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0"/>
        <w:jc w:val="left"/>
        <w:textAlignment w:val="auto"/>
        <w:outlineLvl w:val="9"/>
        <w:rPr>
          <w:rFonts w:hint="default" w:ascii="Times New Roman" w:hAnsi="Times New Roman" w:eastAsia="仿宋" w:cs="Times New Roman"/>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说明：1.供应商可自行选择是否提供本承诺函，若不提供本承诺函的，应按采购文件要求提供相应的证明材料。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00" w:lineRule="exact"/>
        <w:ind w:left="0" w:leftChars="0" w:right="0" w:rightChars="0" w:firstLine="0"/>
        <w:jc w:val="left"/>
        <w:textAlignment w:val="auto"/>
        <w:outlineLvl w:val="9"/>
        <w:rPr>
          <w:rFonts w:hint="default" w:ascii="Times New Roman" w:hAnsi="Times New Roman" w:eastAsia="仿宋" w:cs="Times New Roman"/>
          <w:color w:val="auto"/>
          <w:sz w:val="28"/>
          <w:szCs w:val="28"/>
        </w:rPr>
      </w:pPr>
      <w:r>
        <w:rPr>
          <w:rFonts w:hint="default" w:ascii="Times New Roman" w:hAnsi="Times New Roman" w:eastAsia="仿宋" w:cs="Times New Roman"/>
          <w:i w:val="0"/>
          <w:caps w:val="0"/>
          <w:color w:val="auto"/>
          <w:spacing w:val="0"/>
          <w:kern w:val="0"/>
          <w:sz w:val="28"/>
          <w:szCs w:val="28"/>
          <w:lang w:val="en-US" w:eastAsia="zh-CN" w:bidi="ar"/>
        </w:rPr>
        <w:t>2.供应商可删减</w:t>
      </w:r>
      <w:r>
        <w:rPr>
          <w:rFonts w:hint="eastAsia" w:ascii="Times New Roman" w:hAnsi="Times New Roman" w:eastAsia="仿宋" w:cs="Times New Roman"/>
          <w:i w:val="0"/>
          <w:caps w:val="0"/>
          <w:color w:val="auto"/>
          <w:spacing w:val="0"/>
          <w:kern w:val="0"/>
          <w:sz w:val="28"/>
          <w:szCs w:val="28"/>
          <w:lang w:val="en-US" w:eastAsia="zh-CN" w:bidi="ar"/>
        </w:rPr>
        <w:t>1-3</w:t>
      </w:r>
      <w:r>
        <w:rPr>
          <w:rFonts w:hint="default" w:ascii="Times New Roman" w:hAnsi="Times New Roman" w:eastAsia="仿宋" w:cs="Times New Roman"/>
          <w:i w:val="0"/>
          <w:caps w:val="0"/>
          <w:color w:val="auto"/>
          <w:spacing w:val="0"/>
          <w:kern w:val="0"/>
          <w:sz w:val="28"/>
          <w:szCs w:val="28"/>
          <w:lang w:val="en-US" w:eastAsia="zh-CN" w:bidi="ar"/>
        </w:rPr>
        <w:t>承诺事项，如删去承诺第1项的，则应按采购文件要求提供财务状况报告。</w:t>
      </w:r>
    </w:p>
    <w:p>
      <w:pPr>
        <w:spacing w:before="44"/>
        <w:ind w:left="308"/>
        <w:jc w:val="left"/>
        <w:rPr>
          <w:b/>
          <w:sz w:val="30"/>
          <w:highlight w:val="none"/>
        </w:rPr>
      </w:pPr>
    </w:p>
    <w:p>
      <w:pPr>
        <w:pStyle w:val="24"/>
        <w:rPr>
          <w:b/>
          <w:sz w:val="30"/>
          <w:highlight w:val="none"/>
        </w:rPr>
      </w:pPr>
    </w:p>
    <w:p>
      <w:pPr>
        <w:pStyle w:val="24"/>
        <w:rPr>
          <w:b/>
          <w:sz w:val="30"/>
          <w:highlight w:val="none"/>
        </w:rPr>
      </w:pPr>
    </w:p>
    <w:p>
      <w:pPr>
        <w:pStyle w:val="24"/>
        <w:rPr>
          <w:b/>
          <w:sz w:val="30"/>
          <w:highlight w:val="none"/>
        </w:rPr>
      </w:pPr>
    </w:p>
    <w:p>
      <w:pPr>
        <w:pStyle w:val="24"/>
        <w:rPr>
          <w:b/>
          <w:sz w:val="30"/>
          <w:highlight w:val="none"/>
        </w:rPr>
      </w:pPr>
    </w:p>
    <w:p>
      <w:pPr>
        <w:pStyle w:val="24"/>
        <w:rPr>
          <w:b/>
          <w:sz w:val="30"/>
          <w:highlight w:val="none"/>
        </w:rPr>
      </w:pPr>
    </w:p>
    <w:p>
      <w:pPr>
        <w:pStyle w:val="24"/>
        <w:rPr>
          <w:b/>
          <w:sz w:val="30"/>
          <w:highlight w:val="none"/>
        </w:rPr>
      </w:pPr>
    </w:p>
    <w:p>
      <w:pPr>
        <w:spacing w:before="44"/>
        <w:ind w:left="308"/>
        <w:jc w:val="left"/>
        <w:rPr>
          <w:rFonts w:ascii="宋体" w:hAnsi="宋体" w:cs="宋体"/>
          <w:color w:val="000000"/>
          <w:sz w:val="24"/>
          <w:highlight w:val="none"/>
        </w:rPr>
      </w:pPr>
      <w:r>
        <w:rPr>
          <w:b/>
          <w:sz w:val="30"/>
          <w:highlight w:val="none"/>
        </w:rPr>
        <w:t>附件：</w:t>
      </w:r>
    </w:p>
    <w:p>
      <w:pPr>
        <w:spacing w:line="360" w:lineRule="auto"/>
        <w:jc w:val="center"/>
        <w:rPr>
          <w:highlight w:val="none"/>
        </w:rPr>
      </w:pPr>
      <w:r>
        <w:rPr>
          <w:rFonts w:hint="eastAsia" w:ascii="宋体" w:hAnsi="宋体" w:cs="宋体"/>
          <w:b/>
          <w:bCs/>
          <w:color w:val="000000"/>
          <w:sz w:val="28"/>
          <w:szCs w:val="22"/>
          <w:highlight w:val="none"/>
        </w:rPr>
        <w:t>具有履行合同所必需的设备和专业技术能力承诺书</w:t>
      </w:r>
    </w:p>
    <w:p>
      <w:pPr>
        <w:spacing w:line="360" w:lineRule="auto"/>
        <w:rPr>
          <w:rFonts w:ascii="宋体" w:hAnsi="宋体" w:cs="宋体"/>
          <w:color w:val="000000"/>
          <w:sz w:val="24"/>
          <w:highlight w:val="none"/>
        </w:rPr>
      </w:pPr>
    </w:p>
    <w:p>
      <w:pPr>
        <w:spacing w:line="360" w:lineRule="auto"/>
        <w:rPr>
          <w:rFonts w:ascii="宋体" w:hAnsi="宋体" w:cs="宋体"/>
          <w:color w:val="000000"/>
          <w:sz w:val="24"/>
          <w:highlight w:val="none"/>
        </w:rPr>
      </w:pPr>
      <w:r>
        <w:rPr>
          <w:rFonts w:hint="eastAsia" w:ascii="宋体" w:hAnsi="宋体" w:cs="宋体"/>
          <w:color w:val="000000"/>
          <w:sz w:val="24"/>
          <w:highlight w:val="none"/>
        </w:rPr>
        <w:t>至：海南卓能工程管理有限公司</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我单位参与你公司组织的</w:t>
      </w:r>
      <w:r>
        <w:rPr>
          <w:rFonts w:hint="eastAsia" w:ascii="宋体" w:hAnsi="宋体" w:cs="宋体"/>
          <w:color w:val="000000"/>
          <w:sz w:val="24"/>
          <w:highlight w:val="none"/>
          <w:lang w:eastAsia="zh-CN"/>
        </w:rPr>
        <w:t>港门海岸派出所建设综合勤务指挥室及营区修缮项目</w:t>
      </w:r>
      <w:r>
        <w:rPr>
          <w:rFonts w:hint="eastAsia" w:ascii="宋体" w:hAnsi="宋体" w:cs="宋体"/>
          <w:color w:val="000000"/>
          <w:sz w:val="24"/>
          <w:highlight w:val="none"/>
        </w:rPr>
        <w:t>采购活动，现承诺具有履行合同所必需的设备和专业技术能力，如有虚假承诺，愿承担一切法律责任。</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特此承诺。</w:t>
      </w:r>
    </w:p>
    <w:p>
      <w:pPr>
        <w:spacing w:line="360" w:lineRule="auto"/>
        <w:rPr>
          <w:rFonts w:ascii="宋体" w:hAnsi="宋体" w:cs="宋体"/>
          <w:color w:val="000000"/>
          <w:sz w:val="24"/>
          <w:highlight w:val="none"/>
        </w:rPr>
      </w:pPr>
    </w:p>
    <w:p>
      <w:pPr>
        <w:spacing w:line="360" w:lineRule="auto"/>
        <w:rPr>
          <w:rFonts w:ascii="宋体" w:hAnsi="宋体" w:cs="宋体"/>
          <w:color w:val="000000"/>
          <w:sz w:val="24"/>
          <w:highlight w:val="none"/>
        </w:rPr>
      </w:pPr>
      <w:r>
        <w:rPr>
          <w:rFonts w:hint="eastAsia" w:ascii="宋体" w:hAnsi="宋体" w:cs="宋体"/>
          <w:color w:val="000000"/>
          <w:sz w:val="24"/>
          <w:highlight w:val="none"/>
        </w:rPr>
        <w:t>供应商：（填写名称并盖章）</w:t>
      </w:r>
    </w:p>
    <w:p>
      <w:pPr>
        <w:spacing w:line="360" w:lineRule="auto"/>
        <w:rPr>
          <w:rFonts w:ascii="宋体" w:hAnsi="宋体" w:cs="宋体"/>
          <w:color w:val="000000"/>
          <w:sz w:val="24"/>
          <w:highlight w:val="none"/>
        </w:rPr>
      </w:pPr>
    </w:p>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法定代表人或其授权委托人：（签字或盖章） </w:t>
      </w:r>
    </w:p>
    <w:p>
      <w:pPr>
        <w:spacing w:line="360" w:lineRule="auto"/>
        <w:rPr>
          <w:rFonts w:ascii="宋体" w:hAnsi="宋体" w:cs="宋体"/>
          <w:color w:val="000000"/>
          <w:sz w:val="24"/>
          <w:highlight w:val="none"/>
        </w:rPr>
      </w:pPr>
    </w:p>
    <w:p>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日期： 年</w:t>
      </w:r>
      <w:r>
        <w:rPr>
          <w:rFonts w:hint="eastAsia" w:ascii="宋体" w:hAnsi="宋体" w:cs="宋体"/>
          <w:color w:val="000000"/>
          <w:sz w:val="24"/>
          <w:highlight w:val="none"/>
        </w:rPr>
        <w:tab/>
      </w:r>
      <w:r>
        <w:rPr>
          <w:rFonts w:hint="eastAsia" w:ascii="宋体" w:hAnsi="宋体" w:cs="宋体"/>
          <w:color w:val="000000"/>
          <w:sz w:val="24"/>
          <w:highlight w:val="none"/>
        </w:rPr>
        <w:t>月</w:t>
      </w:r>
      <w:r>
        <w:rPr>
          <w:rFonts w:hint="eastAsia" w:ascii="宋体" w:hAnsi="宋体" w:cs="宋体"/>
          <w:color w:val="000000"/>
          <w:sz w:val="24"/>
          <w:highlight w:val="none"/>
        </w:rPr>
        <w:tab/>
      </w:r>
      <w:r>
        <w:rPr>
          <w:rFonts w:hint="eastAsia" w:ascii="宋体" w:hAnsi="宋体" w:cs="宋体"/>
          <w:color w:val="000000"/>
          <w:sz w:val="24"/>
          <w:highlight w:val="none"/>
        </w:rPr>
        <w:t>日</w:t>
      </w:r>
    </w:p>
    <w:p>
      <w:pPr>
        <w:pStyle w:val="24"/>
        <w:rPr>
          <w:rFonts w:hint="eastAsia" w:ascii="宋体" w:hAnsi="宋体" w:cs="宋体"/>
          <w:color w:val="000000"/>
          <w:sz w:val="24"/>
          <w:highlight w:val="none"/>
        </w:rPr>
      </w:pPr>
    </w:p>
    <w:p>
      <w:pPr>
        <w:spacing w:before="44"/>
        <w:ind w:left="308" w:right="0" w:firstLine="0"/>
        <w:jc w:val="left"/>
        <w:rPr>
          <w:b/>
          <w:color w:val="auto"/>
          <w:sz w:val="30"/>
        </w:rPr>
      </w:pPr>
    </w:p>
    <w:p>
      <w:pPr>
        <w:spacing w:before="44"/>
        <w:ind w:left="308" w:right="0" w:firstLine="0"/>
        <w:jc w:val="left"/>
        <w:rPr>
          <w:b/>
          <w:color w:val="auto"/>
          <w:sz w:val="30"/>
        </w:rPr>
      </w:pPr>
    </w:p>
    <w:p>
      <w:pPr>
        <w:spacing w:before="44"/>
        <w:ind w:left="308" w:right="0" w:firstLine="0"/>
        <w:jc w:val="left"/>
        <w:rPr>
          <w:b/>
          <w:color w:val="auto"/>
          <w:sz w:val="30"/>
        </w:rPr>
      </w:pPr>
    </w:p>
    <w:p>
      <w:pPr>
        <w:spacing w:before="44"/>
        <w:ind w:left="308" w:right="0" w:firstLine="0"/>
        <w:jc w:val="left"/>
        <w:rPr>
          <w:b/>
          <w:color w:val="auto"/>
          <w:sz w:val="30"/>
        </w:rPr>
      </w:pPr>
    </w:p>
    <w:p>
      <w:pPr>
        <w:spacing w:before="44"/>
        <w:ind w:left="308" w:right="0" w:firstLine="0"/>
        <w:jc w:val="left"/>
        <w:rPr>
          <w:b/>
          <w:color w:val="auto"/>
          <w:sz w:val="30"/>
        </w:rPr>
      </w:pPr>
    </w:p>
    <w:p>
      <w:pPr>
        <w:spacing w:before="44"/>
        <w:ind w:left="308" w:right="0" w:firstLine="0"/>
        <w:jc w:val="left"/>
        <w:rPr>
          <w:b/>
          <w:color w:val="auto"/>
          <w:sz w:val="30"/>
        </w:rPr>
      </w:pPr>
    </w:p>
    <w:p>
      <w:pPr>
        <w:spacing w:before="44"/>
        <w:ind w:left="308" w:right="0" w:firstLine="0"/>
        <w:jc w:val="left"/>
        <w:rPr>
          <w:b/>
          <w:color w:val="auto"/>
          <w:sz w:val="30"/>
        </w:rPr>
      </w:pPr>
    </w:p>
    <w:p>
      <w:pPr>
        <w:spacing w:before="44"/>
        <w:ind w:left="308" w:right="0" w:firstLine="0"/>
        <w:jc w:val="left"/>
        <w:rPr>
          <w:b/>
          <w:color w:val="auto"/>
          <w:sz w:val="30"/>
        </w:rPr>
      </w:pPr>
    </w:p>
    <w:p>
      <w:pPr>
        <w:spacing w:before="44"/>
        <w:ind w:left="308" w:right="0" w:firstLine="0"/>
        <w:jc w:val="left"/>
        <w:rPr>
          <w:b/>
          <w:color w:val="auto"/>
          <w:sz w:val="30"/>
        </w:rPr>
      </w:pPr>
    </w:p>
    <w:p>
      <w:pPr>
        <w:spacing w:before="44"/>
        <w:ind w:left="308" w:right="0" w:firstLine="0"/>
        <w:jc w:val="left"/>
        <w:rPr>
          <w:b/>
          <w:color w:val="auto"/>
          <w:sz w:val="30"/>
        </w:rPr>
      </w:pPr>
    </w:p>
    <w:p>
      <w:pPr>
        <w:spacing w:before="44"/>
        <w:ind w:left="308" w:right="0" w:firstLine="0"/>
        <w:jc w:val="left"/>
        <w:rPr>
          <w:b/>
          <w:color w:val="auto"/>
          <w:sz w:val="30"/>
        </w:rPr>
      </w:pPr>
    </w:p>
    <w:p>
      <w:pPr>
        <w:spacing w:before="44"/>
        <w:ind w:left="308" w:right="0" w:firstLine="0"/>
        <w:jc w:val="left"/>
        <w:rPr>
          <w:b/>
          <w:color w:val="auto"/>
          <w:sz w:val="30"/>
        </w:rPr>
      </w:pPr>
    </w:p>
    <w:p>
      <w:pPr>
        <w:spacing w:before="44"/>
        <w:ind w:left="308" w:right="0" w:firstLine="0"/>
        <w:jc w:val="left"/>
        <w:rPr>
          <w:b/>
          <w:color w:val="auto"/>
          <w:sz w:val="30"/>
        </w:rPr>
      </w:pPr>
    </w:p>
    <w:p>
      <w:pPr>
        <w:spacing w:before="44"/>
        <w:ind w:left="308" w:right="0" w:firstLine="0"/>
        <w:jc w:val="left"/>
        <w:rPr>
          <w:b/>
          <w:color w:val="auto"/>
          <w:sz w:val="30"/>
        </w:rPr>
      </w:pPr>
    </w:p>
    <w:p>
      <w:pPr>
        <w:spacing w:before="44"/>
        <w:ind w:left="308" w:right="0" w:firstLine="0"/>
        <w:jc w:val="left"/>
        <w:rPr>
          <w:b/>
          <w:color w:val="auto"/>
          <w:sz w:val="30"/>
        </w:rPr>
      </w:pPr>
    </w:p>
    <w:p>
      <w:pPr>
        <w:spacing w:before="44"/>
        <w:ind w:left="308" w:right="0" w:firstLine="0"/>
        <w:jc w:val="left"/>
        <w:rPr>
          <w:b/>
          <w:color w:val="auto"/>
          <w:sz w:val="30"/>
        </w:rPr>
      </w:pPr>
    </w:p>
    <w:p>
      <w:pPr>
        <w:spacing w:before="44"/>
        <w:ind w:left="308" w:right="0" w:firstLine="0"/>
        <w:jc w:val="left"/>
        <w:rPr>
          <w:b/>
          <w:color w:val="auto"/>
          <w:sz w:val="30"/>
        </w:rPr>
      </w:pPr>
    </w:p>
    <w:p>
      <w:pPr>
        <w:spacing w:before="44"/>
        <w:ind w:left="308" w:right="0" w:firstLine="0"/>
        <w:jc w:val="left"/>
        <w:rPr>
          <w:rFonts w:hint="eastAsia" w:ascii="宋体" w:hAnsi="宋体" w:cs="宋体"/>
          <w:color w:val="auto"/>
          <w:sz w:val="24"/>
        </w:rPr>
      </w:pPr>
      <w:r>
        <w:rPr>
          <w:b/>
          <w:color w:val="auto"/>
          <w:sz w:val="30"/>
        </w:rPr>
        <w:t>附件：</w:t>
      </w:r>
    </w:p>
    <w:p>
      <w:pPr>
        <w:spacing w:line="360" w:lineRule="auto"/>
        <w:jc w:val="center"/>
        <w:rPr>
          <w:rFonts w:hint="eastAsia"/>
          <w:color w:val="auto"/>
        </w:rPr>
      </w:pPr>
      <w:r>
        <w:rPr>
          <w:rFonts w:hint="eastAsia" w:ascii="宋体" w:hAnsi="宋体" w:cs="宋体"/>
          <w:b/>
          <w:bCs/>
          <w:color w:val="auto"/>
          <w:sz w:val="28"/>
          <w:szCs w:val="22"/>
        </w:rPr>
        <w:t>信用查询承诺书</w:t>
      </w:r>
    </w:p>
    <w:p>
      <w:pPr>
        <w:spacing w:line="360" w:lineRule="auto"/>
        <w:rPr>
          <w:rFonts w:hint="eastAsia" w:ascii="宋体" w:hAnsi="宋体" w:cs="宋体"/>
          <w:color w:val="auto"/>
          <w:sz w:val="24"/>
        </w:rPr>
      </w:pPr>
    </w:p>
    <w:p>
      <w:pPr>
        <w:spacing w:line="360" w:lineRule="auto"/>
        <w:rPr>
          <w:rFonts w:hint="eastAsia" w:ascii="宋体" w:hAnsi="宋体" w:eastAsia="宋体" w:cs="宋体"/>
          <w:color w:val="auto"/>
          <w:sz w:val="24"/>
          <w:lang w:eastAsia="zh-CN"/>
        </w:rPr>
      </w:pPr>
      <w:r>
        <w:rPr>
          <w:rFonts w:hint="eastAsia" w:ascii="宋体" w:hAnsi="宋体" w:eastAsia="宋体" w:cs="宋体"/>
          <w:color w:val="auto"/>
          <w:sz w:val="24"/>
          <w:lang w:eastAsia="zh-CN"/>
        </w:rPr>
        <w:t>致</w:t>
      </w:r>
      <w:r>
        <w:rPr>
          <w:rFonts w:hint="eastAsia" w:ascii="宋体" w:hAnsi="宋体" w:cs="宋体"/>
          <w:color w:val="auto"/>
          <w:sz w:val="24"/>
        </w:rPr>
        <w:t>：</w:t>
      </w:r>
      <w:r>
        <w:rPr>
          <w:rFonts w:hint="eastAsia" w:ascii="宋体" w:hAnsi="宋体" w:eastAsia="宋体" w:cs="宋体"/>
          <w:color w:val="auto"/>
          <w:sz w:val="24"/>
          <w:lang w:eastAsia="zh-CN"/>
        </w:rPr>
        <w:t>（采购人）</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我单位 </w:t>
      </w:r>
      <w:r>
        <w:rPr>
          <w:rFonts w:hint="eastAsia" w:ascii="宋体" w:hAnsi="宋体" w:cs="宋体"/>
          <w:color w:val="auto"/>
          <w:sz w:val="24"/>
          <w:u w:val="single"/>
        </w:rPr>
        <w:t>（供应商名称）</w:t>
      </w:r>
      <w:r>
        <w:rPr>
          <w:rFonts w:hint="eastAsia" w:ascii="宋体" w:hAnsi="宋体" w:cs="宋体"/>
          <w:color w:val="auto"/>
          <w:sz w:val="24"/>
        </w:rPr>
        <w:t xml:space="preserve">郑重承诺： </w:t>
      </w:r>
    </w:p>
    <w:p>
      <w:pPr>
        <w:spacing w:line="360" w:lineRule="auto"/>
        <w:ind w:firstLine="480" w:firstLineChars="200"/>
        <w:rPr>
          <w:rFonts w:hint="eastAsia" w:ascii="宋体" w:hAnsi="宋体" w:eastAsia="宋体" w:cs="宋体"/>
          <w:color w:val="auto"/>
          <w:sz w:val="24"/>
          <w:lang w:val="en-US" w:eastAsia="zh-CN"/>
        </w:rPr>
      </w:pPr>
      <w:r>
        <w:rPr>
          <w:rFonts w:hint="eastAsia" w:ascii="宋体" w:hAnsi="宋体" w:cs="宋体"/>
          <w:color w:val="auto"/>
          <w:sz w:val="24"/>
        </w:rPr>
        <w:t>我单位参与的 项目名称和项目编号</w:t>
      </w:r>
      <w:r>
        <w:rPr>
          <w:rFonts w:hint="eastAsia" w:ascii="宋体" w:hAnsi="宋体" w:cs="宋体"/>
          <w:color w:val="auto"/>
          <w:sz w:val="24"/>
          <w:u w:val="single"/>
        </w:rPr>
        <w:t xml:space="preserve">（标包名称） </w:t>
      </w:r>
      <w:r>
        <w:rPr>
          <w:rFonts w:hint="eastAsia" w:ascii="宋体" w:hAnsi="宋体" w:cs="宋体"/>
          <w:color w:val="auto"/>
          <w:sz w:val="24"/>
        </w:rPr>
        <w:t xml:space="preserve">招标活动。现承诺 2018 年至今 未被列入失信被执行人、重大税收违法案件当事人名单、政府采购严重违法失信名单和 政府采购严重违法失信行为记录名单。如有虚假承诺，愿承担一切法律责任。 </w:t>
      </w:r>
      <w:r>
        <w:rPr>
          <w:rFonts w:hint="eastAsia" w:ascii="宋体" w:hAnsi="宋体" w:eastAsia="宋体" w:cs="宋体"/>
          <w:color w:val="auto"/>
          <w:sz w:val="24"/>
          <w:lang w:val="en-US" w:eastAsia="zh-CN"/>
        </w:rPr>
        <w:t xml:space="preserve"> </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特此承诺。</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r>
        <w:rPr>
          <w:rFonts w:hint="eastAsia" w:ascii="宋体" w:hAnsi="宋体" w:cs="宋体"/>
          <w:color w:val="auto"/>
          <w:sz w:val="24"/>
        </w:rPr>
        <w:t>供应商：（填写名称并盖章）</w:t>
      </w:r>
    </w:p>
    <w:p>
      <w:pPr>
        <w:spacing w:line="360" w:lineRule="auto"/>
        <w:rPr>
          <w:rFonts w:hint="eastAsia" w:ascii="宋体" w:hAnsi="宋体" w:cs="宋体"/>
          <w:color w:val="auto"/>
          <w:sz w:val="24"/>
        </w:rPr>
      </w:pPr>
      <w:r>
        <w:rPr>
          <w:rFonts w:hint="eastAsia" w:ascii="宋体" w:hAnsi="宋体" w:cs="宋体"/>
          <w:color w:val="auto"/>
          <w:sz w:val="24"/>
        </w:rPr>
        <w:t xml:space="preserve">法定代表人或其授权委托人：（签字或盖章） </w:t>
      </w:r>
    </w:p>
    <w:p>
      <w:pPr>
        <w:spacing w:line="360" w:lineRule="auto"/>
        <w:rPr>
          <w:color w:val="auto"/>
        </w:rPr>
      </w:pPr>
      <w:r>
        <w:rPr>
          <w:rFonts w:hint="eastAsia" w:ascii="宋体" w:hAnsi="宋体" w:cs="宋体"/>
          <w:color w:val="auto"/>
          <w:sz w:val="24"/>
        </w:rPr>
        <w:t>日期：</w:t>
      </w:r>
      <w:r>
        <w:rPr>
          <w:rFonts w:hint="eastAsia" w:ascii="宋体" w:hAnsi="宋体" w:cs="宋体"/>
          <w:color w:val="auto"/>
          <w:sz w:val="24"/>
          <w:lang w:val="en-US" w:eastAsia="zh-CN"/>
        </w:rPr>
        <w:t xml:space="preserve">  </w:t>
      </w:r>
      <w:r>
        <w:rPr>
          <w:rFonts w:hint="eastAsia" w:ascii="宋体" w:hAnsi="宋体" w:cs="宋体"/>
          <w:color w:val="auto"/>
          <w:sz w:val="24"/>
        </w:rPr>
        <w:t>年</w:t>
      </w:r>
      <w:r>
        <w:rPr>
          <w:rFonts w:hint="eastAsia" w:ascii="宋体" w:hAnsi="宋体" w:cs="宋体"/>
          <w:color w:val="auto"/>
          <w:sz w:val="24"/>
        </w:rPr>
        <w:tab/>
      </w:r>
      <w:r>
        <w:rPr>
          <w:rFonts w:hint="eastAsia" w:ascii="宋体" w:hAnsi="宋体" w:cs="宋体"/>
          <w:color w:val="auto"/>
          <w:sz w:val="24"/>
        </w:rPr>
        <w:t>月</w:t>
      </w:r>
      <w:r>
        <w:rPr>
          <w:rFonts w:hint="eastAsia" w:ascii="宋体" w:hAnsi="宋体" w:cs="宋体"/>
          <w:color w:val="auto"/>
          <w:sz w:val="24"/>
        </w:rPr>
        <w:tab/>
      </w:r>
      <w:r>
        <w:rPr>
          <w:rFonts w:hint="eastAsia" w:ascii="宋体" w:hAnsi="宋体" w:cs="宋体"/>
          <w:color w:val="auto"/>
          <w:sz w:val="24"/>
        </w:rPr>
        <w:t>日</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说明： </w:t>
      </w:r>
    </w:p>
    <w:p>
      <w:pPr>
        <w:spacing w:line="360" w:lineRule="auto"/>
        <w:ind w:firstLine="482" w:firstLineChars="200"/>
        <w:rPr>
          <w:rFonts w:hint="eastAsia" w:ascii="宋体" w:hAnsi="宋体" w:cs="宋体"/>
          <w:b/>
          <w:bCs/>
          <w:color w:val="auto"/>
          <w:sz w:val="24"/>
        </w:rPr>
      </w:pPr>
      <w:r>
        <w:rPr>
          <w:rFonts w:hint="eastAsia" w:ascii="宋体" w:hAnsi="宋体" w:cs="宋体"/>
          <w:b/>
          <w:bCs/>
          <w:color w:val="auto"/>
          <w:sz w:val="24"/>
        </w:rPr>
        <w:t>1、信用记录查询渠道：“信用中国”网站（http://www.creditchina.gov.cn/）、 中国政府采购（http://www.ccgp.gov.cn/）等渠道查询相关主体信用记录。</w:t>
      </w:r>
    </w:p>
    <w:p>
      <w:pPr>
        <w:spacing w:line="360" w:lineRule="auto"/>
        <w:ind w:firstLine="480" w:firstLineChars="200"/>
        <w:rPr>
          <w:rFonts w:hint="eastAsia" w:ascii="宋体" w:hAnsi="宋体" w:cs="宋体"/>
          <w:color w:val="auto"/>
          <w:sz w:val="24"/>
        </w:rPr>
      </w:pPr>
      <w:r>
        <w:rPr>
          <w:rFonts w:hint="eastAsia" w:ascii="宋体" w:hAnsi="宋体" w:eastAsia="宋体" w:cs="宋体"/>
          <w:color w:val="auto"/>
          <w:sz w:val="24"/>
          <w:lang w:val="en-US" w:eastAsia="zh-CN"/>
        </w:rPr>
        <w:t>2、</w:t>
      </w:r>
      <w:r>
        <w:rPr>
          <w:rFonts w:hint="eastAsia" w:ascii="宋体" w:hAnsi="宋体" w:cs="宋体"/>
          <w:color w:val="auto"/>
          <w:sz w:val="24"/>
        </w:rPr>
        <w:t xml:space="preserve">被列入失信被执行人、重大税收违法案件当事人名单、政府采购严重违法失信 名单和政府采购严重违法失信行为记录名单及其他不符合《中华人民共和国政府采购 法》第二十二条规定条件的供应商，拒绝参与本项目投标。 </w:t>
      </w:r>
    </w:p>
    <w:p>
      <w:pPr>
        <w:spacing w:before="66"/>
        <w:ind w:left="308" w:right="0" w:firstLine="0"/>
        <w:jc w:val="left"/>
        <w:rPr>
          <w:rFonts w:hint="eastAsia" w:ascii="宋体" w:hAnsi="宋体" w:cs="宋体"/>
          <w:b/>
          <w:bCs/>
          <w:color w:val="auto"/>
          <w:sz w:val="24"/>
        </w:rPr>
      </w:pPr>
      <w:r>
        <w:rPr>
          <w:rFonts w:hint="eastAsia" w:ascii="宋体" w:hAnsi="宋体" w:cs="宋体"/>
          <w:b/>
          <w:bCs/>
          <w:color w:val="auto"/>
          <w:sz w:val="24"/>
        </w:rPr>
        <w:t>备注：</w:t>
      </w:r>
      <w:r>
        <w:rPr>
          <w:rFonts w:hint="eastAsia" w:ascii="宋体" w:hAnsi="宋体" w:eastAsia="宋体" w:cs="宋体"/>
          <w:b/>
          <w:bCs/>
          <w:color w:val="auto"/>
          <w:sz w:val="24"/>
          <w:lang w:eastAsia="zh-CN"/>
        </w:rPr>
        <w:t>开标现场查询</w:t>
      </w:r>
      <w:r>
        <w:rPr>
          <w:rFonts w:hint="eastAsia" w:ascii="宋体" w:hAnsi="宋体" w:cs="宋体"/>
          <w:b/>
          <w:bCs/>
          <w:color w:val="auto"/>
          <w:sz w:val="24"/>
        </w:rPr>
        <w:t>不符合要求的将导致废标，请供应商参考信用查询示范截图 （查询示范附后）。</w:t>
      </w:r>
    </w:p>
    <w:p>
      <w:pPr>
        <w:pStyle w:val="24"/>
        <w:rPr>
          <w:rFonts w:hint="eastAsia" w:ascii="宋体" w:hAnsi="宋体" w:cs="宋体"/>
          <w:color w:val="000000"/>
          <w:sz w:val="24"/>
          <w:highlight w:val="none"/>
        </w:rPr>
        <w:sectPr>
          <w:pgSz w:w="11910" w:h="16840"/>
          <w:pgMar w:top="1420" w:right="1020" w:bottom="1160" w:left="1280" w:header="0" w:footer="975" w:gutter="0"/>
          <w:pgNumType w:fmt="decimal"/>
          <w:cols w:space="720" w:num="1"/>
        </w:sectPr>
      </w:pPr>
    </w:p>
    <w:p>
      <w:pPr>
        <w:spacing w:before="66"/>
        <w:ind w:left="308" w:right="0" w:firstLine="0"/>
        <w:jc w:val="left"/>
        <w:rPr>
          <w:rFonts w:hint="eastAsia" w:eastAsia="宋体"/>
          <w:b/>
          <w:color w:val="auto"/>
          <w:sz w:val="24"/>
          <w:lang w:eastAsia="zh-CN"/>
        </w:rPr>
      </w:pPr>
      <w:r>
        <w:rPr>
          <w:rFonts w:hint="eastAsia" w:eastAsia="宋体"/>
          <w:b/>
          <w:color w:val="auto"/>
          <w:sz w:val="24"/>
          <w:lang w:eastAsia="zh-CN"/>
        </w:rPr>
        <w:t>现场</w:t>
      </w:r>
      <w:r>
        <w:rPr>
          <w:b/>
          <w:color w:val="auto"/>
          <w:sz w:val="24"/>
        </w:rPr>
        <w:t xml:space="preserve">查询示范 </w:t>
      </w:r>
      <w:r>
        <w:rPr>
          <w:rFonts w:hint="eastAsia" w:eastAsia="宋体"/>
          <w:b/>
          <w:color w:val="auto"/>
          <w:sz w:val="24"/>
          <w:lang w:eastAsia="zh-CN"/>
        </w:rPr>
        <w:t>：</w:t>
      </w:r>
    </w:p>
    <w:p>
      <w:pPr>
        <w:spacing w:before="63"/>
        <w:ind w:left="308"/>
        <w:jc w:val="left"/>
        <w:rPr>
          <w:b/>
          <w:color w:val="auto"/>
          <w:sz w:val="24"/>
        </w:rPr>
      </w:pPr>
      <w:r>
        <w:rPr>
          <w:b/>
          <w:color w:val="auto"/>
          <w:sz w:val="24"/>
        </w:rPr>
        <w:t xml:space="preserve">查询示范 </w:t>
      </w:r>
      <w:r>
        <w:rPr>
          <w:rFonts w:eastAsia="Times New Roman"/>
          <w:b/>
          <w:color w:val="auto"/>
          <w:sz w:val="24"/>
        </w:rPr>
        <w:t>1</w:t>
      </w:r>
      <w:r>
        <w:rPr>
          <w:b/>
          <w:color w:val="auto"/>
          <w:sz w:val="24"/>
        </w:rPr>
        <w:t>：失信被执行人</w:t>
      </w:r>
    </w:p>
    <w:p>
      <w:pPr>
        <w:pStyle w:val="12"/>
        <w:rPr>
          <w:b/>
          <w:color w:val="auto"/>
          <w:sz w:val="26"/>
        </w:rPr>
      </w:pPr>
      <w:r>
        <w:drawing>
          <wp:inline distT="0" distB="0" distL="114300" distR="114300">
            <wp:extent cx="5639435" cy="4112895"/>
            <wp:effectExtent l="0" t="0" r="18415" b="19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5"/>
                    <a:stretch>
                      <a:fillRect/>
                    </a:stretch>
                  </pic:blipFill>
                  <pic:spPr>
                    <a:xfrm>
                      <a:off x="0" y="0"/>
                      <a:ext cx="5639435" cy="4112895"/>
                    </a:xfrm>
                    <a:prstGeom prst="rect">
                      <a:avLst/>
                    </a:prstGeom>
                    <a:noFill/>
                    <a:ln>
                      <a:noFill/>
                    </a:ln>
                  </pic:spPr>
                </pic:pic>
              </a:graphicData>
            </a:graphic>
          </wp:inline>
        </w:drawing>
      </w:r>
    </w:p>
    <w:p>
      <w:pPr>
        <w:pStyle w:val="12"/>
        <w:spacing w:before="10"/>
        <w:rPr>
          <w:b/>
          <w:color w:val="auto"/>
          <w:sz w:val="18"/>
        </w:rPr>
      </w:pPr>
    </w:p>
    <w:p>
      <w:pPr>
        <w:ind w:left="308"/>
        <w:jc w:val="left"/>
        <w:rPr>
          <w:b/>
          <w:color w:val="auto"/>
          <w:sz w:val="24"/>
        </w:rPr>
      </w:pPr>
      <w:r>
        <w:rPr>
          <w:b/>
          <w:color w:val="auto"/>
          <w:sz w:val="24"/>
        </w:rPr>
        <w:t xml:space="preserve">查询示范 </w:t>
      </w:r>
      <w:r>
        <w:rPr>
          <w:rFonts w:eastAsia="Times New Roman"/>
          <w:b/>
          <w:color w:val="auto"/>
          <w:sz w:val="24"/>
        </w:rPr>
        <w:t>2</w:t>
      </w:r>
      <w:r>
        <w:rPr>
          <w:b/>
          <w:color w:val="auto"/>
          <w:sz w:val="24"/>
        </w:rPr>
        <w:t>：重大税收违法案件当事人名单</w:t>
      </w:r>
    </w:p>
    <w:p>
      <w:pPr>
        <w:pStyle w:val="12"/>
        <w:spacing w:before="11"/>
        <w:rPr>
          <w:b/>
          <w:color w:val="auto"/>
          <w:sz w:val="11"/>
        </w:rPr>
      </w:pPr>
    </w:p>
    <w:p>
      <w:pPr>
        <w:rPr>
          <w:color w:val="auto"/>
          <w:sz w:val="11"/>
        </w:rPr>
        <w:sectPr>
          <w:pgSz w:w="11911" w:h="16838"/>
          <w:pgMar w:top="1542" w:right="1020" w:bottom="1242" w:left="1281" w:header="0" w:footer="1060" w:gutter="0"/>
          <w:pgNumType w:fmt="decimal"/>
          <w:cols w:space="720" w:num="1"/>
          <w:docGrid w:linePitch="1" w:charSpace="0"/>
        </w:sectPr>
      </w:pPr>
      <w:r>
        <w:drawing>
          <wp:inline distT="0" distB="0" distL="114300" distR="114300">
            <wp:extent cx="5627370" cy="3244850"/>
            <wp:effectExtent l="0" t="0" r="11430" b="1270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36"/>
                    <a:stretch>
                      <a:fillRect/>
                    </a:stretch>
                  </pic:blipFill>
                  <pic:spPr>
                    <a:xfrm>
                      <a:off x="0" y="0"/>
                      <a:ext cx="5627370" cy="3244850"/>
                    </a:xfrm>
                    <a:prstGeom prst="rect">
                      <a:avLst/>
                    </a:prstGeom>
                    <a:noFill/>
                    <a:ln>
                      <a:noFill/>
                    </a:ln>
                  </pic:spPr>
                </pic:pic>
              </a:graphicData>
            </a:graphic>
          </wp:inline>
        </w:drawing>
      </w:r>
    </w:p>
    <w:p>
      <w:pPr>
        <w:spacing w:before="63"/>
        <w:ind w:left="308"/>
        <w:jc w:val="left"/>
        <w:rPr>
          <w:b/>
          <w:color w:val="auto"/>
          <w:sz w:val="9"/>
        </w:rPr>
      </w:pPr>
      <w:r>
        <w:rPr>
          <w:b/>
          <w:color w:val="auto"/>
          <w:sz w:val="24"/>
        </w:rPr>
        <w:t xml:space="preserve">查询示范 </w:t>
      </w:r>
      <w:r>
        <w:rPr>
          <w:rFonts w:eastAsia="Times New Roman"/>
          <w:b/>
          <w:color w:val="auto"/>
          <w:sz w:val="24"/>
        </w:rPr>
        <w:t>3</w:t>
      </w:r>
      <w:r>
        <w:rPr>
          <w:b/>
          <w:color w:val="auto"/>
          <w:sz w:val="24"/>
        </w:rPr>
        <w:t>：政府采购严重违法失信行为记录名单</w:t>
      </w:r>
    </w:p>
    <w:p>
      <w:pPr>
        <w:pStyle w:val="12"/>
        <w:rPr>
          <w:color w:val="auto"/>
        </w:rPr>
      </w:pPr>
    </w:p>
    <w:p>
      <w:r>
        <w:drawing>
          <wp:inline distT="0" distB="0" distL="114300" distR="114300">
            <wp:extent cx="5657850" cy="3792855"/>
            <wp:effectExtent l="0" t="0" r="0" b="1714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7"/>
                    <a:stretch>
                      <a:fillRect/>
                    </a:stretch>
                  </pic:blipFill>
                  <pic:spPr>
                    <a:xfrm>
                      <a:off x="0" y="0"/>
                      <a:ext cx="5657850" cy="3792855"/>
                    </a:xfrm>
                    <a:prstGeom prst="rect">
                      <a:avLst/>
                    </a:prstGeom>
                    <a:noFill/>
                    <a:ln>
                      <a:noFill/>
                    </a:ln>
                  </pic:spPr>
                </pic:pic>
              </a:graphicData>
            </a:graphic>
          </wp:inline>
        </w:drawing>
      </w:r>
    </w:p>
    <w:p>
      <w:pPr>
        <w:rPr>
          <w:color w:val="auto"/>
        </w:rPr>
      </w:pPr>
      <w:bookmarkStart w:id="2074" w:name="_Toc7999"/>
      <w:bookmarkStart w:id="2075" w:name="_Toc4669"/>
      <w:r>
        <w:drawing>
          <wp:inline distT="0" distB="0" distL="114300" distR="114300">
            <wp:extent cx="5600700" cy="3253740"/>
            <wp:effectExtent l="0" t="0" r="0" b="381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38"/>
                    <a:stretch>
                      <a:fillRect/>
                    </a:stretch>
                  </pic:blipFill>
                  <pic:spPr>
                    <a:xfrm>
                      <a:off x="0" y="0"/>
                      <a:ext cx="5600700" cy="3253740"/>
                    </a:xfrm>
                    <a:prstGeom prst="rect">
                      <a:avLst/>
                    </a:prstGeom>
                    <a:noFill/>
                    <a:ln>
                      <a:noFill/>
                    </a:ln>
                  </pic:spPr>
                </pic:pic>
              </a:graphicData>
            </a:graphic>
          </wp:inline>
        </w:drawing>
      </w:r>
      <w:bookmarkEnd w:id="2074"/>
      <w:bookmarkEnd w:id="2075"/>
      <w:r>
        <w:rPr>
          <w:color w:val="auto"/>
        </w:rPr>
        <w:br w:type="page"/>
      </w:r>
    </w:p>
    <w:p>
      <w:pPr>
        <w:spacing w:before="44"/>
        <w:ind w:left="308" w:right="0" w:firstLine="0"/>
        <w:jc w:val="left"/>
        <w:rPr>
          <w:rFonts w:hint="eastAsia" w:ascii="宋体" w:hAnsi="宋体" w:cs="宋体"/>
          <w:color w:val="auto"/>
          <w:sz w:val="24"/>
        </w:rPr>
      </w:pPr>
      <w:r>
        <w:rPr>
          <w:b/>
          <w:color w:val="auto"/>
          <w:sz w:val="30"/>
        </w:rPr>
        <w:t>附件：</w:t>
      </w:r>
    </w:p>
    <w:p>
      <w:pPr>
        <w:spacing w:line="360" w:lineRule="auto"/>
        <w:jc w:val="center"/>
        <w:rPr>
          <w:rFonts w:hint="eastAsia" w:ascii="宋体" w:hAnsi="宋体" w:cs="宋体"/>
          <w:b/>
          <w:bCs/>
          <w:color w:val="auto"/>
          <w:sz w:val="28"/>
          <w:szCs w:val="22"/>
        </w:rPr>
      </w:pPr>
      <w:r>
        <w:rPr>
          <w:rFonts w:hint="eastAsia" w:ascii="宋体" w:hAnsi="宋体" w:cs="宋体"/>
          <w:b/>
          <w:bCs/>
          <w:color w:val="auto"/>
          <w:sz w:val="28"/>
          <w:szCs w:val="22"/>
        </w:rPr>
        <w:t>政府采购供应商信用承诺书</w:t>
      </w:r>
    </w:p>
    <w:p>
      <w:pPr>
        <w:widowControl w:val="0"/>
        <w:snapToGrid w:val="0"/>
        <w:spacing w:after="0" w:line="380" w:lineRule="exact"/>
        <w:ind w:firstLine="506" w:firstLineChars="200"/>
        <w:jc w:val="both"/>
        <w:rPr>
          <w:rFonts w:hint="eastAsia" w:ascii="宋体" w:hAnsi="宋体" w:eastAsia="宋体" w:cs="宋体"/>
          <w:b/>
          <w:bCs/>
          <w:w w:val="90"/>
          <w:sz w:val="28"/>
          <w:szCs w:val="28"/>
          <w:u w:val="single"/>
        </w:rPr>
      </w:pPr>
      <w:r>
        <w:rPr>
          <w:rFonts w:hint="eastAsia" w:ascii="宋体" w:hAnsi="宋体" w:eastAsia="宋体" w:cs="宋体"/>
          <w:b/>
          <w:bCs/>
          <w:w w:val="90"/>
          <w:sz w:val="28"/>
          <w:szCs w:val="28"/>
        </w:rPr>
        <w:t>承诺主体名称：</w:t>
      </w:r>
      <w:r>
        <w:rPr>
          <w:rFonts w:hint="eastAsia" w:ascii="宋体" w:hAnsi="宋体" w:eastAsia="宋体" w:cs="宋体"/>
          <w:b/>
          <w:bCs/>
          <w:w w:val="90"/>
          <w:sz w:val="28"/>
          <w:szCs w:val="28"/>
          <w:u w:val="single"/>
          <w:lang w:val="en-US" w:eastAsia="zh-CN"/>
        </w:rPr>
        <w:t xml:space="preserve"> </w:t>
      </w:r>
      <w:r>
        <w:rPr>
          <w:rFonts w:hint="eastAsia" w:ascii="宋体" w:hAnsi="宋体" w:eastAsia="宋体" w:cs="宋体"/>
          <w:b/>
          <w:bCs/>
          <w:w w:val="90"/>
          <w:sz w:val="28"/>
          <w:szCs w:val="28"/>
          <w:u w:val="single"/>
        </w:rPr>
        <w:t>（供应商名称）</w:t>
      </w:r>
    </w:p>
    <w:p>
      <w:pPr>
        <w:widowControl w:val="0"/>
        <w:snapToGrid w:val="0"/>
        <w:spacing w:after="0" w:line="380" w:lineRule="exact"/>
        <w:ind w:firstLine="506" w:firstLineChars="200"/>
        <w:jc w:val="both"/>
        <w:rPr>
          <w:rFonts w:hint="default" w:ascii="宋体" w:hAnsi="宋体" w:eastAsia="宋体" w:cs="宋体"/>
          <w:b/>
          <w:bCs/>
          <w:w w:val="90"/>
          <w:sz w:val="28"/>
          <w:szCs w:val="28"/>
          <w:u w:val="none"/>
          <w:lang w:val="en-US" w:eastAsia="zh-CN"/>
        </w:rPr>
      </w:pPr>
      <w:r>
        <w:rPr>
          <w:rFonts w:hint="eastAsia" w:ascii="宋体" w:hAnsi="宋体" w:eastAsia="宋体" w:cs="宋体"/>
          <w:b/>
          <w:bCs/>
          <w:w w:val="90"/>
          <w:sz w:val="28"/>
          <w:szCs w:val="28"/>
          <w:u w:val="none"/>
          <w:lang w:val="en-US" w:eastAsia="zh-CN"/>
        </w:rPr>
        <w:t>统一社会信用代码：</w:t>
      </w:r>
      <w:r>
        <w:rPr>
          <w:rFonts w:hint="eastAsia" w:ascii="宋体" w:hAnsi="宋体" w:eastAsia="宋体" w:cs="宋体"/>
          <w:b/>
          <w:bCs/>
          <w:w w:val="90"/>
          <w:sz w:val="28"/>
          <w:szCs w:val="28"/>
          <w:u w:val="single"/>
          <w:lang w:val="en-US" w:eastAsia="zh-CN"/>
        </w:rPr>
        <w:t xml:space="preserve">                      </w:t>
      </w:r>
      <w:r>
        <w:rPr>
          <w:rFonts w:hint="eastAsia" w:ascii="宋体" w:hAnsi="宋体" w:eastAsia="宋体" w:cs="宋体"/>
          <w:b/>
          <w:bCs/>
          <w:w w:val="90"/>
          <w:sz w:val="28"/>
          <w:szCs w:val="28"/>
          <w:u w:val="none"/>
          <w:lang w:val="en-US" w:eastAsia="zh-CN"/>
        </w:rPr>
        <w:t xml:space="preserve">               </w:t>
      </w:r>
    </w:p>
    <w:p>
      <w:pPr>
        <w:widowControl w:val="0"/>
        <w:snapToGrid w:val="0"/>
        <w:spacing w:after="0" w:line="380" w:lineRule="exact"/>
        <w:ind w:firstLine="506" w:firstLineChars="200"/>
        <w:jc w:val="both"/>
        <w:rPr>
          <w:rFonts w:hint="eastAsia" w:ascii="宋体" w:hAnsi="宋体" w:eastAsia="宋体" w:cs="宋体"/>
          <w:b/>
          <w:bCs/>
          <w:w w:val="90"/>
          <w:sz w:val="28"/>
          <w:szCs w:val="28"/>
        </w:rPr>
      </w:pPr>
      <w:r>
        <w:rPr>
          <w:rFonts w:hint="eastAsia" w:ascii="宋体" w:hAnsi="宋体" w:eastAsia="宋体" w:cs="宋体"/>
          <w:b/>
          <w:bCs/>
          <w:w w:val="90"/>
          <w:sz w:val="28"/>
          <w:szCs w:val="28"/>
        </w:rPr>
        <w:t>管理部门：三亚市</w:t>
      </w:r>
      <w:r>
        <w:rPr>
          <w:rFonts w:hint="eastAsia" w:ascii="宋体" w:hAnsi="宋体" w:eastAsia="宋体" w:cs="宋体"/>
          <w:b/>
          <w:bCs/>
          <w:w w:val="90"/>
          <w:sz w:val="28"/>
          <w:szCs w:val="28"/>
          <w:lang w:eastAsia="zh-CN"/>
        </w:rPr>
        <w:t>崖州区</w:t>
      </w:r>
      <w:r>
        <w:rPr>
          <w:rFonts w:hint="eastAsia" w:ascii="宋体" w:hAnsi="宋体" w:eastAsia="宋体" w:cs="宋体"/>
          <w:b/>
          <w:bCs/>
          <w:w w:val="90"/>
          <w:sz w:val="28"/>
          <w:szCs w:val="28"/>
        </w:rPr>
        <w:t>财政局</w:t>
      </w:r>
    </w:p>
    <w:p>
      <w:pPr>
        <w:widowControl w:val="0"/>
        <w:snapToGrid w:val="0"/>
        <w:spacing w:after="0" w:line="380" w:lineRule="exact"/>
        <w:ind w:firstLine="506" w:firstLineChars="200"/>
        <w:jc w:val="both"/>
        <w:rPr>
          <w:rFonts w:hint="eastAsia" w:ascii="宋体" w:hAnsi="宋体" w:eastAsia="宋体" w:cs="宋体"/>
          <w:b/>
          <w:bCs/>
          <w:w w:val="90"/>
          <w:sz w:val="28"/>
          <w:szCs w:val="28"/>
        </w:rPr>
      </w:pPr>
      <w:r>
        <w:rPr>
          <w:rFonts w:hint="eastAsia" w:ascii="宋体" w:hAnsi="宋体" w:eastAsia="宋体" w:cs="宋体"/>
          <w:b/>
          <w:bCs/>
          <w:w w:val="90"/>
          <w:sz w:val="28"/>
          <w:szCs w:val="28"/>
        </w:rPr>
        <w:t>采购项目名称：</w:t>
      </w:r>
      <w:r>
        <w:rPr>
          <w:rFonts w:hint="eastAsia"/>
          <w:b/>
          <w:color w:val="auto"/>
          <w:spacing w:val="-18"/>
          <w:sz w:val="30"/>
          <w:highlight w:val="none"/>
          <w:lang w:val="en-US"/>
        </w:rPr>
        <w:t>港门海岸派出所建设综合勤务指挥室及营区修缮项目</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为维护公平竞争、规范有序的市场秩序,营造诚实守信的信用环境，共同推进社会信用体系建设完善，树立企业诚信守法形象，本企业对本次采购活动郑重承诺如下:</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（一）对提供给注册登记部门、行业管理部门、司法部门、行业组织以及在政府采购活动中提交的所有资料的合法性、真实性、准确性和有效性负责；</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（二）严格按照国家法律、法规和规章开展采购活动，全面履行应尽的责任和义务，全面做到履约守信，具备《中华人民共和国政府采购法》第二十二条第一款规定的条件；</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（三）严格依法开展生产经营活动，主动接受行业监管，自愿接受依法开展的日常检查；违法失信经营后将自愿接受约束和惩戒，并依法承担相应责任；</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（四）自觉接受行政管理部门、行业组织、社会公众、新闻舆论的监督；</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（五）自觉做到自我约束、自我管理，不制假售假、商标侵权、虚假宣传、违约毁约、恶意逃债、偷税漏税、垄断和不正当竞争，维护经营者、消费者的合法权益；</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（六）提出政府采购质疑和投诉坚持依法依规、诚实信用原则，在全国范围12个月内没有三次以上查无实据的政府采购投诉；</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（七）严格遵守信用信息公示相关规定；</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（八）同意将承诺内容在“信用三亚”网站公示，接受社会监督；</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（九）如违反承诺，将依法依规承担相应责任，并自愿接受部门联合惩戒，纳入行业失信重点关注名单，由财政部门负责管理；</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（十）本承诺书自签订之日起生效。</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承诺单位（签章）：                   法定代表人（负责人）：</w:t>
      </w:r>
    </w:p>
    <w:p>
      <w:pPr>
        <w:widowControl w:val="0"/>
        <w:snapToGrid w:val="0"/>
        <w:spacing w:after="0" w:line="380" w:lineRule="exact"/>
        <w:ind w:firstLine="480" w:firstLineChars="200"/>
        <w:jc w:val="both"/>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 xml:space="preserve">    年    月    日</w:t>
      </w:r>
    </w:p>
    <w:p>
      <w:pPr>
        <w:snapToGrid w:val="0"/>
        <w:spacing w:line="380" w:lineRule="exact"/>
        <w:ind w:firstLine="482" w:firstLineChars="200"/>
        <w:rPr>
          <w:rFonts w:hint="eastAsia"/>
          <w:b/>
          <w:bCs/>
          <w:color w:val="auto"/>
          <w:sz w:val="24"/>
          <w:highlight w:val="none"/>
        </w:rPr>
      </w:pPr>
      <w:r>
        <w:rPr>
          <w:b/>
          <w:bCs/>
          <w:color w:val="auto"/>
          <w:sz w:val="24"/>
          <w:highlight w:val="none"/>
        </w:rPr>
        <w:t>注：法定代表人或负责人、主体名称发生变更的应当重新做出承诺</w:t>
      </w:r>
      <w:r>
        <w:rPr>
          <w:rFonts w:hint="eastAsia"/>
          <w:b/>
          <w:bCs/>
          <w:color w:val="auto"/>
          <w:sz w:val="24"/>
          <w:highlight w:val="none"/>
        </w:rPr>
        <w:t>。</w:t>
      </w:r>
    </w:p>
    <w:p>
      <w:pPr>
        <w:snapToGrid w:val="0"/>
        <w:spacing w:line="380" w:lineRule="exact"/>
        <w:ind w:firstLine="458" w:firstLineChars="200"/>
        <w:rPr>
          <w:rFonts w:ascii="宋体"/>
          <w:sz w:val="28"/>
          <w:szCs w:val="28"/>
        </w:rPr>
      </w:pPr>
      <w:r>
        <w:rPr>
          <w:rFonts w:hint="eastAsia"/>
          <w:b/>
          <w:bCs/>
          <w:color w:val="auto"/>
          <w:spacing w:val="-6"/>
          <w:sz w:val="24"/>
          <w:highlight w:val="none"/>
        </w:rPr>
        <w:t>《信用承诺书》一式三份由信用承诺对象填写，一份由信用承诺对象留存、一份由代理机构留存、一份由财政部门留存。</w:t>
      </w:r>
      <w:r>
        <w:rPr>
          <w:rFonts w:hint="eastAsia"/>
          <w:b/>
          <w:bCs/>
          <w:color w:val="auto"/>
          <w:spacing w:val="-6"/>
          <w:sz w:val="24"/>
          <w:highlight w:val="none"/>
          <w:u w:val="single"/>
        </w:rPr>
        <w:t>开标时须单独提交两份《信用承诺书》给代理机构。</w:t>
      </w:r>
    </w:p>
    <w:p/>
    <w:p>
      <w:pPr>
        <w:rPr>
          <w:rFonts w:hint="eastAsia" w:ascii="宋体" w:hAnsi="宋体" w:cs="宋体"/>
          <w:b/>
          <w:bCs/>
          <w:color w:val="auto"/>
          <w:sz w:val="24"/>
        </w:rPr>
      </w:pPr>
    </w:p>
    <w:p>
      <w:pPr>
        <w:spacing w:before="44"/>
        <w:ind w:left="308" w:right="0" w:firstLine="0"/>
        <w:jc w:val="left"/>
        <w:rPr>
          <w:b/>
          <w:color w:val="auto"/>
          <w:sz w:val="30"/>
        </w:rPr>
      </w:pPr>
      <w:r>
        <w:rPr>
          <w:b/>
          <w:color w:val="auto"/>
          <w:sz w:val="30"/>
        </w:rPr>
        <w:t>附件：</w:t>
      </w:r>
    </w:p>
    <w:p>
      <w:pPr>
        <w:spacing w:before="44"/>
        <w:ind w:left="308" w:right="0" w:firstLine="0"/>
        <w:jc w:val="center"/>
        <w:rPr>
          <w:b/>
          <w:color w:val="auto"/>
          <w:sz w:val="30"/>
        </w:rPr>
      </w:pPr>
      <w:r>
        <w:rPr>
          <w:b/>
          <w:color w:val="auto"/>
          <w:sz w:val="30"/>
        </w:rPr>
        <w:t>无重大违法记录声明函</w:t>
      </w:r>
    </w:p>
    <w:p>
      <w:pPr>
        <w:pStyle w:val="12"/>
        <w:spacing w:before="253"/>
        <w:ind w:left="308"/>
        <w:rPr>
          <w:color w:val="auto"/>
          <w:sz w:val="24"/>
          <w:szCs w:val="24"/>
          <w:highlight w:val="none"/>
        </w:rPr>
      </w:pPr>
      <w:r>
        <w:rPr>
          <w:color w:val="auto"/>
          <w:sz w:val="24"/>
          <w:szCs w:val="24"/>
          <w:highlight w:val="none"/>
        </w:rPr>
        <w:t>致：</w:t>
      </w:r>
      <w:r>
        <w:rPr>
          <w:color w:val="auto"/>
          <w:sz w:val="24"/>
          <w:szCs w:val="24"/>
          <w:highlight w:val="none"/>
          <w:u w:val="single"/>
        </w:rPr>
        <w:t xml:space="preserve"> </w:t>
      </w:r>
      <w:r>
        <w:rPr>
          <w:rFonts w:hint="eastAsia"/>
          <w:color w:val="auto"/>
          <w:sz w:val="24"/>
          <w:szCs w:val="24"/>
          <w:highlight w:val="none"/>
          <w:u w:val="single"/>
          <w:lang w:eastAsia="zh-CN"/>
        </w:rPr>
        <w:t>（采购人）</w:t>
      </w:r>
      <w:r>
        <w:rPr>
          <w:color w:val="auto"/>
          <w:sz w:val="24"/>
          <w:szCs w:val="24"/>
          <w:highlight w:val="none"/>
          <w:u w:val="single"/>
        </w:rPr>
        <w:t xml:space="preserve"> </w:t>
      </w:r>
    </w:p>
    <w:p>
      <w:pPr>
        <w:pStyle w:val="12"/>
        <w:spacing w:before="12"/>
        <w:rPr>
          <w:color w:val="auto"/>
          <w:sz w:val="24"/>
          <w:szCs w:val="24"/>
          <w:highlight w:val="none"/>
        </w:rPr>
      </w:pPr>
    </w:p>
    <w:p>
      <w:pPr>
        <w:pStyle w:val="12"/>
        <w:tabs>
          <w:tab w:val="left" w:pos="3668"/>
        </w:tabs>
        <w:spacing w:before="74"/>
        <w:ind w:left="788"/>
        <w:rPr>
          <w:color w:val="auto"/>
          <w:sz w:val="24"/>
          <w:szCs w:val="24"/>
          <w:highlight w:val="none"/>
        </w:rPr>
      </w:pPr>
      <w:r>
        <w:rPr>
          <w:color w:val="auto"/>
          <w:sz w:val="24"/>
          <w:szCs w:val="24"/>
          <w:highlight w:val="none"/>
        </w:rPr>
        <w:t>我单位</w:t>
      </w:r>
      <w:r>
        <w:rPr>
          <w:color w:val="auto"/>
          <w:sz w:val="24"/>
          <w:szCs w:val="24"/>
          <w:highlight w:val="none"/>
          <w:u w:val="single"/>
        </w:rPr>
        <w:t xml:space="preserve"> </w:t>
      </w:r>
      <w:r>
        <w:rPr>
          <w:color w:val="auto"/>
          <w:sz w:val="24"/>
          <w:szCs w:val="24"/>
          <w:highlight w:val="none"/>
          <w:u w:val="single"/>
        </w:rPr>
        <w:tab/>
      </w:r>
      <w:r>
        <w:rPr>
          <w:color w:val="auto"/>
          <w:sz w:val="24"/>
          <w:szCs w:val="24"/>
          <w:highlight w:val="none"/>
        </w:rPr>
        <w:t>（供应商名称）郑重声明：</w:t>
      </w:r>
    </w:p>
    <w:p>
      <w:pPr>
        <w:pStyle w:val="12"/>
        <w:spacing w:before="9"/>
        <w:rPr>
          <w:color w:val="auto"/>
          <w:sz w:val="24"/>
          <w:szCs w:val="24"/>
          <w:highlight w:val="none"/>
        </w:rPr>
      </w:pPr>
    </w:p>
    <w:p>
      <w:pPr>
        <w:pStyle w:val="12"/>
        <w:spacing w:line="487" w:lineRule="auto"/>
        <w:ind w:left="308" w:right="273" w:firstLine="480"/>
        <w:jc w:val="both"/>
        <w:rPr>
          <w:color w:val="auto"/>
          <w:sz w:val="24"/>
          <w:szCs w:val="24"/>
          <w:highlight w:val="none"/>
        </w:rPr>
      </w:pPr>
      <w:r>
        <w:rPr>
          <w:color w:val="auto"/>
          <w:spacing w:val="-4"/>
          <w:sz w:val="24"/>
          <w:szCs w:val="24"/>
          <w:highlight w:val="none"/>
        </w:rPr>
        <w:t>我单位参加政府采购活动前三年内，在经营活动中</w:t>
      </w:r>
      <w:r>
        <w:rPr>
          <w:color w:val="auto"/>
          <w:spacing w:val="-4"/>
          <w:sz w:val="24"/>
          <w:szCs w:val="24"/>
          <w:highlight w:val="none"/>
          <w:u w:val="thick"/>
        </w:rPr>
        <w:t xml:space="preserve"> </w:t>
      </w:r>
      <w:r>
        <w:rPr>
          <w:b/>
          <w:color w:val="auto"/>
          <w:spacing w:val="-17"/>
          <w:sz w:val="24"/>
          <w:szCs w:val="24"/>
          <w:highlight w:val="none"/>
          <w:u w:val="thick"/>
        </w:rPr>
        <w:t xml:space="preserve">没有 </w:t>
      </w:r>
      <w:r>
        <w:rPr>
          <w:color w:val="auto"/>
          <w:spacing w:val="-3"/>
          <w:sz w:val="24"/>
          <w:szCs w:val="24"/>
          <w:highlight w:val="none"/>
          <w:u w:val="thick"/>
        </w:rPr>
        <w:t>（</w:t>
      </w:r>
      <w:r>
        <w:rPr>
          <w:color w:val="auto"/>
          <w:spacing w:val="-2"/>
          <w:sz w:val="24"/>
          <w:szCs w:val="24"/>
          <w:highlight w:val="none"/>
        </w:rPr>
        <w:t xml:space="preserve">在下划线上如实填写： </w:t>
      </w:r>
      <w:r>
        <w:rPr>
          <w:color w:val="auto"/>
          <w:sz w:val="24"/>
          <w:szCs w:val="24"/>
          <w:highlight w:val="none"/>
        </w:rPr>
        <w:t>有或没有）重大违法记录，特此声明。</w:t>
      </w:r>
    </w:p>
    <w:p>
      <w:pPr>
        <w:pStyle w:val="12"/>
        <w:spacing w:line="487" w:lineRule="auto"/>
        <w:ind w:left="308" w:right="396" w:firstLine="480"/>
        <w:jc w:val="both"/>
        <w:rPr>
          <w:color w:val="auto"/>
          <w:sz w:val="24"/>
          <w:szCs w:val="24"/>
          <w:highlight w:val="none"/>
        </w:rPr>
      </w:pPr>
      <w:r>
        <w:rPr>
          <w:color w:val="auto"/>
          <w:sz w:val="24"/>
          <w:szCs w:val="24"/>
          <w:highlight w:val="none"/>
        </w:rPr>
        <w:t>（说明：政府采购法第二十二条第一款第五项所称重大违法记录，是指供应商因违法经营受到刑事处罚或者责令停产停业、吊销许可证或者执照、较大数额罚款等行政处罚。）</w:t>
      </w:r>
    </w:p>
    <w:p>
      <w:pPr>
        <w:pStyle w:val="12"/>
        <w:ind w:left="0" w:leftChars="0" w:firstLine="0" w:firstLineChars="0"/>
        <w:rPr>
          <w:color w:val="auto"/>
          <w:sz w:val="24"/>
          <w:szCs w:val="24"/>
          <w:highlight w:val="none"/>
        </w:rPr>
      </w:pPr>
    </w:p>
    <w:p>
      <w:pPr>
        <w:pStyle w:val="12"/>
        <w:rPr>
          <w:color w:val="auto"/>
          <w:sz w:val="24"/>
          <w:szCs w:val="24"/>
          <w:highlight w:val="none"/>
        </w:rPr>
      </w:pPr>
    </w:p>
    <w:p>
      <w:pPr>
        <w:pStyle w:val="12"/>
        <w:spacing w:before="4"/>
        <w:rPr>
          <w:color w:val="auto"/>
          <w:sz w:val="24"/>
          <w:szCs w:val="24"/>
          <w:highlight w:val="none"/>
        </w:rPr>
      </w:pPr>
    </w:p>
    <w:p>
      <w:pPr>
        <w:pStyle w:val="12"/>
        <w:ind w:left="788"/>
        <w:rPr>
          <w:color w:val="auto"/>
          <w:sz w:val="24"/>
          <w:szCs w:val="24"/>
          <w:highlight w:val="none"/>
        </w:rPr>
      </w:pPr>
      <w:r>
        <w:rPr>
          <w:color w:val="auto"/>
          <w:spacing w:val="-30"/>
          <w:sz w:val="24"/>
          <w:szCs w:val="24"/>
          <w:highlight w:val="none"/>
        </w:rPr>
        <w:t>声明人：</w:t>
      </w:r>
      <w:r>
        <w:rPr>
          <w:color w:val="auto"/>
          <w:sz w:val="24"/>
          <w:szCs w:val="24"/>
          <w:highlight w:val="none"/>
        </w:rPr>
        <w:t>（填写名称并盖章）</w:t>
      </w:r>
    </w:p>
    <w:p>
      <w:pPr>
        <w:pStyle w:val="12"/>
        <w:rPr>
          <w:color w:val="auto"/>
          <w:sz w:val="24"/>
          <w:szCs w:val="24"/>
          <w:highlight w:val="none"/>
        </w:rPr>
      </w:pPr>
    </w:p>
    <w:p>
      <w:pPr>
        <w:pStyle w:val="12"/>
        <w:spacing w:before="1"/>
        <w:rPr>
          <w:color w:val="auto"/>
          <w:sz w:val="24"/>
          <w:szCs w:val="24"/>
          <w:highlight w:val="none"/>
        </w:rPr>
      </w:pPr>
    </w:p>
    <w:p>
      <w:pPr>
        <w:pStyle w:val="12"/>
        <w:ind w:left="788"/>
        <w:rPr>
          <w:color w:val="auto"/>
          <w:sz w:val="24"/>
          <w:szCs w:val="24"/>
          <w:highlight w:val="none"/>
        </w:rPr>
      </w:pPr>
      <w:r>
        <w:rPr>
          <w:color w:val="auto"/>
          <w:spacing w:val="-11"/>
          <w:sz w:val="24"/>
          <w:szCs w:val="24"/>
          <w:highlight w:val="none"/>
        </w:rPr>
        <w:t>法定代表人或授权代表：</w:t>
      </w:r>
      <w:r>
        <w:rPr>
          <w:color w:val="auto"/>
          <w:sz w:val="24"/>
          <w:szCs w:val="24"/>
          <w:highlight w:val="none"/>
        </w:rPr>
        <w:t>（签字或盖章）</w:t>
      </w:r>
    </w:p>
    <w:p>
      <w:pPr>
        <w:pStyle w:val="12"/>
        <w:rPr>
          <w:color w:val="auto"/>
          <w:sz w:val="24"/>
          <w:szCs w:val="24"/>
          <w:highlight w:val="none"/>
        </w:rPr>
      </w:pPr>
    </w:p>
    <w:p>
      <w:pPr>
        <w:pStyle w:val="12"/>
        <w:rPr>
          <w:color w:val="auto"/>
          <w:sz w:val="24"/>
          <w:szCs w:val="24"/>
          <w:highlight w:val="none"/>
        </w:rPr>
      </w:pPr>
    </w:p>
    <w:p>
      <w:pPr>
        <w:pStyle w:val="12"/>
        <w:tabs>
          <w:tab w:val="left" w:pos="2648"/>
          <w:tab w:val="left" w:pos="3248"/>
        </w:tabs>
        <w:spacing w:before="1"/>
        <w:ind w:left="788"/>
        <w:rPr>
          <w:color w:val="auto"/>
          <w:sz w:val="24"/>
          <w:szCs w:val="24"/>
          <w:highlight w:val="none"/>
        </w:rPr>
      </w:pPr>
      <w:r>
        <w:rPr>
          <w:color w:val="auto"/>
          <w:sz w:val="24"/>
          <w:szCs w:val="24"/>
          <w:highlight w:val="none"/>
        </w:rPr>
        <w:t>日期：</w:t>
      </w:r>
      <w:r>
        <w:rPr>
          <w:rFonts w:hint="eastAsia"/>
          <w:color w:val="auto"/>
          <w:sz w:val="24"/>
          <w:szCs w:val="24"/>
          <w:highlight w:val="none"/>
          <w:lang w:val="en-US" w:eastAsia="zh-CN"/>
        </w:rPr>
        <w:t xml:space="preserve">    </w:t>
      </w:r>
      <w:r>
        <w:rPr>
          <w:rFonts w:hint="eastAsia" w:ascii="Times New Roman"/>
          <w:color w:val="auto"/>
          <w:sz w:val="24"/>
          <w:szCs w:val="24"/>
          <w:highlight w:val="none"/>
          <w:lang w:val="en-US" w:eastAsia="zh-CN"/>
        </w:rPr>
        <w:t xml:space="preserve"> </w:t>
      </w:r>
      <w:r>
        <w:rPr>
          <w:color w:val="auto"/>
          <w:sz w:val="24"/>
          <w:szCs w:val="24"/>
          <w:highlight w:val="none"/>
        </w:rPr>
        <w:t>年</w:t>
      </w:r>
      <w:r>
        <w:rPr>
          <w:color w:val="auto"/>
          <w:sz w:val="24"/>
          <w:szCs w:val="24"/>
          <w:highlight w:val="none"/>
        </w:rPr>
        <w:tab/>
      </w:r>
      <w:r>
        <w:rPr>
          <w:color w:val="auto"/>
          <w:sz w:val="24"/>
          <w:szCs w:val="24"/>
          <w:highlight w:val="none"/>
        </w:rPr>
        <w:t>月</w:t>
      </w:r>
      <w:r>
        <w:rPr>
          <w:color w:val="auto"/>
          <w:sz w:val="24"/>
          <w:szCs w:val="24"/>
          <w:highlight w:val="none"/>
        </w:rPr>
        <w:tab/>
      </w:r>
      <w:r>
        <w:rPr>
          <w:color w:val="auto"/>
          <w:sz w:val="24"/>
          <w:szCs w:val="24"/>
          <w:highlight w:val="none"/>
        </w:rPr>
        <w:t>日</w:t>
      </w:r>
    </w:p>
    <w:p>
      <w:pPr>
        <w:rPr>
          <w:b/>
          <w:color w:val="auto"/>
          <w:sz w:val="30"/>
        </w:rPr>
      </w:pPr>
    </w:p>
    <w:p>
      <w:pPr>
        <w:rPr>
          <w:rFonts w:hint="eastAsia" w:ascii="宋体" w:hAnsi="宋体" w:cs="宋体"/>
          <w:b/>
          <w:bCs/>
          <w:color w:val="auto"/>
          <w:sz w:val="24"/>
        </w:rPr>
      </w:pPr>
    </w:p>
    <w:p>
      <w:pPr>
        <w:pStyle w:val="2"/>
        <w:rPr>
          <w:color w:val="auto"/>
          <w:highlight w:val="none"/>
        </w:rPr>
      </w:pPr>
      <w:r>
        <w:rPr>
          <w:rFonts w:hint="eastAsia" w:ascii="Times New Roman" w:hAnsi="Times New Roman" w:cs="Times New Roman"/>
          <w:color w:val="auto"/>
          <w:sz w:val="28"/>
          <w:szCs w:val="28"/>
          <w:highlight w:val="none"/>
        </w:rPr>
        <w:br w:type="page"/>
      </w:r>
      <w:bookmarkStart w:id="2076" w:name="_Toc17496"/>
      <w:bookmarkStart w:id="2077" w:name="_Toc30074"/>
      <w:bookmarkStart w:id="2078" w:name="_Toc30449"/>
      <w:r>
        <w:rPr>
          <w:rFonts w:hint="eastAsia" w:ascii="Times New Roman" w:hAnsi="Times New Roman" w:cs="Times New Roman"/>
          <w:color w:val="auto"/>
          <w:sz w:val="28"/>
          <w:szCs w:val="28"/>
          <w:highlight w:val="none"/>
          <w:lang w:val="en-US" w:eastAsia="zh-CN"/>
        </w:rPr>
        <w:t>6、</w:t>
      </w:r>
      <w:r>
        <w:rPr>
          <w:rFonts w:hint="eastAsia" w:ascii="宋体" w:hAnsi="宋体" w:eastAsia="宋体" w:cs="宋体"/>
          <w:color w:val="auto"/>
          <w:sz w:val="32"/>
          <w:szCs w:val="32"/>
          <w:highlight w:val="none"/>
        </w:rPr>
        <w:t>供应商类似项目业绩一览表</w:t>
      </w:r>
      <w:bookmarkEnd w:id="2076"/>
      <w:bookmarkEnd w:id="2077"/>
      <w:bookmarkEnd w:id="2078"/>
    </w:p>
    <w:p>
      <w:pPr>
        <w:rPr>
          <w:color w:val="auto"/>
          <w:highlight w:val="none"/>
        </w:rPr>
      </w:pPr>
    </w:p>
    <w:p>
      <w:pPr>
        <w:jc w:val="center"/>
        <w:rPr>
          <w:b/>
          <w:bCs/>
          <w:color w:val="auto"/>
          <w:sz w:val="36"/>
          <w:szCs w:val="36"/>
          <w:highlight w:val="none"/>
        </w:rPr>
      </w:pPr>
      <w:r>
        <w:rPr>
          <w:rFonts w:hint="eastAsia"/>
          <w:b/>
          <w:bCs/>
          <w:color w:val="auto"/>
          <w:sz w:val="36"/>
          <w:szCs w:val="36"/>
          <w:highlight w:val="none"/>
        </w:rPr>
        <w:t>供应商类似项目业绩一览表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4" w:type="dxa"/>
          <w:bottom w:w="0" w:type="dxa"/>
          <w:right w:w="54" w:type="dxa"/>
        </w:tblCellMar>
      </w:tblPr>
      <w:tblGrid>
        <w:gridCol w:w="1100"/>
        <w:gridCol w:w="1440"/>
        <w:gridCol w:w="1320"/>
        <w:gridCol w:w="1161"/>
        <w:gridCol w:w="1260"/>
        <w:gridCol w:w="9"/>
        <w:gridCol w:w="1356"/>
        <w:gridCol w:w="9"/>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1100" w:type="dxa"/>
            <w:noWrap w:val="0"/>
            <w:vAlign w:val="center"/>
          </w:tcPr>
          <w:p>
            <w:pPr>
              <w:spacing w:line="360" w:lineRule="auto"/>
              <w:ind w:firstLine="110" w:firstLineChars="50"/>
              <w:jc w:val="center"/>
              <w:rPr>
                <w:b/>
                <w:color w:val="auto"/>
                <w:highlight w:val="none"/>
              </w:rPr>
            </w:pPr>
            <w:r>
              <w:rPr>
                <w:rFonts w:hint="eastAsia"/>
                <w:b/>
                <w:color w:val="auto"/>
                <w:highlight w:val="none"/>
              </w:rPr>
              <w:t>年份</w:t>
            </w:r>
          </w:p>
        </w:tc>
        <w:tc>
          <w:tcPr>
            <w:tcW w:w="1440" w:type="dxa"/>
            <w:noWrap w:val="0"/>
            <w:vAlign w:val="center"/>
          </w:tcPr>
          <w:p>
            <w:pPr>
              <w:spacing w:line="360" w:lineRule="auto"/>
              <w:jc w:val="center"/>
              <w:rPr>
                <w:b/>
                <w:color w:val="auto"/>
                <w:highlight w:val="none"/>
              </w:rPr>
            </w:pPr>
            <w:r>
              <w:rPr>
                <w:rFonts w:hint="eastAsia"/>
                <w:b/>
                <w:color w:val="auto"/>
                <w:highlight w:val="none"/>
              </w:rPr>
              <w:t>用户名称</w:t>
            </w:r>
          </w:p>
        </w:tc>
        <w:tc>
          <w:tcPr>
            <w:tcW w:w="1320" w:type="dxa"/>
            <w:noWrap w:val="0"/>
            <w:vAlign w:val="center"/>
          </w:tcPr>
          <w:p>
            <w:pPr>
              <w:spacing w:line="360" w:lineRule="auto"/>
              <w:jc w:val="center"/>
              <w:rPr>
                <w:b/>
                <w:color w:val="auto"/>
                <w:highlight w:val="none"/>
              </w:rPr>
            </w:pPr>
            <w:r>
              <w:rPr>
                <w:rFonts w:hint="eastAsia"/>
                <w:b/>
                <w:color w:val="auto"/>
                <w:highlight w:val="none"/>
              </w:rPr>
              <w:t>项目名称</w:t>
            </w:r>
          </w:p>
        </w:tc>
        <w:tc>
          <w:tcPr>
            <w:tcW w:w="1161" w:type="dxa"/>
            <w:noWrap w:val="0"/>
            <w:vAlign w:val="center"/>
          </w:tcPr>
          <w:p>
            <w:pPr>
              <w:spacing w:line="360" w:lineRule="auto"/>
              <w:jc w:val="center"/>
              <w:rPr>
                <w:b/>
                <w:color w:val="auto"/>
                <w:highlight w:val="none"/>
              </w:rPr>
            </w:pPr>
            <w:r>
              <w:rPr>
                <w:rFonts w:hint="eastAsia"/>
                <w:b/>
                <w:color w:val="auto"/>
                <w:highlight w:val="none"/>
              </w:rPr>
              <w:t>完成时间</w:t>
            </w:r>
          </w:p>
        </w:tc>
        <w:tc>
          <w:tcPr>
            <w:tcW w:w="1260" w:type="dxa"/>
            <w:noWrap w:val="0"/>
            <w:vAlign w:val="center"/>
          </w:tcPr>
          <w:p>
            <w:pPr>
              <w:spacing w:line="360" w:lineRule="auto"/>
              <w:ind w:firstLine="110" w:firstLineChars="50"/>
              <w:jc w:val="center"/>
              <w:rPr>
                <w:b/>
                <w:color w:val="auto"/>
                <w:highlight w:val="none"/>
              </w:rPr>
            </w:pPr>
            <w:r>
              <w:rPr>
                <w:rFonts w:hint="eastAsia"/>
                <w:b/>
                <w:color w:val="auto"/>
                <w:highlight w:val="none"/>
              </w:rPr>
              <w:t>合同金额</w:t>
            </w:r>
          </w:p>
        </w:tc>
        <w:tc>
          <w:tcPr>
            <w:tcW w:w="1374" w:type="dxa"/>
            <w:gridSpan w:val="3"/>
            <w:noWrap w:val="0"/>
            <w:vAlign w:val="center"/>
          </w:tcPr>
          <w:p>
            <w:pPr>
              <w:spacing w:line="360" w:lineRule="auto"/>
              <w:jc w:val="center"/>
              <w:rPr>
                <w:b/>
                <w:color w:val="auto"/>
                <w:highlight w:val="none"/>
              </w:rPr>
            </w:pPr>
            <w:r>
              <w:rPr>
                <w:rFonts w:hint="eastAsia"/>
                <w:b/>
                <w:color w:val="auto"/>
                <w:highlight w:val="none"/>
              </w:rPr>
              <w:t>完成项目质量</w:t>
            </w:r>
          </w:p>
        </w:tc>
        <w:tc>
          <w:tcPr>
            <w:tcW w:w="1025" w:type="dxa"/>
            <w:noWrap w:val="0"/>
            <w:vAlign w:val="center"/>
          </w:tcPr>
          <w:p>
            <w:pPr>
              <w:spacing w:line="360" w:lineRule="auto"/>
              <w:jc w:val="center"/>
              <w:rPr>
                <w:b/>
                <w:color w:val="auto"/>
                <w:highlight w:val="none"/>
              </w:rPr>
            </w:pPr>
            <w:r>
              <w:rPr>
                <w:rFonts w:hint="eastAsia"/>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567" w:hRule="atLeast"/>
          <w:jc w:val="center"/>
        </w:trPr>
        <w:tc>
          <w:tcPr>
            <w:tcW w:w="1100" w:type="dxa"/>
            <w:noWrap w:val="0"/>
            <w:vAlign w:val="center"/>
          </w:tcPr>
          <w:p>
            <w:pPr>
              <w:spacing w:line="360" w:lineRule="auto"/>
              <w:jc w:val="center"/>
              <w:rPr>
                <w:color w:val="auto"/>
                <w:highlight w:val="none"/>
              </w:rPr>
            </w:pPr>
          </w:p>
        </w:tc>
        <w:tc>
          <w:tcPr>
            <w:tcW w:w="1440" w:type="dxa"/>
            <w:noWrap w:val="0"/>
            <w:vAlign w:val="center"/>
          </w:tcPr>
          <w:p>
            <w:pPr>
              <w:spacing w:line="360" w:lineRule="auto"/>
              <w:jc w:val="center"/>
              <w:rPr>
                <w:color w:val="auto"/>
                <w:highlight w:val="none"/>
              </w:rPr>
            </w:pPr>
          </w:p>
        </w:tc>
        <w:tc>
          <w:tcPr>
            <w:tcW w:w="1320" w:type="dxa"/>
            <w:noWrap w:val="0"/>
            <w:vAlign w:val="center"/>
          </w:tcPr>
          <w:p>
            <w:pPr>
              <w:spacing w:line="360" w:lineRule="auto"/>
              <w:jc w:val="center"/>
              <w:rPr>
                <w:color w:val="auto"/>
                <w:highlight w:val="none"/>
              </w:rPr>
            </w:pPr>
          </w:p>
        </w:tc>
        <w:tc>
          <w:tcPr>
            <w:tcW w:w="1161" w:type="dxa"/>
            <w:noWrap w:val="0"/>
            <w:vAlign w:val="center"/>
          </w:tcPr>
          <w:p>
            <w:pPr>
              <w:spacing w:line="360" w:lineRule="auto"/>
              <w:jc w:val="center"/>
              <w:rPr>
                <w:color w:val="auto"/>
                <w:highlight w:val="none"/>
              </w:rPr>
            </w:pPr>
          </w:p>
        </w:tc>
        <w:tc>
          <w:tcPr>
            <w:tcW w:w="1260" w:type="dxa"/>
            <w:noWrap w:val="0"/>
            <w:vAlign w:val="center"/>
          </w:tcPr>
          <w:p>
            <w:pPr>
              <w:spacing w:line="360" w:lineRule="auto"/>
              <w:jc w:val="center"/>
              <w:rPr>
                <w:color w:val="auto"/>
                <w:highlight w:val="none"/>
              </w:rPr>
            </w:pPr>
          </w:p>
        </w:tc>
        <w:tc>
          <w:tcPr>
            <w:tcW w:w="1374" w:type="dxa"/>
            <w:gridSpan w:val="3"/>
            <w:noWrap w:val="0"/>
            <w:vAlign w:val="center"/>
          </w:tcPr>
          <w:p>
            <w:pPr>
              <w:spacing w:line="360" w:lineRule="auto"/>
              <w:jc w:val="center"/>
              <w:rPr>
                <w:color w:val="auto"/>
                <w:highlight w:val="none"/>
              </w:rPr>
            </w:pPr>
          </w:p>
        </w:tc>
        <w:tc>
          <w:tcPr>
            <w:tcW w:w="1025" w:type="dxa"/>
            <w:noWrap w:val="0"/>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567" w:hRule="atLeast"/>
          <w:jc w:val="center"/>
        </w:trPr>
        <w:tc>
          <w:tcPr>
            <w:tcW w:w="1100" w:type="dxa"/>
            <w:noWrap w:val="0"/>
            <w:vAlign w:val="center"/>
          </w:tcPr>
          <w:p>
            <w:pPr>
              <w:spacing w:line="360" w:lineRule="auto"/>
              <w:jc w:val="center"/>
              <w:rPr>
                <w:color w:val="auto"/>
                <w:highlight w:val="none"/>
              </w:rPr>
            </w:pPr>
          </w:p>
        </w:tc>
        <w:tc>
          <w:tcPr>
            <w:tcW w:w="1440" w:type="dxa"/>
            <w:noWrap w:val="0"/>
            <w:vAlign w:val="center"/>
          </w:tcPr>
          <w:p>
            <w:pPr>
              <w:spacing w:line="360" w:lineRule="auto"/>
              <w:jc w:val="center"/>
              <w:rPr>
                <w:color w:val="auto"/>
                <w:highlight w:val="none"/>
              </w:rPr>
            </w:pPr>
          </w:p>
        </w:tc>
        <w:tc>
          <w:tcPr>
            <w:tcW w:w="1320" w:type="dxa"/>
            <w:noWrap w:val="0"/>
            <w:vAlign w:val="center"/>
          </w:tcPr>
          <w:p>
            <w:pPr>
              <w:spacing w:line="360" w:lineRule="auto"/>
              <w:jc w:val="center"/>
              <w:rPr>
                <w:color w:val="auto"/>
                <w:highlight w:val="none"/>
              </w:rPr>
            </w:pPr>
          </w:p>
        </w:tc>
        <w:tc>
          <w:tcPr>
            <w:tcW w:w="1161" w:type="dxa"/>
            <w:noWrap w:val="0"/>
            <w:vAlign w:val="center"/>
          </w:tcPr>
          <w:p>
            <w:pPr>
              <w:spacing w:line="360" w:lineRule="auto"/>
              <w:jc w:val="center"/>
              <w:rPr>
                <w:color w:val="auto"/>
                <w:highlight w:val="none"/>
              </w:rPr>
            </w:pPr>
          </w:p>
        </w:tc>
        <w:tc>
          <w:tcPr>
            <w:tcW w:w="1260" w:type="dxa"/>
            <w:noWrap w:val="0"/>
            <w:vAlign w:val="center"/>
          </w:tcPr>
          <w:p>
            <w:pPr>
              <w:spacing w:line="360" w:lineRule="auto"/>
              <w:jc w:val="center"/>
              <w:rPr>
                <w:color w:val="auto"/>
                <w:highlight w:val="none"/>
              </w:rPr>
            </w:pPr>
          </w:p>
        </w:tc>
        <w:tc>
          <w:tcPr>
            <w:tcW w:w="1374" w:type="dxa"/>
            <w:gridSpan w:val="3"/>
            <w:noWrap w:val="0"/>
            <w:vAlign w:val="center"/>
          </w:tcPr>
          <w:p>
            <w:pPr>
              <w:spacing w:line="360" w:lineRule="auto"/>
              <w:jc w:val="center"/>
              <w:rPr>
                <w:color w:val="auto"/>
                <w:highlight w:val="none"/>
              </w:rPr>
            </w:pPr>
          </w:p>
        </w:tc>
        <w:tc>
          <w:tcPr>
            <w:tcW w:w="1025" w:type="dxa"/>
            <w:noWrap w:val="0"/>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567" w:hRule="atLeast"/>
          <w:jc w:val="center"/>
        </w:trPr>
        <w:tc>
          <w:tcPr>
            <w:tcW w:w="1100" w:type="dxa"/>
            <w:noWrap w:val="0"/>
            <w:vAlign w:val="center"/>
          </w:tcPr>
          <w:p>
            <w:pPr>
              <w:spacing w:line="360" w:lineRule="auto"/>
              <w:jc w:val="center"/>
              <w:rPr>
                <w:color w:val="auto"/>
                <w:highlight w:val="none"/>
              </w:rPr>
            </w:pPr>
          </w:p>
        </w:tc>
        <w:tc>
          <w:tcPr>
            <w:tcW w:w="1440" w:type="dxa"/>
            <w:noWrap w:val="0"/>
            <w:vAlign w:val="center"/>
          </w:tcPr>
          <w:p>
            <w:pPr>
              <w:spacing w:line="360" w:lineRule="auto"/>
              <w:jc w:val="center"/>
              <w:rPr>
                <w:color w:val="auto"/>
                <w:highlight w:val="none"/>
              </w:rPr>
            </w:pPr>
          </w:p>
        </w:tc>
        <w:tc>
          <w:tcPr>
            <w:tcW w:w="1320" w:type="dxa"/>
            <w:noWrap w:val="0"/>
            <w:vAlign w:val="center"/>
          </w:tcPr>
          <w:p>
            <w:pPr>
              <w:spacing w:line="360" w:lineRule="auto"/>
              <w:jc w:val="center"/>
              <w:rPr>
                <w:color w:val="auto"/>
                <w:highlight w:val="none"/>
              </w:rPr>
            </w:pPr>
          </w:p>
        </w:tc>
        <w:tc>
          <w:tcPr>
            <w:tcW w:w="1161" w:type="dxa"/>
            <w:noWrap w:val="0"/>
            <w:vAlign w:val="center"/>
          </w:tcPr>
          <w:p>
            <w:pPr>
              <w:spacing w:line="360" w:lineRule="auto"/>
              <w:jc w:val="center"/>
              <w:rPr>
                <w:color w:val="auto"/>
                <w:highlight w:val="none"/>
              </w:rPr>
            </w:pPr>
          </w:p>
        </w:tc>
        <w:tc>
          <w:tcPr>
            <w:tcW w:w="1269" w:type="dxa"/>
            <w:gridSpan w:val="2"/>
            <w:noWrap w:val="0"/>
            <w:vAlign w:val="center"/>
          </w:tcPr>
          <w:p>
            <w:pPr>
              <w:spacing w:line="360" w:lineRule="auto"/>
              <w:jc w:val="center"/>
              <w:rPr>
                <w:color w:val="auto"/>
                <w:highlight w:val="none"/>
              </w:rPr>
            </w:pPr>
          </w:p>
        </w:tc>
        <w:tc>
          <w:tcPr>
            <w:tcW w:w="1365" w:type="dxa"/>
            <w:gridSpan w:val="2"/>
            <w:noWrap w:val="0"/>
            <w:vAlign w:val="center"/>
          </w:tcPr>
          <w:p>
            <w:pPr>
              <w:spacing w:line="360" w:lineRule="auto"/>
              <w:jc w:val="center"/>
              <w:rPr>
                <w:color w:val="auto"/>
                <w:highlight w:val="none"/>
              </w:rPr>
            </w:pPr>
          </w:p>
        </w:tc>
        <w:tc>
          <w:tcPr>
            <w:tcW w:w="1025" w:type="dxa"/>
            <w:noWrap w:val="0"/>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567" w:hRule="atLeast"/>
          <w:jc w:val="center"/>
        </w:trPr>
        <w:tc>
          <w:tcPr>
            <w:tcW w:w="1100" w:type="dxa"/>
            <w:noWrap w:val="0"/>
            <w:vAlign w:val="center"/>
          </w:tcPr>
          <w:p>
            <w:pPr>
              <w:spacing w:line="360" w:lineRule="auto"/>
              <w:jc w:val="center"/>
              <w:rPr>
                <w:color w:val="auto"/>
                <w:highlight w:val="none"/>
              </w:rPr>
            </w:pPr>
          </w:p>
        </w:tc>
        <w:tc>
          <w:tcPr>
            <w:tcW w:w="1440" w:type="dxa"/>
            <w:noWrap w:val="0"/>
            <w:vAlign w:val="center"/>
          </w:tcPr>
          <w:p>
            <w:pPr>
              <w:spacing w:line="360" w:lineRule="auto"/>
              <w:jc w:val="center"/>
              <w:rPr>
                <w:color w:val="auto"/>
                <w:highlight w:val="none"/>
              </w:rPr>
            </w:pPr>
          </w:p>
        </w:tc>
        <w:tc>
          <w:tcPr>
            <w:tcW w:w="1320" w:type="dxa"/>
            <w:noWrap w:val="0"/>
            <w:vAlign w:val="center"/>
          </w:tcPr>
          <w:p>
            <w:pPr>
              <w:spacing w:line="360" w:lineRule="auto"/>
              <w:jc w:val="center"/>
              <w:rPr>
                <w:color w:val="auto"/>
                <w:highlight w:val="none"/>
              </w:rPr>
            </w:pPr>
          </w:p>
        </w:tc>
        <w:tc>
          <w:tcPr>
            <w:tcW w:w="1161" w:type="dxa"/>
            <w:noWrap w:val="0"/>
            <w:vAlign w:val="center"/>
          </w:tcPr>
          <w:p>
            <w:pPr>
              <w:spacing w:line="360" w:lineRule="auto"/>
              <w:jc w:val="center"/>
              <w:rPr>
                <w:color w:val="auto"/>
                <w:highlight w:val="none"/>
              </w:rPr>
            </w:pPr>
          </w:p>
        </w:tc>
        <w:tc>
          <w:tcPr>
            <w:tcW w:w="1269" w:type="dxa"/>
            <w:gridSpan w:val="2"/>
            <w:noWrap w:val="0"/>
            <w:vAlign w:val="center"/>
          </w:tcPr>
          <w:p>
            <w:pPr>
              <w:spacing w:line="360" w:lineRule="auto"/>
              <w:jc w:val="center"/>
              <w:rPr>
                <w:color w:val="auto"/>
                <w:highlight w:val="none"/>
              </w:rPr>
            </w:pPr>
          </w:p>
        </w:tc>
        <w:tc>
          <w:tcPr>
            <w:tcW w:w="1356" w:type="dxa"/>
            <w:noWrap w:val="0"/>
            <w:vAlign w:val="center"/>
          </w:tcPr>
          <w:p>
            <w:pPr>
              <w:spacing w:line="360" w:lineRule="auto"/>
              <w:jc w:val="center"/>
              <w:rPr>
                <w:color w:val="auto"/>
                <w:highlight w:val="none"/>
              </w:rPr>
            </w:pPr>
          </w:p>
        </w:tc>
        <w:tc>
          <w:tcPr>
            <w:tcW w:w="1034" w:type="dxa"/>
            <w:gridSpan w:val="2"/>
            <w:noWrap w:val="0"/>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567" w:hRule="atLeast"/>
          <w:jc w:val="center"/>
        </w:trPr>
        <w:tc>
          <w:tcPr>
            <w:tcW w:w="1100" w:type="dxa"/>
            <w:noWrap w:val="0"/>
            <w:vAlign w:val="center"/>
          </w:tcPr>
          <w:p>
            <w:pPr>
              <w:spacing w:line="360" w:lineRule="auto"/>
              <w:jc w:val="center"/>
              <w:rPr>
                <w:color w:val="auto"/>
                <w:highlight w:val="none"/>
              </w:rPr>
            </w:pPr>
          </w:p>
        </w:tc>
        <w:tc>
          <w:tcPr>
            <w:tcW w:w="1440" w:type="dxa"/>
            <w:noWrap w:val="0"/>
            <w:vAlign w:val="center"/>
          </w:tcPr>
          <w:p>
            <w:pPr>
              <w:spacing w:line="360" w:lineRule="auto"/>
              <w:jc w:val="center"/>
              <w:rPr>
                <w:color w:val="auto"/>
                <w:highlight w:val="none"/>
              </w:rPr>
            </w:pPr>
          </w:p>
        </w:tc>
        <w:tc>
          <w:tcPr>
            <w:tcW w:w="1320" w:type="dxa"/>
            <w:noWrap w:val="0"/>
            <w:vAlign w:val="center"/>
          </w:tcPr>
          <w:p>
            <w:pPr>
              <w:spacing w:line="360" w:lineRule="auto"/>
              <w:jc w:val="center"/>
              <w:rPr>
                <w:color w:val="auto"/>
                <w:highlight w:val="none"/>
              </w:rPr>
            </w:pPr>
          </w:p>
        </w:tc>
        <w:tc>
          <w:tcPr>
            <w:tcW w:w="1161" w:type="dxa"/>
            <w:noWrap w:val="0"/>
            <w:vAlign w:val="center"/>
          </w:tcPr>
          <w:p>
            <w:pPr>
              <w:spacing w:line="360" w:lineRule="auto"/>
              <w:jc w:val="center"/>
              <w:rPr>
                <w:color w:val="auto"/>
                <w:highlight w:val="none"/>
              </w:rPr>
            </w:pPr>
          </w:p>
        </w:tc>
        <w:tc>
          <w:tcPr>
            <w:tcW w:w="1269" w:type="dxa"/>
            <w:gridSpan w:val="2"/>
            <w:noWrap w:val="0"/>
            <w:vAlign w:val="center"/>
          </w:tcPr>
          <w:p>
            <w:pPr>
              <w:spacing w:line="360" w:lineRule="auto"/>
              <w:jc w:val="center"/>
              <w:rPr>
                <w:color w:val="auto"/>
                <w:highlight w:val="none"/>
              </w:rPr>
            </w:pPr>
          </w:p>
        </w:tc>
        <w:tc>
          <w:tcPr>
            <w:tcW w:w="1356" w:type="dxa"/>
            <w:noWrap w:val="0"/>
            <w:vAlign w:val="center"/>
          </w:tcPr>
          <w:p>
            <w:pPr>
              <w:spacing w:line="360" w:lineRule="auto"/>
              <w:jc w:val="center"/>
              <w:rPr>
                <w:color w:val="auto"/>
                <w:highlight w:val="none"/>
              </w:rPr>
            </w:pPr>
          </w:p>
        </w:tc>
        <w:tc>
          <w:tcPr>
            <w:tcW w:w="1034" w:type="dxa"/>
            <w:gridSpan w:val="2"/>
            <w:noWrap w:val="0"/>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567" w:hRule="atLeast"/>
          <w:jc w:val="center"/>
        </w:trPr>
        <w:tc>
          <w:tcPr>
            <w:tcW w:w="1100" w:type="dxa"/>
            <w:noWrap w:val="0"/>
            <w:vAlign w:val="center"/>
          </w:tcPr>
          <w:p>
            <w:pPr>
              <w:spacing w:line="360" w:lineRule="auto"/>
              <w:jc w:val="center"/>
              <w:rPr>
                <w:color w:val="auto"/>
                <w:highlight w:val="none"/>
              </w:rPr>
            </w:pPr>
          </w:p>
        </w:tc>
        <w:tc>
          <w:tcPr>
            <w:tcW w:w="1440" w:type="dxa"/>
            <w:noWrap w:val="0"/>
            <w:vAlign w:val="center"/>
          </w:tcPr>
          <w:p>
            <w:pPr>
              <w:spacing w:line="360" w:lineRule="auto"/>
              <w:jc w:val="center"/>
              <w:rPr>
                <w:color w:val="auto"/>
                <w:highlight w:val="none"/>
              </w:rPr>
            </w:pPr>
          </w:p>
        </w:tc>
        <w:tc>
          <w:tcPr>
            <w:tcW w:w="1320" w:type="dxa"/>
            <w:noWrap w:val="0"/>
            <w:vAlign w:val="center"/>
          </w:tcPr>
          <w:p>
            <w:pPr>
              <w:spacing w:line="360" w:lineRule="auto"/>
              <w:jc w:val="center"/>
              <w:rPr>
                <w:color w:val="auto"/>
                <w:highlight w:val="none"/>
              </w:rPr>
            </w:pPr>
          </w:p>
        </w:tc>
        <w:tc>
          <w:tcPr>
            <w:tcW w:w="1161" w:type="dxa"/>
            <w:noWrap w:val="0"/>
            <w:vAlign w:val="center"/>
          </w:tcPr>
          <w:p>
            <w:pPr>
              <w:spacing w:line="360" w:lineRule="auto"/>
              <w:jc w:val="center"/>
              <w:rPr>
                <w:color w:val="auto"/>
                <w:highlight w:val="none"/>
              </w:rPr>
            </w:pPr>
          </w:p>
        </w:tc>
        <w:tc>
          <w:tcPr>
            <w:tcW w:w="1269" w:type="dxa"/>
            <w:gridSpan w:val="2"/>
            <w:noWrap w:val="0"/>
            <w:vAlign w:val="center"/>
          </w:tcPr>
          <w:p>
            <w:pPr>
              <w:spacing w:line="360" w:lineRule="auto"/>
              <w:jc w:val="center"/>
              <w:rPr>
                <w:color w:val="auto"/>
                <w:highlight w:val="none"/>
              </w:rPr>
            </w:pPr>
          </w:p>
        </w:tc>
        <w:tc>
          <w:tcPr>
            <w:tcW w:w="1356" w:type="dxa"/>
            <w:noWrap w:val="0"/>
            <w:vAlign w:val="center"/>
          </w:tcPr>
          <w:p>
            <w:pPr>
              <w:spacing w:line="360" w:lineRule="auto"/>
              <w:jc w:val="center"/>
              <w:rPr>
                <w:color w:val="auto"/>
                <w:highlight w:val="none"/>
              </w:rPr>
            </w:pPr>
          </w:p>
        </w:tc>
        <w:tc>
          <w:tcPr>
            <w:tcW w:w="1034" w:type="dxa"/>
            <w:gridSpan w:val="2"/>
            <w:noWrap w:val="0"/>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567" w:hRule="atLeast"/>
          <w:jc w:val="center"/>
        </w:trPr>
        <w:tc>
          <w:tcPr>
            <w:tcW w:w="1100" w:type="dxa"/>
            <w:noWrap w:val="0"/>
            <w:vAlign w:val="center"/>
          </w:tcPr>
          <w:p>
            <w:pPr>
              <w:spacing w:line="360" w:lineRule="auto"/>
              <w:jc w:val="center"/>
              <w:rPr>
                <w:color w:val="auto"/>
                <w:highlight w:val="none"/>
              </w:rPr>
            </w:pPr>
          </w:p>
        </w:tc>
        <w:tc>
          <w:tcPr>
            <w:tcW w:w="1440" w:type="dxa"/>
            <w:noWrap w:val="0"/>
            <w:vAlign w:val="center"/>
          </w:tcPr>
          <w:p>
            <w:pPr>
              <w:spacing w:line="360" w:lineRule="auto"/>
              <w:jc w:val="center"/>
              <w:rPr>
                <w:color w:val="auto"/>
                <w:highlight w:val="none"/>
              </w:rPr>
            </w:pPr>
          </w:p>
        </w:tc>
        <w:tc>
          <w:tcPr>
            <w:tcW w:w="1320" w:type="dxa"/>
            <w:noWrap w:val="0"/>
            <w:vAlign w:val="center"/>
          </w:tcPr>
          <w:p>
            <w:pPr>
              <w:spacing w:line="360" w:lineRule="auto"/>
              <w:jc w:val="center"/>
              <w:rPr>
                <w:color w:val="auto"/>
                <w:highlight w:val="none"/>
              </w:rPr>
            </w:pPr>
          </w:p>
        </w:tc>
        <w:tc>
          <w:tcPr>
            <w:tcW w:w="1161" w:type="dxa"/>
            <w:noWrap w:val="0"/>
            <w:vAlign w:val="center"/>
          </w:tcPr>
          <w:p>
            <w:pPr>
              <w:spacing w:line="360" w:lineRule="auto"/>
              <w:jc w:val="center"/>
              <w:rPr>
                <w:color w:val="auto"/>
                <w:highlight w:val="none"/>
              </w:rPr>
            </w:pPr>
          </w:p>
        </w:tc>
        <w:tc>
          <w:tcPr>
            <w:tcW w:w="1269" w:type="dxa"/>
            <w:gridSpan w:val="2"/>
            <w:noWrap w:val="0"/>
            <w:vAlign w:val="center"/>
          </w:tcPr>
          <w:p>
            <w:pPr>
              <w:spacing w:line="360" w:lineRule="auto"/>
              <w:jc w:val="center"/>
              <w:rPr>
                <w:color w:val="auto"/>
                <w:highlight w:val="none"/>
              </w:rPr>
            </w:pPr>
          </w:p>
        </w:tc>
        <w:tc>
          <w:tcPr>
            <w:tcW w:w="1356" w:type="dxa"/>
            <w:noWrap w:val="0"/>
            <w:vAlign w:val="center"/>
          </w:tcPr>
          <w:p>
            <w:pPr>
              <w:spacing w:line="360" w:lineRule="auto"/>
              <w:jc w:val="center"/>
              <w:rPr>
                <w:color w:val="auto"/>
                <w:highlight w:val="none"/>
              </w:rPr>
            </w:pPr>
          </w:p>
        </w:tc>
        <w:tc>
          <w:tcPr>
            <w:tcW w:w="1034" w:type="dxa"/>
            <w:gridSpan w:val="2"/>
            <w:noWrap w:val="0"/>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567" w:hRule="atLeast"/>
          <w:jc w:val="center"/>
        </w:trPr>
        <w:tc>
          <w:tcPr>
            <w:tcW w:w="1100" w:type="dxa"/>
            <w:noWrap w:val="0"/>
            <w:vAlign w:val="center"/>
          </w:tcPr>
          <w:p>
            <w:pPr>
              <w:spacing w:line="360" w:lineRule="auto"/>
              <w:jc w:val="center"/>
              <w:rPr>
                <w:color w:val="auto"/>
                <w:highlight w:val="none"/>
              </w:rPr>
            </w:pPr>
          </w:p>
        </w:tc>
        <w:tc>
          <w:tcPr>
            <w:tcW w:w="1440" w:type="dxa"/>
            <w:noWrap w:val="0"/>
            <w:vAlign w:val="center"/>
          </w:tcPr>
          <w:p>
            <w:pPr>
              <w:spacing w:line="360" w:lineRule="auto"/>
              <w:jc w:val="center"/>
              <w:rPr>
                <w:color w:val="auto"/>
                <w:highlight w:val="none"/>
              </w:rPr>
            </w:pPr>
          </w:p>
        </w:tc>
        <w:tc>
          <w:tcPr>
            <w:tcW w:w="1320" w:type="dxa"/>
            <w:noWrap w:val="0"/>
            <w:vAlign w:val="center"/>
          </w:tcPr>
          <w:p>
            <w:pPr>
              <w:spacing w:line="360" w:lineRule="auto"/>
              <w:jc w:val="center"/>
              <w:rPr>
                <w:color w:val="auto"/>
                <w:highlight w:val="none"/>
              </w:rPr>
            </w:pPr>
          </w:p>
        </w:tc>
        <w:tc>
          <w:tcPr>
            <w:tcW w:w="1161" w:type="dxa"/>
            <w:noWrap w:val="0"/>
            <w:vAlign w:val="center"/>
          </w:tcPr>
          <w:p>
            <w:pPr>
              <w:spacing w:line="360" w:lineRule="auto"/>
              <w:jc w:val="center"/>
              <w:rPr>
                <w:color w:val="auto"/>
                <w:highlight w:val="none"/>
              </w:rPr>
            </w:pPr>
          </w:p>
        </w:tc>
        <w:tc>
          <w:tcPr>
            <w:tcW w:w="1269" w:type="dxa"/>
            <w:gridSpan w:val="2"/>
            <w:noWrap w:val="0"/>
            <w:vAlign w:val="center"/>
          </w:tcPr>
          <w:p>
            <w:pPr>
              <w:spacing w:line="360" w:lineRule="auto"/>
              <w:jc w:val="center"/>
              <w:rPr>
                <w:color w:val="auto"/>
                <w:highlight w:val="none"/>
              </w:rPr>
            </w:pPr>
          </w:p>
        </w:tc>
        <w:tc>
          <w:tcPr>
            <w:tcW w:w="1356" w:type="dxa"/>
            <w:noWrap w:val="0"/>
            <w:vAlign w:val="center"/>
          </w:tcPr>
          <w:p>
            <w:pPr>
              <w:spacing w:line="360" w:lineRule="auto"/>
              <w:jc w:val="center"/>
              <w:rPr>
                <w:color w:val="auto"/>
                <w:highlight w:val="none"/>
              </w:rPr>
            </w:pPr>
          </w:p>
        </w:tc>
        <w:tc>
          <w:tcPr>
            <w:tcW w:w="1034" w:type="dxa"/>
            <w:gridSpan w:val="2"/>
            <w:noWrap w:val="0"/>
            <w:vAlign w:val="center"/>
          </w:tcPr>
          <w:p>
            <w:pPr>
              <w:spacing w:line="360" w:lineRule="auto"/>
              <w:jc w:val="center"/>
              <w:rPr>
                <w:color w:val="auto"/>
                <w:highlight w:val="none"/>
              </w:rPr>
            </w:pPr>
          </w:p>
        </w:tc>
      </w:tr>
    </w:tbl>
    <w:p>
      <w:pPr>
        <w:adjustRightInd w:val="0"/>
        <w:spacing w:line="360" w:lineRule="auto"/>
        <w:ind w:firstLine="480" w:firstLineChars="200"/>
        <w:rPr>
          <w:color w:val="auto"/>
          <w:sz w:val="24"/>
          <w:highlight w:val="none"/>
        </w:rPr>
      </w:pPr>
      <w:r>
        <w:rPr>
          <w:rFonts w:hint="eastAsia"/>
          <w:color w:val="auto"/>
          <w:sz w:val="24"/>
          <w:highlight w:val="none"/>
        </w:rPr>
        <w:t>注：供应商（仅限于供应商自己实施的）以上业绩需提供合同复印件。</w:t>
      </w:r>
    </w:p>
    <w:p>
      <w:pPr>
        <w:adjustRightInd w:val="0"/>
        <w:spacing w:line="360" w:lineRule="auto"/>
        <w:ind w:firstLine="480" w:firstLineChars="200"/>
        <w:rPr>
          <w:color w:val="auto"/>
          <w:sz w:val="24"/>
          <w:highlight w:val="none"/>
        </w:rPr>
      </w:pPr>
    </w:p>
    <w:p>
      <w:pPr>
        <w:adjustRightInd w:val="0"/>
        <w:spacing w:line="360" w:lineRule="auto"/>
        <w:ind w:firstLine="480" w:firstLineChars="200"/>
        <w:rPr>
          <w:color w:val="auto"/>
          <w:sz w:val="24"/>
          <w:highlight w:val="none"/>
        </w:rPr>
      </w:pPr>
    </w:p>
    <w:p>
      <w:pPr>
        <w:adjustRightInd w:val="0"/>
        <w:snapToGrid w:val="0"/>
        <w:spacing w:before="120" w:beforeLines="50" w:after="120" w:afterLines="50"/>
        <w:ind w:firstLine="3840" w:firstLineChars="1600"/>
        <w:rPr>
          <w:color w:val="auto"/>
          <w:sz w:val="24"/>
          <w:highlight w:val="none"/>
        </w:rPr>
      </w:pPr>
      <w:r>
        <w:rPr>
          <w:rFonts w:hint="eastAsia"/>
          <w:color w:val="auto"/>
          <w:sz w:val="24"/>
          <w:highlight w:val="none"/>
        </w:rPr>
        <w:t>供应商：</w:t>
      </w:r>
      <w:r>
        <w:rPr>
          <w:rFonts w:hint="eastAsia"/>
          <w:iCs/>
          <w:color w:val="auto"/>
          <w:sz w:val="24"/>
          <w:highlight w:val="none"/>
        </w:rPr>
        <w:t>（填写名称并盖章）</w:t>
      </w:r>
    </w:p>
    <w:p>
      <w:pPr>
        <w:adjustRightInd w:val="0"/>
        <w:snapToGrid w:val="0"/>
        <w:spacing w:before="120" w:beforeLines="50"/>
        <w:ind w:firstLine="3840" w:firstLineChars="1600"/>
        <w:rPr>
          <w:iCs/>
          <w:color w:val="auto"/>
          <w:sz w:val="24"/>
          <w:highlight w:val="none"/>
        </w:rPr>
      </w:pPr>
      <w:r>
        <w:rPr>
          <w:rFonts w:hint="eastAsia"/>
          <w:color w:val="auto"/>
          <w:sz w:val="24"/>
          <w:highlight w:val="none"/>
        </w:rPr>
        <w:t>法人及授权代表：</w:t>
      </w:r>
      <w:r>
        <w:rPr>
          <w:rFonts w:hint="eastAsia"/>
          <w:iCs/>
          <w:color w:val="auto"/>
          <w:sz w:val="24"/>
          <w:highlight w:val="none"/>
        </w:rPr>
        <w:t>（签字或盖章）</w:t>
      </w:r>
    </w:p>
    <w:p>
      <w:pPr>
        <w:adjustRightInd w:val="0"/>
        <w:snapToGrid w:val="0"/>
        <w:spacing w:before="120" w:beforeLines="50"/>
        <w:ind w:firstLine="3840" w:firstLineChars="1600"/>
        <w:rPr>
          <w:iCs/>
          <w:color w:val="auto"/>
          <w:sz w:val="24"/>
          <w:highlight w:val="none"/>
        </w:rPr>
      </w:pPr>
      <w:r>
        <w:rPr>
          <w:rFonts w:hint="eastAsia"/>
          <w:iCs/>
          <w:color w:val="auto"/>
          <w:sz w:val="24"/>
          <w:highlight w:val="none"/>
        </w:rPr>
        <w:t>日期：</w:t>
      </w:r>
    </w:p>
    <w:p>
      <w:pPr>
        <w:adjustRightInd w:val="0"/>
        <w:snapToGrid w:val="0"/>
        <w:spacing w:before="120" w:beforeLines="50"/>
        <w:ind w:firstLine="3840" w:firstLineChars="1600"/>
        <w:rPr>
          <w:iCs/>
          <w:color w:val="auto"/>
          <w:sz w:val="24"/>
          <w:highlight w:val="none"/>
        </w:rPr>
      </w:pPr>
    </w:p>
    <w:p>
      <w:pPr>
        <w:adjustRightInd w:val="0"/>
        <w:snapToGrid w:val="0"/>
        <w:spacing w:before="120" w:beforeLines="50"/>
        <w:ind w:firstLine="3840" w:firstLineChars="1600"/>
        <w:rPr>
          <w:iCs/>
          <w:color w:val="auto"/>
          <w:sz w:val="24"/>
          <w:highlight w:val="none"/>
        </w:rPr>
      </w:pPr>
    </w:p>
    <w:p>
      <w:pPr>
        <w:adjustRightInd w:val="0"/>
        <w:snapToGrid w:val="0"/>
        <w:spacing w:before="120" w:beforeLines="50"/>
        <w:ind w:firstLine="3840" w:firstLineChars="1600"/>
        <w:rPr>
          <w:iCs/>
          <w:color w:val="auto"/>
          <w:sz w:val="24"/>
          <w:highlight w:val="none"/>
        </w:rPr>
      </w:pPr>
    </w:p>
    <w:p>
      <w:pPr>
        <w:adjustRightInd w:val="0"/>
        <w:snapToGrid w:val="0"/>
        <w:spacing w:before="120" w:beforeLines="50"/>
        <w:ind w:firstLine="3840" w:firstLineChars="1600"/>
        <w:rPr>
          <w:iCs/>
          <w:color w:val="auto"/>
          <w:sz w:val="24"/>
          <w:highlight w:val="none"/>
        </w:rPr>
      </w:pPr>
    </w:p>
    <w:p>
      <w:pPr>
        <w:adjustRightInd w:val="0"/>
        <w:snapToGrid w:val="0"/>
        <w:spacing w:before="120" w:beforeLines="50"/>
        <w:ind w:firstLine="3840" w:firstLineChars="1600"/>
        <w:rPr>
          <w:iCs/>
          <w:color w:val="auto"/>
          <w:sz w:val="24"/>
          <w:highlight w:val="none"/>
        </w:rPr>
      </w:pPr>
    </w:p>
    <w:p>
      <w:pPr>
        <w:adjustRightInd w:val="0"/>
        <w:snapToGrid w:val="0"/>
        <w:spacing w:before="120" w:beforeLines="50"/>
        <w:ind w:firstLine="3840" w:firstLineChars="1600"/>
        <w:rPr>
          <w:iCs/>
          <w:color w:val="auto"/>
          <w:sz w:val="24"/>
          <w:highlight w:val="none"/>
        </w:rPr>
      </w:pPr>
    </w:p>
    <w:p>
      <w:pPr>
        <w:adjustRightInd w:val="0"/>
        <w:snapToGrid w:val="0"/>
        <w:spacing w:before="120" w:beforeLines="50"/>
        <w:ind w:firstLine="3840" w:firstLineChars="1600"/>
        <w:rPr>
          <w:iCs/>
          <w:color w:val="auto"/>
          <w:sz w:val="24"/>
          <w:highlight w:val="none"/>
        </w:rPr>
      </w:pPr>
    </w:p>
    <w:p>
      <w:pPr>
        <w:adjustRightInd w:val="0"/>
        <w:snapToGrid w:val="0"/>
        <w:spacing w:before="120" w:beforeLines="50"/>
        <w:ind w:firstLine="3840" w:firstLineChars="1600"/>
        <w:rPr>
          <w:iCs/>
          <w:color w:val="auto"/>
          <w:sz w:val="24"/>
          <w:highlight w:val="none"/>
        </w:rPr>
      </w:pPr>
    </w:p>
    <w:p>
      <w:pPr>
        <w:adjustRightInd w:val="0"/>
        <w:snapToGrid w:val="0"/>
        <w:spacing w:before="120" w:beforeLines="50"/>
        <w:rPr>
          <w:iCs/>
          <w:color w:val="auto"/>
          <w:sz w:val="24"/>
          <w:highlight w:val="none"/>
        </w:rPr>
      </w:pPr>
    </w:p>
    <w:p>
      <w:pPr>
        <w:widowControl/>
        <w:rPr>
          <w:b/>
          <w:bCs/>
          <w:color w:val="auto"/>
          <w:sz w:val="32"/>
          <w:szCs w:val="36"/>
          <w:highlight w:val="none"/>
        </w:rPr>
      </w:pPr>
    </w:p>
    <w:p>
      <w:pPr>
        <w:pStyle w:val="2"/>
        <w:tabs>
          <w:tab w:val="left" w:pos="360"/>
          <w:tab w:val="left" w:pos="540"/>
        </w:tabs>
        <w:spacing w:before="120" w:beforeLines="50" w:after="120" w:afterLines="50"/>
        <w:rPr>
          <w:rFonts w:ascii="宋体" w:hAnsi="宋体" w:eastAsia="宋体" w:cs="宋体"/>
          <w:color w:val="auto"/>
          <w:sz w:val="32"/>
          <w:highlight w:val="none"/>
        </w:rPr>
      </w:pPr>
      <w:bookmarkStart w:id="2079" w:name="_Toc131"/>
      <w:bookmarkStart w:id="2080" w:name="_Toc16781"/>
      <w:bookmarkStart w:id="2081" w:name="_Toc6982"/>
      <w:r>
        <w:rPr>
          <w:rFonts w:hint="eastAsia" w:ascii="宋体" w:hAnsi="宋体" w:eastAsia="宋体" w:cs="宋体"/>
          <w:color w:val="auto"/>
          <w:sz w:val="32"/>
          <w:highlight w:val="none"/>
          <w:lang w:val="en-US" w:eastAsia="zh-CN"/>
        </w:rPr>
        <w:t>7、</w:t>
      </w:r>
      <w:r>
        <w:rPr>
          <w:rFonts w:hint="eastAsia" w:ascii="宋体" w:hAnsi="宋体" w:eastAsia="宋体" w:cs="宋体"/>
          <w:color w:val="auto"/>
          <w:sz w:val="32"/>
          <w:highlight w:val="none"/>
        </w:rPr>
        <w:t>反商业贿赂承诺书</w:t>
      </w:r>
      <w:bookmarkEnd w:id="2079"/>
      <w:bookmarkEnd w:id="2080"/>
      <w:bookmarkEnd w:id="2081"/>
    </w:p>
    <w:p>
      <w:pPr>
        <w:jc w:val="center"/>
        <w:rPr>
          <w:b/>
          <w:bCs/>
          <w:color w:val="auto"/>
          <w:sz w:val="36"/>
          <w:szCs w:val="36"/>
          <w:highlight w:val="none"/>
        </w:rPr>
      </w:pPr>
      <w:r>
        <w:rPr>
          <w:rFonts w:hint="eastAsia"/>
          <w:b/>
          <w:bCs/>
          <w:color w:val="auto"/>
          <w:sz w:val="36"/>
          <w:szCs w:val="36"/>
          <w:highlight w:val="none"/>
        </w:rPr>
        <w:t>反商业贿赂承诺书</w:t>
      </w:r>
    </w:p>
    <w:p>
      <w:pPr>
        <w:rPr>
          <w:b/>
          <w:color w:val="auto"/>
          <w:sz w:val="28"/>
          <w:szCs w:val="28"/>
          <w:highlight w:val="none"/>
        </w:rPr>
      </w:pPr>
      <w:r>
        <w:rPr>
          <w:rFonts w:hint="eastAsia"/>
          <w:b/>
          <w:color w:val="auto"/>
          <w:sz w:val="28"/>
          <w:szCs w:val="28"/>
          <w:highlight w:val="none"/>
        </w:rPr>
        <w:t>我公司郑重承诺：</w:t>
      </w:r>
    </w:p>
    <w:p>
      <w:pPr>
        <w:spacing w:line="360" w:lineRule="auto"/>
        <w:ind w:firstLine="480"/>
        <w:rPr>
          <w:color w:val="auto"/>
          <w:sz w:val="24"/>
          <w:highlight w:val="none"/>
        </w:rPr>
      </w:pPr>
      <w:r>
        <w:rPr>
          <w:rFonts w:hint="eastAsia"/>
          <w:color w:val="auto"/>
          <w:sz w:val="24"/>
          <w:highlight w:val="none"/>
        </w:rPr>
        <w:t>在</w:t>
      </w:r>
      <w:r>
        <w:rPr>
          <w:rFonts w:hint="eastAsia"/>
          <w:color w:val="auto"/>
          <w:sz w:val="24"/>
          <w:highlight w:val="none"/>
          <w:u w:val="single"/>
          <w:lang w:val="en-US"/>
        </w:rPr>
        <w:t xml:space="preserve">        </w:t>
      </w:r>
      <w:r>
        <w:rPr>
          <w:rFonts w:hint="eastAsia"/>
          <w:color w:val="auto"/>
          <w:sz w:val="24"/>
          <w:highlight w:val="none"/>
        </w:rPr>
        <w:t>磋商项目采购活动中，我公司保证做到：</w:t>
      </w:r>
    </w:p>
    <w:p>
      <w:pPr>
        <w:spacing w:line="360" w:lineRule="auto"/>
        <w:ind w:firstLine="480"/>
        <w:rPr>
          <w:color w:val="auto"/>
          <w:sz w:val="24"/>
          <w:highlight w:val="none"/>
        </w:rPr>
      </w:pPr>
      <w:r>
        <w:rPr>
          <w:rFonts w:hint="eastAsia"/>
          <w:color w:val="auto"/>
          <w:sz w:val="24"/>
          <w:highlight w:val="none"/>
        </w:rPr>
        <w:t>一、公平竞争参加本磋商项目。</w:t>
      </w:r>
    </w:p>
    <w:p>
      <w:pPr>
        <w:spacing w:line="360" w:lineRule="auto"/>
        <w:ind w:firstLine="480"/>
        <w:rPr>
          <w:color w:val="auto"/>
          <w:sz w:val="24"/>
          <w:highlight w:val="none"/>
        </w:rPr>
      </w:pPr>
      <w:r>
        <w:rPr>
          <w:rFonts w:hint="eastAsia"/>
          <w:color w:val="auto"/>
          <w:sz w:val="24"/>
          <w:highlight w:val="none"/>
        </w:rPr>
        <w:t>二、杜绝任何形式的商业贿赂行为。不向国家工作人员、政府采购代理机构工作人员、评审专家及其亲属提供礼品礼金、有价证券、购物券、回扣、佣金、咨询费、劳务费、赞助费、宣传费和宴请等；不为其报销各种消费凭证，不支付其旅游、娱乐等费用。</w:t>
      </w:r>
    </w:p>
    <w:p>
      <w:pPr>
        <w:spacing w:line="360" w:lineRule="auto"/>
        <w:ind w:firstLine="480"/>
        <w:rPr>
          <w:color w:val="auto"/>
          <w:sz w:val="24"/>
          <w:highlight w:val="none"/>
        </w:rPr>
      </w:pPr>
      <w:r>
        <w:rPr>
          <w:rFonts w:hint="eastAsia"/>
          <w:color w:val="auto"/>
          <w:sz w:val="24"/>
          <w:highlight w:val="none"/>
        </w:rPr>
        <w:t>三、若出现上述行为，我公司及参与磋商的工作人员愿意接受按照国家法律法规等有关规定给予的处罚。</w:t>
      </w:r>
    </w:p>
    <w:p>
      <w:pPr>
        <w:spacing w:line="360" w:lineRule="auto"/>
        <w:ind w:firstLine="480"/>
        <w:rPr>
          <w:color w:val="auto"/>
          <w:sz w:val="24"/>
          <w:highlight w:val="none"/>
        </w:rPr>
      </w:pPr>
    </w:p>
    <w:p>
      <w:pPr>
        <w:spacing w:line="360" w:lineRule="auto"/>
        <w:ind w:firstLine="480"/>
        <w:rPr>
          <w:color w:val="auto"/>
          <w:sz w:val="24"/>
          <w:highlight w:val="none"/>
        </w:rPr>
      </w:pPr>
    </w:p>
    <w:p>
      <w:pPr>
        <w:adjustRightInd w:val="0"/>
        <w:spacing w:line="360" w:lineRule="auto"/>
        <w:ind w:firstLine="480" w:firstLineChars="200"/>
        <w:rPr>
          <w:color w:val="auto"/>
          <w:sz w:val="24"/>
          <w:highlight w:val="none"/>
        </w:rPr>
      </w:pPr>
    </w:p>
    <w:p>
      <w:pPr>
        <w:adjustRightInd w:val="0"/>
        <w:snapToGrid w:val="0"/>
        <w:spacing w:before="120" w:beforeLines="50" w:after="120" w:afterLines="50"/>
        <w:ind w:firstLine="3840" w:firstLineChars="1600"/>
        <w:rPr>
          <w:color w:val="auto"/>
          <w:sz w:val="24"/>
          <w:highlight w:val="none"/>
        </w:rPr>
      </w:pPr>
      <w:r>
        <w:rPr>
          <w:rFonts w:hint="eastAsia"/>
          <w:color w:val="auto"/>
          <w:sz w:val="24"/>
          <w:highlight w:val="none"/>
        </w:rPr>
        <w:t>供应商：</w:t>
      </w:r>
      <w:r>
        <w:rPr>
          <w:rFonts w:hint="eastAsia"/>
          <w:iCs/>
          <w:color w:val="auto"/>
          <w:sz w:val="24"/>
          <w:highlight w:val="none"/>
        </w:rPr>
        <w:t>（填写名称并盖章）</w:t>
      </w:r>
    </w:p>
    <w:p>
      <w:pPr>
        <w:adjustRightInd w:val="0"/>
        <w:snapToGrid w:val="0"/>
        <w:spacing w:before="120" w:beforeLines="50"/>
        <w:ind w:firstLine="3840" w:firstLineChars="1600"/>
        <w:rPr>
          <w:iCs/>
          <w:color w:val="auto"/>
          <w:sz w:val="24"/>
          <w:highlight w:val="none"/>
        </w:rPr>
      </w:pPr>
      <w:r>
        <w:rPr>
          <w:rFonts w:hint="eastAsia"/>
          <w:color w:val="auto"/>
          <w:sz w:val="24"/>
          <w:highlight w:val="none"/>
        </w:rPr>
        <w:t>法人及授权代表：</w:t>
      </w:r>
      <w:r>
        <w:rPr>
          <w:rFonts w:hint="eastAsia"/>
          <w:iCs/>
          <w:color w:val="auto"/>
          <w:sz w:val="24"/>
          <w:highlight w:val="none"/>
        </w:rPr>
        <w:t>（签字或盖章）</w:t>
      </w:r>
    </w:p>
    <w:p>
      <w:pPr>
        <w:adjustRightInd w:val="0"/>
        <w:snapToGrid w:val="0"/>
        <w:spacing w:before="120" w:beforeLines="50"/>
        <w:ind w:firstLine="3840" w:firstLineChars="1600"/>
        <w:rPr>
          <w:iCs/>
          <w:color w:val="auto"/>
          <w:sz w:val="24"/>
          <w:highlight w:val="none"/>
        </w:rPr>
      </w:pPr>
      <w:r>
        <w:rPr>
          <w:rFonts w:hint="eastAsia"/>
          <w:iCs/>
          <w:color w:val="auto"/>
          <w:sz w:val="24"/>
          <w:highlight w:val="none"/>
        </w:rPr>
        <w:t>日期：</w:t>
      </w:r>
    </w:p>
    <w:p>
      <w:pPr>
        <w:adjustRightInd w:val="0"/>
        <w:snapToGrid w:val="0"/>
        <w:spacing w:before="120" w:beforeLines="50"/>
        <w:ind w:firstLine="3840" w:firstLineChars="1600"/>
        <w:rPr>
          <w:iCs/>
          <w:color w:val="auto"/>
          <w:sz w:val="24"/>
          <w:highlight w:val="none"/>
        </w:rPr>
      </w:pPr>
    </w:p>
    <w:p>
      <w:pPr>
        <w:adjustRightInd w:val="0"/>
        <w:snapToGrid w:val="0"/>
        <w:spacing w:before="120" w:beforeLines="50"/>
        <w:ind w:firstLine="3840" w:firstLineChars="1600"/>
        <w:rPr>
          <w:iCs/>
          <w:color w:val="auto"/>
          <w:sz w:val="24"/>
          <w:highlight w:val="none"/>
        </w:rPr>
      </w:pPr>
    </w:p>
    <w:p>
      <w:pPr>
        <w:adjustRightInd w:val="0"/>
        <w:snapToGrid w:val="0"/>
        <w:spacing w:before="120" w:beforeLines="50"/>
        <w:ind w:firstLine="3840" w:firstLineChars="1600"/>
        <w:rPr>
          <w:iCs/>
          <w:color w:val="auto"/>
          <w:sz w:val="24"/>
          <w:highlight w:val="none"/>
        </w:rPr>
      </w:pPr>
    </w:p>
    <w:p>
      <w:pPr>
        <w:adjustRightInd w:val="0"/>
        <w:snapToGrid w:val="0"/>
        <w:spacing w:before="120" w:beforeLines="50"/>
        <w:ind w:firstLine="3840" w:firstLineChars="1600"/>
        <w:rPr>
          <w:iCs/>
          <w:color w:val="auto"/>
          <w:sz w:val="24"/>
          <w:highlight w:val="none"/>
        </w:rPr>
      </w:pPr>
    </w:p>
    <w:p>
      <w:pPr>
        <w:adjustRightInd w:val="0"/>
        <w:snapToGrid w:val="0"/>
        <w:spacing w:before="120" w:beforeLines="50"/>
        <w:ind w:firstLine="3840" w:firstLineChars="1600"/>
        <w:rPr>
          <w:iCs/>
          <w:color w:val="auto"/>
          <w:sz w:val="24"/>
          <w:highlight w:val="none"/>
        </w:rPr>
      </w:pPr>
    </w:p>
    <w:p>
      <w:pPr>
        <w:adjustRightInd w:val="0"/>
        <w:snapToGrid w:val="0"/>
        <w:spacing w:before="120" w:beforeLines="50"/>
        <w:ind w:firstLine="3840" w:firstLineChars="1600"/>
        <w:rPr>
          <w:iCs/>
          <w:color w:val="auto"/>
          <w:sz w:val="24"/>
          <w:highlight w:val="none"/>
        </w:rPr>
      </w:pPr>
    </w:p>
    <w:p>
      <w:pPr>
        <w:adjustRightInd w:val="0"/>
        <w:snapToGrid w:val="0"/>
        <w:spacing w:before="120" w:beforeLines="50"/>
        <w:ind w:firstLine="3840" w:firstLineChars="1600"/>
        <w:rPr>
          <w:iCs/>
          <w:color w:val="auto"/>
          <w:sz w:val="24"/>
          <w:highlight w:val="none"/>
        </w:rPr>
      </w:pPr>
    </w:p>
    <w:p>
      <w:pPr>
        <w:adjustRightInd w:val="0"/>
        <w:snapToGrid w:val="0"/>
        <w:spacing w:before="120" w:beforeLines="50"/>
        <w:ind w:firstLine="3840" w:firstLineChars="1600"/>
        <w:rPr>
          <w:iCs/>
          <w:color w:val="auto"/>
          <w:sz w:val="24"/>
          <w:highlight w:val="none"/>
        </w:rPr>
      </w:pPr>
    </w:p>
    <w:p>
      <w:pPr>
        <w:adjustRightInd w:val="0"/>
        <w:snapToGrid w:val="0"/>
        <w:spacing w:before="120" w:beforeLines="50"/>
        <w:ind w:firstLine="3840" w:firstLineChars="1600"/>
        <w:rPr>
          <w:iCs/>
          <w:color w:val="auto"/>
          <w:sz w:val="24"/>
          <w:highlight w:val="none"/>
        </w:rPr>
      </w:pPr>
    </w:p>
    <w:p>
      <w:pPr>
        <w:pStyle w:val="2"/>
        <w:tabs>
          <w:tab w:val="left" w:pos="360"/>
          <w:tab w:val="left" w:pos="540"/>
        </w:tabs>
        <w:spacing w:before="120" w:beforeLines="50" w:after="120" w:afterLines="50"/>
        <w:rPr>
          <w:rFonts w:ascii="宋体" w:hAnsi="宋体" w:eastAsia="宋体" w:cs="宋体"/>
          <w:color w:val="auto"/>
          <w:sz w:val="32"/>
          <w:highlight w:val="none"/>
        </w:rPr>
      </w:pPr>
      <w:r>
        <w:rPr>
          <w:color w:val="auto"/>
          <w:sz w:val="32"/>
          <w:szCs w:val="32"/>
          <w:highlight w:val="none"/>
        </w:rPr>
        <w:br w:type="page"/>
      </w:r>
      <w:bookmarkStart w:id="2082" w:name="_Toc2844"/>
      <w:bookmarkStart w:id="2083" w:name="_Toc26394"/>
      <w:bookmarkStart w:id="2084" w:name="_Toc30997"/>
      <w:bookmarkStart w:id="2085" w:name="_Toc18119"/>
      <w:bookmarkStart w:id="2086" w:name="_Toc23004"/>
      <w:r>
        <w:rPr>
          <w:rFonts w:hint="eastAsia"/>
          <w:color w:val="auto"/>
          <w:sz w:val="32"/>
          <w:szCs w:val="32"/>
          <w:highlight w:val="none"/>
          <w:lang w:val="en-US" w:eastAsia="zh-CN"/>
        </w:rPr>
        <w:t>8、</w:t>
      </w:r>
      <w:r>
        <w:rPr>
          <w:rFonts w:hint="eastAsia" w:ascii="宋体" w:hAnsi="宋体" w:eastAsia="宋体" w:cs="宋体"/>
          <w:color w:val="auto"/>
          <w:sz w:val="32"/>
          <w:highlight w:val="none"/>
        </w:rPr>
        <w:t>承诺书</w:t>
      </w:r>
      <w:bookmarkEnd w:id="2082"/>
      <w:bookmarkEnd w:id="2083"/>
      <w:bookmarkEnd w:id="2084"/>
      <w:bookmarkEnd w:id="2085"/>
      <w:bookmarkEnd w:id="2086"/>
    </w:p>
    <w:p>
      <w:pPr>
        <w:jc w:val="center"/>
        <w:rPr>
          <w:b/>
          <w:bCs/>
          <w:color w:val="auto"/>
          <w:sz w:val="36"/>
          <w:szCs w:val="36"/>
          <w:highlight w:val="none"/>
        </w:rPr>
      </w:pPr>
      <w:r>
        <w:rPr>
          <w:rFonts w:hint="eastAsia"/>
          <w:b/>
          <w:bCs/>
          <w:color w:val="auto"/>
          <w:sz w:val="36"/>
          <w:szCs w:val="36"/>
          <w:highlight w:val="none"/>
        </w:rPr>
        <w:t>承诺书</w:t>
      </w:r>
    </w:p>
    <w:p>
      <w:pPr>
        <w:rPr>
          <w:b/>
          <w:color w:val="auto"/>
          <w:sz w:val="28"/>
          <w:szCs w:val="28"/>
          <w:highlight w:val="none"/>
        </w:rPr>
      </w:pPr>
      <w:r>
        <w:rPr>
          <w:rFonts w:hint="eastAsia"/>
          <w:b/>
          <w:color w:val="auto"/>
          <w:sz w:val="28"/>
          <w:szCs w:val="28"/>
          <w:highlight w:val="none"/>
        </w:rPr>
        <w:t>（招标人名称）：</w:t>
      </w:r>
    </w:p>
    <w:p>
      <w:pPr>
        <w:spacing w:line="360" w:lineRule="auto"/>
        <w:ind w:firstLine="480"/>
        <w:rPr>
          <w:iCs/>
          <w:color w:val="auto"/>
          <w:sz w:val="24"/>
          <w:highlight w:val="none"/>
        </w:rPr>
      </w:pPr>
      <w:r>
        <w:rPr>
          <w:rFonts w:hint="eastAsia"/>
          <w:color w:val="auto"/>
          <w:sz w:val="24"/>
          <w:highlight w:val="none"/>
        </w:rPr>
        <w:t>我方在此声明，我方拟派（以下简称“本工程”）项目经理</w:t>
      </w:r>
      <w:r>
        <w:rPr>
          <w:rFonts w:hint="eastAsia"/>
          <w:iCs/>
          <w:color w:val="auto"/>
          <w:sz w:val="24"/>
          <w:highlight w:val="none"/>
        </w:rPr>
        <w:t>（项目经理姓名）现阶段没有担任任何在施工建设工程项目的项目经理。</w:t>
      </w:r>
    </w:p>
    <w:p>
      <w:pPr>
        <w:spacing w:line="360" w:lineRule="auto"/>
        <w:ind w:firstLine="480"/>
        <w:rPr>
          <w:color w:val="auto"/>
          <w:sz w:val="24"/>
          <w:highlight w:val="none"/>
        </w:rPr>
      </w:pPr>
      <w:r>
        <w:rPr>
          <w:rFonts w:hint="eastAsia"/>
          <w:iCs/>
          <w:color w:val="auto"/>
          <w:sz w:val="24"/>
          <w:highlight w:val="none"/>
        </w:rPr>
        <w:t xml:space="preserve">我方保证上述信息的真实和准确，并愿意承担因我方就此弄虚作假所引起的一切法律后果。       </w:t>
      </w:r>
    </w:p>
    <w:p>
      <w:pPr>
        <w:spacing w:line="360" w:lineRule="auto"/>
        <w:ind w:firstLine="480"/>
        <w:rPr>
          <w:color w:val="auto"/>
          <w:sz w:val="24"/>
          <w:highlight w:val="none"/>
        </w:rPr>
      </w:pPr>
    </w:p>
    <w:p>
      <w:pPr>
        <w:spacing w:line="360" w:lineRule="auto"/>
        <w:ind w:firstLine="480"/>
        <w:rPr>
          <w:color w:val="auto"/>
          <w:sz w:val="24"/>
          <w:highlight w:val="none"/>
        </w:rPr>
      </w:pPr>
    </w:p>
    <w:p>
      <w:pPr>
        <w:adjustRightInd w:val="0"/>
        <w:spacing w:line="360" w:lineRule="auto"/>
        <w:ind w:firstLine="480" w:firstLineChars="200"/>
        <w:rPr>
          <w:color w:val="auto"/>
          <w:sz w:val="24"/>
          <w:highlight w:val="none"/>
        </w:rPr>
      </w:pPr>
    </w:p>
    <w:p>
      <w:pPr>
        <w:pStyle w:val="45"/>
        <w:rPr>
          <w:rFonts w:hAnsi="宋体" w:eastAsia="宋体" w:cs="宋体"/>
          <w:color w:val="auto"/>
          <w:sz w:val="24"/>
          <w:szCs w:val="24"/>
          <w:highlight w:val="none"/>
        </w:rPr>
      </w:pPr>
      <w:r>
        <w:rPr>
          <w:rFonts w:hint="eastAsia" w:hAnsi="宋体" w:eastAsia="宋体" w:cs="宋体"/>
          <w:color w:val="auto"/>
          <w:sz w:val="24"/>
          <w:highlight w:val="none"/>
        </w:rPr>
        <w:t>项目经理：（签章）</w:t>
      </w:r>
    </w:p>
    <w:p>
      <w:pPr>
        <w:spacing w:line="360" w:lineRule="auto"/>
        <w:rPr>
          <w:color w:val="auto"/>
          <w:sz w:val="24"/>
          <w:highlight w:val="none"/>
        </w:rPr>
      </w:pPr>
    </w:p>
    <w:p>
      <w:pPr>
        <w:spacing w:line="360" w:lineRule="auto"/>
        <w:rPr>
          <w:color w:val="auto"/>
          <w:sz w:val="24"/>
          <w:highlight w:val="none"/>
        </w:rPr>
      </w:pPr>
    </w:p>
    <w:p>
      <w:pPr>
        <w:spacing w:line="360" w:lineRule="auto"/>
        <w:rPr>
          <w:b/>
          <w:bCs/>
          <w:color w:val="auto"/>
          <w:sz w:val="32"/>
          <w:szCs w:val="32"/>
          <w:highlight w:val="none"/>
        </w:rPr>
      </w:pPr>
    </w:p>
    <w:p>
      <w:pPr>
        <w:spacing w:line="360" w:lineRule="auto"/>
        <w:rPr>
          <w:b/>
          <w:bCs/>
          <w:color w:val="auto"/>
          <w:sz w:val="32"/>
          <w:szCs w:val="32"/>
          <w:highlight w:val="none"/>
        </w:rPr>
      </w:pPr>
    </w:p>
    <w:p>
      <w:pPr>
        <w:spacing w:line="360" w:lineRule="auto"/>
        <w:rPr>
          <w:b/>
          <w:bCs/>
          <w:color w:val="auto"/>
          <w:sz w:val="32"/>
          <w:szCs w:val="32"/>
          <w:highlight w:val="none"/>
        </w:rPr>
      </w:pPr>
    </w:p>
    <w:p>
      <w:pPr>
        <w:spacing w:line="360" w:lineRule="auto"/>
        <w:rPr>
          <w:b/>
          <w:bCs/>
          <w:color w:val="auto"/>
          <w:sz w:val="32"/>
          <w:szCs w:val="32"/>
          <w:highlight w:val="none"/>
        </w:rPr>
      </w:pPr>
    </w:p>
    <w:p>
      <w:pPr>
        <w:spacing w:line="360" w:lineRule="auto"/>
        <w:rPr>
          <w:b/>
          <w:bCs/>
          <w:color w:val="auto"/>
          <w:sz w:val="32"/>
          <w:szCs w:val="32"/>
          <w:highlight w:val="none"/>
        </w:rPr>
      </w:pPr>
    </w:p>
    <w:p>
      <w:pPr>
        <w:spacing w:line="360" w:lineRule="auto"/>
        <w:rPr>
          <w:b/>
          <w:bCs/>
          <w:color w:val="auto"/>
          <w:sz w:val="32"/>
          <w:szCs w:val="32"/>
          <w:highlight w:val="none"/>
        </w:rPr>
      </w:pPr>
    </w:p>
    <w:p>
      <w:pPr>
        <w:spacing w:line="360" w:lineRule="auto"/>
        <w:rPr>
          <w:b/>
          <w:bCs/>
          <w:color w:val="auto"/>
          <w:sz w:val="32"/>
          <w:szCs w:val="32"/>
          <w:highlight w:val="none"/>
        </w:rPr>
      </w:pPr>
    </w:p>
    <w:p>
      <w:pPr>
        <w:spacing w:line="360" w:lineRule="auto"/>
        <w:rPr>
          <w:b/>
          <w:bCs/>
          <w:color w:val="auto"/>
          <w:sz w:val="32"/>
          <w:szCs w:val="32"/>
          <w:highlight w:val="none"/>
        </w:rPr>
      </w:pPr>
    </w:p>
    <w:p>
      <w:pPr>
        <w:spacing w:line="360" w:lineRule="auto"/>
        <w:rPr>
          <w:b/>
          <w:bCs/>
          <w:color w:val="auto"/>
          <w:sz w:val="32"/>
          <w:szCs w:val="32"/>
          <w:highlight w:val="none"/>
        </w:rPr>
      </w:pPr>
    </w:p>
    <w:p>
      <w:pPr>
        <w:spacing w:line="360" w:lineRule="auto"/>
        <w:rPr>
          <w:b/>
          <w:bCs/>
          <w:color w:val="auto"/>
          <w:sz w:val="32"/>
          <w:szCs w:val="32"/>
          <w:highlight w:val="none"/>
        </w:rPr>
      </w:pPr>
    </w:p>
    <w:p>
      <w:pPr>
        <w:widowControl/>
        <w:rPr>
          <w:b/>
          <w:bCs/>
          <w:color w:val="auto"/>
          <w:sz w:val="32"/>
          <w:szCs w:val="36"/>
          <w:highlight w:val="none"/>
        </w:rPr>
      </w:pPr>
    </w:p>
    <w:p>
      <w:pPr>
        <w:pStyle w:val="2"/>
        <w:tabs>
          <w:tab w:val="left" w:pos="360"/>
          <w:tab w:val="left" w:pos="540"/>
        </w:tabs>
        <w:spacing w:before="156" w:beforeLines="50" w:after="156" w:afterLines="50"/>
        <w:rPr>
          <w:rFonts w:eastAsia="宋体" w:cs="宋体"/>
          <w:color w:val="auto"/>
          <w:sz w:val="32"/>
          <w:szCs w:val="32"/>
          <w:highlight w:val="none"/>
        </w:rPr>
      </w:pPr>
      <w:bookmarkStart w:id="2087" w:name="_Toc7769"/>
      <w:bookmarkStart w:id="2088" w:name="_Toc14083"/>
      <w:bookmarkStart w:id="2089" w:name="_Toc11551"/>
      <w:r>
        <w:rPr>
          <w:rFonts w:hint="eastAsia" w:eastAsia="宋体" w:cs="宋体"/>
          <w:color w:val="auto"/>
          <w:sz w:val="32"/>
          <w:szCs w:val="32"/>
          <w:highlight w:val="none"/>
          <w:lang w:val="en-US" w:eastAsia="zh-CN"/>
        </w:rPr>
        <w:t>9、</w:t>
      </w:r>
      <w:r>
        <w:rPr>
          <w:rFonts w:hint="eastAsia" w:eastAsia="宋体" w:cs="宋体"/>
          <w:color w:val="auto"/>
          <w:sz w:val="32"/>
          <w:szCs w:val="32"/>
          <w:highlight w:val="none"/>
        </w:rPr>
        <w:t>诚信投标、诚信履约承诺书</w:t>
      </w:r>
      <w:bookmarkEnd w:id="2087"/>
      <w:bookmarkEnd w:id="2088"/>
      <w:bookmarkEnd w:id="2089"/>
    </w:p>
    <w:p>
      <w:pPr>
        <w:snapToGrid w:val="0"/>
        <w:spacing w:line="360" w:lineRule="auto"/>
        <w:rPr>
          <w:rFonts w:hint="eastAsia"/>
          <w:color w:val="auto"/>
          <w:sz w:val="24"/>
          <w:highlight w:val="none"/>
        </w:rPr>
      </w:pPr>
      <w:r>
        <w:rPr>
          <w:rFonts w:hint="eastAsia"/>
          <w:color w:val="auto"/>
          <w:sz w:val="24"/>
          <w:highlight w:val="none"/>
          <w:lang w:eastAsia="zh-CN"/>
        </w:rPr>
        <w:t>海南卓能工程管理有限公司</w:t>
      </w:r>
      <w:r>
        <w:rPr>
          <w:rFonts w:hint="eastAsia"/>
          <w:color w:val="auto"/>
          <w:sz w:val="24"/>
          <w:highlight w:val="none"/>
        </w:rPr>
        <w:t>：</w:t>
      </w:r>
    </w:p>
    <w:p>
      <w:pPr>
        <w:snapToGrid w:val="0"/>
        <w:spacing w:line="360" w:lineRule="auto"/>
        <w:ind w:firstLine="480" w:firstLineChars="200"/>
        <w:rPr>
          <w:color w:val="auto"/>
          <w:sz w:val="24"/>
          <w:highlight w:val="none"/>
        </w:rPr>
      </w:pPr>
      <w:r>
        <w:rPr>
          <w:rFonts w:hint="eastAsia"/>
          <w:color w:val="auto"/>
          <w:sz w:val="24"/>
          <w:highlight w:val="none"/>
        </w:rPr>
        <w:t>我方就本磋商采购活动向贵方郑重承诺：</w:t>
      </w:r>
    </w:p>
    <w:p>
      <w:pPr>
        <w:snapToGrid w:val="0"/>
        <w:spacing w:line="360" w:lineRule="auto"/>
        <w:ind w:firstLine="480" w:firstLineChars="200"/>
        <w:rPr>
          <w:color w:val="auto"/>
          <w:sz w:val="24"/>
          <w:highlight w:val="none"/>
        </w:rPr>
      </w:pPr>
      <w:r>
        <w:rPr>
          <w:rFonts w:hint="eastAsia"/>
          <w:color w:val="auto"/>
          <w:sz w:val="24"/>
          <w:highlight w:val="none"/>
        </w:rPr>
        <w:t>一、我们已经充分理解了磋商文件规定的所有采购要求、成交条件和合同条款，没有任何异议。</w:t>
      </w:r>
    </w:p>
    <w:p>
      <w:pPr>
        <w:snapToGrid w:val="0"/>
        <w:spacing w:line="360" w:lineRule="auto"/>
        <w:ind w:firstLine="480" w:firstLineChars="200"/>
        <w:rPr>
          <w:color w:val="auto"/>
          <w:sz w:val="24"/>
          <w:highlight w:val="none"/>
        </w:rPr>
      </w:pPr>
      <w:r>
        <w:rPr>
          <w:rFonts w:hint="eastAsia"/>
          <w:color w:val="auto"/>
          <w:sz w:val="24"/>
          <w:highlight w:val="none"/>
        </w:rPr>
        <w:t>二、我们在响应文件中提交的所有商务文件和资格证明文件都是真实有效的；我们做出的所有技术响应都是真实可信、可以实现、并经得起验收检验的。我们保证所有的响应在磋商有效期内不发生任何变更。</w:t>
      </w:r>
    </w:p>
    <w:p>
      <w:pPr>
        <w:snapToGrid w:val="0"/>
        <w:spacing w:line="360" w:lineRule="auto"/>
        <w:ind w:firstLine="480" w:firstLineChars="200"/>
        <w:rPr>
          <w:color w:val="auto"/>
          <w:sz w:val="24"/>
          <w:highlight w:val="none"/>
        </w:rPr>
      </w:pPr>
      <w:r>
        <w:rPr>
          <w:rFonts w:hint="eastAsia"/>
          <w:color w:val="auto"/>
          <w:sz w:val="24"/>
          <w:highlight w:val="none"/>
        </w:rPr>
        <w:t>三、我们的磋商报价包含了履行合同所需的全部费用。不论何种原因造成的报价漏项损失，我方全部承担，不会提出任何增加费用的要求。</w:t>
      </w:r>
    </w:p>
    <w:p>
      <w:pPr>
        <w:snapToGrid w:val="0"/>
        <w:spacing w:line="360" w:lineRule="auto"/>
        <w:ind w:firstLine="480" w:firstLineChars="200"/>
        <w:rPr>
          <w:color w:val="auto"/>
          <w:sz w:val="24"/>
          <w:highlight w:val="none"/>
        </w:rPr>
      </w:pPr>
      <w:r>
        <w:rPr>
          <w:rFonts w:hint="eastAsia"/>
          <w:color w:val="auto"/>
          <w:sz w:val="24"/>
          <w:highlight w:val="none"/>
        </w:rPr>
        <w:t>四、我们知道，如果成交后放弃成交，不论原因何在，都是不诚信的行为，都会给采购项目造成损失。如果采购人将本合同授予我们，我们将承担所有的潜在合同风险，绝不以任何理由放弃成交。</w:t>
      </w:r>
    </w:p>
    <w:p>
      <w:pPr>
        <w:snapToGrid w:val="0"/>
        <w:spacing w:line="360" w:lineRule="auto"/>
        <w:ind w:firstLine="480" w:firstLineChars="200"/>
        <w:rPr>
          <w:color w:val="auto"/>
          <w:sz w:val="24"/>
          <w:highlight w:val="none"/>
        </w:rPr>
      </w:pPr>
      <w:r>
        <w:rPr>
          <w:rFonts w:hint="eastAsia"/>
          <w:color w:val="auto"/>
          <w:sz w:val="24"/>
          <w:highlight w:val="none"/>
        </w:rPr>
        <w:t>五、我们知道，成交后拒签或故意拖延签署合同、拒绝履行或故意拖延履行合同，不论原因何在，都是不诚信履约的行为。如果采购人将本合同授予我们，我们将如约在规定的期限内签署合同，在规定的期限内履行合同。</w:t>
      </w:r>
    </w:p>
    <w:p>
      <w:pPr>
        <w:snapToGrid w:val="0"/>
        <w:spacing w:line="360" w:lineRule="auto"/>
        <w:ind w:firstLine="480" w:firstLineChars="200"/>
        <w:rPr>
          <w:color w:val="auto"/>
          <w:sz w:val="24"/>
          <w:highlight w:val="none"/>
        </w:rPr>
      </w:pPr>
      <w:r>
        <w:rPr>
          <w:rFonts w:hint="eastAsia"/>
          <w:color w:val="auto"/>
          <w:sz w:val="24"/>
          <w:highlight w:val="none"/>
        </w:rPr>
        <w:t>六、我们声明：我方在溯往两年内的政府采购活动中，没有成交后放弃成交、拒签或故意拖延签署合同、拒绝履行或故意拖延履行合同的不诚信行为。</w:t>
      </w:r>
    </w:p>
    <w:p>
      <w:pPr>
        <w:snapToGrid w:val="0"/>
        <w:spacing w:line="360" w:lineRule="auto"/>
        <w:ind w:firstLine="480" w:firstLineChars="200"/>
        <w:rPr>
          <w:color w:val="auto"/>
          <w:sz w:val="24"/>
          <w:highlight w:val="none"/>
        </w:rPr>
      </w:pPr>
      <w:r>
        <w:rPr>
          <w:rFonts w:hint="eastAsia"/>
          <w:color w:val="auto"/>
          <w:sz w:val="24"/>
          <w:highlight w:val="none"/>
        </w:rPr>
        <w:t>以上承诺，能够经受来自任何方面的审查和监督。如有虚假或背离，我方愿承担由此引发的一切不利后果，无条件接受采购人的处置和政府采购监管单位的处罚。</w:t>
      </w:r>
    </w:p>
    <w:p>
      <w:pPr>
        <w:snapToGrid w:val="0"/>
        <w:spacing w:line="360" w:lineRule="auto"/>
        <w:rPr>
          <w:color w:val="auto"/>
          <w:sz w:val="24"/>
          <w:highlight w:val="none"/>
        </w:rPr>
      </w:pPr>
    </w:p>
    <w:p>
      <w:pPr>
        <w:snapToGrid w:val="0"/>
        <w:spacing w:line="360" w:lineRule="auto"/>
        <w:rPr>
          <w:color w:val="auto"/>
          <w:sz w:val="24"/>
          <w:highlight w:val="none"/>
        </w:rPr>
      </w:pPr>
    </w:p>
    <w:p>
      <w:pPr>
        <w:snapToGrid w:val="0"/>
        <w:spacing w:line="360" w:lineRule="auto"/>
        <w:rPr>
          <w:color w:val="auto"/>
          <w:sz w:val="24"/>
          <w:highlight w:val="none"/>
        </w:rPr>
      </w:pPr>
      <w:r>
        <w:rPr>
          <w:rFonts w:hint="eastAsia"/>
          <w:color w:val="auto"/>
          <w:sz w:val="24"/>
          <w:highlight w:val="none"/>
        </w:rPr>
        <w:t>供应商：（填写名称并盖章）</w:t>
      </w:r>
    </w:p>
    <w:p>
      <w:pPr>
        <w:snapToGrid w:val="0"/>
        <w:spacing w:line="360" w:lineRule="auto"/>
        <w:rPr>
          <w:color w:val="auto"/>
          <w:sz w:val="24"/>
          <w:highlight w:val="none"/>
        </w:rPr>
      </w:pPr>
      <w:r>
        <w:rPr>
          <w:rFonts w:hint="eastAsia"/>
          <w:color w:val="auto"/>
          <w:sz w:val="24"/>
          <w:highlight w:val="none"/>
        </w:rPr>
        <w:t>法定代表人：</w:t>
      </w:r>
      <w:r>
        <w:rPr>
          <w:rFonts w:hint="eastAsia"/>
          <w:iCs/>
          <w:color w:val="auto"/>
          <w:sz w:val="24"/>
          <w:highlight w:val="none"/>
        </w:rPr>
        <w:t>（签字或盖章）</w:t>
      </w:r>
    </w:p>
    <w:p>
      <w:pPr>
        <w:snapToGrid w:val="0"/>
        <w:spacing w:line="360" w:lineRule="auto"/>
        <w:rPr>
          <w:color w:val="auto"/>
          <w:sz w:val="24"/>
          <w:highlight w:val="none"/>
        </w:rPr>
      </w:pPr>
      <w:r>
        <w:rPr>
          <w:rFonts w:hint="eastAsia"/>
          <w:color w:val="auto"/>
          <w:sz w:val="24"/>
          <w:highlight w:val="none"/>
        </w:rPr>
        <w:t>签署日期：</w:t>
      </w:r>
    </w:p>
    <w:p>
      <w:pPr>
        <w:pStyle w:val="16"/>
        <w:rPr>
          <w:color w:val="auto"/>
          <w:highlight w:val="none"/>
        </w:rPr>
      </w:pPr>
    </w:p>
    <w:p>
      <w:pPr>
        <w:pStyle w:val="16"/>
        <w:rPr>
          <w:rFonts w:hAnsi="宋体"/>
          <w:color w:val="auto"/>
          <w:sz w:val="24"/>
          <w:highlight w:val="none"/>
        </w:rPr>
      </w:pPr>
    </w:p>
    <w:p>
      <w:pPr>
        <w:pStyle w:val="2"/>
        <w:tabs>
          <w:tab w:val="left" w:pos="360"/>
          <w:tab w:val="left" w:pos="540"/>
        </w:tabs>
        <w:spacing w:before="156" w:beforeLines="50" w:after="156" w:afterLines="50"/>
        <w:rPr>
          <w:rFonts w:ascii="宋体" w:hAnsi="宋体" w:eastAsia="宋体" w:cs="宋体"/>
          <w:color w:val="auto"/>
          <w:sz w:val="32"/>
          <w:highlight w:val="none"/>
        </w:rPr>
      </w:pPr>
      <w:r>
        <w:rPr>
          <w:rFonts w:hint="eastAsia" w:ascii="宋体" w:hAnsi="宋体" w:eastAsia="宋体" w:cs="宋体"/>
          <w:color w:val="auto"/>
          <w:sz w:val="32"/>
          <w:highlight w:val="none"/>
        </w:rPr>
        <w:br w:type="page"/>
      </w:r>
      <w:bookmarkStart w:id="2090" w:name="_Toc12571"/>
      <w:bookmarkStart w:id="2091" w:name="_Toc8870"/>
      <w:bookmarkStart w:id="2092" w:name="_Toc28251"/>
      <w:r>
        <w:rPr>
          <w:rFonts w:hint="eastAsia" w:ascii="宋体" w:hAnsi="宋体" w:eastAsia="宋体" w:cs="宋体"/>
          <w:color w:val="auto"/>
          <w:sz w:val="32"/>
          <w:highlight w:val="none"/>
        </w:rPr>
        <w:t>三、技术响应文件</w:t>
      </w:r>
      <w:bookmarkEnd w:id="2090"/>
      <w:bookmarkEnd w:id="2091"/>
      <w:bookmarkEnd w:id="2092"/>
    </w:p>
    <w:p>
      <w:pPr>
        <w:pStyle w:val="2"/>
        <w:spacing w:before="156" w:beforeLines="50" w:after="156" w:afterLines="50"/>
        <w:rPr>
          <w:rFonts w:hint="eastAsia" w:ascii="宋体" w:hAnsi="宋体" w:eastAsia="宋体" w:cs="宋体"/>
          <w:color w:val="auto"/>
          <w:sz w:val="32"/>
          <w:highlight w:val="none"/>
          <w:lang w:eastAsia="zh-CN"/>
        </w:rPr>
      </w:pPr>
      <w:bookmarkStart w:id="2093" w:name="_Toc3196"/>
      <w:bookmarkStart w:id="2094" w:name="_Toc16604"/>
      <w:bookmarkStart w:id="2095" w:name="_Toc32469"/>
      <w:r>
        <w:rPr>
          <w:rFonts w:hint="eastAsia" w:ascii="宋体" w:hAnsi="宋体" w:eastAsia="宋体" w:cs="宋体"/>
          <w:color w:val="auto"/>
          <w:sz w:val="32"/>
          <w:highlight w:val="none"/>
        </w:rPr>
        <w:t>1、</w:t>
      </w:r>
      <w:r>
        <w:rPr>
          <w:rFonts w:hint="eastAsia" w:ascii="宋体" w:hAnsi="宋体" w:cs="宋体"/>
          <w:color w:val="000000"/>
          <w:sz w:val="32"/>
          <w:lang w:eastAsia="zh-CN"/>
        </w:rPr>
        <w:t>施工组织设计</w:t>
      </w:r>
      <w:bookmarkEnd w:id="2093"/>
      <w:bookmarkEnd w:id="2094"/>
      <w:bookmarkEnd w:id="2095"/>
    </w:p>
    <w:p>
      <w:pPr>
        <w:adjustRightInd w:val="0"/>
        <w:snapToGrid w:val="0"/>
        <w:rPr>
          <w:color w:val="auto"/>
          <w:sz w:val="24"/>
          <w:highlight w:val="none"/>
        </w:rPr>
      </w:pPr>
    </w:p>
    <w:p>
      <w:pPr>
        <w:adjustRightInd w:val="0"/>
        <w:snapToGrid w:val="0"/>
        <w:spacing w:before="156" w:beforeLines="50"/>
        <w:ind w:firstLine="480" w:firstLineChars="200"/>
        <w:rPr>
          <w:rFonts w:hint="eastAsia" w:eastAsia="宋体"/>
          <w:color w:val="auto"/>
          <w:highlight w:val="none"/>
          <w:lang w:eastAsia="zh-CN"/>
        </w:rPr>
      </w:pPr>
      <w:r>
        <w:rPr>
          <w:rFonts w:hint="eastAsia"/>
          <w:color w:val="auto"/>
          <w:sz w:val="24"/>
          <w:highlight w:val="none"/>
          <w:lang w:eastAsia="zh-CN"/>
        </w:rPr>
        <w:t>（格式自拟）</w:t>
      </w:r>
    </w:p>
    <w:p>
      <w:pPr>
        <w:adjustRightInd w:val="0"/>
        <w:snapToGrid w:val="0"/>
        <w:spacing w:before="156" w:beforeLines="50"/>
        <w:ind w:firstLine="440" w:firstLineChars="200"/>
        <w:rPr>
          <w:color w:val="auto"/>
          <w:highlight w:val="none"/>
        </w:rPr>
      </w:pPr>
    </w:p>
    <w:p>
      <w:pPr>
        <w:adjustRightInd w:val="0"/>
        <w:snapToGrid w:val="0"/>
        <w:spacing w:before="156" w:beforeLines="50"/>
        <w:ind w:firstLine="440" w:firstLineChars="200"/>
        <w:rPr>
          <w:color w:val="auto"/>
          <w:highlight w:val="none"/>
        </w:rPr>
      </w:pPr>
    </w:p>
    <w:p>
      <w:pPr>
        <w:adjustRightInd w:val="0"/>
        <w:snapToGrid w:val="0"/>
        <w:spacing w:before="156" w:beforeLines="50"/>
        <w:ind w:firstLine="440" w:firstLineChars="200"/>
        <w:rPr>
          <w:color w:val="auto"/>
          <w:highlight w:val="none"/>
        </w:rPr>
      </w:pPr>
    </w:p>
    <w:p>
      <w:pPr>
        <w:spacing w:line="360" w:lineRule="auto"/>
        <w:ind w:firstLine="480"/>
        <w:rPr>
          <w:color w:val="auto"/>
          <w:sz w:val="24"/>
          <w:highlight w:val="none"/>
        </w:rPr>
      </w:pPr>
      <w:r>
        <w:rPr>
          <w:rFonts w:hint="eastAsia"/>
          <w:color w:val="auto"/>
          <w:sz w:val="24"/>
          <w:highlight w:val="none"/>
        </w:rPr>
        <w:t xml:space="preserve">                              投标人名称（盖章）：</w:t>
      </w:r>
    </w:p>
    <w:p>
      <w:pPr>
        <w:spacing w:line="360" w:lineRule="auto"/>
        <w:ind w:firstLine="480"/>
        <w:rPr>
          <w:color w:val="auto"/>
          <w:sz w:val="24"/>
          <w:highlight w:val="none"/>
        </w:rPr>
      </w:pPr>
      <w:r>
        <w:rPr>
          <w:rFonts w:hint="eastAsia"/>
          <w:color w:val="auto"/>
          <w:sz w:val="24"/>
          <w:highlight w:val="none"/>
        </w:rPr>
        <w:t xml:space="preserve">                              法定代表人或授权委托人(签字或盖章）：</w:t>
      </w:r>
    </w:p>
    <w:p>
      <w:pPr>
        <w:spacing w:line="360" w:lineRule="auto"/>
        <w:ind w:firstLine="480"/>
        <w:rPr>
          <w:color w:val="auto"/>
          <w:sz w:val="24"/>
          <w:highlight w:val="none"/>
        </w:rPr>
      </w:pPr>
      <w:r>
        <w:rPr>
          <w:rFonts w:hint="eastAsia"/>
          <w:color w:val="auto"/>
          <w:sz w:val="24"/>
          <w:highlight w:val="none"/>
        </w:rPr>
        <w:t xml:space="preserve">                               日期：</w:t>
      </w:r>
    </w:p>
    <w:p>
      <w:pPr>
        <w:spacing w:line="360" w:lineRule="auto"/>
        <w:ind w:firstLine="480"/>
        <w:rPr>
          <w:color w:val="auto"/>
          <w:sz w:val="24"/>
          <w:highlight w:val="none"/>
        </w:rPr>
      </w:pPr>
    </w:p>
    <w:p>
      <w:pPr>
        <w:spacing w:line="360" w:lineRule="auto"/>
        <w:ind w:firstLine="480"/>
        <w:rPr>
          <w:color w:val="auto"/>
          <w:sz w:val="24"/>
          <w:highlight w:val="none"/>
        </w:rPr>
      </w:pPr>
    </w:p>
    <w:p>
      <w:pPr>
        <w:spacing w:line="360" w:lineRule="auto"/>
        <w:ind w:firstLine="480"/>
        <w:rPr>
          <w:color w:val="auto"/>
          <w:sz w:val="24"/>
          <w:highlight w:val="none"/>
        </w:rPr>
      </w:pPr>
    </w:p>
    <w:p>
      <w:pPr>
        <w:spacing w:line="360" w:lineRule="auto"/>
        <w:ind w:firstLine="480"/>
        <w:rPr>
          <w:color w:val="auto"/>
          <w:sz w:val="24"/>
          <w:highlight w:val="none"/>
        </w:rPr>
      </w:pPr>
    </w:p>
    <w:p>
      <w:pPr>
        <w:spacing w:line="360" w:lineRule="auto"/>
        <w:ind w:firstLine="480"/>
        <w:rPr>
          <w:color w:val="auto"/>
          <w:sz w:val="24"/>
          <w:highlight w:val="none"/>
        </w:rPr>
      </w:pPr>
    </w:p>
    <w:p>
      <w:pPr>
        <w:spacing w:line="360" w:lineRule="auto"/>
        <w:ind w:firstLine="480"/>
        <w:rPr>
          <w:color w:val="auto"/>
          <w:sz w:val="24"/>
          <w:highlight w:val="none"/>
        </w:rPr>
      </w:pPr>
    </w:p>
    <w:p>
      <w:pPr>
        <w:spacing w:line="360" w:lineRule="auto"/>
        <w:ind w:firstLine="480"/>
        <w:rPr>
          <w:color w:val="auto"/>
          <w:sz w:val="24"/>
          <w:highlight w:val="none"/>
        </w:rPr>
      </w:pPr>
    </w:p>
    <w:p>
      <w:pPr>
        <w:spacing w:line="360" w:lineRule="auto"/>
        <w:ind w:firstLine="480"/>
        <w:rPr>
          <w:color w:val="auto"/>
          <w:sz w:val="24"/>
          <w:highlight w:val="none"/>
        </w:rPr>
      </w:pPr>
    </w:p>
    <w:p>
      <w:pPr>
        <w:spacing w:line="360" w:lineRule="auto"/>
        <w:ind w:firstLine="480"/>
        <w:rPr>
          <w:color w:val="auto"/>
          <w:sz w:val="24"/>
          <w:highlight w:val="none"/>
        </w:rPr>
      </w:pPr>
    </w:p>
    <w:p>
      <w:pPr>
        <w:spacing w:line="360" w:lineRule="auto"/>
        <w:ind w:firstLine="480"/>
        <w:rPr>
          <w:color w:val="auto"/>
          <w:sz w:val="24"/>
          <w:highlight w:val="none"/>
        </w:rPr>
      </w:pPr>
    </w:p>
    <w:p>
      <w:pPr>
        <w:spacing w:line="360" w:lineRule="auto"/>
        <w:ind w:firstLine="480"/>
        <w:rPr>
          <w:color w:val="auto"/>
          <w:sz w:val="24"/>
          <w:highlight w:val="none"/>
        </w:rPr>
      </w:pPr>
    </w:p>
    <w:p>
      <w:pPr>
        <w:widowControl/>
        <w:rPr>
          <w:color w:val="auto"/>
          <w:sz w:val="24"/>
          <w:highlight w:val="none"/>
        </w:rPr>
      </w:pPr>
    </w:p>
    <w:p>
      <w:pPr>
        <w:pStyle w:val="2"/>
        <w:tabs>
          <w:tab w:val="left" w:pos="360"/>
          <w:tab w:val="left" w:pos="540"/>
        </w:tabs>
        <w:spacing w:before="156" w:beforeLines="50" w:after="156" w:afterLines="50"/>
        <w:rPr>
          <w:rFonts w:ascii="宋体" w:hAnsi="宋体" w:eastAsia="宋体" w:cs="宋体"/>
          <w:color w:val="auto"/>
          <w:sz w:val="32"/>
          <w:highlight w:val="none"/>
        </w:rPr>
      </w:pPr>
      <w:r>
        <w:rPr>
          <w:rFonts w:hint="eastAsia" w:ascii="宋体" w:hAnsi="宋体" w:eastAsia="宋体" w:cs="宋体"/>
          <w:color w:val="auto"/>
          <w:sz w:val="32"/>
          <w:highlight w:val="none"/>
        </w:rPr>
        <w:br w:type="page"/>
      </w:r>
      <w:bookmarkStart w:id="2096" w:name="_Toc28074"/>
      <w:bookmarkStart w:id="2097" w:name="_Toc19494"/>
      <w:bookmarkStart w:id="2098" w:name="_Toc20369"/>
      <w:r>
        <w:rPr>
          <w:rFonts w:hint="eastAsia" w:ascii="宋体" w:hAnsi="宋体" w:eastAsia="宋体" w:cs="宋体"/>
          <w:color w:val="auto"/>
          <w:sz w:val="32"/>
          <w:highlight w:val="none"/>
        </w:rPr>
        <w:t>四、供应商认为需要提供的其它文件</w:t>
      </w:r>
      <w:bookmarkEnd w:id="2096"/>
      <w:bookmarkEnd w:id="2097"/>
      <w:bookmarkEnd w:id="2098"/>
    </w:p>
    <w:p>
      <w:pPr>
        <w:rPr>
          <w:color w:val="auto"/>
          <w:highlight w:val="none"/>
        </w:rPr>
      </w:pPr>
    </w:p>
    <w:p>
      <w:pPr>
        <w:rPr>
          <w:color w:val="auto"/>
          <w:highlight w:val="none"/>
        </w:rPr>
      </w:pPr>
    </w:p>
    <w:p>
      <w:pPr>
        <w:pStyle w:val="47"/>
        <w:numPr>
          <w:ilvl w:val="0"/>
          <w:numId w:val="0"/>
        </w:numPr>
        <w:ind w:left="425" w:leftChars="0"/>
        <w:outlineLvl w:val="9"/>
        <w:rPr>
          <w:rFonts w:cs="宋体"/>
          <w:b/>
        </w:rPr>
      </w:pPr>
      <w:bookmarkStart w:id="2099" w:name="_Toc3027"/>
      <w:bookmarkStart w:id="2100" w:name="_Toc4223"/>
      <w:r>
        <w:rPr>
          <w:rFonts w:hint="eastAsia" w:cs="宋体"/>
          <w:b/>
          <w:lang w:eastAsia="zh-CN"/>
        </w:rPr>
        <w:t>（</w:t>
      </w:r>
      <w:r>
        <w:rPr>
          <w:rFonts w:hint="eastAsia" w:cs="宋体"/>
          <w:b/>
          <w:lang w:val="en-US" w:eastAsia="zh-CN"/>
        </w:rPr>
        <w:t>一</w:t>
      </w:r>
      <w:r>
        <w:rPr>
          <w:rFonts w:hint="eastAsia" w:cs="宋体"/>
          <w:b/>
          <w:lang w:eastAsia="zh-CN"/>
        </w:rPr>
        <w:t>）</w:t>
      </w:r>
      <w:r>
        <w:rPr>
          <w:rFonts w:hint="eastAsia" w:cs="宋体"/>
          <w:b/>
        </w:rPr>
        <w:t>其他</w:t>
      </w:r>
      <w:bookmarkEnd w:id="2099"/>
      <w:bookmarkEnd w:id="2100"/>
    </w:p>
    <w:p>
      <w:pPr>
        <w:pStyle w:val="17"/>
        <w:tabs>
          <w:tab w:val="left" w:pos="4620"/>
        </w:tabs>
        <w:adjustRightInd/>
        <w:spacing w:line="480" w:lineRule="auto"/>
        <w:ind w:firstLine="0" w:firstLineChars="0"/>
        <w:textAlignment w:val="auto"/>
        <w:rPr>
          <w:color w:val="auto"/>
          <w:highlight w:val="none"/>
        </w:rPr>
      </w:pPr>
    </w:p>
    <w:p>
      <w:pPr>
        <w:wordWrap w:val="0"/>
        <w:autoSpaceDE/>
        <w:autoSpaceDN/>
        <w:spacing w:line="560" w:lineRule="exact"/>
        <w:rPr>
          <w:rFonts w:hint="eastAsia" w:ascii="仿宋" w:hAnsi="仿宋" w:cs="仿宋"/>
          <w:snapToGrid w:val="0"/>
          <w:color w:val="auto"/>
          <w:szCs w:val="28"/>
          <w:highlight w:val="none"/>
        </w:rPr>
      </w:pPr>
    </w:p>
    <w:p>
      <w:pPr>
        <w:wordWrap w:val="0"/>
        <w:autoSpaceDE/>
        <w:autoSpaceDN/>
        <w:spacing w:line="560" w:lineRule="exact"/>
        <w:ind w:left="560" w:firstLine="110" w:firstLineChars="50"/>
        <w:rPr>
          <w:rFonts w:hint="eastAsia" w:ascii="仿宋" w:hAnsi="仿宋" w:cs="仿宋"/>
          <w:snapToGrid w:val="0"/>
          <w:color w:val="auto"/>
          <w:szCs w:val="28"/>
          <w:highlight w:val="none"/>
        </w:rPr>
      </w:pPr>
    </w:p>
    <w:p>
      <w:pPr>
        <w:wordWrap w:val="0"/>
        <w:autoSpaceDE/>
        <w:autoSpaceDN/>
        <w:spacing w:line="560" w:lineRule="exact"/>
        <w:ind w:left="560"/>
        <w:rPr>
          <w:rFonts w:hint="eastAsia" w:ascii="仿宋" w:hAnsi="仿宋" w:cs="仿宋"/>
          <w:snapToGrid w:val="0"/>
          <w:color w:val="auto"/>
          <w:szCs w:val="28"/>
          <w:highlight w:val="none"/>
        </w:rPr>
      </w:pPr>
    </w:p>
    <w:p>
      <w:pPr>
        <w:wordWrap w:val="0"/>
        <w:autoSpaceDE/>
        <w:autoSpaceDN/>
        <w:spacing w:line="560" w:lineRule="exact"/>
        <w:ind w:left="560"/>
        <w:rPr>
          <w:rFonts w:hint="eastAsia" w:ascii="仿宋" w:hAnsi="仿宋" w:cs="仿宋"/>
          <w:snapToGrid w:val="0"/>
          <w:color w:val="auto"/>
          <w:szCs w:val="28"/>
          <w:highlight w:val="none"/>
        </w:rPr>
      </w:pPr>
    </w:p>
    <w:p>
      <w:pPr>
        <w:wordWrap w:val="0"/>
        <w:autoSpaceDE/>
        <w:autoSpaceDN/>
        <w:spacing w:line="560" w:lineRule="exact"/>
        <w:ind w:left="560"/>
        <w:rPr>
          <w:rFonts w:hint="eastAsia" w:ascii="仿宋" w:hAnsi="仿宋" w:cs="仿宋"/>
          <w:snapToGrid w:val="0"/>
          <w:color w:val="auto"/>
          <w:szCs w:val="28"/>
          <w:highlight w:val="none"/>
        </w:rPr>
      </w:pPr>
    </w:p>
    <w:p>
      <w:pPr>
        <w:wordWrap w:val="0"/>
        <w:autoSpaceDE/>
        <w:autoSpaceDN/>
        <w:spacing w:line="560" w:lineRule="exact"/>
        <w:ind w:left="560" w:firstLine="110" w:firstLineChars="50"/>
        <w:rPr>
          <w:rFonts w:hint="eastAsia" w:ascii="仿宋" w:hAnsi="仿宋" w:cs="仿宋"/>
          <w:snapToGrid w:val="0"/>
          <w:color w:val="auto"/>
          <w:szCs w:val="28"/>
          <w:highlight w:val="none"/>
        </w:rPr>
      </w:pPr>
    </w:p>
    <w:p>
      <w:pPr>
        <w:wordWrap w:val="0"/>
        <w:autoSpaceDE/>
        <w:autoSpaceDN/>
        <w:spacing w:line="560" w:lineRule="exact"/>
        <w:ind w:left="1393" w:hanging="1392" w:hangingChars="633"/>
        <w:rPr>
          <w:rFonts w:hint="eastAsia" w:ascii="仿宋" w:hAnsi="仿宋" w:cs="仿宋"/>
          <w:snapToGrid w:val="0"/>
          <w:color w:val="auto"/>
          <w:szCs w:val="28"/>
          <w:highlight w:val="none"/>
        </w:rPr>
      </w:pPr>
    </w:p>
    <w:p>
      <w:pPr>
        <w:pStyle w:val="12"/>
        <w:wordWrap w:val="0"/>
        <w:autoSpaceDE/>
        <w:autoSpaceDN/>
        <w:spacing w:before="4" w:line="560" w:lineRule="exact"/>
        <w:rPr>
          <w:snapToGrid w:val="0"/>
          <w:color w:val="auto"/>
          <w:sz w:val="15"/>
          <w:highlight w:val="none"/>
        </w:rPr>
      </w:pP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新宋体">
    <w:panose1 w:val="02010609030101010101"/>
    <w:charset w:val="86"/>
    <w:family w:val="modern"/>
    <w:pitch w:val="default"/>
    <w:sig w:usb0="00000283" w:usb1="288F0000" w:usb2="00000006" w:usb3="00000000" w:csb0="00040001" w:csb1="00000000"/>
  </w:font>
  <w:font w:name="Monaco">
    <w:panose1 w:val="020B0509030404040204"/>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40001" w:csb1="00000000"/>
  </w:font>
  <w:font w:name="Arial Unicode MS">
    <w:panose1 w:val="020B0604020202020204"/>
    <w:charset w:val="86"/>
    <w:family w:val="roman"/>
    <w:pitch w:val="default"/>
    <w:sig w:usb0="FFFFFFFF" w:usb1="E9FFFFFF" w:usb2="0000003F" w:usb3="00000000" w:csb0="603F01FF" w:csb1="FFFF0000"/>
  </w:font>
  <w:font w:name="FontAwesome">
    <w:altName w:val="AMGDT"/>
    <w:panose1 w:val="00000000000000000000"/>
    <w:charset w:val="00"/>
    <w:family w:val="auto"/>
    <w:pitch w:val="default"/>
    <w:sig w:usb0="00000000" w:usb1="00000000" w:usb2="00000000" w:usb3="00000000" w:csb0="00040001" w:csb1="00000000"/>
  </w:font>
  <w:font w:name="AMGDT">
    <w:panose1 w:val="02000400000000000000"/>
    <w:charset w:val="00"/>
    <w:family w:val="auto"/>
    <w:pitch w:val="default"/>
    <w:sig w:usb0="80000003" w:usb1="1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2"/>
      <w:rPr>
        <w:rStyle w:val="29"/>
      </w:rPr>
    </w:pPr>
    <w:r>
      <w:fldChar w:fldCharType="begin"/>
    </w:r>
    <w:r>
      <w:rPr>
        <w:rStyle w:val="29"/>
      </w:rPr>
      <w:instrText xml:space="preserve">PAGE  </w:instrText>
    </w:r>
    <w:r>
      <w:fldChar w:fldCharType="end"/>
    </w:r>
  </w:p>
  <w:p>
    <w:pPr>
      <w:pStyle w:val="1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255</w:t>
                    </w:r>
                    <w:r>
                      <w:fldChar w:fldCharType="end"/>
                    </w:r>
                  </w:p>
                </w:txbxContent>
              </v:textbox>
            </v:shape>
          </w:pict>
        </mc:Fallback>
      </mc:AlternateContent>
    </w:r>
  </w:p>
  <w:p>
    <w:pPr>
      <w:pStyle w:val="18"/>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264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18"/>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Rn7qbtIBAACmAwAADgAAAAAAAAABACAAAAAi&#10;AQAAZHJzL2Uyb0RvYy54bWxQSwUGAAAAAAYABgBZAQAAZgUAAAAA&#10;">
              <v:fill on="f" focussize="0,0"/>
              <v:stroke on="f" weight="1.2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266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270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2"/>
      <w:rPr>
        <w:rStyle w:val="29"/>
      </w:rPr>
    </w:pPr>
    <w:r>
      <w:fldChar w:fldCharType="begin"/>
    </w:r>
    <w:r>
      <w:rPr>
        <w:rStyle w:val="29"/>
      </w:rPr>
      <w:instrText xml:space="preserve">PAGE  </w:instrText>
    </w:r>
    <w:r>
      <w:fldChar w:fldCharType="end"/>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imes New Roman" w:hAnsi="Times New Roman" w:eastAsia="仿宋_GB2312"/>
        <w:sz w:val="24"/>
      </w:rPr>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eastAsia"/>
      </w:rPr>
    </w:pPr>
    <w:r>
      <w:rPr>
        <w:sz w:val="22"/>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202</w:t>
                    </w:r>
                    <w:r>
                      <w:fldChar w:fldCharType="end"/>
                    </w:r>
                  </w:p>
                </w:txbxContent>
              </v:textbox>
            </v:shape>
          </w:pict>
        </mc:Fallback>
      </mc:AlternateContent>
    </w:r>
  </w:p>
  <w:p>
    <w:pPr>
      <w:pStyle w:val="18"/>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225</w:t>
                    </w:r>
                    <w:r>
                      <w:fldChar w:fldCharType="end"/>
                    </w:r>
                  </w:p>
                </w:txbxContent>
              </v:textbox>
            </v:shape>
          </w:pict>
        </mc:Fallback>
      </mc:AlternateContent>
    </w:r>
  </w:p>
  <w:p>
    <w:pPr>
      <w:pStyle w:val="18"/>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240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245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rPr>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1124585</wp:posOffset>
              </wp:positionH>
              <wp:positionV relativeFrom="page">
                <wp:posOffset>690245</wp:posOffset>
              </wp:positionV>
              <wp:extent cx="5309235" cy="0"/>
              <wp:effectExtent l="0" t="0" r="0" b="0"/>
              <wp:wrapNone/>
              <wp:docPr id="11" name="直接连接符 30"/>
              <wp:cNvGraphicFramePr/>
              <a:graphic xmlns:a="http://schemas.openxmlformats.org/drawingml/2006/main">
                <a:graphicData uri="http://schemas.microsoft.com/office/word/2010/wordprocessingShape">
                  <wps:wsp>
                    <wps:cNvCnPr/>
                    <wps:spPr>
                      <a:xfrm>
                        <a:off x="0" y="0"/>
                        <a:ext cx="5309235" cy="0"/>
                      </a:xfrm>
                      <a:prstGeom prst="line">
                        <a:avLst/>
                      </a:prstGeom>
                      <a:ln w="9144" cap="flat" cmpd="sng">
                        <a:solidFill>
                          <a:srgbClr val="FFFFFF"/>
                        </a:solidFill>
                        <a:prstDash val="solid"/>
                        <a:headEnd type="none" w="med" len="med"/>
                        <a:tailEnd type="none" w="med" len="med"/>
                      </a:ln>
                    </wps:spPr>
                    <wps:bodyPr upright="1"/>
                  </wps:wsp>
                </a:graphicData>
              </a:graphic>
            </wp:anchor>
          </w:drawing>
        </mc:Choice>
        <mc:Fallback>
          <w:pict>
            <v:line id="直接连接符 30" o:spid="_x0000_s1026" o:spt="20" style="position:absolute;left:0pt;margin-left:88.55pt;margin-top:54.35pt;height:0pt;width:418.05pt;mso-position-horizontal-relative:page;mso-position-vertical-relative:page;z-index:-251657216;mso-width-relative:page;mso-height-relative:page;" filled="f" stroked="t" coordsize="21600,21600" o:gfxdata="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G4WX9cAAAAMAQAADwAAAAAAAAABACAAAAAiAAAAZHJzL2Rvd25yZXYueG1sUEsB&#10;AhQAFAAAAAgAh07iQF5amJX2AQAA5gMAAA4AAAAAAAAAAQAgAAAAJgEAAGRycy9lMm9Eb2MueG1s&#10;UEsFBgAAAAAGAAYAWQEAAI4FAAAAAA==&#10;">
              <v:fill on="f" focussize="0,0"/>
              <v:stroke weight="0.72pt" color="#FFFFFF" joinstyle="round"/>
              <v:imagedata o:title=""/>
              <o:lock v:ext="edit" aspectratio="f"/>
            </v:lin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1130300</wp:posOffset>
              </wp:positionH>
              <wp:positionV relativeFrom="page">
                <wp:posOffset>984250</wp:posOffset>
              </wp:positionV>
              <wp:extent cx="528320" cy="16002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528320" cy="160020"/>
                      </a:xfrm>
                      <a:prstGeom prst="rect">
                        <a:avLst/>
                      </a:prstGeom>
                      <a:noFill/>
                      <a:ln w="9525">
                        <a:noFill/>
                      </a:ln>
                      <a:effectLst/>
                    </wps:spPr>
                    <wps:txbx>
                      <w:txbxContent>
                        <w:p/>
                      </w:txbxContent>
                    </wps:txbx>
                    <wps:bodyPr wrap="square" lIns="0" tIns="0" rIns="0" bIns="0" upright="1"/>
                  </wps:wsp>
                </a:graphicData>
              </a:graphic>
            </wp:anchor>
          </w:drawing>
        </mc:Choice>
        <mc:Fallback>
          <w:pict>
            <v:shape id="_x0000_s1026" o:spid="_x0000_s1026" o:spt="202" type="#_x0000_t202" style="position:absolute;left:0pt;margin-left:89pt;margin-top:77.5pt;height:12.6pt;width:41.6pt;mso-position-horizontal-relative:page;mso-position-vertical-relative:page;z-index:-251656192;mso-width-relative:page;mso-height-relative:page;" filled="f" stroked="f" coordsize="21600,21600" o:gfxdata="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cr36z1wAAAAsBAAAPAAAAAAAAAAEAIAAAACIA&#10;AABkcnMvZG93bnJldi54bWxQSwECFAAUAAAACACHTuJAWU4VxtEBAACYAwAADgAAAAAAAAABACAA&#10;AAAmAQAAZHJzL2Uyb0RvYy54bWxQSwUGAAAAAAYABgBZAQAAaQUAAAAA&#10;">
              <v:fill on="f" focussize="0,0"/>
              <v:stroke on="f"/>
              <v:imagedata o:title=""/>
              <o:lock v:ext="edit" aspectratio="f"/>
              <v:textbox inset="0mm,0mm,0mm,0mm">
                <w:txbxContent>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1124585</wp:posOffset>
              </wp:positionH>
              <wp:positionV relativeFrom="page">
                <wp:posOffset>690245</wp:posOffset>
              </wp:positionV>
              <wp:extent cx="5309235" cy="0"/>
              <wp:effectExtent l="0" t="0" r="0" b="0"/>
              <wp:wrapNone/>
              <wp:docPr id="12" name="直接连接符 30"/>
              <wp:cNvGraphicFramePr/>
              <a:graphic xmlns:a="http://schemas.openxmlformats.org/drawingml/2006/main">
                <a:graphicData uri="http://schemas.microsoft.com/office/word/2010/wordprocessingShape">
                  <wps:wsp>
                    <wps:cNvCnPr/>
                    <wps:spPr>
                      <a:xfrm>
                        <a:off x="0" y="0"/>
                        <a:ext cx="5309235" cy="0"/>
                      </a:xfrm>
                      <a:prstGeom prst="line">
                        <a:avLst/>
                      </a:prstGeom>
                      <a:ln w="9144" cap="flat" cmpd="sng">
                        <a:solidFill>
                          <a:srgbClr val="FFFFFF"/>
                        </a:solidFill>
                        <a:prstDash val="solid"/>
                        <a:headEnd type="none" w="med" len="med"/>
                        <a:tailEnd type="none" w="med" len="med"/>
                      </a:ln>
                    </wps:spPr>
                    <wps:bodyPr upright="1"/>
                  </wps:wsp>
                </a:graphicData>
              </a:graphic>
            </wp:anchor>
          </w:drawing>
        </mc:Choice>
        <mc:Fallback>
          <w:pict>
            <v:line id="直接连接符 30" o:spid="_x0000_s1026" o:spt="20" style="position:absolute;left:0pt;margin-left:88.55pt;margin-top:54.35pt;height:0pt;width:418.05pt;mso-position-horizontal-relative:page;mso-position-vertical-relative:page;z-index:-251655168;mso-width-relative:page;mso-height-relative:page;" filled="f" stroked="t" coordsize="21600,21600" o:gfxdata="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G4WX9cAAAAMAQAADwAAAAAAAAABACAAAAAiAAAAZHJzL2Rvd25yZXYueG1sUEsB&#10;AhQAFAAAAAgAh07iQDo+bin2AQAA5gMAAA4AAAAAAAAAAQAgAAAAJgEAAGRycy9lMm9Eb2MueG1s&#10;UEsFBgAAAAAGAAYAWQEAAI4FAAAAAA==&#10;">
              <v:fill on="f" focussize="0,0"/>
              <v:stroke weight="0.72pt" color="#FFFFFF" joinstyle="round"/>
              <v:imagedata o:title=""/>
              <o:lock v:ext="edit" aspectratio="f"/>
            </v:lin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1130300</wp:posOffset>
              </wp:positionH>
              <wp:positionV relativeFrom="page">
                <wp:posOffset>984250</wp:posOffset>
              </wp:positionV>
              <wp:extent cx="528320" cy="160020"/>
              <wp:effectExtent l="0" t="0" r="0" b="0"/>
              <wp:wrapNone/>
              <wp:docPr id="13" name="文本框 31"/>
              <wp:cNvGraphicFramePr/>
              <a:graphic xmlns:a="http://schemas.openxmlformats.org/drawingml/2006/main">
                <a:graphicData uri="http://schemas.microsoft.com/office/word/2010/wordprocessingShape">
                  <wps:wsp>
                    <wps:cNvSpPr txBox="1"/>
                    <wps:spPr>
                      <a:xfrm>
                        <a:off x="0" y="0"/>
                        <a:ext cx="528320" cy="160020"/>
                      </a:xfrm>
                      <a:prstGeom prst="rect">
                        <a:avLst/>
                      </a:prstGeom>
                      <a:noFill/>
                      <a:ln w="9525">
                        <a:noFill/>
                      </a:ln>
                      <a:effectLst/>
                    </wps:spPr>
                    <wps:txbx>
                      <w:txbxContent>
                        <w:p/>
                      </w:txbxContent>
                    </wps:txbx>
                    <wps:bodyPr wrap="square" lIns="0" tIns="0" rIns="0" bIns="0" upright="1"/>
                  </wps:wsp>
                </a:graphicData>
              </a:graphic>
            </wp:anchor>
          </w:drawing>
        </mc:Choice>
        <mc:Fallback>
          <w:pict>
            <v:shape id="文本框 31" o:spid="_x0000_s1026" o:spt="202" type="#_x0000_t202" style="position:absolute;left:0pt;margin-left:89pt;margin-top:77.5pt;height:12.6pt;width:41.6pt;mso-position-horizontal-relative:page;mso-position-vertical-relative:page;z-index:-251654144;mso-width-relative:page;mso-height-relative:page;" filled="f" stroked="f" coordsize="21600,21600" o:gfxdata="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yvfrPXAAAACwEAAA8AAAAAAAAAAQAgAAAAIgAA&#10;AGRycy9kb3ducmV2LnhtbFBLAQIUABQAAAAIAIdO4kDvabF20AEAAJgDAAAOAAAAAAAAAAEAIAAA&#10;ACYBAABkcnMvZTJvRG9jLnhtbFBLBQYAAAAABgAGAFkBAABoBQAAAAA=&#10;">
              <v:fill on="f" focussize="0,0"/>
              <v:stroke on="f"/>
              <v:imagedata o:title=""/>
              <o:lock v:ext="edit" aspectratio="f"/>
              <v:textbox inset="0mm,0mm,0mm,0mm">
                <w:txbxContent>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tabs>
        <w:tab w:val="center" w:pos="4482"/>
        <w:tab w:val="left" w:pos="6465"/>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79116"/>
    <w:multiLevelType w:val="singleLevel"/>
    <w:tmpl w:val="8E279116"/>
    <w:lvl w:ilvl="0" w:tentative="0">
      <w:start w:val="2"/>
      <w:numFmt w:val="chineseCounting"/>
      <w:suff w:val="nothing"/>
      <w:lvlText w:val="%1、"/>
      <w:lvlJc w:val="left"/>
      <w:rPr>
        <w:rFonts w:hint="eastAsia"/>
      </w:rPr>
    </w:lvl>
  </w:abstractNum>
  <w:abstractNum w:abstractNumId="1">
    <w:nsid w:val="D124BA25"/>
    <w:multiLevelType w:val="singleLevel"/>
    <w:tmpl w:val="D124BA25"/>
    <w:lvl w:ilvl="0" w:tentative="0">
      <w:start w:val="3"/>
      <w:numFmt w:val="chineseCounting"/>
      <w:suff w:val="space"/>
      <w:lvlText w:val="第%1部分"/>
      <w:lvlJc w:val="left"/>
      <w:rPr>
        <w:rFonts w:hint="eastAsia"/>
      </w:rPr>
    </w:lvl>
  </w:abstractNum>
  <w:abstractNum w:abstractNumId="2">
    <w:nsid w:val="E6F16126"/>
    <w:multiLevelType w:val="multilevel"/>
    <w:tmpl w:val="E6F16126"/>
    <w:lvl w:ilvl="0" w:tentative="0">
      <w:start w:val="1"/>
      <w:numFmt w:val="japaneseCounting"/>
      <w:lvlText w:val="%1、"/>
      <w:lvlJc w:val="left"/>
      <w:pPr>
        <w:tabs>
          <w:tab w:val="left" w:pos="960"/>
        </w:tabs>
        <w:ind w:left="960" w:hanging="480"/>
      </w:pPr>
      <w:rPr>
        <w:rFonts w:hint="default" w:cs="Times New Roman"/>
      </w:rPr>
    </w:lvl>
    <w:lvl w:ilvl="1" w:tentative="0">
      <w:start w:val="1"/>
      <w:numFmt w:val="lowerLetter"/>
      <w:lvlText w:val="%2)"/>
      <w:lvlJc w:val="left"/>
      <w:pPr>
        <w:tabs>
          <w:tab w:val="left" w:pos="1320"/>
        </w:tabs>
        <w:ind w:left="1320" w:hanging="420"/>
      </w:pPr>
      <w:rPr>
        <w:rFonts w:cs="Times New Roman"/>
      </w:rPr>
    </w:lvl>
    <w:lvl w:ilvl="2" w:tentative="0">
      <w:start w:val="1"/>
      <w:numFmt w:val="lowerRoman"/>
      <w:lvlText w:val="%3."/>
      <w:lvlJc w:val="right"/>
      <w:pPr>
        <w:tabs>
          <w:tab w:val="left" w:pos="1740"/>
        </w:tabs>
        <w:ind w:left="1740" w:hanging="420"/>
      </w:pPr>
      <w:rPr>
        <w:rFonts w:cs="Times New Roman"/>
      </w:rPr>
    </w:lvl>
    <w:lvl w:ilvl="3" w:tentative="0">
      <w:start w:val="1"/>
      <w:numFmt w:val="decimal"/>
      <w:lvlText w:val="%4."/>
      <w:lvlJc w:val="left"/>
      <w:pPr>
        <w:tabs>
          <w:tab w:val="left" w:pos="2160"/>
        </w:tabs>
        <w:ind w:left="2160" w:hanging="420"/>
      </w:pPr>
      <w:rPr>
        <w:rFonts w:cs="Times New Roman"/>
      </w:rPr>
    </w:lvl>
    <w:lvl w:ilvl="4" w:tentative="0">
      <w:start w:val="1"/>
      <w:numFmt w:val="lowerLetter"/>
      <w:lvlText w:val="%5)"/>
      <w:lvlJc w:val="left"/>
      <w:pPr>
        <w:tabs>
          <w:tab w:val="left" w:pos="2580"/>
        </w:tabs>
        <w:ind w:left="2580" w:hanging="420"/>
      </w:pPr>
      <w:rPr>
        <w:rFonts w:cs="Times New Roman"/>
      </w:rPr>
    </w:lvl>
    <w:lvl w:ilvl="5" w:tentative="0">
      <w:start w:val="1"/>
      <w:numFmt w:val="lowerRoman"/>
      <w:lvlText w:val="%6."/>
      <w:lvlJc w:val="right"/>
      <w:pPr>
        <w:tabs>
          <w:tab w:val="left" w:pos="3000"/>
        </w:tabs>
        <w:ind w:left="3000" w:hanging="420"/>
      </w:pPr>
      <w:rPr>
        <w:rFonts w:cs="Times New Roman"/>
      </w:rPr>
    </w:lvl>
    <w:lvl w:ilvl="6" w:tentative="0">
      <w:start w:val="1"/>
      <w:numFmt w:val="decimal"/>
      <w:lvlText w:val="%7."/>
      <w:lvlJc w:val="left"/>
      <w:pPr>
        <w:tabs>
          <w:tab w:val="left" w:pos="3420"/>
        </w:tabs>
        <w:ind w:left="3420" w:hanging="420"/>
      </w:pPr>
      <w:rPr>
        <w:rFonts w:cs="Times New Roman"/>
      </w:rPr>
    </w:lvl>
    <w:lvl w:ilvl="7" w:tentative="0">
      <w:start w:val="1"/>
      <w:numFmt w:val="lowerLetter"/>
      <w:lvlText w:val="%8)"/>
      <w:lvlJc w:val="left"/>
      <w:pPr>
        <w:tabs>
          <w:tab w:val="left" w:pos="3840"/>
        </w:tabs>
        <w:ind w:left="3840" w:hanging="420"/>
      </w:pPr>
      <w:rPr>
        <w:rFonts w:cs="Times New Roman"/>
      </w:rPr>
    </w:lvl>
    <w:lvl w:ilvl="8" w:tentative="0">
      <w:start w:val="1"/>
      <w:numFmt w:val="lowerRoman"/>
      <w:lvlText w:val="%9."/>
      <w:lvlJc w:val="right"/>
      <w:pPr>
        <w:tabs>
          <w:tab w:val="left" w:pos="4260"/>
        </w:tabs>
        <w:ind w:left="4260" w:hanging="420"/>
      </w:pPr>
      <w:rPr>
        <w:rFonts w:cs="Times New Roman"/>
      </w:rPr>
    </w:lvl>
  </w:abstractNum>
  <w:abstractNum w:abstractNumId="3">
    <w:nsid w:val="00000006"/>
    <w:multiLevelType w:val="singleLevel"/>
    <w:tmpl w:val="00000006"/>
    <w:lvl w:ilvl="0" w:tentative="0">
      <w:start w:val="1"/>
      <w:numFmt w:val="decimal"/>
      <w:suff w:val="nothing"/>
      <w:lvlText w:val="（%1）"/>
      <w:lvlJc w:val="left"/>
    </w:lvl>
  </w:abstractNum>
  <w:abstractNum w:abstractNumId="4">
    <w:nsid w:val="0000000C"/>
    <w:multiLevelType w:val="multilevel"/>
    <w:tmpl w:val="0000000C"/>
    <w:lvl w:ilvl="0" w:tentative="0">
      <w:start w:val="1"/>
      <w:numFmt w:val="upperLetter"/>
      <w:lvlText w:val="%1."/>
      <w:lvlJc w:val="left"/>
      <w:pPr>
        <w:tabs>
          <w:tab w:val="left" w:pos="960"/>
        </w:tabs>
        <w:ind w:left="960" w:hanging="420"/>
      </w:pPr>
      <w:rPr>
        <w:rFonts w:cs="Times New Roman"/>
      </w:rPr>
    </w:lvl>
    <w:lvl w:ilvl="1" w:tentative="0">
      <w:start w:val="1"/>
      <w:numFmt w:val="lowerLetter"/>
      <w:lvlText w:val="%2)"/>
      <w:lvlJc w:val="left"/>
      <w:pPr>
        <w:tabs>
          <w:tab w:val="left" w:pos="1380"/>
        </w:tabs>
        <w:ind w:left="1380" w:hanging="420"/>
      </w:pPr>
      <w:rPr>
        <w:rFonts w:cs="Times New Roman"/>
      </w:rPr>
    </w:lvl>
    <w:lvl w:ilvl="2" w:tentative="0">
      <w:start w:val="1"/>
      <w:numFmt w:val="lowerRoman"/>
      <w:lvlText w:val="%3."/>
      <w:lvlJc w:val="right"/>
      <w:pPr>
        <w:tabs>
          <w:tab w:val="left" w:pos="1800"/>
        </w:tabs>
        <w:ind w:left="1800" w:hanging="420"/>
      </w:pPr>
      <w:rPr>
        <w:rFonts w:cs="Times New Roman"/>
      </w:rPr>
    </w:lvl>
    <w:lvl w:ilvl="3" w:tentative="0">
      <w:start w:val="1"/>
      <w:numFmt w:val="decimal"/>
      <w:lvlText w:val="%4."/>
      <w:lvlJc w:val="left"/>
      <w:pPr>
        <w:tabs>
          <w:tab w:val="left" w:pos="2220"/>
        </w:tabs>
        <w:ind w:left="2220" w:hanging="420"/>
      </w:pPr>
      <w:rPr>
        <w:rFonts w:cs="Times New Roman"/>
      </w:rPr>
    </w:lvl>
    <w:lvl w:ilvl="4" w:tentative="0">
      <w:start w:val="1"/>
      <w:numFmt w:val="lowerLetter"/>
      <w:lvlText w:val="%5)"/>
      <w:lvlJc w:val="left"/>
      <w:pPr>
        <w:tabs>
          <w:tab w:val="left" w:pos="2640"/>
        </w:tabs>
        <w:ind w:left="2640" w:hanging="420"/>
      </w:pPr>
      <w:rPr>
        <w:rFonts w:cs="Times New Roman"/>
      </w:rPr>
    </w:lvl>
    <w:lvl w:ilvl="5" w:tentative="0">
      <w:start w:val="1"/>
      <w:numFmt w:val="lowerRoman"/>
      <w:lvlText w:val="%6."/>
      <w:lvlJc w:val="right"/>
      <w:pPr>
        <w:tabs>
          <w:tab w:val="left" w:pos="3060"/>
        </w:tabs>
        <w:ind w:left="3060" w:hanging="420"/>
      </w:pPr>
      <w:rPr>
        <w:rFonts w:cs="Times New Roman"/>
      </w:rPr>
    </w:lvl>
    <w:lvl w:ilvl="6" w:tentative="0">
      <w:start w:val="1"/>
      <w:numFmt w:val="decimal"/>
      <w:lvlText w:val="%7."/>
      <w:lvlJc w:val="left"/>
      <w:pPr>
        <w:tabs>
          <w:tab w:val="left" w:pos="3480"/>
        </w:tabs>
        <w:ind w:left="3480" w:hanging="420"/>
      </w:pPr>
      <w:rPr>
        <w:rFonts w:cs="Times New Roman"/>
      </w:rPr>
    </w:lvl>
    <w:lvl w:ilvl="7" w:tentative="0">
      <w:start w:val="1"/>
      <w:numFmt w:val="lowerLetter"/>
      <w:lvlText w:val="%8)"/>
      <w:lvlJc w:val="left"/>
      <w:pPr>
        <w:tabs>
          <w:tab w:val="left" w:pos="3900"/>
        </w:tabs>
        <w:ind w:left="3900" w:hanging="420"/>
      </w:pPr>
      <w:rPr>
        <w:rFonts w:cs="Times New Roman"/>
      </w:rPr>
    </w:lvl>
    <w:lvl w:ilvl="8" w:tentative="0">
      <w:start w:val="1"/>
      <w:numFmt w:val="lowerRoman"/>
      <w:lvlText w:val="%9."/>
      <w:lvlJc w:val="right"/>
      <w:pPr>
        <w:tabs>
          <w:tab w:val="left" w:pos="4320"/>
        </w:tabs>
        <w:ind w:left="4320" w:hanging="420"/>
      </w:pPr>
      <w:rPr>
        <w:rFonts w:cs="Times New Roman"/>
      </w:rPr>
    </w:lvl>
  </w:abstractNum>
  <w:abstractNum w:abstractNumId="5">
    <w:nsid w:val="0000000F"/>
    <w:multiLevelType w:val="multilevel"/>
    <w:tmpl w:val="0000000F"/>
    <w:lvl w:ilvl="0" w:tentative="0">
      <w:start w:val="1"/>
      <w:numFmt w:val="japaneseCounting"/>
      <w:lvlText w:val="%1、"/>
      <w:lvlJc w:val="left"/>
      <w:pPr>
        <w:tabs>
          <w:tab w:val="left" w:pos="960"/>
        </w:tabs>
        <w:ind w:left="960" w:hanging="480"/>
      </w:pPr>
      <w:rPr>
        <w:rFonts w:hint="default" w:cs="Times New Roman"/>
      </w:rPr>
    </w:lvl>
    <w:lvl w:ilvl="1" w:tentative="0">
      <w:start w:val="1"/>
      <w:numFmt w:val="lowerLetter"/>
      <w:lvlText w:val="%2)"/>
      <w:lvlJc w:val="left"/>
      <w:pPr>
        <w:tabs>
          <w:tab w:val="left" w:pos="1320"/>
        </w:tabs>
        <w:ind w:left="1320" w:hanging="420"/>
      </w:pPr>
      <w:rPr>
        <w:rFonts w:cs="Times New Roman"/>
      </w:rPr>
    </w:lvl>
    <w:lvl w:ilvl="2" w:tentative="0">
      <w:start w:val="1"/>
      <w:numFmt w:val="lowerRoman"/>
      <w:lvlText w:val="%3."/>
      <w:lvlJc w:val="right"/>
      <w:pPr>
        <w:tabs>
          <w:tab w:val="left" w:pos="1740"/>
        </w:tabs>
        <w:ind w:left="1740" w:hanging="420"/>
      </w:pPr>
      <w:rPr>
        <w:rFonts w:cs="Times New Roman"/>
      </w:rPr>
    </w:lvl>
    <w:lvl w:ilvl="3" w:tentative="0">
      <w:start w:val="1"/>
      <w:numFmt w:val="decimal"/>
      <w:lvlText w:val="%4."/>
      <w:lvlJc w:val="left"/>
      <w:pPr>
        <w:tabs>
          <w:tab w:val="left" w:pos="2160"/>
        </w:tabs>
        <w:ind w:left="2160" w:hanging="420"/>
      </w:pPr>
      <w:rPr>
        <w:rFonts w:cs="Times New Roman"/>
      </w:rPr>
    </w:lvl>
    <w:lvl w:ilvl="4" w:tentative="0">
      <w:start w:val="1"/>
      <w:numFmt w:val="lowerLetter"/>
      <w:lvlText w:val="%5)"/>
      <w:lvlJc w:val="left"/>
      <w:pPr>
        <w:tabs>
          <w:tab w:val="left" w:pos="2580"/>
        </w:tabs>
        <w:ind w:left="2580" w:hanging="420"/>
      </w:pPr>
      <w:rPr>
        <w:rFonts w:cs="Times New Roman"/>
      </w:rPr>
    </w:lvl>
    <w:lvl w:ilvl="5" w:tentative="0">
      <w:start w:val="1"/>
      <w:numFmt w:val="lowerRoman"/>
      <w:lvlText w:val="%6."/>
      <w:lvlJc w:val="right"/>
      <w:pPr>
        <w:tabs>
          <w:tab w:val="left" w:pos="3000"/>
        </w:tabs>
        <w:ind w:left="3000" w:hanging="420"/>
      </w:pPr>
      <w:rPr>
        <w:rFonts w:cs="Times New Roman"/>
      </w:rPr>
    </w:lvl>
    <w:lvl w:ilvl="6" w:tentative="0">
      <w:start w:val="1"/>
      <w:numFmt w:val="decimal"/>
      <w:lvlText w:val="%7."/>
      <w:lvlJc w:val="left"/>
      <w:pPr>
        <w:tabs>
          <w:tab w:val="left" w:pos="3420"/>
        </w:tabs>
        <w:ind w:left="3420" w:hanging="420"/>
      </w:pPr>
      <w:rPr>
        <w:rFonts w:cs="Times New Roman"/>
      </w:rPr>
    </w:lvl>
    <w:lvl w:ilvl="7" w:tentative="0">
      <w:start w:val="1"/>
      <w:numFmt w:val="lowerLetter"/>
      <w:lvlText w:val="%8)"/>
      <w:lvlJc w:val="left"/>
      <w:pPr>
        <w:tabs>
          <w:tab w:val="left" w:pos="3840"/>
        </w:tabs>
        <w:ind w:left="3840" w:hanging="420"/>
      </w:pPr>
      <w:rPr>
        <w:rFonts w:cs="Times New Roman"/>
      </w:rPr>
    </w:lvl>
    <w:lvl w:ilvl="8" w:tentative="0">
      <w:start w:val="1"/>
      <w:numFmt w:val="lowerRoman"/>
      <w:lvlText w:val="%9."/>
      <w:lvlJc w:val="right"/>
      <w:pPr>
        <w:tabs>
          <w:tab w:val="left" w:pos="4260"/>
        </w:tabs>
        <w:ind w:left="4260" w:hanging="420"/>
      </w:pPr>
      <w:rPr>
        <w:rFonts w:cs="Times New Roman"/>
      </w:rPr>
    </w:lvl>
  </w:abstractNum>
  <w:abstractNum w:abstractNumId="6">
    <w:nsid w:val="00000012"/>
    <w:multiLevelType w:val="multilevel"/>
    <w:tmpl w:val="00000012"/>
    <w:lvl w:ilvl="0" w:tentative="0">
      <w:start w:val="1"/>
      <w:numFmt w:val="decimal"/>
      <w:lvlText w:val="%1、"/>
      <w:lvlJc w:val="left"/>
      <w:pPr>
        <w:tabs>
          <w:tab w:val="left" w:pos="1262"/>
        </w:tabs>
        <w:ind w:left="1262" w:hanging="360"/>
      </w:pPr>
      <w:rPr>
        <w:rFonts w:hint="default" w:cs="Times New Roman"/>
      </w:rPr>
    </w:lvl>
    <w:lvl w:ilvl="1" w:tentative="0">
      <w:start w:val="1"/>
      <w:numFmt w:val="decimal"/>
      <w:lvlText w:val="%2、"/>
      <w:lvlJc w:val="left"/>
      <w:pPr>
        <w:tabs>
          <w:tab w:val="left" w:pos="780"/>
        </w:tabs>
        <w:ind w:left="1000" w:hanging="360"/>
      </w:pPr>
      <w:rPr>
        <w:rFonts w:hint="default"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7">
    <w:nsid w:val="00000017"/>
    <w:multiLevelType w:val="multilevel"/>
    <w:tmpl w:val="00000017"/>
    <w:lvl w:ilvl="0" w:tentative="0">
      <w:start w:val="1"/>
      <w:numFmt w:val="decimal"/>
      <w:lvlText w:val="%1"/>
      <w:lvlJc w:val="left"/>
      <w:pPr>
        <w:tabs>
          <w:tab w:val="left" w:pos="425"/>
        </w:tabs>
        <w:ind w:left="425" w:hanging="425"/>
      </w:pPr>
      <w:rPr>
        <w:rFonts w:hint="eastAsia" w:cs="Times New Roman"/>
      </w:rPr>
    </w:lvl>
    <w:lvl w:ilvl="1" w:tentative="0">
      <w:start w:val="1"/>
      <w:numFmt w:val="decimal"/>
      <w:lvlText w:val="%1.%2"/>
      <w:lvlJc w:val="left"/>
      <w:pPr>
        <w:tabs>
          <w:tab w:val="left" w:pos="992"/>
        </w:tabs>
        <w:ind w:left="992" w:hanging="567"/>
      </w:pPr>
      <w:rPr>
        <w:rFonts w:hint="default" w:ascii="Times New Roman" w:hAnsi="Times New Roman" w:cs="Times New Roman"/>
      </w:rPr>
    </w:lvl>
    <w:lvl w:ilvl="2" w:tentative="0">
      <w:start w:val="1"/>
      <w:numFmt w:val="decimal"/>
      <w:lvlText w:val="%1.%2.%3"/>
      <w:lvlJc w:val="left"/>
      <w:pPr>
        <w:tabs>
          <w:tab w:val="left" w:pos="1418"/>
        </w:tabs>
        <w:ind w:left="1418" w:hanging="567"/>
      </w:pPr>
      <w:rPr>
        <w:rFonts w:hint="eastAsia" w:cs="Times New Roman"/>
      </w:rPr>
    </w:lvl>
    <w:lvl w:ilvl="3" w:tentative="0">
      <w:start w:val="1"/>
      <w:numFmt w:val="decimal"/>
      <w:lvlText w:val="%1.%2.%3.%4"/>
      <w:lvlJc w:val="left"/>
      <w:pPr>
        <w:tabs>
          <w:tab w:val="left" w:pos="2356"/>
        </w:tabs>
        <w:ind w:left="1984" w:hanging="708"/>
      </w:pPr>
      <w:rPr>
        <w:rFonts w:hint="eastAsia" w:cs="Times New Roman"/>
      </w:rPr>
    </w:lvl>
    <w:lvl w:ilvl="4" w:tentative="0">
      <w:start w:val="1"/>
      <w:numFmt w:val="decimal"/>
      <w:lvlText w:val="%1.%2.%3.%4.%5"/>
      <w:lvlJc w:val="left"/>
      <w:pPr>
        <w:tabs>
          <w:tab w:val="left" w:pos="2781"/>
        </w:tabs>
        <w:ind w:left="2551" w:hanging="850"/>
      </w:pPr>
      <w:rPr>
        <w:rFonts w:hint="eastAsia" w:cs="Times New Roman"/>
      </w:rPr>
    </w:lvl>
    <w:lvl w:ilvl="5" w:tentative="0">
      <w:start w:val="1"/>
      <w:numFmt w:val="decimal"/>
      <w:lvlText w:val="%1.%2.%3.%4.%5.%6"/>
      <w:lvlJc w:val="left"/>
      <w:pPr>
        <w:tabs>
          <w:tab w:val="left" w:pos="3566"/>
        </w:tabs>
        <w:ind w:left="3260" w:hanging="1134"/>
      </w:pPr>
      <w:rPr>
        <w:rFonts w:hint="eastAsia" w:cs="Times New Roman"/>
      </w:rPr>
    </w:lvl>
    <w:lvl w:ilvl="6" w:tentative="0">
      <w:start w:val="1"/>
      <w:numFmt w:val="decimal"/>
      <w:lvlText w:val="%1.%2.%3.%4.%5.%6.%7"/>
      <w:lvlJc w:val="left"/>
      <w:pPr>
        <w:tabs>
          <w:tab w:val="left" w:pos="3991"/>
        </w:tabs>
        <w:ind w:left="3827" w:hanging="1276"/>
      </w:pPr>
      <w:rPr>
        <w:rFonts w:hint="eastAsia" w:cs="Times New Roman"/>
      </w:rPr>
    </w:lvl>
    <w:lvl w:ilvl="7" w:tentative="0">
      <w:start w:val="1"/>
      <w:numFmt w:val="decimal"/>
      <w:lvlText w:val="%1.%2.%3.%4.%5.%6.%7.%8"/>
      <w:lvlJc w:val="left"/>
      <w:pPr>
        <w:tabs>
          <w:tab w:val="left" w:pos="4776"/>
        </w:tabs>
        <w:ind w:left="4394" w:hanging="1418"/>
      </w:pPr>
      <w:rPr>
        <w:rFonts w:hint="eastAsia" w:cs="Times New Roman"/>
      </w:rPr>
    </w:lvl>
    <w:lvl w:ilvl="8" w:tentative="0">
      <w:start w:val="1"/>
      <w:numFmt w:val="decimal"/>
      <w:lvlText w:val="%1.%2.%3.%4.%5.%6.%7.%8.%9"/>
      <w:lvlJc w:val="left"/>
      <w:pPr>
        <w:tabs>
          <w:tab w:val="left" w:pos="5562"/>
        </w:tabs>
        <w:ind w:left="5102" w:hanging="1700"/>
      </w:pPr>
      <w:rPr>
        <w:rFonts w:hint="eastAsia" w:cs="Times New Roman"/>
      </w:rPr>
    </w:lvl>
  </w:abstractNum>
  <w:abstractNum w:abstractNumId="8">
    <w:nsid w:val="0FB3B0C5"/>
    <w:multiLevelType w:val="singleLevel"/>
    <w:tmpl w:val="0FB3B0C5"/>
    <w:lvl w:ilvl="0" w:tentative="0">
      <w:start w:val="7"/>
      <w:numFmt w:val="decimal"/>
      <w:suff w:val="nothing"/>
      <w:lvlText w:val="%1、"/>
      <w:lvlJc w:val="left"/>
    </w:lvl>
  </w:abstractNum>
  <w:abstractNum w:abstractNumId="9">
    <w:nsid w:val="325D447C"/>
    <w:multiLevelType w:val="multilevel"/>
    <w:tmpl w:val="325D447C"/>
    <w:lvl w:ilvl="0" w:tentative="0">
      <w:start w:val="1"/>
      <w:numFmt w:val="japaneseCounting"/>
      <w:lvlText w:val="（%1）"/>
      <w:lvlJc w:val="left"/>
      <w:pPr>
        <w:ind w:left="1190" w:hanging="765"/>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0">
    <w:nsid w:val="5E920A3E"/>
    <w:multiLevelType w:val="singleLevel"/>
    <w:tmpl w:val="5E920A3E"/>
    <w:lvl w:ilvl="0" w:tentative="0">
      <w:start w:val="1"/>
      <w:numFmt w:val="decimal"/>
      <w:suff w:val="nothing"/>
      <w:lvlText w:val="%1、"/>
      <w:lvlJc w:val="left"/>
    </w:lvl>
  </w:abstractNum>
  <w:num w:numId="1">
    <w:abstractNumId w:val="8"/>
  </w:num>
  <w:num w:numId="2">
    <w:abstractNumId w:val="10"/>
  </w:num>
  <w:num w:numId="3">
    <w:abstractNumId w:val="4"/>
  </w:num>
  <w:num w:numId="4">
    <w:abstractNumId w:val="7"/>
  </w:num>
  <w:num w:numId="5">
    <w:abstractNumId w:val="1"/>
  </w:num>
  <w:num w:numId="6">
    <w:abstractNumId w:val="3"/>
  </w:num>
  <w:num w:numId="7">
    <w:abstractNumId w:val="5"/>
  </w:num>
  <w:num w:numId="8">
    <w:abstractNumId w:val="0"/>
  </w:num>
  <w:num w:numId="9">
    <w:abstractNumId w:val="2"/>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9B7"/>
    <w:rsid w:val="00034B80"/>
    <w:rsid w:val="0004643C"/>
    <w:rsid w:val="0009240B"/>
    <w:rsid w:val="0009622E"/>
    <w:rsid w:val="000B796F"/>
    <w:rsid w:val="001A6ECE"/>
    <w:rsid w:val="002732FA"/>
    <w:rsid w:val="002D6BB1"/>
    <w:rsid w:val="00317323"/>
    <w:rsid w:val="00501EBF"/>
    <w:rsid w:val="00510ACF"/>
    <w:rsid w:val="005469B7"/>
    <w:rsid w:val="005D5694"/>
    <w:rsid w:val="00634C51"/>
    <w:rsid w:val="0077105E"/>
    <w:rsid w:val="007D2620"/>
    <w:rsid w:val="008A382B"/>
    <w:rsid w:val="00AB2721"/>
    <w:rsid w:val="00D0641F"/>
    <w:rsid w:val="00DF6E60"/>
    <w:rsid w:val="00E2342E"/>
    <w:rsid w:val="00F65A53"/>
    <w:rsid w:val="014A7103"/>
    <w:rsid w:val="02E869C6"/>
    <w:rsid w:val="03544269"/>
    <w:rsid w:val="04407640"/>
    <w:rsid w:val="051060DD"/>
    <w:rsid w:val="05312489"/>
    <w:rsid w:val="055F71C4"/>
    <w:rsid w:val="060F33C2"/>
    <w:rsid w:val="062D0A82"/>
    <w:rsid w:val="069E0FB5"/>
    <w:rsid w:val="06C52E0F"/>
    <w:rsid w:val="06F50F61"/>
    <w:rsid w:val="076D19A2"/>
    <w:rsid w:val="079109A7"/>
    <w:rsid w:val="07F87182"/>
    <w:rsid w:val="088A6F1F"/>
    <w:rsid w:val="088C1163"/>
    <w:rsid w:val="089D1A27"/>
    <w:rsid w:val="09160B85"/>
    <w:rsid w:val="0934090B"/>
    <w:rsid w:val="09E329A2"/>
    <w:rsid w:val="09E902F9"/>
    <w:rsid w:val="0A323333"/>
    <w:rsid w:val="0A8B67D1"/>
    <w:rsid w:val="0BEE3926"/>
    <w:rsid w:val="0C4037DE"/>
    <w:rsid w:val="0D7D6CC6"/>
    <w:rsid w:val="0E160343"/>
    <w:rsid w:val="0E217823"/>
    <w:rsid w:val="0E4A540F"/>
    <w:rsid w:val="0E541CE4"/>
    <w:rsid w:val="0E7B1A2F"/>
    <w:rsid w:val="0EDF272A"/>
    <w:rsid w:val="0EEB1CE7"/>
    <w:rsid w:val="0FFC02C2"/>
    <w:rsid w:val="101E2CF3"/>
    <w:rsid w:val="101E599D"/>
    <w:rsid w:val="107951D5"/>
    <w:rsid w:val="10E648C1"/>
    <w:rsid w:val="110C60CE"/>
    <w:rsid w:val="123361EB"/>
    <w:rsid w:val="12536D87"/>
    <w:rsid w:val="129334ED"/>
    <w:rsid w:val="12AA7A55"/>
    <w:rsid w:val="12DB38E8"/>
    <w:rsid w:val="13B00E1B"/>
    <w:rsid w:val="13F91DD8"/>
    <w:rsid w:val="149411E2"/>
    <w:rsid w:val="14966814"/>
    <w:rsid w:val="152414D4"/>
    <w:rsid w:val="15DD0F8D"/>
    <w:rsid w:val="15ED272A"/>
    <w:rsid w:val="16015770"/>
    <w:rsid w:val="16A13CFE"/>
    <w:rsid w:val="16E44768"/>
    <w:rsid w:val="174370D0"/>
    <w:rsid w:val="17717E7C"/>
    <w:rsid w:val="17AD73B6"/>
    <w:rsid w:val="17CE22DC"/>
    <w:rsid w:val="17EA592D"/>
    <w:rsid w:val="18634EBD"/>
    <w:rsid w:val="18F7751D"/>
    <w:rsid w:val="19275668"/>
    <w:rsid w:val="194B2785"/>
    <w:rsid w:val="19B9410C"/>
    <w:rsid w:val="19B96CAB"/>
    <w:rsid w:val="1A0B4AAC"/>
    <w:rsid w:val="1A185783"/>
    <w:rsid w:val="1A7B68A7"/>
    <w:rsid w:val="1AC2535D"/>
    <w:rsid w:val="1B66365D"/>
    <w:rsid w:val="1BAE60D3"/>
    <w:rsid w:val="1BC43EC7"/>
    <w:rsid w:val="1CB6730A"/>
    <w:rsid w:val="1CBB44D4"/>
    <w:rsid w:val="1D4A73AD"/>
    <w:rsid w:val="1D720E6B"/>
    <w:rsid w:val="1D79049A"/>
    <w:rsid w:val="1E7A0E9B"/>
    <w:rsid w:val="1EB35FF3"/>
    <w:rsid w:val="1F9207DF"/>
    <w:rsid w:val="1FC94011"/>
    <w:rsid w:val="200B25ED"/>
    <w:rsid w:val="20490592"/>
    <w:rsid w:val="20A9311A"/>
    <w:rsid w:val="20D153D7"/>
    <w:rsid w:val="20F163DC"/>
    <w:rsid w:val="21080B57"/>
    <w:rsid w:val="2273650F"/>
    <w:rsid w:val="233E2D23"/>
    <w:rsid w:val="23A1197C"/>
    <w:rsid w:val="23AA31C2"/>
    <w:rsid w:val="24691D09"/>
    <w:rsid w:val="24DF13C0"/>
    <w:rsid w:val="24EB1C44"/>
    <w:rsid w:val="24F34CF0"/>
    <w:rsid w:val="250378F5"/>
    <w:rsid w:val="254C0B00"/>
    <w:rsid w:val="25881E38"/>
    <w:rsid w:val="25D620C5"/>
    <w:rsid w:val="26162F6D"/>
    <w:rsid w:val="268C535E"/>
    <w:rsid w:val="269E4FBE"/>
    <w:rsid w:val="27A66DB7"/>
    <w:rsid w:val="286302D2"/>
    <w:rsid w:val="28690748"/>
    <w:rsid w:val="288918DF"/>
    <w:rsid w:val="289B0850"/>
    <w:rsid w:val="28E614F3"/>
    <w:rsid w:val="29B05FF5"/>
    <w:rsid w:val="2A66639A"/>
    <w:rsid w:val="2AC9451C"/>
    <w:rsid w:val="2AEB3503"/>
    <w:rsid w:val="2B2C3BAF"/>
    <w:rsid w:val="2B751506"/>
    <w:rsid w:val="2BA31012"/>
    <w:rsid w:val="2BB2508D"/>
    <w:rsid w:val="2C050848"/>
    <w:rsid w:val="2CA22794"/>
    <w:rsid w:val="2CA470B9"/>
    <w:rsid w:val="2D050E25"/>
    <w:rsid w:val="2DB81CF6"/>
    <w:rsid w:val="2E231C68"/>
    <w:rsid w:val="2E346E93"/>
    <w:rsid w:val="2E5E21CD"/>
    <w:rsid w:val="2F341A09"/>
    <w:rsid w:val="2F8B25DA"/>
    <w:rsid w:val="307A7C85"/>
    <w:rsid w:val="30A43D72"/>
    <w:rsid w:val="31206B1D"/>
    <w:rsid w:val="31D06B23"/>
    <w:rsid w:val="333D78F3"/>
    <w:rsid w:val="33AA4E13"/>
    <w:rsid w:val="340973D2"/>
    <w:rsid w:val="34164665"/>
    <w:rsid w:val="3452520B"/>
    <w:rsid w:val="34DA7EA8"/>
    <w:rsid w:val="35A00E4A"/>
    <w:rsid w:val="35BC7011"/>
    <w:rsid w:val="35C84E04"/>
    <w:rsid w:val="360D1ED1"/>
    <w:rsid w:val="3637221F"/>
    <w:rsid w:val="36373494"/>
    <w:rsid w:val="37AB4631"/>
    <w:rsid w:val="386B77C0"/>
    <w:rsid w:val="38A540D6"/>
    <w:rsid w:val="38CA10C2"/>
    <w:rsid w:val="38CF6CE9"/>
    <w:rsid w:val="38DC4717"/>
    <w:rsid w:val="38EB277B"/>
    <w:rsid w:val="38ED64F8"/>
    <w:rsid w:val="390D4147"/>
    <w:rsid w:val="39233D2F"/>
    <w:rsid w:val="39F42348"/>
    <w:rsid w:val="3B0B6921"/>
    <w:rsid w:val="3B8A04F7"/>
    <w:rsid w:val="3C0A0F36"/>
    <w:rsid w:val="3C365A3B"/>
    <w:rsid w:val="3C9A77C4"/>
    <w:rsid w:val="3C9C01C5"/>
    <w:rsid w:val="3CC07C24"/>
    <w:rsid w:val="3CCB0F95"/>
    <w:rsid w:val="3CF8284C"/>
    <w:rsid w:val="3D342FB6"/>
    <w:rsid w:val="3DC12076"/>
    <w:rsid w:val="3DE724F4"/>
    <w:rsid w:val="3E6A64C2"/>
    <w:rsid w:val="3E9F586E"/>
    <w:rsid w:val="3EE2708F"/>
    <w:rsid w:val="3F096F2B"/>
    <w:rsid w:val="3F5633D5"/>
    <w:rsid w:val="3F673011"/>
    <w:rsid w:val="3FAA2AAC"/>
    <w:rsid w:val="3FC3324B"/>
    <w:rsid w:val="3FE84F0A"/>
    <w:rsid w:val="402A5AFB"/>
    <w:rsid w:val="407A22AD"/>
    <w:rsid w:val="40AC6390"/>
    <w:rsid w:val="410D6489"/>
    <w:rsid w:val="412564E0"/>
    <w:rsid w:val="41676268"/>
    <w:rsid w:val="41D72C20"/>
    <w:rsid w:val="41F62321"/>
    <w:rsid w:val="41FF18CC"/>
    <w:rsid w:val="4256244B"/>
    <w:rsid w:val="430012B0"/>
    <w:rsid w:val="44DD02B1"/>
    <w:rsid w:val="44F50FD9"/>
    <w:rsid w:val="44F90185"/>
    <w:rsid w:val="44F92DEE"/>
    <w:rsid w:val="45207A4D"/>
    <w:rsid w:val="454D2600"/>
    <w:rsid w:val="456C61AB"/>
    <w:rsid w:val="462309E3"/>
    <w:rsid w:val="46396985"/>
    <w:rsid w:val="464A343D"/>
    <w:rsid w:val="46A810CE"/>
    <w:rsid w:val="471F281C"/>
    <w:rsid w:val="473779AB"/>
    <w:rsid w:val="479329A4"/>
    <w:rsid w:val="48293E6C"/>
    <w:rsid w:val="48927E3E"/>
    <w:rsid w:val="48E63E07"/>
    <w:rsid w:val="48F1527A"/>
    <w:rsid w:val="492B7B88"/>
    <w:rsid w:val="493B6984"/>
    <w:rsid w:val="494C6E83"/>
    <w:rsid w:val="4987690A"/>
    <w:rsid w:val="49A5145E"/>
    <w:rsid w:val="49BD2F9D"/>
    <w:rsid w:val="4A1439A9"/>
    <w:rsid w:val="4AAA4872"/>
    <w:rsid w:val="4AB46CAC"/>
    <w:rsid w:val="4B160C17"/>
    <w:rsid w:val="4B8E66B6"/>
    <w:rsid w:val="4BB626CA"/>
    <w:rsid w:val="4BC43A45"/>
    <w:rsid w:val="4C3B7282"/>
    <w:rsid w:val="4C455BED"/>
    <w:rsid w:val="4C4F61B7"/>
    <w:rsid w:val="4CD5167B"/>
    <w:rsid w:val="4CE37F1B"/>
    <w:rsid w:val="4D3A5D8D"/>
    <w:rsid w:val="4D4143B4"/>
    <w:rsid w:val="4D806E06"/>
    <w:rsid w:val="4D9C5011"/>
    <w:rsid w:val="4DD045D5"/>
    <w:rsid w:val="4DE361FD"/>
    <w:rsid w:val="4E100F26"/>
    <w:rsid w:val="4F00356F"/>
    <w:rsid w:val="4F950072"/>
    <w:rsid w:val="4FB91521"/>
    <w:rsid w:val="504C55FB"/>
    <w:rsid w:val="50C351CC"/>
    <w:rsid w:val="51217279"/>
    <w:rsid w:val="5138791C"/>
    <w:rsid w:val="51FC7BA3"/>
    <w:rsid w:val="52124497"/>
    <w:rsid w:val="52DB638E"/>
    <w:rsid w:val="533A7200"/>
    <w:rsid w:val="5350658D"/>
    <w:rsid w:val="544031D1"/>
    <w:rsid w:val="54C44A68"/>
    <w:rsid w:val="551A1EFE"/>
    <w:rsid w:val="559920C1"/>
    <w:rsid w:val="55AB7008"/>
    <w:rsid w:val="57CF04A2"/>
    <w:rsid w:val="57EF4971"/>
    <w:rsid w:val="57EF5B29"/>
    <w:rsid w:val="5903044E"/>
    <w:rsid w:val="5938666C"/>
    <w:rsid w:val="597B641C"/>
    <w:rsid w:val="597F0ED3"/>
    <w:rsid w:val="599B4122"/>
    <w:rsid w:val="59F038F2"/>
    <w:rsid w:val="5A093FE7"/>
    <w:rsid w:val="5AC55304"/>
    <w:rsid w:val="5AC70CA2"/>
    <w:rsid w:val="5B2023AA"/>
    <w:rsid w:val="5C3B2931"/>
    <w:rsid w:val="5C420509"/>
    <w:rsid w:val="5C97708C"/>
    <w:rsid w:val="5D022108"/>
    <w:rsid w:val="5DA04F8E"/>
    <w:rsid w:val="5E7A150B"/>
    <w:rsid w:val="5EE504F3"/>
    <w:rsid w:val="5EF71AD9"/>
    <w:rsid w:val="5F4360DE"/>
    <w:rsid w:val="5F6A29B3"/>
    <w:rsid w:val="5FFB4855"/>
    <w:rsid w:val="603C2865"/>
    <w:rsid w:val="60854E02"/>
    <w:rsid w:val="60970660"/>
    <w:rsid w:val="610D0F5C"/>
    <w:rsid w:val="61841FC1"/>
    <w:rsid w:val="63130204"/>
    <w:rsid w:val="631619DB"/>
    <w:rsid w:val="63440C92"/>
    <w:rsid w:val="634C4F8F"/>
    <w:rsid w:val="636B2628"/>
    <w:rsid w:val="63B71BDE"/>
    <w:rsid w:val="63E30B2B"/>
    <w:rsid w:val="644F1433"/>
    <w:rsid w:val="6458497B"/>
    <w:rsid w:val="64927148"/>
    <w:rsid w:val="64D578F3"/>
    <w:rsid w:val="64DB0D70"/>
    <w:rsid w:val="650614C8"/>
    <w:rsid w:val="65965E9B"/>
    <w:rsid w:val="65BE7739"/>
    <w:rsid w:val="664075E8"/>
    <w:rsid w:val="668F4230"/>
    <w:rsid w:val="66CC3A55"/>
    <w:rsid w:val="675259A0"/>
    <w:rsid w:val="685B4CFB"/>
    <w:rsid w:val="69957DA3"/>
    <w:rsid w:val="6A3C7575"/>
    <w:rsid w:val="6B9A3DD0"/>
    <w:rsid w:val="6C5634A6"/>
    <w:rsid w:val="6CA417A4"/>
    <w:rsid w:val="6CA621A7"/>
    <w:rsid w:val="6CF13D2F"/>
    <w:rsid w:val="6E1566A0"/>
    <w:rsid w:val="6E3C6B16"/>
    <w:rsid w:val="6EC72CB1"/>
    <w:rsid w:val="6F7545A7"/>
    <w:rsid w:val="6FC15BFC"/>
    <w:rsid w:val="702C1D6A"/>
    <w:rsid w:val="70A6546C"/>
    <w:rsid w:val="70BD6403"/>
    <w:rsid w:val="70BF4E24"/>
    <w:rsid w:val="710C0BC2"/>
    <w:rsid w:val="71356D3D"/>
    <w:rsid w:val="719B408A"/>
    <w:rsid w:val="71E67C70"/>
    <w:rsid w:val="71E811E8"/>
    <w:rsid w:val="71EC3BBA"/>
    <w:rsid w:val="72580FB7"/>
    <w:rsid w:val="72B83105"/>
    <w:rsid w:val="733D3D0C"/>
    <w:rsid w:val="73736586"/>
    <w:rsid w:val="73D330CE"/>
    <w:rsid w:val="74E41226"/>
    <w:rsid w:val="75053056"/>
    <w:rsid w:val="7523590C"/>
    <w:rsid w:val="753B2EB9"/>
    <w:rsid w:val="75504AFF"/>
    <w:rsid w:val="75CF71F5"/>
    <w:rsid w:val="765E279E"/>
    <w:rsid w:val="7776115E"/>
    <w:rsid w:val="786F01AF"/>
    <w:rsid w:val="78BC55DF"/>
    <w:rsid w:val="79761055"/>
    <w:rsid w:val="798B3E33"/>
    <w:rsid w:val="7B7E2C7D"/>
    <w:rsid w:val="7BF36FC8"/>
    <w:rsid w:val="7C286B55"/>
    <w:rsid w:val="7C2B1D97"/>
    <w:rsid w:val="7C974339"/>
    <w:rsid w:val="7CDB4B39"/>
    <w:rsid w:val="7D3B2C43"/>
    <w:rsid w:val="7D4D6994"/>
    <w:rsid w:val="7D7C66C8"/>
    <w:rsid w:val="7D813CDB"/>
    <w:rsid w:val="7E695FD2"/>
    <w:rsid w:val="7EC76D83"/>
    <w:rsid w:val="7FD6538E"/>
    <w:rsid w:val="7FE402F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9" w:semiHidden="0" w:name="heading 1"/>
    <w:lsdException w:qFormat="1" w:unhideWhenUsed="0" w:uiPriority="1" w:semiHidden="0" w:name="heading 2"/>
    <w:lsdException w:qFormat="1" w:unhideWhenUsed="0" w:uiPriority="1" w:semiHidden="0" w:name="heading 3"/>
    <w:lsdException w:qFormat="1" w:unhideWhenUsed="0" w:uiPriority="99" w:semiHidden="0" w:name="heading 4"/>
    <w:lsdException w:qFormat="1" w:unhideWhenUsed="0" w:uiPriority="0" w:semiHidden="0" w:name="heading 5"/>
    <w:lsdException w:qFormat="1" w:unhideWhenUsed="0" w:uiPriority="1" w:semiHidden="0" w:name="heading 6"/>
    <w:lsdException w:qFormat="1" w:uiPriority="0" w:name="heading 7"/>
    <w:lsdException w:qFormat="1" w:uiPriority="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99"/>
    <w:pPr>
      <w:keepNext/>
      <w:keepLines/>
      <w:spacing w:before="340" w:after="330" w:line="578" w:lineRule="auto"/>
      <w:outlineLvl w:val="0"/>
    </w:pPr>
    <w:rPr>
      <w:rFonts w:ascii="Calibri" w:hAnsi="Calibri"/>
      <w:b/>
      <w:bCs/>
      <w:kern w:val="44"/>
      <w:sz w:val="44"/>
      <w:szCs w:val="44"/>
    </w:rPr>
  </w:style>
  <w:style w:type="paragraph" w:styleId="2">
    <w:name w:val="heading 2"/>
    <w:basedOn w:val="1"/>
    <w:next w:val="1"/>
    <w:link w:val="38"/>
    <w:qFormat/>
    <w:uiPriority w:val="1"/>
    <w:pPr>
      <w:spacing w:before="50"/>
      <w:outlineLvl w:val="1"/>
    </w:pPr>
    <w:rPr>
      <w:rFonts w:ascii="新宋体" w:hAnsi="新宋体" w:eastAsia="新宋体" w:cs="新宋体"/>
      <w:b/>
      <w:bCs/>
      <w:sz w:val="36"/>
      <w:szCs w:val="36"/>
      <w:lang w:val="zh-CN" w:eastAsia="zh-CN" w:bidi="zh-CN"/>
    </w:rPr>
  </w:style>
  <w:style w:type="paragraph" w:styleId="4">
    <w:name w:val="heading 3"/>
    <w:basedOn w:val="1"/>
    <w:next w:val="1"/>
    <w:qFormat/>
    <w:uiPriority w:val="1"/>
    <w:pPr>
      <w:ind w:left="1260"/>
      <w:outlineLvl w:val="2"/>
    </w:pPr>
    <w:rPr>
      <w:rFonts w:ascii="新宋体" w:hAnsi="新宋体" w:eastAsia="新宋体" w:cs="新宋体"/>
      <w:b/>
      <w:bCs/>
      <w:sz w:val="32"/>
      <w:szCs w:val="32"/>
      <w:lang w:val="zh-CN" w:eastAsia="zh-CN" w:bidi="zh-CN"/>
    </w:rPr>
  </w:style>
  <w:style w:type="paragraph" w:styleId="5">
    <w:name w:val="heading 4"/>
    <w:basedOn w:val="1"/>
    <w:next w:val="1"/>
    <w:qFormat/>
    <w:uiPriority w:val="99"/>
    <w:pPr>
      <w:tabs>
        <w:tab w:val="left" w:pos="992"/>
      </w:tabs>
      <w:spacing w:line="360" w:lineRule="auto"/>
      <w:ind w:left="992" w:hanging="567"/>
      <w:outlineLvl w:val="3"/>
    </w:pPr>
    <w:rPr>
      <w:rFonts w:ascii="Arial" w:hAnsi="Arial" w:cs="Arial"/>
      <w:sz w:val="24"/>
      <w:szCs w:val="24"/>
    </w:rPr>
  </w:style>
  <w:style w:type="paragraph" w:styleId="6">
    <w:name w:val="heading 5"/>
    <w:basedOn w:val="1"/>
    <w:next w:val="1"/>
    <w:qFormat/>
    <w:uiPriority w:val="0"/>
    <w:pPr>
      <w:keepNext/>
      <w:keepLines/>
      <w:spacing w:line="440" w:lineRule="exact"/>
      <w:jc w:val="center"/>
      <w:outlineLvl w:val="4"/>
    </w:pPr>
    <w:rPr>
      <w:rFonts w:eastAsia="黑体"/>
      <w:bCs/>
      <w:sz w:val="30"/>
      <w:szCs w:val="28"/>
    </w:rPr>
  </w:style>
  <w:style w:type="paragraph" w:styleId="7">
    <w:name w:val="heading 6"/>
    <w:basedOn w:val="1"/>
    <w:next w:val="1"/>
    <w:qFormat/>
    <w:uiPriority w:val="1"/>
    <w:pPr>
      <w:spacing w:before="59"/>
      <w:jc w:val="center"/>
      <w:outlineLvl w:val="5"/>
    </w:pPr>
    <w:rPr>
      <w:rFonts w:ascii="宋体" w:hAnsi="宋体" w:eastAsia="宋体" w:cs="宋体"/>
      <w:b/>
      <w:bCs/>
      <w:sz w:val="28"/>
      <w:szCs w:val="28"/>
      <w:lang w:val="zh-CN" w:eastAsia="zh-CN" w:bidi="zh-CN"/>
    </w:rPr>
  </w:style>
  <w:style w:type="paragraph" w:styleId="8">
    <w:name w:val="heading 9"/>
    <w:basedOn w:val="1"/>
    <w:next w:val="1"/>
    <w:qFormat/>
    <w:uiPriority w:val="1"/>
    <w:pPr>
      <w:ind w:left="1020" w:hanging="480"/>
      <w:outlineLvl w:val="8"/>
    </w:pPr>
    <w:rPr>
      <w:rFonts w:ascii="宋体" w:hAnsi="宋体" w:eastAsia="宋体" w:cs="宋体"/>
      <w:sz w:val="24"/>
      <w:szCs w:val="24"/>
      <w:lang w:val="zh-CN" w:eastAsia="zh-CN" w:bidi="zh-CN"/>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9">
    <w:name w:val="Normal Indent"/>
    <w:basedOn w:val="1"/>
    <w:next w:val="1"/>
    <w:qFormat/>
    <w:uiPriority w:val="0"/>
    <w:pPr>
      <w:adjustRightInd w:val="0"/>
      <w:spacing w:line="360" w:lineRule="atLeast"/>
      <w:ind w:firstLine="482"/>
      <w:textAlignment w:val="baseline"/>
    </w:pPr>
    <w:rPr>
      <w:rFonts w:ascii="Times New Roman" w:hAnsi="Times New Roman"/>
      <w:kern w:val="0"/>
      <w:sz w:val="24"/>
      <w:szCs w:val="20"/>
    </w:rPr>
  </w:style>
  <w:style w:type="paragraph" w:styleId="10">
    <w:name w:val="toa heading"/>
    <w:basedOn w:val="1"/>
    <w:next w:val="1"/>
    <w:qFormat/>
    <w:uiPriority w:val="0"/>
    <w:rPr>
      <w:rFonts w:ascii="Arial" w:hAnsi="Arial"/>
      <w:sz w:val="24"/>
    </w:rPr>
  </w:style>
  <w:style w:type="paragraph" w:styleId="11">
    <w:name w:val="annotation text"/>
    <w:basedOn w:val="1"/>
    <w:qFormat/>
    <w:uiPriority w:val="0"/>
    <w:pPr>
      <w:jc w:val="left"/>
    </w:pPr>
  </w:style>
  <w:style w:type="paragraph" w:styleId="12">
    <w:name w:val="Body Text"/>
    <w:basedOn w:val="1"/>
    <w:next w:val="1"/>
    <w:qFormat/>
    <w:uiPriority w:val="1"/>
    <w:rPr>
      <w:rFonts w:ascii="宋体" w:hAnsi="宋体" w:eastAsia="宋体" w:cs="宋体"/>
      <w:sz w:val="21"/>
      <w:szCs w:val="21"/>
      <w:lang w:val="zh-CN" w:eastAsia="zh-CN" w:bidi="zh-CN"/>
    </w:rPr>
  </w:style>
  <w:style w:type="paragraph" w:styleId="13">
    <w:name w:val="Body Text Indent"/>
    <w:basedOn w:val="1"/>
    <w:qFormat/>
    <w:uiPriority w:val="0"/>
    <w:pPr>
      <w:spacing w:after="120"/>
      <w:ind w:left="420" w:leftChars="200"/>
    </w:pPr>
  </w:style>
  <w:style w:type="paragraph" w:styleId="14">
    <w:name w:val="toc 5"/>
    <w:basedOn w:val="1"/>
    <w:next w:val="1"/>
    <w:qFormat/>
    <w:uiPriority w:val="0"/>
    <w:pPr>
      <w:tabs>
        <w:tab w:val="right" w:leader="dot" w:pos="8296"/>
      </w:tabs>
      <w:ind w:left="1050" w:leftChars="500"/>
    </w:pPr>
  </w:style>
  <w:style w:type="paragraph" w:styleId="15">
    <w:name w:val="toc 3"/>
    <w:basedOn w:val="1"/>
    <w:next w:val="1"/>
    <w:qFormat/>
    <w:uiPriority w:val="0"/>
    <w:pPr>
      <w:ind w:left="840" w:leftChars="400"/>
    </w:pPr>
  </w:style>
  <w:style w:type="paragraph" w:styleId="16">
    <w:name w:val="Plain Text"/>
    <w:basedOn w:val="1"/>
    <w:qFormat/>
    <w:uiPriority w:val="99"/>
    <w:rPr>
      <w:rFonts w:ascii="宋体" w:hAnsi="Courier New" w:cs="宋体"/>
    </w:rPr>
  </w:style>
  <w:style w:type="paragraph" w:styleId="17">
    <w:name w:val="Date"/>
    <w:basedOn w:val="1"/>
    <w:next w:val="1"/>
    <w:qFormat/>
    <w:uiPriority w:val="99"/>
    <w:pPr>
      <w:adjustRightInd w:val="0"/>
      <w:spacing w:line="360" w:lineRule="atLeast"/>
      <w:ind w:firstLine="200" w:firstLineChars="200"/>
      <w:textAlignment w:val="baseline"/>
    </w:pPr>
    <w:rPr>
      <w:sz w:val="28"/>
      <w:szCs w:val="28"/>
    </w:rPr>
  </w:style>
  <w:style w:type="paragraph" w:styleId="18">
    <w:name w:val="footer"/>
    <w:basedOn w:val="1"/>
    <w:qFormat/>
    <w:uiPriority w:val="0"/>
    <w:pPr>
      <w:tabs>
        <w:tab w:val="center" w:pos="4153"/>
        <w:tab w:val="right" w:pos="8306"/>
      </w:tabs>
      <w:snapToGrid w:val="0"/>
      <w:jc w:val="left"/>
    </w:pPr>
    <w:rPr>
      <w:sz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toc 1"/>
    <w:basedOn w:val="1"/>
    <w:next w:val="1"/>
    <w:qFormat/>
    <w:uiPriority w:val="39"/>
    <w:pPr>
      <w:spacing w:before="120" w:after="120"/>
      <w:jc w:val="left"/>
    </w:pPr>
    <w:rPr>
      <w:b/>
      <w:bCs/>
      <w:caps/>
      <w:sz w:val="20"/>
      <w:szCs w:val="20"/>
    </w:rPr>
  </w:style>
  <w:style w:type="paragraph" w:styleId="21">
    <w:name w:val="toc 4"/>
    <w:basedOn w:val="1"/>
    <w:next w:val="1"/>
    <w:qFormat/>
    <w:uiPriority w:val="0"/>
    <w:pPr>
      <w:tabs>
        <w:tab w:val="left" w:pos="1890"/>
        <w:tab w:val="right" w:leader="dot" w:pos="8296"/>
      </w:tabs>
      <w:ind w:left="630" w:leftChars="300"/>
    </w:pPr>
  </w:style>
  <w:style w:type="paragraph" w:styleId="22">
    <w:name w:val="toc 2"/>
    <w:basedOn w:val="1"/>
    <w:next w:val="1"/>
    <w:qFormat/>
    <w:uiPriority w:val="39"/>
    <w:pPr>
      <w:ind w:left="210"/>
      <w:jc w:val="left"/>
    </w:pPr>
    <w:rPr>
      <w:rFonts w:ascii="Calibri" w:hAnsi="Calibri"/>
      <w:smallCaps/>
      <w:kern w:val="0"/>
      <w:sz w:val="20"/>
      <w:szCs w:val="20"/>
    </w:rPr>
  </w:style>
  <w:style w:type="paragraph" w:styleId="23">
    <w:name w:val="Normal (Web)"/>
    <w:basedOn w:val="1"/>
    <w:qFormat/>
    <w:uiPriority w:val="0"/>
    <w:pPr>
      <w:widowControl/>
      <w:spacing w:before="100" w:beforeLines="0" w:beforeAutospacing="1" w:after="100" w:afterLines="0" w:afterAutospacing="1" w:line="320" w:lineRule="atLeast"/>
      <w:jc w:val="left"/>
    </w:pPr>
    <w:rPr>
      <w:rFonts w:ascii="宋体" w:hAnsi="宋体"/>
      <w:kern w:val="0"/>
      <w:sz w:val="18"/>
      <w:szCs w:val="18"/>
    </w:rPr>
  </w:style>
  <w:style w:type="paragraph" w:styleId="24">
    <w:name w:val="Body Text First Indent 2"/>
    <w:basedOn w:val="13"/>
    <w:qFormat/>
    <w:uiPriority w:val="0"/>
    <w:pPr>
      <w:ind w:firstLine="200" w:firstLineChars="2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bCs/>
    </w:rPr>
  </w:style>
  <w:style w:type="character" w:styleId="29">
    <w:name w:val="page number"/>
    <w:basedOn w:val="27"/>
    <w:qFormat/>
    <w:uiPriority w:val="0"/>
    <w:rPr>
      <w:rFonts w:cs="Times New Roman"/>
    </w:rPr>
  </w:style>
  <w:style w:type="character" w:styleId="30">
    <w:name w:val="FollowedHyperlink"/>
    <w:basedOn w:val="27"/>
    <w:qFormat/>
    <w:uiPriority w:val="0"/>
    <w:rPr>
      <w:color w:val="428BCA"/>
      <w:u w:val="none"/>
    </w:rPr>
  </w:style>
  <w:style w:type="character" w:styleId="31">
    <w:name w:val="Emphasis"/>
    <w:basedOn w:val="27"/>
    <w:qFormat/>
    <w:uiPriority w:val="0"/>
  </w:style>
  <w:style w:type="character" w:styleId="32">
    <w:name w:val="HTML Definition"/>
    <w:basedOn w:val="27"/>
    <w:qFormat/>
    <w:uiPriority w:val="0"/>
    <w:rPr>
      <w:i/>
      <w:iCs/>
    </w:rPr>
  </w:style>
  <w:style w:type="character" w:styleId="33">
    <w:name w:val="Hyperlink"/>
    <w:basedOn w:val="27"/>
    <w:qFormat/>
    <w:uiPriority w:val="0"/>
    <w:rPr>
      <w:color w:val="428BCA"/>
      <w:u w:val="none"/>
    </w:rPr>
  </w:style>
  <w:style w:type="character" w:styleId="34">
    <w:name w:val="HTML Code"/>
    <w:basedOn w:val="27"/>
    <w:qFormat/>
    <w:uiPriority w:val="0"/>
    <w:rPr>
      <w:rFonts w:ascii="Monaco" w:hAnsi="Monaco" w:eastAsia="Monaco" w:cs="Monaco"/>
      <w:color w:val="C7254E"/>
      <w:sz w:val="21"/>
      <w:szCs w:val="21"/>
      <w:shd w:val="clear" w:color="auto" w:fill="F9F2F4"/>
    </w:rPr>
  </w:style>
  <w:style w:type="character" w:styleId="35">
    <w:name w:val="HTML Cite"/>
    <w:basedOn w:val="27"/>
    <w:qFormat/>
    <w:uiPriority w:val="0"/>
  </w:style>
  <w:style w:type="character" w:styleId="36">
    <w:name w:val="HTML Keyboard"/>
    <w:basedOn w:val="27"/>
    <w:qFormat/>
    <w:uiPriority w:val="0"/>
    <w:rPr>
      <w:rFonts w:hint="default" w:ascii="Monaco" w:hAnsi="Monaco" w:eastAsia="Monaco" w:cs="Monaco"/>
      <w:color w:val="FFFFFF"/>
      <w:sz w:val="21"/>
      <w:szCs w:val="21"/>
      <w:shd w:val="clear" w:color="auto" w:fill="333333"/>
    </w:rPr>
  </w:style>
  <w:style w:type="character" w:styleId="37">
    <w:name w:val="HTML Sample"/>
    <w:basedOn w:val="27"/>
    <w:qFormat/>
    <w:uiPriority w:val="0"/>
    <w:rPr>
      <w:rFonts w:hint="default" w:ascii="Monaco" w:hAnsi="Monaco" w:eastAsia="Monaco" w:cs="Monaco"/>
      <w:sz w:val="21"/>
      <w:szCs w:val="21"/>
    </w:rPr>
  </w:style>
  <w:style w:type="character" w:customStyle="1" w:styleId="38">
    <w:name w:val="标题 2 Char"/>
    <w:link w:val="2"/>
    <w:qFormat/>
    <w:uiPriority w:val="0"/>
    <w:rPr>
      <w:rFonts w:ascii="新宋体" w:hAnsi="新宋体" w:eastAsia="新宋体" w:cs="新宋体"/>
      <w:b/>
      <w:bCs/>
      <w:sz w:val="36"/>
      <w:szCs w:val="36"/>
      <w:lang w:val="zh-CN" w:eastAsia="zh-CN" w:bidi="zh-CN"/>
    </w:rPr>
  </w:style>
  <w:style w:type="paragraph" w:customStyle="1" w:styleId="39">
    <w:name w:val="无间隔1"/>
    <w:qFormat/>
    <w:uiPriority w:val="99"/>
    <w:rPr>
      <w:rFonts w:ascii="Calibri" w:hAnsi="Calibri" w:eastAsia="宋体" w:cs="Times New Roman"/>
      <w:kern w:val="2"/>
      <w:sz w:val="21"/>
      <w:szCs w:val="22"/>
      <w:lang w:val="en-US" w:eastAsia="zh-CN" w:bidi="ar-SA"/>
    </w:rPr>
  </w:style>
  <w:style w:type="paragraph" w:customStyle="1" w:styleId="40">
    <w:name w:val="Table Paragraph"/>
    <w:basedOn w:val="1"/>
    <w:qFormat/>
    <w:uiPriority w:val="1"/>
    <w:rPr>
      <w:rFonts w:ascii="宋体" w:hAnsi="宋体" w:eastAsia="宋体" w:cs="宋体"/>
      <w:lang w:val="zh-CN" w:eastAsia="zh-CN" w:bidi="zh-CN"/>
    </w:rPr>
  </w:style>
  <w:style w:type="paragraph" w:customStyle="1" w:styleId="41">
    <w:name w:val="正文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43">
    <w:name w:val="表内"/>
    <w:basedOn w:val="1"/>
    <w:qFormat/>
    <w:uiPriority w:val="0"/>
    <w:pPr>
      <w:spacing w:line="300" w:lineRule="auto"/>
    </w:pPr>
    <w:rPr>
      <w:kern w:val="0"/>
      <w:lang w:eastAsia="zh-TW"/>
    </w:rPr>
  </w:style>
  <w:style w:type="paragraph" w:customStyle="1" w:styleId="44">
    <w:name w:val="p0"/>
    <w:basedOn w:val="1"/>
    <w:qFormat/>
    <w:uiPriority w:val="99"/>
    <w:pPr>
      <w:widowControl/>
    </w:pPr>
    <w:rPr>
      <w:kern w:val="0"/>
    </w:rPr>
  </w:style>
  <w:style w:type="paragraph" w:customStyle="1" w:styleId="45">
    <w:name w:val="纯文本3"/>
    <w:basedOn w:val="41"/>
    <w:qFormat/>
    <w:uiPriority w:val="0"/>
    <w:pPr>
      <w:adjustRightInd w:val="0"/>
      <w:textAlignment w:val="baseline"/>
    </w:pPr>
    <w:rPr>
      <w:rFonts w:ascii="宋体" w:hAnsi="Courier New" w:eastAsia="楷体_GB2312"/>
      <w:sz w:val="28"/>
      <w:szCs w:val="20"/>
    </w:rPr>
  </w:style>
  <w:style w:type="paragraph" w:styleId="46">
    <w:name w:val="List Paragraph"/>
    <w:basedOn w:val="1"/>
    <w:qFormat/>
    <w:uiPriority w:val="1"/>
    <w:pPr>
      <w:ind w:left="539" w:hanging="529"/>
    </w:pPr>
    <w:rPr>
      <w:rFonts w:ascii="宋体" w:hAnsi="宋体" w:eastAsia="宋体" w:cs="宋体"/>
      <w:lang w:val="zh-CN" w:eastAsia="zh-CN" w:bidi="zh-CN"/>
    </w:rPr>
  </w:style>
  <w:style w:type="paragraph" w:customStyle="1" w:styleId="47">
    <w:name w:val="样式1"/>
    <w:basedOn w:val="5"/>
    <w:qFormat/>
    <w:uiPriority w:val="0"/>
    <w:rPr>
      <w:rFonts w:ascii="宋体" w:hAnsi="宋体" w:cs="TimesNewRomanPSMT"/>
    </w:rPr>
  </w:style>
  <w:style w:type="paragraph" w:customStyle="1" w:styleId="48">
    <w:name w:val="日期1"/>
    <w:basedOn w:val="1"/>
    <w:next w:val="49"/>
    <w:qFormat/>
    <w:uiPriority w:val="99"/>
    <w:rPr>
      <w:sz w:val="24"/>
    </w:rPr>
  </w:style>
  <w:style w:type="paragraph" w:customStyle="1" w:styleId="49">
    <w:name w:val="正文 A"/>
    <w:qFormat/>
    <w:uiPriority w:val="0"/>
    <w:pPr>
      <w:widowControl w:val="0"/>
      <w:jc w:val="both"/>
    </w:pPr>
    <w:rPr>
      <w:rFonts w:hint="eastAsia" w:ascii="Arial Unicode MS" w:hAnsi="Arial Unicode MS" w:eastAsia="Times New Roman" w:cs="Arial Unicode MS"/>
      <w:color w:val="000000"/>
      <w:kern w:val="2"/>
      <w:sz w:val="21"/>
      <w:szCs w:val="21"/>
      <w:u w:val="none" w:color="000000"/>
      <w:lang w:val="en-US" w:eastAsia="zh-CN" w:bidi="ar-SA"/>
    </w:rPr>
  </w:style>
  <w:style w:type="character" w:customStyle="1" w:styleId="50">
    <w:name w:val="ui-icon38"/>
    <w:basedOn w:val="27"/>
    <w:qFormat/>
    <w:uiPriority w:val="0"/>
  </w:style>
  <w:style w:type="character" w:customStyle="1" w:styleId="51">
    <w:name w:val="ui-icon39"/>
    <w:basedOn w:val="27"/>
    <w:qFormat/>
    <w:uiPriority w:val="0"/>
  </w:style>
  <w:style w:type="character" w:customStyle="1" w:styleId="52">
    <w:name w:val="ui-icon40"/>
    <w:basedOn w:val="27"/>
    <w:qFormat/>
    <w:uiPriority w:val="0"/>
  </w:style>
  <w:style w:type="character" w:customStyle="1" w:styleId="53">
    <w:name w:val="active1"/>
    <w:basedOn w:val="27"/>
    <w:qFormat/>
    <w:uiPriority w:val="0"/>
    <w:rPr>
      <w:color w:val="FFFFFF"/>
      <w:shd w:val="clear" w:color="auto" w:fill="428BCA"/>
    </w:rPr>
  </w:style>
  <w:style w:type="character" w:customStyle="1" w:styleId="54">
    <w:name w:val="ui-jqgrid-resize"/>
    <w:basedOn w:val="27"/>
    <w:qFormat/>
    <w:uiPriority w:val="0"/>
  </w:style>
  <w:style w:type="character" w:customStyle="1" w:styleId="55">
    <w:name w:val="input-icon"/>
    <w:basedOn w:val="27"/>
    <w:qFormat/>
    <w:uiPriority w:val="0"/>
  </w:style>
  <w:style w:type="character" w:customStyle="1" w:styleId="56">
    <w:name w:val="old"/>
    <w:basedOn w:val="27"/>
    <w:qFormat/>
    <w:uiPriority w:val="0"/>
    <w:rPr>
      <w:color w:val="999999"/>
    </w:rPr>
  </w:style>
  <w:style w:type="character" w:customStyle="1" w:styleId="57">
    <w:name w:val="hover5"/>
    <w:basedOn w:val="27"/>
    <w:qFormat/>
    <w:uiPriority w:val="0"/>
    <w:rPr>
      <w:shd w:val="clear" w:color="auto" w:fill="EEEEEE"/>
    </w:rPr>
  </w:style>
  <w:style w:type="character" w:customStyle="1" w:styleId="58">
    <w:name w:val="before"/>
    <w:basedOn w:val="27"/>
    <w:qFormat/>
    <w:uiPriority w:val="0"/>
    <w:rPr>
      <w:rFonts w:hint="default" w:ascii="FontAwesome" w:hAnsi="FontAwesome" w:eastAsia="FontAwesome" w:cs="FontAwesome"/>
      <w:color w:val="888888"/>
    </w:rPr>
  </w:style>
  <w:style w:type="character" w:customStyle="1" w:styleId="59">
    <w:name w:val="before1"/>
    <w:basedOn w:val="27"/>
    <w:qFormat/>
    <w:uiPriority w:val="0"/>
    <w:rPr>
      <w:rFonts w:hint="default" w:ascii="FontAwesome" w:hAnsi="FontAwesome" w:eastAsia="FontAwesome" w:cs="FontAwesome"/>
      <w:color w:val="888888"/>
    </w:rPr>
  </w:style>
  <w:style w:type="character" w:customStyle="1" w:styleId="60">
    <w:name w:val="active"/>
    <w:basedOn w:val="27"/>
    <w:qFormat/>
    <w:uiPriority w:val="0"/>
    <w:rPr>
      <w:color w:val="FFFFFF"/>
      <w:shd w:val="clear" w:color="auto" w:fill="428BCA"/>
    </w:rPr>
  </w:style>
  <w:style w:type="character" w:customStyle="1" w:styleId="61">
    <w:name w:val="ui-icon33"/>
    <w:basedOn w:val="27"/>
    <w:qFormat/>
    <w:uiPriority w:val="0"/>
  </w:style>
  <w:style w:type="character" w:customStyle="1" w:styleId="62">
    <w:name w:val="ui-icon34"/>
    <w:basedOn w:val="27"/>
    <w:qFormat/>
    <w:uiPriority w:val="0"/>
  </w:style>
  <w:style w:type="character" w:customStyle="1" w:styleId="63">
    <w:name w:val="ui-icon35"/>
    <w:basedOn w:val="27"/>
    <w:qFormat/>
    <w:uiPriority w:val="0"/>
  </w:style>
  <w:style w:type="character" w:customStyle="1" w:styleId="64">
    <w:name w:val="input-icon2"/>
    <w:basedOn w:val="27"/>
    <w:qFormat/>
    <w:uiPriority w:val="0"/>
  </w:style>
  <w:style w:type="table" w:customStyle="1" w:styleId="65">
    <w:name w:val="TableGrid"/>
    <w:qFormat/>
    <w:uiPriority w:val="0"/>
    <w:tblPr>
      <w:tblCellMar>
        <w:top w:w="0" w:type="dxa"/>
        <w:left w:w="0" w:type="dxa"/>
        <w:bottom w:w="0" w:type="dxa"/>
        <w:right w:w="0" w:type="dxa"/>
      </w:tblCellMar>
    </w:tblPr>
  </w:style>
  <w:style w:type="paragraph" w:customStyle="1" w:styleId="66">
    <w:name w:val="TOC Heading"/>
    <w:basedOn w:val="3"/>
    <w:next w:val="1"/>
    <w:qFormat/>
    <w:uiPriority w:val="0"/>
    <w:pPr>
      <w:outlineLvl w:val="9"/>
    </w:pPr>
  </w:style>
  <w:style w:type="paragraph" w:customStyle="1" w:styleId="67">
    <w:name w:val="样式 首行缩进:  2 字符"/>
    <w:basedOn w:val="1"/>
    <w:qFormat/>
    <w:uiPriority w:val="0"/>
    <w:pPr>
      <w:ind w:firstLine="420" w:firstLineChars="200"/>
    </w:pPr>
    <w:rPr>
      <w:rFonts w:ascii="宋体" w:cs="宋体"/>
      <w:szCs w:val="20"/>
    </w:rPr>
  </w:style>
  <w:style w:type="paragraph" w:customStyle="1" w:styleId="68">
    <w:name w:val="_Style 6"/>
    <w:basedOn w:val="3"/>
    <w:next w:val="1"/>
    <w:qFormat/>
    <w:uiPriority w:val="0"/>
    <w:pPr>
      <w:outlineLvl w:val="9"/>
    </w:pPr>
  </w:style>
  <w:style w:type="character" w:customStyle="1" w:styleId="69">
    <w:name w:val="font01"/>
    <w:basedOn w:val="27"/>
    <w:qFormat/>
    <w:uiPriority w:val="0"/>
    <w:rPr>
      <w:rFonts w:hint="eastAsia" w:ascii="宋体" w:hAnsi="宋体" w:eastAsia="宋体" w:cs="宋体"/>
      <w:color w:val="000000"/>
      <w:sz w:val="24"/>
      <w:szCs w:val="24"/>
      <w:u w:val="none"/>
    </w:rPr>
  </w:style>
  <w:style w:type="character" w:customStyle="1" w:styleId="70">
    <w:name w:val="font151"/>
    <w:basedOn w:val="27"/>
    <w:qFormat/>
    <w:uiPriority w:val="0"/>
    <w:rPr>
      <w:rFonts w:ascii="Calibri" w:hAnsi="Calibri" w:cs="Calibri"/>
      <w:color w:val="000000"/>
      <w:sz w:val="24"/>
      <w:szCs w:val="24"/>
      <w:u w:val="none"/>
    </w:rPr>
  </w:style>
  <w:style w:type="paragraph" w:customStyle="1" w:styleId="71">
    <w:name w:val="纯文本2"/>
    <w:basedOn w:val="1"/>
    <w:qFormat/>
    <w:uiPriority w:val="99"/>
    <w:pPr>
      <w:adjustRightInd w:val="0"/>
      <w:textAlignment w:val="baseline"/>
    </w:pPr>
    <w:rPr>
      <w:rFonts w:ascii="宋体" w:hAnsi="Courier New" w:eastAsia="楷体_GB2312" w:cs="宋体"/>
      <w:sz w:val="28"/>
      <w:szCs w:val="28"/>
    </w:rPr>
  </w:style>
  <w:style w:type="paragraph" w:customStyle="1" w:styleId="72">
    <w:name w:val="纯文本4"/>
    <w:basedOn w:val="41"/>
    <w:qFormat/>
    <w:uiPriority w:val="0"/>
    <w:pPr>
      <w:adjustRightInd w:val="0"/>
      <w:textAlignment w:val="baseline"/>
    </w:pPr>
    <w:rPr>
      <w:rFonts w:ascii="宋体" w:hAnsi="Courier New" w:eastAsia="楷体_GB2312"/>
      <w:sz w:val="28"/>
      <w:szCs w:val="20"/>
    </w:rPr>
  </w:style>
  <w:style w:type="character" w:customStyle="1" w:styleId="73">
    <w:name w:val="time"/>
    <w:basedOn w:val="27"/>
    <w:qFormat/>
    <w:uiPriority w:val="0"/>
  </w:style>
  <w:style w:type="character" w:customStyle="1" w:styleId="74">
    <w:name w:val="time1"/>
    <w:basedOn w:val="27"/>
    <w:qFormat/>
    <w:uiPriority w:val="0"/>
  </w:style>
  <w:style w:type="character" w:customStyle="1" w:styleId="75">
    <w:name w:val="time2"/>
    <w:basedOn w:val="27"/>
    <w:qFormat/>
    <w:uiPriority w:val="0"/>
  </w:style>
  <w:style w:type="character" w:customStyle="1" w:styleId="76">
    <w:name w:val="english"/>
    <w:basedOn w:val="27"/>
    <w:qFormat/>
    <w:uiPriority w:val="0"/>
    <w:rPr>
      <w:rFonts w:ascii="微软雅黑" w:hAnsi="微软雅黑" w:eastAsia="微软雅黑" w:cs="微软雅黑"/>
      <w:i/>
      <w:iCs/>
      <w:caps/>
      <w:color w:val="9E9E9E"/>
      <w:sz w:val="21"/>
      <w:szCs w:val="21"/>
    </w:rPr>
  </w:style>
  <w:style w:type="character" w:customStyle="1" w:styleId="77">
    <w:name w:val="english1"/>
    <w:basedOn w:val="27"/>
    <w:qFormat/>
    <w:uiPriority w:val="0"/>
    <w:rPr>
      <w:rFonts w:hint="eastAsia" w:ascii="微软雅黑" w:hAnsi="微软雅黑" w:eastAsia="微软雅黑" w:cs="微软雅黑"/>
      <w:color w:val="000000"/>
      <w:sz w:val="12"/>
      <w:szCs w:val="12"/>
    </w:rPr>
  </w:style>
  <w:style w:type="character" w:customStyle="1" w:styleId="78">
    <w:name w:val="english2"/>
    <w:basedOn w:val="27"/>
    <w:qFormat/>
    <w:uiPriority w:val="0"/>
    <w:rPr>
      <w:rFonts w:hint="eastAsia" w:ascii="微软雅黑" w:hAnsi="微软雅黑" w:eastAsia="微软雅黑" w:cs="微软雅黑"/>
      <w:i/>
      <w:iCs/>
      <w:caps/>
      <w:color w:val="9E9E9E"/>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wmf"/><Relationship Id="rId33" Type="http://schemas.openxmlformats.org/officeDocument/2006/relationships/oleObject" Target="embeddings/oleObject5.bin"/><Relationship Id="rId32" Type="http://schemas.openxmlformats.org/officeDocument/2006/relationships/image" Target="media/image5.wmf"/><Relationship Id="rId31" Type="http://schemas.openxmlformats.org/officeDocument/2006/relationships/oleObject" Target="embeddings/oleObject4.bin"/><Relationship Id="rId30" Type="http://schemas.openxmlformats.org/officeDocument/2006/relationships/image" Target="media/image4.wmf"/><Relationship Id="rId3" Type="http://schemas.openxmlformats.org/officeDocument/2006/relationships/header" Target="header1.xml"/><Relationship Id="rId29" Type="http://schemas.openxmlformats.org/officeDocument/2006/relationships/oleObject" Target="embeddings/oleObject3.bin"/><Relationship Id="rId28" Type="http://schemas.openxmlformats.org/officeDocument/2006/relationships/image" Target="media/image3.wmf"/><Relationship Id="rId27" Type="http://schemas.openxmlformats.org/officeDocument/2006/relationships/oleObject" Target="embeddings/oleObject2.bin"/><Relationship Id="rId26" Type="http://schemas.openxmlformats.org/officeDocument/2006/relationships/image" Target="media/image2.wmf"/><Relationship Id="rId25" Type="http://schemas.openxmlformats.org/officeDocument/2006/relationships/oleObject" Target="embeddings/oleObject1.bin"/><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278</Pages>
  <Words>108434</Words>
  <Characters>115709</Characters>
  <Lines>195</Lines>
  <Paragraphs>55</Paragraphs>
  <TotalTime>7</TotalTime>
  <ScaleCrop>false</ScaleCrop>
  <LinksUpToDate>false</LinksUpToDate>
  <CharactersWithSpaces>131418</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小孙</cp:lastModifiedBy>
  <cp:lastPrinted>2021-12-24T10:08:00Z</cp:lastPrinted>
  <dcterms:modified xsi:type="dcterms:W3CDTF">2022-01-30T03:55:13Z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197B7CB6AEB643F89FC0C79FFE98DC4F</vt:lpwstr>
  </property>
</Properties>
</file>