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pPr>
      <w:r>
        <w:t>窗体顶端</w:t>
      </w:r>
    </w:p>
    <w:p>
      <w:pPr>
        <w:jc w:val="center"/>
        <w:outlineLvl w:val="0"/>
        <w:rPr>
          <w:rFonts w:hint="eastAsia"/>
          <w:b/>
          <w:color w:val="auto"/>
          <w:sz w:val="48"/>
          <w:szCs w:val="48"/>
        </w:rPr>
      </w:pPr>
      <w:r>
        <w:rPr>
          <w:rFonts w:hint="eastAsia"/>
          <w:b/>
          <w:color w:val="auto"/>
          <w:sz w:val="48"/>
          <w:szCs w:val="48"/>
        </w:rPr>
        <w:t>采购需求</w:t>
      </w:r>
    </w:p>
    <w:p>
      <w:pPr>
        <w:rPr>
          <w:rFonts w:hint="eastAsia"/>
          <w:color w:val="auto"/>
          <w:sz w:val="24"/>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eastAsia="zh-CN"/>
        </w:rPr>
      </w:pPr>
      <w:bookmarkStart w:id="0" w:name="_Toc2657"/>
      <w:bookmarkStart w:id="1" w:name="_Toc900"/>
      <w:bookmarkStart w:id="2" w:name="_Toc7313"/>
      <w:r>
        <w:rPr>
          <w:rFonts w:hint="eastAsia" w:ascii="宋体" w:hAnsi="宋体" w:eastAsia="宋体" w:cs="宋体"/>
          <w:b/>
          <w:color w:val="000000"/>
          <w:sz w:val="24"/>
          <w:lang w:val="en-US" w:eastAsia="zh-CN"/>
        </w:rPr>
        <w:t>一</w:t>
      </w:r>
      <w:r>
        <w:rPr>
          <w:rFonts w:hint="eastAsia" w:ascii="宋体" w:hAnsi="宋体" w:eastAsia="宋体" w:cs="宋体"/>
          <w:b/>
          <w:color w:val="000000"/>
          <w:sz w:val="24"/>
          <w:lang w:eastAsia="zh-CN"/>
        </w:rPr>
        <w:t>、项目概况</w:t>
      </w:r>
      <w:bookmarkEnd w:id="0"/>
      <w:bookmarkEnd w:id="1"/>
      <w:bookmarkEnd w:id="2"/>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val="en-US" w:eastAsia="zh-CN"/>
        </w:rPr>
      </w:pPr>
      <w:r>
        <w:rPr>
          <w:rFonts w:hint="eastAsia"/>
          <w:color w:val="000000"/>
          <w:sz w:val="24"/>
          <w:szCs w:val="24"/>
          <w:lang w:val="en-US" w:eastAsia="zh-CN"/>
        </w:rPr>
        <w:t>为进一步规范三亚市辖区范围内的国有建设用地使用权地价评估工作，为三亚市国有建设用地使用权出让、用地指标调整、土地置换及土地收回等开展土地价值评估，现对三亚市土地评估项目（2022年度）组织政府采购。</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val="en-US" w:eastAsia="zh-CN"/>
        </w:rPr>
      </w:pPr>
      <w:r>
        <w:rPr>
          <w:rFonts w:hint="eastAsia"/>
          <w:color w:val="000000"/>
          <w:sz w:val="24"/>
          <w:szCs w:val="24"/>
          <w:lang w:val="en-US" w:eastAsia="zh-CN"/>
        </w:rPr>
        <w:t>（一）项目工作区域划分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val="en-US" w:eastAsia="zh-CN"/>
        </w:rPr>
      </w:pPr>
      <w:r>
        <w:rPr>
          <w:rFonts w:hint="eastAsia"/>
          <w:color w:val="000000"/>
          <w:sz w:val="24"/>
          <w:szCs w:val="24"/>
          <w:lang w:val="en-US" w:eastAsia="zh-CN"/>
        </w:rPr>
        <w:t>将整个三亚市行政辖区划分为10个片区，具体情况如下表：</w:t>
      </w:r>
    </w:p>
    <w:tbl>
      <w:tblPr>
        <w:tblStyle w:val="3"/>
        <w:tblW w:w="8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3"/>
        <w:gridCol w:w="1462"/>
        <w:gridCol w:w="6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序号</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项目片区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测区范围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一号片区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default" w:ascii="宋体" w:hAnsi="宋体" w:eastAsia="宋体" w:cs="宋体"/>
                <w:i w:val="0"/>
                <w:color w:val="000000"/>
                <w:sz w:val="21"/>
                <w:szCs w:val="21"/>
                <w:highlight w:val="none"/>
                <w:u w:val="none"/>
                <w:lang w:val="en-US"/>
              </w:rPr>
            </w:pPr>
            <w:r>
              <w:rPr>
                <w:rFonts w:hint="eastAsia" w:ascii="宋体" w:hAnsi="宋体" w:eastAsia="宋体" w:cs="宋体"/>
                <w:i w:val="0"/>
                <w:color w:val="000000"/>
                <w:kern w:val="0"/>
                <w:sz w:val="21"/>
                <w:szCs w:val="21"/>
                <w:highlight w:val="none"/>
                <w:u w:val="none"/>
                <w:lang w:val="en-US" w:eastAsia="zh-CN" w:bidi="ar"/>
              </w:rPr>
              <w:t>东临：大海；南临：龙江路-林旺路-海岸大道-海南环岛高速；西临：海棠区与吉阳区分界线；北临：海棠区边界。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二号片区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东临：大海；南临：海棠区与亚龙湾分界线；西临：海棠区与吉阳区分界线；北临：龙江路-林旺路-海岸大道-海南环岛高速。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9"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三号片区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东临：海棠区与吉阳区分界线；南临：亚龙湾路-迎宾路东段-荔枝沟路-金鸡岭街东段；西临：吉阳区与天涯区分界线-海南环岛高速-三亚河；北临：吉阳区边界。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四号片区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东临：大海；南临：大海；西临：榆亚路东段-榆亚路西段-海花路-大海；北临：海棠区与亚龙湾分界线-亚龙湾路。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9"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5</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五号片区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东临：榆亚路东段-榆亚路西段-海花路-大海；南临：大海；西临：三亚河-三亚河入海口-大海；北临：迎宾路东段-荔枝沟路-金鸡岭街东段。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6</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六号片区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东临：三亚河；南临：三亚河入海口；西临：大海；北临：金鸡岭街西段。（含凤凰岛）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7</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七号片区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东临：吉阳区与天涯区分界线-海南环岛高速-三亚河；南临：凤凰路北段-海榆西线；西临：314省道；北临：天涯区边界。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9"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8</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八号片区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东临：三亚河-金鸡岭街西段、314省道；南临：大海；西临：天涯区边界-天涯区与崖州区分界线；北临：凤凰路北段-海榆西线、天涯区边界。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9</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九号片区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东临：天涯区与崖州区分界线；南临：海南环岛高速；西临：崖州区边界；北临：崖州区边界。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3"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10</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十号片区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东临：天涯区与崖州区分界线；南临：大海；西临：崖州区边界；北临：海南环岛高速。</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rPr>
          <w:rFonts w:hint="eastAsia" w:ascii="Times New Roman" w:hAnsi="Times New Roman" w:eastAsia="宋体" w:cs="Times New Roman"/>
          <w:color w:val="000000"/>
          <w:kern w:val="2"/>
          <w:sz w:val="24"/>
          <w:szCs w:val="24"/>
          <w:highlight w:val="none"/>
          <w:lang w:val="en-US" w:eastAsia="zh-CN" w:bidi="ar-SA"/>
        </w:rPr>
      </w:pPr>
      <w:r>
        <w:rPr>
          <w:rFonts w:hint="eastAsia" w:ascii="Times New Roman" w:hAnsi="Times New Roman" w:eastAsia="宋体" w:cs="Times New Roman"/>
          <w:color w:val="000000"/>
          <w:kern w:val="2"/>
          <w:sz w:val="24"/>
          <w:szCs w:val="24"/>
          <w:highlight w:val="none"/>
          <w:lang w:val="en-US" w:eastAsia="zh-CN" w:bidi="ar-SA"/>
        </w:rPr>
        <w:t>（二）片区任务安排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rPr>
          <w:rFonts w:hint="eastAsia" w:ascii="Times New Roman" w:hAnsi="Times New Roman" w:eastAsia="宋体" w:cs="Times New Roman"/>
          <w:color w:val="000000"/>
          <w:kern w:val="2"/>
          <w:sz w:val="24"/>
          <w:szCs w:val="24"/>
          <w:highlight w:val="none"/>
          <w:lang w:val="en-US" w:eastAsia="zh-CN" w:bidi="ar-SA"/>
        </w:rPr>
      </w:pPr>
      <w:r>
        <w:rPr>
          <w:rFonts w:hint="eastAsia" w:ascii="Times New Roman" w:hAnsi="Times New Roman" w:eastAsia="宋体" w:cs="Times New Roman"/>
          <w:color w:val="000000"/>
          <w:kern w:val="2"/>
          <w:sz w:val="24"/>
          <w:szCs w:val="24"/>
          <w:highlight w:val="none"/>
          <w:lang w:val="en-US" w:eastAsia="zh-CN" w:bidi="ar-SA"/>
        </w:rPr>
        <w:t>每个片区拟选定一个服务单位完成工作内容。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3" w:name="_Toc27927"/>
      <w:bookmarkStart w:id="4" w:name="_Toc9722"/>
      <w:bookmarkStart w:id="5" w:name="_Toc4511"/>
      <w:r>
        <w:rPr>
          <w:rFonts w:hint="eastAsia" w:ascii="宋体" w:hAnsi="宋体" w:eastAsia="宋体" w:cs="宋体"/>
          <w:b/>
          <w:color w:val="000000"/>
          <w:sz w:val="24"/>
          <w:lang w:val="en-US" w:eastAsia="zh-CN"/>
        </w:rPr>
        <w:t>二、工作内容</w:t>
      </w:r>
      <w:bookmarkEnd w:id="3"/>
      <w:bookmarkEnd w:id="4"/>
      <w:bookmarkEnd w:id="5"/>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highlight w:val="none"/>
          <w:lang w:eastAsia="zh-CN"/>
        </w:rPr>
      </w:pPr>
      <w:r>
        <w:rPr>
          <w:rFonts w:hint="eastAsia"/>
          <w:color w:val="000000"/>
          <w:sz w:val="24"/>
          <w:szCs w:val="24"/>
          <w:highlight w:val="none"/>
          <w:lang w:eastAsia="zh-CN"/>
        </w:rPr>
        <w:t>（一）根据采购人关于土地评估工作的相关规定，采购人委托供应商开展的工作业务包括承接片区的所有土地评估业务，以及承接片区外通过摇号方式中签的二级市场土地评估业务。二级市场土地评估业务具体包括国有建设用地使用权划拨补办出让、增加容积率、改变土地用途、用地结构调整、延长使用年限</w:t>
      </w:r>
      <w:r>
        <w:rPr>
          <w:rFonts w:hint="eastAsia"/>
          <w:color w:val="000000"/>
          <w:sz w:val="24"/>
          <w:lang w:eastAsia="zh-CN"/>
        </w:rPr>
        <w:t>及多项条件同时调整</w:t>
      </w:r>
      <w:r>
        <w:rPr>
          <w:rFonts w:hint="eastAsia"/>
          <w:color w:val="000000"/>
          <w:sz w:val="24"/>
          <w:szCs w:val="24"/>
          <w:highlight w:val="none"/>
          <w:lang w:eastAsia="zh-CN"/>
        </w:rPr>
        <w:t>等评估业务，不包括个人私宅用地的地价评估。具体工作内容如下：</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val="en-US" w:eastAsia="zh-CN"/>
        </w:rPr>
        <w:t>1.</w:t>
      </w:r>
      <w:r>
        <w:rPr>
          <w:rFonts w:hint="eastAsia"/>
          <w:color w:val="000000"/>
          <w:sz w:val="24"/>
          <w:szCs w:val="24"/>
          <w:lang w:eastAsia="zh-CN"/>
        </w:rPr>
        <w:t>核查宗地情况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eastAsia="zh-CN"/>
        </w:rPr>
        <w:t>供应商根据采购人提供的资料进行现场勘查及宗地权属、面积、用途、规划指标等核查，若发现实际不符应与采购人联系。</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val="en-US" w:eastAsia="zh-CN"/>
        </w:rPr>
        <w:t>2.</w:t>
      </w:r>
      <w:r>
        <w:rPr>
          <w:rFonts w:hint="eastAsia"/>
          <w:color w:val="000000"/>
          <w:sz w:val="24"/>
          <w:szCs w:val="24"/>
          <w:lang w:eastAsia="zh-CN"/>
        </w:rPr>
        <w:t>编写宗地市场调研报告</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eastAsia="zh-CN"/>
        </w:rPr>
        <w:t>为确保待估宗地的土地市场评估价值符合土地市场实际情况，供应商在开展土地评估工作时，须先开展待估宗地周边的市场调研工作，包括房屋售价、租金或收益等情况，并形成调研报告。</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val="en-US" w:eastAsia="zh-CN"/>
        </w:rPr>
        <w:t>3.</w:t>
      </w:r>
      <w:r>
        <w:rPr>
          <w:rFonts w:hint="eastAsia"/>
          <w:color w:val="000000"/>
          <w:sz w:val="24"/>
          <w:szCs w:val="24"/>
          <w:lang w:eastAsia="zh-CN"/>
        </w:rPr>
        <w:t>编写宗地土地使用权价格评估报告</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eastAsia="zh-CN"/>
        </w:rPr>
        <w:t>供应商应严格遵守《中华人民共和国资产评估法》（中华人民共和国主席令第四十六号）、《国有建设用地使用权出让地价评估技术规范》的通知（国土资厅发[2018]4号）、《城镇土地估价规程》（GB/T18508－2014）等法律法规及技术规范的要求，公平、公正、客观、独立的完成宗地土地使用权价格评估报告。</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val="en-US" w:eastAsia="zh-CN"/>
        </w:rPr>
        <w:t>4.</w:t>
      </w:r>
      <w:r>
        <w:rPr>
          <w:rFonts w:hint="eastAsia"/>
          <w:color w:val="000000"/>
          <w:sz w:val="24"/>
          <w:szCs w:val="24"/>
          <w:lang w:eastAsia="zh-CN"/>
        </w:rPr>
        <w:t>宗地土地使用权价格审查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eastAsia="zh-CN"/>
        </w:rPr>
        <w:t>供应商将编写完成后的土地使用权价格评估报告提交采购人，并配合采购人组织专家委员会对其宗地土地使用权价格评估报告进行审核。待专家委员会通过后供应商应对该宗地土地使用权价格评估报告进行上传备案，取得二维码。供应商负责支付专家评审费。</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eastAsia="zh-CN"/>
        </w:rPr>
        <w:t>（二）对于采购人因工作需要而发起的，除委托评估业务以外但有利于监管、平衡三亚市地价水平的工作事项，供应商应积极配合并开展相关工作，采购人不再另行支付评估费用。此类工作具体包括地价测算、相关评估数据整理等事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6" w:name="_Toc14420"/>
      <w:bookmarkStart w:id="7" w:name="_Toc23813"/>
      <w:bookmarkStart w:id="8" w:name="_Toc8054"/>
      <w:r>
        <w:rPr>
          <w:rFonts w:hint="eastAsia" w:ascii="宋体" w:hAnsi="宋体" w:eastAsia="宋体" w:cs="宋体"/>
          <w:b/>
          <w:color w:val="000000"/>
          <w:sz w:val="24"/>
          <w:lang w:val="en-US" w:eastAsia="zh-CN"/>
        </w:rPr>
        <w:t>三、服务要求</w:t>
      </w:r>
      <w:bookmarkEnd w:id="6"/>
      <w:bookmarkEnd w:id="7"/>
      <w:bookmarkEnd w:id="8"/>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（一）宗地评估要求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技术规范要求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供应商应严格遵守《中华人民共和国资产评估法》（中华人民共和国主席令第四十六号）、《国有建设用地使用权出让地价评估技术规范》的通知（国土资厅发[2018]4号）、《城镇土地估价规程》（GB/T18508－2014）及海南省土地管理相关政策文件等要求等法律法规及技术规范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保密要求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供应商应对待估宗地的土地评估情况、结果等严格保密。供应商不得私下联系业主单位，与业主单位透露评估的相关事宜。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9" w:name="_Toc14168"/>
      <w:bookmarkStart w:id="10" w:name="_Toc16592"/>
      <w:bookmarkStart w:id="11" w:name="_Toc1653"/>
      <w:r>
        <w:rPr>
          <w:rFonts w:hint="eastAsia" w:ascii="宋体" w:hAnsi="宋体" w:eastAsia="宋体" w:cs="宋体"/>
          <w:b/>
          <w:color w:val="000000"/>
          <w:sz w:val="24"/>
          <w:lang w:val="en-US" w:eastAsia="zh-CN"/>
        </w:rPr>
        <w:t>四、成果要求</w:t>
      </w:r>
      <w:bookmarkEnd w:id="9"/>
      <w:bookmarkEnd w:id="10"/>
      <w:bookmarkEnd w:id="11"/>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供应商在收到宗地评估委托书后，应在评估委托书约定的提交报告期限内完成宗地土地使用权价格评估工作，并提交相应的市场调研报告及评估成果至专家委员会审核。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宗地土地使用权价格评估报告的编制须符合相关规范要求，并保证资料的准确性和规范性，供应商应对其出具的评估报告质量负责。</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b w:val="0"/>
          <w:bCs w:val="0"/>
          <w:color w:val="000000"/>
          <w:sz w:val="24"/>
          <w:szCs w:val="24"/>
          <w:lang w:eastAsia="zh-CN"/>
        </w:rPr>
      </w:pPr>
      <w:r>
        <w:rPr>
          <w:rFonts w:hint="eastAsia" w:ascii="宋体" w:hAnsi="宋体" w:cs="宋体"/>
          <w:b w:val="0"/>
          <w:bCs/>
          <w:color w:val="000000"/>
          <w:sz w:val="24"/>
          <w:szCs w:val="24"/>
          <w:highlight w:val="none"/>
          <w:lang w:val="en-US" w:eastAsia="zh-CN"/>
        </w:rPr>
        <w:t>3.</w:t>
      </w:r>
      <w:r>
        <w:rPr>
          <w:rFonts w:hint="eastAsia" w:ascii="宋体" w:hAnsi="宋体" w:eastAsia="宋体" w:cs="宋体"/>
          <w:b w:val="0"/>
          <w:bCs/>
          <w:color w:val="000000"/>
          <w:sz w:val="24"/>
          <w:szCs w:val="24"/>
          <w:highlight w:val="none"/>
          <w:lang w:val="en-US" w:eastAsia="zh-CN"/>
        </w:rPr>
        <w:t>供应商应对宗地评估报告进行存档。</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12" w:name="_Toc3606"/>
      <w:bookmarkStart w:id="13" w:name="_Toc10134"/>
      <w:bookmarkStart w:id="14" w:name="_Toc22869"/>
      <w:r>
        <w:rPr>
          <w:rFonts w:hint="eastAsia" w:ascii="宋体" w:hAnsi="宋体" w:eastAsia="宋体" w:cs="宋体"/>
          <w:b/>
          <w:color w:val="000000"/>
          <w:sz w:val="24"/>
          <w:lang w:val="en-US" w:eastAsia="zh-CN"/>
        </w:rPr>
        <w:t>五、成果提交</w:t>
      </w:r>
      <w:bookmarkEnd w:id="12"/>
      <w:bookmarkEnd w:id="13"/>
      <w:bookmarkEnd w:id="14"/>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一级市场：纸质版评估报告一份（含结果报告和技术报告）、电子版评估报告（含结果报告和技术报告）、海南省自然资源和规划厅备案表、土地估价结果一览表等。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二级市场：纸质版结果报告两份（提交业主单位）、电子版评估报告（含结果报告和技术报告）、土地估价结果一览表等。</w:t>
      </w:r>
    </w:p>
    <w:p>
      <w:pPr>
        <w:pStyle w:val="2"/>
        <w:keepNext w:val="0"/>
        <w:keepLines w:val="0"/>
        <w:pageBreakBefore w:val="0"/>
        <w:numPr>
          <w:ilvl w:val="0"/>
          <w:numId w:val="0"/>
        </w:numPr>
        <w:kinsoku/>
        <w:wordWrap/>
        <w:overflowPunct/>
        <w:topLinePunct w:val="0"/>
        <w:autoSpaceDE/>
        <w:autoSpaceDN/>
        <w:bidi w:val="0"/>
        <w:adjustRightInd/>
        <w:spacing w:beforeAutospacing="0" w:afterAutospacing="0" w:line="360" w:lineRule="auto"/>
        <w:ind w:left="0" w:firstLine="480" w:firstLineChars="200"/>
        <w:rPr>
          <w:rFonts w:hint="eastAsia"/>
          <w:color w:val="000000"/>
          <w:sz w:val="24"/>
          <w:szCs w:val="24"/>
          <w:lang w:eastAsia="zh-CN"/>
        </w:rPr>
      </w:pPr>
      <w:r>
        <w:rPr>
          <w:rFonts w:hint="eastAsia" w:ascii="宋体" w:hAnsi="宋体" w:eastAsia="宋体" w:cs="宋体"/>
          <w:b w:val="0"/>
          <w:bCs/>
          <w:color w:val="000000"/>
          <w:sz w:val="24"/>
          <w:szCs w:val="24"/>
          <w:highlight w:val="none"/>
          <w:lang w:val="en-US" w:eastAsia="zh-CN"/>
        </w:rPr>
        <w:t>3</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根据采购人工作需要，需供应商提供的其他项目成果资料。</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宋体" w:hAnsi="宋体" w:eastAsia="宋体" w:cs="宋体"/>
          <w:b/>
          <w:color w:val="000000"/>
          <w:sz w:val="24"/>
          <w:lang w:val="en-US" w:eastAsia="zh-CN"/>
        </w:rPr>
      </w:pPr>
      <w:bookmarkStart w:id="15" w:name="_Toc31468"/>
      <w:bookmarkStart w:id="16" w:name="_Toc16900"/>
      <w:bookmarkStart w:id="17" w:name="_Toc646"/>
      <w:r>
        <w:rPr>
          <w:rFonts w:hint="eastAsia" w:ascii="宋体" w:hAnsi="宋体" w:eastAsia="宋体" w:cs="宋体"/>
          <w:b/>
          <w:color w:val="000000"/>
          <w:sz w:val="24"/>
          <w:lang w:val="en-US" w:eastAsia="zh-CN"/>
        </w:rPr>
        <w:t>六、后续服务要求</w:t>
      </w:r>
      <w:bookmarkEnd w:id="15"/>
      <w:bookmarkEnd w:id="16"/>
      <w:bookmarkEnd w:id="17"/>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1、</w:t>
      </w:r>
      <w:r>
        <w:rPr>
          <w:rFonts w:hint="eastAsia" w:ascii="宋体" w:hAnsi="宋体" w:eastAsia="宋体" w:cs="宋体"/>
          <w:b w:val="0"/>
          <w:bCs/>
          <w:color w:val="000000"/>
          <w:sz w:val="24"/>
          <w:szCs w:val="24"/>
          <w:highlight w:val="none"/>
          <w:lang w:val="en-US" w:eastAsia="zh-CN"/>
        </w:rPr>
        <w:t>供应商出具正式生效的土地评估报告后，如在评估报告有效期内，受相关政策变化等因素的影响，导致估价宗地的实际指标与原评估指标相比发生变动的，供应商应本着诚实守信的售后服务原则，按照采购人的要求对此前出具的土地评估报告进行修改完善，修改完善后的评估结果应通过专家委员会审核，且不再另外收取土地评估费和专家评审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default" w:ascii="宋体" w:hAnsi="宋体" w:eastAsia="宋体" w:cs="宋体"/>
          <w:b w:val="0"/>
          <w:bCs/>
          <w:color w:val="000000"/>
          <w:sz w:val="24"/>
          <w:szCs w:val="24"/>
          <w:highlight w:val="yellow"/>
          <w:lang w:val="en-US" w:eastAsia="zh-CN"/>
        </w:rPr>
      </w:pPr>
      <w:r>
        <w:rPr>
          <w:rFonts w:hint="eastAsia" w:ascii="宋体" w:hAnsi="宋体" w:eastAsia="宋体" w:cs="宋体"/>
          <w:b w:val="0"/>
          <w:bCs/>
          <w:color w:val="000000"/>
          <w:sz w:val="24"/>
          <w:szCs w:val="24"/>
          <w:highlight w:val="yellow"/>
          <w:lang w:val="en-US" w:eastAsia="zh-CN"/>
        </w:rPr>
        <w:t>2、供应商出具正式生效的土地评估报告后，如超出评估报告有效期后的，由原供应商按照采购人的要求重新开展土地评估工作。同时，根据“同一土地评估项目只能支付一次土地评估费用”的原则，重新出具的土地评估报告应通过专家委员会审核，且不再另外收取土地评估费和专家评审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18" w:name="_Toc4326"/>
      <w:bookmarkStart w:id="19" w:name="_Toc492"/>
      <w:bookmarkStart w:id="20" w:name="_Toc13616"/>
      <w:r>
        <w:rPr>
          <w:rFonts w:hint="eastAsia" w:ascii="宋体" w:hAnsi="宋体" w:eastAsia="宋体" w:cs="宋体"/>
          <w:b/>
          <w:color w:val="000000"/>
          <w:sz w:val="24"/>
          <w:lang w:val="en-US" w:eastAsia="zh-CN"/>
        </w:rPr>
        <w:t>七、服务期限及实施地点</w:t>
      </w:r>
      <w:bookmarkEnd w:id="18"/>
      <w:bookmarkEnd w:id="19"/>
      <w:bookmarkEnd w:id="20"/>
    </w:p>
    <w:p>
      <w:pPr>
        <w:keepNext w:val="0"/>
        <w:keepLines w:val="0"/>
        <w:pageBreakBefore w:val="0"/>
        <w:widowControl w:val="0"/>
        <w:kinsoku/>
        <w:wordWrap/>
        <w:overflowPunct/>
        <w:topLinePunct w:val="0"/>
        <w:autoSpaceDE/>
        <w:autoSpaceDN/>
        <w:bidi w:val="0"/>
        <w:adjustRightInd/>
        <w:spacing w:beforeAutospacing="0" w:afterAutospacing="0" w:line="360" w:lineRule="auto"/>
        <w:ind w:left="0" w:firstLine="480" w:firstLineChars="200"/>
        <w:textAlignment w:val="auto"/>
        <w:rPr>
          <w:rFonts w:hint="eastAsia" w:eastAsia="宋体"/>
          <w:color w:val="000000"/>
          <w:sz w:val="24"/>
          <w:lang w:eastAsia="zh-CN"/>
        </w:rPr>
      </w:pPr>
      <w:r>
        <w:rPr>
          <w:rFonts w:hint="eastAsia"/>
          <w:b w:val="0"/>
          <w:bCs w:val="0"/>
          <w:color w:val="000000"/>
          <w:sz w:val="24"/>
          <w:szCs w:val="24"/>
          <w:lang w:eastAsia="zh-CN"/>
        </w:rPr>
        <w:t>服务期限：</w:t>
      </w:r>
      <w:r>
        <w:rPr>
          <w:rFonts w:hint="eastAsia"/>
          <w:b w:val="0"/>
          <w:bCs w:val="0"/>
          <w:color w:val="000000"/>
          <w:sz w:val="24"/>
          <w:szCs w:val="24"/>
          <w:u w:val="none"/>
          <w:lang w:val="en-US" w:eastAsia="zh-CN"/>
        </w:rPr>
        <w:t>合同签订之日至2022年12月31日</w:t>
      </w:r>
      <w:r>
        <w:rPr>
          <w:rFonts w:hint="eastAsia"/>
          <w:b w:val="0"/>
          <w:bCs w:val="0"/>
          <w:color w:val="00000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b w:val="0"/>
          <w:bCs w:val="0"/>
          <w:color w:val="000000"/>
          <w:sz w:val="24"/>
          <w:szCs w:val="24"/>
          <w:lang w:eastAsia="zh-CN"/>
        </w:rPr>
      </w:pPr>
      <w:r>
        <w:rPr>
          <w:rFonts w:hint="eastAsia"/>
          <w:b w:val="0"/>
          <w:bCs w:val="0"/>
          <w:color w:val="000000"/>
          <w:sz w:val="24"/>
          <w:szCs w:val="24"/>
          <w:lang w:eastAsia="zh-CN"/>
        </w:rPr>
        <w:t>项目实施地点：海南省三亚市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供应商须在合同签订后一个月内在三亚设立办公地点，供应商在其办公地点向采购人解答项目用地办事程序、所交税费及目前的土地市场价格等事宜，并在规定时间向采购人提交项目用地的《土地估价报告》。</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21" w:name="_Toc27253"/>
      <w:bookmarkStart w:id="22" w:name="_Toc5998"/>
      <w:bookmarkStart w:id="23" w:name="_Toc25163"/>
      <w:r>
        <w:rPr>
          <w:rFonts w:hint="eastAsia" w:ascii="宋体" w:hAnsi="宋体" w:eastAsia="宋体" w:cs="宋体"/>
          <w:b/>
          <w:color w:val="000000"/>
          <w:sz w:val="24"/>
          <w:lang w:val="en-US" w:eastAsia="zh-CN"/>
        </w:rPr>
        <w:t>八、项目技术团队及经验要求</w:t>
      </w:r>
      <w:bookmarkEnd w:id="21"/>
      <w:bookmarkEnd w:id="22"/>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项目技术团队应当具备专职估价师、注册土地估价师等专业技术人员，并持证上岗。</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未经采购人同意不得更换相关技术团队人员。</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3</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供应商应具有同类项目经验。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宋体" w:hAnsi="宋体" w:eastAsia="宋体" w:cs="宋体"/>
          <w:b/>
          <w:color w:val="000000"/>
          <w:sz w:val="24"/>
          <w:lang w:val="en-US" w:eastAsia="zh-CN"/>
        </w:rPr>
      </w:pPr>
      <w:bookmarkStart w:id="24" w:name="_Toc1882"/>
      <w:bookmarkStart w:id="25" w:name="_Toc13107"/>
      <w:bookmarkStart w:id="26" w:name="_Toc26884"/>
      <w:r>
        <w:rPr>
          <w:rFonts w:hint="eastAsia" w:ascii="宋体" w:hAnsi="宋体" w:eastAsia="宋体" w:cs="宋体"/>
          <w:b/>
          <w:color w:val="000000"/>
          <w:sz w:val="24"/>
          <w:lang w:val="en-US" w:eastAsia="zh-CN"/>
        </w:rPr>
        <w:t>九、收费标准（项目单宗地评估费）</w:t>
      </w:r>
      <w:bookmarkEnd w:id="24"/>
      <w:bookmarkEnd w:id="25"/>
      <w:bookmarkEnd w:id="26"/>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eastAsia="zh-CN"/>
        </w:rPr>
        <w:t>依据原海南省物价局琼价综字〔1998〕89号文，单宗土地评估费用如下：</w:t>
      </w:r>
    </w:p>
    <w:tbl>
      <w:tblPr>
        <w:tblStyle w:val="4"/>
        <w:tblW w:w="8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3340"/>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收费项目</w:t>
            </w: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计算单位（万元）</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收费标准（元）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751"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sz w:val="21"/>
                <w:szCs w:val="21"/>
                <w:vertAlign w:val="baseline"/>
              </w:rPr>
              <w:t>宗地评估收费按土地价格总额（万元）计，（宗地评估费采取差额定率累进计数）</w:t>
            </w: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100以下（含100）</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51"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0" w:firstLineChars="0"/>
              <w:rPr>
                <w:rFonts w:hint="eastAsia" w:ascii="宋体" w:hAnsi="宋体" w:eastAsia="宋体" w:cs="宋体"/>
                <w:color w:val="000000"/>
                <w:sz w:val="21"/>
                <w:szCs w:val="21"/>
                <w:vertAlign w:val="baseline"/>
              </w:rPr>
            </w:pP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101-200（部分）</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3.</w:t>
            </w:r>
            <w:r>
              <w:rPr>
                <w:rFonts w:hint="eastAsia" w:ascii="宋体" w:hAnsi="宋体" w:cs="宋体"/>
                <w:i w:val="0"/>
                <w:iCs w:val="0"/>
                <w:color w:val="000000"/>
                <w:kern w:val="0"/>
                <w:sz w:val="21"/>
                <w:szCs w:val="21"/>
                <w:highlight w:val="none"/>
                <w:u w:val="none"/>
                <w:lang w:val="en-US" w:eastAsia="zh-CN" w:bidi="ar"/>
              </w:rPr>
              <w:t>39</w:t>
            </w:r>
            <w:r>
              <w:rPr>
                <w:rFonts w:hint="eastAsia" w:ascii="宋体" w:hAnsi="宋体" w:eastAsia="宋体" w:cs="宋体"/>
                <w:i w:val="0"/>
                <w:iCs w:val="0"/>
                <w:color w:val="000000"/>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51"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0" w:firstLineChars="0"/>
              <w:rPr>
                <w:rFonts w:hint="eastAsia" w:ascii="宋体" w:hAnsi="宋体" w:eastAsia="宋体" w:cs="宋体"/>
                <w:color w:val="000000"/>
                <w:sz w:val="21"/>
                <w:szCs w:val="21"/>
                <w:vertAlign w:val="baseline"/>
              </w:rPr>
            </w:pP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201-1000（部分）</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51"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0" w:firstLineChars="0"/>
              <w:rPr>
                <w:rFonts w:hint="eastAsia" w:ascii="宋体" w:hAnsi="宋体" w:eastAsia="宋体" w:cs="宋体"/>
                <w:color w:val="000000"/>
                <w:sz w:val="21"/>
                <w:szCs w:val="21"/>
                <w:vertAlign w:val="baseline"/>
              </w:rPr>
            </w:pP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1001-2000（部分）</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51"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0" w:firstLineChars="0"/>
              <w:rPr>
                <w:rFonts w:hint="eastAsia" w:ascii="宋体" w:hAnsi="宋体" w:eastAsia="宋体" w:cs="宋体"/>
                <w:color w:val="000000"/>
                <w:sz w:val="21"/>
                <w:szCs w:val="21"/>
                <w:vertAlign w:val="baseline"/>
              </w:rPr>
            </w:pP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2001-5000（部分）</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51"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0" w:firstLineChars="0"/>
              <w:rPr>
                <w:rFonts w:hint="eastAsia" w:ascii="宋体" w:hAnsi="宋体" w:eastAsia="宋体" w:cs="宋体"/>
                <w:color w:val="000000"/>
                <w:sz w:val="21"/>
                <w:szCs w:val="21"/>
                <w:vertAlign w:val="baseline"/>
              </w:rPr>
            </w:pP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5001-10000（部分）</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751"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0" w:firstLineChars="0"/>
              <w:rPr>
                <w:rFonts w:hint="eastAsia" w:ascii="宋体" w:hAnsi="宋体" w:eastAsia="宋体" w:cs="宋体"/>
                <w:color w:val="000000"/>
                <w:sz w:val="21"/>
                <w:szCs w:val="21"/>
                <w:vertAlign w:val="baseline"/>
              </w:rPr>
            </w:pP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10000以上部分</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0.13‰</w:t>
            </w:r>
          </w:p>
        </w:tc>
      </w:tr>
    </w:tbl>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27" w:name="_Toc17620"/>
      <w:bookmarkStart w:id="28" w:name="_Toc4699"/>
      <w:bookmarkStart w:id="29" w:name="_Toc29328"/>
      <w:r>
        <w:rPr>
          <w:rFonts w:hint="eastAsia" w:ascii="宋体" w:hAnsi="宋体" w:eastAsia="宋体" w:cs="宋体"/>
          <w:b/>
          <w:color w:val="000000"/>
          <w:sz w:val="24"/>
          <w:lang w:val="en-US" w:eastAsia="zh-CN"/>
        </w:rPr>
        <w:t>十、合同价格</w:t>
      </w:r>
      <w:bookmarkEnd w:id="27"/>
      <w:bookmarkEnd w:id="28"/>
      <w:bookmarkEnd w:id="29"/>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本项目预算金额：单宗地土地评估费用依据原海南省物价局琼价综字〔1998〕89号文进行计算，具体情况如下：</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（1）对于涉及“招拍挂”出让、协议出让及土地收回等类别的土地评估业务，以待估宗地的土地评估总价值作为一个标的，收费标准参照</w:t>
      </w:r>
      <w:r>
        <w:rPr>
          <w:rFonts w:hint="eastAsia" w:ascii="宋体" w:hAnsi="宋体" w:cs="宋体"/>
          <w:b w:val="0"/>
          <w:bCs/>
          <w:color w:val="000000"/>
          <w:sz w:val="24"/>
          <w:szCs w:val="24"/>
          <w:highlight w:val="none"/>
          <w:lang w:val="en-US" w:eastAsia="zh-CN"/>
        </w:rPr>
        <w:t>海南省物价局琼价综字〔1998〕89号文</w:t>
      </w:r>
      <w:r>
        <w:rPr>
          <w:rFonts w:hint="eastAsia" w:ascii="宋体" w:hAnsi="宋体" w:eastAsia="宋体" w:cs="宋体"/>
          <w:b w:val="0"/>
          <w:bCs/>
          <w:color w:val="000000"/>
          <w:sz w:val="24"/>
          <w:szCs w:val="24"/>
          <w:highlight w:val="none"/>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（2）对于涉及改变土地用途、用地结构调整、延长土地使用年限及多项条件同时调整等类别的土地评估业务，以待估宗地用地指标调整前及调整后的土地评估价值分别作为标的，收费标准参照</w:t>
      </w:r>
      <w:r>
        <w:rPr>
          <w:rFonts w:hint="eastAsia" w:ascii="宋体" w:hAnsi="宋体" w:cs="宋体"/>
          <w:b w:val="0"/>
          <w:bCs/>
          <w:color w:val="000000"/>
          <w:sz w:val="24"/>
          <w:szCs w:val="24"/>
          <w:highlight w:val="none"/>
          <w:lang w:val="en-US" w:eastAsia="zh-CN"/>
        </w:rPr>
        <w:t>海南省物价局琼价综字〔1998〕89号文</w:t>
      </w:r>
      <w:r>
        <w:rPr>
          <w:rFonts w:hint="eastAsia" w:ascii="宋体" w:hAnsi="宋体" w:eastAsia="宋体" w:cs="宋体"/>
          <w:b w:val="0"/>
          <w:bCs/>
          <w:color w:val="000000"/>
          <w:sz w:val="24"/>
          <w:szCs w:val="24"/>
          <w:highlight w:val="none"/>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（3）对于涉及土地置换类别的土地评估业务，以被置换地和拟置换地的土地评估价值分别作为标的，收费标准参照</w:t>
      </w:r>
      <w:r>
        <w:rPr>
          <w:rFonts w:hint="eastAsia" w:ascii="宋体" w:hAnsi="宋体" w:cs="宋体"/>
          <w:b w:val="0"/>
          <w:bCs/>
          <w:color w:val="000000"/>
          <w:sz w:val="24"/>
          <w:szCs w:val="24"/>
          <w:highlight w:val="none"/>
          <w:lang w:val="en-US" w:eastAsia="zh-CN"/>
        </w:rPr>
        <w:t>海南省物价局琼价综字〔1998〕89号文</w:t>
      </w:r>
      <w:r>
        <w:rPr>
          <w:rFonts w:hint="eastAsia" w:ascii="宋体" w:hAnsi="宋体" w:eastAsia="宋体" w:cs="宋体"/>
          <w:b w:val="0"/>
          <w:bCs/>
          <w:color w:val="000000"/>
          <w:sz w:val="24"/>
          <w:szCs w:val="24"/>
          <w:highlight w:val="none"/>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（4）对于涉及划拨补办出让类别的土地评估业务，以待估宗地在现行规划指标下的宗地价值作为一个标的，收费标准参照</w:t>
      </w:r>
      <w:r>
        <w:rPr>
          <w:rFonts w:hint="eastAsia" w:ascii="宋体" w:hAnsi="宋体" w:cs="宋体"/>
          <w:b w:val="0"/>
          <w:bCs/>
          <w:color w:val="000000"/>
          <w:sz w:val="24"/>
          <w:szCs w:val="24"/>
          <w:highlight w:val="none"/>
          <w:lang w:val="en-US" w:eastAsia="zh-CN"/>
        </w:rPr>
        <w:t>海南省物价局琼价综字〔1998〕89号文</w:t>
      </w:r>
      <w:r>
        <w:rPr>
          <w:rFonts w:hint="eastAsia" w:ascii="宋体" w:hAnsi="宋体" w:eastAsia="宋体" w:cs="宋体"/>
          <w:b w:val="0"/>
          <w:bCs/>
          <w:color w:val="000000"/>
          <w:sz w:val="24"/>
          <w:szCs w:val="24"/>
          <w:highlight w:val="none"/>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（5）对于涉及增加容积率类别的土地评估业务，以待估宗地在现行规划指标或实则指标下的宗地价值作为一个标的，收费标准参照</w:t>
      </w:r>
      <w:r>
        <w:rPr>
          <w:rFonts w:hint="eastAsia" w:ascii="宋体" w:hAnsi="宋体" w:cs="宋体"/>
          <w:b w:val="0"/>
          <w:bCs/>
          <w:color w:val="000000"/>
          <w:sz w:val="24"/>
          <w:szCs w:val="24"/>
          <w:highlight w:val="none"/>
          <w:lang w:val="en-US" w:eastAsia="zh-CN"/>
        </w:rPr>
        <w:t>海南省物价局琼价综字〔1998〕89号文</w:t>
      </w:r>
      <w:r>
        <w:rPr>
          <w:rFonts w:hint="eastAsia" w:ascii="宋体" w:hAnsi="宋体" w:eastAsia="宋体" w:cs="宋体"/>
          <w:b w:val="0"/>
          <w:bCs/>
          <w:color w:val="000000"/>
          <w:sz w:val="24"/>
          <w:szCs w:val="24"/>
          <w:highlight w:val="none"/>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（6）除上述类别以外的土地评估业务，由甲乙双方根据宗地评估实际情况共同协商确定土地评估费用的核算标准。</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（7）各标的参照</w:t>
      </w:r>
      <w:r>
        <w:rPr>
          <w:rFonts w:hint="eastAsia" w:ascii="宋体" w:hAnsi="宋体" w:cs="宋体"/>
          <w:b w:val="0"/>
          <w:bCs/>
          <w:color w:val="000000"/>
          <w:sz w:val="24"/>
          <w:szCs w:val="24"/>
          <w:highlight w:val="none"/>
          <w:lang w:val="en-US" w:eastAsia="zh-CN"/>
        </w:rPr>
        <w:t>海南省物价局琼价综字〔1998〕89号文</w:t>
      </w:r>
      <w:r>
        <w:rPr>
          <w:rFonts w:hint="eastAsia" w:ascii="宋体" w:hAnsi="宋体" w:eastAsia="宋体" w:cs="宋体"/>
          <w:b w:val="0"/>
          <w:bCs/>
          <w:color w:val="000000"/>
          <w:sz w:val="24"/>
          <w:szCs w:val="24"/>
          <w:highlight w:val="none"/>
          <w:lang w:val="en-US" w:eastAsia="zh-CN"/>
        </w:rPr>
        <w:t>核算的土地评估费用超过人民币15万元整的，按人民币15万元计算。</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8）供应商承接标段外通过摇号方式中签的二级市场土地评估业务，其土地评估费用的核算标准，以甲方下发的《三亚市自然资源和规划局关于进一步规范我市国有建设用地使用权地价评估有关事宜的规定》为准。</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（9）所有土地评估费用的最终核算折扣标准，以供应商在竞标时的最终折扣进行计算。</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FF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合同价格按本项目</w:t>
      </w:r>
      <w:r>
        <w:rPr>
          <w:rFonts w:hint="eastAsia" w:ascii="宋体" w:hAnsi="宋体" w:cs="宋体"/>
          <w:b w:val="0"/>
          <w:bCs/>
          <w:color w:val="000000"/>
          <w:sz w:val="24"/>
          <w:szCs w:val="24"/>
          <w:highlight w:val="none"/>
          <w:lang w:val="en-US" w:eastAsia="zh-CN"/>
        </w:rPr>
        <w:t>供应商报价</w:t>
      </w:r>
      <w:r>
        <w:rPr>
          <w:rFonts w:hint="eastAsia" w:ascii="宋体" w:hAnsi="宋体" w:eastAsia="宋体" w:cs="宋体"/>
          <w:b w:val="0"/>
          <w:bCs/>
          <w:color w:val="000000"/>
          <w:sz w:val="24"/>
          <w:szCs w:val="24"/>
          <w:highlight w:val="none"/>
          <w:lang w:val="en-US" w:eastAsia="zh-CN"/>
        </w:rPr>
        <w:t>执行，无合同总金额。以磋商文件收费标准为依据，按供应商报价折扣率进行测算。支付金额以实际完成的工作量（土地宗数）进行核算。</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30" w:name="_Toc7125"/>
      <w:bookmarkStart w:id="31" w:name="_Toc23742"/>
      <w:bookmarkStart w:id="32" w:name="_Toc4465"/>
      <w:r>
        <w:rPr>
          <w:rFonts w:hint="eastAsia" w:ascii="宋体" w:hAnsi="宋体" w:eastAsia="宋体" w:cs="宋体"/>
          <w:b/>
          <w:color w:val="000000"/>
          <w:sz w:val="24"/>
          <w:lang w:val="en-US" w:eastAsia="zh-CN"/>
        </w:rPr>
        <w:t>十一、相关惩戒措施</w:t>
      </w:r>
      <w:bookmarkEnd w:id="30"/>
      <w:bookmarkEnd w:id="31"/>
      <w:bookmarkEnd w:id="32"/>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（一）地价评估期间，经发现供应商没有遵循保密原则，违规向当事人泄露评估情况、评估结果等信息的，采购人立即终止其服务关系，由采购人按照招标时</w:t>
      </w:r>
      <w:r>
        <w:rPr>
          <w:rFonts w:hint="eastAsia" w:ascii="宋体" w:hAnsi="宋体" w:cs="宋体"/>
          <w:b w:val="0"/>
          <w:bCs/>
          <w:color w:val="000000"/>
          <w:sz w:val="24"/>
          <w:szCs w:val="24"/>
          <w:highlight w:val="none"/>
          <w:lang w:val="en-US" w:eastAsia="zh-CN"/>
        </w:rPr>
        <w:t>推荐</w:t>
      </w:r>
      <w:r>
        <w:rPr>
          <w:rFonts w:hint="eastAsia" w:ascii="宋体" w:hAnsi="宋体" w:eastAsia="宋体" w:cs="宋体"/>
          <w:b w:val="0"/>
          <w:bCs/>
          <w:color w:val="000000"/>
          <w:sz w:val="24"/>
          <w:szCs w:val="24"/>
          <w:highlight w:val="none"/>
          <w:lang w:val="en-US" w:eastAsia="zh-CN"/>
        </w:rPr>
        <w:t>候选供应商得分顺序确定其他土地评估机构或另行招标选定土地评估机构开展区片地价评估工作。</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（二）供应商未按规定时间向采购人提交土地评估报告累计达3次的，采购人立即终止其服务关系，由采购人按照招标时</w:t>
      </w:r>
      <w:r>
        <w:rPr>
          <w:rFonts w:hint="eastAsia" w:ascii="宋体" w:hAnsi="宋体" w:cs="宋体"/>
          <w:b w:val="0"/>
          <w:bCs/>
          <w:color w:val="000000"/>
          <w:sz w:val="24"/>
          <w:szCs w:val="24"/>
          <w:highlight w:val="none"/>
          <w:lang w:val="en-US" w:eastAsia="zh-CN"/>
        </w:rPr>
        <w:t>推荐</w:t>
      </w:r>
      <w:r>
        <w:rPr>
          <w:rFonts w:hint="eastAsia" w:ascii="宋体" w:hAnsi="宋体" w:eastAsia="宋体" w:cs="宋体"/>
          <w:b w:val="0"/>
          <w:bCs/>
          <w:color w:val="000000"/>
          <w:sz w:val="24"/>
          <w:szCs w:val="24"/>
          <w:highlight w:val="none"/>
          <w:lang w:val="en-US" w:eastAsia="zh-CN"/>
        </w:rPr>
        <w:t>候选供应商得分顺序确定其他土地评估机构或另行招标选定土地评估机构开展区片地价评估工作。</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（三）供应商单个项目土地评估报告提交专家评审3次未通过的，采购人立即终止与其的服务关系，由采购人按照招标时</w:t>
      </w:r>
      <w:r>
        <w:rPr>
          <w:rFonts w:hint="eastAsia" w:ascii="宋体" w:hAnsi="宋体" w:cs="宋体"/>
          <w:b w:val="0"/>
          <w:bCs/>
          <w:color w:val="000000"/>
          <w:sz w:val="24"/>
          <w:szCs w:val="24"/>
          <w:highlight w:val="none"/>
          <w:lang w:val="en-US" w:eastAsia="zh-CN"/>
        </w:rPr>
        <w:t>推荐</w:t>
      </w:r>
      <w:r>
        <w:rPr>
          <w:rFonts w:hint="eastAsia" w:ascii="宋体" w:hAnsi="宋体" w:eastAsia="宋体" w:cs="宋体"/>
          <w:b w:val="0"/>
          <w:bCs/>
          <w:color w:val="000000"/>
          <w:sz w:val="24"/>
          <w:szCs w:val="24"/>
          <w:highlight w:val="none"/>
          <w:lang w:val="en-US" w:eastAsia="zh-CN"/>
        </w:rPr>
        <w:t>候选供应商得分顺序确定其他土地评估机构或另行招标选定土地评估机构开展区片地价评估工作。</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四）供应商在评估过程中，为迎合利害关系人，故意抬高或压低评估价值，出具的土地估价报告与项目用地实际情况严重不符的，一经发现立即终止其服务关系，且三年内不得参与采购人组织的地价评估机构招标采购活动。同时，采购人将其违规情况报告海南省土地估价师与土地登记代理人协会，并建议该协会作出相应的行业处罚。</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（五）实行年度考核机制。对所有承担采购人地价评估的技术承担单位按年度进行考核，对于表现良好的土地评估机构，在来年再次招标时予以加分，反之，则予以扣分直至列入黑名单。</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（六）</w:t>
      </w:r>
      <w:r>
        <w:rPr>
          <w:rFonts w:hint="eastAsia" w:ascii="宋体" w:hAnsi="宋体" w:cs="宋体"/>
          <w:b w:val="0"/>
          <w:bCs/>
          <w:color w:val="000000"/>
          <w:sz w:val="24"/>
          <w:szCs w:val="24"/>
          <w:highlight w:val="none"/>
          <w:lang w:val="en-US" w:eastAsia="zh-CN"/>
        </w:rPr>
        <w:t>供应商</w:t>
      </w:r>
      <w:r>
        <w:rPr>
          <w:rFonts w:hint="eastAsia" w:ascii="宋体" w:hAnsi="宋体" w:eastAsia="宋体" w:cs="宋体"/>
          <w:b w:val="0"/>
          <w:bCs/>
          <w:color w:val="000000"/>
          <w:sz w:val="24"/>
          <w:szCs w:val="24"/>
          <w:highlight w:val="none"/>
          <w:lang w:val="en-US" w:eastAsia="zh-CN"/>
        </w:rPr>
        <w:t>在</w:t>
      </w:r>
      <w:r>
        <w:rPr>
          <w:rFonts w:hint="eastAsia" w:ascii="宋体" w:hAnsi="宋体" w:cs="宋体"/>
          <w:b w:val="0"/>
          <w:bCs/>
          <w:color w:val="000000"/>
          <w:sz w:val="24"/>
          <w:szCs w:val="24"/>
          <w:highlight w:val="none"/>
          <w:lang w:val="en-US" w:eastAsia="zh-CN"/>
        </w:rPr>
        <w:t>评估过程中，不遵守保密纪律的，依据《保密法》及相关法律法规追究相应的法律责任；供应商</w:t>
      </w:r>
      <w:r>
        <w:rPr>
          <w:rFonts w:hint="eastAsia" w:ascii="宋体" w:hAnsi="宋体" w:eastAsia="宋体" w:cs="宋体"/>
          <w:b w:val="0"/>
          <w:bCs/>
          <w:color w:val="000000"/>
          <w:sz w:val="24"/>
          <w:szCs w:val="24"/>
          <w:highlight w:val="none"/>
          <w:lang w:val="en-US" w:eastAsia="zh-CN"/>
        </w:rPr>
        <w:t>在</w:t>
      </w:r>
      <w:r>
        <w:rPr>
          <w:rFonts w:hint="eastAsia" w:ascii="宋体" w:hAnsi="宋体" w:cs="宋体"/>
          <w:b w:val="0"/>
          <w:bCs/>
          <w:color w:val="000000"/>
          <w:sz w:val="24"/>
          <w:szCs w:val="24"/>
          <w:highlight w:val="none"/>
          <w:lang w:val="en-US" w:eastAsia="zh-CN"/>
        </w:rPr>
        <w:t>评估过程中，收受或接受相关</w:t>
      </w:r>
      <w:r>
        <w:rPr>
          <w:rFonts w:hint="eastAsia" w:ascii="宋体" w:hAnsi="宋体" w:eastAsia="宋体" w:cs="宋体"/>
          <w:b w:val="0"/>
          <w:bCs/>
          <w:color w:val="000000"/>
          <w:sz w:val="24"/>
          <w:szCs w:val="24"/>
          <w:highlight w:val="none"/>
          <w:lang w:val="en-US" w:eastAsia="zh-CN"/>
        </w:rPr>
        <w:t>利害关系人</w:t>
      </w:r>
      <w:r>
        <w:rPr>
          <w:rFonts w:hint="eastAsia" w:ascii="宋体" w:hAnsi="宋体" w:cs="宋体"/>
          <w:b w:val="0"/>
          <w:bCs/>
          <w:color w:val="000000"/>
          <w:sz w:val="24"/>
          <w:szCs w:val="24"/>
          <w:highlight w:val="none"/>
          <w:lang w:val="en-US" w:eastAsia="zh-CN"/>
        </w:rPr>
        <w:t>的吃请、财务及服务，</w:t>
      </w:r>
      <w:r>
        <w:rPr>
          <w:rFonts w:hint="eastAsia" w:ascii="宋体" w:hAnsi="宋体" w:eastAsia="宋体" w:cs="宋体"/>
          <w:b w:val="0"/>
          <w:bCs/>
          <w:color w:val="000000"/>
          <w:sz w:val="24"/>
          <w:szCs w:val="24"/>
          <w:highlight w:val="none"/>
          <w:lang w:val="en-US" w:eastAsia="zh-CN"/>
        </w:rPr>
        <w:t>故意抬高或压低评估价</w:t>
      </w:r>
      <w:r>
        <w:rPr>
          <w:rFonts w:hint="eastAsia" w:ascii="宋体" w:hAnsi="宋体" w:cs="宋体"/>
          <w:b w:val="0"/>
          <w:bCs/>
          <w:color w:val="000000"/>
          <w:sz w:val="24"/>
          <w:szCs w:val="24"/>
          <w:highlight w:val="none"/>
          <w:lang w:val="en-US" w:eastAsia="zh-CN"/>
        </w:rPr>
        <w:t>格的</w:t>
      </w:r>
      <w:r>
        <w:rPr>
          <w:rFonts w:hint="eastAsia" w:ascii="宋体" w:hAnsi="宋体" w:eastAsia="宋体" w:cs="宋体"/>
          <w:b w:val="0"/>
          <w:bCs/>
          <w:color w:val="000000"/>
          <w:sz w:val="24"/>
          <w:szCs w:val="24"/>
          <w:highlight w:val="none"/>
          <w:lang w:val="en-US" w:eastAsia="zh-CN"/>
        </w:rPr>
        <w:t>，</w:t>
      </w:r>
      <w:r>
        <w:rPr>
          <w:rFonts w:hint="eastAsia" w:ascii="宋体" w:hAnsi="宋体" w:cs="宋体"/>
          <w:b w:val="0"/>
          <w:bCs/>
          <w:color w:val="000000"/>
          <w:sz w:val="24"/>
          <w:szCs w:val="24"/>
          <w:highlight w:val="none"/>
          <w:lang w:val="en-US" w:eastAsia="zh-CN"/>
        </w:rPr>
        <w:t>依法追究相应的刑事责任。</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33" w:name="_Toc24752"/>
      <w:bookmarkStart w:id="34" w:name="_Toc792"/>
      <w:bookmarkStart w:id="35" w:name="_Toc28048"/>
      <w:r>
        <w:rPr>
          <w:rFonts w:hint="eastAsia" w:ascii="宋体" w:hAnsi="宋体" w:eastAsia="宋体" w:cs="宋体"/>
          <w:b/>
          <w:color w:val="000000"/>
          <w:sz w:val="24"/>
          <w:lang w:val="en-US" w:eastAsia="zh-CN"/>
        </w:rPr>
        <w:t>十二、履约验收方案</w:t>
      </w:r>
      <w:bookmarkEnd w:id="33"/>
      <w:bookmarkEnd w:id="34"/>
      <w:bookmarkEnd w:id="35"/>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1、履约验收主体：采购人。可以邀请参加本项目的其他供应商或者第三方专业机构及专家参与验收，相关验收意见作为验收的参考资料。</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2、履约验收时间：应在“评估委托书”约定的提交报告期限内完成。</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3、履约验收方式：采购人组织验收。根据磋商文件、响应文件采购、合同等约定，对技术服务成果采用专家评估等方式验收。也可以由委托方单方认可视为验收通过。不验收方出具书面验收证明。</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4、履约验收程序：成果提交、验收准备、核对凭证、出具书面验收证明等。</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5、履约验收内容：按本合同“成果要求、成果提交”等标准执行。</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6、履约验收标准：本着科学、公正、实事求是的原则，严格按照合同约定的要求进行验收。按本合同“服务要求、成果要求、成果提交”等标准执行。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36" w:name="_Toc6315"/>
      <w:bookmarkStart w:id="37" w:name="_Toc5271"/>
      <w:bookmarkStart w:id="38" w:name="_Toc5119"/>
      <w:r>
        <w:rPr>
          <w:rFonts w:hint="eastAsia" w:ascii="宋体" w:hAnsi="宋体" w:eastAsia="宋体" w:cs="宋体"/>
          <w:b/>
          <w:color w:val="000000"/>
          <w:sz w:val="24"/>
          <w:lang w:val="en-US" w:eastAsia="zh-CN"/>
        </w:rPr>
        <w:t>十三、付款方式与步骤</w:t>
      </w:r>
      <w:bookmarkEnd w:id="36"/>
      <w:bookmarkEnd w:id="37"/>
      <w:bookmarkEnd w:id="38"/>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1、支付金额以实际完成的工作量（土地宗数）进行核算。</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2、付款方式与步骤：</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供应商须提供《土地评估单项业务委托合同》、《三亚市土地价格评估业务委托通知书》、土地估价结果一览表、评估费用计算表及发票，甲方在服务期限到期后90日内一次性付清土地评估业务费。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39" w:name="_Toc26847"/>
      <w:bookmarkStart w:id="40" w:name="_Toc1356"/>
      <w:bookmarkStart w:id="41" w:name="_Toc22202"/>
      <w:r>
        <w:rPr>
          <w:rFonts w:hint="eastAsia" w:ascii="宋体" w:hAnsi="宋体" w:eastAsia="宋体" w:cs="宋体"/>
          <w:b/>
          <w:color w:val="000000"/>
          <w:sz w:val="24"/>
          <w:lang w:val="en-US" w:eastAsia="zh-CN"/>
        </w:rPr>
        <w:t>十四、项目成交片区的确定</w:t>
      </w:r>
      <w:bookmarkEnd w:id="39"/>
      <w:bookmarkEnd w:id="40"/>
      <w:bookmarkEnd w:id="41"/>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1、所有通过响应文件审查的供应商均只参与一次综合评审。</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2、磋商小组根据综合得分由高到低依次推荐排名顺序，推荐10名以上成交候选供应商。</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3、被推荐为前10名的成交候选供应商，按推荐排名顺序依次自主选择本项目的成交片区。</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4、自主选择项目成交片区，且只有一次选择机会。确定项目成交片区后不得更改，否则视为放弃成交资格。</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5、自主选择项目成交片区应当由供应商授权代表参加，否则视为放弃成交资格。</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6、若出现供应商放弃成交资格的，按推荐排名顺序顺延成交候选供应商，并依次选择成交片区。</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7、所有通过响应文件审查的供应商、磋商小组、采购人代表、代理机构工作人员共同见证自主选择项目成交片区程序，磋商小组将项目成交片区结果编入评审报告。</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42" w:name="_Toc24471"/>
      <w:bookmarkStart w:id="43" w:name="_Toc26632"/>
      <w:bookmarkStart w:id="44" w:name="_Toc18701"/>
      <w:r>
        <w:rPr>
          <w:rFonts w:hint="eastAsia" w:ascii="宋体" w:hAnsi="宋体" w:eastAsia="宋体" w:cs="宋体"/>
          <w:b/>
          <w:color w:val="000000"/>
          <w:sz w:val="24"/>
          <w:lang w:val="en-US" w:eastAsia="zh-CN"/>
        </w:rPr>
        <w:t>十五、项目成交片区确定的其他情形</w:t>
      </w:r>
      <w:bookmarkEnd w:id="42"/>
      <w:bookmarkEnd w:id="43"/>
      <w:bookmarkEnd w:id="44"/>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1、若实际参加磋商或通过响应文件审查的供应商少于3家（不含），本项目采购失败。</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2、若通过响应文件审查的供应商（或推荐成交候选供应商人数）不足10家，按推荐排名顺序依次自主选择本项目的成交片区后，剩余N个片区由推荐排名顺序前N名，可依次自主选择第2个项目成交片区。</w:t>
      </w:r>
    </w:p>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p>
    <w:p>
      <w:bookmarkStart w:id="45" w:name="_GoBack"/>
      <w:bookmarkEnd w:id="4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07CD5"/>
    <w:rsid w:val="53107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bCs/>
    </w:rPr>
  </w:style>
  <w:style w:type="character" w:styleId="7">
    <w:name w:val="FollowedHyperlink"/>
    <w:basedOn w:val="5"/>
    <w:uiPriority w:val="0"/>
    <w:rPr>
      <w:color w:val="428BCA"/>
      <w:u w:val="none"/>
    </w:rPr>
  </w:style>
  <w:style w:type="character" w:styleId="8">
    <w:name w:val="HTML Definition"/>
    <w:basedOn w:val="5"/>
    <w:uiPriority w:val="0"/>
    <w:rPr>
      <w:i/>
      <w:iCs/>
    </w:rPr>
  </w:style>
  <w:style w:type="character" w:styleId="9">
    <w:name w:val="Hyperlink"/>
    <w:basedOn w:val="5"/>
    <w:uiPriority w:val="0"/>
    <w:rPr>
      <w:color w:val="428BCA"/>
      <w:u w:val="none"/>
    </w:rPr>
  </w:style>
  <w:style w:type="character" w:styleId="10">
    <w:name w:val="HTML Code"/>
    <w:basedOn w:val="5"/>
    <w:uiPriority w:val="0"/>
    <w:rPr>
      <w:rFonts w:hint="default" w:ascii="Consolas" w:hAnsi="Consolas" w:eastAsia="Consolas" w:cs="Consolas"/>
      <w:color w:val="C7254E"/>
      <w:sz w:val="21"/>
      <w:szCs w:val="21"/>
      <w:bdr w:val="none" w:color="auto" w:sz="0" w:space="0"/>
      <w:shd w:val="clear" w:fill="F9F2F4"/>
    </w:rPr>
  </w:style>
  <w:style w:type="character" w:styleId="11">
    <w:name w:val="HTML Cite"/>
    <w:basedOn w:val="5"/>
    <w:uiPriority w:val="0"/>
  </w:style>
  <w:style w:type="character" w:styleId="12">
    <w:name w:val="HTML Keyboard"/>
    <w:basedOn w:val="5"/>
    <w:uiPriority w:val="0"/>
    <w:rPr>
      <w:rFonts w:hint="default" w:ascii="Consolas" w:hAnsi="Consolas" w:eastAsia="Consolas" w:cs="Consolas"/>
      <w:color w:val="FFFFFF"/>
      <w:sz w:val="21"/>
      <w:szCs w:val="21"/>
      <w:bdr w:val="none" w:color="auto" w:sz="0" w:space="0"/>
      <w:shd w:val="clear" w:fill="333333"/>
    </w:rPr>
  </w:style>
  <w:style w:type="character" w:styleId="13">
    <w:name w:val="HTML Sample"/>
    <w:basedOn w:val="5"/>
    <w:uiPriority w:val="0"/>
    <w:rPr>
      <w:rFonts w:ascii="Consolas" w:hAnsi="Consolas" w:eastAsia="Consolas" w:cs="Consolas"/>
      <w:sz w:val="21"/>
      <w:szCs w:val="21"/>
    </w:rPr>
  </w:style>
  <w:style w:type="character" w:customStyle="1" w:styleId="14">
    <w:name w:val="ui-jqgrid-resize"/>
    <w:basedOn w:val="5"/>
    <w:uiPriority w:val="0"/>
  </w:style>
  <w:style w:type="character" w:customStyle="1" w:styleId="15">
    <w:name w:val="ui-icon32"/>
    <w:basedOn w:val="5"/>
    <w:uiPriority w:val="0"/>
  </w:style>
  <w:style w:type="character" w:customStyle="1" w:styleId="16">
    <w:name w:val="ui-icon33"/>
    <w:basedOn w:val="5"/>
    <w:uiPriority w:val="0"/>
  </w:style>
  <w:style w:type="character" w:customStyle="1" w:styleId="17">
    <w:name w:val="before"/>
    <w:basedOn w:val="5"/>
    <w:uiPriority w:val="0"/>
    <w:rPr>
      <w:rFonts w:hint="default" w:ascii="FontAwesome" w:hAnsi="FontAwesome" w:eastAsia="FontAwesome" w:cs="FontAwesome"/>
      <w:color w:val="888888"/>
    </w:rPr>
  </w:style>
  <w:style w:type="character" w:customStyle="1" w:styleId="18">
    <w:name w:val="before1"/>
    <w:basedOn w:val="5"/>
    <w:uiPriority w:val="0"/>
    <w:rPr>
      <w:rFonts w:hint="default" w:ascii="FontAwesome" w:hAnsi="FontAwesome" w:eastAsia="FontAwesome" w:cs="FontAwesome"/>
      <w:color w:val="888888"/>
    </w:rPr>
  </w:style>
  <w:style w:type="character" w:customStyle="1" w:styleId="19">
    <w:name w:val="input-icon2"/>
    <w:basedOn w:val="5"/>
    <w:uiPriority w:val="0"/>
  </w:style>
  <w:style w:type="paragraph" w:styleId="20">
    <w:name w:val=""/>
    <w:basedOn w:val="1"/>
    <w:next w:val="1"/>
    <w:uiPriority w:val="0"/>
    <w:pPr>
      <w:pBdr>
        <w:bottom w:val="single" w:color="auto" w:sz="6" w:space="1"/>
      </w:pBdr>
      <w:jc w:val="center"/>
    </w:pPr>
    <w:rPr>
      <w:rFonts w:ascii="Arial" w:eastAsia="宋体"/>
      <w:vanish/>
      <w:sz w:val="16"/>
    </w:rPr>
  </w:style>
  <w:style w:type="paragraph" w:styleId="2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2022-01-18T10:40:00Z</dcterms:created>
  <dc:creator>cdx</dc:creator>
  <cp:lastModifiedBy>cdx</cp:lastModifiedBy>
  <dcterms:modified xsi:type="dcterms:W3CDTF">2022-01-18T10:53:28Z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512F3CFD91B8479881159441D40E986D</vt:lpwstr>
  </property>
</Properties>
</file>