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color w:val="000000" w:themeColor="text1"/>
          <w:sz w:val="56"/>
          <w:szCs w:val="56"/>
          <w14:textFill>
            <w14:solidFill>
              <w14:schemeClr w14:val="tx1"/>
            </w14:solidFill>
          </w14:textFill>
        </w:rPr>
      </w:pPr>
      <w:r>
        <w:rPr>
          <w:rFonts w:hint="eastAsia" w:ascii="仿宋" w:hAnsi="仿宋" w:eastAsia="仿宋" w:cs="仿宋"/>
          <w:b/>
          <w:color w:val="000000" w:themeColor="text1"/>
          <w:sz w:val="56"/>
          <w:szCs w:val="56"/>
          <w14:textFill>
            <w14:solidFill>
              <w14:schemeClr w14:val="tx1"/>
            </w14:solidFill>
          </w14:textFill>
        </w:rPr>
        <w:drawing>
          <wp:inline distT="0" distB="0" distL="0" distR="0">
            <wp:extent cx="5334000" cy="819150"/>
            <wp:effectExtent l="0" t="0" r="0" b="0"/>
            <wp:docPr id="1" name="图片 1" descr="公司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标志"/>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334000" cy="819150"/>
                    </a:xfrm>
                    <a:prstGeom prst="rect">
                      <a:avLst/>
                    </a:prstGeom>
                    <a:noFill/>
                    <a:ln>
                      <a:noFill/>
                    </a:ln>
                  </pic:spPr>
                </pic:pic>
              </a:graphicData>
            </a:graphic>
          </wp:inline>
        </w:drawing>
      </w:r>
    </w:p>
    <w:p>
      <w:pPr>
        <w:jc w:val="center"/>
        <w:rPr>
          <w:rFonts w:ascii="仿宋" w:hAnsi="仿宋" w:eastAsia="仿宋" w:cs="仿宋"/>
          <w:b/>
          <w:bCs/>
          <w:color w:val="000000" w:themeColor="text1"/>
          <w:sz w:val="84"/>
          <w:szCs w:val="84"/>
          <w14:textFill>
            <w14:solidFill>
              <w14:schemeClr w14:val="tx1"/>
            </w14:solidFill>
          </w14:textFill>
        </w:rPr>
      </w:pPr>
    </w:p>
    <w:p>
      <w:pPr>
        <w:jc w:val="center"/>
        <w:rPr>
          <w:rFonts w:ascii="仿宋" w:hAnsi="仿宋" w:eastAsia="仿宋" w:cs="仿宋"/>
          <w:b/>
          <w:bCs/>
          <w:color w:val="000000" w:themeColor="text1"/>
          <w:sz w:val="84"/>
          <w:szCs w:val="84"/>
          <w14:textFill>
            <w14:solidFill>
              <w14:schemeClr w14:val="tx1"/>
            </w14:solidFill>
          </w14:textFill>
        </w:rPr>
      </w:pPr>
    </w:p>
    <w:p>
      <w:pPr>
        <w:jc w:val="center"/>
        <w:rPr>
          <w:rFonts w:ascii="仿宋" w:hAnsi="仿宋" w:eastAsia="仿宋" w:cs="仿宋"/>
          <w:b/>
          <w:bCs/>
          <w:color w:val="000000" w:themeColor="text1"/>
          <w:sz w:val="84"/>
          <w:szCs w:val="84"/>
          <w14:textFill>
            <w14:solidFill>
              <w14:schemeClr w14:val="tx1"/>
            </w14:solidFill>
          </w14:textFill>
        </w:rPr>
      </w:pPr>
      <w:r>
        <w:rPr>
          <w:rFonts w:hint="eastAsia" w:ascii="仿宋" w:hAnsi="仿宋" w:eastAsia="仿宋" w:cs="仿宋"/>
          <w:b/>
          <w:bCs/>
          <w:color w:val="000000" w:themeColor="text1"/>
          <w:sz w:val="84"/>
          <w:szCs w:val="84"/>
          <w14:textFill>
            <w14:solidFill>
              <w14:schemeClr w14:val="tx1"/>
            </w14:solidFill>
          </w14:textFill>
        </w:rPr>
        <w:t>竞争性谈判文件</w:t>
      </w:r>
    </w:p>
    <w:p>
      <w:pPr>
        <w:rPr>
          <w:rFonts w:ascii="仿宋" w:hAnsi="仿宋" w:eastAsia="仿宋" w:cs="仿宋"/>
          <w:color w:val="000000" w:themeColor="text1"/>
          <w14:textFill>
            <w14:solidFill>
              <w14:schemeClr w14:val="tx1"/>
            </w14:solidFill>
          </w14:textFill>
        </w:rPr>
      </w:pPr>
    </w:p>
    <w:p>
      <w:pPr>
        <w:tabs>
          <w:tab w:val="left" w:pos="630"/>
        </w:tabs>
        <w:autoSpaceDE w:val="0"/>
        <w:autoSpaceDN w:val="0"/>
        <w:spacing w:line="360" w:lineRule="auto"/>
        <w:ind w:firstLine="803" w:firstLineChars="250"/>
        <w:textAlignment w:val="bottom"/>
        <w:rPr>
          <w:rFonts w:ascii="仿宋" w:hAnsi="仿宋" w:eastAsia="仿宋" w:cs="仿宋"/>
          <w:b/>
          <w:color w:val="000000" w:themeColor="text1"/>
          <w:sz w:val="32"/>
          <w:szCs w:val="32"/>
          <w14:textFill>
            <w14:solidFill>
              <w14:schemeClr w14:val="tx1"/>
            </w14:solidFill>
          </w14:textFill>
        </w:rPr>
      </w:pPr>
    </w:p>
    <w:p>
      <w:pPr>
        <w:tabs>
          <w:tab w:val="left" w:pos="630"/>
        </w:tabs>
        <w:autoSpaceDE w:val="0"/>
        <w:autoSpaceDN w:val="0"/>
        <w:spacing w:line="360" w:lineRule="auto"/>
        <w:ind w:firstLine="803" w:firstLineChars="250"/>
        <w:textAlignment w:val="bottom"/>
        <w:rPr>
          <w:rFonts w:ascii="仿宋" w:hAnsi="仿宋" w:eastAsia="仿宋" w:cs="仿宋"/>
          <w:b/>
          <w:color w:val="000000" w:themeColor="text1"/>
          <w:sz w:val="32"/>
          <w:szCs w:val="32"/>
          <w14:textFill>
            <w14:solidFill>
              <w14:schemeClr w14:val="tx1"/>
            </w14:solidFill>
          </w14:textFill>
        </w:rPr>
      </w:pPr>
    </w:p>
    <w:p>
      <w:pPr>
        <w:tabs>
          <w:tab w:val="left" w:pos="630"/>
        </w:tabs>
        <w:autoSpaceDE w:val="0"/>
        <w:autoSpaceDN w:val="0"/>
        <w:spacing w:line="360" w:lineRule="auto"/>
        <w:ind w:firstLine="803" w:firstLineChars="250"/>
        <w:textAlignment w:val="bottom"/>
        <w:rPr>
          <w:rFonts w:ascii="仿宋" w:hAnsi="仿宋" w:eastAsia="仿宋" w:cs="仿宋"/>
          <w:b/>
          <w:color w:val="000000" w:themeColor="text1"/>
          <w:sz w:val="32"/>
          <w:szCs w:val="32"/>
          <w14:textFill>
            <w14:solidFill>
              <w14:schemeClr w14:val="tx1"/>
            </w14:solidFill>
          </w14:textFill>
        </w:rPr>
      </w:pPr>
    </w:p>
    <w:p>
      <w:pPr>
        <w:tabs>
          <w:tab w:val="left" w:pos="630"/>
        </w:tabs>
        <w:autoSpaceDE w:val="0"/>
        <w:autoSpaceDN w:val="0"/>
        <w:spacing w:line="360" w:lineRule="auto"/>
        <w:ind w:firstLine="803" w:firstLineChars="250"/>
        <w:textAlignment w:val="bottom"/>
        <w:rPr>
          <w:rFonts w:ascii="仿宋" w:hAnsi="仿宋" w:eastAsia="仿宋" w:cs="仿宋"/>
          <w:b/>
          <w:color w:val="000000" w:themeColor="text1"/>
          <w:sz w:val="32"/>
          <w:szCs w:val="32"/>
          <w14:textFill>
            <w14:solidFill>
              <w14:schemeClr w14:val="tx1"/>
            </w14:solidFill>
          </w14:textFill>
        </w:rPr>
      </w:pPr>
    </w:p>
    <w:p>
      <w:pPr>
        <w:tabs>
          <w:tab w:val="left" w:pos="630"/>
        </w:tabs>
        <w:autoSpaceDE w:val="0"/>
        <w:autoSpaceDN w:val="0"/>
        <w:spacing w:line="360" w:lineRule="auto"/>
        <w:ind w:firstLine="803" w:firstLineChars="250"/>
        <w:textAlignment w:val="bottom"/>
        <w:rPr>
          <w:rFonts w:ascii="仿宋" w:hAnsi="仿宋" w:eastAsia="仿宋" w:cs="仿宋"/>
          <w:b/>
          <w:color w:val="000000" w:themeColor="text1"/>
          <w:sz w:val="32"/>
          <w:szCs w:val="32"/>
          <w14:textFill>
            <w14:solidFill>
              <w14:schemeClr w14:val="tx1"/>
            </w14:solidFill>
          </w14:textFill>
        </w:rPr>
      </w:pPr>
    </w:p>
    <w:p>
      <w:pPr>
        <w:tabs>
          <w:tab w:val="left" w:pos="630"/>
        </w:tabs>
        <w:autoSpaceDE w:val="0"/>
        <w:autoSpaceDN w:val="0"/>
        <w:spacing w:line="360" w:lineRule="auto"/>
        <w:ind w:firstLine="803" w:firstLineChars="250"/>
        <w:textAlignment w:val="bottom"/>
        <w:rPr>
          <w:rFonts w:hint="eastAsia" w:ascii="仿宋" w:hAnsi="仿宋" w:eastAsia="仿宋" w:cs="仿宋"/>
          <w:b/>
          <w:color w:val="auto"/>
          <w:sz w:val="32"/>
          <w:szCs w:val="32"/>
          <w:lang w:eastAsia="zh-CN"/>
        </w:rPr>
      </w:pPr>
      <w:r>
        <w:rPr>
          <w:rFonts w:hint="eastAsia" w:ascii="仿宋" w:hAnsi="仿宋" w:eastAsia="仿宋" w:cs="仿宋"/>
          <w:b/>
          <w:color w:val="auto"/>
          <w:sz w:val="32"/>
          <w:szCs w:val="32"/>
        </w:rPr>
        <w:t>采 购 人：屯昌县西昌镇晨星幼儿园</w:t>
      </w:r>
      <w:r>
        <w:rPr>
          <w:rFonts w:hint="eastAsia" w:ascii="仿宋" w:hAnsi="仿宋" w:eastAsia="仿宋" w:cs="仿宋"/>
          <w:b/>
          <w:color w:val="auto"/>
          <w:sz w:val="32"/>
          <w:szCs w:val="32"/>
          <w:lang w:val="en-US" w:eastAsia="zh-CN"/>
        </w:rPr>
        <w:t xml:space="preserve"> </w:t>
      </w:r>
    </w:p>
    <w:p>
      <w:pPr>
        <w:spacing w:line="360" w:lineRule="auto"/>
        <w:ind w:left="2428" w:leftChars="399" w:hanging="1590" w:hangingChars="495"/>
        <w:rPr>
          <w:rFonts w:hint="eastAsia" w:ascii="仿宋" w:hAnsi="仿宋" w:eastAsia="仿宋" w:cs="仿宋"/>
          <w:b/>
          <w:color w:val="auto"/>
          <w:sz w:val="32"/>
          <w:szCs w:val="32"/>
          <w:lang w:eastAsia="zh-CN"/>
        </w:rPr>
      </w:pPr>
      <w:r>
        <w:rPr>
          <w:rFonts w:hint="eastAsia" w:ascii="仿宋" w:hAnsi="仿宋" w:eastAsia="仿宋" w:cs="仿宋"/>
          <w:b/>
          <w:color w:val="auto"/>
          <w:sz w:val="32"/>
          <w:szCs w:val="32"/>
        </w:rPr>
        <w:t>项目名称：设施设备采购</w:t>
      </w:r>
      <w:r>
        <w:rPr>
          <w:rFonts w:hint="eastAsia" w:ascii="仿宋" w:hAnsi="仿宋" w:eastAsia="仿宋" w:cs="仿宋"/>
          <w:b/>
          <w:color w:val="auto"/>
          <w:sz w:val="32"/>
          <w:szCs w:val="32"/>
          <w:lang w:val="en-US" w:eastAsia="zh-CN"/>
        </w:rPr>
        <w:t xml:space="preserve"> </w:t>
      </w:r>
    </w:p>
    <w:p>
      <w:pPr>
        <w:spacing w:line="360" w:lineRule="auto"/>
        <w:ind w:left="210" w:leftChars="100" w:firstLine="630" w:firstLineChars="196"/>
        <w:rPr>
          <w:rFonts w:hint="eastAsia" w:ascii="仿宋" w:hAnsi="仿宋" w:eastAsia="仿宋" w:cs="仿宋"/>
          <w:b/>
          <w:color w:val="auto"/>
          <w:sz w:val="32"/>
          <w:szCs w:val="32"/>
          <w:lang w:val="en-US" w:eastAsia="zh-CN"/>
        </w:rPr>
      </w:pPr>
      <w:r>
        <w:rPr>
          <w:rFonts w:hint="eastAsia" w:ascii="仿宋" w:hAnsi="仿宋" w:eastAsia="仿宋" w:cs="仿宋"/>
          <w:b/>
          <w:color w:val="auto"/>
          <w:sz w:val="32"/>
          <w:szCs w:val="32"/>
        </w:rPr>
        <w:t>项目编号：HNZH-2021-318</w:t>
      </w:r>
      <w:r>
        <w:rPr>
          <w:rFonts w:hint="eastAsia" w:ascii="仿宋" w:hAnsi="仿宋" w:eastAsia="仿宋" w:cs="仿宋"/>
          <w:b/>
          <w:color w:val="auto"/>
          <w:sz w:val="32"/>
          <w:szCs w:val="32"/>
          <w:lang w:val="en-US" w:eastAsia="zh-CN"/>
        </w:rPr>
        <w:t xml:space="preserve"> </w:t>
      </w:r>
    </w:p>
    <w:p>
      <w:pPr>
        <w:spacing w:line="360" w:lineRule="auto"/>
        <w:ind w:left="210" w:leftChars="100" w:firstLine="630" w:firstLineChars="196"/>
        <w:rPr>
          <w:rFonts w:ascii="仿宋" w:hAnsi="仿宋" w:eastAsia="仿宋" w:cs="仿宋"/>
          <w:b/>
          <w:color w:val="auto"/>
          <w:sz w:val="32"/>
          <w:szCs w:val="32"/>
        </w:rPr>
      </w:pPr>
      <w:r>
        <w:rPr>
          <w:rFonts w:hint="eastAsia" w:ascii="仿宋" w:hAnsi="仿宋" w:eastAsia="仿宋" w:cs="仿宋"/>
          <w:b/>
          <w:color w:val="auto"/>
          <w:sz w:val="32"/>
          <w:szCs w:val="32"/>
        </w:rPr>
        <w:t>代理机构：海南政辉招投标代理有限公司</w:t>
      </w:r>
    </w:p>
    <w:p>
      <w:pPr>
        <w:jc w:val="center"/>
        <w:rPr>
          <w:rFonts w:ascii="仿宋" w:hAnsi="仿宋" w:eastAsia="仿宋" w:cs="仿宋"/>
          <w:b/>
          <w:color w:val="auto"/>
          <w:sz w:val="32"/>
          <w:szCs w:val="32"/>
        </w:rPr>
      </w:pPr>
    </w:p>
    <w:p>
      <w:pPr>
        <w:jc w:val="center"/>
        <w:rPr>
          <w:rFonts w:ascii="仿宋" w:hAnsi="仿宋" w:eastAsia="仿宋" w:cs="仿宋"/>
          <w:b/>
          <w:color w:val="auto"/>
          <w:sz w:val="32"/>
          <w:szCs w:val="32"/>
        </w:rPr>
      </w:pPr>
      <w:r>
        <w:rPr>
          <w:rFonts w:hint="eastAsia" w:ascii="仿宋" w:hAnsi="仿宋" w:eastAsia="仿宋" w:cs="仿宋"/>
          <w:b/>
          <w:color w:val="auto"/>
          <w:sz w:val="32"/>
          <w:szCs w:val="32"/>
        </w:rPr>
        <w:t>202</w:t>
      </w:r>
      <w:r>
        <w:rPr>
          <w:rFonts w:hint="eastAsia" w:ascii="仿宋" w:hAnsi="仿宋" w:eastAsia="仿宋" w:cs="仿宋"/>
          <w:b/>
          <w:color w:val="auto"/>
          <w:sz w:val="32"/>
          <w:szCs w:val="32"/>
          <w:lang w:val="en-US" w:eastAsia="zh-CN"/>
        </w:rPr>
        <w:t>1</w:t>
      </w:r>
      <w:r>
        <w:rPr>
          <w:rFonts w:hint="eastAsia" w:ascii="仿宋" w:hAnsi="仿宋" w:eastAsia="仿宋" w:cs="仿宋"/>
          <w:b/>
          <w:color w:val="auto"/>
          <w:sz w:val="32"/>
          <w:szCs w:val="32"/>
        </w:rPr>
        <w:t>年</w:t>
      </w:r>
      <w:r>
        <w:rPr>
          <w:rFonts w:hint="eastAsia" w:ascii="仿宋" w:hAnsi="仿宋" w:eastAsia="仿宋" w:cs="仿宋"/>
          <w:b/>
          <w:color w:val="auto"/>
          <w:sz w:val="32"/>
          <w:szCs w:val="32"/>
          <w:lang w:val="en-US" w:eastAsia="zh-CN"/>
        </w:rPr>
        <w:t>12</w:t>
      </w:r>
      <w:r>
        <w:rPr>
          <w:rFonts w:hint="eastAsia" w:ascii="仿宋" w:hAnsi="仿宋" w:eastAsia="仿宋" w:cs="仿宋"/>
          <w:b/>
          <w:color w:val="auto"/>
          <w:sz w:val="32"/>
          <w:szCs w:val="32"/>
        </w:rPr>
        <w:t>月</w:t>
      </w:r>
    </w:p>
    <w:p>
      <w:pPr>
        <w:jc w:val="center"/>
        <w:rPr>
          <w:rFonts w:ascii="仿宋" w:hAnsi="仿宋" w:eastAsia="仿宋" w:cs="仿宋"/>
          <w:b/>
          <w:color w:val="auto"/>
          <w:sz w:val="28"/>
          <w:szCs w:val="28"/>
        </w:rPr>
      </w:pPr>
      <w:r>
        <w:rPr>
          <w:rFonts w:hint="eastAsia" w:ascii="仿宋" w:hAnsi="仿宋" w:eastAsia="仿宋" w:cs="仿宋"/>
          <w:b/>
          <w:color w:val="auto"/>
          <w:sz w:val="28"/>
          <w:szCs w:val="28"/>
        </w:rPr>
        <w:t>海南政辉招投标代理有限公司编制</w:t>
      </w:r>
    </w:p>
    <w:p>
      <w:pPr>
        <w:jc w:val="center"/>
        <w:rPr>
          <w:rFonts w:ascii="仿宋" w:hAnsi="仿宋" w:eastAsia="仿宋" w:cs="仿宋"/>
          <w:color w:val="auto"/>
          <w:sz w:val="36"/>
          <w:szCs w:val="36"/>
        </w:rPr>
      </w:pPr>
    </w:p>
    <w:p>
      <w:pPr>
        <w:jc w:val="center"/>
        <w:rPr>
          <w:rFonts w:hint="eastAsia" w:ascii="仿宋" w:hAnsi="仿宋" w:eastAsia="仿宋" w:cs="仿宋"/>
          <w:color w:val="auto"/>
          <w:sz w:val="36"/>
          <w:szCs w:val="36"/>
        </w:rPr>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pPr>
    </w:p>
    <w:p>
      <w:pPr>
        <w:jc w:val="center"/>
        <w:rPr>
          <w:rFonts w:hint="eastAsia" w:ascii="仿宋" w:hAnsi="仿宋" w:eastAsia="仿宋" w:cs="仿宋"/>
          <w:color w:val="auto"/>
          <w:sz w:val="36"/>
          <w:szCs w:val="36"/>
        </w:rPr>
      </w:pPr>
      <w:r>
        <w:rPr>
          <w:rFonts w:hint="eastAsia" w:ascii="仿宋" w:hAnsi="仿宋" w:eastAsia="仿宋" w:cs="仿宋"/>
          <w:color w:val="auto"/>
          <w:sz w:val="36"/>
          <w:szCs w:val="36"/>
        </w:rPr>
        <w:t>目   录</w:t>
      </w:r>
    </w:p>
    <w:p>
      <w:pPr>
        <w:pStyle w:val="2"/>
        <w:ind w:left="0" w:leftChars="0" w:firstLine="0" w:firstLineChars="0"/>
        <w:rPr>
          <w:color w:val="auto"/>
        </w:rPr>
      </w:pPr>
    </w:p>
    <w:p>
      <w:pPr>
        <w:pStyle w:val="19"/>
        <w:tabs>
          <w:tab w:val="right" w:leader="dot" w:pos="8306"/>
          <w:tab w:val="clear" w:pos="8393"/>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TOC \o "1-3" \h \z \u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_Toc11171 </w:instrText>
      </w:r>
      <w:r>
        <w:rPr>
          <w:rFonts w:hint="eastAsia" w:ascii="宋体" w:hAnsi="宋体" w:eastAsia="宋体" w:cs="宋体"/>
          <w:color w:val="auto"/>
          <w:sz w:val="24"/>
          <w:szCs w:val="24"/>
        </w:rPr>
        <w:fldChar w:fldCharType="separate"/>
      </w:r>
      <w:r>
        <w:rPr>
          <w:rFonts w:hint="eastAsia" w:ascii="宋体" w:hAnsi="宋体" w:eastAsia="宋体" w:cs="宋体"/>
          <w:bCs w:val="0"/>
          <w:color w:val="auto"/>
          <w:kern w:val="0"/>
          <w:sz w:val="24"/>
          <w:szCs w:val="24"/>
          <w:lang w:val="en-US" w:eastAsia="zh-CN" w:bidi="ar-SA"/>
        </w:rPr>
        <w:t>第一章 谈判邀请函</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_Toc11171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1</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9"/>
        <w:tabs>
          <w:tab w:val="right" w:leader="dot" w:pos="8306"/>
          <w:tab w:val="clear" w:pos="8393"/>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_Toc28164 </w:instrText>
      </w:r>
      <w:r>
        <w:rPr>
          <w:rFonts w:hint="eastAsia" w:ascii="宋体" w:hAnsi="宋体" w:eastAsia="宋体" w:cs="宋体"/>
          <w:color w:val="auto"/>
          <w:sz w:val="24"/>
          <w:szCs w:val="24"/>
        </w:rPr>
        <w:fldChar w:fldCharType="separate"/>
      </w:r>
      <w:r>
        <w:rPr>
          <w:rFonts w:hint="eastAsia" w:ascii="宋体" w:hAnsi="宋体" w:eastAsia="宋体" w:cs="宋体"/>
          <w:bCs w:val="0"/>
          <w:color w:val="auto"/>
          <w:kern w:val="0"/>
          <w:sz w:val="24"/>
          <w:szCs w:val="24"/>
          <w:lang w:val="en-US" w:eastAsia="zh-CN" w:bidi="ar-SA"/>
        </w:rPr>
        <w:t>第二章 供应商须知</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_Toc28164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9"/>
        <w:tabs>
          <w:tab w:val="right" w:leader="dot" w:pos="8306"/>
          <w:tab w:val="clear" w:pos="8393"/>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_Toc21463 </w:instrText>
      </w:r>
      <w:r>
        <w:rPr>
          <w:rFonts w:hint="eastAsia" w:ascii="宋体" w:hAnsi="宋体" w:eastAsia="宋体" w:cs="宋体"/>
          <w:color w:val="auto"/>
          <w:sz w:val="24"/>
          <w:szCs w:val="24"/>
        </w:rPr>
        <w:fldChar w:fldCharType="separate"/>
      </w:r>
      <w:r>
        <w:rPr>
          <w:rFonts w:hint="eastAsia" w:ascii="宋体" w:hAnsi="宋体" w:eastAsia="宋体" w:cs="宋体"/>
          <w:color w:val="auto"/>
          <w:kern w:val="0"/>
          <w:sz w:val="24"/>
          <w:szCs w:val="24"/>
          <w:lang w:eastAsia="zh-CN"/>
        </w:rPr>
        <w:t>第三章  用户需求书</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_Toc21463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14</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9"/>
        <w:tabs>
          <w:tab w:val="right" w:leader="dot" w:pos="8306"/>
          <w:tab w:val="clear" w:pos="8393"/>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_Toc16173 </w:instrText>
      </w:r>
      <w:r>
        <w:rPr>
          <w:rFonts w:hint="eastAsia" w:ascii="宋体" w:hAnsi="宋体" w:eastAsia="宋体" w:cs="宋体"/>
          <w:color w:val="auto"/>
          <w:sz w:val="24"/>
          <w:szCs w:val="24"/>
        </w:rPr>
        <w:fldChar w:fldCharType="separate"/>
      </w:r>
      <w:r>
        <w:rPr>
          <w:rFonts w:hint="eastAsia" w:ascii="宋体" w:hAnsi="宋体" w:eastAsia="宋体" w:cs="宋体"/>
          <w:color w:val="auto"/>
          <w:kern w:val="0"/>
          <w:sz w:val="24"/>
          <w:szCs w:val="24"/>
          <w:lang w:eastAsia="zh-CN"/>
        </w:rPr>
        <w:t>第四章 合同主要条款</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_Toc16173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62</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9"/>
        <w:tabs>
          <w:tab w:val="right" w:leader="dot" w:pos="8306"/>
          <w:tab w:val="clear" w:pos="8393"/>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_Toc31659 </w:instrText>
      </w:r>
      <w:r>
        <w:rPr>
          <w:rFonts w:hint="eastAsia" w:ascii="宋体" w:hAnsi="宋体" w:eastAsia="宋体" w:cs="宋体"/>
          <w:color w:val="auto"/>
          <w:sz w:val="24"/>
          <w:szCs w:val="24"/>
        </w:rPr>
        <w:fldChar w:fldCharType="separate"/>
      </w:r>
      <w:r>
        <w:rPr>
          <w:rFonts w:hint="eastAsia" w:ascii="宋体" w:hAnsi="宋体" w:eastAsia="宋体" w:cs="宋体"/>
          <w:color w:val="auto"/>
          <w:kern w:val="0"/>
          <w:sz w:val="24"/>
          <w:szCs w:val="24"/>
          <w:lang w:eastAsia="zh-CN"/>
        </w:rPr>
        <w:t xml:space="preserve">第五章 </w:t>
      </w:r>
      <w:r>
        <w:rPr>
          <w:rFonts w:hint="eastAsia" w:ascii="宋体" w:hAnsi="宋体" w:eastAsia="宋体" w:cs="宋体"/>
          <w:color w:val="auto"/>
          <w:kern w:val="0"/>
          <w:sz w:val="24"/>
          <w:szCs w:val="24"/>
          <w:lang w:val="en-US" w:eastAsia="zh-CN"/>
        </w:rPr>
        <w:t>报价</w:t>
      </w:r>
      <w:r>
        <w:rPr>
          <w:rFonts w:hint="eastAsia" w:ascii="宋体" w:hAnsi="宋体" w:eastAsia="宋体" w:cs="宋体"/>
          <w:color w:val="auto"/>
          <w:kern w:val="0"/>
          <w:sz w:val="24"/>
          <w:szCs w:val="24"/>
          <w:lang w:eastAsia="zh-CN"/>
        </w:rPr>
        <w:t>文件内容和格式</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_Toc31659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65</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8306"/>
          <w:tab w:val="clear" w:pos="8393"/>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_Toc3046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、投标函</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_Toc3046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66</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8306"/>
          <w:tab w:val="clear" w:pos="8393"/>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_Toc1671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、开标一览表</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_Toc1671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67</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8306"/>
          <w:tab w:val="clear" w:pos="8393"/>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_Toc24409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lang w:val="en-US" w:eastAsia="zh-CN"/>
        </w:rPr>
        <w:t>3、分项报价明细表</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_Toc24409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68</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8306"/>
          <w:tab w:val="clear" w:pos="8393"/>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_Toc23215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lang w:val="en-US" w:eastAsia="zh-CN"/>
        </w:rPr>
        <w:t>4、技术及资质要求响应表</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_Toc23215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69</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8306"/>
          <w:tab w:val="clear" w:pos="8393"/>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_Toc30590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lang w:val="en-US" w:eastAsia="zh-CN"/>
        </w:rPr>
        <w:t>5、法定代表人证明书</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_Toc30590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70</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8306"/>
          <w:tab w:val="clear" w:pos="8393"/>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_Toc21517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lang w:val="en-US" w:eastAsia="zh-CN"/>
        </w:rPr>
        <w:t>6、授权委托书</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_Toc21517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71</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8306"/>
          <w:tab w:val="clear" w:pos="8393"/>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_Toc18203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lang w:val="en-US" w:eastAsia="zh-CN"/>
        </w:rPr>
        <w:t>7、参加政府采购活动前三年内，在经营活动中没有重大违法记录的声明函</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_Toc18203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72</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8306"/>
          <w:tab w:val="clear" w:pos="8393"/>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_Toc11954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lang w:val="en-US" w:eastAsia="zh-CN"/>
        </w:rPr>
        <w:t>8、具备《中华人民共和国政府采购法》第二十二条规定条件的承诺书</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_Toc11954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73</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8306"/>
          <w:tab w:val="clear" w:pos="8393"/>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_Toc25815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lang w:val="en-US" w:eastAsia="zh-CN"/>
        </w:rPr>
        <w:t>9、不存在与参加本项目采购活动的其他供应商单位负责人为同一人或者存在直接控股、管理关系的承诺函</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_Toc25815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74</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8306"/>
          <w:tab w:val="clear" w:pos="8393"/>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_Toc11803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lang w:val="en-US" w:eastAsia="zh-CN"/>
        </w:rPr>
        <w:t>10、中小企业声明函（货物）</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_Toc11803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75</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8306"/>
          <w:tab w:val="clear" w:pos="8393"/>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_Toc14310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lang w:val="en-US" w:eastAsia="zh-CN"/>
        </w:rPr>
        <w:t>11、监狱企业证明文件</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_Toc14310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76</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8306"/>
          <w:tab w:val="clear" w:pos="8393"/>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_Toc12204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lang w:val="en-US" w:eastAsia="zh-CN"/>
        </w:rPr>
        <w:t>12、残疾人福利性单位声明函</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_Toc12204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77</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9"/>
        <w:tabs>
          <w:tab w:val="right" w:leader="dot" w:pos="8306"/>
          <w:tab w:val="clear" w:pos="8393"/>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_Toc30489 </w:instrText>
      </w:r>
      <w:r>
        <w:rPr>
          <w:rFonts w:hint="eastAsia" w:ascii="宋体" w:hAnsi="宋体" w:eastAsia="宋体" w:cs="宋体"/>
          <w:color w:val="auto"/>
          <w:sz w:val="24"/>
          <w:szCs w:val="24"/>
        </w:rPr>
        <w:fldChar w:fldCharType="separate"/>
      </w:r>
      <w:r>
        <w:rPr>
          <w:rFonts w:hint="eastAsia" w:ascii="宋体" w:hAnsi="宋体" w:eastAsia="宋体" w:cs="宋体"/>
          <w:color w:val="auto"/>
          <w:kern w:val="0"/>
          <w:sz w:val="24"/>
          <w:szCs w:val="24"/>
          <w:lang w:eastAsia="zh-CN"/>
        </w:rPr>
        <w:t>第六章  谈判程序</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_Toc30489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78</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8306"/>
          <w:tab w:val="clear" w:pos="8393"/>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_Toc2567 </w:instrText>
      </w:r>
      <w:r>
        <w:rPr>
          <w:rFonts w:hint="eastAsia" w:ascii="宋体" w:hAnsi="宋体" w:eastAsia="宋体" w:cs="宋体"/>
          <w:color w:val="auto"/>
          <w:sz w:val="24"/>
          <w:szCs w:val="24"/>
        </w:rPr>
        <w:fldChar w:fldCharType="separate"/>
      </w:r>
      <w:r>
        <w:rPr>
          <w:rFonts w:hint="eastAsia" w:ascii="宋体" w:hAnsi="宋体" w:eastAsia="宋体" w:cs="宋体"/>
          <w:bCs/>
          <w:color w:val="auto"/>
          <w:sz w:val="24"/>
          <w:szCs w:val="24"/>
          <w:lang w:val="en-US" w:eastAsia="zh-CN"/>
        </w:rPr>
        <w:t>1、</w:t>
      </w:r>
      <w:r>
        <w:rPr>
          <w:rFonts w:hint="eastAsia" w:ascii="宋体" w:hAnsi="宋体" w:eastAsia="宋体" w:cs="宋体"/>
          <w:bCs/>
          <w:color w:val="auto"/>
          <w:sz w:val="24"/>
          <w:szCs w:val="24"/>
        </w:rPr>
        <w:t>初步审查表</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_Toc2567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80</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5"/>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仿宋" w:hAnsi="仿宋" w:eastAsia="仿宋" w:cs="仿宋"/>
          <w:color w:val="auto"/>
        </w:rPr>
        <w:sectPr>
          <w:footerReference r:id="rId3" w:type="default"/>
          <w:pgSz w:w="11906" w:h="16838"/>
          <w:pgMar w:top="1440" w:right="1800" w:bottom="1440" w:left="1800" w:header="851" w:footer="992" w:gutter="0"/>
          <w:pgBorders w:offsetFrom="page">
            <w:top w:val="none" w:sz="0" w:space="0"/>
            <w:left w:val="none" w:sz="0" w:space="0"/>
            <w:bottom w:val="none" w:sz="0" w:space="0"/>
            <w:right w:val="none" w:sz="0" w:space="0"/>
          </w:pgBorders>
          <w:pgNumType w:start="1"/>
          <w:cols w:space="425" w:num="1"/>
          <w:docGrid w:type="lines" w:linePitch="312" w:charSpace="0"/>
        </w:sectPr>
      </w:pPr>
      <w:r>
        <w:rPr>
          <w:rFonts w:hint="eastAsia" w:ascii="宋体" w:hAnsi="宋体" w:eastAsia="宋体" w:cs="宋体"/>
          <w:color w:val="auto"/>
          <w:sz w:val="24"/>
          <w:szCs w:val="24"/>
        </w:rPr>
        <w:fldChar w:fldCharType="end"/>
      </w:r>
      <w:bookmarkStart w:id="0" w:name="_Toc481157511"/>
    </w:p>
    <w:p>
      <w:pPr>
        <w:pStyle w:val="5"/>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b/>
          <w:bCs w:val="0"/>
          <w:color w:val="auto"/>
          <w:kern w:val="0"/>
          <w:sz w:val="44"/>
          <w:szCs w:val="44"/>
          <w:lang w:val="en-US" w:eastAsia="zh-CN" w:bidi="ar-SA"/>
        </w:rPr>
      </w:pPr>
      <w:bookmarkStart w:id="1" w:name="_Toc11171"/>
      <w:r>
        <w:rPr>
          <w:rFonts w:hint="eastAsia" w:ascii="宋体" w:hAnsi="宋体" w:eastAsia="宋体" w:cs="宋体"/>
          <w:b/>
          <w:bCs w:val="0"/>
          <w:color w:val="auto"/>
          <w:kern w:val="0"/>
          <w:sz w:val="44"/>
          <w:szCs w:val="44"/>
          <w:lang w:val="en-US" w:eastAsia="zh-CN" w:bidi="ar-SA"/>
        </w:rPr>
        <w:t>第一章</w:t>
      </w:r>
      <w:r>
        <w:rPr>
          <w:rFonts w:hint="eastAsia" w:ascii="宋体" w:hAnsi="宋体" w:cs="宋体"/>
          <w:b/>
          <w:bCs w:val="0"/>
          <w:color w:val="auto"/>
          <w:kern w:val="0"/>
          <w:sz w:val="44"/>
          <w:szCs w:val="44"/>
          <w:lang w:val="en-US" w:eastAsia="zh-CN" w:bidi="ar-SA"/>
        </w:rPr>
        <w:t xml:space="preserve"> </w:t>
      </w:r>
      <w:r>
        <w:rPr>
          <w:rFonts w:hint="eastAsia" w:ascii="宋体" w:hAnsi="宋体" w:eastAsia="宋体" w:cs="宋体"/>
          <w:b/>
          <w:bCs w:val="0"/>
          <w:color w:val="auto"/>
          <w:kern w:val="0"/>
          <w:sz w:val="44"/>
          <w:szCs w:val="44"/>
          <w:lang w:val="en-US" w:eastAsia="zh-CN" w:bidi="ar-SA"/>
        </w:rPr>
        <w:t>谈判邀请函</w:t>
      </w:r>
      <w:bookmarkEnd w:id="0"/>
      <w:bookmarkEnd w:id="1"/>
    </w:p>
    <w:p>
      <w:pPr>
        <w:rPr>
          <w:color w:val="auto"/>
        </w:rPr>
      </w:pP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8" w:type="dxa"/>
            <w:noWrap w:val="0"/>
            <w:vAlign w:val="top"/>
          </w:tcPr>
          <w:p>
            <w:pPr>
              <w:tabs>
                <w:tab w:val="left" w:pos="2265"/>
              </w:tabs>
              <w:spacing w:line="360" w:lineRule="auto"/>
              <w:ind w:firstLine="562" w:firstLineChars="200"/>
              <w:jc w:val="left"/>
              <w:rPr>
                <w:rFonts w:hint="eastAsia" w:ascii="宋体" w:hAnsi="宋体" w:eastAsia="宋体" w:cs="宋体"/>
                <w:b/>
                <w:bCs/>
                <w:color w:val="auto"/>
                <w:sz w:val="28"/>
                <w:szCs w:val="28"/>
              </w:rPr>
            </w:pPr>
            <w:r>
              <w:rPr>
                <w:rFonts w:hint="eastAsia" w:ascii="宋体" w:hAnsi="宋体" w:eastAsia="宋体" w:cs="宋体"/>
                <w:b/>
                <w:bCs/>
                <w:color w:val="auto"/>
                <w:sz w:val="28"/>
                <w:szCs w:val="28"/>
              </w:rPr>
              <w:t>项目概况</w:t>
            </w:r>
          </w:p>
          <w:p>
            <w:pPr>
              <w:tabs>
                <w:tab w:val="left" w:pos="2265"/>
              </w:tabs>
              <w:spacing w:line="360" w:lineRule="auto"/>
              <w:ind w:firstLine="482" w:firstLineChars="200"/>
              <w:rPr>
                <w:rFonts w:hint="eastAsia" w:ascii="宋体" w:hAnsi="宋体" w:eastAsia="宋体" w:cs="宋体"/>
                <w:b/>
                <w:bCs/>
                <w:color w:val="auto"/>
                <w:sz w:val="24"/>
                <w:szCs w:val="24"/>
              </w:rPr>
            </w:pPr>
            <w:r>
              <w:rPr>
                <w:rFonts w:hint="eastAsia" w:ascii="宋体" w:hAnsi="宋体" w:cs="宋体"/>
                <w:b/>
                <w:color w:val="auto"/>
                <w:sz w:val="24"/>
                <w:szCs w:val="24"/>
                <w:u w:val="single"/>
                <w:lang w:val="en-US" w:eastAsia="zh-CN"/>
              </w:rPr>
              <w:t xml:space="preserve">  设施设备采购  </w:t>
            </w:r>
            <w:r>
              <w:rPr>
                <w:rFonts w:hint="eastAsia" w:ascii="宋体" w:hAnsi="宋体" w:cs="宋体"/>
                <w:color w:val="auto"/>
                <w:sz w:val="24"/>
                <w:lang w:val="en-US" w:eastAsia="zh-CN"/>
              </w:rPr>
              <w:t>招标</w:t>
            </w:r>
            <w:r>
              <w:rPr>
                <w:rFonts w:hint="eastAsia" w:ascii="宋体" w:hAnsi="宋体" w:eastAsia="宋体" w:cs="宋体"/>
                <w:color w:val="auto"/>
                <w:sz w:val="24"/>
                <w:szCs w:val="24"/>
              </w:rPr>
              <w:t>项目的潜在供应商应在</w:t>
            </w:r>
            <w:r>
              <w:rPr>
                <w:rFonts w:hint="eastAsia" w:ascii="宋体" w:hAnsi="宋体" w:eastAsia="宋体" w:cs="宋体"/>
                <w:b/>
                <w:bCs/>
                <w:color w:val="auto"/>
                <w:sz w:val="24"/>
                <w:szCs w:val="24"/>
                <w:u w:val="single"/>
              </w:rPr>
              <w:t>海口市美兰区五指山路16-3号康业花园西湖苑G栋2A</w:t>
            </w:r>
            <w:r>
              <w:rPr>
                <w:rFonts w:hint="eastAsia" w:ascii="宋体" w:hAnsi="宋体" w:eastAsia="宋体" w:cs="宋体"/>
                <w:color w:val="auto"/>
                <w:sz w:val="24"/>
                <w:szCs w:val="24"/>
              </w:rPr>
              <w:t>获取采购文件,并于</w:t>
            </w:r>
            <w:r>
              <w:rPr>
                <w:rFonts w:hint="eastAsia" w:ascii="宋体" w:hAnsi="宋体" w:eastAsia="宋体" w:cs="宋体"/>
                <w:b/>
                <w:bCs/>
                <w:color w:val="auto"/>
                <w:sz w:val="24"/>
                <w:szCs w:val="24"/>
                <w:u w:val="single"/>
                <w:lang w:val="en-US" w:eastAsia="zh-CN"/>
              </w:rPr>
              <w:t xml:space="preserve"> 2021年</w:t>
            </w:r>
            <w:r>
              <w:rPr>
                <w:rFonts w:hint="eastAsia" w:ascii="宋体" w:hAnsi="宋体" w:cs="宋体"/>
                <w:b/>
                <w:bCs/>
                <w:color w:val="auto"/>
                <w:sz w:val="24"/>
                <w:szCs w:val="24"/>
                <w:u w:val="single"/>
                <w:lang w:val="en-US" w:eastAsia="zh-CN"/>
              </w:rPr>
              <w:t>12</w:t>
            </w:r>
            <w:r>
              <w:rPr>
                <w:rFonts w:hint="eastAsia" w:ascii="宋体" w:hAnsi="宋体" w:eastAsia="宋体" w:cs="宋体"/>
                <w:b/>
                <w:bCs/>
                <w:color w:val="auto"/>
                <w:sz w:val="24"/>
                <w:szCs w:val="24"/>
                <w:u w:val="single"/>
                <w:lang w:val="en-US" w:eastAsia="zh-CN"/>
              </w:rPr>
              <w:t>月</w:t>
            </w:r>
            <w:r>
              <w:rPr>
                <w:rFonts w:hint="eastAsia" w:ascii="宋体" w:hAnsi="宋体" w:cs="宋体"/>
                <w:b/>
                <w:bCs/>
                <w:color w:val="auto"/>
                <w:sz w:val="24"/>
                <w:szCs w:val="24"/>
                <w:u w:val="single"/>
                <w:lang w:val="en-US" w:eastAsia="zh-CN"/>
              </w:rPr>
              <w:t>31</w:t>
            </w:r>
            <w:r>
              <w:rPr>
                <w:rFonts w:hint="eastAsia" w:ascii="宋体" w:hAnsi="宋体" w:eastAsia="宋体" w:cs="宋体"/>
                <w:b/>
                <w:bCs/>
                <w:color w:val="auto"/>
                <w:sz w:val="24"/>
                <w:szCs w:val="24"/>
                <w:u w:val="single"/>
                <w:lang w:val="en-US" w:eastAsia="zh-CN"/>
              </w:rPr>
              <w:t>日</w:t>
            </w:r>
            <w:r>
              <w:rPr>
                <w:rFonts w:hint="eastAsia" w:ascii="宋体" w:hAnsi="宋体" w:cs="宋体"/>
                <w:b/>
                <w:bCs/>
                <w:color w:val="auto"/>
                <w:sz w:val="24"/>
                <w:szCs w:val="24"/>
                <w:u w:val="single"/>
                <w:lang w:val="en-US" w:eastAsia="zh-CN"/>
              </w:rPr>
              <w:t>08</w:t>
            </w:r>
            <w:r>
              <w:rPr>
                <w:rFonts w:hint="eastAsia" w:ascii="宋体" w:hAnsi="宋体" w:eastAsia="宋体" w:cs="宋体"/>
                <w:b/>
                <w:bCs/>
                <w:color w:val="auto"/>
                <w:sz w:val="24"/>
                <w:szCs w:val="24"/>
                <w:u w:val="single"/>
                <w:lang w:val="en-US" w:eastAsia="zh-CN"/>
              </w:rPr>
              <w:t>点</w:t>
            </w:r>
            <w:r>
              <w:rPr>
                <w:rFonts w:hint="eastAsia" w:ascii="宋体" w:hAnsi="宋体" w:cs="宋体"/>
                <w:b/>
                <w:bCs/>
                <w:color w:val="auto"/>
                <w:sz w:val="24"/>
                <w:szCs w:val="24"/>
                <w:u w:val="single"/>
                <w:lang w:val="en-US" w:eastAsia="zh-CN"/>
              </w:rPr>
              <w:t>30</w:t>
            </w:r>
            <w:r>
              <w:rPr>
                <w:rFonts w:hint="eastAsia" w:ascii="宋体" w:hAnsi="宋体" w:eastAsia="宋体" w:cs="宋体"/>
                <w:b/>
                <w:bCs/>
                <w:color w:val="auto"/>
                <w:sz w:val="24"/>
                <w:szCs w:val="24"/>
                <w:u w:val="single"/>
                <w:lang w:val="en-US" w:eastAsia="zh-CN"/>
              </w:rPr>
              <w:t>分</w:t>
            </w:r>
            <w:r>
              <w:rPr>
                <w:rFonts w:hint="eastAsia" w:ascii="宋体" w:hAnsi="宋体" w:eastAsia="宋体" w:cs="宋体"/>
                <w:color w:val="auto"/>
                <w:sz w:val="24"/>
                <w:szCs w:val="24"/>
              </w:rPr>
              <w:t>（北京时间）前递交</w:t>
            </w:r>
            <w:r>
              <w:rPr>
                <w:rFonts w:hint="eastAsia" w:ascii="宋体" w:hAnsi="宋体" w:eastAsia="宋体" w:cs="宋体"/>
                <w:color w:val="auto"/>
                <w:sz w:val="24"/>
                <w:szCs w:val="24"/>
                <w:lang w:val="en-US" w:eastAsia="zh-CN"/>
              </w:rPr>
              <w:t>报价</w:t>
            </w:r>
            <w:r>
              <w:rPr>
                <w:rFonts w:hint="eastAsia" w:ascii="宋体" w:hAnsi="宋体" w:eastAsia="宋体" w:cs="宋体"/>
                <w:color w:val="auto"/>
                <w:sz w:val="24"/>
                <w:szCs w:val="24"/>
              </w:rPr>
              <w:t>文件。</w:t>
            </w:r>
          </w:p>
        </w:tc>
      </w:tr>
    </w:tbl>
    <w:p>
      <w:pPr>
        <w:pStyle w:val="3"/>
        <w:ind w:left="0" w:leftChars="0" w:firstLine="0" w:firstLineChars="0"/>
        <w:rPr>
          <w:rFonts w:ascii="仿宋" w:hAnsi="仿宋" w:eastAsia="仿宋" w:cs="仿宋"/>
          <w:color w:val="auto"/>
          <w:kern w:val="28"/>
        </w:rPr>
      </w:pPr>
      <w:r>
        <w:rPr>
          <w:rFonts w:hint="eastAsia" w:ascii="仿宋" w:hAnsi="仿宋" w:eastAsia="仿宋" w:cs="仿宋"/>
          <w:color w:val="auto"/>
        </w:rPr>
        <w:t xml:space="preserve"> </w:t>
      </w:r>
    </w:p>
    <w:p>
      <w:pPr>
        <w:shd w:val="clear" w:color="auto" w:fill="FFFFFF"/>
        <w:snapToGrid w:val="0"/>
        <w:spacing w:line="360" w:lineRule="auto"/>
        <w:rPr>
          <w:rFonts w:hint="default" w:ascii="宋体" w:hAnsi="宋体" w:eastAsia="宋体" w:cs="Times New Roman"/>
          <w:b/>
          <w:color w:val="auto"/>
          <w:sz w:val="28"/>
          <w:szCs w:val="28"/>
          <w:lang w:val="en-US" w:eastAsia="zh-CN"/>
        </w:rPr>
      </w:pPr>
      <w:r>
        <w:rPr>
          <w:rFonts w:hint="eastAsia" w:ascii="宋体" w:hAnsi="宋体" w:eastAsia="宋体" w:cs="Times New Roman"/>
          <w:b/>
          <w:color w:val="auto"/>
          <w:sz w:val="28"/>
          <w:szCs w:val="28"/>
          <w:lang w:val="en-US" w:eastAsia="zh-CN"/>
        </w:rPr>
        <w:t>一、项目基本情况</w:t>
      </w:r>
    </w:p>
    <w:p>
      <w:pPr>
        <w:pStyle w:val="127"/>
        <w:spacing w:after="0" w:line="360" w:lineRule="auto"/>
        <w:ind w:firstLine="480" w:firstLineChars="200"/>
        <w:jc w:val="left"/>
        <w:rPr>
          <w:color w:val="auto"/>
          <w:sz w:val="24"/>
          <w:lang w:val="en-US" w:eastAsia="zh-CN"/>
        </w:rPr>
      </w:pPr>
      <w:r>
        <w:rPr>
          <w:rFonts w:hint="eastAsia"/>
          <w:color w:val="auto"/>
          <w:sz w:val="24"/>
        </w:rPr>
        <w:t>项目编号</w:t>
      </w:r>
      <w:r>
        <w:rPr>
          <w:rFonts w:hint="eastAsia"/>
          <w:color w:val="auto"/>
          <w:sz w:val="24"/>
          <w:lang w:eastAsia="zh-CN"/>
        </w:rPr>
        <w:t>：HNZH-2021-318</w:t>
      </w:r>
      <w:r>
        <w:rPr>
          <w:rFonts w:hint="eastAsia"/>
          <w:color w:val="auto"/>
          <w:sz w:val="24"/>
          <w:lang w:val="en-US" w:eastAsia="zh-CN"/>
        </w:rPr>
        <w:t xml:space="preserve"> </w:t>
      </w:r>
    </w:p>
    <w:p>
      <w:pPr>
        <w:snapToGrid w:val="0"/>
        <w:spacing w:line="360" w:lineRule="auto"/>
        <w:ind w:right="-115" w:rightChars="-55" w:firstLine="480" w:firstLineChars="200"/>
        <w:rPr>
          <w:rFonts w:hint="eastAsia" w:ascii="宋体" w:hAnsi="宋体" w:cs="宋体"/>
          <w:color w:val="auto"/>
          <w:sz w:val="24"/>
          <w:lang w:val="en-US" w:eastAsia="zh-CN"/>
        </w:rPr>
      </w:pPr>
      <w:r>
        <w:rPr>
          <w:rFonts w:hint="eastAsia" w:ascii="宋体" w:hAnsi="宋体" w:cs="宋体"/>
          <w:color w:val="auto"/>
          <w:sz w:val="24"/>
        </w:rPr>
        <w:t>项目名称：设施设备采购</w:t>
      </w:r>
      <w:r>
        <w:rPr>
          <w:rFonts w:hint="eastAsia" w:ascii="宋体" w:hAnsi="宋体" w:cs="宋体"/>
          <w:color w:val="auto"/>
          <w:sz w:val="24"/>
          <w:lang w:val="en-US" w:eastAsia="zh-CN"/>
        </w:rPr>
        <w:t xml:space="preserve"> </w:t>
      </w:r>
    </w:p>
    <w:p>
      <w:pPr>
        <w:snapToGrid w:val="0"/>
        <w:spacing w:line="360" w:lineRule="auto"/>
        <w:ind w:right="-115" w:rightChars="-55"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采购方式：竞争性谈判</w:t>
      </w:r>
    </w:p>
    <w:p>
      <w:pPr>
        <w:pStyle w:val="127"/>
        <w:spacing w:after="0" w:line="360" w:lineRule="auto"/>
        <w:ind w:firstLine="480" w:firstLineChars="200"/>
        <w:jc w:val="left"/>
        <w:rPr>
          <w:rFonts w:hint="default"/>
          <w:color w:val="auto"/>
          <w:sz w:val="24"/>
          <w:lang w:val="en-US" w:eastAsia="zh-CN"/>
        </w:rPr>
      </w:pPr>
      <w:r>
        <w:rPr>
          <w:rFonts w:hint="eastAsia"/>
          <w:color w:val="auto"/>
          <w:sz w:val="24"/>
        </w:rPr>
        <w:t>预算金额：</w:t>
      </w:r>
      <w:r>
        <w:rPr>
          <w:rFonts w:hint="eastAsia" w:cs="宋体"/>
          <w:color w:val="auto"/>
          <w:kern w:val="28"/>
          <w:sz w:val="24"/>
          <w:lang w:val="en-US" w:eastAsia="zh-CN"/>
        </w:rPr>
        <w:t>189.4258</w:t>
      </w:r>
      <w:r>
        <w:rPr>
          <w:rFonts w:hint="eastAsia"/>
          <w:color w:val="auto"/>
          <w:sz w:val="24"/>
          <w:lang w:val="en-US" w:eastAsia="zh-CN"/>
        </w:rPr>
        <w:t>万元。</w:t>
      </w:r>
    </w:p>
    <w:p>
      <w:pPr>
        <w:pStyle w:val="127"/>
        <w:spacing w:after="0" w:line="360" w:lineRule="auto"/>
        <w:ind w:firstLine="480" w:firstLineChars="200"/>
        <w:jc w:val="left"/>
        <w:rPr>
          <w:rFonts w:hint="eastAsia"/>
          <w:color w:val="auto"/>
          <w:sz w:val="24"/>
          <w:lang w:val="en-US" w:eastAsia="zh-CN"/>
        </w:rPr>
      </w:pPr>
      <w:r>
        <w:rPr>
          <w:rFonts w:hint="eastAsia"/>
          <w:color w:val="auto"/>
          <w:sz w:val="24"/>
          <w:lang w:val="en-US" w:eastAsia="zh-CN"/>
        </w:rPr>
        <w:t>最高限价：</w:t>
      </w:r>
      <w:r>
        <w:rPr>
          <w:rFonts w:hint="eastAsia" w:cs="宋体"/>
          <w:color w:val="auto"/>
          <w:kern w:val="28"/>
          <w:sz w:val="24"/>
          <w:lang w:val="en-US" w:eastAsia="zh-CN"/>
        </w:rPr>
        <w:t>189.4258</w:t>
      </w:r>
      <w:r>
        <w:rPr>
          <w:rFonts w:hint="eastAsia"/>
          <w:color w:val="auto"/>
          <w:sz w:val="24"/>
          <w:lang w:val="en-US" w:eastAsia="zh-CN"/>
        </w:rPr>
        <w:t>万元。</w:t>
      </w:r>
    </w:p>
    <w:p>
      <w:pPr>
        <w:pStyle w:val="127"/>
        <w:spacing w:after="0" w:line="360" w:lineRule="auto"/>
        <w:ind w:firstLine="480" w:firstLineChars="200"/>
        <w:jc w:val="left"/>
        <w:rPr>
          <w:rFonts w:hint="eastAsia"/>
          <w:color w:val="auto"/>
          <w:sz w:val="24"/>
          <w:lang w:val="en-US" w:eastAsia="zh-CN"/>
        </w:rPr>
      </w:pPr>
      <w:r>
        <w:rPr>
          <w:rFonts w:hint="eastAsia"/>
          <w:color w:val="auto"/>
          <w:sz w:val="24"/>
          <w:lang w:eastAsia="zh-CN"/>
        </w:rPr>
        <w:t>采</w:t>
      </w:r>
      <w:r>
        <w:rPr>
          <w:rFonts w:hint="eastAsia"/>
          <w:color w:val="auto"/>
          <w:sz w:val="24"/>
        </w:rPr>
        <w:t>购需求：</w:t>
      </w:r>
      <w:r>
        <w:rPr>
          <w:rFonts w:hint="eastAsia"/>
          <w:color w:val="auto"/>
          <w:sz w:val="24"/>
          <w:lang w:val="en-US" w:eastAsia="zh-CN"/>
        </w:rPr>
        <w:t>详见第三章“用户需求书”</w:t>
      </w:r>
    </w:p>
    <w:p>
      <w:pPr>
        <w:spacing w:line="360" w:lineRule="auto"/>
        <w:ind w:left="479" w:leftChars="228" w:firstLine="0" w:firstLineChars="0"/>
        <w:rPr>
          <w:rFonts w:hint="eastAsia" w:ascii="宋体" w:hAnsi="宋体" w:eastAsia="宋体" w:cs="宋体"/>
          <w:color w:val="auto"/>
          <w:sz w:val="24"/>
          <w:shd w:val="clear" w:color="auto" w:fill="000000"/>
          <w:lang w:eastAsia="zh-CN"/>
        </w:rPr>
      </w:pPr>
      <w:r>
        <w:rPr>
          <w:rFonts w:hint="eastAsia" w:ascii="宋体" w:hAnsi="宋体" w:cs="宋体"/>
          <w:color w:val="auto"/>
          <w:sz w:val="24"/>
        </w:rPr>
        <w:t>合同履行期限：</w:t>
      </w:r>
      <w:r>
        <w:rPr>
          <w:rFonts w:hint="eastAsia" w:ascii="宋体" w:hAnsi="宋体" w:cs="宋体"/>
          <w:color w:val="auto"/>
          <w:sz w:val="24"/>
          <w:lang w:eastAsia="zh-CN"/>
        </w:rPr>
        <w:t>签订合同之日起</w:t>
      </w:r>
      <w:r>
        <w:rPr>
          <w:rFonts w:hint="eastAsia" w:ascii="宋体" w:hAnsi="宋体" w:cs="宋体"/>
          <w:color w:val="auto"/>
          <w:sz w:val="24"/>
          <w:lang w:val="en-US" w:eastAsia="zh-CN"/>
        </w:rPr>
        <w:t>50天</w:t>
      </w:r>
      <w:r>
        <w:rPr>
          <w:rFonts w:hint="eastAsia" w:ascii="宋体" w:hAnsi="宋体"/>
          <w:b w:val="0"/>
          <w:bCs w:val="0"/>
          <w:color w:val="auto"/>
          <w:sz w:val="24"/>
          <w:lang w:val="en-US" w:eastAsia="zh-CN"/>
        </w:rPr>
        <w:t xml:space="preserve"> </w:t>
      </w:r>
    </w:p>
    <w:p>
      <w:pPr>
        <w:pStyle w:val="127"/>
        <w:spacing w:after="0" w:line="360" w:lineRule="auto"/>
        <w:ind w:firstLine="480" w:firstLineChars="200"/>
        <w:jc w:val="left"/>
        <w:rPr>
          <w:rFonts w:hint="eastAsia"/>
          <w:color w:val="auto"/>
          <w:sz w:val="24"/>
          <w:lang w:eastAsia="zh-CN"/>
        </w:rPr>
      </w:pPr>
      <w:r>
        <w:rPr>
          <w:rFonts w:hint="eastAsia"/>
          <w:color w:val="auto"/>
          <w:sz w:val="24"/>
        </w:rPr>
        <w:t>本项目（是/否）接受联合体</w:t>
      </w:r>
      <w:r>
        <w:rPr>
          <w:rFonts w:hint="eastAsia"/>
          <w:color w:val="auto"/>
          <w:sz w:val="24"/>
          <w:lang w:eastAsia="zh-CN"/>
        </w:rPr>
        <w:t>：</w:t>
      </w:r>
      <w:r>
        <w:rPr>
          <w:rFonts w:hint="eastAsia"/>
          <w:color w:val="auto"/>
          <w:sz w:val="24"/>
        </w:rPr>
        <w:t>否</w:t>
      </w:r>
      <w:r>
        <w:rPr>
          <w:rFonts w:hint="eastAsia"/>
          <w:color w:val="auto"/>
          <w:sz w:val="24"/>
          <w:lang w:eastAsia="zh-CN"/>
        </w:rPr>
        <w:t>。</w:t>
      </w:r>
    </w:p>
    <w:p>
      <w:pPr>
        <w:pStyle w:val="127"/>
        <w:spacing w:after="0" w:line="360" w:lineRule="auto"/>
        <w:ind w:firstLine="480" w:firstLineChars="200"/>
        <w:jc w:val="left"/>
        <w:rPr>
          <w:rFonts w:hint="default"/>
          <w:color w:val="auto"/>
          <w:sz w:val="24"/>
          <w:lang w:val="en-US" w:eastAsia="zh-CN"/>
        </w:rPr>
      </w:pPr>
      <w:r>
        <w:rPr>
          <w:rFonts w:hint="eastAsia"/>
          <w:color w:val="auto"/>
          <w:sz w:val="24"/>
          <w:lang w:val="en-US" w:eastAsia="zh-CN"/>
        </w:rPr>
        <w:t>所属行业：零售业</w:t>
      </w:r>
    </w:p>
    <w:p>
      <w:pPr>
        <w:pStyle w:val="127"/>
        <w:tabs>
          <w:tab w:val="left" w:pos="998"/>
        </w:tabs>
        <w:spacing w:after="0" w:line="360" w:lineRule="auto"/>
        <w:ind w:firstLine="0"/>
        <w:jc w:val="left"/>
        <w:rPr>
          <w:rFonts w:hint="eastAsia"/>
          <w:b/>
          <w:bCs/>
          <w:color w:val="auto"/>
          <w:sz w:val="28"/>
          <w:szCs w:val="28"/>
        </w:rPr>
      </w:pPr>
      <w:bookmarkStart w:id="2" w:name="bookmark47"/>
      <w:bookmarkStart w:id="3" w:name="_Toc28917"/>
      <w:bookmarkStart w:id="4" w:name="_Toc433126979"/>
      <w:r>
        <w:rPr>
          <w:rFonts w:hint="eastAsia"/>
          <w:b/>
          <w:bCs/>
          <w:color w:val="auto"/>
          <w:sz w:val="28"/>
          <w:szCs w:val="28"/>
        </w:rPr>
        <w:t>二</w:t>
      </w:r>
      <w:bookmarkEnd w:id="2"/>
      <w:r>
        <w:rPr>
          <w:rFonts w:hint="eastAsia"/>
          <w:b/>
          <w:bCs/>
          <w:color w:val="auto"/>
          <w:sz w:val="28"/>
          <w:szCs w:val="28"/>
        </w:rPr>
        <w:t>、申请人的资格要求：</w:t>
      </w:r>
    </w:p>
    <w:p>
      <w:pPr>
        <w:pStyle w:val="127"/>
        <w:tabs>
          <w:tab w:val="left" w:pos="1317"/>
        </w:tabs>
        <w:spacing w:after="0" w:line="360" w:lineRule="auto"/>
        <w:ind w:firstLine="480" w:firstLineChars="200"/>
        <w:jc w:val="left"/>
        <w:rPr>
          <w:rFonts w:hint="eastAsia"/>
          <w:color w:val="auto"/>
          <w:sz w:val="24"/>
        </w:rPr>
      </w:pPr>
      <w:bookmarkStart w:id="5" w:name="bookmark48"/>
      <w:bookmarkEnd w:id="5"/>
      <w:r>
        <w:rPr>
          <w:rFonts w:hint="eastAsia"/>
          <w:color w:val="auto"/>
          <w:sz w:val="24"/>
          <w:lang w:val="en-US" w:eastAsia="zh-CN"/>
        </w:rPr>
        <w:t>1.</w:t>
      </w:r>
      <w:r>
        <w:rPr>
          <w:rFonts w:hint="eastAsia"/>
          <w:color w:val="auto"/>
          <w:sz w:val="24"/>
        </w:rPr>
        <w:t>满足《中华人民共和国政府采购法》第二十二条规定；</w:t>
      </w:r>
    </w:p>
    <w:p>
      <w:pPr>
        <w:pStyle w:val="127"/>
        <w:spacing w:after="0" w:line="360" w:lineRule="auto"/>
        <w:ind w:firstLine="480" w:firstLineChars="200"/>
        <w:rPr>
          <w:rFonts w:hint="eastAsia"/>
          <w:color w:val="auto"/>
          <w:sz w:val="24"/>
          <w:lang w:val="en-US" w:eastAsia="zh-CN"/>
        </w:rPr>
      </w:pPr>
      <w:bookmarkStart w:id="6" w:name="bookmark49"/>
      <w:bookmarkEnd w:id="6"/>
      <w:r>
        <w:rPr>
          <w:rFonts w:hint="eastAsia"/>
          <w:color w:val="auto"/>
          <w:sz w:val="24"/>
          <w:lang w:val="en-US" w:eastAsia="zh-CN"/>
        </w:rPr>
        <w:t>2.</w:t>
      </w:r>
      <w:r>
        <w:rPr>
          <w:rFonts w:hint="eastAsia"/>
          <w:color w:val="auto"/>
          <w:sz w:val="24"/>
        </w:rPr>
        <w:t>落实政府</w:t>
      </w:r>
      <w:r>
        <w:rPr>
          <w:rFonts w:hint="eastAsia"/>
          <w:color w:val="auto"/>
          <w:sz w:val="24"/>
          <w:lang w:eastAsia="zh-CN"/>
        </w:rPr>
        <w:t>采</w:t>
      </w:r>
      <w:r>
        <w:rPr>
          <w:rFonts w:hint="eastAsia"/>
          <w:color w:val="auto"/>
          <w:sz w:val="24"/>
        </w:rPr>
        <w:t>购政策需满足的</w:t>
      </w:r>
      <w:r>
        <w:rPr>
          <w:rFonts w:hint="eastAsia"/>
          <w:color w:val="auto"/>
          <w:sz w:val="24"/>
          <w:lang w:val="en-US" w:eastAsia="zh-CN"/>
        </w:rPr>
        <w:t>资</w:t>
      </w:r>
      <w:r>
        <w:rPr>
          <w:rFonts w:hint="eastAsia"/>
          <w:color w:val="auto"/>
          <w:sz w:val="24"/>
        </w:rPr>
        <w:t>格要求：</w:t>
      </w:r>
      <w:r>
        <w:rPr>
          <w:rFonts w:hint="eastAsia"/>
          <w:color w:val="auto"/>
          <w:sz w:val="24"/>
          <w:u w:val="single"/>
          <w:lang w:val="en-US" w:eastAsia="zh-CN"/>
        </w:rPr>
        <w:t>无</w:t>
      </w:r>
    </w:p>
    <w:p>
      <w:pPr>
        <w:pStyle w:val="127"/>
        <w:spacing w:after="0" w:line="360" w:lineRule="auto"/>
        <w:ind w:firstLine="480" w:firstLineChars="200"/>
        <w:jc w:val="left"/>
        <w:rPr>
          <w:rFonts w:hint="eastAsia"/>
          <w:color w:val="auto"/>
          <w:sz w:val="24"/>
          <w:lang w:eastAsia="zh-CN"/>
        </w:rPr>
      </w:pPr>
      <w:bookmarkStart w:id="7" w:name="bookmark50"/>
      <w:bookmarkEnd w:id="7"/>
      <w:r>
        <w:rPr>
          <w:rFonts w:hint="eastAsia"/>
          <w:color w:val="auto"/>
          <w:sz w:val="24"/>
          <w:lang w:val="en-US" w:eastAsia="zh-CN"/>
        </w:rPr>
        <w:t>3.</w:t>
      </w:r>
      <w:r>
        <w:rPr>
          <w:rFonts w:hint="eastAsia"/>
          <w:color w:val="auto"/>
          <w:sz w:val="24"/>
        </w:rPr>
        <w:t>本项目的特定资格要求：</w:t>
      </w:r>
      <w:r>
        <w:rPr>
          <w:rFonts w:hint="eastAsia"/>
          <w:color w:val="auto"/>
          <w:sz w:val="24"/>
          <w:u w:val="single"/>
          <w:lang w:val="en-US" w:eastAsia="zh-CN"/>
        </w:rPr>
        <w:t>（1）在中华人民共和国注册，具有独立承担民事责任能力（需提供营业执照、税务登记证、组织机构代码证复印件，或者三证合一复印件）；（2）具有良好的商业信誉和健全的财务会计制度（需提供2021年任意一个月的财务报表或</w:t>
      </w:r>
      <w:r>
        <w:rPr>
          <w:rFonts w:hint="eastAsia" w:ascii="宋体" w:hAnsi="宋体" w:eastAsia="宋体" w:cs="宋体"/>
          <w:color w:val="auto"/>
          <w:spacing w:val="0"/>
          <w:w w:val="100"/>
          <w:position w:val="0"/>
          <w:sz w:val="24"/>
          <w:szCs w:val="24"/>
          <w:u w:val="single"/>
          <w:lang w:val="en-US" w:eastAsia="zh-CN"/>
        </w:rPr>
        <w:t>会计师事务所出具</w:t>
      </w:r>
      <w:r>
        <w:rPr>
          <w:rFonts w:hint="eastAsia" w:cs="宋体"/>
          <w:color w:val="auto"/>
          <w:spacing w:val="0"/>
          <w:w w:val="100"/>
          <w:position w:val="0"/>
          <w:sz w:val="24"/>
          <w:szCs w:val="24"/>
          <w:u w:val="single"/>
          <w:lang w:val="en-US" w:eastAsia="zh-CN"/>
        </w:rPr>
        <w:t>2020</w:t>
      </w:r>
      <w:r>
        <w:rPr>
          <w:rFonts w:hint="eastAsia" w:ascii="宋体" w:hAnsi="宋体" w:eastAsia="宋体" w:cs="宋体"/>
          <w:color w:val="auto"/>
          <w:spacing w:val="0"/>
          <w:w w:val="100"/>
          <w:position w:val="0"/>
          <w:sz w:val="24"/>
          <w:szCs w:val="24"/>
          <w:u w:val="single"/>
          <w:lang w:val="en-US" w:eastAsia="zh-CN"/>
        </w:rPr>
        <w:t>年度财务审计报告</w:t>
      </w:r>
      <w:r>
        <w:rPr>
          <w:rFonts w:hint="eastAsia"/>
          <w:color w:val="auto"/>
          <w:sz w:val="24"/>
          <w:u w:val="single"/>
          <w:lang w:val="en-US" w:eastAsia="zh-CN"/>
        </w:rPr>
        <w:t>复印件）（3）具有依法缴纳税收的良好记录（</w:t>
      </w:r>
      <w:r>
        <w:rPr>
          <w:rFonts w:hint="eastAsia" w:ascii="宋体" w:hAnsi="宋体" w:eastAsia="宋体" w:cs="宋体"/>
          <w:color w:val="auto"/>
          <w:spacing w:val="0"/>
          <w:w w:val="100"/>
          <w:position w:val="0"/>
          <w:sz w:val="24"/>
          <w:szCs w:val="24"/>
          <w:u w:val="single"/>
          <w:lang w:val="en-US" w:eastAsia="zh-CN"/>
        </w:rPr>
        <w:t>需提供</w:t>
      </w:r>
      <w:r>
        <w:rPr>
          <w:rFonts w:hint="eastAsia" w:cs="宋体"/>
          <w:color w:val="auto"/>
          <w:spacing w:val="0"/>
          <w:w w:val="100"/>
          <w:position w:val="0"/>
          <w:sz w:val="24"/>
          <w:szCs w:val="24"/>
          <w:u w:val="single"/>
          <w:lang w:val="en-US" w:eastAsia="zh-CN"/>
        </w:rPr>
        <w:t>2021</w:t>
      </w:r>
      <w:r>
        <w:rPr>
          <w:rFonts w:hint="eastAsia" w:ascii="宋体" w:hAnsi="宋体" w:eastAsia="宋体" w:cs="宋体"/>
          <w:color w:val="auto"/>
          <w:spacing w:val="0"/>
          <w:w w:val="100"/>
          <w:position w:val="0"/>
          <w:sz w:val="24"/>
          <w:szCs w:val="24"/>
          <w:u w:val="single"/>
          <w:lang w:val="en-US" w:eastAsia="zh-CN"/>
        </w:rPr>
        <w:t>年内任意</w:t>
      </w:r>
      <w:r>
        <w:rPr>
          <w:rFonts w:hint="eastAsia" w:cs="宋体"/>
          <w:color w:val="auto"/>
          <w:spacing w:val="0"/>
          <w:w w:val="100"/>
          <w:position w:val="0"/>
          <w:sz w:val="24"/>
          <w:szCs w:val="24"/>
          <w:u w:val="single"/>
          <w:lang w:val="en-US" w:eastAsia="zh-CN"/>
        </w:rPr>
        <w:t>1</w:t>
      </w:r>
      <w:r>
        <w:rPr>
          <w:rFonts w:hint="eastAsia" w:ascii="宋体" w:hAnsi="宋体" w:eastAsia="宋体" w:cs="宋体"/>
          <w:color w:val="auto"/>
          <w:spacing w:val="0"/>
          <w:w w:val="100"/>
          <w:position w:val="0"/>
          <w:sz w:val="24"/>
          <w:szCs w:val="24"/>
          <w:u w:val="single"/>
          <w:lang w:val="en-US" w:eastAsia="zh-CN"/>
        </w:rPr>
        <w:t>个月的纳税证明</w:t>
      </w:r>
      <w:r>
        <w:rPr>
          <w:rFonts w:hint="eastAsia" w:cs="宋体"/>
          <w:color w:val="auto"/>
          <w:spacing w:val="0"/>
          <w:w w:val="100"/>
          <w:position w:val="0"/>
          <w:sz w:val="24"/>
          <w:szCs w:val="24"/>
          <w:u w:val="single"/>
          <w:lang w:val="en-US" w:eastAsia="zh-CN"/>
        </w:rPr>
        <w:t>复印件</w:t>
      </w:r>
      <w:r>
        <w:rPr>
          <w:rFonts w:hint="eastAsia"/>
          <w:color w:val="auto"/>
          <w:sz w:val="24"/>
          <w:u w:val="single"/>
          <w:lang w:val="en-US" w:eastAsia="zh-CN"/>
        </w:rPr>
        <w:t>）；（4）具有依法缴纳社会保障资金的良好记录（需提供2021</w:t>
      </w:r>
      <w:r>
        <w:rPr>
          <w:rFonts w:hint="eastAsia" w:ascii="宋体" w:hAnsi="宋体" w:eastAsia="宋体" w:cs="宋体"/>
          <w:color w:val="auto"/>
          <w:spacing w:val="0"/>
          <w:w w:val="100"/>
          <w:position w:val="0"/>
          <w:sz w:val="24"/>
          <w:szCs w:val="24"/>
          <w:u w:val="single"/>
          <w:lang w:val="en-US" w:eastAsia="zh-CN"/>
        </w:rPr>
        <w:t>年</w:t>
      </w:r>
      <w:r>
        <w:rPr>
          <w:rFonts w:hint="eastAsia"/>
          <w:color w:val="auto"/>
          <w:sz w:val="24"/>
          <w:u w:val="single"/>
          <w:lang w:val="en-US" w:eastAsia="zh-CN"/>
        </w:rPr>
        <w:t>内任意1个月的社保缴费记录复印件）；（5）参加政府采购活动前三年内，在经营活动中没有重大违法记录（提供声明函）；</w:t>
      </w:r>
      <w:r>
        <w:rPr>
          <w:rFonts w:hint="eastAsia"/>
          <w:color w:val="auto"/>
          <w:sz w:val="24"/>
          <w:u w:val="single"/>
          <w:shd w:val="clear" w:color="auto" w:fill="auto"/>
          <w:lang w:val="en-US" w:eastAsia="zh-CN"/>
        </w:rPr>
        <w:t>（6）</w:t>
      </w:r>
      <w:r>
        <w:rPr>
          <w:rFonts w:hint="eastAsia" w:cs="宋体"/>
          <w:color w:val="auto"/>
          <w:spacing w:val="0"/>
          <w:w w:val="100"/>
          <w:position w:val="0"/>
          <w:sz w:val="24"/>
          <w:szCs w:val="24"/>
          <w:u w:val="single"/>
          <w:lang w:val="en-US" w:eastAsia="zh-CN"/>
        </w:rPr>
        <w:t>具备《中华人民共和国政府采购法》第二十二条规定的条件（提供承诺书）。</w:t>
      </w:r>
    </w:p>
    <w:bookmarkEnd w:id="3"/>
    <w:bookmarkEnd w:id="4"/>
    <w:p>
      <w:pPr>
        <w:pStyle w:val="127"/>
        <w:tabs>
          <w:tab w:val="left" w:pos="1018"/>
        </w:tabs>
        <w:spacing w:after="0" w:line="360" w:lineRule="auto"/>
        <w:ind w:firstLine="0"/>
        <w:jc w:val="left"/>
        <w:rPr>
          <w:rFonts w:hint="eastAsia"/>
          <w:b/>
          <w:bCs/>
          <w:color w:val="auto"/>
          <w:sz w:val="28"/>
          <w:szCs w:val="28"/>
        </w:rPr>
      </w:pPr>
      <w:bookmarkStart w:id="8" w:name="bookmark51"/>
      <w:r>
        <w:rPr>
          <w:rFonts w:hint="eastAsia"/>
          <w:b/>
          <w:bCs/>
          <w:color w:val="auto"/>
          <w:sz w:val="28"/>
          <w:szCs w:val="28"/>
        </w:rPr>
        <w:t>三</w:t>
      </w:r>
      <w:bookmarkEnd w:id="8"/>
      <w:r>
        <w:rPr>
          <w:rFonts w:hint="eastAsia"/>
          <w:b/>
          <w:bCs/>
          <w:color w:val="auto"/>
          <w:sz w:val="28"/>
          <w:szCs w:val="28"/>
        </w:rPr>
        <w:t>、获取采购文件</w:t>
      </w:r>
    </w:p>
    <w:p>
      <w:pPr>
        <w:pStyle w:val="127"/>
        <w:tabs>
          <w:tab w:val="left" w:pos="1018"/>
        </w:tabs>
        <w:spacing w:after="0" w:line="360" w:lineRule="auto"/>
        <w:ind w:firstLine="480" w:firstLineChars="200"/>
        <w:jc w:val="left"/>
        <w:rPr>
          <w:rFonts w:hint="eastAsia"/>
          <w:color w:val="auto"/>
          <w:sz w:val="24"/>
          <w:lang w:eastAsia="zh-CN"/>
        </w:rPr>
      </w:pPr>
      <w:r>
        <w:rPr>
          <w:rFonts w:hint="eastAsia"/>
          <w:color w:val="auto"/>
          <w:sz w:val="24"/>
        </w:rPr>
        <w:t>时间：</w:t>
      </w:r>
      <w:r>
        <w:rPr>
          <w:rFonts w:hint="eastAsia"/>
          <w:color w:val="auto"/>
          <w:sz w:val="24"/>
          <w:u w:val="single"/>
          <w:lang w:val="en-US" w:eastAsia="zh-CN"/>
        </w:rPr>
        <w:t xml:space="preserve"> 2021</w:t>
      </w:r>
      <w:r>
        <w:rPr>
          <w:rFonts w:hint="eastAsia"/>
          <w:color w:val="auto"/>
          <w:sz w:val="24"/>
          <w:u w:val="single"/>
        </w:rPr>
        <w:t>年</w:t>
      </w:r>
      <w:r>
        <w:rPr>
          <w:rFonts w:hint="eastAsia"/>
          <w:color w:val="auto"/>
          <w:sz w:val="24"/>
          <w:u w:val="single"/>
          <w:lang w:val="en-US" w:eastAsia="zh-CN"/>
        </w:rPr>
        <w:t>12</w:t>
      </w:r>
      <w:r>
        <w:rPr>
          <w:rFonts w:hint="eastAsia"/>
          <w:color w:val="auto"/>
          <w:sz w:val="24"/>
          <w:u w:val="single"/>
        </w:rPr>
        <w:t>月</w:t>
      </w:r>
      <w:r>
        <w:rPr>
          <w:rFonts w:hint="eastAsia"/>
          <w:color w:val="auto"/>
          <w:sz w:val="24"/>
          <w:u w:val="single"/>
          <w:lang w:val="en-US" w:eastAsia="zh-CN"/>
        </w:rPr>
        <w:t>28</w:t>
      </w:r>
      <w:r>
        <w:rPr>
          <w:rFonts w:hint="eastAsia"/>
          <w:color w:val="auto"/>
          <w:sz w:val="24"/>
          <w:u w:val="single"/>
        </w:rPr>
        <w:t>日</w:t>
      </w:r>
      <w:r>
        <w:rPr>
          <w:rFonts w:hint="eastAsia"/>
          <w:color w:val="auto"/>
          <w:sz w:val="24"/>
        </w:rPr>
        <w:t>至</w:t>
      </w:r>
      <w:r>
        <w:rPr>
          <w:rFonts w:hint="eastAsia"/>
          <w:color w:val="auto"/>
          <w:sz w:val="24"/>
          <w:u w:val="single"/>
        </w:rPr>
        <w:t xml:space="preserve"> </w:t>
      </w:r>
      <w:r>
        <w:rPr>
          <w:rFonts w:hint="eastAsia"/>
          <w:color w:val="auto"/>
          <w:sz w:val="24"/>
          <w:u w:val="single"/>
          <w:lang w:val="en-US" w:eastAsia="zh-CN"/>
        </w:rPr>
        <w:t>2021</w:t>
      </w:r>
      <w:r>
        <w:rPr>
          <w:rFonts w:hint="eastAsia"/>
          <w:color w:val="auto"/>
          <w:sz w:val="24"/>
          <w:u w:val="single"/>
        </w:rPr>
        <w:t>年</w:t>
      </w:r>
      <w:r>
        <w:rPr>
          <w:rFonts w:hint="eastAsia"/>
          <w:color w:val="auto"/>
          <w:sz w:val="24"/>
          <w:u w:val="single"/>
          <w:lang w:val="en-US" w:eastAsia="zh-CN"/>
        </w:rPr>
        <w:t>12</w:t>
      </w:r>
      <w:r>
        <w:rPr>
          <w:rFonts w:hint="eastAsia"/>
          <w:color w:val="auto"/>
          <w:sz w:val="24"/>
          <w:u w:val="single"/>
        </w:rPr>
        <w:t>月</w:t>
      </w:r>
      <w:r>
        <w:rPr>
          <w:rFonts w:hint="eastAsia"/>
          <w:color w:val="auto"/>
          <w:sz w:val="24"/>
          <w:u w:val="single"/>
          <w:lang w:val="en-US" w:eastAsia="zh-CN"/>
        </w:rPr>
        <w:t>30</w:t>
      </w:r>
      <w:r>
        <w:rPr>
          <w:rFonts w:hint="eastAsia"/>
          <w:color w:val="auto"/>
          <w:sz w:val="24"/>
          <w:u w:val="single"/>
        </w:rPr>
        <w:t>日</w:t>
      </w:r>
      <w:r>
        <w:rPr>
          <w:rFonts w:hint="eastAsia"/>
          <w:color w:val="auto"/>
          <w:sz w:val="24"/>
        </w:rPr>
        <w:t>,每天上午</w:t>
      </w:r>
      <w:r>
        <w:rPr>
          <w:rFonts w:hint="eastAsia"/>
          <w:color w:val="auto"/>
          <w:sz w:val="24"/>
          <w:u w:val="single"/>
          <w:lang w:val="en-US" w:eastAsia="zh-CN"/>
        </w:rPr>
        <w:t xml:space="preserve"> 08：30 </w:t>
      </w:r>
      <w:r>
        <w:rPr>
          <w:rFonts w:hint="eastAsia"/>
          <w:color w:val="auto"/>
          <w:sz w:val="24"/>
        </w:rPr>
        <w:t>至</w:t>
      </w:r>
      <w:r>
        <w:rPr>
          <w:rFonts w:hint="eastAsia"/>
          <w:color w:val="auto"/>
          <w:sz w:val="24"/>
          <w:u w:val="single"/>
          <w:lang w:val="en-US" w:eastAsia="zh-CN"/>
        </w:rPr>
        <w:t xml:space="preserve"> 12：00 </w:t>
      </w:r>
      <w:r>
        <w:rPr>
          <w:rFonts w:hint="eastAsia"/>
          <w:color w:val="auto"/>
          <w:sz w:val="24"/>
          <w:lang w:val="en-US" w:eastAsia="zh-CN"/>
        </w:rPr>
        <w:t>，</w:t>
      </w:r>
      <w:r>
        <w:rPr>
          <w:rFonts w:hint="eastAsia"/>
          <w:color w:val="auto"/>
          <w:sz w:val="24"/>
        </w:rPr>
        <w:t>下午</w:t>
      </w:r>
      <w:r>
        <w:rPr>
          <w:rFonts w:hint="eastAsia"/>
          <w:color w:val="auto"/>
          <w:sz w:val="24"/>
          <w:u w:val="single"/>
          <w:lang w:val="en-US" w:eastAsia="zh-CN"/>
        </w:rPr>
        <w:t xml:space="preserve"> 14：30 </w:t>
      </w:r>
      <w:r>
        <w:rPr>
          <w:rFonts w:hint="eastAsia"/>
          <w:color w:val="auto"/>
          <w:sz w:val="24"/>
        </w:rPr>
        <w:t>至</w:t>
      </w:r>
      <w:r>
        <w:rPr>
          <w:rFonts w:hint="eastAsia"/>
          <w:color w:val="auto"/>
          <w:sz w:val="24"/>
          <w:u w:val="single"/>
          <w:lang w:val="en-US" w:eastAsia="zh-CN"/>
        </w:rPr>
        <w:t xml:space="preserve"> 17：30 </w:t>
      </w:r>
      <w:r>
        <w:rPr>
          <w:rFonts w:hint="eastAsia"/>
          <w:color w:val="auto"/>
          <w:sz w:val="24"/>
        </w:rPr>
        <w:t>（北京时间，法定节假日除外）</w:t>
      </w:r>
    </w:p>
    <w:p>
      <w:pPr>
        <w:pStyle w:val="127"/>
        <w:spacing w:after="0" w:line="360" w:lineRule="auto"/>
        <w:ind w:firstLine="480" w:firstLineChars="200"/>
        <w:jc w:val="left"/>
        <w:rPr>
          <w:rFonts w:hint="eastAsia"/>
          <w:color w:val="auto"/>
          <w:sz w:val="24"/>
        </w:rPr>
      </w:pPr>
      <w:r>
        <w:rPr>
          <w:rFonts w:hint="eastAsia"/>
          <w:color w:val="auto"/>
          <w:sz w:val="24"/>
        </w:rPr>
        <w:t>地点：海口市美兰区五指山路16-3号康业花园西湖苑G栋2A。</w:t>
      </w:r>
    </w:p>
    <w:p>
      <w:pPr>
        <w:pStyle w:val="127"/>
        <w:spacing w:after="0" w:line="360" w:lineRule="auto"/>
        <w:ind w:firstLine="480" w:firstLineChars="200"/>
        <w:jc w:val="left"/>
        <w:rPr>
          <w:rFonts w:hint="eastAsia"/>
          <w:color w:val="auto"/>
          <w:sz w:val="24"/>
          <w:lang w:val="en-US" w:eastAsia="zh-CN"/>
        </w:rPr>
      </w:pPr>
      <w:r>
        <w:rPr>
          <w:rFonts w:hint="eastAsia"/>
          <w:color w:val="auto"/>
          <w:sz w:val="24"/>
        </w:rPr>
        <w:t>方式：</w:t>
      </w:r>
      <w:r>
        <w:rPr>
          <w:rFonts w:hint="eastAsia"/>
          <w:color w:val="auto"/>
          <w:sz w:val="24"/>
          <w:lang w:val="en-US" w:eastAsia="zh-CN"/>
        </w:rPr>
        <w:t>现场购买，</w:t>
      </w:r>
      <w:r>
        <w:rPr>
          <w:rFonts w:hint="eastAsia"/>
          <w:color w:val="auto"/>
          <w:sz w:val="24"/>
        </w:rPr>
        <w:t>购买</w:t>
      </w:r>
      <w:r>
        <w:rPr>
          <w:rFonts w:hint="eastAsia"/>
          <w:color w:val="auto"/>
          <w:sz w:val="24"/>
          <w:lang w:val="en-US" w:eastAsia="zh-CN"/>
        </w:rPr>
        <w:t>竞争性谈判文件</w:t>
      </w:r>
      <w:r>
        <w:rPr>
          <w:rFonts w:hint="eastAsia"/>
          <w:color w:val="auto"/>
          <w:sz w:val="24"/>
        </w:rPr>
        <w:t>时必须</w:t>
      </w:r>
      <w:r>
        <w:rPr>
          <w:rFonts w:hint="eastAsia"/>
          <w:color w:val="auto"/>
          <w:sz w:val="24"/>
          <w:lang w:val="en-US" w:eastAsia="zh-CN"/>
        </w:rPr>
        <w:t>提交以下材料：</w:t>
      </w:r>
    </w:p>
    <w:p>
      <w:pPr>
        <w:pStyle w:val="127"/>
        <w:keepNext w:val="0"/>
        <w:keepLines w:val="0"/>
        <w:widowControl w:val="0"/>
        <w:shd w:val="clear" w:color="auto" w:fill="auto"/>
        <w:bidi w:val="0"/>
        <w:spacing w:before="0" w:after="0" w:line="360" w:lineRule="auto"/>
        <w:ind w:left="0" w:leftChars="0" w:right="0" w:firstLine="480" w:firstLineChars="200"/>
        <w:jc w:val="left"/>
        <w:rPr>
          <w:rFonts w:hint="eastAsia" w:cs="宋体"/>
          <w:color w:val="auto"/>
          <w:sz w:val="24"/>
          <w:szCs w:val="24"/>
          <w:lang w:eastAsia="zh-CN"/>
        </w:rPr>
      </w:pPr>
      <w:r>
        <w:rPr>
          <w:rFonts w:hint="eastAsia" w:cs="宋体"/>
          <w:color w:val="auto"/>
          <w:sz w:val="24"/>
          <w:szCs w:val="24"/>
          <w:lang w:val="en-US" w:eastAsia="zh-CN"/>
        </w:rPr>
        <w:t>（1）</w:t>
      </w:r>
      <w:r>
        <w:rPr>
          <w:rFonts w:hint="eastAsia" w:ascii="宋体" w:hAnsi="宋体" w:eastAsia="宋体" w:cs="宋体"/>
          <w:color w:val="auto"/>
          <w:sz w:val="24"/>
          <w:szCs w:val="24"/>
        </w:rPr>
        <w:t>公司营业执照副本复印件</w:t>
      </w:r>
      <w:r>
        <w:rPr>
          <w:rFonts w:hint="eastAsia" w:cs="宋体"/>
          <w:color w:val="auto"/>
          <w:sz w:val="24"/>
          <w:szCs w:val="24"/>
          <w:lang w:val="en-US" w:eastAsia="zh-CN"/>
        </w:rPr>
        <w:t>加盖公章</w:t>
      </w:r>
      <w:r>
        <w:rPr>
          <w:rFonts w:hint="eastAsia" w:cs="宋体"/>
          <w:color w:val="auto"/>
          <w:sz w:val="24"/>
          <w:szCs w:val="24"/>
          <w:lang w:eastAsia="zh-CN"/>
        </w:rPr>
        <w:t>；</w:t>
      </w:r>
    </w:p>
    <w:p>
      <w:pPr>
        <w:pStyle w:val="127"/>
        <w:keepNext w:val="0"/>
        <w:keepLines w:val="0"/>
        <w:widowControl w:val="0"/>
        <w:shd w:val="clear" w:color="auto" w:fill="auto"/>
        <w:bidi w:val="0"/>
        <w:spacing w:before="0" w:after="0" w:line="360" w:lineRule="auto"/>
        <w:ind w:left="0" w:leftChars="0" w:right="0" w:firstLine="480" w:firstLineChars="200"/>
        <w:jc w:val="left"/>
        <w:rPr>
          <w:rFonts w:hint="eastAsia" w:cs="宋体"/>
          <w:color w:val="auto"/>
          <w:sz w:val="24"/>
          <w:szCs w:val="24"/>
          <w:lang w:val="en-US" w:eastAsia="zh-CN"/>
        </w:rPr>
      </w:pPr>
      <w:r>
        <w:rPr>
          <w:rFonts w:hint="eastAsia" w:cs="宋体"/>
          <w:color w:val="auto"/>
          <w:sz w:val="24"/>
          <w:szCs w:val="24"/>
          <w:lang w:eastAsia="zh-CN"/>
        </w:rPr>
        <w:t>（</w:t>
      </w:r>
      <w:r>
        <w:rPr>
          <w:rFonts w:hint="eastAsia" w:cs="宋体"/>
          <w:color w:val="auto"/>
          <w:sz w:val="24"/>
          <w:szCs w:val="24"/>
          <w:lang w:val="en-US" w:eastAsia="zh-CN"/>
        </w:rPr>
        <w:t>2</w:t>
      </w:r>
      <w:r>
        <w:rPr>
          <w:rFonts w:hint="eastAsia" w:cs="宋体"/>
          <w:color w:val="auto"/>
          <w:sz w:val="24"/>
          <w:szCs w:val="24"/>
          <w:lang w:eastAsia="zh-CN"/>
        </w:rPr>
        <w:t>）</w:t>
      </w:r>
      <w:r>
        <w:rPr>
          <w:rFonts w:hint="eastAsia" w:cs="宋体"/>
          <w:color w:val="auto"/>
          <w:sz w:val="24"/>
          <w:szCs w:val="24"/>
          <w:lang w:val="en-US" w:eastAsia="zh-CN"/>
        </w:rPr>
        <w:t>具</w:t>
      </w:r>
      <w:r>
        <w:rPr>
          <w:rFonts w:hint="eastAsia" w:ascii="宋体" w:hAnsi="宋体" w:eastAsia="宋体" w:cs="宋体"/>
          <w:color w:val="auto"/>
          <w:sz w:val="24"/>
          <w:szCs w:val="24"/>
        </w:rPr>
        <w:t>有法人、</w:t>
      </w:r>
      <w:r>
        <w:rPr>
          <w:rFonts w:hint="eastAsia" w:cs="宋体"/>
          <w:color w:val="auto"/>
          <w:sz w:val="24"/>
          <w:szCs w:val="24"/>
          <w:lang w:val="en-US" w:eastAsia="zh-CN"/>
        </w:rPr>
        <w:t>授权代表签名的</w:t>
      </w:r>
      <w:r>
        <w:rPr>
          <w:rFonts w:hint="eastAsia" w:ascii="宋体" w:hAnsi="宋体" w:eastAsia="宋体" w:cs="宋体"/>
          <w:color w:val="auto"/>
          <w:sz w:val="24"/>
          <w:szCs w:val="24"/>
        </w:rPr>
        <w:t>介绍信或委托函</w:t>
      </w:r>
      <w:r>
        <w:rPr>
          <w:rFonts w:hint="eastAsia" w:cs="宋体"/>
          <w:color w:val="auto"/>
          <w:sz w:val="24"/>
          <w:szCs w:val="24"/>
          <w:lang w:val="en-US" w:eastAsia="zh-CN"/>
        </w:rPr>
        <w:t>加盖公章；</w:t>
      </w:r>
    </w:p>
    <w:p>
      <w:pPr>
        <w:pStyle w:val="127"/>
        <w:keepNext w:val="0"/>
        <w:keepLines w:val="0"/>
        <w:widowControl w:val="0"/>
        <w:shd w:val="clear" w:color="auto" w:fill="auto"/>
        <w:bidi w:val="0"/>
        <w:spacing w:before="0" w:after="0" w:line="360" w:lineRule="auto"/>
        <w:ind w:left="0" w:leftChars="0" w:right="0" w:firstLine="480" w:firstLineChars="200"/>
        <w:jc w:val="left"/>
        <w:rPr>
          <w:rFonts w:hint="eastAsia" w:cs="宋体"/>
          <w:color w:val="auto"/>
          <w:sz w:val="24"/>
          <w:szCs w:val="24"/>
          <w:lang w:val="en-US" w:eastAsia="zh-CN"/>
        </w:rPr>
      </w:pPr>
      <w:r>
        <w:rPr>
          <w:rFonts w:hint="eastAsia" w:cs="宋体"/>
          <w:color w:val="auto"/>
          <w:sz w:val="24"/>
          <w:szCs w:val="24"/>
          <w:lang w:eastAsia="zh-CN"/>
        </w:rPr>
        <w:t>（</w:t>
      </w:r>
      <w:r>
        <w:rPr>
          <w:rFonts w:hint="eastAsia" w:cs="宋体"/>
          <w:color w:val="auto"/>
          <w:sz w:val="24"/>
          <w:szCs w:val="24"/>
          <w:lang w:val="en-US" w:eastAsia="zh-CN"/>
        </w:rPr>
        <w:t>3</w:t>
      </w:r>
      <w:r>
        <w:rPr>
          <w:rFonts w:hint="eastAsia" w:cs="宋体"/>
          <w:color w:val="auto"/>
          <w:sz w:val="24"/>
          <w:szCs w:val="24"/>
          <w:lang w:eastAsia="zh-CN"/>
        </w:rPr>
        <w:t>）</w:t>
      </w:r>
      <w:r>
        <w:rPr>
          <w:rFonts w:hint="eastAsia" w:ascii="宋体" w:hAnsi="宋体" w:eastAsia="宋体" w:cs="宋体"/>
          <w:color w:val="auto"/>
          <w:sz w:val="24"/>
          <w:szCs w:val="24"/>
        </w:rPr>
        <w:t>法人身份证复印件</w:t>
      </w:r>
      <w:r>
        <w:rPr>
          <w:rFonts w:hint="eastAsia" w:cs="宋体"/>
          <w:color w:val="auto"/>
          <w:sz w:val="24"/>
          <w:szCs w:val="24"/>
          <w:lang w:val="en-US" w:eastAsia="zh-CN"/>
        </w:rPr>
        <w:t>加盖公章；</w:t>
      </w:r>
    </w:p>
    <w:p>
      <w:pPr>
        <w:pStyle w:val="127"/>
        <w:keepNext w:val="0"/>
        <w:keepLines w:val="0"/>
        <w:widowControl w:val="0"/>
        <w:shd w:val="clear" w:color="auto" w:fill="auto"/>
        <w:bidi w:val="0"/>
        <w:spacing w:before="0" w:after="0" w:line="360" w:lineRule="auto"/>
        <w:ind w:left="0" w:leftChars="0" w:right="0" w:firstLine="480" w:firstLineChars="200"/>
        <w:jc w:val="left"/>
        <w:rPr>
          <w:rFonts w:hint="eastAsia" w:cs="宋体"/>
          <w:color w:val="auto"/>
          <w:sz w:val="24"/>
          <w:szCs w:val="24"/>
          <w:lang w:eastAsia="zh-CN"/>
        </w:rPr>
      </w:pPr>
      <w:r>
        <w:rPr>
          <w:rFonts w:hint="eastAsia" w:cs="宋体"/>
          <w:color w:val="auto"/>
          <w:sz w:val="24"/>
          <w:szCs w:val="24"/>
          <w:lang w:val="en-US" w:eastAsia="zh-CN"/>
        </w:rPr>
        <w:t>（4）</w:t>
      </w:r>
      <w:r>
        <w:rPr>
          <w:rFonts w:hint="eastAsia" w:ascii="宋体" w:hAnsi="宋体" w:eastAsia="宋体" w:cs="宋体"/>
          <w:color w:val="auto"/>
          <w:sz w:val="24"/>
          <w:szCs w:val="24"/>
        </w:rPr>
        <w:t>授权</w:t>
      </w:r>
      <w:r>
        <w:rPr>
          <w:rFonts w:hint="eastAsia" w:cs="宋体"/>
          <w:color w:val="auto"/>
          <w:sz w:val="24"/>
          <w:szCs w:val="24"/>
          <w:lang w:val="en-US" w:eastAsia="zh-CN"/>
        </w:rPr>
        <w:t>代表</w:t>
      </w:r>
      <w:r>
        <w:rPr>
          <w:rFonts w:hint="eastAsia" w:ascii="宋体" w:hAnsi="宋体" w:eastAsia="宋体" w:cs="宋体"/>
          <w:color w:val="auto"/>
          <w:sz w:val="24"/>
          <w:szCs w:val="24"/>
        </w:rPr>
        <w:t>身份证复印件加盖公章</w:t>
      </w:r>
      <w:r>
        <w:rPr>
          <w:rFonts w:hint="eastAsia" w:cs="宋体"/>
          <w:color w:val="auto"/>
          <w:sz w:val="24"/>
          <w:szCs w:val="24"/>
          <w:lang w:eastAsia="zh-CN"/>
        </w:rPr>
        <w:t>；</w:t>
      </w:r>
    </w:p>
    <w:p>
      <w:pPr>
        <w:pStyle w:val="127"/>
        <w:spacing w:after="0" w:line="360" w:lineRule="auto"/>
        <w:ind w:firstLine="480" w:firstLineChars="200"/>
        <w:jc w:val="left"/>
        <w:rPr>
          <w:rFonts w:hint="eastAsia"/>
          <w:color w:val="auto"/>
          <w:sz w:val="24"/>
          <w:lang w:val="en-US" w:eastAsia="zh-CN"/>
        </w:rPr>
      </w:pPr>
      <w:r>
        <w:rPr>
          <w:rFonts w:hint="eastAsia"/>
          <w:color w:val="auto"/>
          <w:sz w:val="24"/>
        </w:rPr>
        <w:t>售价：</w:t>
      </w:r>
      <w:r>
        <w:rPr>
          <w:rFonts w:hint="eastAsia"/>
          <w:color w:val="auto"/>
          <w:sz w:val="24"/>
          <w:lang w:val="en-US" w:eastAsia="zh-CN"/>
        </w:rPr>
        <w:t>300.00元/包（售后不退）</w:t>
      </w:r>
    </w:p>
    <w:p>
      <w:pPr>
        <w:pStyle w:val="127"/>
        <w:tabs>
          <w:tab w:val="left" w:pos="1018"/>
        </w:tabs>
        <w:spacing w:after="0" w:line="360" w:lineRule="auto"/>
        <w:ind w:firstLine="0"/>
        <w:jc w:val="left"/>
        <w:rPr>
          <w:rFonts w:hint="eastAsia"/>
          <w:b/>
          <w:bCs/>
          <w:color w:val="auto"/>
          <w:sz w:val="28"/>
          <w:szCs w:val="28"/>
        </w:rPr>
      </w:pPr>
      <w:bookmarkStart w:id="9" w:name="bookmark52"/>
      <w:r>
        <w:rPr>
          <w:rFonts w:hint="eastAsia"/>
          <w:b/>
          <w:bCs/>
          <w:color w:val="auto"/>
          <w:sz w:val="28"/>
          <w:szCs w:val="28"/>
        </w:rPr>
        <w:t>四</w:t>
      </w:r>
      <w:bookmarkEnd w:id="9"/>
      <w:r>
        <w:rPr>
          <w:rFonts w:hint="eastAsia"/>
          <w:b/>
          <w:bCs/>
          <w:color w:val="auto"/>
          <w:sz w:val="28"/>
          <w:szCs w:val="28"/>
        </w:rPr>
        <w:t>、</w:t>
      </w:r>
      <w:r>
        <w:rPr>
          <w:rFonts w:hint="eastAsia"/>
          <w:b/>
          <w:bCs/>
          <w:color w:val="auto"/>
          <w:sz w:val="28"/>
          <w:szCs w:val="28"/>
          <w:lang w:val="en-US" w:eastAsia="zh-CN"/>
        </w:rPr>
        <w:t>报价</w:t>
      </w:r>
      <w:r>
        <w:rPr>
          <w:rFonts w:hint="eastAsia"/>
          <w:b/>
          <w:bCs/>
          <w:color w:val="auto"/>
          <w:sz w:val="28"/>
          <w:szCs w:val="28"/>
        </w:rPr>
        <w:t>文件提交</w:t>
      </w:r>
    </w:p>
    <w:p>
      <w:pPr>
        <w:pStyle w:val="127"/>
        <w:spacing w:after="0" w:line="360" w:lineRule="auto"/>
        <w:ind w:firstLine="480" w:firstLineChars="200"/>
        <w:rPr>
          <w:rFonts w:hint="eastAsia"/>
          <w:color w:val="auto"/>
          <w:sz w:val="24"/>
          <w:lang w:eastAsia="zh-CN"/>
        </w:rPr>
      </w:pPr>
      <w:r>
        <w:rPr>
          <w:rFonts w:hint="eastAsia"/>
          <w:color w:val="auto"/>
          <w:sz w:val="24"/>
        </w:rPr>
        <w:t>截止时间：</w:t>
      </w:r>
      <w:r>
        <w:rPr>
          <w:rFonts w:hint="eastAsia"/>
          <w:color w:val="auto"/>
          <w:sz w:val="24"/>
          <w:u w:val="single"/>
          <w:lang w:val="en-US" w:eastAsia="zh-CN"/>
        </w:rPr>
        <w:t xml:space="preserve"> 2021</w:t>
      </w:r>
      <w:r>
        <w:rPr>
          <w:rFonts w:hint="eastAsia"/>
          <w:color w:val="auto"/>
          <w:sz w:val="24"/>
          <w:u w:val="single"/>
        </w:rPr>
        <w:t>年</w:t>
      </w:r>
      <w:r>
        <w:rPr>
          <w:rFonts w:hint="eastAsia"/>
          <w:color w:val="auto"/>
          <w:sz w:val="24"/>
          <w:u w:val="single"/>
          <w:lang w:val="en-US" w:eastAsia="zh-CN"/>
        </w:rPr>
        <w:t>12</w:t>
      </w:r>
      <w:r>
        <w:rPr>
          <w:rFonts w:hint="eastAsia"/>
          <w:color w:val="auto"/>
          <w:sz w:val="24"/>
          <w:u w:val="single"/>
          <w:lang w:val="zh-CN" w:eastAsia="zh-CN" w:bidi="zh-CN"/>
        </w:rPr>
        <w:t>月</w:t>
      </w:r>
      <w:r>
        <w:rPr>
          <w:rFonts w:hint="eastAsia"/>
          <w:color w:val="auto"/>
          <w:sz w:val="24"/>
          <w:u w:val="single"/>
          <w:lang w:val="en-US" w:eastAsia="zh-CN" w:bidi="zh-CN"/>
        </w:rPr>
        <w:t>31日08</w:t>
      </w:r>
      <w:r>
        <w:rPr>
          <w:rFonts w:hint="eastAsia"/>
          <w:color w:val="auto"/>
          <w:sz w:val="24"/>
          <w:u w:val="single"/>
        </w:rPr>
        <w:t>点</w:t>
      </w:r>
      <w:r>
        <w:rPr>
          <w:rFonts w:hint="eastAsia"/>
          <w:color w:val="auto"/>
          <w:sz w:val="24"/>
          <w:u w:val="single"/>
          <w:lang w:val="en-US" w:eastAsia="zh-CN"/>
        </w:rPr>
        <w:t>30</w:t>
      </w:r>
      <w:r>
        <w:rPr>
          <w:rFonts w:hint="eastAsia"/>
          <w:color w:val="auto"/>
          <w:sz w:val="24"/>
          <w:u w:val="single"/>
        </w:rPr>
        <w:t>分</w:t>
      </w:r>
      <w:r>
        <w:rPr>
          <w:rFonts w:hint="eastAsia"/>
          <w:color w:val="auto"/>
          <w:sz w:val="24"/>
        </w:rPr>
        <w:t>（北京时间）</w:t>
      </w:r>
    </w:p>
    <w:p>
      <w:pPr>
        <w:pStyle w:val="127"/>
        <w:spacing w:after="0" w:line="360" w:lineRule="auto"/>
        <w:ind w:firstLine="480" w:firstLineChars="200"/>
        <w:jc w:val="left"/>
        <w:rPr>
          <w:rFonts w:hint="eastAsia"/>
          <w:color w:val="auto"/>
          <w:sz w:val="24"/>
        </w:rPr>
      </w:pPr>
      <w:r>
        <w:rPr>
          <w:rFonts w:hint="eastAsia"/>
          <w:color w:val="auto"/>
          <w:sz w:val="24"/>
        </w:rPr>
        <w:t>地点：</w:t>
      </w:r>
      <w:bookmarkStart w:id="10" w:name="bookmark53"/>
      <w:r>
        <w:rPr>
          <w:rFonts w:hint="eastAsia"/>
          <w:color w:val="auto"/>
          <w:sz w:val="24"/>
        </w:rPr>
        <w:t>海口市美兰区五指山路16-3号康业花园西湖苑G栋2A。</w:t>
      </w:r>
    </w:p>
    <w:p>
      <w:pPr>
        <w:pStyle w:val="127"/>
        <w:spacing w:after="0" w:line="360" w:lineRule="auto"/>
        <w:ind w:firstLine="0"/>
        <w:jc w:val="left"/>
        <w:rPr>
          <w:rFonts w:hint="eastAsia"/>
          <w:b/>
          <w:bCs/>
          <w:color w:val="auto"/>
          <w:sz w:val="28"/>
          <w:szCs w:val="28"/>
        </w:rPr>
      </w:pPr>
      <w:r>
        <w:rPr>
          <w:rFonts w:hint="eastAsia"/>
          <w:b/>
          <w:bCs/>
          <w:color w:val="auto"/>
          <w:sz w:val="28"/>
          <w:szCs w:val="28"/>
        </w:rPr>
        <w:t>五</w:t>
      </w:r>
      <w:bookmarkEnd w:id="10"/>
      <w:r>
        <w:rPr>
          <w:rFonts w:hint="eastAsia"/>
          <w:b/>
          <w:bCs/>
          <w:color w:val="auto"/>
          <w:sz w:val="28"/>
          <w:szCs w:val="28"/>
        </w:rPr>
        <w:t>、开启</w:t>
      </w:r>
    </w:p>
    <w:p>
      <w:pPr>
        <w:pStyle w:val="127"/>
        <w:spacing w:after="0" w:line="360" w:lineRule="auto"/>
        <w:ind w:firstLine="480" w:firstLineChars="200"/>
        <w:jc w:val="left"/>
        <w:rPr>
          <w:rFonts w:hint="eastAsia"/>
          <w:color w:val="auto"/>
          <w:sz w:val="24"/>
          <w:lang w:eastAsia="zh-CN"/>
        </w:rPr>
      </w:pPr>
      <w:r>
        <w:rPr>
          <w:rFonts w:hint="eastAsia"/>
          <w:color w:val="auto"/>
          <w:sz w:val="24"/>
        </w:rPr>
        <w:t>时间：</w:t>
      </w:r>
      <w:r>
        <w:rPr>
          <w:rFonts w:hint="eastAsia"/>
          <w:color w:val="auto"/>
          <w:sz w:val="24"/>
          <w:u w:val="single"/>
          <w:lang w:val="en-US" w:eastAsia="zh-CN"/>
        </w:rPr>
        <w:t xml:space="preserve"> 2021</w:t>
      </w:r>
      <w:r>
        <w:rPr>
          <w:rFonts w:hint="eastAsia"/>
          <w:color w:val="auto"/>
          <w:sz w:val="24"/>
          <w:u w:val="single"/>
        </w:rPr>
        <w:t>年</w:t>
      </w:r>
      <w:r>
        <w:rPr>
          <w:rFonts w:hint="eastAsia"/>
          <w:color w:val="auto"/>
          <w:sz w:val="24"/>
          <w:u w:val="single"/>
          <w:lang w:val="en-US" w:eastAsia="zh-CN"/>
        </w:rPr>
        <w:t>12</w:t>
      </w:r>
      <w:r>
        <w:rPr>
          <w:rFonts w:hint="eastAsia"/>
          <w:color w:val="auto"/>
          <w:sz w:val="24"/>
          <w:u w:val="single"/>
          <w:lang w:val="zh-CN" w:eastAsia="zh-CN" w:bidi="zh-CN"/>
        </w:rPr>
        <w:t>月</w:t>
      </w:r>
      <w:r>
        <w:rPr>
          <w:rFonts w:hint="eastAsia"/>
          <w:color w:val="auto"/>
          <w:sz w:val="24"/>
          <w:u w:val="single"/>
          <w:lang w:val="en-US" w:eastAsia="zh-CN" w:bidi="zh-CN"/>
        </w:rPr>
        <w:t>31日08</w:t>
      </w:r>
      <w:r>
        <w:rPr>
          <w:rFonts w:hint="eastAsia"/>
          <w:color w:val="auto"/>
          <w:sz w:val="24"/>
          <w:u w:val="single"/>
        </w:rPr>
        <w:t>点</w:t>
      </w:r>
      <w:r>
        <w:rPr>
          <w:rFonts w:hint="eastAsia"/>
          <w:color w:val="auto"/>
          <w:sz w:val="24"/>
          <w:u w:val="single"/>
          <w:lang w:val="en-US" w:eastAsia="zh-CN"/>
        </w:rPr>
        <w:t>30</w:t>
      </w:r>
      <w:r>
        <w:rPr>
          <w:rFonts w:hint="eastAsia"/>
          <w:color w:val="auto"/>
          <w:sz w:val="24"/>
          <w:u w:val="single"/>
        </w:rPr>
        <w:t>分</w:t>
      </w:r>
      <w:r>
        <w:rPr>
          <w:rFonts w:hint="eastAsia"/>
          <w:color w:val="auto"/>
          <w:sz w:val="24"/>
        </w:rPr>
        <w:t>（北京时间）</w:t>
      </w:r>
    </w:p>
    <w:p>
      <w:pPr>
        <w:pStyle w:val="127"/>
        <w:spacing w:after="0" w:line="360" w:lineRule="auto"/>
        <w:ind w:firstLine="480" w:firstLineChars="200"/>
        <w:jc w:val="left"/>
        <w:rPr>
          <w:rFonts w:hint="eastAsia"/>
          <w:color w:val="auto"/>
          <w:sz w:val="24"/>
        </w:rPr>
      </w:pPr>
      <w:r>
        <w:rPr>
          <w:rFonts w:hint="eastAsia"/>
          <w:color w:val="auto"/>
          <w:sz w:val="24"/>
        </w:rPr>
        <w:t>地点：海口市美兰区五指山路16-3号康业花园西湖苑G栋2A。</w:t>
      </w:r>
    </w:p>
    <w:p>
      <w:pPr>
        <w:pStyle w:val="127"/>
        <w:tabs>
          <w:tab w:val="left" w:pos="1006"/>
        </w:tabs>
        <w:spacing w:after="0" w:line="360" w:lineRule="auto"/>
        <w:ind w:firstLine="0"/>
        <w:rPr>
          <w:rFonts w:hint="eastAsia"/>
          <w:b/>
          <w:bCs/>
          <w:color w:val="auto"/>
          <w:sz w:val="28"/>
          <w:szCs w:val="28"/>
        </w:rPr>
      </w:pPr>
      <w:bookmarkStart w:id="11" w:name="bookmark54"/>
      <w:r>
        <w:rPr>
          <w:rFonts w:hint="eastAsia"/>
          <w:b/>
          <w:bCs/>
          <w:color w:val="auto"/>
          <w:sz w:val="28"/>
          <w:szCs w:val="28"/>
        </w:rPr>
        <w:t>六</w:t>
      </w:r>
      <w:bookmarkEnd w:id="11"/>
      <w:r>
        <w:rPr>
          <w:rFonts w:hint="eastAsia"/>
          <w:b/>
          <w:bCs/>
          <w:color w:val="auto"/>
          <w:sz w:val="28"/>
          <w:szCs w:val="28"/>
        </w:rPr>
        <w:t>、公告期限</w:t>
      </w:r>
    </w:p>
    <w:p>
      <w:pPr>
        <w:pStyle w:val="127"/>
        <w:spacing w:after="0" w:line="360" w:lineRule="auto"/>
        <w:ind w:firstLine="480" w:firstLineChars="200"/>
        <w:jc w:val="left"/>
        <w:rPr>
          <w:rFonts w:hint="eastAsia"/>
          <w:color w:val="auto"/>
          <w:sz w:val="24"/>
        </w:rPr>
      </w:pPr>
      <w:r>
        <w:rPr>
          <w:rFonts w:hint="eastAsia"/>
          <w:color w:val="auto"/>
          <w:sz w:val="24"/>
        </w:rPr>
        <w:t>自本公告发布之日起</w:t>
      </w:r>
      <w:r>
        <w:rPr>
          <w:rFonts w:hint="eastAsia"/>
          <w:color w:val="auto"/>
          <w:sz w:val="24"/>
          <w:lang w:val="en-US" w:eastAsia="zh-CN"/>
        </w:rPr>
        <w:t>3</w:t>
      </w:r>
      <w:r>
        <w:rPr>
          <w:rFonts w:hint="eastAsia"/>
          <w:color w:val="auto"/>
          <w:sz w:val="24"/>
        </w:rPr>
        <w:t>个工作日。</w:t>
      </w:r>
    </w:p>
    <w:p>
      <w:pPr>
        <w:pStyle w:val="127"/>
        <w:tabs>
          <w:tab w:val="left" w:pos="1006"/>
        </w:tabs>
        <w:spacing w:after="0" w:line="360" w:lineRule="auto"/>
        <w:ind w:firstLine="0"/>
        <w:jc w:val="left"/>
        <w:rPr>
          <w:rFonts w:hint="eastAsia"/>
          <w:b/>
          <w:bCs/>
          <w:color w:val="auto"/>
          <w:sz w:val="28"/>
          <w:szCs w:val="28"/>
        </w:rPr>
      </w:pPr>
      <w:bookmarkStart w:id="12" w:name="bookmark55"/>
      <w:r>
        <w:rPr>
          <w:rFonts w:hint="eastAsia"/>
          <w:b/>
          <w:bCs/>
          <w:color w:val="auto"/>
          <w:sz w:val="28"/>
          <w:szCs w:val="28"/>
        </w:rPr>
        <w:t>七</w:t>
      </w:r>
      <w:bookmarkEnd w:id="12"/>
      <w:r>
        <w:rPr>
          <w:rFonts w:hint="eastAsia"/>
          <w:b/>
          <w:bCs/>
          <w:color w:val="auto"/>
          <w:sz w:val="28"/>
          <w:szCs w:val="28"/>
        </w:rPr>
        <w:t>、其他补充事宜</w:t>
      </w:r>
    </w:p>
    <w:p>
      <w:pPr>
        <w:tabs>
          <w:tab w:val="left" w:pos="4680"/>
        </w:tabs>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val="en-US" w:eastAsia="zh-CN"/>
        </w:rPr>
        <w:t>投标</w:t>
      </w:r>
      <w:r>
        <w:rPr>
          <w:rFonts w:hint="eastAsia" w:cs="宋体"/>
          <w:color w:val="auto"/>
          <w:sz w:val="24"/>
          <w:lang w:eastAsia="zh-CN"/>
        </w:rPr>
        <w:t>保证金：¥</w:t>
      </w:r>
      <w:r>
        <w:rPr>
          <w:rFonts w:hint="eastAsia" w:cs="宋体"/>
          <w:color w:val="auto"/>
          <w:kern w:val="28"/>
          <w:sz w:val="24"/>
          <w:lang w:val="en-US" w:eastAsia="zh-CN"/>
        </w:rPr>
        <w:t>18942.00</w:t>
      </w:r>
      <w:r>
        <w:rPr>
          <w:rFonts w:hint="eastAsia" w:cs="宋体"/>
          <w:color w:val="auto"/>
          <w:sz w:val="24"/>
          <w:lang w:eastAsia="zh-CN"/>
        </w:rPr>
        <w:t>元</w:t>
      </w:r>
      <w:r>
        <w:rPr>
          <w:rFonts w:hint="eastAsia" w:ascii="宋体" w:hAnsi="宋体" w:cs="宋体"/>
          <w:color w:val="auto"/>
          <w:sz w:val="24"/>
        </w:rPr>
        <w:t>，</w:t>
      </w:r>
      <w:r>
        <w:rPr>
          <w:rFonts w:hint="eastAsia" w:ascii="宋体" w:hAnsi="宋体" w:cs="宋体"/>
          <w:color w:val="auto"/>
          <w:sz w:val="24"/>
          <w:lang w:val="en-US" w:eastAsia="zh-CN"/>
        </w:rPr>
        <w:t>投标</w:t>
      </w:r>
      <w:r>
        <w:rPr>
          <w:rFonts w:hint="eastAsia" w:ascii="宋体" w:hAnsi="宋体"/>
          <w:color w:val="auto"/>
          <w:sz w:val="24"/>
        </w:rPr>
        <w:t>保证金</w:t>
      </w:r>
      <w:r>
        <w:rPr>
          <w:rFonts w:ascii="宋体" w:hAnsi="宋体" w:cs="宋体"/>
          <w:color w:val="auto"/>
          <w:sz w:val="24"/>
        </w:rPr>
        <w:t>应在</w:t>
      </w:r>
      <w:r>
        <w:rPr>
          <w:rFonts w:hint="eastAsia" w:ascii="宋体" w:hAnsi="宋体" w:cs="宋体"/>
          <w:color w:val="auto"/>
          <w:sz w:val="24"/>
          <w:lang w:val="en-US" w:eastAsia="zh-CN"/>
        </w:rPr>
        <w:t>报价</w:t>
      </w:r>
      <w:r>
        <w:rPr>
          <w:rFonts w:hint="eastAsia" w:ascii="宋体" w:hAnsi="宋体" w:cs="宋体"/>
          <w:color w:val="auto"/>
          <w:sz w:val="24"/>
        </w:rPr>
        <w:t>文件提交</w:t>
      </w:r>
      <w:r>
        <w:rPr>
          <w:rFonts w:ascii="宋体" w:hAnsi="宋体" w:cs="宋体"/>
          <w:color w:val="auto"/>
          <w:sz w:val="24"/>
        </w:rPr>
        <w:t>截止</w:t>
      </w:r>
      <w:r>
        <w:rPr>
          <w:rFonts w:hint="eastAsia" w:ascii="宋体" w:hAnsi="宋体" w:cs="宋体"/>
          <w:color w:val="auto"/>
          <w:sz w:val="24"/>
        </w:rPr>
        <w:t>时间</w:t>
      </w:r>
      <w:r>
        <w:rPr>
          <w:rFonts w:ascii="宋体" w:hAnsi="宋体" w:cs="宋体"/>
          <w:color w:val="auto"/>
          <w:sz w:val="24"/>
        </w:rPr>
        <w:t>前转入</w:t>
      </w:r>
      <w:r>
        <w:rPr>
          <w:rFonts w:hint="eastAsia" w:ascii="宋体" w:hAnsi="宋体" w:cs="宋体"/>
          <w:color w:val="auto"/>
          <w:sz w:val="24"/>
        </w:rPr>
        <w:t>采购</w:t>
      </w:r>
      <w:r>
        <w:rPr>
          <w:rFonts w:ascii="宋体" w:hAnsi="宋体" w:cs="宋体"/>
          <w:color w:val="auto"/>
          <w:sz w:val="24"/>
        </w:rPr>
        <w:t>代理机构以下账户</w:t>
      </w:r>
      <w:r>
        <w:rPr>
          <w:rFonts w:hint="eastAsia" w:ascii="宋体" w:hAnsi="宋体" w:cs="宋体"/>
          <w:color w:val="auto"/>
          <w:sz w:val="24"/>
          <w:lang w:eastAsia="zh-CN"/>
        </w:rPr>
        <w:t>，建议</w:t>
      </w:r>
      <w:r>
        <w:rPr>
          <w:rFonts w:ascii="宋体" w:hAnsi="宋体" w:cs="宋体"/>
          <w:color w:val="auto"/>
          <w:sz w:val="24"/>
        </w:rPr>
        <w:t>注明汇款单位、项目编号</w:t>
      </w:r>
      <w:r>
        <w:rPr>
          <w:rFonts w:hint="eastAsia" w:ascii="宋体" w:hAnsi="宋体" w:cs="宋体"/>
          <w:color w:val="auto"/>
          <w:sz w:val="24"/>
        </w:rPr>
        <w:t>或项目名称</w:t>
      </w:r>
      <w:r>
        <w:rPr>
          <w:rFonts w:ascii="宋体" w:hAnsi="宋体" w:cs="宋体"/>
          <w:color w:val="auto"/>
          <w:sz w:val="24"/>
        </w:rPr>
        <w:t>（如有分包，则同时注明包号）</w:t>
      </w:r>
      <w:r>
        <w:rPr>
          <w:rFonts w:hint="eastAsia" w:ascii="宋体" w:hAnsi="宋体" w:cs="宋体"/>
          <w:color w:val="auto"/>
          <w:sz w:val="24"/>
        </w:rPr>
        <w:t>，或</w:t>
      </w:r>
      <w:r>
        <w:rPr>
          <w:rFonts w:hint="eastAsia" w:ascii="宋体" w:hAnsi="宋体" w:cs="Arial"/>
          <w:color w:val="auto"/>
          <w:sz w:val="24"/>
        </w:rPr>
        <w:t>可选择以支票、汇票、本票或者金融机构、担保机构出具的保函等非现金形式提交</w:t>
      </w:r>
      <w:r>
        <w:rPr>
          <w:rFonts w:hint="eastAsia" w:ascii="宋体" w:hAnsi="宋体"/>
          <w:color w:val="auto"/>
          <w:sz w:val="24"/>
        </w:rPr>
        <w:t>。</w:t>
      </w:r>
    </w:p>
    <w:p>
      <w:pPr>
        <w:pStyle w:val="127"/>
        <w:tabs>
          <w:tab w:val="left" w:pos="1006"/>
        </w:tabs>
        <w:wordWrap w:val="0"/>
        <w:spacing w:after="0" w:line="360" w:lineRule="auto"/>
        <w:ind w:firstLine="482" w:firstLineChars="200"/>
        <w:jc w:val="left"/>
        <w:rPr>
          <w:rFonts w:hint="eastAsia"/>
          <w:b/>
          <w:bCs/>
          <w:color w:val="auto"/>
          <w:sz w:val="24"/>
          <w:lang w:val="en-US" w:eastAsia="zh-CN"/>
        </w:rPr>
      </w:pPr>
      <w:r>
        <w:rPr>
          <w:rFonts w:hint="eastAsia"/>
          <w:b/>
          <w:bCs/>
          <w:color w:val="auto"/>
          <w:sz w:val="24"/>
          <w:lang w:val="en-US" w:eastAsia="zh-CN"/>
        </w:rPr>
        <w:t>户  名：海南政辉招投标代理有限公司</w:t>
      </w:r>
    </w:p>
    <w:p>
      <w:pPr>
        <w:pStyle w:val="127"/>
        <w:tabs>
          <w:tab w:val="left" w:pos="1006"/>
        </w:tabs>
        <w:wordWrap w:val="0"/>
        <w:spacing w:after="0" w:line="360" w:lineRule="auto"/>
        <w:ind w:firstLine="482" w:firstLineChars="200"/>
        <w:jc w:val="left"/>
        <w:rPr>
          <w:rFonts w:hint="eastAsia"/>
          <w:b/>
          <w:bCs/>
          <w:color w:val="auto"/>
          <w:sz w:val="24"/>
          <w:lang w:val="en-US" w:eastAsia="zh-CN"/>
        </w:rPr>
      </w:pPr>
      <w:r>
        <w:rPr>
          <w:rFonts w:hint="eastAsia"/>
          <w:b/>
          <w:bCs/>
          <w:color w:val="auto"/>
          <w:sz w:val="24"/>
          <w:lang w:val="en-US" w:eastAsia="zh-CN"/>
        </w:rPr>
        <w:t>开户行：中国工商银行股份有限公司海口新华支行</w:t>
      </w:r>
    </w:p>
    <w:p>
      <w:pPr>
        <w:pStyle w:val="127"/>
        <w:tabs>
          <w:tab w:val="left" w:pos="1006"/>
        </w:tabs>
        <w:wordWrap w:val="0"/>
        <w:spacing w:after="0" w:line="360" w:lineRule="auto"/>
        <w:ind w:firstLine="482" w:firstLineChars="200"/>
        <w:jc w:val="left"/>
        <w:rPr>
          <w:rFonts w:hint="eastAsia"/>
          <w:b/>
          <w:bCs/>
          <w:color w:val="auto"/>
          <w:sz w:val="24"/>
          <w:lang w:val="en-US" w:eastAsia="zh-CN"/>
        </w:rPr>
      </w:pPr>
      <w:r>
        <w:rPr>
          <w:rFonts w:hint="eastAsia"/>
          <w:b/>
          <w:bCs/>
          <w:color w:val="auto"/>
          <w:sz w:val="24"/>
          <w:lang w:val="en-US" w:eastAsia="zh-CN"/>
        </w:rPr>
        <w:t>账  户：2201023809200980178</w:t>
      </w:r>
    </w:p>
    <w:p>
      <w:pPr>
        <w:pStyle w:val="127"/>
        <w:numPr>
          <w:ilvl w:val="0"/>
          <w:numId w:val="2"/>
        </w:numPr>
        <w:tabs>
          <w:tab w:val="left" w:pos="1006"/>
        </w:tabs>
        <w:wordWrap w:val="0"/>
        <w:spacing w:after="0" w:line="360" w:lineRule="auto"/>
        <w:ind w:firstLine="480" w:firstLineChars="200"/>
        <w:jc w:val="left"/>
        <w:rPr>
          <w:rFonts w:hint="eastAsia"/>
          <w:color w:val="auto"/>
          <w:sz w:val="24"/>
          <w:lang w:val="en-US" w:eastAsia="zh-CN"/>
        </w:rPr>
      </w:pPr>
      <w:r>
        <w:rPr>
          <w:rFonts w:hint="eastAsia"/>
          <w:color w:val="auto"/>
          <w:sz w:val="24"/>
          <w:lang w:val="en-US" w:eastAsia="zh-CN"/>
        </w:rPr>
        <w:t>公告发布媒介：全国公共资源交易平台（海南省）</w:t>
      </w:r>
      <w:r>
        <w:rPr>
          <w:rFonts w:hint="eastAsia" w:ascii="宋体" w:hAnsi="宋体" w:eastAsia="宋体" w:cs="宋体"/>
          <w:color w:val="auto"/>
          <w:sz w:val="24"/>
          <w:lang w:val="en-US" w:eastAsia="zh-CN"/>
        </w:rPr>
        <w:t>、</w:t>
      </w:r>
      <w:r>
        <w:rPr>
          <w:rFonts w:hint="eastAsia" w:ascii="宋体" w:hAnsi="宋体" w:eastAsia="宋体" w:cs="宋体"/>
          <w:color w:val="auto"/>
          <w:sz w:val="24"/>
          <w:lang w:val="en-US" w:eastAsia="zh-CN"/>
        </w:rPr>
        <w:fldChar w:fldCharType="begin"/>
      </w:r>
      <w:r>
        <w:rPr>
          <w:rFonts w:hint="eastAsia" w:ascii="宋体" w:hAnsi="宋体" w:eastAsia="宋体" w:cs="宋体"/>
          <w:color w:val="auto"/>
          <w:sz w:val="24"/>
          <w:lang w:val="en-US" w:eastAsia="zh-CN"/>
        </w:rPr>
        <w:instrText xml:space="preserve"> HYPERLINK "http://www.ccgp-hainan.gov.cn、www.ccgp.gov.cn。（）" </w:instrText>
      </w:r>
      <w:r>
        <w:rPr>
          <w:rFonts w:hint="eastAsia" w:ascii="宋体" w:hAnsi="宋体" w:eastAsia="宋体" w:cs="宋体"/>
          <w:color w:val="auto"/>
          <w:sz w:val="24"/>
          <w:lang w:val="en-US" w:eastAsia="zh-CN"/>
        </w:rPr>
        <w:fldChar w:fldCharType="separate"/>
      </w:r>
      <w:r>
        <w:rPr>
          <w:rFonts w:hint="eastAsia" w:ascii="宋体" w:hAnsi="宋体" w:eastAsia="宋体" w:cs="宋体"/>
          <w:color w:val="auto"/>
          <w:sz w:val="24"/>
          <w:lang w:val="en-US" w:eastAsia="zh-CN"/>
        </w:rPr>
        <w:t>海南省政府采购网。</w:t>
      </w:r>
      <w:r>
        <w:rPr>
          <w:rFonts w:hint="eastAsia" w:ascii="宋体" w:hAnsi="宋体" w:eastAsia="宋体" w:cs="宋体"/>
          <w:color w:val="auto"/>
          <w:sz w:val="24"/>
          <w:lang w:val="en-US" w:eastAsia="zh-CN"/>
        </w:rPr>
        <w:fldChar w:fldCharType="end"/>
      </w:r>
    </w:p>
    <w:p>
      <w:pPr>
        <w:pStyle w:val="127"/>
        <w:tabs>
          <w:tab w:val="left" w:pos="1006"/>
        </w:tabs>
        <w:spacing w:after="0" w:line="360" w:lineRule="auto"/>
        <w:ind w:firstLine="0"/>
        <w:jc w:val="left"/>
        <w:rPr>
          <w:rFonts w:hint="eastAsia"/>
          <w:b/>
          <w:bCs/>
          <w:color w:val="auto"/>
          <w:sz w:val="28"/>
          <w:szCs w:val="28"/>
        </w:rPr>
      </w:pPr>
      <w:r>
        <w:rPr>
          <w:rFonts w:hint="eastAsia"/>
          <w:b/>
          <w:bCs/>
          <w:color w:val="auto"/>
          <w:sz w:val="28"/>
          <w:szCs w:val="28"/>
        </w:rPr>
        <w:t>八、凡对本次</w:t>
      </w:r>
      <w:r>
        <w:rPr>
          <w:rFonts w:hint="eastAsia"/>
          <w:b/>
          <w:bCs/>
          <w:color w:val="auto"/>
          <w:sz w:val="28"/>
          <w:szCs w:val="28"/>
          <w:lang w:eastAsia="zh-CN"/>
        </w:rPr>
        <w:t>采</w:t>
      </w:r>
      <w:r>
        <w:rPr>
          <w:rFonts w:hint="eastAsia"/>
          <w:b/>
          <w:bCs/>
          <w:color w:val="auto"/>
          <w:sz w:val="28"/>
          <w:szCs w:val="28"/>
        </w:rPr>
        <w:t>购提出询问，请按以下方式联系</w:t>
      </w:r>
    </w:p>
    <w:p>
      <w:pPr>
        <w:pStyle w:val="127"/>
        <w:tabs>
          <w:tab w:val="left" w:pos="1551"/>
        </w:tabs>
        <w:spacing w:after="0" w:line="360" w:lineRule="auto"/>
        <w:ind w:firstLine="480" w:firstLineChars="200"/>
        <w:jc w:val="left"/>
        <w:rPr>
          <w:rFonts w:hint="eastAsia"/>
          <w:color w:val="auto"/>
          <w:sz w:val="24"/>
        </w:rPr>
      </w:pPr>
      <w:r>
        <w:rPr>
          <w:rFonts w:hint="eastAsia"/>
          <w:color w:val="auto"/>
          <w:sz w:val="24"/>
          <w:lang w:val="en-US" w:eastAsia="zh-CN"/>
        </w:rPr>
        <w:t>1.</w:t>
      </w:r>
      <w:r>
        <w:rPr>
          <w:rFonts w:hint="eastAsia"/>
          <w:color w:val="auto"/>
          <w:sz w:val="24"/>
          <w:lang w:eastAsia="zh-CN"/>
        </w:rPr>
        <w:t>采</w:t>
      </w:r>
      <w:r>
        <w:rPr>
          <w:rFonts w:hint="eastAsia"/>
          <w:color w:val="auto"/>
          <w:sz w:val="24"/>
        </w:rPr>
        <w:t>购人信息</w:t>
      </w:r>
    </w:p>
    <w:p>
      <w:pPr>
        <w:pStyle w:val="127"/>
        <w:tabs>
          <w:tab w:val="left" w:pos="5664"/>
        </w:tabs>
        <w:spacing w:after="0" w:line="360" w:lineRule="auto"/>
        <w:ind w:firstLine="480" w:firstLineChars="200"/>
        <w:jc w:val="left"/>
        <w:rPr>
          <w:rFonts w:hint="default"/>
          <w:color w:val="auto"/>
          <w:sz w:val="24"/>
          <w:lang w:val="en-US"/>
        </w:rPr>
      </w:pPr>
      <w:r>
        <w:rPr>
          <w:rFonts w:hint="eastAsia"/>
          <w:color w:val="auto"/>
          <w:sz w:val="24"/>
        </w:rPr>
        <w:t>名 称</w:t>
      </w:r>
      <w:r>
        <w:rPr>
          <w:rFonts w:hint="eastAsia"/>
          <w:color w:val="auto"/>
          <w:sz w:val="24"/>
          <w:lang w:eastAsia="zh-CN"/>
        </w:rPr>
        <w:t>：</w:t>
      </w:r>
      <w:r>
        <w:rPr>
          <w:rFonts w:hint="eastAsia"/>
          <w:color w:val="auto"/>
          <w:sz w:val="24"/>
          <w:u w:val="single"/>
          <w:lang w:val="en-US" w:eastAsia="zh-CN"/>
        </w:rPr>
        <w:t xml:space="preserve"> 屯昌县西昌镇晨星幼儿园  </w:t>
      </w:r>
    </w:p>
    <w:p>
      <w:pPr>
        <w:pStyle w:val="127"/>
        <w:tabs>
          <w:tab w:val="left" w:pos="5671"/>
        </w:tabs>
        <w:spacing w:after="0" w:line="360" w:lineRule="auto"/>
        <w:ind w:firstLine="480" w:firstLineChars="200"/>
        <w:jc w:val="left"/>
        <w:rPr>
          <w:rFonts w:hint="default" w:eastAsia="宋体"/>
          <w:color w:val="auto"/>
          <w:sz w:val="24"/>
          <w:lang w:val="en-US" w:eastAsia="zh-CN"/>
        </w:rPr>
      </w:pPr>
      <w:r>
        <w:rPr>
          <w:rFonts w:hint="eastAsia"/>
          <w:color w:val="auto"/>
          <w:sz w:val="24"/>
        </w:rPr>
        <w:t>地 址：</w:t>
      </w:r>
      <w:r>
        <w:rPr>
          <w:rFonts w:hint="eastAsia"/>
          <w:color w:val="auto"/>
          <w:sz w:val="24"/>
          <w:u w:val="single"/>
          <w:lang w:val="en-US" w:eastAsia="zh-CN"/>
        </w:rPr>
        <w:t xml:space="preserve">  海南省屯昌县西昌镇晨星幼儿园  </w:t>
      </w:r>
    </w:p>
    <w:p>
      <w:pPr>
        <w:pStyle w:val="127"/>
        <w:tabs>
          <w:tab w:val="left" w:pos="5678"/>
        </w:tabs>
        <w:spacing w:after="0" w:line="360" w:lineRule="auto"/>
        <w:ind w:firstLine="480" w:firstLineChars="200"/>
        <w:jc w:val="left"/>
        <w:rPr>
          <w:rFonts w:hint="default" w:eastAsia="宋体"/>
          <w:color w:val="auto"/>
          <w:sz w:val="24"/>
          <w:lang w:val="en-US" w:eastAsia="zh-CN"/>
        </w:rPr>
      </w:pPr>
      <w:r>
        <w:rPr>
          <w:rFonts w:hint="eastAsia"/>
          <w:color w:val="auto"/>
          <w:sz w:val="24"/>
          <w:lang w:val="en-US" w:eastAsia="zh-CN"/>
        </w:rPr>
        <w:t>联系人：</w:t>
      </w:r>
      <w:r>
        <w:rPr>
          <w:rFonts w:hint="eastAsia"/>
          <w:color w:val="auto"/>
          <w:sz w:val="24"/>
          <w:u w:val="single"/>
          <w:lang w:val="en-US" w:eastAsia="zh-CN"/>
        </w:rPr>
        <w:t xml:space="preserve">  张老师  </w:t>
      </w:r>
    </w:p>
    <w:p>
      <w:pPr>
        <w:pStyle w:val="127"/>
        <w:tabs>
          <w:tab w:val="left" w:pos="5678"/>
        </w:tabs>
        <w:spacing w:after="0" w:line="360" w:lineRule="auto"/>
        <w:ind w:firstLine="480" w:firstLineChars="200"/>
        <w:jc w:val="left"/>
        <w:rPr>
          <w:rFonts w:hint="default"/>
          <w:color w:val="auto"/>
          <w:sz w:val="24"/>
          <w:lang w:val="en-US"/>
        </w:rPr>
      </w:pPr>
      <w:r>
        <w:rPr>
          <w:rFonts w:hint="eastAsia"/>
          <w:color w:val="auto"/>
          <w:sz w:val="24"/>
        </w:rPr>
        <w:t>联系方式：</w:t>
      </w:r>
      <w:r>
        <w:rPr>
          <w:rFonts w:hint="eastAsia"/>
          <w:color w:val="auto"/>
          <w:sz w:val="24"/>
          <w:u w:val="single"/>
          <w:lang w:val="en-US" w:eastAsia="zh-CN"/>
        </w:rPr>
        <w:t xml:space="preserve">  18889238928  </w:t>
      </w:r>
    </w:p>
    <w:p>
      <w:pPr>
        <w:pStyle w:val="127"/>
        <w:tabs>
          <w:tab w:val="left" w:pos="1573"/>
        </w:tabs>
        <w:spacing w:after="0" w:line="360" w:lineRule="auto"/>
        <w:ind w:firstLine="480" w:firstLineChars="200"/>
        <w:jc w:val="left"/>
        <w:rPr>
          <w:rFonts w:hint="eastAsia"/>
          <w:color w:val="auto"/>
          <w:sz w:val="24"/>
        </w:rPr>
      </w:pPr>
      <w:r>
        <w:rPr>
          <w:rFonts w:hint="eastAsia"/>
          <w:color w:val="auto"/>
          <w:sz w:val="24"/>
          <w:lang w:val="en-US" w:eastAsia="zh-CN"/>
        </w:rPr>
        <w:t>2.</w:t>
      </w:r>
      <w:r>
        <w:rPr>
          <w:rFonts w:hint="eastAsia"/>
          <w:color w:val="auto"/>
          <w:sz w:val="24"/>
          <w:lang w:eastAsia="zh-CN"/>
        </w:rPr>
        <w:t>采</w:t>
      </w:r>
      <w:r>
        <w:rPr>
          <w:rFonts w:hint="eastAsia"/>
          <w:color w:val="auto"/>
          <w:sz w:val="24"/>
        </w:rPr>
        <w:t>购代理机构信息</w:t>
      </w:r>
    </w:p>
    <w:p>
      <w:pPr>
        <w:pStyle w:val="127"/>
        <w:tabs>
          <w:tab w:val="left" w:pos="5671"/>
        </w:tabs>
        <w:spacing w:after="0" w:line="360" w:lineRule="auto"/>
        <w:ind w:firstLine="480" w:firstLineChars="200"/>
        <w:jc w:val="left"/>
        <w:rPr>
          <w:rFonts w:hint="eastAsia"/>
          <w:color w:val="auto"/>
          <w:sz w:val="24"/>
          <w:lang w:val="en-US" w:eastAsia="zh-CN"/>
        </w:rPr>
      </w:pPr>
      <w:r>
        <w:rPr>
          <w:rFonts w:hint="eastAsia"/>
          <w:color w:val="auto"/>
          <w:sz w:val="24"/>
          <w:lang w:val="en-US" w:eastAsia="zh-CN"/>
        </w:rPr>
        <w:t>名</w:t>
      </w:r>
      <w:r>
        <w:rPr>
          <w:rFonts w:hint="eastAsia"/>
          <w:color w:val="auto"/>
          <w:sz w:val="24"/>
        </w:rPr>
        <w:t xml:space="preserve"> 称：</w:t>
      </w:r>
      <w:r>
        <w:rPr>
          <w:rFonts w:hint="eastAsia"/>
          <w:color w:val="auto"/>
          <w:sz w:val="24"/>
          <w:u w:val="single"/>
          <w:lang w:val="en-US" w:eastAsia="zh-CN"/>
        </w:rPr>
        <w:t>海南政辉招投标代理有限公司</w:t>
      </w:r>
    </w:p>
    <w:p>
      <w:pPr>
        <w:pStyle w:val="127"/>
        <w:tabs>
          <w:tab w:val="left" w:pos="5671"/>
        </w:tabs>
        <w:spacing w:after="0" w:line="360" w:lineRule="auto"/>
        <w:ind w:firstLine="480" w:firstLineChars="200"/>
        <w:jc w:val="left"/>
        <w:rPr>
          <w:rFonts w:hint="eastAsia"/>
          <w:color w:val="auto"/>
          <w:sz w:val="24"/>
        </w:rPr>
      </w:pPr>
      <w:r>
        <w:rPr>
          <w:rFonts w:hint="eastAsia"/>
          <w:color w:val="auto"/>
          <w:sz w:val="24"/>
        </w:rPr>
        <w:t>地 址：</w:t>
      </w:r>
      <w:r>
        <w:rPr>
          <w:rFonts w:hint="eastAsia"/>
          <w:color w:val="auto"/>
          <w:sz w:val="24"/>
          <w:u w:val="single"/>
        </w:rPr>
        <w:t>海口市美兰区五指山路16-3号康业花园西湖苑G栋2A</w:t>
      </w:r>
    </w:p>
    <w:p>
      <w:pPr>
        <w:pStyle w:val="127"/>
        <w:keepNext w:val="0"/>
        <w:keepLines w:val="0"/>
        <w:widowControl w:val="0"/>
        <w:shd w:val="clear" w:color="auto" w:fill="auto"/>
        <w:tabs>
          <w:tab w:val="left" w:pos="5686"/>
        </w:tabs>
        <w:bidi w:val="0"/>
        <w:spacing w:before="0" w:after="0" w:line="360" w:lineRule="auto"/>
        <w:ind w:left="0" w:leftChars="0" w:right="0" w:firstLine="480" w:firstLineChars="200"/>
        <w:jc w:val="left"/>
        <w:rPr>
          <w:rFonts w:hint="eastAsia"/>
          <w:color w:val="auto"/>
          <w:sz w:val="24"/>
        </w:rPr>
      </w:pPr>
      <w:r>
        <w:rPr>
          <w:rFonts w:hint="eastAsia" w:cs="宋体"/>
          <w:color w:val="auto"/>
          <w:sz w:val="24"/>
          <w:szCs w:val="24"/>
          <w:u w:val="none"/>
          <w:lang w:val="en-US" w:eastAsia="zh-CN"/>
        </w:rPr>
        <w:t>邮 箱：</w:t>
      </w:r>
      <w:r>
        <w:rPr>
          <w:rFonts w:hint="eastAsia" w:cs="宋体"/>
          <w:color w:val="auto"/>
          <w:sz w:val="24"/>
          <w:szCs w:val="24"/>
          <w:u w:val="single"/>
          <w:lang w:val="en-US" w:eastAsia="zh-CN"/>
        </w:rPr>
        <w:fldChar w:fldCharType="begin"/>
      </w:r>
      <w:r>
        <w:rPr>
          <w:rFonts w:hint="eastAsia" w:cs="宋体"/>
          <w:color w:val="auto"/>
          <w:sz w:val="24"/>
          <w:szCs w:val="24"/>
          <w:u w:val="single"/>
          <w:lang w:val="en-US" w:eastAsia="zh-CN"/>
        </w:rPr>
        <w:instrText xml:space="preserve"> HYPERLINK "mailto:hnzhztb@163.com" </w:instrText>
      </w:r>
      <w:r>
        <w:rPr>
          <w:rFonts w:hint="eastAsia" w:cs="宋体"/>
          <w:color w:val="auto"/>
          <w:sz w:val="24"/>
          <w:szCs w:val="24"/>
          <w:u w:val="single"/>
          <w:lang w:val="en-US" w:eastAsia="zh-CN"/>
        </w:rPr>
        <w:fldChar w:fldCharType="separate"/>
      </w:r>
      <w:r>
        <w:rPr>
          <w:rFonts w:hint="eastAsia" w:cs="宋体"/>
          <w:color w:val="auto"/>
          <w:sz w:val="24"/>
          <w:szCs w:val="24"/>
          <w:u w:val="single"/>
          <w:lang w:val="en-US" w:eastAsia="zh-CN"/>
        </w:rPr>
        <w:t>hnzhztb@163.com</w:t>
      </w:r>
      <w:r>
        <w:rPr>
          <w:rFonts w:hint="eastAsia" w:cs="宋体"/>
          <w:color w:val="auto"/>
          <w:sz w:val="24"/>
          <w:szCs w:val="24"/>
          <w:u w:val="single"/>
          <w:lang w:val="en-US" w:eastAsia="zh-CN"/>
        </w:rPr>
        <w:fldChar w:fldCharType="end"/>
      </w:r>
    </w:p>
    <w:p>
      <w:pPr>
        <w:pStyle w:val="127"/>
        <w:tabs>
          <w:tab w:val="left" w:pos="5686"/>
        </w:tabs>
        <w:spacing w:after="0" w:line="360" w:lineRule="auto"/>
        <w:ind w:firstLine="480" w:firstLineChars="200"/>
        <w:jc w:val="left"/>
        <w:rPr>
          <w:rFonts w:hint="eastAsia"/>
          <w:color w:val="auto"/>
          <w:sz w:val="24"/>
        </w:rPr>
      </w:pPr>
      <w:r>
        <w:rPr>
          <w:rFonts w:hint="eastAsia"/>
          <w:color w:val="auto"/>
          <w:sz w:val="24"/>
        </w:rPr>
        <w:t>联系方式：</w:t>
      </w:r>
      <w:r>
        <w:rPr>
          <w:rFonts w:hint="eastAsia"/>
          <w:color w:val="auto"/>
          <w:sz w:val="24"/>
          <w:u w:val="single"/>
        </w:rPr>
        <w:t>0898-66557609</w:t>
      </w:r>
    </w:p>
    <w:p>
      <w:pPr>
        <w:pStyle w:val="127"/>
        <w:tabs>
          <w:tab w:val="left" w:pos="1573"/>
        </w:tabs>
        <w:spacing w:after="0" w:line="360" w:lineRule="auto"/>
        <w:ind w:firstLine="480" w:firstLineChars="200"/>
        <w:jc w:val="left"/>
        <w:rPr>
          <w:rFonts w:hint="eastAsia"/>
          <w:color w:val="auto"/>
          <w:sz w:val="24"/>
        </w:rPr>
      </w:pPr>
      <w:bookmarkStart w:id="13" w:name="bookmark59"/>
      <w:bookmarkEnd w:id="13"/>
      <w:r>
        <w:rPr>
          <w:rFonts w:hint="eastAsia"/>
          <w:color w:val="auto"/>
          <w:sz w:val="24"/>
          <w:lang w:val="en-US" w:eastAsia="zh-CN"/>
        </w:rPr>
        <w:t>3.</w:t>
      </w:r>
      <w:r>
        <w:rPr>
          <w:rFonts w:hint="eastAsia"/>
          <w:color w:val="auto"/>
          <w:sz w:val="24"/>
        </w:rPr>
        <w:t>项目联系方式</w:t>
      </w:r>
    </w:p>
    <w:p>
      <w:pPr>
        <w:pStyle w:val="127"/>
        <w:spacing w:after="0" w:line="360" w:lineRule="auto"/>
        <w:ind w:firstLine="480" w:firstLineChars="200"/>
        <w:jc w:val="left"/>
        <w:rPr>
          <w:rFonts w:hint="default"/>
          <w:color w:val="auto"/>
          <w:sz w:val="24"/>
          <w:u w:val="single"/>
          <w:lang w:val="en-US" w:eastAsia="zh-CN"/>
        </w:rPr>
      </w:pPr>
      <w:r>
        <w:rPr>
          <w:rFonts w:hint="eastAsia"/>
          <w:color w:val="auto"/>
          <w:sz w:val="24"/>
        </w:rPr>
        <w:t>项目联系人</w:t>
      </w:r>
      <w:r>
        <w:rPr>
          <w:rFonts w:hint="eastAsia"/>
          <w:color w:val="auto"/>
          <w:sz w:val="24"/>
          <w:lang w:eastAsia="zh-CN"/>
        </w:rPr>
        <w:t>：</w:t>
      </w:r>
      <w:r>
        <w:rPr>
          <w:rFonts w:hint="eastAsia"/>
          <w:color w:val="auto"/>
          <w:sz w:val="24"/>
          <w:u w:val="single"/>
          <w:lang w:val="en-US" w:eastAsia="zh-CN"/>
        </w:rPr>
        <w:t xml:space="preserve">  周工  </w:t>
      </w:r>
    </w:p>
    <w:p>
      <w:pPr>
        <w:snapToGrid w:val="0"/>
        <w:spacing w:after="100" w:afterAutospacing="1" w:line="360" w:lineRule="auto"/>
        <w:ind w:firstLine="480" w:firstLineChars="200"/>
        <w:rPr>
          <w:rFonts w:hint="default" w:ascii="宋体" w:hAnsi="宋体" w:eastAsia="宋体" w:cs="宋体"/>
          <w:b/>
          <w:color w:val="auto"/>
          <w:sz w:val="44"/>
          <w:szCs w:val="44"/>
          <w:lang w:val="en-US" w:eastAsia="zh-CN"/>
        </w:rPr>
      </w:pPr>
      <w:r>
        <w:rPr>
          <w:rFonts w:hint="eastAsia" w:ascii="宋体" w:hAnsi="宋体" w:cs="宋体"/>
          <w:color w:val="auto"/>
          <w:sz w:val="24"/>
        </w:rPr>
        <w:t>电话：</w:t>
      </w:r>
      <w:r>
        <w:rPr>
          <w:rFonts w:hint="eastAsia" w:ascii="宋体" w:hAnsi="宋体" w:cs="宋体"/>
          <w:color w:val="auto"/>
          <w:sz w:val="24"/>
          <w:u w:val="single"/>
          <w:lang w:val="en-US" w:eastAsia="zh-CN"/>
        </w:rPr>
        <w:t xml:space="preserve">  0898-66557609  </w:t>
      </w:r>
    </w:p>
    <w:p>
      <w:pPr>
        <w:spacing w:line="360" w:lineRule="auto"/>
        <w:ind w:right="240"/>
        <w:jc w:val="right"/>
        <w:rPr>
          <w:rFonts w:ascii="仿宋" w:hAnsi="仿宋" w:eastAsia="仿宋" w:cs="仿宋"/>
          <w:bCs/>
          <w:color w:val="auto"/>
          <w:sz w:val="24"/>
        </w:rPr>
      </w:pPr>
    </w:p>
    <w:p>
      <w:pPr>
        <w:spacing w:line="360" w:lineRule="auto"/>
        <w:ind w:right="240"/>
        <w:jc w:val="right"/>
        <w:rPr>
          <w:rFonts w:ascii="仿宋" w:hAnsi="仿宋" w:eastAsia="仿宋" w:cs="仿宋"/>
          <w:bCs/>
          <w:color w:val="auto"/>
          <w:sz w:val="24"/>
        </w:rPr>
      </w:pPr>
    </w:p>
    <w:p>
      <w:pPr>
        <w:rPr>
          <w:rFonts w:ascii="仿宋" w:hAnsi="仿宋" w:eastAsia="仿宋" w:cs="仿宋"/>
          <w:b/>
          <w:color w:val="auto"/>
          <w:sz w:val="28"/>
          <w:szCs w:val="28"/>
        </w:rPr>
      </w:pPr>
    </w:p>
    <w:p>
      <w:pPr>
        <w:jc w:val="center"/>
        <w:rPr>
          <w:rFonts w:hint="eastAsia" w:ascii="仿宋" w:hAnsi="仿宋" w:eastAsia="仿宋" w:cs="仿宋"/>
          <w:b/>
          <w:color w:val="auto"/>
          <w:sz w:val="28"/>
          <w:szCs w:val="28"/>
        </w:rPr>
        <w:sectPr>
          <w:footerReference r:id="rId4" w:type="default"/>
          <w:pgSz w:w="11906" w:h="16838"/>
          <w:pgMar w:top="1440" w:right="1800" w:bottom="1440" w:left="1800" w:header="851" w:footer="992" w:gutter="0"/>
          <w:pgBorders w:offsetFrom="page">
            <w:top w:val="none" w:sz="0" w:space="0"/>
            <w:left w:val="none" w:sz="0" w:space="0"/>
            <w:bottom w:val="none" w:sz="0" w:space="0"/>
            <w:right w:val="none" w:sz="0" w:space="0"/>
          </w:pgBorders>
          <w:pgNumType w:start="1"/>
          <w:cols w:space="425" w:num="1"/>
          <w:docGrid w:type="lines" w:linePitch="312" w:charSpace="0"/>
        </w:sectPr>
      </w:pPr>
    </w:p>
    <w:p>
      <w:pPr>
        <w:pStyle w:val="5"/>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default" w:ascii="宋体" w:hAnsi="宋体" w:eastAsia="宋体" w:cs="宋体"/>
          <w:b/>
          <w:bCs w:val="0"/>
          <w:color w:val="auto"/>
          <w:kern w:val="0"/>
          <w:sz w:val="44"/>
          <w:szCs w:val="44"/>
          <w:lang w:val="en-US" w:eastAsia="zh-CN" w:bidi="ar-SA"/>
        </w:rPr>
      </w:pPr>
      <w:bookmarkStart w:id="14" w:name="_Toc28164"/>
      <w:r>
        <w:rPr>
          <w:rFonts w:hint="eastAsia" w:ascii="宋体" w:hAnsi="宋体" w:eastAsia="宋体" w:cs="宋体"/>
          <w:b/>
          <w:bCs w:val="0"/>
          <w:color w:val="auto"/>
          <w:kern w:val="0"/>
          <w:sz w:val="44"/>
          <w:szCs w:val="44"/>
          <w:lang w:val="en-US" w:eastAsia="zh-CN" w:bidi="ar-SA"/>
        </w:rPr>
        <w:t>第二章</w:t>
      </w:r>
      <w:r>
        <w:rPr>
          <w:rFonts w:hint="eastAsia" w:ascii="宋体" w:hAnsi="宋体" w:cs="宋体"/>
          <w:b/>
          <w:bCs w:val="0"/>
          <w:color w:val="auto"/>
          <w:kern w:val="0"/>
          <w:sz w:val="44"/>
          <w:szCs w:val="44"/>
          <w:lang w:val="en-US" w:eastAsia="zh-CN" w:bidi="ar-SA"/>
        </w:rPr>
        <w:t xml:space="preserve"> 供应商须知</w:t>
      </w:r>
      <w:bookmarkEnd w:id="14"/>
    </w:p>
    <w:p>
      <w:pPr>
        <w:rPr>
          <w:rFonts w:hint="eastAsia"/>
          <w:color w:val="auto"/>
          <w:lang w:val="en-US" w:eastAsia="zh-CN"/>
        </w:rPr>
      </w:pPr>
    </w:p>
    <w:p>
      <w:pPr>
        <w:bidi w:val="0"/>
        <w:rPr>
          <w:rFonts w:hint="eastAsia"/>
          <w:b/>
          <w:bCs/>
          <w:color w:val="auto"/>
          <w:sz w:val="32"/>
          <w:szCs w:val="32"/>
          <w:lang w:eastAsia="en-US"/>
        </w:rPr>
      </w:pPr>
      <w:bookmarkStart w:id="15" w:name="_Toc1660486"/>
      <w:r>
        <w:rPr>
          <w:rFonts w:hint="eastAsia"/>
          <w:b/>
          <w:bCs/>
          <w:color w:val="auto"/>
          <w:sz w:val="32"/>
          <w:szCs w:val="32"/>
          <w:lang w:eastAsia="en-US"/>
        </w:rPr>
        <w:t>一、总则</w:t>
      </w:r>
      <w:bookmarkEnd w:id="15"/>
    </w:p>
    <w:p>
      <w:pPr>
        <w:rPr>
          <w:color w:val="auto"/>
        </w:rPr>
      </w:pPr>
    </w:p>
    <w:p>
      <w:pPr>
        <w:spacing w:line="360" w:lineRule="auto"/>
        <w:rPr>
          <w:rFonts w:hint="eastAsia" w:ascii="宋体" w:hAnsi="宋体" w:eastAsia="宋体" w:cs="宋体"/>
          <w:color w:val="auto"/>
          <w:sz w:val="24"/>
        </w:rPr>
      </w:pPr>
      <w:bookmarkStart w:id="16" w:name="_Toc433126984"/>
      <w:bookmarkStart w:id="17" w:name="_Toc11904"/>
      <w:bookmarkStart w:id="18" w:name="_Toc267320062"/>
      <w:r>
        <w:rPr>
          <w:rFonts w:hint="eastAsia" w:ascii="宋体" w:hAnsi="宋体" w:eastAsia="宋体" w:cs="宋体"/>
          <w:color w:val="auto"/>
          <w:sz w:val="24"/>
        </w:rPr>
        <w:t>1、适用范围</w:t>
      </w:r>
      <w:bookmarkEnd w:id="16"/>
      <w:bookmarkEnd w:id="17"/>
    </w:p>
    <w:p>
      <w:pPr>
        <w:spacing w:line="360" w:lineRule="auto"/>
        <w:ind w:firstLine="480" w:firstLineChars="200"/>
        <w:rPr>
          <w:rFonts w:hint="eastAsia" w:ascii="宋体" w:hAnsi="宋体" w:eastAsia="宋体" w:cs="宋体"/>
          <w:color w:val="auto"/>
          <w:sz w:val="24"/>
          <w:lang w:eastAsia="zh-CN"/>
        </w:rPr>
      </w:pPr>
      <w:r>
        <w:rPr>
          <w:rFonts w:hint="eastAsia" w:ascii="宋体" w:hAnsi="宋体" w:eastAsia="宋体" w:cs="宋体"/>
          <w:color w:val="auto"/>
          <w:sz w:val="24"/>
          <w:lang w:eastAsia="zh-CN"/>
        </w:rPr>
        <w:t>本</w:t>
      </w:r>
      <w:r>
        <w:rPr>
          <w:rFonts w:hint="eastAsia" w:ascii="宋体" w:hAnsi="宋体" w:eastAsia="宋体" w:cs="宋体"/>
          <w:color w:val="auto"/>
          <w:sz w:val="24"/>
          <w:lang w:val="en-GB" w:eastAsia="zh-CN"/>
        </w:rPr>
        <w:t>竞争性</w:t>
      </w:r>
      <w:r>
        <w:rPr>
          <w:rFonts w:hint="eastAsia" w:ascii="宋体" w:hAnsi="宋体" w:eastAsia="宋体" w:cs="宋体"/>
          <w:color w:val="auto"/>
          <w:sz w:val="24"/>
          <w:lang w:val="en-US" w:eastAsia="zh-CN"/>
        </w:rPr>
        <w:t>谈判</w:t>
      </w:r>
      <w:r>
        <w:rPr>
          <w:rFonts w:hint="eastAsia" w:ascii="宋体" w:hAnsi="宋体" w:eastAsia="宋体" w:cs="宋体"/>
          <w:color w:val="auto"/>
          <w:sz w:val="24"/>
          <w:lang w:eastAsia="zh-CN"/>
        </w:rPr>
        <w:t>文件仅适用于</w:t>
      </w:r>
      <w:r>
        <w:rPr>
          <w:rFonts w:hint="eastAsia" w:ascii="宋体" w:hAnsi="宋体" w:eastAsia="宋体" w:cs="宋体"/>
          <w:color w:val="auto"/>
          <w:sz w:val="24"/>
          <w:lang w:val="en-GB" w:eastAsia="zh-CN"/>
        </w:rPr>
        <w:t>本次</w:t>
      </w:r>
      <w:r>
        <w:rPr>
          <w:rFonts w:hint="eastAsia" w:ascii="宋体" w:hAnsi="宋体" w:eastAsia="宋体" w:cs="宋体"/>
          <w:color w:val="auto"/>
          <w:sz w:val="24"/>
          <w:lang w:val="en-US" w:eastAsia="zh-CN"/>
        </w:rPr>
        <w:t>谈判</w:t>
      </w:r>
      <w:r>
        <w:rPr>
          <w:rFonts w:hint="eastAsia" w:ascii="宋体" w:hAnsi="宋体" w:eastAsia="宋体" w:cs="宋体"/>
          <w:color w:val="auto"/>
          <w:sz w:val="24"/>
          <w:lang w:val="en-GB" w:eastAsia="zh-CN"/>
        </w:rPr>
        <w:t>邀请中所叙述项目的货物、服务、</w:t>
      </w:r>
      <w:r>
        <w:rPr>
          <w:rFonts w:hint="eastAsia" w:ascii="宋体" w:hAnsi="宋体" w:eastAsia="宋体" w:cs="宋体"/>
          <w:color w:val="auto"/>
          <w:sz w:val="24"/>
          <w:lang w:eastAsia="zh-CN"/>
        </w:rPr>
        <w:t>报价活动</w:t>
      </w:r>
      <w:r>
        <w:rPr>
          <w:rFonts w:hint="eastAsia" w:ascii="宋体" w:hAnsi="宋体" w:eastAsia="宋体" w:cs="宋体"/>
          <w:color w:val="auto"/>
          <w:sz w:val="24"/>
          <w:lang w:val="en-GB" w:eastAsia="zh-CN"/>
        </w:rPr>
        <w:t>。</w:t>
      </w:r>
    </w:p>
    <w:p>
      <w:pPr>
        <w:spacing w:line="360" w:lineRule="auto"/>
        <w:rPr>
          <w:rFonts w:hint="eastAsia" w:ascii="宋体" w:hAnsi="宋体" w:cs="宋体"/>
          <w:color w:val="auto"/>
          <w:sz w:val="24"/>
        </w:rPr>
      </w:pPr>
      <w:r>
        <w:rPr>
          <w:rFonts w:hint="eastAsia" w:ascii="宋体" w:hAnsi="宋体" w:cs="宋体"/>
          <w:color w:val="auto"/>
          <w:sz w:val="24"/>
          <w:lang w:val="en-US" w:eastAsia="zh-CN"/>
        </w:rPr>
        <w:t>2</w:t>
      </w:r>
      <w:r>
        <w:rPr>
          <w:rFonts w:hint="eastAsia" w:ascii="宋体" w:hAnsi="宋体" w:cs="宋体"/>
          <w:color w:val="auto"/>
          <w:sz w:val="24"/>
        </w:rPr>
        <w:t>. 名词解释</w:t>
      </w:r>
    </w:p>
    <w:p>
      <w:pPr>
        <w:spacing w:line="360" w:lineRule="auto"/>
        <w:ind w:firstLine="480" w:firstLineChars="200"/>
        <w:rPr>
          <w:rFonts w:hint="eastAsia" w:ascii="宋体" w:hAnsi="宋体" w:eastAsia="宋体" w:cs="宋体"/>
          <w:color w:val="auto"/>
          <w:sz w:val="24"/>
          <w:lang w:eastAsia="zh-CN"/>
        </w:rPr>
      </w:pPr>
      <w:r>
        <w:rPr>
          <w:rFonts w:hint="eastAsia" w:ascii="宋体" w:hAnsi="宋体" w:cs="宋体"/>
          <w:color w:val="auto"/>
          <w:sz w:val="24"/>
          <w:lang w:val="en-US" w:eastAsia="zh-CN"/>
        </w:rPr>
        <w:t>2</w:t>
      </w:r>
      <w:r>
        <w:rPr>
          <w:rFonts w:hint="eastAsia" w:ascii="宋体" w:hAnsi="宋体" w:cs="宋体"/>
          <w:color w:val="auto"/>
          <w:sz w:val="24"/>
        </w:rPr>
        <w:t>.1 采购人：屯昌县西昌镇晨星幼儿园</w:t>
      </w:r>
      <w:r>
        <w:rPr>
          <w:rFonts w:hint="eastAsia" w:ascii="宋体" w:hAnsi="宋体" w:cs="宋体"/>
          <w:color w:val="auto"/>
          <w:sz w:val="24"/>
          <w:lang w:val="en-US" w:eastAsia="zh-CN"/>
        </w:rPr>
        <w:t xml:space="preserve"> </w:t>
      </w:r>
    </w:p>
    <w:p>
      <w:pPr>
        <w:spacing w:line="360" w:lineRule="auto"/>
        <w:ind w:firstLine="480" w:firstLineChars="200"/>
        <w:rPr>
          <w:rFonts w:hint="eastAsia" w:ascii="宋体" w:hAnsi="宋体" w:eastAsia="宋体" w:cs="宋体"/>
          <w:color w:val="auto"/>
          <w:sz w:val="24"/>
          <w:lang w:eastAsia="zh-CN"/>
        </w:rPr>
      </w:pPr>
      <w:r>
        <w:rPr>
          <w:rFonts w:hint="eastAsia" w:ascii="宋体" w:hAnsi="宋体" w:cs="宋体"/>
          <w:color w:val="auto"/>
          <w:sz w:val="24"/>
          <w:lang w:val="en-US" w:eastAsia="zh-CN"/>
        </w:rPr>
        <w:t>2</w:t>
      </w:r>
      <w:r>
        <w:rPr>
          <w:rFonts w:hint="eastAsia" w:ascii="宋体" w:hAnsi="宋体" w:cs="宋体"/>
          <w:color w:val="auto"/>
          <w:sz w:val="24"/>
        </w:rPr>
        <w:t>.2 采购代理机构：</w:t>
      </w:r>
      <w:r>
        <w:rPr>
          <w:rFonts w:hint="eastAsia" w:ascii="宋体" w:hAnsi="宋体" w:cs="宋体"/>
          <w:color w:val="auto"/>
          <w:sz w:val="24"/>
          <w:lang w:eastAsia="zh-CN"/>
        </w:rPr>
        <w:t>海南政辉招投标代理有限公司</w:t>
      </w:r>
    </w:p>
    <w:p>
      <w:pPr>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2</w:t>
      </w:r>
      <w:r>
        <w:rPr>
          <w:rFonts w:hint="eastAsia" w:ascii="宋体" w:hAnsi="宋体" w:cs="宋体"/>
          <w:color w:val="auto"/>
          <w:sz w:val="24"/>
        </w:rPr>
        <w:t>.3 供应商：已从采购代理机构购买</w:t>
      </w:r>
      <w:r>
        <w:rPr>
          <w:rFonts w:hint="eastAsia" w:ascii="宋体" w:hAnsi="宋体" w:cs="宋体"/>
          <w:color w:val="auto"/>
          <w:sz w:val="24"/>
          <w:lang w:val="en-US" w:eastAsia="zh-CN"/>
        </w:rPr>
        <w:t>竞争性</w:t>
      </w:r>
      <w:r>
        <w:rPr>
          <w:rFonts w:hint="eastAsia" w:ascii="宋体" w:hAnsi="宋体" w:cs="宋体"/>
          <w:color w:val="auto"/>
          <w:sz w:val="24"/>
          <w:lang w:eastAsia="zh-CN"/>
        </w:rPr>
        <w:t>谈判文件</w:t>
      </w:r>
      <w:r>
        <w:rPr>
          <w:rFonts w:hint="eastAsia" w:ascii="宋体" w:hAnsi="宋体" w:cs="宋体"/>
          <w:color w:val="auto"/>
          <w:sz w:val="24"/>
        </w:rPr>
        <w:t>并向采购代理机构提交</w:t>
      </w:r>
      <w:r>
        <w:rPr>
          <w:rFonts w:hint="eastAsia" w:ascii="宋体" w:hAnsi="宋体" w:cs="宋体"/>
          <w:color w:val="auto"/>
          <w:sz w:val="24"/>
          <w:lang w:eastAsia="zh-CN"/>
        </w:rPr>
        <w:t>报价</w:t>
      </w:r>
      <w:r>
        <w:rPr>
          <w:rFonts w:hint="eastAsia" w:ascii="宋体" w:hAnsi="宋体" w:cs="宋体"/>
          <w:color w:val="auto"/>
          <w:sz w:val="24"/>
        </w:rPr>
        <w:t>文件的供应商。</w:t>
      </w:r>
    </w:p>
    <w:p>
      <w:pPr>
        <w:spacing w:line="360" w:lineRule="auto"/>
        <w:rPr>
          <w:rFonts w:hint="eastAsia" w:ascii="宋体" w:hAnsi="宋体" w:eastAsia="宋体" w:cs="宋体"/>
          <w:color w:val="auto"/>
          <w:sz w:val="24"/>
          <w:lang w:val="en-GB" w:eastAsia="zh-CN"/>
        </w:rPr>
      </w:pPr>
      <w:bookmarkStart w:id="19" w:name="_Toc6922"/>
      <w:bookmarkStart w:id="20" w:name="_Toc433126986"/>
      <w:bookmarkStart w:id="21" w:name="_Toc183582208"/>
      <w:bookmarkStart w:id="22" w:name="_Toc183682345"/>
      <w:bookmarkStart w:id="23" w:name="_Toc217446037"/>
      <w:r>
        <w:rPr>
          <w:rFonts w:hint="eastAsia" w:ascii="宋体" w:hAnsi="宋体" w:eastAsia="宋体" w:cs="宋体"/>
          <w:color w:val="auto"/>
          <w:sz w:val="24"/>
          <w:lang w:eastAsia="zh-CN"/>
        </w:rPr>
        <w:t>3</w:t>
      </w:r>
      <w:r>
        <w:rPr>
          <w:rFonts w:hint="eastAsia" w:ascii="宋体" w:hAnsi="宋体" w:eastAsia="宋体" w:cs="宋体"/>
          <w:color w:val="auto"/>
          <w:sz w:val="24"/>
          <w:lang w:val="en-GB" w:eastAsia="zh-CN"/>
        </w:rPr>
        <w:t>、合格的货物和服务</w:t>
      </w:r>
      <w:bookmarkEnd w:id="19"/>
      <w:bookmarkEnd w:id="20"/>
    </w:p>
    <w:bookmarkEnd w:id="21"/>
    <w:bookmarkEnd w:id="22"/>
    <w:bookmarkEnd w:id="23"/>
    <w:p>
      <w:pPr>
        <w:spacing w:line="360" w:lineRule="auto"/>
        <w:ind w:firstLine="480" w:firstLineChars="200"/>
        <w:rPr>
          <w:rFonts w:hint="eastAsia" w:ascii="宋体" w:hAnsi="宋体" w:eastAsia="宋体" w:cs="宋体"/>
          <w:color w:val="auto"/>
          <w:sz w:val="24"/>
          <w:lang w:val="en-GB"/>
        </w:rPr>
      </w:pPr>
      <w:r>
        <w:rPr>
          <w:rFonts w:hint="eastAsia" w:ascii="宋体" w:hAnsi="宋体" w:eastAsia="宋体" w:cs="宋体"/>
          <w:color w:val="auto"/>
          <w:sz w:val="24"/>
          <w:lang w:val="en-GB"/>
        </w:rPr>
        <w:t>3.1 “货物”系指供应商制造或组织符合</w:t>
      </w:r>
      <w:r>
        <w:rPr>
          <w:rFonts w:hint="eastAsia" w:ascii="宋体" w:hAnsi="宋体" w:eastAsia="宋体" w:cs="宋体"/>
          <w:color w:val="auto"/>
          <w:sz w:val="24"/>
          <w:lang w:val="en-GB" w:eastAsia="zh-CN"/>
        </w:rPr>
        <w:t>谈判</w:t>
      </w:r>
      <w:r>
        <w:rPr>
          <w:rFonts w:hint="eastAsia" w:ascii="宋体" w:hAnsi="宋体" w:eastAsia="宋体" w:cs="宋体"/>
          <w:color w:val="auto"/>
          <w:sz w:val="24"/>
          <w:lang w:val="en-GB"/>
        </w:rPr>
        <w:t>采购文件要求的货物等。所投货物必须是合法生产的合格货物，并能够按照货物合同规定的品牌、产地、质量、价格和有效期等。</w:t>
      </w:r>
    </w:p>
    <w:p>
      <w:pPr>
        <w:spacing w:line="360" w:lineRule="auto"/>
        <w:ind w:firstLine="480" w:firstLineChars="200"/>
        <w:rPr>
          <w:rFonts w:hint="eastAsia" w:ascii="宋体" w:hAnsi="宋体" w:eastAsia="宋体" w:cs="宋体"/>
          <w:color w:val="auto"/>
          <w:sz w:val="24"/>
          <w:lang w:val="en-GB"/>
        </w:rPr>
      </w:pPr>
      <w:r>
        <w:rPr>
          <w:rFonts w:hint="eastAsia" w:ascii="宋体" w:hAnsi="宋体" w:eastAsia="宋体" w:cs="宋体"/>
          <w:color w:val="auto"/>
          <w:sz w:val="24"/>
          <w:lang w:val="en-GB"/>
        </w:rPr>
        <w:t>3.2 “服务”系指除货物以外的其他政府采购对象，其中包括：卖方须承担的运输、安装、技术支持与升级、培训、验收以及其它类似附加服务的义务。</w:t>
      </w:r>
    </w:p>
    <w:bookmarkEnd w:id="18"/>
    <w:p>
      <w:pPr>
        <w:spacing w:line="360" w:lineRule="auto"/>
        <w:rPr>
          <w:rFonts w:hint="eastAsia" w:ascii="宋体" w:hAnsi="宋体" w:cs="宋体"/>
          <w:color w:val="auto"/>
          <w:sz w:val="24"/>
        </w:rPr>
      </w:pPr>
      <w:r>
        <w:rPr>
          <w:rFonts w:hint="eastAsia" w:ascii="宋体" w:hAnsi="宋体" w:cs="宋体"/>
          <w:color w:val="auto"/>
          <w:sz w:val="24"/>
          <w:lang w:val="en-US" w:eastAsia="zh-CN"/>
        </w:rPr>
        <w:t>4</w:t>
      </w:r>
      <w:r>
        <w:rPr>
          <w:rFonts w:hint="eastAsia" w:ascii="宋体" w:hAnsi="宋体" w:cs="宋体"/>
          <w:color w:val="auto"/>
          <w:sz w:val="24"/>
        </w:rPr>
        <w:t>．合格的供应商</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lang w:val="en-US" w:eastAsia="zh-CN"/>
        </w:rPr>
        <w:t>4</w:t>
      </w:r>
      <w:r>
        <w:rPr>
          <w:rFonts w:hint="eastAsia" w:ascii="宋体" w:hAnsi="宋体" w:cs="宋体"/>
          <w:color w:val="auto"/>
          <w:sz w:val="24"/>
        </w:rPr>
        <w:t>.1 凡有能力按照本</w:t>
      </w:r>
      <w:r>
        <w:rPr>
          <w:rFonts w:hint="eastAsia" w:ascii="宋体" w:hAnsi="宋体" w:cs="宋体"/>
          <w:color w:val="auto"/>
          <w:sz w:val="24"/>
          <w:lang w:val="en-US" w:eastAsia="zh-CN"/>
        </w:rPr>
        <w:t>竞争性谈判</w:t>
      </w:r>
      <w:r>
        <w:rPr>
          <w:rFonts w:hint="eastAsia" w:ascii="宋体" w:hAnsi="宋体" w:cs="宋体"/>
          <w:color w:val="auto"/>
          <w:sz w:val="24"/>
        </w:rPr>
        <w:t>文件规定的要求</w:t>
      </w:r>
      <w:r>
        <w:rPr>
          <w:rFonts w:hint="eastAsia" w:ascii="宋体" w:hAnsi="宋体" w:cs="宋体"/>
          <w:color w:val="auto"/>
          <w:sz w:val="24"/>
          <w:lang w:eastAsia="zh-CN"/>
        </w:rPr>
        <w:t>报价</w:t>
      </w:r>
      <w:r>
        <w:rPr>
          <w:rFonts w:hint="eastAsia" w:ascii="宋体" w:hAnsi="宋体" w:cs="宋体"/>
          <w:color w:val="auto"/>
          <w:sz w:val="24"/>
        </w:rPr>
        <w:t>服务的均为合格的供应商。</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lang w:val="en-US" w:eastAsia="zh-CN"/>
        </w:rPr>
        <w:t>4</w:t>
      </w:r>
      <w:r>
        <w:rPr>
          <w:rFonts w:hint="eastAsia" w:ascii="宋体" w:hAnsi="宋体" w:cs="宋体"/>
          <w:color w:val="auto"/>
          <w:sz w:val="24"/>
        </w:rPr>
        <w:t>.2 供应商参加本次政府采购活动应当符合《中华人民共和国政府采购法》第二十二条的规定，并具备本</w:t>
      </w:r>
      <w:r>
        <w:rPr>
          <w:rFonts w:hint="eastAsia" w:ascii="宋体" w:hAnsi="宋体" w:cs="宋体"/>
          <w:color w:val="auto"/>
          <w:sz w:val="24"/>
          <w:lang w:val="en-US" w:eastAsia="zh-CN"/>
        </w:rPr>
        <w:t>竞争性谈判</w:t>
      </w:r>
      <w:r>
        <w:rPr>
          <w:rFonts w:hint="eastAsia" w:ascii="宋体" w:hAnsi="宋体" w:cs="宋体"/>
          <w:color w:val="auto"/>
          <w:sz w:val="24"/>
        </w:rPr>
        <w:t>文件第一章“申请人的资格要求”规定的条件。</w:t>
      </w:r>
    </w:p>
    <w:p>
      <w:pPr>
        <w:shd w:val="clear" w:color="auto" w:fill="FFFFFF"/>
        <w:snapToGrid w:val="0"/>
        <w:spacing w:line="355" w:lineRule="auto"/>
        <w:ind w:firstLine="480" w:firstLineChars="200"/>
        <w:rPr>
          <w:rFonts w:hint="eastAsia" w:ascii="宋体" w:hAnsi="宋体" w:cs="宋体"/>
          <w:color w:val="auto"/>
          <w:sz w:val="24"/>
        </w:rPr>
      </w:pPr>
      <w:r>
        <w:rPr>
          <w:rFonts w:hint="eastAsia" w:ascii="宋体" w:hAnsi="宋体"/>
          <w:color w:val="auto"/>
          <w:sz w:val="24"/>
        </w:rPr>
        <w:t>补充说明：根据《政府采购法实施条例》及有关释义，银行、保险、石油石化、电力、电信运营商等有行业特殊情况的，其分支机构可参与投标。</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lang w:val="en-US" w:eastAsia="zh-CN"/>
        </w:rPr>
        <w:t>4</w:t>
      </w:r>
      <w:r>
        <w:rPr>
          <w:rFonts w:hint="eastAsia" w:ascii="宋体" w:hAnsi="宋体" w:cs="宋体"/>
          <w:color w:val="auto"/>
          <w:sz w:val="24"/>
        </w:rPr>
        <w:t>.3 供应商应遵守中华人民共和国的有关法律、法规。</w:t>
      </w:r>
    </w:p>
    <w:p>
      <w:pPr>
        <w:shd w:val="clear" w:color="auto" w:fill="FFFFFF"/>
        <w:snapToGrid w:val="0"/>
        <w:spacing w:line="355" w:lineRule="auto"/>
        <w:ind w:firstLine="480" w:firstLineChars="200"/>
        <w:rPr>
          <w:rFonts w:hint="eastAsia" w:ascii="宋体" w:hAnsi="宋体"/>
          <w:color w:val="auto"/>
          <w:sz w:val="24"/>
        </w:rPr>
      </w:pPr>
      <w:r>
        <w:rPr>
          <w:rFonts w:hint="eastAsia" w:ascii="宋体" w:hAnsi="宋体"/>
          <w:color w:val="auto"/>
          <w:sz w:val="24"/>
          <w:lang w:val="en-US" w:eastAsia="zh-CN"/>
        </w:rPr>
        <w:t>4</w:t>
      </w:r>
      <w:r>
        <w:rPr>
          <w:rFonts w:hint="eastAsia" w:ascii="宋体" w:hAnsi="宋体"/>
          <w:color w:val="auto"/>
          <w:sz w:val="24"/>
        </w:rPr>
        <w:t>.4 供应商在本项目</w:t>
      </w:r>
      <w:r>
        <w:rPr>
          <w:rFonts w:hint="eastAsia" w:ascii="宋体" w:hAnsi="宋体"/>
          <w:color w:val="auto"/>
          <w:sz w:val="24"/>
          <w:lang w:eastAsia="zh-CN"/>
        </w:rPr>
        <w:t>竞争性谈判</w:t>
      </w:r>
      <w:r>
        <w:rPr>
          <w:rFonts w:hint="eastAsia" w:ascii="宋体" w:hAnsi="宋体"/>
          <w:color w:val="auto"/>
          <w:sz w:val="24"/>
        </w:rPr>
        <w:t>公告前三年内被列入失信被执行人、重大税收违法案件当事人名单、政府采购严重违法失信行为记录名单，以及存在其他不符合《中华人民共和国政府采购法》第二十二条规定条件的情况的不得参与</w:t>
      </w:r>
      <w:r>
        <w:rPr>
          <w:rFonts w:hint="eastAsia" w:ascii="宋体" w:hAnsi="宋体"/>
          <w:color w:val="auto"/>
          <w:sz w:val="24"/>
          <w:lang w:val="en-US" w:eastAsia="zh-CN"/>
        </w:rPr>
        <w:t>谈判</w:t>
      </w:r>
      <w:r>
        <w:rPr>
          <w:rFonts w:hint="eastAsia" w:ascii="宋体" w:hAnsi="宋体"/>
          <w:color w:val="auto"/>
          <w:sz w:val="24"/>
        </w:rPr>
        <w:t>报价。</w:t>
      </w:r>
    </w:p>
    <w:p>
      <w:pPr>
        <w:shd w:val="clear" w:color="auto" w:fill="FFFFFF"/>
        <w:wordWrap w:val="0"/>
        <w:snapToGrid w:val="0"/>
        <w:spacing w:line="356" w:lineRule="auto"/>
        <w:ind w:firstLine="480" w:firstLineChars="200"/>
        <w:jc w:val="left"/>
        <w:rPr>
          <w:rFonts w:hint="default" w:ascii="宋体" w:hAnsi="宋体" w:eastAsia="宋体"/>
          <w:color w:val="auto"/>
          <w:sz w:val="24"/>
          <w:lang w:val="en-US" w:eastAsia="zh-CN"/>
        </w:rPr>
      </w:pPr>
      <w:r>
        <w:rPr>
          <w:rFonts w:hint="eastAsia" w:ascii="宋体" w:hAnsi="宋体" w:cs="宋体"/>
          <w:color w:val="auto"/>
          <w:sz w:val="24"/>
          <w:lang w:val="en-US" w:eastAsia="zh-CN"/>
        </w:rPr>
        <w:t>4</w:t>
      </w:r>
      <w:r>
        <w:rPr>
          <w:rFonts w:hint="eastAsia" w:ascii="宋体" w:hAnsi="宋体" w:cs="宋体"/>
          <w:color w:val="auto"/>
          <w:sz w:val="24"/>
        </w:rPr>
        <w:t>.5</w:t>
      </w:r>
      <w:r>
        <w:rPr>
          <w:rFonts w:hint="eastAsia" w:ascii="宋体" w:hAnsi="宋体" w:cs="宋体"/>
          <w:color w:val="auto"/>
          <w:sz w:val="24"/>
          <w:lang w:val="en-US" w:eastAsia="zh-CN"/>
        </w:rPr>
        <w:t xml:space="preserve"> </w:t>
      </w:r>
      <w:r>
        <w:rPr>
          <w:rFonts w:hint="eastAsia" w:ascii="宋体" w:hAnsi="宋体" w:cs="宋体"/>
          <w:color w:val="auto"/>
          <w:sz w:val="24"/>
        </w:rPr>
        <w:t>信用记录以中国执行信息公开网</w:t>
      </w:r>
      <w:r>
        <w:rPr>
          <w:rFonts w:hint="eastAsia" w:ascii="宋体" w:hAnsi="宋体" w:cs="宋体"/>
          <w:color w:val="auto"/>
          <w:sz w:val="24"/>
          <w:lang w:eastAsia="zh-CN"/>
        </w:rPr>
        <w:t>（http://zxgk.court.gov.cn）</w:t>
      </w:r>
      <w:r>
        <w:rPr>
          <w:rFonts w:hint="eastAsia" w:ascii="宋体" w:hAnsi="宋体"/>
          <w:color w:val="auto"/>
          <w:sz w:val="24"/>
          <w:lang w:eastAsia="zh-CN"/>
        </w:rPr>
        <w:t>、</w:t>
      </w:r>
      <w:r>
        <w:rPr>
          <w:rFonts w:hint="eastAsia" w:ascii="宋体" w:hAnsi="宋体"/>
          <w:color w:val="auto"/>
          <w:sz w:val="24"/>
        </w:rPr>
        <w:t>信用中国（www.creditchina.gov.cn）、中国政府采购网（www.ccgp.gov.cn）上公布的信用记录为准。</w:t>
      </w:r>
    </w:p>
    <w:p>
      <w:pPr>
        <w:pStyle w:val="19"/>
        <w:shd w:val="clear" w:color="auto" w:fill="auto"/>
        <w:spacing w:before="0" w:after="0" w:line="360" w:lineRule="auto"/>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4.6单位负责人为同一人或者存在直接控股、管理关系的不同供应商，不得参加同一合同项下的政府采购活动。</w:t>
      </w:r>
    </w:p>
    <w:p>
      <w:pPr>
        <w:shd w:val="clear" w:color="auto" w:fill="auto"/>
        <w:spacing w:line="360" w:lineRule="auto"/>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4.7除</w:t>
      </w:r>
      <w:r>
        <w:rPr>
          <w:rFonts w:hint="eastAsia" w:ascii="宋体" w:hAnsi="宋体" w:eastAsia="宋体" w:cs="宋体"/>
          <w:b w:val="0"/>
          <w:bCs w:val="0"/>
          <w:color w:val="auto"/>
          <w:sz w:val="24"/>
          <w:szCs w:val="24"/>
          <w:lang w:val="en-US" w:eastAsia="zh-CN"/>
        </w:rPr>
        <w:fldChar w:fldCharType="begin"/>
      </w:r>
      <w:r>
        <w:rPr>
          <w:rFonts w:hint="eastAsia" w:ascii="宋体" w:hAnsi="宋体" w:eastAsia="宋体" w:cs="宋体"/>
          <w:b w:val="0"/>
          <w:bCs w:val="0"/>
          <w:color w:val="auto"/>
          <w:sz w:val="24"/>
          <w:szCs w:val="24"/>
          <w:lang w:val="en-US" w:eastAsia="zh-CN"/>
        </w:rPr>
        <w:instrText xml:space="preserve"> HYPERLINK "https://baike.sogou.com/lemma/ShowInnerLink.htm?lemmaId=7589043&amp;ss_c=ssc.citiao.link" \t "https://baike.sogou.com/_blank" </w:instrText>
      </w:r>
      <w:r>
        <w:rPr>
          <w:rFonts w:hint="eastAsia" w:ascii="宋体" w:hAnsi="宋体" w:eastAsia="宋体" w:cs="宋体"/>
          <w:b w:val="0"/>
          <w:bCs w:val="0"/>
          <w:color w:val="auto"/>
          <w:sz w:val="24"/>
          <w:szCs w:val="24"/>
          <w:lang w:val="en-US" w:eastAsia="zh-CN"/>
        </w:rPr>
        <w:fldChar w:fldCharType="separate"/>
      </w:r>
      <w:r>
        <w:rPr>
          <w:rFonts w:hint="eastAsia" w:ascii="宋体" w:hAnsi="宋体" w:eastAsia="宋体" w:cs="宋体"/>
          <w:b w:val="0"/>
          <w:bCs w:val="0"/>
          <w:color w:val="auto"/>
          <w:sz w:val="24"/>
          <w:szCs w:val="24"/>
          <w:lang w:val="en-US" w:eastAsia="zh-CN"/>
        </w:rPr>
        <w:t>单一来源采购</w:t>
      </w:r>
      <w:r>
        <w:rPr>
          <w:rFonts w:hint="eastAsia" w:ascii="宋体" w:hAnsi="宋体" w:eastAsia="宋体" w:cs="宋体"/>
          <w:b w:val="0"/>
          <w:bCs w:val="0"/>
          <w:color w:val="auto"/>
          <w:sz w:val="24"/>
          <w:szCs w:val="24"/>
          <w:lang w:val="en-US" w:eastAsia="zh-CN"/>
        </w:rPr>
        <w:fldChar w:fldCharType="end"/>
      </w:r>
      <w:r>
        <w:rPr>
          <w:rFonts w:hint="eastAsia" w:ascii="宋体" w:hAnsi="宋体" w:eastAsia="宋体" w:cs="宋体"/>
          <w:b w:val="0"/>
          <w:bCs w:val="0"/>
          <w:color w:val="auto"/>
          <w:sz w:val="24"/>
          <w:szCs w:val="24"/>
          <w:lang w:val="en-US" w:eastAsia="zh-CN"/>
        </w:rPr>
        <w:t>项目外，为采购项目提供整体设计、规范编制或者项目管理、监理、检测等服务的供应商，不得再参加该采购项目的其他采购活动。</w:t>
      </w:r>
    </w:p>
    <w:p>
      <w:pPr>
        <w:shd w:val="clear" w:color="auto" w:fill="FFFFFF"/>
        <w:snapToGrid w:val="0"/>
        <w:spacing w:line="355" w:lineRule="auto"/>
        <w:rPr>
          <w:rFonts w:hint="eastAsia" w:ascii="宋体" w:hAnsi="宋体" w:eastAsia="宋体" w:cs="Times New Roman"/>
          <w:color w:val="auto"/>
          <w:sz w:val="24"/>
        </w:rPr>
      </w:pPr>
      <w:r>
        <w:rPr>
          <w:rFonts w:hint="eastAsia" w:ascii="宋体" w:hAnsi="宋体" w:eastAsia="宋体" w:cs="Times New Roman"/>
          <w:color w:val="auto"/>
          <w:sz w:val="24"/>
          <w:lang w:val="en-US" w:eastAsia="zh-CN"/>
        </w:rPr>
        <w:t>5</w:t>
      </w:r>
      <w:r>
        <w:rPr>
          <w:rFonts w:hint="eastAsia" w:ascii="宋体" w:hAnsi="宋体" w:eastAsia="宋体" w:cs="Times New Roman"/>
          <w:color w:val="auto"/>
          <w:sz w:val="24"/>
        </w:rPr>
        <w:t>.联合体投标</w:t>
      </w:r>
    </w:p>
    <w:p>
      <w:pPr>
        <w:shd w:val="clear" w:color="auto" w:fill="FFFFFF"/>
        <w:snapToGrid w:val="0"/>
        <w:spacing w:line="355" w:lineRule="auto"/>
        <w:ind w:firstLine="480" w:firstLineChars="200"/>
        <w:rPr>
          <w:rFonts w:hint="eastAsia" w:ascii="宋体" w:hAnsi="宋体" w:eastAsia="宋体" w:cs="Times New Roman"/>
          <w:color w:val="auto"/>
          <w:sz w:val="24"/>
        </w:rPr>
      </w:pPr>
      <w:r>
        <w:rPr>
          <w:rFonts w:hint="eastAsia" w:ascii="宋体" w:hAnsi="宋体" w:eastAsia="宋体" w:cs="Times New Roman"/>
          <w:color w:val="auto"/>
          <w:sz w:val="24"/>
          <w:lang w:val="en-US" w:eastAsia="zh-CN"/>
        </w:rPr>
        <w:t>5</w:t>
      </w:r>
      <w:r>
        <w:rPr>
          <w:rFonts w:hint="eastAsia" w:ascii="宋体" w:hAnsi="宋体" w:eastAsia="宋体" w:cs="Times New Roman"/>
          <w:color w:val="auto"/>
          <w:sz w:val="24"/>
        </w:rPr>
        <w:t>.1</w:t>
      </w:r>
      <w:r>
        <w:rPr>
          <w:rFonts w:hint="eastAsia" w:ascii="宋体" w:hAnsi="宋体" w:eastAsia="宋体" w:cs="Times New Roman"/>
          <w:color w:val="auto"/>
          <w:sz w:val="24"/>
          <w:lang w:val="en-US" w:eastAsia="zh-CN"/>
        </w:rPr>
        <w:t xml:space="preserve"> </w:t>
      </w:r>
      <w:r>
        <w:rPr>
          <w:rFonts w:hint="eastAsia" w:ascii="宋体" w:hAnsi="宋体" w:eastAsia="宋体" w:cs="Times New Roman"/>
          <w:color w:val="auto"/>
          <w:sz w:val="24"/>
        </w:rPr>
        <w:t>联合投标时，联合体各方之间应当签订共同投标协议，明确约定联合体各方承担的工作和相应的责任，并将共同投标协议连同</w:t>
      </w:r>
      <w:r>
        <w:rPr>
          <w:rFonts w:hint="eastAsia" w:ascii="宋体" w:hAnsi="宋体" w:eastAsia="宋体" w:cs="Times New Roman"/>
          <w:color w:val="auto"/>
          <w:sz w:val="24"/>
          <w:lang w:eastAsia="zh-CN"/>
        </w:rPr>
        <w:t>报价</w:t>
      </w:r>
      <w:r>
        <w:rPr>
          <w:rFonts w:hint="eastAsia" w:ascii="宋体" w:hAnsi="宋体" w:eastAsia="宋体" w:cs="Times New Roman"/>
          <w:color w:val="auto"/>
          <w:sz w:val="24"/>
        </w:rPr>
        <w:t>文件一并提交。联合体各方签订共同投标协议后，不得再以自己名义单独在同一项目中投标，也不得组成新的联合体参加同一项目投标。联合体中至少有一方完全满足投标人资格要求的特定条件。</w:t>
      </w:r>
    </w:p>
    <w:p>
      <w:pPr>
        <w:shd w:val="clear" w:color="auto" w:fill="FFFFFF"/>
        <w:snapToGrid w:val="0"/>
        <w:spacing w:line="355" w:lineRule="auto"/>
        <w:ind w:firstLine="480" w:firstLineChars="200"/>
        <w:rPr>
          <w:rFonts w:hint="eastAsia" w:ascii="宋体" w:hAnsi="宋体" w:eastAsia="宋体" w:cs="Times New Roman"/>
          <w:color w:val="auto"/>
          <w:sz w:val="24"/>
          <w:lang w:val="en-US" w:eastAsia="zh-CN"/>
        </w:rPr>
      </w:pPr>
      <w:r>
        <w:rPr>
          <w:rFonts w:hint="eastAsia" w:ascii="宋体" w:hAnsi="宋体" w:eastAsia="宋体" w:cs="Times New Roman"/>
          <w:color w:val="auto"/>
          <w:sz w:val="24"/>
          <w:lang w:val="en-US" w:eastAsia="zh-CN"/>
        </w:rPr>
        <w:t>5</w:t>
      </w:r>
      <w:r>
        <w:rPr>
          <w:rFonts w:hint="eastAsia" w:ascii="宋体" w:hAnsi="宋体" w:eastAsia="宋体" w:cs="Times New Roman"/>
          <w:color w:val="auto"/>
          <w:sz w:val="24"/>
        </w:rPr>
        <w:t>.2 本项目是否接受联合体投标：</w:t>
      </w:r>
      <w:r>
        <w:rPr>
          <w:rFonts w:hint="eastAsia" w:ascii="宋体" w:hAnsi="宋体" w:eastAsia="宋体" w:cs="Times New Roman"/>
          <w:color w:val="auto"/>
          <w:sz w:val="24"/>
          <w:lang w:val="en-US" w:eastAsia="zh-CN"/>
        </w:rPr>
        <w:t>以招标文件第一章投标邀请函中申请人的资格要求规定为准。</w:t>
      </w:r>
    </w:p>
    <w:p>
      <w:pPr>
        <w:shd w:val="clear" w:color="auto" w:fill="FFFFFF"/>
        <w:snapToGrid w:val="0"/>
        <w:spacing w:line="355" w:lineRule="auto"/>
        <w:rPr>
          <w:rFonts w:hint="eastAsia" w:ascii="宋体" w:hAnsi="宋体"/>
          <w:color w:val="auto"/>
          <w:sz w:val="24"/>
        </w:rPr>
      </w:pPr>
      <w:r>
        <w:rPr>
          <w:rFonts w:hint="eastAsia" w:ascii="宋体" w:hAnsi="宋体"/>
          <w:color w:val="auto"/>
          <w:sz w:val="24"/>
          <w:lang w:val="en-US" w:eastAsia="zh-CN"/>
        </w:rPr>
        <w:t>6.</w:t>
      </w:r>
      <w:r>
        <w:rPr>
          <w:rFonts w:hint="eastAsia" w:ascii="宋体" w:hAnsi="宋体"/>
          <w:color w:val="auto"/>
          <w:sz w:val="24"/>
          <w:lang w:eastAsia="zh-CN"/>
        </w:rPr>
        <w:t>谈判</w:t>
      </w:r>
      <w:r>
        <w:rPr>
          <w:rFonts w:hint="eastAsia" w:ascii="宋体" w:hAnsi="宋体"/>
          <w:color w:val="auto"/>
          <w:sz w:val="24"/>
        </w:rPr>
        <w:t>费用和解释权</w:t>
      </w:r>
    </w:p>
    <w:p>
      <w:pPr>
        <w:shd w:val="clear" w:color="auto" w:fill="FFFFFF"/>
        <w:snapToGrid w:val="0"/>
        <w:spacing w:line="355" w:lineRule="auto"/>
        <w:ind w:firstLine="480" w:firstLineChars="200"/>
        <w:rPr>
          <w:rFonts w:hint="eastAsia" w:ascii="宋体" w:hAnsi="宋体"/>
          <w:color w:val="auto"/>
          <w:sz w:val="24"/>
        </w:rPr>
      </w:pPr>
      <w:r>
        <w:rPr>
          <w:rFonts w:hint="eastAsia" w:ascii="宋体" w:hAnsi="宋体"/>
          <w:color w:val="auto"/>
          <w:sz w:val="24"/>
          <w:lang w:val="en-US" w:eastAsia="zh-CN"/>
        </w:rPr>
        <w:t>6</w:t>
      </w:r>
      <w:r>
        <w:rPr>
          <w:rFonts w:hint="eastAsia" w:ascii="宋体" w:hAnsi="宋体"/>
          <w:color w:val="auto"/>
          <w:sz w:val="24"/>
        </w:rPr>
        <w:t>.1无论</w:t>
      </w:r>
      <w:r>
        <w:rPr>
          <w:rFonts w:hint="eastAsia" w:ascii="宋体" w:hAnsi="宋体"/>
          <w:color w:val="auto"/>
          <w:sz w:val="24"/>
          <w:lang w:eastAsia="zh-CN"/>
        </w:rPr>
        <w:t>谈判</w:t>
      </w:r>
      <w:r>
        <w:rPr>
          <w:rFonts w:hint="eastAsia" w:ascii="宋体" w:hAnsi="宋体"/>
          <w:color w:val="auto"/>
          <w:sz w:val="24"/>
        </w:rPr>
        <w:t>过程中的做法和结果如何，供应商均自行承担所有与参加</w:t>
      </w:r>
      <w:r>
        <w:rPr>
          <w:rFonts w:hint="eastAsia" w:ascii="宋体" w:hAnsi="宋体"/>
          <w:color w:val="auto"/>
          <w:sz w:val="24"/>
          <w:lang w:eastAsia="zh-CN"/>
        </w:rPr>
        <w:t>谈判</w:t>
      </w:r>
      <w:r>
        <w:rPr>
          <w:rFonts w:hint="eastAsia" w:ascii="宋体" w:hAnsi="宋体"/>
          <w:color w:val="auto"/>
          <w:sz w:val="24"/>
        </w:rPr>
        <w:t>有关的全部费用。</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宋体" w:hAnsi="宋体"/>
          <w:color w:val="auto"/>
          <w:sz w:val="24"/>
          <w:lang w:val="en-US" w:eastAsia="zh-CN"/>
        </w:rPr>
        <w:t>6</w:t>
      </w:r>
      <w:r>
        <w:rPr>
          <w:rFonts w:hint="eastAsia" w:ascii="宋体" w:hAnsi="宋体"/>
          <w:color w:val="auto"/>
          <w:sz w:val="24"/>
        </w:rPr>
        <w:t>.2本</w:t>
      </w:r>
      <w:r>
        <w:rPr>
          <w:rFonts w:hint="eastAsia" w:ascii="宋体" w:hAnsi="宋体"/>
          <w:color w:val="auto"/>
          <w:sz w:val="24"/>
          <w:lang w:val="en-US" w:eastAsia="zh-CN"/>
        </w:rPr>
        <w:t>竞争性谈判</w:t>
      </w:r>
      <w:r>
        <w:rPr>
          <w:rFonts w:hint="eastAsia" w:ascii="宋体" w:hAnsi="宋体"/>
          <w:color w:val="auto"/>
          <w:sz w:val="24"/>
        </w:rPr>
        <w:t>文件由</w:t>
      </w:r>
      <w:r>
        <w:rPr>
          <w:rFonts w:hint="eastAsia" w:ascii="宋体" w:hAnsi="宋体"/>
          <w:color w:val="auto"/>
          <w:sz w:val="24"/>
          <w:lang w:eastAsia="zh-CN"/>
        </w:rPr>
        <w:t>海南政辉招投标代理有限公司</w:t>
      </w:r>
      <w:r>
        <w:rPr>
          <w:rFonts w:hint="eastAsia" w:ascii="宋体" w:hAnsi="宋体"/>
          <w:color w:val="auto"/>
          <w:sz w:val="24"/>
        </w:rPr>
        <w:t>负责解释。</w:t>
      </w:r>
    </w:p>
    <w:p>
      <w:pPr>
        <w:bidi w:val="0"/>
        <w:rPr>
          <w:rFonts w:hint="eastAsia"/>
          <w:b/>
          <w:bCs/>
          <w:sz w:val="32"/>
          <w:szCs w:val="32"/>
          <w:lang w:eastAsia="en-US"/>
        </w:rPr>
      </w:pPr>
      <w:bookmarkStart w:id="24" w:name="_Toc20363"/>
      <w:r>
        <w:rPr>
          <w:rFonts w:hint="eastAsia"/>
          <w:b/>
          <w:bCs/>
          <w:sz w:val="32"/>
          <w:szCs w:val="32"/>
          <w:lang w:eastAsia="en-US"/>
        </w:rPr>
        <w:t>二、</w:t>
      </w:r>
      <w:r>
        <w:rPr>
          <w:rFonts w:hint="eastAsia"/>
          <w:b/>
          <w:bCs/>
          <w:sz w:val="32"/>
          <w:szCs w:val="32"/>
          <w:lang w:val="en-US" w:eastAsia="zh-CN"/>
        </w:rPr>
        <w:t>竞争性谈判</w:t>
      </w:r>
      <w:r>
        <w:rPr>
          <w:rFonts w:hint="eastAsia"/>
          <w:b/>
          <w:bCs/>
          <w:sz w:val="32"/>
          <w:szCs w:val="32"/>
          <w:lang w:eastAsia="en-US"/>
        </w:rPr>
        <w:t>文件</w:t>
      </w:r>
      <w:bookmarkEnd w:id="24"/>
    </w:p>
    <w:p>
      <w:pPr>
        <w:spacing w:line="360" w:lineRule="auto"/>
        <w:rPr>
          <w:rFonts w:hint="eastAsia" w:ascii="宋体" w:hAnsi="宋体" w:cs="宋体"/>
          <w:color w:val="auto"/>
          <w:sz w:val="24"/>
        </w:rPr>
      </w:pPr>
      <w:r>
        <w:rPr>
          <w:rFonts w:hint="eastAsia" w:ascii="宋体" w:hAnsi="宋体" w:cs="宋体"/>
          <w:color w:val="auto"/>
          <w:sz w:val="24"/>
        </w:rPr>
        <w:t>7．</w:t>
      </w:r>
      <w:r>
        <w:rPr>
          <w:rFonts w:hint="eastAsia" w:ascii="宋体" w:hAnsi="宋体" w:cs="宋体"/>
          <w:color w:val="auto"/>
          <w:sz w:val="24"/>
          <w:lang w:val="en-US" w:eastAsia="zh-CN"/>
        </w:rPr>
        <w:t>竞争性谈判</w:t>
      </w:r>
      <w:r>
        <w:rPr>
          <w:rFonts w:hint="eastAsia" w:ascii="宋体" w:hAnsi="宋体" w:cs="宋体"/>
          <w:color w:val="auto"/>
          <w:sz w:val="24"/>
        </w:rPr>
        <w:t>文件的组成</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 xml:space="preserve">7.l </w:t>
      </w:r>
      <w:r>
        <w:rPr>
          <w:rFonts w:hint="eastAsia" w:ascii="宋体" w:hAnsi="宋体" w:cs="宋体"/>
          <w:color w:val="auto"/>
          <w:sz w:val="24"/>
          <w:lang w:val="en-US" w:eastAsia="zh-CN"/>
        </w:rPr>
        <w:t>竞争性谈判</w:t>
      </w:r>
      <w:r>
        <w:rPr>
          <w:rFonts w:hint="eastAsia" w:ascii="宋体" w:hAnsi="宋体" w:cs="宋体"/>
          <w:color w:val="auto"/>
          <w:sz w:val="24"/>
        </w:rPr>
        <w:t>文件由六部分组成，包括：</w:t>
      </w:r>
    </w:p>
    <w:p>
      <w:pPr>
        <w:spacing w:line="360" w:lineRule="auto"/>
        <w:ind w:firstLine="960" w:firstLineChars="400"/>
        <w:rPr>
          <w:rFonts w:hint="eastAsia" w:ascii="宋体" w:hAnsi="宋体" w:cs="宋体"/>
          <w:color w:val="auto"/>
          <w:sz w:val="24"/>
        </w:rPr>
      </w:pPr>
      <w:r>
        <w:rPr>
          <w:rFonts w:hint="eastAsia" w:ascii="宋体" w:hAnsi="宋体" w:cs="宋体"/>
          <w:color w:val="auto"/>
          <w:sz w:val="24"/>
        </w:rPr>
        <w:t xml:space="preserve">第一章  </w:t>
      </w:r>
      <w:r>
        <w:rPr>
          <w:rFonts w:hint="eastAsia" w:ascii="宋体" w:hAnsi="宋体" w:cs="宋体"/>
          <w:color w:val="auto"/>
          <w:sz w:val="24"/>
          <w:lang w:eastAsia="zh-CN"/>
        </w:rPr>
        <w:t>谈判</w:t>
      </w:r>
      <w:r>
        <w:rPr>
          <w:rFonts w:hint="eastAsia" w:ascii="宋体" w:hAnsi="宋体" w:cs="宋体"/>
          <w:color w:val="auto"/>
          <w:sz w:val="24"/>
        </w:rPr>
        <w:t>邀请书</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 xml:space="preserve">    第二章  供应商须知</w:t>
      </w:r>
    </w:p>
    <w:p>
      <w:pPr>
        <w:spacing w:line="360" w:lineRule="auto"/>
        <w:ind w:firstLine="960" w:firstLineChars="400"/>
        <w:rPr>
          <w:rFonts w:hint="eastAsia" w:ascii="宋体" w:hAnsi="宋体" w:cs="宋体"/>
          <w:color w:val="auto"/>
          <w:sz w:val="24"/>
        </w:rPr>
      </w:pPr>
      <w:r>
        <w:rPr>
          <w:rFonts w:hint="eastAsia" w:ascii="宋体" w:hAnsi="宋体" w:cs="宋体"/>
          <w:color w:val="auto"/>
          <w:sz w:val="24"/>
        </w:rPr>
        <w:t>第三章  用户需求书</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 xml:space="preserve">    第四章  合同条款</w:t>
      </w:r>
    </w:p>
    <w:p>
      <w:pPr>
        <w:spacing w:line="360" w:lineRule="auto"/>
        <w:ind w:firstLine="960" w:firstLineChars="400"/>
        <w:rPr>
          <w:rFonts w:hint="eastAsia" w:ascii="宋体" w:hAnsi="宋体" w:cs="宋体"/>
          <w:color w:val="auto"/>
          <w:sz w:val="24"/>
        </w:rPr>
      </w:pPr>
      <w:r>
        <w:rPr>
          <w:rFonts w:hint="eastAsia" w:ascii="宋体" w:hAnsi="宋体" w:cs="宋体"/>
          <w:color w:val="auto"/>
          <w:sz w:val="24"/>
        </w:rPr>
        <w:t xml:space="preserve">第五章  </w:t>
      </w:r>
      <w:r>
        <w:rPr>
          <w:rFonts w:hint="eastAsia" w:ascii="宋体" w:hAnsi="宋体" w:cs="宋体"/>
          <w:color w:val="auto"/>
          <w:sz w:val="24"/>
          <w:lang w:eastAsia="zh-CN"/>
        </w:rPr>
        <w:t>报价</w:t>
      </w:r>
      <w:r>
        <w:rPr>
          <w:rFonts w:hint="eastAsia" w:ascii="宋体" w:hAnsi="宋体" w:cs="宋体"/>
          <w:color w:val="auto"/>
          <w:sz w:val="24"/>
        </w:rPr>
        <w:t>文件内容和格式</w:t>
      </w:r>
    </w:p>
    <w:p>
      <w:pPr>
        <w:spacing w:line="360" w:lineRule="auto"/>
        <w:ind w:firstLine="960" w:firstLineChars="400"/>
        <w:rPr>
          <w:rFonts w:hint="eastAsia" w:ascii="宋体" w:hAnsi="宋体" w:cs="宋体"/>
          <w:color w:val="auto"/>
          <w:sz w:val="24"/>
        </w:rPr>
      </w:pPr>
      <w:r>
        <w:rPr>
          <w:rFonts w:hint="eastAsia" w:ascii="宋体" w:hAnsi="宋体" w:cs="宋体"/>
          <w:color w:val="auto"/>
          <w:sz w:val="24"/>
        </w:rPr>
        <w:t xml:space="preserve">第六章  </w:t>
      </w:r>
      <w:r>
        <w:rPr>
          <w:rFonts w:hint="eastAsia" w:ascii="宋体" w:hAnsi="宋体" w:cs="宋体"/>
          <w:color w:val="auto"/>
          <w:sz w:val="24"/>
          <w:lang w:eastAsia="zh-CN"/>
        </w:rPr>
        <w:t>谈判</w:t>
      </w:r>
      <w:r>
        <w:rPr>
          <w:rFonts w:hint="eastAsia" w:ascii="宋体" w:hAnsi="宋体" w:cs="宋体"/>
          <w:color w:val="auto"/>
          <w:sz w:val="24"/>
        </w:rPr>
        <w:t>程序</w:t>
      </w:r>
    </w:p>
    <w:p>
      <w:pPr>
        <w:spacing w:line="360" w:lineRule="auto"/>
        <w:ind w:firstLine="482" w:firstLineChars="200"/>
        <w:rPr>
          <w:rFonts w:hint="eastAsia" w:ascii="宋体" w:hAnsi="宋体" w:eastAsia="宋体" w:cs="宋体"/>
          <w:b/>
          <w:bCs w:val="0"/>
          <w:color w:val="auto"/>
          <w:sz w:val="24"/>
        </w:rPr>
      </w:pPr>
      <w:r>
        <w:rPr>
          <w:rFonts w:hint="eastAsia" w:ascii="宋体" w:hAnsi="宋体" w:eastAsia="宋体" w:cs="宋体"/>
          <w:b/>
          <w:bCs w:val="0"/>
          <w:sz w:val="24"/>
        </w:rPr>
        <w:t>注：</w:t>
      </w:r>
      <w:r>
        <w:rPr>
          <w:rFonts w:hint="eastAsia" w:ascii="宋体" w:hAnsi="宋体" w:eastAsia="宋体" w:cs="宋体"/>
          <w:b/>
          <w:bCs w:val="0"/>
          <w:color w:val="auto"/>
          <w:sz w:val="24"/>
        </w:rPr>
        <w:t>请仔细检查</w:t>
      </w:r>
      <w:r>
        <w:rPr>
          <w:rFonts w:hint="eastAsia" w:ascii="宋体" w:hAnsi="宋体" w:eastAsia="宋体" w:cs="宋体"/>
          <w:b/>
          <w:bCs w:val="0"/>
          <w:color w:val="auto"/>
          <w:sz w:val="24"/>
          <w:lang w:val="en-US" w:eastAsia="zh-CN"/>
        </w:rPr>
        <w:t>竞争性谈判</w:t>
      </w:r>
      <w:r>
        <w:rPr>
          <w:rFonts w:hint="eastAsia" w:ascii="宋体" w:hAnsi="宋体" w:eastAsia="宋体" w:cs="宋体"/>
          <w:b/>
          <w:bCs w:val="0"/>
          <w:color w:val="auto"/>
          <w:sz w:val="24"/>
        </w:rPr>
        <w:t>文件是否齐全，如有缺漏，请立即与采购代理机构联系解决。</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7.2 供应商被视为充分熟悉本招标项目所在地的与履行合同有关的各种情况，包括自然环境、气候条件、劳动力及公用设施等，本</w:t>
      </w:r>
      <w:r>
        <w:rPr>
          <w:rFonts w:hint="eastAsia" w:ascii="宋体" w:hAnsi="宋体" w:cs="宋体"/>
          <w:color w:val="auto"/>
          <w:sz w:val="24"/>
          <w:lang w:val="en-US" w:eastAsia="zh-CN"/>
        </w:rPr>
        <w:t>竞争性谈判</w:t>
      </w:r>
      <w:r>
        <w:rPr>
          <w:rFonts w:hint="eastAsia" w:ascii="宋体" w:hAnsi="宋体" w:cs="宋体"/>
          <w:color w:val="auto"/>
          <w:sz w:val="24"/>
        </w:rPr>
        <w:t>文件不再对上述情况进行描述。</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7.3 供应商必须详阅</w:t>
      </w:r>
      <w:r>
        <w:rPr>
          <w:rFonts w:hint="eastAsia" w:ascii="宋体" w:hAnsi="宋体" w:cs="宋体"/>
          <w:color w:val="auto"/>
          <w:sz w:val="24"/>
          <w:lang w:val="en-US" w:eastAsia="zh-CN"/>
        </w:rPr>
        <w:t>竞争性谈判</w:t>
      </w:r>
      <w:r>
        <w:rPr>
          <w:rFonts w:hint="eastAsia" w:ascii="宋体" w:hAnsi="宋体" w:cs="宋体"/>
          <w:color w:val="auto"/>
          <w:sz w:val="24"/>
        </w:rPr>
        <w:t>文件的所有条款、文件及表格格式。供应商若未按</w:t>
      </w:r>
      <w:r>
        <w:rPr>
          <w:rFonts w:hint="eastAsia" w:ascii="宋体" w:hAnsi="宋体" w:cs="宋体"/>
          <w:color w:val="auto"/>
          <w:sz w:val="24"/>
          <w:lang w:val="en-US" w:eastAsia="zh-CN"/>
        </w:rPr>
        <w:t>竞争性谈判</w:t>
      </w:r>
      <w:r>
        <w:rPr>
          <w:rFonts w:hint="eastAsia" w:ascii="宋体" w:hAnsi="宋体" w:cs="宋体"/>
          <w:color w:val="auto"/>
          <w:sz w:val="24"/>
        </w:rPr>
        <w:t>文件的要求和规范编制、提交</w:t>
      </w:r>
      <w:r>
        <w:rPr>
          <w:rFonts w:hint="eastAsia" w:ascii="宋体" w:hAnsi="宋体" w:cs="宋体"/>
          <w:color w:val="auto"/>
          <w:sz w:val="24"/>
          <w:lang w:eastAsia="zh-CN"/>
        </w:rPr>
        <w:t>报价</w:t>
      </w:r>
      <w:r>
        <w:rPr>
          <w:rFonts w:hint="eastAsia" w:ascii="宋体" w:hAnsi="宋体" w:cs="宋体"/>
          <w:color w:val="auto"/>
          <w:sz w:val="24"/>
        </w:rPr>
        <w:t>文件，将有可能导致</w:t>
      </w:r>
      <w:r>
        <w:rPr>
          <w:rFonts w:hint="eastAsia" w:ascii="宋体" w:hAnsi="宋体" w:cs="宋体"/>
          <w:color w:val="auto"/>
          <w:sz w:val="24"/>
          <w:lang w:eastAsia="zh-CN"/>
        </w:rPr>
        <w:t>报价</w:t>
      </w:r>
      <w:r>
        <w:rPr>
          <w:rFonts w:hint="eastAsia" w:ascii="宋体" w:hAnsi="宋体" w:cs="宋体"/>
          <w:color w:val="auto"/>
          <w:sz w:val="24"/>
        </w:rPr>
        <w:t>文件被拒绝接受，所造成的负面后果由供应商负责。</w:t>
      </w:r>
    </w:p>
    <w:p>
      <w:pPr>
        <w:spacing w:line="360" w:lineRule="auto"/>
        <w:rPr>
          <w:rFonts w:hint="eastAsia" w:ascii="宋体" w:hAnsi="宋体" w:cs="宋体"/>
          <w:color w:val="auto"/>
          <w:sz w:val="24"/>
        </w:rPr>
      </w:pPr>
      <w:r>
        <w:rPr>
          <w:rFonts w:hint="eastAsia" w:ascii="宋体" w:hAnsi="宋体" w:cs="宋体"/>
          <w:color w:val="auto"/>
          <w:sz w:val="24"/>
        </w:rPr>
        <w:t>8．</w:t>
      </w:r>
      <w:r>
        <w:rPr>
          <w:rFonts w:hint="eastAsia" w:ascii="宋体" w:hAnsi="宋体" w:cs="宋体"/>
          <w:color w:val="auto"/>
          <w:sz w:val="24"/>
          <w:lang w:val="en-US" w:eastAsia="zh-CN"/>
        </w:rPr>
        <w:t>竞争性谈判</w:t>
      </w:r>
      <w:r>
        <w:rPr>
          <w:rFonts w:hint="eastAsia" w:ascii="宋体" w:hAnsi="宋体" w:cs="宋体"/>
          <w:color w:val="auto"/>
          <w:sz w:val="24"/>
        </w:rPr>
        <w:t>文件的澄清</w:t>
      </w:r>
    </w:p>
    <w:p>
      <w:pPr>
        <w:spacing w:line="360" w:lineRule="auto"/>
        <w:ind w:firstLine="480" w:firstLineChars="200"/>
        <w:rPr>
          <w:rFonts w:hint="eastAsia" w:ascii="宋体" w:hAnsi="宋体" w:cs="宋体"/>
          <w:color w:val="auto"/>
          <w:sz w:val="24"/>
          <w:lang w:eastAsia="zh-CN"/>
        </w:rPr>
      </w:pPr>
      <w:r>
        <w:rPr>
          <w:rFonts w:hint="eastAsia" w:ascii="宋体" w:hAnsi="宋体" w:cs="宋体"/>
          <w:color w:val="auto"/>
          <w:sz w:val="24"/>
        </w:rPr>
        <w:t>供应商在收到</w:t>
      </w:r>
      <w:r>
        <w:rPr>
          <w:rFonts w:hint="eastAsia" w:ascii="宋体" w:hAnsi="宋体" w:cs="宋体"/>
          <w:color w:val="auto"/>
          <w:sz w:val="24"/>
          <w:lang w:val="en-US" w:eastAsia="zh-CN"/>
        </w:rPr>
        <w:t>竞争性谈判</w:t>
      </w:r>
      <w:r>
        <w:rPr>
          <w:rFonts w:hint="eastAsia" w:ascii="宋体" w:hAnsi="宋体" w:cs="宋体"/>
          <w:color w:val="auto"/>
          <w:sz w:val="24"/>
        </w:rPr>
        <w:t>文件后，若有疑问需要澄清，应于提交</w:t>
      </w:r>
      <w:r>
        <w:rPr>
          <w:rFonts w:hint="eastAsia" w:ascii="宋体" w:hAnsi="宋体" w:cs="宋体"/>
          <w:color w:val="auto"/>
          <w:sz w:val="24"/>
          <w:lang w:eastAsia="zh-CN"/>
        </w:rPr>
        <w:t>报价</w:t>
      </w:r>
      <w:r>
        <w:rPr>
          <w:rFonts w:hint="eastAsia" w:ascii="宋体" w:hAnsi="宋体" w:cs="宋体"/>
          <w:color w:val="auto"/>
          <w:sz w:val="24"/>
        </w:rPr>
        <w:t>文件截止时间</w:t>
      </w:r>
      <w:r>
        <w:rPr>
          <w:rFonts w:hint="eastAsia" w:ascii="宋体" w:hAnsi="宋体" w:cs="宋体"/>
          <w:color w:val="auto"/>
          <w:sz w:val="24"/>
          <w:lang w:val="en-US" w:eastAsia="zh-CN"/>
        </w:rPr>
        <w:t>1</w:t>
      </w:r>
      <w:r>
        <w:rPr>
          <w:rFonts w:hint="eastAsia" w:ascii="宋体" w:hAnsi="宋体" w:cs="宋体"/>
          <w:color w:val="auto"/>
          <w:sz w:val="24"/>
        </w:rPr>
        <w:t>个工作日前以书面形式向采购代理机构提出，采购代理机构将以书面形式进行答复，同时采购代理机构有权将答复内容（包括所提问题，但不包括问题来源）分发给所有购买了同一</w:t>
      </w:r>
      <w:r>
        <w:rPr>
          <w:rFonts w:hint="eastAsia" w:ascii="宋体" w:hAnsi="宋体" w:cs="宋体"/>
          <w:color w:val="auto"/>
          <w:sz w:val="24"/>
          <w:lang w:val="en-US" w:eastAsia="zh-CN"/>
        </w:rPr>
        <w:t>竞争性谈判</w:t>
      </w:r>
      <w:r>
        <w:rPr>
          <w:rFonts w:hint="eastAsia" w:ascii="宋体" w:hAnsi="宋体" w:cs="宋体"/>
          <w:color w:val="auto"/>
          <w:sz w:val="24"/>
        </w:rPr>
        <w:t>文件的供应商。</w:t>
      </w:r>
      <w:r>
        <w:rPr>
          <w:rFonts w:hint="eastAsia" w:ascii="宋体" w:hAnsi="宋体" w:cs="宋体"/>
          <w:color w:val="auto"/>
          <w:sz w:val="24"/>
          <w:lang w:eastAsia="zh-CN"/>
        </w:rPr>
        <w:t>未对采购代理机构提出书面意见，即视为接受了本竞争性谈判文件中的所有条款和规定。</w:t>
      </w:r>
    </w:p>
    <w:p>
      <w:pPr>
        <w:spacing w:line="360" w:lineRule="auto"/>
        <w:rPr>
          <w:rFonts w:hint="eastAsia" w:ascii="宋体" w:hAnsi="宋体" w:cs="宋体"/>
          <w:color w:val="auto"/>
          <w:sz w:val="24"/>
        </w:rPr>
      </w:pPr>
      <w:r>
        <w:rPr>
          <w:rFonts w:hint="eastAsia" w:ascii="宋体" w:hAnsi="宋体" w:cs="宋体"/>
          <w:color w:val="auto"/>
          <w:sz w:val="24"/>
        </w:rPr>
        <w:t>9．</w:t>
      </w:r>
      <w:r>
        <w:rPr>
          <w:rFonts w:hint="eastAsia" w:ascii="宋体" w:hAnsi="宋体" w:cs="宋体"/>
          <w:color w:val="auto"/>
          <w:sz w:val="24"/>
          <w:lang w:val="en-US" w:eastAsia="zh-CN"/>
        </w:rPr>
        <w:t>竞争性谈判</w:t>
      </w:r>
      <w:r>
        <w:rPr>
          <w:rFonts w:hint="eastAsia" w:ascii="宋体" w:hAnsi="宋体" w:cs="宋体"/>
          <w:color w:val="auto"/>
          <w:sz w:val="24"/>
        </w:rPr>
        <w:t>文件的更正或补充</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9.1 在提交</w:t>
      </w:r>
      <w:r>
        <w:rPr>
          <w:rFonts w:hint="eastAsia" w:ascii="宋体" w:hAnsi="宋体" w:cs="宋体"/>
          <w:color w:val="auto"/>
          <w:sz w:val="24"/>
          <w:lang w:eastAsia="zh-CN"/>
        </w:rPr>
        <w:t>报价</w:t>
      </w:r>
      <w:r>
        <w:rPr>
          <w:rFonts w:hint="eastAsia" w:ascii="宋体" w:hAnsi="宋体" w:cs="宋体"/>
          <w:color w:val="auto"/>
          <w:sz w:val="24"/>
        </w:rPr>
        <w:t>文件截止时间前，采购代理机构可以书面通知的方式修改</w:t>
      </w:r>
      <w:r>
        <w:rPr>
          <w:rFonts w:hint="eastAsia" w:ascii="宋体" w:hAnsi="宋体" w:cs="宋体"/>
          <w:color w:val="auto"/>
          <w:sz w:val="24"/>
          <w:lang w:val="en-US" w:eastAsia="zh-CN"/>
        </w:rPr>
        <w:t>竞争性谈判</w:t>
      </w:r>
      <w:r>
        <w:rPr>
          <w:rFonts w:hint="eastAsia" w:ascii="宋体" w:hAnsi="宋体" w:cs="宋体"/>
          <w:color w:val="auto"/>
          <w:sz w:val="24"/>
        </w:rPr>
        <w:t>文件。修改通知作为</w:t>
      </w:r>
      <w:r>
        <w:rPr>
          <w:rFonts w:hint="eastAsia" w:ascii="宋体" w:hAnsi="宋体" w:cs="宋体"/>
          <w:color w:val="auto"/>
          <w:sz w:val="24"/>
          <w:lang w:val="en-US" w:eastAsia="zh-CN"/>
        </w:rPr>
        <w:t>竞争性谈判</w:t>
      </w:r>
      <w:r>
        <w:rPr>
          <w:rFonts w:hint="eastAsia" w:ascii="宋体" w:hAnsi="宋体" w:cs="宋体"/>
          <w:color w:val="auto"/>
          <w:sz w:val="24"/>
        </w:rPr>
        <w:t>文件的组成部分，对供应商起同等约束作用。</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9.2 当</w:t>
      </w:r>
      <w:r>
        <w:rPr>
          <w:rFonts w:hint="eastAsia" w:ascii="宋体" w:hAnsi="宋体" w:cs="宋体"/>
          <w:color w:val="auto"/>
          <w:sz w:val="24"/>
          <w:lang w:val="en-US" w:eastAsia="zh-CN"/>
        </w:rPr>
        <w:t>竞争性谈判</w:t>
      </w:r>
      <w:r>
        <w:rPr>
          <w:rFonts w:hint="eastAsia" w:ascii="宋体" w:hAnsi="宋体" w:cs="宋体"/>
          <w:color w:val="auto"/>
          <w:sz w:val="24"/>
        </w:rPr>
        <w:t>文件与更正公告的内容相互矛盾时，以采购代理机构最后发出的更正公告为准。</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9.3 为使供应商有足够的时间按</w:t>
      </w:r>
      <w:r>
        <w:rPr>
          <w:rFonts w:hint="eastAsia" w:ascii="宋体" w:hAnsi="宋体" w:cs="宋体"/>
          <w:color w:val="auto"/>
          <w:sz w:val="24"/>
          <w:lang w:val="en-US" w:eastAsia="zh-CN"/>
        </w:rPr>
        <w:t>竞争性谈判</w:t>
      </w:r>
      <w:r>
        <w:rPr>
          <w:rFonts w:hint="eastAsia" w:ascii="宋体" w:hAnsi="宋体" w:cs="宋体"/>
          <w:color w:val="auto"/>
          <w:sz w:val="24"/>
        </w:rPr>
        <w:t>文件的更正要求修正</w:t>
      </w:r>
      <w:r>
        <w:rPr>
          <w:rFonts w:hint="eastAsia" w:ascii="宋体" w:hAnsi="宋体" w:cs="宋体"/>
          <w:color w:val="auto"/>
          <w:sz w:val="24"/>
          <w:lang w:eastAsia="zh-CN"/>
        </w:rPr>
        <w:t>报价</w:t>
      </w:r>
      <w:r>
        <w:rPr>
          <w:rFonts w:hint="eastAsia" w:ascii="宋体" w:hAnsi="宋体" w:cs="宋体"/>
          <w:color w:val="auto"/>
          <w:sz w:val="24"/>
        </w:rPr>
        <w:t>文件，采购代理机构有权决定推迟提交</w:t>
      </w:r>
      <w:r>
        <w:rPr>
          <w:rFonts w:hint="eastAsia" w:ascii="宋体" w:hAnsi="宋体" w:cs="宋体"/>
          <w:color w:val="auto"/>
          <w:sz w:val="24"/>
          <w:lang w:eastAsia="zh-CN"/>
        </w:rPr>
        <w:t>报价</w:t>
      </w:r>
      <w:r>
        <w:rPr>
          <w:rFonts w:hint="eastAsia" w:ascii="宋体" w:hAnsi="宋体" w:cs="宋体"/>
          <w:color w:val="auto"/>
          <w:sz w:val="24"/>
        </w:rPr>
        <w:t>文件截止时间，并将此变更书面通知所有购买了同一</w:t>
      </w:r>
      <w:r>
        <w:rPr>
          <w:rFonts w:hint="eastAsia" w:ascii="宋体" w:hAnsi="宋体" w:cs="宋体"/>
          <w:color w:val="auto"/>
          <w:sz w:val="24"/>
          <w:lang w:val="en-US" w:eastAsia="zh-CN"/>
        </w:rPr>
        <w:t>竞争性谈判</w:t>
      </w:r>
      <w:r>
        <w:rPr>
          <w:rFonts w:hint="eastAsia" w:ascii="宋体" w:hAnsi="宋体" w:cs="宋体"/>
          <w:color w:val="auto"/>
          <w:sz w:val="24"/>
        </w:rPr>
        <w:t>文件的供应商。</w:t>
      </w:r>
    </w:p>
    <w:p>
      <w:pPr>
        <w:bidi w:val="0"/>
        <w:rPr>
          <w:rFonts w:hint="eastAsia"/>
          <w:b/>
          <w:bCs/>
          <w:sz w:val="32"/>
          <w:szCs w:val="32"/>
          <w:lang w:val="en-US" w:eastAsia="zh-CN"/>
        </w:rPr>
      </w:pPr>
      <w:bookmarkStart w:id="25" w:name="_Toc9424"/>
      <w:r>
        <w:rPr>
          <w:rFonts w:hint="eastAsia"/>
          <w:b/>
          <w:bCs/>
          <w:sz w:val="32"/>
          <w:szCs w:val="32"/>
          <w:lang w:val="en-US" w:eastAsia="zh-CN"/>
        </w:rPr>
        <w:t>三、报价文件</w:t>
      </w:r>
      <w:bookmarkEnd w:id="25"/>
    </w:p>
    <w:p>
      <w:pPr>
        <w:snapToGrid w:val="0"/>
        <w:spacing w:line="360" w:lineRule="auto"/>
        <w:rPr>
          <w:rFonts w:hint="eastAsia" w:ascii="宋体" w:hAnsi="宋体" w:cs="宋体"/>
          <w:color w:val="auto"/>
          <w:sz w:val="24"/>
        </w:rPr>
      </w:pPr>
      <w:r>
        <w:rPr>
          <w:rFonts w:hint="eastAsia" w:ascii="宋体" w:hAnsi="宋体" w:cs="宋体"/>
          <w:color w:val="auto"/>
          <w:sz w:val="24"/>
        </w:rPr>
        <w:t>10．</w:t>
      </w:r>
      <w:r>
        <w:rPr>
          <w:rFonts w:hint="eastAsia" w:ascii="宋体" w:hAnsi="宋体" w:cs="宋体"/>
          <w:color w:val="auto"/>
          <w:sz w:val="24"/>
          <w:lang w:eastAsia="zh-CN"/>
        </w:rPr>
        <w:t>报价</w:t>
      </w:r>
      <w:r>
        <w:rPr>
          <w:rFonts w:hint="eastAsia" w:ascii="宋体" w:hAnsi="宋体" w:cs="宋体"/>
          <w:color w:val="auto"/>
          <w:sz w:val="24"/>
        </w:rPr>
        <w:t>文件的组成</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lang w:eastAsia="zh-CN"/>
        </w:rPr>
        <w:t>报价</w:t>
      </w:r>
      <w:r>
        <w:rPr>
          <w:rFonts w:hint="eastAsia" w:ascii="宋体" w:hAnsi="宋体" w:cs="宋体"/>
          <w:color w:val="auto"/>
          <w:sz w:val="24"/>
        </w:rPr>
        <w:t xml:space="preserve">文件应按“第五章 </w:t>
      </w:r>
      <w:r>
        <w:rPr>
          <w:rFonts w:hint="eastAsia" w:ascii="宋体" w:hAnsi="宋体" w:cs="宋体"/>
          <w:color w:val="auto"/>
          <w:sz w:val="24"/>
          <w:lang w:eastAsia="zh-CN"/>
        </w:rPr>
        <w:t>报价</w:t>
      </w:r>
      <w:r>
        <w:rPr>
          <w:rFonts w:hint="eastAsia" w:ascii="宋体" w:hAnsi="宋体" w:cs="宋体"/>
          <w:color w:val="auto"/>
          <w:sz w:val="24"/>
        </w:rPr>
        <w:t>文件内容和格式”要求编制。</w:t>
      </w:r>
    </w:p>
    <w:p>
      <w:pPr>
        <w:snapToGrid w:val="0"/>
        <w:spacing w:line="360" w:lineRule="auto"/>
        <w:rPr>
          <w:rFonts w:hint="eastAsia" w:ascii="宋体" w:hAnsi="宋体" w:eastAsia="宋体" w:cs="宋体"/>
          <w:color w:val="auto"/>
          <w:sz w:val="24"/>
        </w:rPr>
      </w:pPr>
      <w:r>
        <w:rPr>
          <w:rFonts w:hint="eastAsia" w:ascii="宋体" w:hAnsi="宋体" w:eastAsia="宋体" w:cs="宋体"/>
          <w:color w:val="auto"/>
          <w:sz w:val="24"/>
        </w:rPr>
        <w:t>11．报价</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w:t>
      </w:r>
      <w:r>
        <w:rPr>
          <w:rFonts w:hint="eastAsia" w:ascii="宋体" w:hAnsi="宋体" w:eastAsia="宋体" w:cs="宋体"/>
          <w:color w:val="auto"/>
          <w:sz w:val="24"/>
          <w:lang w:val="en-US" w:eastAsia="zh-CN"/>
        </w:rPr>
        <w:t>1</w:t>
      </w:r>
      <w:r>
        <w:rPr>
          <w:rFonts w:hint="eastAsia" w:ascii="宋体" w:hAnsi="宋体" w:eastAsia="宋体" w:cs="宋体"/>
          <w:color w:val="auto"/>
          <w:sz w:val="24"/>
        </w:rPr>
        <w:t>.2本次采购采用总承包方式，因此投标人的报价应包括全部货物、服务的价格及相关税费、运输到指定地点的装运费用、安装调试、培训、售后服务等其他有关的所有费用。</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w:t>
      </w:r>
      <w:r>
        <w:rPr>
          <w:rFonts w:hint="eastAsia" w:ascii="宋体" w:hAnsi="宋体" w:eastAsia="宋体" w:cs="宋体"/>
          <w:color w:val="auto"/>
          <w:sz w:val="24"/>
          <w:lang w:val="en-US" w:eastAsia="zh-CN"/>
        </w:rPr>
        <w:t>1</w:t>
      </w:r>
      <w:r>
        <w:rPr>
          <w:rFonts w:hint="eastAsia" w:ascii="宋体" w:hAnsi="宋体" w:eastAsia="宋体" w:cs="宋体"/>
          <w:color w:val="auto"/>
          <w:sz w:val="24"/>
        </w:rPr>
        <w:t>.3投标人应按开标一览表的要求报价，不能提供有选择的报价。</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w:t>
      </w:r>
      <w:r>
        <w:rPr>
          <w:rFonts w:hint="eastAsia" w:ascii="宋体" w:hAnsi="宋体" w:eastAsia="宋体" w:cs="宋体"/>
          <w:color w:val="auto"/>
          <w:sz w:val="24"/>
          <w:lang w:val="en-US" w:eastAsia="zh-CN"/>
        </w:rPr>
        <w:t>1</w:t>
      </w:r>
      <w:r>
        <w:rPr>
          <w:rFonts w:hint="eastAsia" w:ascii="宋体" w:hAnsi="宋体" w:eastAsia="宋体" w:cs="宋体"/>
          <w:color w:val="auto"/>
          <w:sz w:val="24"/>
        </w:rPr>
        <w:t>.4中标候选人的报价如超过采购预算</w:t>
      </w:r>
      <w:r>
        <w:rPr>
          <w:rFonts w:hint="eastAsia" w:ascii="宋体" w:hAnsi="宋体" w:eastAsia="宋体" w:cs="宋体"/>
          <w:color w:val="auto"/>
          <w:sz w:val="24"/>
          <w:lang w:val="en-US" w:eastAsia="zh-CN"/>
        </w:rPr>
        <w:t>且</w:t>
      </w:r>
      <w:r>
        <w:rPr>
          <w:rFonts w:hint="eastAsia" w:ascii="宋体" w:hAnsi="宋体" w:eastAsia="宋体" w:cs="宋体"/>
          <w:color w:val="auto"/>
          <w:sz w:val="24"/>
        </w:rPr>
        <w:t xml:space="preserve">采购人不能支付的，采购人有权拒绝而递选下一个顺位的候选人。 </w:t>
      </w:r>
    </w:p>
    <w:p>
      <w:pPr>
        <w:snapToGrid w:val="0"/>
        <w:spacing w:line="360" w:lineRule="auto"/>
        <w:rPr>
          <w:rFonts w:hint="eastAsia" w:ascii="宋体" w:hAnsi="宋体" w:cs="宋体"/>
          <w:color w:val="auto"/>
          <w:sz w:val="24"/>
        </w:rPr>
      </w:pPr>
      <w:r>
        <w:rPr>
          <w:rFonts w:hint="eastAsia" w:ascii="宋体" w:hAnsi="宋体" w:cs="宋体"/>
          <w:color w:val="auto"/>
          <w:sz w:val="24"/>
        </w:rPr>
        <w:t>12．</w:t>
      </w:r>
      <w:r>
        <w:rPr>
          <w:rFonts w:hint="eastAsia" w:ascii="宋体" w:hAnsi="宋体" w:cs="宋体"/>
          <w:color w:val="auto"/>
          <w:sz w:val="24"/>
          <w:lang w:eastAsia="zh-CN"/>
        </w:rPr>
        <w:t>谈判</w:t>
      </w:r>
      <w:r>
        <w:rPr>
          <w:rFonts w:hint="eastAsia" w:ascii="宋体" w:hAnsi="宋体" w:cs="宋体"/>
          <w:color w:val="auto"/>
          <w:sz w:val="24"/>
        </w:rPr>
        <w:t>保证金</w:t>
      </w:r>
    </w:p>
    <w:p>
      <w:pPr>
        <w:snapToGrid w:val="0"/>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谈判</w:t>
      </w:r>
      <w:r>
        <w:rPr>
          <w:rFonts w:hint="eastAsia" w:ascii="宋体" w:hAnsi="宋体" w:eastAsia="宋体" w:cs="宋体"/>
          <w:color w:val="auto"/>
          <w:sz w:val="24"/>
          <w:szCs w:val="24"/>
        </w:rPr>
        <w:t>保证金是参加本项目投标的必要条件，</w:t>
      </w:r>
      <w:r>
        <w:rPr>
          <w:rFonts w:hint="eastAsia" w:ascii="宋体" w:hAnsi="宋体" w:eastAsia="宋体" w:cs="宋体"/>
          <w:color w:val="auto"/>
          <w:sz w:val="24"/>
          <w:szCs w:val="24"/>
          <w:lang w:eastAsia="zh-CN"/>
        </w:rPr>
        <w:t>谈判</w:t>
      </w:r>
      <w:r>
        <w:rPr>
          <w:rFonts w:hint="eastAsia" w:ascii="宋体" w:hAnsi="宋体" w:eastAsia="宋体" w:cs="宋体"/>
          <w:color w:val="auto"/>
          <w:sz w:val="24"/>
          <w:szCs w:val="24"/>
        </w:rPr>
        <w:t>保证金应在</w:t>
      </w:r>
      <w:r>
        <w:rPr>
          <w:rFonts w:hint="eastAsia" w:ascii="宋体" w:hAnsi="宋体" w:eastAsia="宋体" w:cs="宋体"/>
          <w:color w:val="auto"/>
          <w:sz w:val="24"/>
          <w:szCs w:val="24"/>
          <w:lang w:val="en-US" w:eastAsia="zh-CN"/>
        </w:rPr>
        <w:t>报价</w:t>
      </w:r>
      <w:r>
        <w:rPr>
          <w:rFonts w:hint="eastAsia" w:ascii="宋体" w:hAnsi="宋体" w:eastAsia="宋体" w:cs="宋体"/>
          <w:color w:val="auto"/>
          <w:sz w:val="24"/>
          <w:szCs w:val="24"/>
        </w:rPr>
        <w:t>文件提交截止时间前转入采购代理机构以下账户</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建议</w:t>
      </w:r>
      <w:r>
        <w:rPr>
          <w:rFonts w:hint="eastAsia" w:ascii="宋体" w:hAnsi="宋体" w:eastAsia="宋体" w:cs="宋体"/>
          <w:color w:val="auto"/>
          <w:sz w:val="24"/>
          <w:szCs w:val="24"/>
        </w:rPr>
        <w:t>注明汇款单位、项目编号或项目名称（如有分包，则同时注明包号），或可选择以支票、汇票、本票或者金融机构、担保机构出具的保函等非现金形式提交</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 xml:space="preserve"> </w:t>
      </w:r>
    </w:p>
    <w:p>
      <w:pPr>
        <w:spacing w:line="360" w:lineRule="auto"/>
        <w:ind w:firstLine="1566" w:firstLineChars="650"/>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rPr>
        <w:t>户  名：</w:t>
      </w:r>
      <w:r>
        <w:rPr>
          <w:rFonts w:hint="eastAsia" w:ascii="宋体" w:hAnsi="宋体" w:cs="宋体"/>
          <w:b/>
          <w:bCs/>
          <w:color w:val="auto"/>
          <w:sz w:val="24"/>
          <w:szCs w:val="24"/>
          <w:lang w:eastAsia="zh-CN"/>
        </w:rPr>
        <w:t>海南政辉招投标代理有限公司</w:t>
      </w:r>
    </w:p>
    <w:p>
      <w:pPr>
        <w:spacing w:line="360" w:lineRule="auto"/>
        <w:ind w:firstLine="1566" w:firstLineChars="650"/>
        <w:rPr>
          <w:rFonts w:hint="eastAsia" w:ascii="宋体" w:hAnsi="宋体" w:eastAsia="宋体" w:cs="宋体"/>
          <w:b/>
          <w:bCs/>
          <w:color w:val="auto"/>
          <w:sz w:val="24"/>
          <w:szCs w:val="24"/>
        </w:rPr>
      </w:pPr>
      <w:r>
        <w:rPr>
          <w:rFonts w:hint="eastAsia" w:ascii="宋体" w:hAnsi="宋体" w:eastAsia="宋体" w:cs="宋体"/>
          <w:b/>
          <w:bCs/>
          <w:color w:val="auto"/>
          <w:sz w:val="24"/>
          <w:szCs w:val="24"/>
        </w:rPr>
        <w:t>开户行：中国工商银行股份有限公司海口新华支行</w:t>
      </w:r>
    </w:p>
    <w:p>
      <w:pPr>
        <w:spacing w:line="360" w:lineRule="auto"/>
        <w:ind w:firstLine="1566" w:firstLineChars="650"/>
        <w:rPr>
          <w:rFonts w:hint="eastAsia" w:ascii="宋体" w:hAnsi="宋体" w:eastAsia="宋体" w:cs="宋体"/>
          <w:b/>
          <w:bCs/>
          <w:color w:val="auto"/>
          <w:sz w:val="24"/>
          <w:szCs w:val="24"/>
        </w:rPr>
      </w:pPr>
      <w:r>
        <w:rPr>
          <w:rFonts w:hint="eastAsia" w:ascii="宋体" w:hAnsi="宋体" w:eastAsia="宋体" w:cs="宋体"/>
          <w:b/>
          <w:bCs/>
          <w:color w:val="auto"/>
          <w:sz w:val="24"/>
          <w:szCs w:val="24"/>
        </w:rPr>
        <w:t>账  户：2201023809200980178</w:t>
      </w:r>
    </w:p>
    <w:p>
      <w:pPr>
        <w:snapToGrid w:val="0"/>
        <w:spacing w:line="520" w:lineRule="exact"/>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12.2 报价</w:t>
      </w:r>
      <w:r>
        <w:rPr>
          <w:rFonts w:hint="eastAsia" w:ascii="宋体" w:hAnsi="宋体" w:eastAsia="宋体" w:cs="宋体"/>
          <w:color w:val="auto"/>
          <w:sz w:val="24"/>
          <w:szCs w:val="24"/>
        </w:rPr>
        <w:t>文件</w:t>
      </w:r>
      <w:r>
        <w:rPr>
          <w:rFonts w:hint="eastAsia" w:ascii="宋体" w:hAnsi="宋体" w:eastAsia="宋体" w:cs="宋体"/>
          <w:color w:val="auto"/>
          <w:sz w:val="24"/>
          <w:szCs w:val="24"/>
          <w:lang w:val="en-US" w:eastAsia="zh-CN"/>
        </w:rPr>
        <w:t>中</w:t>
      </w:r>
      <w:r>
        <w:rPr>
          <w:rFonts w:hint="eastAsia" w:ascii="宋体" w:hAnsi="宋体" w:eastAsia="宋体" w:cs="宋体"/>
          <w:color w:val="auto"/>
          <w:sz w:val="24"/>
          <w:szCs w:val="24"/>
        </w:rPr>
        <w:t>须附有缴纳</w:t>
      </w:r>
      <w:r>
        <w:rPr>
          <w:rFonts w:hint="eastAsia" w:ascii="宋体" w:hAnsi="宋体" w:eastAsia="宋体" w:cs="宋体"/>
          <w:color w:val="auto"/>
          <w:sz w:val="24"/>
          <w:lang w:eastAsia="zh-CN"/>
        </w:rPr>
        <w:t>谈判</w:t>
      </w:r>
      <w:r>
        <w:rPr>
          <w:rFonts w:hint="eastAsia" w:ascii="宋体" w:hAnsi="宋体" w:eastAsia="宋体" w:cs="宋体"/>
          <w:color w:val="auto"/>
          <w:sz w:val="24"/>
          <w:szCs w:val="24"/>
        </w:rPr>
        <w:t>保证金的相关证明单据(银行回执单</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支票、汇票、本票或者金融机构、担保机构出具的保函)</w:t>
      </w:r>
      <w:r>
        <w:rPr>
          <w:rFonts w:hint="eastAsia" w:ascii="宋体" w:hAnsi="宋体" w:eastAsia="宋体" w:cs="宋体"/>
          <w:color w:val="auto"/>
          <w:sz w:val="24"/>
          <w:szCs w:val="24"/>
          <w:lang w:eastAsia="zh-CN"/>
        </w:rPr>
        <w:t>。</w:t>
      </w:r>
    </w:p>
    <w:p>
      <w:pPr>
        <w:snapToGrid w:val="0"/>
        <w:spacing w:line="520" w:lineRule="exact"/>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12.2.1 </w:t>
      </w:r>
      <w:r>
        <w:rPr>
          <w:rFonts w:hint="eastAsia" w:ascii="宋体" w:hAnsi="宋体" w:eastAsia="宋体" w:cs="宋体"/>
          <w:color w:val="auto"/>
          <w:sz w:val="24"/>
          <w:szCs w:val="24"/>
          <w:lang w:eastAsia="zh-CN"/>
        </w:rPr>
        <w:t>为避免资金在途不能及时到账造成投标无效，建议</w:t>
      </w:r>
      <w:r>
        <w:rPr>
          <w:rFonts w:hint="eastAsia" w:ascii="宋体" w:hAnsi="宋体" w:eastAsia="宋体" w:cs="宋体"/>
          <w:color w:val="auto"/>
          <w:sz w:val="24"/>
          <w:szCs w:val="24"/>
        </w:rPr>
        <w:t>供应商</w:t>
      </w:r>
      <w:r>
        <w:rPr>
          <w:rFonts w:hint="eastAsia" w:ascii="宋体" w:hAnsi="宋体" w:eastAsia="宋体" w:cs="宋体"/>
          <w:color w:val="auto"/>
          <w:sz w:val="24"/>
          <w:szCs w:val="24"/>
          <w:lang w:eastAsia="zh-CN"/>
        </w:rPr>
        <w:t>提前在投标截止时间一个工作日前办理保证金支付手续。</w:t>
      </w:r>
    </w:p>
    <w:p>
      <w:pPr>
        <w:snapToGrid w:val="0"/>
        <w:spacing w:line="520" w:lineRule="exact"/>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12.2.2 选择</w:t>
      </w:r>
      <w:r>
        <w:rPr>
          <w:rFonts w:hint="eastAsia" w:ascii="宋体" w:hAnsi="宋体" w:eastAsia="宋体" w:cs="宋体"/>
          <w:color w:val="auto"/>
          <w:sz w:val="24"/>
          <w:szCs w:val="24"/>
        </w:rPr>
        <w:t>支票、汇票、本票或者金融机构、担保机构出具的保函</w:t>
      </w:r>
      <w:r>
        <w:rPr>
          <w:rFonts w:hint="eastAsia" w:ascii="宋体" w:hAnsi="宋体" w:eastAsia="宋体" w:cs="宋体"/>
          <w:color w:val="auto"/>
          <w:sz w:val="24"/>
          <w:szCs w:val="24"/>
          <w:lang w:val="en-US" w:eastAsia="zh-CN"/>
        </w:rPr>
        <w:t>等形式提交保证金的</w:t>
      </w:r>
      <w:r>
        <w:rPr>
          <w:rFonts w:hint="eastAsia" w:ascii="宋体" w:hAnsi="宋体" w:eastAsia="宋体" w:cs="宋体"/>
          <w:color w:val="auto"/>
          <w:sz w:val="24"/>
          <w:szCs w:val="24"/>
        </w:rPr>
        <w:t>供应商</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lang w:eastAsia="zh-CN"/>
        </w:rPr>
        <w:t>建议</w:t>
      </w:r>
      <w:r>
        <w:rPr>
          <w:rFonts w:hint="eastAsia" w:ascii="宋体" w:hAnsi="宋体" w:eastAsia="宋体" w:cs="宋体"/>
          <w:color w:val="auto"/>
          <w:sz w:val="24"/>
          <w:szCs w:val="24"/>
        </w:rPr>
        <w:t>供应商</w:t>
      </w:r>
      <w:r>
        <w:rPr>
          <w:rFonts w:hint="eastAsia" w:ascii="宋体" w:hAnsi="宋体" w:eastAsia="宋体" w:cs="宋体"/>
          <w:color w:val="auto"/>
          <w:sz w:val="24"/>
          <w:szCs w:val="24"/>
          <w:lang w:eastAsia="zh-CN"/>
        </w:rPr>
        <w:t>提前在投标截止时间一个工作日前</w:t>
      </w:r>
      <w:r>
        <w:rPr>
          <w:rFonts w:hint="eastAsia" w:ascii="宋体" w:hAnsi="宋体" w:eastAsia="宋体" w:cs="宋体"/>
          <w:color w:val="auto"/>
          <w:sz w:val="24"/>
          <w:szCs w:val="24"/>
          <w:lang w:val="en-US" w:eastAsia="zh-CN"/>
        </w:rPr>
        <w:t>电话告知代理机构。</w:t>
      </w:r>
    </w:p>
    <w:p>
      <w:pPr>
        <w:snapToGrid w:val="0"/>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12.</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若供应商不按规定</w:t>
      </w:r>
      <w:r>
        <w:rPr>
          <w:rFonts w:hint="eastAsia" w:ascii="宋体" w:hAnsi="宋体" w:eastAsia="宋体" w:cs="宋体"/>
          <w:color w:val="auto"/>
          <w:sz w:val="24"/>
          <w:szCs w:val="24"/>
          <w:lang w:eastAsia="zh-CN"/>
        </w:rPr>
        <w:t>谈判</w:t>
      </w:r>
      <w:r>
        <w:rPr>
          <w:rFonts w:hint="eastAsia" w:ascii="宋体" w:hAnsi="宋体" w:eastAsia="宋体" w:cs="宋体"/>
          <w:color w:val="auto"/>
          <w:sz w:val="24"/>
          <w:szCs w:val="24"/>
        </w:rPr>
        <w:t>保证金，其</w:t>
      </w:r>
      <w:r>
        <w:rPr>
          <w:rFonts w:hint="eastAsia" w:ascii="宋体" w:hAnsi="宋体" w:eastAsia="宋体" w:cs="宋体"/>
          <w:color w:val="auto"/>
          <w:sz w:val="24"/>
          <w:szCs w:val="24"/>
          <w:lang w:eastAsia="zh-CN"/>
        </w:rPr>
        <w:t>报价</w:t>
      </w:r>
      <w:r>
        <w:rPr>
          <w:rFonts w:hint="eastAsia" w:ascii="宋体" w:hAnsi="宋体" w:eastAsia="宋体" w:cs="宋体"/>
          <w:color w:val="auto"/>
          <w:sz w:val="24"/>
          <w:szCs w:val="24"/>
        </w:rPr>
        <w:t>文件将被拒绝接受。</w:t>
      </w:r>
    </w:p>
    <w:p>
      <w:pPr>
        <w:snapToGrid w:val="0"/>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12.</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eastAsia="zh-CN"/>
        </w:rPr>
        <w:t>谈判</w:t>
      </w:r>
      <w:r>
        <w:rPr>
          <w:rFonts w:hint="eastAsia" w:ascii="宋体" w:hAnsi="宋体" w:eastAsia="宋体" w:cs="宋体"/>
          <w:color w:val="auto"/>
          <w:sz w:val="24"/>
          <w:szCs w:val="24"/>
        </w:rPr>
        <w:t>保证金的退还</w:t>
      </w:r>
    </w:p>
    <w:p>
      <w:pPr>
        <w:snapToGrid w:val="0"/>
        <w:spacing w:line="520" w:lineRule="exact"/>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12.4.l 成交供应商的谈判保证金在其与采购人签订了采购合同后5个工作日内无息退还。</w:t>
      </w:r>
    </w:p>
    <w:p>
      <w:pPr>
        <w:snapToGrid w:val="0"/>
        <w:spacing w:line="520" w:lineRule="exact"/>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12.4.2 未成交供应商的谈判保证金将在采购代理机构发出成交通知书5个工作日内无息退还。</w:t>
      </w:r>
    </w:p>
    <w:p>
      <w:pPr>
        <w:snapToGrid w:val="0"/>
        <w:spacing w:line="360" w:lineRule="auto"/>
        <w:ind w:firstLine="538"/>
        <w:rPr>
          <w:rFonts w:hint="eastAsia" w:ascii="宋体" w:hAnsi="宋体" w:cs="宋体"/>
          <w:color w:val="auto"/>
          <w:sz w:val="24"/>
        </w:rPr>
      </w:pPr>
      <w:r>
        <w:rPr>
          <w:rFonts w:hint="eastAsia" w:ascii="宋体" w:hAnsi="宋体" w:cs="宋体"/>
          <w:color w:val="auto"/>
          <w:sz w:val="24"/>
        </w:rPr>
        <w:t>12.</w:t>
      </w:r>
      <w:r>
        <w:rPr>
          <w:rFonts w:hint="eastAsia" w:ascii="宋体" w:hAnsi="宋体" w:cs="宋体"/>
          <w:color w:val="auto"/>
          <w:sz w:val="24"/>
          <w:lang w:val="en-US" w:eastAsia="zh-CN"/>
        </w:rPr>
        <w:t>5</w:t>
      </w:r>
      <w:r>
        <w:rPr>
          <w:rFonts w:hint="eastAsia" w:ascii="宋体" w:hAnsi="宋体" w:cs="宋体"/>
          <w:color w:val="auto"/>
          <w:sz w:val="24"/>
        </w:rPr>
        <w:t xml:space="preserve"> 发生下列情况之一，</w:t>
      </w:r>
      <w:r>
        <w:rPr>
          <w:rFonts w:hint="eastAsia" w:ascii="宋体" w:hAnsi="宋体" w:cs="宋体"/>
          <w:color w:val="auto"/>
          <w:sz w:val="24"/>
          <w:lang w:eastAsia="zh-CN"/>
        </w:rPr>
        <w:t>谈判</w:t>
      </w:r>
      <w:r>
        <w:rPr>
          <w:rFonts w:hint="eastAsia" w:ascii="宋体" w:hAnsi="宋体" w:cs="宋体"/>
          <w:color w:val="auto"/>
          <w:sz w:val="24"/>
        </w:rPr>
        <w:t>保证金将不予退还：</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（1）供应商在提交</w:t>
      </w:r>
      <w:r>
        <w:rPr>
          <w:rFonts w:hint="eastAsia" w:ascii="宋体" w:hAnsi="宋体" w:cs="宋体"/>
          <w:color w:val="auto"/>
          <w:sz w:val="24"/>
          <w:lang w:eastAsia="zh-CN"/>
        </w:rPr>
        <w:t>报价</w:t>
      </w:r>
      <w:r>
        <w:rPr>
          <w:rFonts w:hint="eastAsia" w:ascii="宋体" w:hAnsi="宋体" w:cs="宋体"/>
          <w:color w:val="auto"/>
          <w:sz w:val="24"/>
        </w:rPr>
        <w:t>文件截止时间后撤回</w:t>
      </w:r>
      <w:r>
        <w:rPr>
          <w:rFonts w:hint="eastAsia" w:ascii="宋体" w:hAnsi="宋体" w:cs="宋体"/>
          <w:color w:val="auto"/>
          <w:sz w:val="24"/>
          <w:lang w:eastAsia="zh-CN"/>
        </w:rPr>
        <w:t>报价</w:t>
      </w:r>
      <w:r>
        <w:rPr>
          <w:rFonts w:hint="eastAsia" w:ascii="宋体" w:hAnsi="宋体" w:cs="宋体"/>
          <w:color w:val="auto"/>
          <w:sz w:val="24"/>
        </w:rPr>
        <w:t>文件的；</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（2）供应商在</w:t>
      </w:r>
      <w:r>
        <w:rPr>
          <w:rFonts w:hint="eastAsia" w:ascii="宋体" w:hAnsi="宋体" w:cs="宋体"/>
          <w:color w:val="auto"/>
          <w:sz w:val="24"/>
          <w:lang w:eastAsia="zh-CN"/>
        </w:rPr>
        <w:t>报价</w:t>
      </w:r>
      <w:r>
        <w:rPr>
          <w:rFonts w:hint="eastAsia" w:ascii="宋体" w:hAnsi="宋体" w:cs="宋体"/>
          <w:color w:val="auto"/>
          <w:sz w:val="24"/>
        </w:rPr>
        <w:t>文件中提供虚假材料的；</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（3）除因不可抗力或</w:t>
      </w:r>
      <w:r>
        <w:rPr>
          <w:rFonts w:hint="eastAsia" w:ascii="宋体" w:hAnsi="宋体" w:cs="宋体"/>
          <w:color w:val="auto"/>
          <w:sz w:val="24"/>
          <w:lang w:val="en-US" w:eastAsia="zh-CN"/>
        </w:rPr>
        <w:t>竞争性谈判</w:t>
      </w:r>
      <w:r>
        <w:rPr>
          <w:rFonts w:hint="eastAsia" w:ascii="宋体" w:hAnsi="宋体" w:cs="宋体"/>
          <w:color w:val="auto"/>
          <w:sz w:val="24"/>
        </w:rPr>
        <w:t>文件认可的情形之外，成交供应商不与采购人签订合同的；</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（4）供应商与采购人、其它供应商或者采购代理机构恶意串通的；</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（5）向采购人、采购代理机构、</w:t>
      </w:r>
      <w:r>
        <w:rPr>
          <w:rFonts w:hint="eastAsia" w:ascii="宋体" w:hAnsi="宋体" w:cs="宋体"/>
          <w:color w:val="auto"/>
          <w:sz w:val="24"/>
          <w:lang w:eastAsia="zh-CN"/>
        </w:rPr>
        <w:t>谈判</w:t>
      </w:r>
      <w:r>
        <w:rPr>
          <w:rFonts w:hint="eastAsia" w:ascii="宋体" w:hAnsi="宋体" w:cs="宋体"/>
          <w:color w:val="auto"/>
          <w:sz w:val="24"/>
        </w:rPr>
        <w:t>小组成员行贿或者提供其他不正当利益的。</w:t>
      </w:r>
    </w:p>
    <w:p>
      <w:pPr>
        <w:snapToGrid w:val="0"/>
        <w:spacing w:line="360" w:lineRule="auto"/>
        <w:rPr>
          <w:rFonts w:hint="eastAsia" w:ascii="宋体" w:hAnsi="宋体" w:cs="宋体"/>
          <w:color w:val="auto"/>
          <w:sz w:val="24"/>
        </w:rPr>
      </w:pPr>
      <w:r>
        <w:rPr>
          <w:rFonts w:hint="eastAsia" w:ascii="宋体" w:hAnsi="宋体" w:cs="宋体"/>
          <w:color w:val="auto"/>
          <w:sz w:val="24"/>
        </w:rPr>
        <w:t>13．报价有效期</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13.l 报价有效期为从开标截止之日起计算的</w:t>
      </w:r>
      <w:r>
        <w:rPr>
          <w:rFonts w:hint="eastAsia" w:ascii="宋体" w:hAnsi="宋体" w:cs="宋体"/>
          <w:b/>
          <w:color w:val="auto"/>
          <w:sz w:val="24"/>
          <w:u w:val="single"/>
        </w:rPr>
        <w:t>60</w:t>
      </w:r>
      <w:r>
        <w:rPr>
          <w:rFonts w:hint="eastAsia" w:ascii="宋体" w:hAnsi="宋体" w:cs="宋体"/>
          <w:bCs/>
          <w:color w:val="auto"/>
          <w:sz w:val="24"/>
        </w:rPr>
        <w:t>天</w:t>
      </w:r>
      <w:r>
        <w:rPr>
          <w:rFonts w:hint="eastAsia" w:ascii="宋体" w:hAnsi="宋体" w:cs="宋体"/>
          <w:color w:val="auto"/>
          <w:sz w:val="24"/>
        </w:rPr>
        <w:t>，有效期短于此规定的</w:t>
      </w:r>
      <w:r>
        <w:rPr>
          <w:rFonts w:hint="eastAsia" w:ascii="宋体" w:hAnsi="宋体" w:cs="宋体"/>
          <w:color w:val="auto"/>
          <w:sz w:val="24"/>
          <w:lang w:eastAsia="zh-CN"/>
        </w:rPr>
        <w:t>报价</w:t>
      </w:r>
      <w:r>
        <w:rPr>
          <w:rFonts w:hint="eastAsia" w:ascii="宋体" w:hAnsi="宋体" w:cs="宋体"/>
          <w:color w:val="auto"/>
          <w:sz w:val="24"/>
        </w:rPr>
        <w:t>文件将被视为无效。</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13.2 在特殊情况下，采购代理机构可于报价有效期满之前，征得供应商同意延长报价有效期，要求与答复均应以书面形式进行。供应商可以拒绝接受这一要求而放弃报价，</w:t>
      </w:r>
      <w:r>
        <w:rPr>
          <w:rFonts w:hint="eastAsia" w:ascii="宋体" w:hAnsi="宋体" w:cs="宋体"/>
          <w:color w:val="auto"/>
          <w:sz w:val="24"/>
          <w:lang w:eastAsia="zh-CN"/>
        </w:rPr>
        <w:t>谈判</w:t>
      </w:r>
      <w:r>
        <w:rPr>
          <w:rFonts w:hint="eastAsia" w:ascii="宋体" w:hAnsi="宋体" w:cs="宋体"/>
          <w:color w:val="auto"/>
          <w:sz w:val="24"/>
        </w:rPr>
        <w:t>保证金将尽快无息退还。同意这一要求的供应商，无需也不允许修改其</w:t>
      </w:r>
      <w:r>
        <w:rPr>
          <w:rFonts w:hint="eastAsia" w:ascii="宋体" w:hAnsi="宋体" w:cs="宋体"/>
          <w:color w:val="auto"/>
          <w:sz w:val="24"/>
          <w:lang w:eastAsia="zh-CN"/>
        </w:rPr>
        <w:t>报价</w:t>
      </w:r>
      <w:r>
        <w:rPr>
          <w:rFonts w:hint="eastAsia" w:ascii="宋体" w:hAnsi="宋体" w:cs="宋体"/>
          <w:color w:val="auto"/>
          <w:sz w:val="24"/>
        </w:rPr>
        <w:t>文件，但须相应延长</w:t>
      </w:r>
      <w:r>
        <w:rPr>
          <w:rFonts w:hint="eastAsia" w:ascii="宋体" w:hAnsi="宋体" w:cs="宋体"/>
          <w:color w:val="auto"/>
          <w:sz w:val="24"/>
          <w:lang w:eastAsia="zh-CN"/>
        </w:rPr>
        <w:t>谈判</w:t>
      </w:r>
      <w:r>
        <w:rPr>
          <w:rFonts w:hint="eastAsia" w:ascii="宋体" w:hAnsi="宋体" w:cs="宋体"/>
          <w:color w:val="auto"/>
          <w:sz w:val="24"/>
        </w:rPr>
        <w:t>保证金的有效期。受报价有效期制约的所有权利和义务均应延长至新的有效期。</w:t>
      </w:r>
    </w:p>
    <w:p>
      <w:pPr>
        <w:snapToGrid w:val="0"/>
        <w:spacing w:line="360" w:lineRule="auto"/>
        <w:rPr>
          <w:rFonts w:hint="eastAsia" w:ascii="宋体" w:hAnsi="宋体" w:cs="宋体"/>
          <w:color w:val="auto"/>
          <w:sz w:val="24"/>
        </w:rPr>
      </w:pPr>
      <w:r>
        <w:rPr>
          <w:rFonts w:hint="eastAsia" w:ascii="宋体" w:hAnsi="宋体" w:cs="宋体"/>
          <w:color w:val="auto"/>
          <w:sz w:val="24"/>
        </w:rPr>
        <w:t>14．</w:t>
      </w:r>
      <w:r>
        <w:rPr>
          <w:rFonts w:hint="eastAsia" w:ascii="宋体" w:hAnsi="宋体" w:cs="宋体"/>
          <w:color w:val="auto"/>
          <w:sz w:val="24"/>
          <w:lang w:eastAsia="zh-CN"/>
        </w:rPr>
        <w:t>报价</w:t>
      </w:r>
      <w:r>
        <w:rPr>
          <w:rFonts w:hint="eastAsia" w:ascii="宋体" w:hAnsi="宋体" w:cs="宋体"/>
          <w:color w:val="auto"/>
          <w:sz w:val="24"/>
        </w:rPr>
        <w:t>文件的数量、签署及形式</w:t>
      </w:r>
    </w:p>
    <w:p>
      <w:pPr>
        <w:snapToGrid w:val="0"/>
        <w:spacing w:line="360" w:lineRule="auto"/>
        <w:ind w:firstLine="482" w:firstLineChars="200"/>
        <w:rPr>
          <w:rFonts w:hint="eastAsia" w:ascii="宋体" w:hAnsi="宋体" w:cs="宋体"/>
          <w:b/>
          <w:color w:val="auto"/>
          <w:sz w:val="24"/>
        </w:rPr>
      </w:pPr>
      <w:r>
        <w:rPr>
          <w:rFonts w:hint="eastAsia" w:ascii="宋体" w:hAnsi="宋体" w:cs="宋体"/>
          <w:b/>
          <w:color w:val="auto"/>
          <w:sz w:val="24"/>
        </w:rPr>
        <w:t xml:space="preserve">14.1 </w:t>
      </w:r>
      <w:r>
        <w:rPr>
          <w:rFonts w:hint="eastAsia" w:ascii="宋体" w:hAnsi="宋体" w:cs="宋体"/>
          <w:b/>
          <w:color w:val="auto"/>
          <w:sz w:val="24"/>
          <w:lang w:eastAsia="zh-CN"/>
        </w:rPr>
        <w:t>报价</w:t>
      </w:r>
      <w:r>
        <w:rPr>
          <w:rFonts w:hint="eastAsia" w:ascii="宋体" w:hAnsi="宋体" w:cs="宋体"/>
          <w:b/>
          <w:color w:val="auto"/>
          <w:sz w:val="24"/>
        </w:rPr>
        <w:t>文件一式肆份，固定装订。其中正本壹份，副本叁份，</w:t>
      </w:r>
      <w:r>
        <w:rPr>
          <w:rFonts w:hint="eastAsia" w:ascii="宋体"/>
          <w:b/>
          <w:color w:val="auto"/>
          <w:sz w:val="24"/>
        </w:rPr>
        <w:t>另提供电子版一份（U盘</w:t>
      </w:r>
      <w:r>
        <w:rPr>
          <w:rFonts w:hint="eastAsia" w:ascii="宋体"/>
          <w:b/>
          <w:color w:val="auto"/>
          <w:sz w:val="24"/>
          <w:lang w:eastAsia="zh-CN"/>
        </w:rPr>
        <w:t>提交，</w:t>
      </w:r>
      <w:r>
        <w:rPr>
          <w:rFonts w:hint="eastAsia" w:ascii="宋体"/>
          <w:b/>
          <w:color w:val="auto"/>
          <w:sz w:val="24"/>
          <w:lang w:val="en-US" w:eastAsia="zh-CN"/>
        </w:rPr>
        <w:t>须为签署盖章后的PDF格式</w:t>
      </w:r>
      <w:r>
        <w:rPr>
          <w:rFonts w:hint="eastAsia" w:ascii="宋体"/>
          <w:b/>
          <w:color w:val="auto"/>
          <w:sz w:val="24"/>
        </w:rPr>
        <w:t>）</w:t>
      </w:r>
      <w:r>
        <w:rPr>
          <w:rFonts w:hint="eastAsia" w:ascii="宋体"/>
          <w:color w:val="auto"/>
          <w:szCs w:val="21"/>
        </w:rPr>
        <w:t>。</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 xml:space="preserve">14.2 </w:t>
      </w:r>
      <w:r>
        <w:rPr>
          <w:rFonts w:hint="eastAsia" w:ascii="宋体" w:hAnsi="宋体" w:cs="宋体"/>
          <w:color w:val="auto"/>
          <w:sz w:val="24"/>
          <w:lang w:eastAsia="zh-CN"/>
        </w:rPr>
        <w:t>报价</w:t>
      </w:r>
      <w:r>
        <w:rPr>
          <w:rFonts w:hint="eastAsia" w:ascii="宋体" w:hAnsi="宋体" w:cs="宋体"/>
          <w:color w:val="auto"/>
          <w:sz w:val="24"/>
        </w:rPr>
        <w:t>文件须按</w:t>
      </w:r>
      <w:r>
        <w:rPr>
          <w:rFonts w:hint="eastAsia" w:ascii="宋体" w:hAnsi="宋体" w:cs="宋体"/>
          <w:color w:val="auto"/>
          <w:sz w:val="24"/>
          <w:lang w:val="en-US" w:eastAsia="zh-CN"/>
        </w:rPr>
        <w:t>竞争性谈判</w:t>
      </w:r>
      <w:r>
        <w:rPr>
          <w:rFonts w:hint="eastAsia" w:ascii="宋体" w:hAnsi="宋体" w:cs="宋体"/>
          <w:color w:val="auto"/>
          <w:sz w:val="24"/>
        </w:rPr>
        <w:t>文件的要求执行，每份</w:t>
      </w:r>
      <w:r>
        <w:rPr>
          <w:rFonts w:hint="eastAsia" w:ascii="宋体" w:hAnsi="宋体" w:cs="宋体"/>
          <w:color w:val="auto"/>
          <w:sz w:val="24"/>
          <w:lang w:eastAsia="zh-CN"/>
        </w:rPr>
        <w:t>报价</w:t>
      </w:r>
      <w:r>
        <w:rPr>
          <w:rFonts w:hint="eastAsia" w:ascii="宋体" w:hAnsi="宋体" w:cs="宋体"/>
          <w:color w:val="auto"/>
          <w:sz w:val="24"/>
        </w:rPr>
        <w:t>文件均须在封面上清楚标明“正本”或“副本”字样，“正本”和“副本”具有同等的法律效力；“正本”和“副本”之间如有差异，以正本为准。</w:t>
      </w:r>
    </w:p>
    <w:p>
      <w:pPr>
        <w:snapToGrid w:val="0"/>
        <w:spacing w:line="360" w:lineRule="auto"/>
        <w:ind w:firstLine="480" w:firstLineChars="200"/>
        <w:rPr>
          <w:rFonts w:hint="eastAsia" w:ascii="宋体" w:hAnsi="宋体"/>
          <w:b/>
          <w:bCs/>
          <w:color w:val="auto"/>
          <w:sz w:val="24"/>
          <w:szCs w:val="22"/>
        </w:rPr>
      </w:pPr>
      <w:r>
        <w:rPr>
          <w:rFonts w:hint="eastAsia" w:ascii="宋体" w:hAnsi="宋体" w:cs="宋体"/>
          <w:color w:val="auto"/>
          <w:sz w:val="24"/>
        </w:rPr>
        <w:t xml:space="preserve">14.3 </w:t>
      </w:r>
      <w:r>
        <w:rPr>
          <w:rFonts w:hint="eastAsia" w:ascii="宋体" w:hAnsi="宋体" w:cs="宋体"/>
          <w:color w:val="auto"/>
          <w:sz w:val="24"/>
          <w:lang w:eastAsia="zh-CN"/>
        </w:rPr>
        <w:t>报价</w:t>
      </w:r>
      <w:r>
        <w:rPr>
          <w:rFonts w:hint="eastAsia" w:ascii="宋体" w:hAnsi="宋体" w:cs="宋体"/>
          <w:color w:val="auto"/>
          <w:sz w:val="24"/>
        </w:rPr>
        <w:t>文件正本中，文字材料需打印或用不褪色墨水书写。</w:t>
      </w:r>
      <w:r>
        <w:rPr>
          <w:rFonts w:hint="eastAsia" w:ascii="宋体" w:hAnsi="宋体" w:cs="宋体"/>
          <w:b/>
          <w:bCs/>
          <w:color w:val="auto"/>
          <w:sz w:val="24"/>
          <w:lang w:eastAsia="zh-CN"/>
        </w:rPr>
        <w:t>报价</w:t>
      </w:r>
      <w:r>
        <w:rPr>
          <w:rFonts w:hint="eastAsia" w:ascii="宋体" w:hAnsi="宋体" w:cs="宋体"/>
          <w:b/>
          <w:bCs/>
          <w:color w:val="auto"/>
          <w:sz w:val="24"/>
        </w:rPr>
        <w:t>文件</w:t>
      </w:r>
      <w:r>
        <w:rPr>
          <w:rFonts w:hint="eastAsia" w:ascii="宋体" w:hAnsi="宋体"/>
          <w:b/>
          <w:bCs/>
          <w:color w:val="auto"/>
          <w:sz w:val="24"/>
          <w:szCs w:val="22"/>
        </w:rPr>
        <w:t>的正本须经法定代表人或授权代表签署和加盖公司公章，并逐页加盖公司公章。</w:t>
      </w:r>
      <w:r>
        <w:rPr>
          <w:rFonts w:hint="eastAsia" w:ascii="宋体" w:hAnsi="宋体" w:cs="宋体"/>
          <w:b/>
          <w:bCs/>
          <w:color w:val="auto"/>
          <w:sz w:val="24"/>
          <w:lang w:eastAsia="zh-CN"/>
        </w:rPr>
        <w:t>报价</w:t>
      </w:r>
      <w:r>
        <w:rPr>
          <w:rFonts w:hint="eastAsia" w:ascii="宋体" w:hAnsi="宋体" w:cs="宋体"/>
          <w:b/>
          <w:bCs/>
          <w:color w:val="auto"/>
          <w:sz w:val="24"/>
        </w:rPr>
        <w:t>文件</w:t>
      </w:r>
      <w:r>
        <w:rPr>
          <w:rFonts w:hint="eastAsia" w:ascii="宋体" w:hAnsi="宋体"/>
          <w:b/>
          <w:bCs/>
          <w:color w:val="auto"/>
          <w:sz w:val="24"/>
          <w:szCs w:val="22"/>
        </w:rPr>
        <w:t>的副本可以按正本要求签署盖章或正本签署盖章后的复印件封面加盖公司公章和骑缝章。</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 xml:space="preserve">14.4 </w:t>
      </w:r>
      <w:r>
        <w:rPr>
          <w:rFonts w:hint="eastAsia" w:ascii="宋体" w:hAnsi="宋体" w:cs="宋体"/>
          <w:color w:val="auto"/>
          <w:sz w:val="24"/>
          <w:lang w:eastAsia="zh-CN"/>
        </w:rPr>
        <w:t>报价</w:t>
      </w:r>
      <w:r>
        <w:rPr>
          <w:rFonts w:hint="eastAsia" w:ascii="宋体" w:hAnsi="宋体" w:cs="宋体"/>
          <w:color w:val="auto"/>
          <w:sz w:val="24"/>
        </w:rPr>
        <w:t>文件不得涂改和增删，如要修改错漏处，必须由同一签署人在修改处签</w:t>
      </w:r>
      <w:r>
        <w:rPr>
          <w:rFonts w:hint="eastAsia" w:ascii="宋体" w:hAnsi="宋体" w:cs="宋体"/>
          <w:color w:val="auto"/>
          <w:sz w:val="24"/>
          <w:lang w:val="en-US" w:eastAsia="zh-CN"/>
        </w:rPr>
        <w:t>名</w:t>
      </w:r>
      <w:r>
        <w:rPr>
          <w:rFonts w:hint="eastAsia" w:ascii="宋体" w:hAnsi="宋体" w:cs="宋体"/>
          <w:color w:val="auto"/>
          <w:sz w:val="24"/>
        </w:rPr>
        <w:t>和盖章。</w:t>
      </w:r>
    </w:p>
    <w:p>
      <w:pPr>
        <w:bidi w:val="0"/>
        <w:rPr>
          <w:rFonts w:hint="eastAsia"/>
          <w:b/>
          <w:bCs/>
          <w:sz w:val="32"/>
          <w:szCs w:val="32"/>
          <w:lang w:val="en-US" w:eastAsia="zh-CN"/>
        </w:rPr>
      </w:pPr>
      <w:bookmarkStart w:id="26" w:name="_Toc7811"/>
      <w:r>
        <w:rPr>
          <w:rFonts w:hint="eastAsia"/>
          <w:b/>
          <w:bCs/>
          <w:sz w:val="32"/>
          <w:szCs w:val="32"/>
          <w:lang w:val="en-US" w:eastAsia="zh-CN"/>
        </w:rPr>
        <w:t>四、报价文件的递交</w:t>
      </w:r>
      <w:bookmarkEnd w:id="26"/>
    </w:p>
    <w:p>
      <w:pPr>
        <w:snapToGrid w:val="0"/>
        <w:spacing w:line="360" w:lineRule="auto"/>
        <w:rPr>
          <w:rFonts w:hint="eastAsia" w:ascii="宋体" w:hAnsi="宋体" w:cs="宋体"/>
          <w:color w:val="auto"/>
          <w:sz w:val="24"/>
        </w:rPr>
      </w:pPr>
      <w:r>
        <w:rPr>
          <w:rFonts w:hint="eastAsia" w:ascii="宋体" w:hAnsi="宋体" w:cs="宋体"/>
          <w:color w:val="auto"/>
          <w:sz w:val="24"/>
        </w:rPr>
        <w:t>15．</w:t>
      </w:r>
      <w:r>
        <w:rPr>
          <w:rFonts w:hint="eastAsia" w:ascii="宋体" w:hAnsi="宋体" w:cs="宋体"/>
          <w:color w:val="auto"/>
          <w:sz w:val="24"/>
          <w:lang w:eastAsia="zh-CN"/>
        </w:rPr>
        <w:t>报价</w:t>
      </w:r>
      <w:r>
        <w:rPr>
          <w:rFonts w:hint="eastAsia" w:ascii="宋体" w:hAnsi="宋体" w:cs="宋体"/>
          <w:color w:val="auto"/>
          <w:sz w:val="24"/>
        </w:rPr>
        <w:t>文件的密封及标记</w:t>
      </w:r>
    </w:p>
    <w:p>
      <w:pPr>
        <w:pStyle w:val="2"/>
        <w:ind w:left="0" w:leftChars="0" w:firstLine="480" w:firstLineChars="200"/>
        <w:rPr>
          <w:rFonts w:hint="eastAsia"/>
        </w:rPr>
      </w:pPr>
      <w:r>
        <w:rPr>
          <w:rFonts w:hint="eastAsia" w:ascii="宋体" w:hAnsi="宋体" w:eastAsia="宋体" w:cs="宋体"/>
          <w:color w:val="auto"/>
          <w:sz w:val="24"/>
          <w:szCs w:val="24"/>
        </w:rPr>
        <w:t>纸质投标文件：</w:t>
      </w:r>
      <w:r>
        <w:rPr>
          <w:rFonts w:hint="eastAsia" w:ascii="宋体" w:hAnsi="宋体" w:eastAsia="宋体" w:cs="宋体"/>
          <w:b/>
          <w:color w:val="auto"/>
          <w:sz w:val="24"/>
          <w:szCs w:val="24"/>
        </w:rPr>
        <w:t>投标人投多包时要针对每个包单独做投标文件，独立密封。</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cs="宋体"/>
          <w:color w:val="auto"/>
          <w:sz w:val="24"/>
        </w:rPr>
        <w:t>15．l 供应商应将</w:t>
      </w:r>
      <w:r>
        <w:rPr>
          <w:rFonts w:hint="eastAsia" w:ascii="宋体" w:hAnsi="宋体" w:cs="宋体"/>
          <w:color w:val="auto"/>
          <w:sz w:val="24"/>
          <w:lang w:eastAsia="zh-CN"/>
        </w:rPr>
        <w:t>报价</w:t>
      </w:r>
      <w:r>
        <w:rPr>
          <w:rFonts w:hint="eastAsia" w:ascii="宋体" w:hAnsi="宋体" w:cs="宋体"/>
          <w:color w:val="auto"/>
          <w:sz w:val="24"/>
        </w:rPr>
        <w:t>文件正本和所有副本分别密封在两个密封专用袋（箱）中（正本一包，副本一包），</w:t>
      </w:r>
      <w:r>
        <w:rPr>
          <w:rFonts w:hint="eastAsia" w:ascii="宋体" w:hAnsi="宋体" w:eastAsia="宋体" w:cs="宋体"/>
          <w:color w:val="auto"/>
          <w:sz w:val="24"/>
          <w:szCs w:val="24"/>
        </w:rPr>
        <w:t>并在报价专用袋（箱）上标明“正本”、“副本”字样，封口处应加盖骑缝章。</w:t>
      </w:r>
      <w:r>
        <w:rPr>
          <w:rFonts w:hint="eastAsia" w:ascii="宋体" w:hAnsi="宋体" w:eastAsia="宋体" w:cs="宋体"/>
          <w:b/>
          <w:color w:val="auto"/>
          <w:sz w:val="24"/>
          <w:szCs w:val="24"/>
        </w:rPr>
        <w:t>投标文件电子</w:t>
      </w:r>
      <w:r>
        <w:rPr>
          <w:rFonts w:hint="eastAsia" w:ascii="宋体" w:hAnsi="宋体" w:cs="宋体"/>
          <w:b/>
          <w:color w:val="auto"/>
          <w:sz w:val="24"/>
          <w:szCs w:val="24"/>
          <w:lang w:eastAsia="zh-CN"/>
        </w:rPr>
        <w:t>版</w:t>
      </w:r>
      <w:r>
        <w:rPr>
          <w:rFonts w:hint="eastAsia" w:ascii="宋体" w:hAnsi="宋体" w:eastAsia="宋体" w:cs="宋体"/>
          <w:b/>
          <w:color w:val="auto"/>
          <w:sz w:val="24"/>
          <w:szCs w:val="24"/>
        </w:rPr>
        <w:t>单独密封一包</w:t>
      </w:r>
      <w:r>
        <w:rPr>
          <w:rFonts w:hint="eastAsia" w:ascii="宋体" w:hAnsi="宋体" w:eastAsia="宋体" w:cs="宋体"/>
          <w:b/>
          <w:color w:val="auto"/>
          <w:sz w:val="24"/>
          <w:szCs w:val="24"/>
          <w:lang w:eastAsia="zh-CN"/>
        </w:rPr>
        <w:t>（U盘提交，</w:t>
      </w:r>
      <w:r>
        <w:rPr>
          <w:rFonts w:hint="eastAsia" w:ascii="宋体" w:hAnsi="宋体" w:eastAsia="宋体" w:cs="宋体"/>
          <w:b/>
          <w:color w:val="auto"/>
          <w:sz w:val="24"/>
          <w:szCs w:val="24"/>
          <w:lang w:val="en-US" w:eastAsia="zh-CN"/>
        </w:rPr>
        <w:t>须为签署盖章后的PDF格式</w:t>
      </w:r>
      <w:r>
        <w:rPr>
          <w:rFonts w:hint="eastAsia" w:ascii="宋体" w:hAnsi="宋体" w:eastAsia="宋体" w:cs="宋体"/>
          <w:b/>
          <w:color w:val="auto"/>
          <w:sz w:val="24"/>
          <w:szCs w:val="24"/>
          <w:lang w:eastAsia="zh-CN"/>
        </w:rPr>
        <w:t>）</w:t>
      </w:r>
      <w:r>
        <w:rPr>
          <w:rFonts w:hint="eastAsia" w:ascii="宋体" w:hAnsi="宋体" w:eastAsia="宋体" w:cs="宋体"/>
          <w:b/>
          <w:color w:val="auto"/>
          <w:sz w:val="24"/>
          <w:szCs w:val="24"/>
        </w:rPr>
        <w:t>。</w:t>
      </w:r>
      <w:r>
        <w:rPr>
          <w:rFonts w:hint="eastAsia" w:ascii="宋体" w:hAnsi="宋体" w:cs="宋体"/>
          <w:b w:val="0"/>
          <w:bCs/>
          <w:color w:val="auto"/>
          <w:sz w:val="24"/>
          <w:szCs w:val="24"/>
          <w:lang w:eastAsia="zh-CN"/>
        </w:rPr>
        <w:t>密</w:t>
      </w:r>
      <w:r>
        <w:rPr>
          <w:rFonts w:hint="eastAsia" w:ascii="宋体" w:hAnsi="宋体" w:eastAsia="宋体" w:cs="宋体"/>
          <w:color w:val="auto"/>
          <w:sz w:val="24"/>
          <w:szCs w:val="24"/>
        </w:rPr>
        <w:t>封皮上</w:t>
      </w:r>
      <w:r>
        <w:rPr>
          <w:rFonts w:hint="eastAsia" w:ascii="宋体" w:hAnsi="宋体" w:cs="宋体"/>
          <w:color w:val="auto"/>
          <w:sz w:val="24"/>
          <w:szCs w:val="24"/>
          <w:lang w:eastAsia="zh-CN"/>
        </w:rPr>
        <w:t>建议注明</w:t>
      </w:r>
      <w:r>
        <w:rPr>
          <w:rFonts w:hint="eastAsia" w:ascii="宋体" w:hAnsi="宋体" w:eastAsia="宋体" w:cs="宋体"/>
          <w:color w:val="auto"/>
          <w:sz w:val="24"/>
          <w:szCs w:val="24"/>
        </w:rPr>
        <w:t>：</w:t>
      </w:r>
    </w:p>
    <w:p>
      <w:pPr>
        <w:snapToGrid w:val="0"/>
        <w:spacing w:line="360" w:lineRule="auto"/>
        <w:ind w:firstLine="482" w:firstLineChars="200"/>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rPr>
        <w:t>致：</w:t>
      </w:r>
      <w:r>
        <w:rPr>
          <w:rFonts w:hint="eastAsia" w:ascii="宋体" w:hAnsi="宋体" w:cs="宋体"/>
          <w:b/>
          <w:bCs/>
          <w:color w:val="auto"/>
          <w:sz w:val="24"/>
          <w:szCs w:val="24"/>
          <w:lang w:eastAsia="zh-CN"/>
        </w:rPr>
        <w:t>海南政辉招投标代理有限公司</w:t>
      </w:r>
    </w:p>
    <w:p>
      <w:pPr>
        <w:snapToGrid w:val="0"/>
        <w:spacing w:line="360" w:lineRule="auto"/>
        <w:ind w:firstLine="482" w:firstLineChars="200"/>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rPr>
        <w:t>项目名称：</w:t>
      </w:r>
    </w:p>
    <w:p>
      <w:pPr>
        <w:snapToGrid w:val="0"/>
        <w:spacing w:line="360" w:lineRule="auto"/>
        <w:ind w:firstLine="482" w:firstLineChars="200"/>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rPr>
        <w:t>招标编号：</w:t>
      </w:r>
    </w:p>
    <w:p>
      <w:pPr>
        <w:snapToGrid w:val="0"/>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包    号：</w:t>
      </w:r>
      <w:r>
        <w:rPr>
          <w:rFonts w:hint="eastAsia" w:ascii="宋体" w:hAnsi="宋体" w:eastAsia="宋体" w:cs="宋体"/>
          <w:b/>
          <w:bCs/>
          <w:color w:val="auto"/>
          <w:sz w:val="24"/>
          <w:szCs w:val="24"/>
          <w:u w:val="single"/>
        </w:rPr>
        <w:t xml:space="preserve">    </w:t>
      </w:r>
      <w:r>
        <w:rPr>
          <w:rFonts w:hint="eastAsia" w:ascii="宋体" w:hAnsi="宋体" w:eastAsia="宋体" w:cs="宋体"/>
          <w:b/>
          <w:bCs/>
          <w:color w:val="auto"/>
          <w:sz w:val="24"/>
          <w:szCs w:val="24"/>
        </w:rPr>
        <w:t>包（如有）</w:t>
      </w:r>
    </w:p>
    <w:p>
      <w:pPr>
        <w:snapToGrid w:val="0"/>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注明：“请勿在开标时间之前启封”</w:t>
      </w:r>
    </w:p>
    <w:p>
      <w:pPr>
        <w:snapToGrid w:val="0"/>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投标单位名称、联系人姓名和电话</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 xml:space="preserve">15.2 </w:t>
      </w:r>
      <w:r>
        <w:rPr>
          <w:rFonts w:hint="eastAsia" w:ascii="宋体" w:hAnsi="宋体" w:cs="宋体"/>
          <w:color w:val="auto"/>
          <w:sz w:val="24"/>
          <w:lang w:eastAsia="zh-CN"/>
        </w:rPr>
        <w:t>报价</w:t>
      </w:r>
      <w:r>
        <w:rPr>
          <w:rFonts w:hint="eastAsia" w:ascii="宋体" w:hAnsi="宋体" w:cs="宋体"/>
          <w:color w:val="auto"/>
          <w:sz w:val="24"/>
        </w:rPr>
        <w:t>文件未按上述规定书写标记和密封者，采购代理机构不对</w:t>
      </w:r>
      <w:r>
        <w:rPr>
          <w:rFonts w:hint="eastAsia" w:ascii="宋体" w:hAnsi="宋体" w:cs="宋体"/>
          <w:color w:val="auto"/>
          <w:sz w:val="24"/>
          <w:lang w:eastAsia="zh-CN"/>
        </w:rPr>
        <w:t>报价</w:t>
      </w:r>
      <w:r>
        <w:rPr>
          <w:rFonts w:hint="eastAsia" w:ascii="宋体" w:hAnsi="宋体" w:cs="宋体"/>
          <w:color w:val="auto"/>
          <w:sz w:val="24"/>
        </w:rPr>
        <w:t>文件被错放或先期启封负责。</w:t>
      </w:r>
    </w:p>
    <w:p>
      <w:pPr>
        <w:snapToGrid w:val="0"/>
        <w:spacing w:line="360" w:lineRule="auto"/>
        <w:rPr>
          <w:rFonts w:hint="eastAsia" w:ascii="宋体" w:hAnsi="宋体" w:cs="宋体"/>
          <w:color w:val="auto"/>
          <w:sz w:val="24"/>
        </w:rPr>
      </w:pPr>
      <w:r>
        <w:rPr>
          <w:rFonts w:hint="eastAsia" w:ascii="宋体" w:hAnsi="宋体" w:cs="宋体"/>
          <w:color w:val="auto"/>
          <w:sz w:val="24"/>
        </w:rPr>
        <w:t>16．提交</w:t>
      </w:r>
      <w:r>
        <w:rPr>
          <w:rFonts w:hint="eastAsia" w:ascii="宋体" w:hAnsi="宋体" w:cs="宋体"/>
          <w:color w:val="auto"/>
          <w:sz w:val="24"/>
          <w:lang w:eastAsia="zh-CN"/>
        </w:rPr>
        <w:t>报价</w:t>
      </w:r>
      <w:r>
        <w:rPr>
          <w:rFonts w:hint="eastAsia" w:ascii="宋体" w:hAnsi="宋体" w:cs="宋体"/>
          <w:color w:val="auto"/>
          <w:sz w:val="24"/>
        </w:rPr>
        <w:t>文件截止时间</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16.l 供应商须在提交</w:t>
      </w:r>
      <w:r>
        <w:rPr>
          <w:rFonts w:hint="eastAsia" w:ascii="宋体" w:hAnsi="宋体" w:cs="宋体"/>
          <w:color w:val="auto"/>
          <w:sz w:val="24"/>
          <w:lang w:eastAsia="zh-CN"/>
        </w:rPr>
        <w:t>报价</w:t>
      </w:r>
      <w:r>
        <w:rPr>
          <w:rFonts w:hint="eastAsia" w:ascii="宋体" w:hAnsi="宋体" w:cs="宋体"/>
          <w:color w:val="auto"/>
          <w:sz w:val="24"/>
        </w:rPr>
        <w:t>文件截止时间前将</w:t>
      </w:r>
      <w:r>
        <w:rPr>
          <w:rFonts w:hint="eastAsia" w:ascii="宋体" w:hAnsi="宋体" w:cs="宋体"/>
          <w:color w:val="auto"/>
          <w:sz w:val="24"/>
          <w:lang w:eastAsia="zh-CN"/>
        </w:rPr>
        <w:t>报价</w:t>
      </w:r>
      <w:r>
        <w:rPr>
          <w:rFonts w:hint="eastAsia" w:ascii="宋体" w:hAnsi="宋体" w:cs="宋体"/>
          <w:color w:val="auto"/>
          <w:sz w:val="24"/>
        </w:rPr>
        <w:t>文件送达采购代理机构规定的</w:t>
      </w:r>
      <w:r>
        <w:rPr>
          <w:rFonts w:hint="eastAsia" w:ascii="宋体" w:hAnsi="宋体" w:cs="宋体"/>
          <w:color w:val="auto"/>
          <w:sz w:val="24"/>
          <w:lang w:eastAsia="zh-CN"/>
        </w:rPr>
        <w:t>报价</w:t>
      </w:r>
      <w:r>
        <w:rPr>
          <w:rFonts w:hint="eastAsia" w:ascii="宋体" w:hAnsi="宋体" w:cs="宋体"/>
          <w:color w:val="auto"/>
          <w:sz w:val="24"/>
        </w:rPr>
        <w:t>文件开启地点。</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16.2 若采购代理机构推迟了提交</w:t>
      </w:r>
      <w:r>
        <w:rPr>
          <w:rFonts w:hint="eastAsia" w:ascii="宋体" w:hAnsi="宋体" w:cs="宋体"/>
          <w:color w:val="auto"/>
          <w:sz w:val="24"/>
          <w:lang w:eastAsia="zh-CN"/>
        </w:rPr>
        <w:t>报价</w:t>
      </w:r>
      <w:r>
        <w:rPr>
          <w:rFonts w:hint="eastAsia" w:ascii="宋体" w:hAnsi="宋体" w:cs="宋体"/>
          <w:color w:val="auto"/>
          <w:sz w:val="24"/>
        </w:rPr>
        <w:t>文件截止时间，应以公告的形式通知所有供应商。在这种情况下，采购人和供应商的权利和义务均应以新的截止时间为准。</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16.3 在提交</w:t>
      </w:r>
      <w:r>
        <w:rPr>
          <w:rFonts w:hint="eastAsia" w:ascii="宋体" w:hAnsi="宋体" w:cs="宋体"/>
          <w:color w:val="auto"/>
          <w:sz w:val="24"/>
          <w:lang w:eastAsia="zh-CN"/>
        </w:rPr>
        <w:t>报价</w:t>
      </w:r>
      <w:r>
        <w:rPr>
          <w:rFonts w:hint="eastAsia" w:ascii="宋体" w:hAnsi="宋体" w:cs="宋体"/>
          <w:color w:val="auto"/>
          <w:sz w:val="24"/>
        </w:rPr>
        <w:t>文件截止时间后递交的</w:t>
      </w:r>
      <w:r>
        <w:rPr>
          <w:rFonts w:hint="eastAsia" w:ascii="宋体" w:hAnsi="宋体" w:cs="宋体"/>
          <w:color w:val="auto"/>
          <w:sz w:val="24"/>
          <w:lang w:eastAsia="zh-CN"/>
        </w:rPr>
        <w:t>报价</w:t>
      </w:r>
      <w:r>
        <w:rPr>
          <w:rFonts w:hint="eastAsia" w:ascii="宋体" w:hAnsi="宋体" w:cs="宋体"/>
          <w:color w:val="auto"/>
          <w:sz w:val="24"/>
        </w:rPr>
        <w:t>文件，采购代理机构将拒绝接受。</w:t>
      </w:r>
    </w:p>
    <w:p>
      <w:pPr>
        <w:bidi w:val="0"/>
        <w:rPr>
          <w:rFonts w:hint="eastAsia"/>
          <w:b/>
          <w:bCs/>
          <w:sz w:val="32"/>
          <w:szCs w:val="32"/>
          <w:lang w:val="en-US" w:eastAsia="zh-CN"/>
        </w:rPr>
      </w:pPr>
      <w:bookmarkStart w:id="27" w:name="_Toc3608"/>
      <w:r>
        <w:rPr>
          <w:rFonts w:hint="eastAsia"/>
          <w:b/>
          <w:bCs/>
          <w:sz w:val="32"/>
          <w:szCs w:val="32"/>
          <w:lang w:val="en-US" w:eastAsia="zh-CN"/>
        </w:rPr>
        <w:t>五、谈判、评审及签约</w:t>
      </w:r>
      <w:bookmarkEnd w:id="27"/>
    </w:p>
    <w:p>
      <w:pPr>
        <w:snapToGrid w:val="0"/>
        <w:spacing w:line="360" w:lineRule="auto"/>
        <w:rPr>
          <w:rFonts w:hint="eastAsia" w:ascii="宋体" w:hAnsi="宋体" w:eastAsia="宋体" w:cs="Times New Roman"/>
          <w:color w:val="auto"/>
          <w:sz w:val="24"/>
          <w:lang w:eastAsia="zh-CN"/>
        </w:rPr>
      </w:pPr>
      <w:r>
        <w:rPr>
          <w:rFonts w:hint="eastAsia" w:ascii="宋体" w:hAnsi="宋体" w:eastAsia="宋体" w:cs="Times New Roman"/>
          <w:color w:val="auto"/>
          <w:sz w:val="24"/>
        </w:rPr>
        <w:t>17．</w:t>
      </w:r>
      <w:r>
        <w:rPr>
          <w:rFonts w:hint="eastAsia" w:ascii="宋体" w:hAnsi="宋体" w:eastAsia="宋体" w:cs="Times New Roman"/>
          <w:color w:val="auto"/>
          <w:sz w:val="24"/>
          <w:lang w:eastAsia="zh-CN"/>
        </w:rPr>
        <w:t>谈判</w:t>
      </w:r>
    </w:p>
    <w:p>
      <w:pPr>
        <w:snapToGrid w:val="0"/>
        <w:spacing w:line="360" w:lineRule="auto"/>
        <w:ind w:firstLine="480" w:firstLineChars="200"/>
        <w:rPr>
          <w:rFonts w:hint="eastAsia" w:ascii="宋体" w:hAnsi="宋体" w:eastAsia="宋体" w:cs="Times New Roman"/>
          <w:color w:val="auto"/>
          <w:sz w:val="24"/>
        </w:rPr>
      </w:pPr>
      <w:r>
        <w:rPr>
          <w:rFonts w:hint="eastAsia" w:ascii="宋体" w:hAnsi="宋体" w:eastAsia="宋体" w:cs="Times New Roman"/>
          <w:color w:val="auto"/>
          <w:sz w:val="24"/>
        </w:rPr>
        <w:t>17.l 采购代理机构按</w:t>
      </w:r>
      <w:r>
        <w:rPr>
          <w:rFonts w:hint="eastAsia" w:ascii="宋体" w:hAnsi="宋体" w:eastAsia="宋体" w:cs="Times New Roman"/>
          <w:color w:val="auto"/>
          <w:sz w:val="24"/>
          <w:lang w:val="en-US" w:eastAsia="zh-CN"/>
        </w:rPr>
        <w:t>竞争性谈判</w:t>
      </w:r>
      <w:r>
        <w:rPr>
          <w:rFonts w:hint="eastAsia" w:ascii="宋体" w:hAnsi="宋体" w:eastAsia="宋体" w:cs="Times New Roman"/>
          <w:color w:val="auto"/>
          <w:sz w:val="24"/>
        </w:rPr>
        <w:t>文件第一章规定的时间和地点进行</w:t>
      </w:r>
      <w:r>
        <w:rPr>
          <w:rFonts w:hint="eastAsia" w:ascii="宋体" w:hAnsi="宋体" w:eastAsia="宋体" w:cs="Times New Roman"/>
          <w:color w:val="auto"/>
          <w:sz w:val="24"/>
          <w:lang w:eastAsia="zh-CN"/>
        </w:rPr>
        <w:t>谈判</w:t>
      </w:r>
      <w:r>
        <w:rPr>
          <w:rFonts w:hint="eastAsia" w:ascii="宋体" w:hAnsi="宋体" w:eastAsia="宋体" w:cs="Times New Roman"/>
          <w:color w:val="auto"/>
          <w:sz w:val="24"/>
        </w:rPr>
        <w:t>。采购人代表、采购代理机构有关工作人员参加。政府采购主管部门、监督部门、国家公证机关公证员由其视情况决定是否派代表到现场进行监督。</w:t>
      </w:r>
    </w:p>
    <w:p>
      <w:pPr>
        <w:snapToGrid w:val="0"/>
        <w:spacing w:line="360" w:lineRule="auto"/>
        <w:ind w:firstLine="480" w:firstLineChars="200"/>
        <w:rPr>
          <w:rFonts w:hint="eastAsia" w:ascii="宋体" w:hAnsi="宋体" w:eastAsia="宋体" w:cs="Times New Roman"/>
          <w:color w:val="auto"/>
          <w:sz w:val="24"/>
        </w:rPr>
      </w:pPr>
      <w:r>
        <w:rPr>
          <w:rFonts w:hint="eastAsia" w:ascii="宋体" w:hAnsi="宋体" w:eastAsia="宋体" w:cs="Times New Roman"/>
          <w:color w:val="auto"/>
          <w:sz w:val="24"/>
        </w:rPr>
        <w:t>17.2 供应商应委派授权代表参加开标活动，参加开标的代表须持本人身份证件签名报到以证明其出席。未派授权代表或不能证明其授权代表身份的，采购代理机构对</w:t>
      </w:r>
      <w:r>
        <w:rPr>
          <w:rFonts w:hint="eastAsia" w:ascii="宋体" w:hAnsi="宋体" w:eastAsia="宋体" w:cs="Times New Roman"/>
          <w:color w:val="auto"/>
          <w:sz w:val="24"/>
          <w:lang w:eastAsia="zh-CN"/>
        </w:rPr>
        <w:t>报价</w:t>
      </w:r>
      <w:r>
        <w:rPr>
          <w:rFonts w:hint="eastAsia" w:ascii="宋体" w:hAnsi="宋体" w:eastAsia="宋体" w:cs="Times New Roman"/>
          <w:color w:val="auto"/>
          <w:sz w:val="24"/>
        </w:rPr>
        <w:t>文件的处理不承担责任。</w:t>
      </w:r>
    </w:p>
    <w:p>
      <w:pPr>
        <w:snapToGrid w:val="0"/>
        <w:spacing w:line="360" w:lineRule="auto"/>
        <w:ind w:firstLine="480" w:firstLineChars="200"/>
        <w:rPr>
          <w:rFonts w:hint="eastAsia" w:ascii="宋体" w:hAnsi="宋体" w:eastAsia="宋体" w:cs="Times New Roman"/>
          <w:color w:val="auto"/>
          <w:sz w:val="24"/>
        </w:rPr>
      </w:pPr>
      <w:r>
        <w:rPr>
          <w:rFonts w:hint="eastAsia" w:ascii="宋体" w:hAnsi="宋体" w:eastAsia="宋体" w:cs="Times New Roman"/>
          <w:color w:val="auto"/>
          <w:sz w:val="24"/>
        </w:rPr>
        <w:t xml:space="preserve">17.3 </w:t>
      </w:r>
      <w:r>
        <w:rPr>
          <w:rFonts w:hint="eastAsia" w:ascii="宋体" w:hAnsi="宋体" w:eastAsia="宋体" w:cs="Times New Roman"/>
          <w:color w:val="auto"/>
          <w:sz w:val="24"/>
          <w:lang w:eastAsia="zh-CN"/>
        </w:rPr>
        <w:t>谈判</w:t>
      </w:r>
      <w:r>
        <w:rPr>
          <w:rFonts w:hint="eastAsia" w:ascii="宋体" w:hAnsi="宋体" w:eastAsia="宋体" w:cs="Times New Roman"/>
          <w:color w:val="auto"/>
          <w:sz w:val="24"/>
        </w:rPr>
        <w:t>时，采购代理机构或供应商代表将查验</w:t>
      </w:r>
      <w:r>
        <w:rPr>
          <w:rFonts w:hint="eastAsia" w:ascii="宋体" w:hAnsi="宋体" w:eastAsia="宋体" w:cs="Times New Roman"/>
          <w:color w:val="auto"/>
          <w:sz w:val="24"/>
          <w:lang w:eastAsia="zh-CN"/>
        </w:rPr>
        <w:t>报价</w:t>
      </w:r>
      <w:r>
        <w:rPr>
          <w:rFonts w:hint="eastAsia" w:ascii="宋体" w:hAnsi="宋体" w:eastAsia="宋体" w:cs="Times New Roman"/>
          <w:color w:val="auto"/>
          <w:sz w:val="24"/>
        </w:rPr>
        <w:t>文件密封情况，确认无误后拆封。</w:t>
      </w:r>
    </w:p>
    <w:p>
      <w:pPr>
        <w:snapToGrid w:val="0"/>
        <w:spacing w:line="360" w:lineRule="auto"/>
        <w:ind w:firstLine="480" w:firstLineChars="200"/>
        <w:rPr>
          <w:rFonts w:hint="eastAsia" w:ascii="宋体" w:hAnsi="宋体" w:eastAsia="宋体" w:cs="Times New Roman"/>
          <w:color w:val="auto"/>
          <w:sz w:val="24"/>
        </w:rPr>
      </w:pPr>
      <w:r>
        <w:rPr>
          <w:rFonts w:hint="eastAsia" w:ascii="宋体" w:hAnsi="宋体" w:eastAsia="宋体" w:cs="Times New Roman"/>
          <w:color w:val="auto"/>
          <w:sz w:val="24"/>
        </w:rPr>
        <w:t>17.4 若</w:t>
      </w:r>
      <w:r>
        <w:rPr>
          <w:rFonts w:hint="eastAsia" w:ascii="宋体" w:hAnsi="宋体" w:eastAsia="宋体" w:cs="Times New Roman"/>
          <w:color w:val="auto"/>
          <w:sz w:val="24"/>
          <w:lang w:eastAsia="zh-CN"/>
        </w:rPr>
        <w:t>报价</w:t>
      </w:r>
      <w:r>
        <w:rPr>
          <w:rFonts w:hint="eastAsia" w:ascii="宋体" w:hAnsi="宋体" w:eastAsia="宋体" w:cs="Times New Roman"/>
          <w:color w:val="auto"/>
          <w:sz w:val="24"/>
        </w:rPr>
        <w:t>文件未密封，采购代理机构将拒绝接受该供应商的</w:t>
      </w:r>
      <w:r>
        <w:rPr>
          <w:rFonts w:hint="eastAsia" w:ascii="宋体" w:hAnsi="宋体" w:eastAsia="宋体" w:cs="Times New Roman"/>
          <w:color w:val="auto"/>
          <w:sz w:val="24"/>
          <w:lang w:eastAsia="zh-CN"/>
        </w:rPr>
        <w:t>报价</w:t>
      </w:r>
      <w:r>
        <w:rPr>
          <w:rFonts w:hint="eastAsia" w:ascii="宋体" w:hAnsi="宋体" w:eastAsia="宋体" w:cs="Times New Roman"/>
          <w:color w:val="auto"/>
          <w:sz w:val="24"/>
        </w:rPr>
        <w:t>文件。</w:t>
      </w:r>
    </w:p>
    <w:p>
      <w:pPr>
        <w:snapToGrid w:val="0"/>
        <w:spacing w:line="360" w:lineRule="auto"/>
        <w:rPr>
          <w:rFonts w:hint="eastAsia" w:ascii="宋体" w:hAnsi="宋体" w:cs="宋体"/>
          <w:color w:val="auto"/>
          <w:sz w:val="24"/>
        </w:rPr>
      </w:pPr>
      <w:r>
        <w:rPr>
          <w:rFonts w:hint="eastAsia" w:ascii="宋体" w:hAnsi="宋体" w:cs="宋体"/>
          <w:color w:val="auto"/>
          <w:sz w:val="24"/>
        </w:rPr>
        <w:t>18．</w:t>
      </w:r>
      <w:r>
        <w:rPr>
          <w:rFonts w:hint="eastAsia" w:ascii="宋体" w:hAnsi="宋体" w:cs="宋体"/>
          <w:color w:val="auto"/>
          <w:sz w:val="24"/>
          <w:lang w:eastAsia="zh-CN"/>
        </w:rPr>
        <w:t>谈判</w:t>
      </w:r>
      <w:r>
        <w:rPr>
          <w:rFonts w:hint="eastAsia" w:ascii="宋体" w:hAnsi="宋体" w:cs="宋体"/>
          <w:color w:val="auto"/>
          <w:sz w:val="24"/>
        </w:rPr>
        <w:t>小组</w:t>
      </w:r>
    </w:p>
    <w:p>
      <w:pPr>
        <w:snapToGrid w:val="0"/>
        <w:spacing w:line="360" w:lineRule="auto"/>
        <w:ind w:firstLine="480" w:firstLineChars="200"/>
        <w:rPr>
          <w:rFonts w:hint="eastAsia" w:ascii="宋体" w:hAnsi="宋体" w:cs="宋体"/>
          <w:color w:val="auto"/>
          <w:sz w:val="24"/>
        </w:rPr>
      </w:pPr>
      <w:r>
        <w:rPr>
          <w:rFonts w:hint="eastAsia" w:ascii="宋体" w:hAnsi="宋体" w:eastAsia="宋体" w:cs="宋体"/>
          <w:color w:val="auto"/>
          <w:sz w:val="24"/>
          <w:szCs w:val="24"/>
        </w:rPr>
        <w:t>评标委员会由技术、经济等方面的专家和</w:t>
      </w:r>
      <w:r>
        <w:rPr>
          <w:rFonts w:hint="eastAsia" w:ascii="宋体" w:hAnsi="宋体" w:eastAsia="宋体" w:cs="宋体"/>
          <w:color w:val="auto"/>
          <w:sz w:val="24"/>
          <w:szCs w:val="24"/>
          <w:lang w:val="en-US" w:eastAsia="zh-CN"/>
        </w:rPr>
        <w:t>采购人</w:t>
      </w:r>
      <w:r>
        <w:rPr>
          <w:rFonts w:hint="eastAsia" w:ascii="宋体" w:hAnsi="宋体" w:eastAsia="宋体" w:cs="宋体"/>
          <w:color w:val="auto"/>
          <w:sz w:val="24"/>
          <w:szCs w:val="24"/>
        </w:rPr>
        <w:t>代表</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如有</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组成</w:t>
      </w:r>
      <w:r>
        <w:rPr>
          <w:rFonts w:hint="eastAsia" w:ascii="宋体" w:hAnsi="宋体" w:cs="宋体"/>
          <w:color w:val="auto"/>
          <w:sz w:val="24"/>
        </w:rPr>
        <w:t>，</w:t>
      </w:r>
      <w:r>
        <w:rPr>
          <w:rFonts w:hint="eastAsia" w:ascii="宋体" w:hAnsi="宋体" w:cs="宋体"/>
          <w:color w:val="auto"/>
          <w:kern w:val="0"/>
          <w:sz w:val="24"/>
        </w:rPr>
        <w:t>其中，技术、经济等方面的专家不少于成员总数的2/3。</w:t>
      </w:r>
      <w:r>
        <w:rPr>
          <w:rFonts w:hint="eastAsia" w:ascii="宋体" w:hAnsi="宋体" w:cs="宋体"/>
          <w:color w:val="auto"/>
          <w:sz w:val="24"/>
        </w:rPr>
        <w:t>该</w:t>
      </w:r>
      <w:r>
        <w:rPr>
          <w:rFonts w:hint="eastAsia" w:ascii="宋体" w:hAnsi="宋体" w:cs="宋体"/>
          <w:color w:val="auto"/>
          <w:sz w:val="24"/>
          <w:lang w:eastAsia="zh-CN"/>
        </w:rPr>
        <w:t>谈判</w:t>
      </w:r>
      <w:r>
        <w:rPr>
          <w:rFonts w:hint="eastAsia" w:ascii="宋体" w:hAnsi="宋体" w:cs="宋体"/>
          <w:color w:val="auto"/>
          <w:sz w:val="24"/>
        </w:rPr>
        <w:t>小组独立工作，负责评审所有</w:t>
      </w:r>
      <w:r>
        <w:rPr>
          <w:rFonts w:hint="eastAsia" w:ascii="宋体" w:hAnsi="宋体" w:cs="宋体"/>
          <w:color w:val="auto"/>
          <w:sz w:val="24"/>
          <w:lang w:eastAsia="zh-CN"/>
        </w:rPr>
        <w:t>报价</w:t>
      </w:r>
      <w:r>
        <w:rPr>
          <w:rFonts w:hint="eastAsia" w:ascii="宋体" w:hAnsi="宋体" w:cs="宋体"/>
          <w:color w:val="auto"/>
          <w:sz w:val="24"/>
        </w:rPr>
        <w:t>文件并确定成交侯选供应商。</w:t>
      </w:r>
    </w:p>
    <w:p>
      <w:pPr>
        <w:shd w:val="clear" w:color="auto" w:fill="FFFFFF"/>
        <w:snapToGrid w:val="0"/>
        <w:spacing w:line="360" w:lineRule="auto"/>
        <w:rPr>
          <w:rFonts w:hint="eastAsia" w:ascii="宋体" w:hAnsi="宋体" w:cs="宋体"/>
          <w:b/>
          <w:color w:val="auto"/>
          <w:sz w:val="24"/>
        </w:rPr>
      </w:pPr>
      <w:r>
        <w:rPr>
          <w:rFonts w:hint="eastAsia" w:ascii="宋体" w:hAnsi="宋体" w:cs="宋体"/>
          <w:b/>
          <w:color w:val="auto"/>
          <w:sz w:val="24"/>
        </w:rPr>
        <w:t>19.关于政策性优惠</w:t>
      </w:r>
    </w:p>
    <w:p>
      <w:pPr>
        <w:snapToGrid w:val="0"/>
        <w:spacing w:line="360" w:lineRule="auto"/>
        <w:ind w:firstLine="465"/>
        <w:rPr>
          <w:rFonts w:hint="eastAsia" w:ascii="宋体" w:hAnsi="宋体" w:cs="宋体"/>
          <w:color w:val="auto"/>
          <w:sz w:val="24"/>
        </w:rPr>
      </w:pPr>
      <w:r>
        <w:rPr>
          <w:rFonts w:hint="eastAsia" w:ascii="宋体" w:hAnsi="宋体" w:cs="宋体"/>
          <w:color w:val="auto"/>
          <w:sz w:val="24"/>
        </w:rPr>
        <w:t>19.1所投分包(如不分包则指本项目)的所有投标产品进入当期节能清单的，其评审价=报价*（1-2%）；供应商所投产品满足此规定的，必须提供相关证明文件。</w:t>
      </w:r>
    </w:p>
    <w:p>
      <w:pPr>
        <w:snapToGrid w:val="0"/>
        <w:spacing w:line="360" w:lineRule="auto"/>
        <w:ind w:firstLine="465"/>
        <w:rPr>
          <w:rFonts w:hint="eastAsia" w:ascii="宋体" w:hAnsi="宋体" w:cs="宋体"/>
          <w:color w:val="auto"/>
          <w:sz w:val="24"/>
        </w:rPr>
      </w:pPr>
      <w:r>
        <w:rPr>
          <w:rFonts w:hint="eastAsia" w:ascii="宋体" w:hAnsi="宋体" w:cs="宋体"/>
          <w:color w:val="auto"/>
          <w:sz w:val="24"/>
        </w:rPr>
        <w:t>19.2所投分包(如不分包则指本项目)的所有投标产品进入当期环保清单的，其评审价=报价*（1-1%）；供应商所投产品满足此规定的，必须提供相关证明文件。</w:t>
      </w:r>
    </w:p>
    <w:p>
      <w:pPr>
        <w:shd w:val="clear" w:color="auto" w:fill="auto"/>
        <w:snapToGrid w:val="0"/>
        <w:spacing w:line="360" w:lineRule="auto"/>
        <w:ind w:firstLine="465"/>
        <w:rPr>
          <w:rFonts w:hint="eastAsia" w:ascii="宋体" w:hAnsi="宋体" w:eastAsia="宋体" w:cs="宋体"/>
          <w:color w:val="auto"/>
          <w:sz w:val="24"/>
        </w:rPr>
      </w:pPr>
      <w:r>
        <w:rPr>
          <w:rFonts w:hint="eastAsia" w:ascii="宋体" w:hAnsi="宋体" w:eastAsia="宋体" w:cs="宋体"/>
          <w:color w:val="auto"/>
          <w:sz w:val="24"/>
        </w:rPr>
        <w:t>1</w:t>
      </w:r>
      <w:r>
        <w:rPr>
          <w:rFonts w:hint="eastAsia" w:ascii="宋体" w:hAnsi="宋体" w:eastAsia="宋体" w:cs="宋体"/>
          <w:color w:val="auto"/>
          <w:sz w:val="24"/>
          <w:lang w:val="en-US" w:eastAsia="zh-CN"/>
        </w:rPr>
        <w:t>9</w:t>
      </w:r>
      <w:r>
        <w:rPr>
          <w:rFonts w:hint="eastAsia" w:ascii="宋体" w:hAnsi="宋体" w:eastAsia="宋体" w:cs="宋体"/>
          <w:color w:val="auto"/>
          <w:sz w:val="24"/>
        </w:rPr>
        <w:t>.3 所投分包(如不分包则指本项目)的所有投标产品均为绿色产品的，均为</w:t>
      </w:r>
    </w:p>
    <w:p>
      <w:pPr>
        <w:shd w:val="clear" w:color="auto" w:fill="auto"/>
        <w:snapToGrid w:val="0"/>
        <w:spacing w:line="360" w:lineRule="auto"/>
        <w:rPr>
          <w:rFonts w:hint="eastAsia" w:ascii="宋体" w:hAnsi="宋体" w:eastAsia="宋体" w:cs="宋体"/>
          <w:color w:val="auto"/>
          <w:sz w:val="24"/>
        </w:rPr>
      </w:pPr>
      <w:r>
        <w:rPr>
          <w:rFonts w:hint="eastAsia" w:ascii="宋体" w:hAnsi="宋体" w:eastAsia="宋体" w:cs="宋体"/>
          <w:color w:val="auto"/>
          <w:sz w:val="24"/>
        </w:rPr>
        <w:t>绿色产品的，其评审价=报价*（1-4%）；超过一半产品为绿色产品的，其评审价=报价*（1-3%）；个别产品为绿色产品的，其评审价=报价*（1-2%）。</w:t>
      </w:r>
      <w:r>
        <w:rPr>
          <w:rFonts w:hint="eastAsia" w:ascii="宋体" w:hAnsi="宋体" w:eastAsia="宋体" w:cs="宋体"/>
          <w:color w:val="auto"/>
          <w:sz w:val="24"/>
          <w:lang w:val="en-US" w:eastAsia="zh-CN"/>
        </w:rPr>
        <w:t>供应商</w:t>
      </w:r>
      <w:r>
        <w:rPr>
          <w:rFonts w:hint="eastAsia" w:ascii="宋体" w:hAnsi="宋体" w:eastAsia="宋体" w:cs="宋体"/>
          <w:color w:val="auto"/>
          <w:sz w:val="24"/>
        </w:rPr>
        <w:t>所投产品满足此规定的，必须提供相关证明文件。</w:t>
      </w:r>
    </w:p>
    <w:p>
      <w:pPr>
        <w:shd w:val="clear" w:color="auto" w:fill="auto"/>
        <w:snapToGrid w:val="0"/>
        <w:spacing w:line="360" w:lineRule="auto"/>
        <w:ind w:firstLine="465"/>
        <w:rPr>
          <w:rFonts w:ascii="宋体" w:hAnsi="宋体"/>
          <w:color w:val="auto"/>
          <w:sz w:val="24"/>
        </w:rPr>
      </w:pPr>
      <w:r>
        <w:rPr>
          <w:rFonts w:hint="eastAsia" w:ascii="宋体" w:hAnsi="宋体"/>
          <w:color w:val="auto"/>
          <w:sz w:val="24"/>
        </w:rPr>
        <w:t>1</w:t>
      </w:r>
      <w:r>
        <w:rPr>
          <w:rFonts w:hint="eastAsia" w:ascii="宋体" w:hAnsi="宋体"/>
          <w:color w:val="auto"/>
          <w:sz w:val="24"/>
          <w:lang w:val="en-US" w:eastAsia="zh-CN"/>
        </w:rPr>
        <w:t>9</w:t>
      </w:r>
      <w:r>
        <w:rPr>
          <w:rFonts w:hint="eastAsia" w:ascii="宋体" w:hAnsi="宋体"/>
          <w:color w:val="auto"/>
          <w:sz w:val="24"/>
        </w:rPr>
        <w:t>.4纳入财政部公布的《政府采购自主创新产品目录》的货物和服务：</w:t>
      </w:r>
    </w:p>
    <w:p>
      <w:pPr>
        <w:shd w:val="clear" w:color="auto" w:fill="auto"/>
        <w:snapToGrid w:val="0"/>
        <w:spacing w:line="360" w:lineRule="auto"/>
        <w:ind w:firstLine="465"/>
        <w:rPr>
          <w:rFonts w:ascii="宋体" w:hAnsi="宋体"/>
          <w:color w:val="auto"/>
          <w:sz w:val="24"/>
        </w:rPr>
      </w:pPr>
      <w:r>
        <w:rPr>
          <w:rFonts w:hint="eastAsia" w:ascii="宋体" w:hAnsi="宋体"/>
          <w:color w:val="auto"/>
          <w:sz w:val="24"/>
        </w:rPr>
        <w:t>1</w:t>
      </w:r>
      <w:r>
        <w:rPr>
          <w:rFonts w:hint="eastAsia" w:ascii="宋体" w:hAnsi="宋体"/>
          <w:color w:val="auto"/>
          <w:sz w:val="24"/>
          <w:lang w:val="en-US" w:eastAsia="zh-CN"/>
        </w:rPr>
        <w:t>9</w:t>
      </w:r>
      <w:r>
        <w:rPr>
          <w:rFonts w:hint="eastAsia" w:ascii="宋体" w:hAnsi="宋体"/>
          <w:color w:val="auto"/>
          <w:sz w:val="24"/>
        </w:rPr>
        <w:t>.4.1</w:t>
      </w:r>
      <w:r>
        <w:rPr>
          <w:rFonts w:ascii="宋体" w:hAnsi="宋体"/>
          <w:color w:val="auto"/>
          <w:sz w:val="24"/>
        </w:rPr>
        <w:t>采用最低评标价法评标的项目，对自主创新产品在评审时对其投标价格给予5％的价格扣除。</w:t>
      </w:r>
    </w:p>
    <w:p>
      <w:pPr>
        <w:shd w:val="clear" w:color="auto" w:fill="auto"/>
        <w:snapToGrid w:val="0"/>
        <w:spacing w:line="360" w:lineRule="auto"/>
        <w:ind w:firstLine="465"/>
        <w:rPr>
          <w:rFonts w:hint="eastAsia"/>
          <w:color w:val="auto"/>
        </w:rPr>
      </w:pPr>
      <w:r>
        <w:rPr>
          <w:rFonts w:hint="eastAsia" w:ascii="宋体" w:hAnsi="宋体"/>
          <w:color w:val="auto"/>
          <w:sz w:val="24"/>
        </w:rPr>
        <w:t>1</w:t>
      </w:r>
      <w:r>
        <w:rPr>
          <w:rFonts w:hint="eastAsia" w:ascii="宋体" w:hAnsi="宋体"/>
          <w:color w:val="auto"/>
          <w:sz w:val="24"/>
          <w:lang w:val="en-US" w:eastAsia="zh-CN"/>
        </w:rPr>
        <w:t>9</w:t>
      </w:r>
      <w:r>
        <w:rPr>
          <w:rFonts w:hint="eastAsia" w:ascii="宋体" w:hAnsi="宋体"/>
          <w:color w:val="auto"/>
          <w:sz w:val="24"/>
        </w:rPr>
        <w:t>.4.2</w:t>
      </w:r>
      <w:r>
        <w:rPr>
          <w:rFonts w:ascii="宋体" w:hAnsi="宋体"/>
          <w:color w:val="auto"/>
          <w:sz w:val="24"/>
        </w:rPr>
        <w:t>采用综合评分法评标的项目，对自主创新产品在价格评标项中，对自主创新产品给予价格评标总分值的</w:t>
      </w:r>
      <w:r>
        <w:rPr>
          <w:rFonts w:hint="eastAsia" w:ascii="宋体" w:hAnsi="宋体"/>
          <w:color w:val="auto"/>
          <w:sz w:val="24"/>
        </w:rPr>
        <w:t>5</w:t>
      </w:r>
      <w:r>
        <w:rPr>
          <w:rFonts w:ascii="宋体" w:hAnsi="宋体"/>
          <w:color w:val="auto"/>
          <w:sz w:val="24"/>
        </w:rPr>
        <w:t>％的加分</w:t>
      </w:r>
      <w:r>
        <w:rPr>
          <w:rFonts w:hint="eastAsia" w:ascii="宋体" w:hAnsi="宋体"/>
          <w:color w:val="auto"/>
          <w:sz w:val="24"/>
        </w:rPr>
        <w:t>。</w:t>
      </w:r>
    </w:p>
    <w:p>
      <w:pPr>
        <w:shd w:val="clear" w:color="auto" w:fill="auto"/>
        <w:snapToGrid w:val="0"/>
        <w:spacing w:line="360" w:lineRule="auto"/>
        <w:ind w:firstLine="465"/>
        <w:rPr>
          <w:rFonts w:hint="eastAsia" w:ascii="宋体" w:hAnsi="宋体" w:eastAsia="宋体" w:cs="宋体"/>
          <w:color w:val="auto"/>
          <w:sz w:val="24"/>
        </w:rPr>
      </w:pPr>
      <w:r>
        <w:rPr>
          <w:rFonts w:hint="eastAsia" w:ascii="宋体" w:hAnsi="宋体" w:eastAsia="宋体" w:cs="宋体"/>
          <w:color w:val="auto"/>
          <w:sz w:val="24"/>
        </w:rPr>
        <w:t>1</w:t>
      </w:r>
      <w:r>
        <w:rPr>
          <w:rFonts w:hint="eastAsia" w:ascii="宋体" w:hAnsi="宋体" w:eastAsia="宋体" w:cs="宋体"/>
          <w:color w:val="auto"/>
          <w:sz w:val="24"/>
          <w:lang w:val="en-US" w:eastAsia="zh-CN"/>
        </w:rPr>
        <w:t>9</w:t>
      </w:r>
      <w:r>
        <w:rPr>
          <w:rFonts w:hint="eastAsia" w:ascii="宋体" w:hAnsi="宋体" w:eastAsia="宋体" w:cs="宋体"/>
          <w:color w:val="auto"/>
          <w:sz w:val="24"/>
        </w:rPr>
        <w:t>.</w:t>
      </w:r>
      <w:r>
        <w:rPr>
          <w:rFonts w:hint="eastAsia" w:ascii="宋体" w:hAnsi="宋体" w:eastAsia="宋体" w:cs="宋体"/>
          <w:color w:val="auto"/>
          <w:sz w:val="24"/>
          <w:lang w:val="en-US" w:eastAsia="zh-CN"/>
        </w:rPr>
        <w:t>5供应商</w:t>
      </w:r>
      <w:r>
        <w:rPr>
          <w:rFonts w:hint="eastAsia" w:ascii="宋体" w:hAnsi="宋体" w:eastAsia="宋体" w:cs="宋体"/>
          <w:color w:val="auto"/>
          <w:sz w:val="24"/>
        </w:rPr>
        <w:t>为</w:t>
      </w:r>
      <w:r>
        <w:rPr>
          <w:rFonts w:hint="eastAsia" w:ascii="宋体" w:hAnsi="宋体" w:eastAsia="宋体" w:cs="宋体"/>
          <w:color w:val="auto"/>
          <w:sz w:val="24"/>
          <w:lang w:val="en-US" w:eastAsia="zh-CN"/>
        </w:rPr>
        <w:t>中小</w:t>
      </w:r>
      <w:r>
        <w:rPr>
          <w:rFonts w:hint="eastAsia" w:ascii="宋体" w:hAnsi="宋体" w:eastAsia="宋体" w:cs="宋体"/>
          <w:color w:val="auto"/>
          <w:sz w:val="24"/>
        </w:rPr>
        <w:t>企业（含联合体）的情况：</w:t>
      </w:r>
    </w:p>
    <w:p>
      <w:pPr>
        <w:pStyle w:val="19"/>
        <w:shd w:val="clear" w:color="auto" w:fill="auto"/>
        <w:spacing w:before="0" w:after="0" w:line="360" w:lineRule="auto"/>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19.5.1中小企业：</w:t>
      </w:r>
    </w:p>
    <w:p>
      <w:pPr>
        <w:shd w:val="clear" w:color="auto" w:fill="auto"/>
        <w:spacing w:line="360" w:lineRule="auto"/>
        <w:ind w:firstLine="480" w:firstLineChars="200"/>
        <w:rPr>
          <w:rFonts w:hint="default"/>
          <w:color w:val="auto"/>
          <w:sz w:val="24"/>
          <w:szCs w:val="32"/>
          <w:lang w:val="en-US" w:eastAsia="zh-CN"/>
        </w:rPr>
      </w:pPr>
      <w:r>
        <w:rPr>
          <w:rFonts w:hint="default"/>
          <w:color w:val="auto"/>
          <w:sz w:val="24"/>
          <w:szCs w:val="32"/>
          <w:lang w:val="en-US" w:eastAsia="zh-CN"/>
        </w:rPr>
        <w:t>是指在中华人民共和国境内依法设立，依据国务院批准的中小企业划分标准（工信部联企业〔2011〕300号）确定的中型企业、小型企业和微型企业，但与大企业的负责人为同一人，或者与大企业存在直接控股、管理关系的除外。</w:t>
      </w:r>
    </w:p>
    <w:p>
      <w:pPr>
        <w:shd w:val="clear" w:color="auto" w:fill="auto"/>
        <w:spacing w:line="360" w:lineRule="auto"/>
        <w:ind w:firstLine="480" w:firstLineChars="200"/>
        <w:rPr>
          <w:rFonts w:hint="default"/>
          <w:color w:val="auto"/>
          <w:sz w:val="24"/>
          <w:szCs w:val="32"/>
          <w:lang w:val="en-US" w:eastAsia="zh-CN"/>
        </w:rPr>
      </w:pPr>
      <w:r>
        <w:rPr>
          <w:rFonts w:hint="default"/>
          <w:color w:val="auto"/>
          <w:sz w:val="24"/>
          <w:szCs w:val="32"/>
          <w:lang w:val="en-US" w:eastAsia="zh-CN"/>
        </w:rPr>
        <w:t>符合中小企业划分标准的个体工商户，在政府采购活动中视同中小企业。</w:t>
      </w:r>
    </w:p>
    <w:p>
      <w:pPr>
        <w:shd w:val="clear" w:color="auto" w:fill="auto"/>
        <w:snapToGrid w:val="0"/>
        <w:spacing w:line="360" w:lineRule="auto"/>
        <w:ind w:firstLine="465"/>
        <w:rPr>
          <w:rFonts w:hint="eastAsia" w:ascii="宋体" w:hAnsi="宋体" w:eastAsia="宋体" w:cs="宋体"/>
          <w:color w:val="auto"/>
          <w:sz w:val="24"/>
          <w:lang w:val="en-US" w:eastAsia="zh-CN"/>
        </w:rPr>
      </w:pPr>
      <w:r>
        <w:rPr>
          <w:rFonts w:hint="eastAsia" w:ascii="宋体" w:hAnsi="宋体" w:eastAsia="宋体" w:cs="宋体"/>
          <w:color w:val="auto"/>
          <w:sz w:val="24"/>
        </w:rPr>
        <w:t>1</w:t>
      </w:r>
      <w:r>
        <w:rPr>
          <w:rFonts w:hint="eastAsia" w:ascii="宋体" w:hAnsi="宋体" w:eastAsia="宋体" w:cs="宋体"/>
          <w:color w:val="auto"/>
          <w:sz w:val="24"/>
          <w:lang w:val="en-US" w:eastAsia="zh-CN"/>
        </w:rPr>
        <w:t>9</w:t>
      </w:r>
      <w:r>
        <w:rPr>
          <w:rFonts w:hint="eastAsia" w:ascii="宋体" w:hAnsi="宋体" w:eastAsia="宋体" w:cs="宋体"/>
          <w:color w:val="auto"/>
          <w:sz w:val="24"/>
        </w:rPr>
        <w:t>.</w:t>
      </w:r>
      <w:r>
        <w:rPr>
          <w:rFonts w:hint="eastAsia" w:ascii="宋体" w:hAnsi="宋体" w:eastAsia="宋体" w:cs="宋体"/>
          <w:color w:val="auto"/>
          <w:sz w:val="24"/>
          <w:lang w:val="en-US" w:eastAsia="zh-CN"/>
        </w:rPr>
        <w:t>5</w:t>
      </w:r>
      <w:r>
        <w:rPr>
          <w:rFonts w:hint="eastAsia" w:ascii="宋体" w:hAnsi="宋体" w:eastAsia="宋体" w:cs="宋体"/>
          <w:color w:val="auto"/>
          <w:sz w:val="24"/>
        </w:rPr>
        <w:t>.</w:t>
      </w:r>
      <w:r>
        <w:rPr>
          <w:rFonts w:hint="eastAsia" w:ascii="宋体" w:hAnsi="宋体" w:eastAsia="宋体" w:cs="宋体"/>
          <w:color w:val="auto"/>
          <w:sz w:val="24"/>
          <w:lang w:val="en-US" w:eastAsia="zh-CN"/>
        </w:rPr>
        <w:t>2在政府采购活动中，供应商提供的货物、工程或者服务符合下列情形的，享受中小企业扶持政策：</w:t>
      </w:r>
    </w:p>
    <w:p>
      <w:pPr>
        <w:shd w:val="clear" w:color="auto" w:fill="auto"/>
        <w:snapToGrid w:val="0"/>
        <w:spacing w:line="360" w:lineRule="auto"/>
        <w:ind w:firstLine="465"/>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（1）在货物采购项目中，货物由中小企业制造，即货物由中小企业生产且使用该中小企业商号或者注册商标；</w:t>
      </w:r>
    </w:p>
    <w:p>
      <w:pPr>
        <w:shd w:val="clear" w:color="auto" w:fill="auto"/>
        <w:snapToGrid w:val="0"/>
        <w:spacing w:line="360" w:lineRule="auto"/>
        <w:ind w:firstLine="465"/>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（2）在工程采购项目中，工程由中小企业承建，即工程施工单位为中小企业；</w:t>
      </w:r>
    </w:p>
    <w:p>
      <w:pPr>
        <w:shd w:val="clear" w:color="auto" w:fill="auto"/>
        <w:snapToGrid w:val="0"/>
        <w:spacing w:line="360" w:lineRule="auto"/>
        <w:ind w:firstLine="465"/>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（3）在服务采购项目中，服务由中小企业承接，即提供服务的人员为中小企业依照《中华人民共和国劳动合同法》订立劳动合同的从业人员。</w:t>
      </w:r>
    </w:p>
    <w:p>
      <w:pPr>
        <w:shd w:val="clear" w:color="auto" w:fill="auto"/>
        <w:snapToGrid w:val="0"/>
        <w:spacing w:line="360" w:lineRule="auto"/>
        <w:ind w:firstLine="465"/>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在货物采购项目中，供应商提供的货物既有中小企业制造货物，也有大型企业制造货物的，不享受中小企业扶持政策。</w:t>
      </w:r>
    </w:p>
    <w:p>
      <w:pPr>
        <w:shd w:val="clear" w:color="auto" w:fill="auto"/>
        <w:snapToGrid w:val="0"/>
        <w:spacing w:line="360" w:lineRule="auto"/>
        <w:ind w:firstLine="465"/>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以联合体形式参加政府采购活动,联合体各方均为中小企业的，联合体视同中小企业。其中，联合体各方均为小微企业的，联合体视同小微企业。</w:t>
      </w:r>
    </w:p>
    <w:p>
      <w:pPr>
        <w:shd w:val="clear" w:color="auto" w:fill="auto"/>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19.5.3</w:t>
      </w:r>
      <w:r>
        <w:rPr>
          <w:rFonts w:hint="eastAsia" w:ascii="宋体" w:hAnsi="宋体" w:eastAsia="宋体" w:cs="宋体"/>
          <w:color w:val="auto"/>
          <w:sz w:val="24"/>
          <w:szCs w:val="24"/>
        </w:rPr>
        <w:t>监狱企业视同为小型、微型企业</w:t>
      </w:r>
      <w:r>
        <w:rPr>
          <w:rFonts w:hint="eastAsia" w:ascii="宋体" w:hAnsi="宋体" w:eastAsia="宋体" w:cs="宋体"/>
          <w:color w:val="auto"/>
          <w:sz w:val="24"/>
          <w:szCs w:val="24"/>
          <w:lang w:eastAsia="zh-CN"/>
        </w:rPr>
        <w:t>，</w:t>
      </w:r>
      <w:r>
        <w:rPr>
          <w:rFonts w:hint="eastAsia" w:ascii="宋体" w:hAnsi="宋体" w:cs="宋体"/>
          <w:color w:val="auto"/>
          <w:sz w:val="24"/>
          <w:szCs w:val="24"/>
          <w:lang w:val="en-US" w:eastAsia="zh-CN"/>
        </w:rPr>
        <w:t>必须提供相关证明文件。</w:t>
      </w:r>
    </w:p>
    <w:p>
      <w:pPr>
        <w:shd w:val="clear" w:color="auto" w:fill="auto"/>
        <w:snapToGrid w:val="0"/>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val="en-US" w:eastAsia="zh-CN"/>
        </w:rPr>
        <w:t>19.5.4</w:t>
      </w:r>
      <w:r>
        <w:rPr>
          <w:rFonts w:ascii="宋体" w:hAnsi="宋体" w:eastAsia="宋体" w:cs="宋体"/>
          <w:color w:val="auto"/>
          <w:sz w:val="24"/>
          <w:szCs w:val="24"/>
        </w:rPr>
        <w:t>残疾人福利性单位视同为小型、微型企业，必须如实填写“残疾人福利性单位声明函”（内容、格式见财库〔2017〕141 号）。</w:t>
      </w:r>
    </w:p>
    <w:p>
      <w:pPr>
        <w:shd w:val="clear" w:color="auto" w:fill="auto"/>
        <w:snapToGrid w:val="0"/>
        <w:spacing w:line="360" w:lineRule="auto"/>
        <w:ind w:firstLine="465"/>
        <w:rPr>
          <w:rFonts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供应商</w:t>
      </w:r>
      <w:r>
        <w:rPr>
          <w:rFonts w:hint="eastAsia" w:ascii="宋体" w:hAnsi="宋体" w:eastAsia="宋体" w:cs="宋体"/>
          <w:color w:val="auto"/>
          <w:sz w:val="24"/>
          <w:szCs w:val="24"/>
        </w:rPr>
        <w:t>为</w:t>
      </w:r>
      <w:r>
        <w:rPr>
          <w:rFonts w:hint="eastAsia" w:ascii="宋体" w:hAnsi="宋体" w:eastAsia="宋体" w:cs="宋体"/>
          <w:color w:val="auto"/>
          <w:sz w:val="24"/>
          <w:szCs w:val="24"/>
          <w:lang w:val="en-US" w:eastAsia="zh-CN"/>
        </w:rPr>
        <w:t>中小</w:t>
      </w:r>
      <w:r>
        <w:rPr>
          <w:rFonts w:hint="eastAsia" w:ascii="宋体" w:hAnsi="宋体" w:eastAsia="宋体" w:cs="宋体"/>
          <w:color w:val="auto"/>
          <w:sz w:val="24"/>
          <w:szCs w:val="24"/>
        </w:rPr>
        <w:t>企业，同时所投产品为</w:t>
      </w:r>
      <w:r>
        <w:rPr>
          <w:rFonts w:hint="eastAsia" w:ascii="宋体" w:hAnsi="宋体" w:eastAsia="宋体" w:cs="宋体"/>
          <w:color w:val="auto"/>
          <w:sz w:val="24"/>
          <w:szCs w:val="24"/>
          <w:lang w:val="en-US" w:eastAsia="zh-CN"/>
        </w:rPr>
        <w:t>中小</w:t>
      </w:r>
      <w:r>
        <w:rPr>
          <w:rFonts w:hint="eastAsia" w:ascii="宋体" w:hAnsi="宋体" w:eastAsia="宋体" w:cs="宋体"/>
          <w:color w:val="auto"/>
          <w:sz w:val="24"/>
          <w:szCs w:val="24"/>
        </w:rPr>
        <w:t>企业生产的才能享受政策性优惠）</w:t>
      </w:r>
    </w:p>
    <w:p>
      <w:pPr>
        <w:shd w:val="clear" w:color="auto" w:fill="auto"/>
        <w:snapToGrid w:val="0"/>
        <w:spacing w:line="360" w:lineRule="auto"/>
        <w:ind w:firstLine="465"/>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具体评审价说明：</w:t>
      </w:r>
    </w:p>
    <w:p>
      <w:pPr>
        <w:shd w:val="clear" w:color="auto" w:fill="auto"/>
        <w:snapToGrid w:val="0"/>
        <w:spacing w:line="360" w:lineRule="auto"/>
        <w:ind w:firstLine="465"/>
        <w:rPr>
          <w:rFonts w:hint="default"/>
          <w:color w:val="auto"/>
          <w:sz w:val="24"/>
          <w:szCs w:val="24"/>
          <w:lang w:val="en-US"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供应商</w:t>
      </w:r>
      <w:r>
        <w:rPr>
          <w:rFonts w:hint="eastAsia" w:ascii="宋体" w:hAnsi="宋体" w:eastAsia="宋体" w:cs="宋体"/>
          <w:color w:val="auto"/>
          <w:sz w:val="24"/>
          <w:szCs w:val="24"/>
        </w:rPr>
        <w:t>为</w:t>
      </w:r>
      <w:r>
        <w:rPr>
          <w:rFonts w:hint="eastAsia" w:ascii="宋体" w:hAnsi="宋体" w:eastAsia="宋体" w:cs="宋体"/>
          <w:color w:val="auto"/>
          <w:sz w:val="24"/>
          <w:szCs w:val="24"/>
          <w:lang w:val="en-US" w:eastAsia="zh-CN"/>
        </w:rPr>
        <w:t>中小</w:t>
      </w:r>
      <w:r>
        <w:rPr>
          <w:rFonts w:hint="eastAsia" w:ascii="宋体" w:hAnsi="宋体" w:eastAsia="宋体" w:cs="宋体"/>
          <w:color w:val="auto"/>
          <w:sz w:val="24"/>
          <w:szCs w:val="24"/>
        </w:rPr>
        <w:t>企业，</w:t>
      </w:r>
      <w:r>
        <w:rPr>
          <w:rFonts w:hint="eastAsia" w:ascii="宋体" w:hAnsi="宋体"/>
          <w:color w:val="auto"/>
          <w:sz w:val="24"/>
        </w:rPr>
        <w:t>货物和服务项目</w:t>
      </w:r>
      <w:r>
        <w:rPr>
          <w:rFonts w:hint="eastAsia" w:ascii="宋体" w:hAnsi="宋体" w:eastAsia="宋体" w:cs="宋体"/>
          <w:color w:val="auto"/>
          <w:sz w:val="24"/>
          <w:szCs w:val="24"/>
        </w:rPr>
        <w:t>评审价=报价*（1-6%）</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工程项目评</w:t>
      </w:r>
      <w:r>
        <w:rPr>
          <w:rFonts w:hint="eastAsia" w:ascii="宋体" w:hAnsi="宋体" w:eastAsia="宋体" w:cs="宋体"/>
          <w:color w:val="auto"/>
          <w:sz w:val="24"/>
          <w:szCs w:val="24"/>
        </w:rPr>
        <w:t>审价=报价*（1-</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对于</w:t>
      </w:r>
      <w:r>
        <w:rPr>
          <w:rFonts w:hint="eastAsia" w:ascii="宋体" w:hAnsi="宋体" w:eastAsia="宋体" w:cs="宋体"/>
          <w:color w:val="auto"/>
          <w:sz w:val="24"/>
          <w:szCs w:val="24"/>
          <w:lang w:eastAsia="zh-CN"/>
        </w:rPr>
        <w:t>适用招标投标法的政府采购工程建设项目，采用综合评估法但未采用低价优先法计算价格分的，评标时在采用原报价进行评分的基础上增加其价格得分的3%作为其价格分。</w:t>
      </w:r>
    </w:p>
    <w:p>
      <w:pPr>
        <w:shd w:val="clear" w:color="auto" w:fill="auto"/>
        <w:snapToGrid w:val="0"/>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供应商</w:t>
      </w:r>
      <w:r>
        <w:rPr>
          <w:rFonts w:hint="eastAsia" w:ascii="宋体" w:hAnsi="宋体" w:eastAsia="宋体" w:cs="宋体"/>
          <w:color w:val="auto"/>
          <w:sz w:val="24"/>
          <w:szCs w:val="24"/>
        </w:rPr>
        <w:t>为联合体报价，对于联合</w:t>
      </w:r>
      <w:r>
        <w:rPr>
          <w:rFonts w:hint="eastAsia" w:ascii="宋体" w:hAnsi="宋体" w:eastAsia="宋体" w:cs="宋体"/>
          <w:color w:val="auto"/>
          <w:sz w:val="24"/>
          <w:szCs w:val="24"/>
          <w:lang w:val="en-US" w:eastAsia="zh-CN"/>
        </w:rPr>
        <w:t>协议</w:t>
      </w:r>
      <w:r>
        <w:rPr>
          <w:rFonts w:hint="eastAsia" w:ascii="宋体" w:hAnsi="宋体" w:eastAsia="宋体" w:cs="宋体"/>
          <w:color w:val="auto"/>
          <w:sz w:val="24"/>
          <w:szCs w:val="24"/>
        </w:rPr>
        <w:t>或者分包意向协议约定小微企业的合同份额占到合同总金额30%以上的，</w:t>
      </w:r>
      <w:r>
        <w:rPr>
          <w:rFonts w:hint="eastAsia" w:ascii="宋体" w:hAnsi="宋体"/>
          <w:color w:val="auto"/>
          <w:sz w:val="24"/>
        </w:rPr>
        <w:t>货物和服务项目</w:t>
      </w:r>
      <w:r>
        <w:rPr>
          <w:rFonts w:hint="eastAsia" w:ascii="宋体" w:hAnsi="宋体" w:eastAsia="宋体" w:cs="宋体"/>
          <w:color w:val="auto"/>
          <w:sz w:val="24"/>
          <w:szCs w:val="24"/>
        </w:rPr>
        <w:t>评审价=报价*（1-2%）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工程项目评</w:t>
      </w:r>
      <w:r>
        <w:rPr>
          <w:rFonts w:hint="eastAsia" w:ascii="宋体" w:hAnsi="宋体" w:eastAsia="宋体" w:cs="宋体"/>
          <w:color w:val="auto"/>
          <w:sz w:val="24"/>
          <w:szCs w:val="24"/>
        </w:rPr>
        <w:t>审价=报价*（1-</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对于</w:t>
      </w:r>
      <w:r>
        <w:rPr>
          <w:rFonts w:hint="eastAsia" w:ascii="宋体" w:hAnsi="宋体" w:eastAsia="宋体" w:cs="宋体"/>
          <w:color w:val="auto"/>
          <w:sz w:val="24"/>
          <w:szCs w:val="24"/>
          <w:lang w:eastAsia="zh-CN"/>
        </w:rPr>
        <w:t>适用招标投标法的政府采购工程建设项目，采用综合评估法但未采用低价优先法计算价格分的，评标时在采用原报价进行评分的基础上增加其价格得分的1%作为其价格分。</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firstLine="480" w:firstLineChars="200"/>
        <w:textAlignment w:val="auto"/>
        <w:rPr>
          <w:rFonts w:hint="eastAsia"/>
          <w:b w:val="0"/>
          <w:bCs w:val="0"/>
          <w:color w:val="auto"/>
          <w:sz w:val="24"/>
          <w:szCs w:val="24"/>
          <w:lang w:eastAsia="zh-CN"/>
        </w:rPr>
      </w:pP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US" w:eastAsia="zh-CN"/>
        </w:rPr>
        <w:t>3</w:t>
      </w:r>
      <w:r>
        <w:rPr>
          <w:rFonts w:hint="eastAsia" w:ascii="宋体" w:hAnsi="宋体" w:eastAsia="宋体" w:cs="宋体"/>
          <w:b w:val="0"/>
          <w:bCs w:val="0"/>
          <w:color w:val="auto"/>
          <w:sz w:val="24"/>
          <w:szCs w:val="24"/>
          <w:lang w:eastAsia="zh-CN"/>
        </w:rPr>
        <w:t>）组成联合体或者接受分包的小微企业与联合体内其他企业、分包企业之间存在直接控股、管理关系的，不享受价格扣除优惠政策。</w:t>
      </w:r>
    </w:p>
    <w:p>
      <w:pPr>
        <w:shd w:val="clear" w:color="auto" w:fill="auto"/>
        <w:snapToGrid w:val="0"/>
        <w:spacing w:line="360" w:lineRule="auto"/>
        <w:ind w:firstLine="480"/>
        <w:rPr>
          <w:rFonts w:hint="eastAsia" w:ascii="宋体" w:hAnsi="宋体" w:eastAsia="宋体" w:cs="宋体"/>
          <w:b/>
          <w:color w:val="auto"/>
          <w:sz w:val="24"/>
        </w:rPr>
      </w:pPr>
      <w:r>
        <w:rPr>
          <w:rFonts w:hint="eastAsia" w:ascii="宋体" w:hAnsi="宋体" w:eastAsia="宋体" w:cs="宋体"/>
          <w:color w:val="auto"/>
          <w:sz w:val="24"/>
        </w:rPr>
        <w:t>1</w:t>
      </w:r>
      <w:r>
        <w:rPr>
          <w:rFonts w:hint="eastAsia" w:ascii="宋体" w:hAnsi="宋体" w:eastAsia="宋体" w:cs="宋体"/>
          <w:color w:val="auto"/>
          <w:sz w:val="24"/>
          <w:lang w:val="en-US" w:eastAsia="zh-CN"/>
        </w:rPr>
        <w:t>9</w:t>
      </w:r>
      <w:r>
        <w:rPr>
          <w:rFonts w:hint="eastAsia" w:ascii="宋体" w:hAnsi="宋体" w:eastAsia="宋体" w:cs="宋体"/>
          <w:color w:val="auto"/>
          <w:sz w:val="24"/>
        </w:rPr>
        <w:t>.</w:t>
      </w:r>
      <w:r>
        <w:rPr>
          <w:rFonts w:hint="eastAsia" w:ascii="宋体" w:hAnsi="宋体" w:eastAsia="宋体" w:cs="宋体"/>
          <w:color w:val="auto"/>
          <w:sz w:val="24"/>
          <w:lang w:val="en-US" w:eastAsia="zh-CN"/>
        </w:rPr>
        <w:t>5</w:t>
      </w:r>
      <w:r>
        <w:rPr>
          <w:rFonts w:hint="eastAsia" w:ascii="宋体" w:hAnsi="宋体" w:eastAsia="宋体" w:cs="宋体"/>
          <w:color w:val="auto"/>
          <w:sz w:val="24"/>
        </w:rPr>
        <w:t>.</w:t>
      </w:r>
      <w:r>
        <w:rPr>
          <w:rFonts w:hint="eastAsia" w:ascii="宋体" w:hAnsi="宋体" w:eastAsia="宋体" w:cs="宋体"/>
          <w:color w:val="auto"/>
          <w:sz w:val="24"/>
          <w:lang w:val="en-US" w:eastAsia="zh-CN"/>
        </w:rPr>
        <w:t>6供应商</w:t>
      </w:r>
      <w:r>
        <w:rPr>
          <w:rFonts w:hint="eastAsia" w:ascii="宋体" w:hAnsi="宋体" w:eastAsia="宋体" w:cs="宋体"/>
          <w:color w:val="auto"/>
          <w:sz w:val="24"/>
        </w:rPr>
        <w:t>为</w:t>
      </w:r>
      <w:r>
        <w:rPr>
          <w:rFonts w:hint="eastAsia" w:ascii="宋体" w:hAnsi="宋体" w:eastAsia="宋体" w:cs="宋体"/>
          <w:color w:val="auto"/>
          <w:sz w:val="24"/>
          <w:lang w:val="en-US" w:eastAsia="zh-CN"/>
        </w:rPr>
        <w:t>中小企业</w:t>
      </w:r>
      <w:r>
        <w:rPr>
          <w:rFonts w:hint="eastAsia" w:ascii="宋体" w:hAnsi="宋体" w:eastAsia="宋体" w:cs="宋体"/>
          <w:color w:val="auto"/>
          <w:sz w:val="24"/>
        </w:rPr>
        <w:t>（含联合体）的，必须</w:t>
      </w:r>
      <w:bookmarkStart w:id="28" w:name="_Toc320093686"/>
      <w:r>
        <w:rPr>
          <w:rFonts w:hint="eastAsia" w:ascii="宋体" w:hAnsi="宋体" w:eastAsia="宋体" w:cs="宋体"/>
          <w:color w:val="auto"/>
          <w:sz w:val="24"/>
        </w:rPr>
        <w:t>如实填写“中小企业声明函”（内容、格式见财库〔20</w:t>
      </w:r>
      <w:r>
        <w:rPr>
          <w:rFonts w:hint="eastAsia" w:ascii="宋体" w:hAnsi="宋体" w:eastAsia="宋体" w:cs="宋体"/>
          <w:color w:val="auto"/>
          <w:sz w:val="24"/>
          <w:lang w:val="en-US" w:eastAsia="zh-CN"/>
        </w:rPr>
        <w:t>20</w:t>
      </w:r>
      <w:r>
        <w:rPr>
          <w:rFonts w:hint="eastAsia" w:ascii="宋体" w:hAnsi="宋体" w:eastAsia="宋体" w:cs="宋体"/>
          <w:color w:val="auto"/>
          <w:sz w:val="24"/>
        </w:rPr>
        <w:t>〕</w:t>
      </w:r>
      <w:r>
        <w:rPr>
          <w:rFonts w:hint="eastAsia" w:ascii="宋体" w:hAnsi="宋体" w:eastAsia="宋体" w:cs="宋体"/>
          <w:color w:val="auto"/>
          <w:sz w:val="24"/>
          <w:lang w:val="en-US" w:eastAsia="zh-CN"/>
        </w:rPr>
        <w:t>46</w:t>
      </w:r>
      <w:r>
        <w:rPr>
          <w:rFonts w:hint="eastAsia" w:ascii="宋体" w:hAnsi="宋体" w:eastAsia="宋体" w:cs="宋体"/>
          <w:color w:val="auto"/>
          <w:sz w:val="24"/>
        </w:rPr>
        <w:t>号）</w:t>
      </w:r>
      <w:bookmarkEnd w:id="28"/>
      <w:r>
        <w:rPr>
          <w:rFonts w:hint="eastAsia" w:ascii="宋体" w:hAnsi="宋体" w:eastAsia="宋体" w:cs="宋体"/>
          <w:color w:val="auto"/>
          <w:sz w:val="24"/>
        </w:rPr>
        <w:t>，否则无效。</w:t>
      </w:r>
      <w:r>
        <w:rPr>
          <w:rFonts w:hint="eastAsia" w:ascii="宋体" w:hAnsi="宋体" w:eastAsia="宋体" w:cs="宋体"/>
          <w:b/>
          <w:color w:val="auto"/>
          <w:sz w:val="24"/>
        </w:rPr>
        <w:t>如有虚假骗取政策性加分，将依法承担相应责任。</w:t>
      </w:r>
    </w:p>
    <w:p>
      <w:pPr>
        <w:snapToGrid w:val="0"/>
        <w:spacing w:line="360" w:lineRule="auto"/>
        <w:rPr>
          <w:rFonts w:hint="eastAsia" w:ascii="宋体" w:hAnsi="宋体" w:cs="宋体"/>
          <w:color w:val="auto"/>
          <w:sz w:val="24"/>
        </w:rPr>
      </w:pPr>
      <w:r>
        <w:rPr>
          <w:rFonts w:hint="eastAsia" w:ascii="宋体" w:hAnsi="宋体" w:cs="宋体"/>
          <w:color w:val="auto"/>
          <w:sz w:val="24"/>
        </w:rPr>
        <w:t>20.</w:t>
      </w:r>
      <w:r>
        <w:rPr>
          <w:rFonts w:hint="eastAsia" w:ascii="宋体" w:hAnsi="宋体" w:cs="宋体"/>
          <w:color w:val="auto"/>
          <w:sz w:val="24"/>
          <w:lang w:eastAsia="zh-CN"/>
        </w:rPr>
        <w:t>谈判</w:t>
      </w:r>
      <w:r>
        <w:rPr>
          <w:rFonts w:hint="eastAsia" w:ascii="宋体" w:hAnsi="宋体" w:cs="宋体"/>
          <w:color w:val="auto"/>
          <w:sz w:val="24"/>
        </w:rPr>
        <w:t>和定标</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20.1</w:t>
      </w:r>
      <w:r>
        <w:rPr>
          <w:rFonts w:hint="eastAsia" w:ascii="宋体" w:hAnsi="宋体" w:cs="宋体"/>
          <w:color w:val="auto"/>
          <w:sz w:val="24"/>
          <w:lang w:eastAsia="zh-CN"/>
        </w:rPr>
        <w:t>谈判</w:t>
      </w:r>
      <w:r>
        <w:rPr>
          <w:rFonts w:hint="eastAsia" w:ascii="宋体" w:hAnsi="宋体" w:cs="宋体"/>
          <w:color w:val="auto"/>
          <w:sz w:val="24"/>
        </w:rPr>
        <w:t xml:space="preserve">、评分办法见“第六章 </w:t>
      </w:r>
      <w:r>
        <w:rPr>
          <w:rFonts w:hint="eastAsia" w:ascii="宋体" w:hAnsi="宋体" w:cs="宋体"/>
          <w:color w:val="auto"/>
          <w:sz w:val="24"/>
          <w:lang w:eastAsia="zh-CN"/>
        </w:rPr>
        <w:t>谈判</w:t>
      </w:r>
      <w:r>
        <w:rPr>
          <w:rFonts w:hint="eastAsia" w:ascii="宋体" w:hAnsi="宋体" w:cs="宋体"/>
          <w:color w:val="auto"/>
          <w:sz w:val="24"/>
        </w:rPr>
        <w:t>程序”。</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20.2</w:t>
      </w:r>
      <w:r>
        <w:rPr>
          <w:rFonts w:hint="eastAsia" w:ascii="宋体" w:hAnsi="宋体" w:cs="宋体"/>
          <w:color w:val="auto"/>
          <w:sz w:val="24"/>
          <w:lang w:eastAsia="zh-CN"/>
        </w:rPr>
        <w:t>谈判</w:t>
      </w:r>
      <w:r>
        <w:rPr>
          <w:rFonts w:hint="eastAsia" w:ascii="宋体" w:hAnsi="宋体" w:cs="宋体"/>
          <w:color w:val="auto"/>
          <w:sz w:val="24"/>
        </w:rPr>
        <w:t>小组将严格按照</w:t>
      </w:r>
      <w:r>
        <w:rPr>
          <w:rFonts w:hint="eastAsia" w:ascii="宋体" w:hAnsi="宋体" w:cs="宋体"/>
          <w:color w:val="auto"/>
          <w:sz w:val="24"/>
          <w:lang w:val="en-US" w:eastAsia="zh-CN"/>
        </w:rPr>
        <w:t>竞争性谈判</w:t>
      </w:r>
      <w:r>
        <w:rPr>
          <w:rFonts w:hint="eastAsia" w:ascii="宋体" w:hAnsi="宋体" w:cs="宋体"/>
          <w:color w:val="auto"/>
          <w:sz w:val="24"/>
        </w:rPr>
        <w:t>文件的要求和条件进行评审,根据评审办法推荐出三人为成交候选供应商，并标明排列顺序。采购人将确定排名第一的成交候选供应商为成交供应商并向其授予合同。排名第一的成交候选供应商因不可抗力或者自身原因不能履行合同，或者排名第一的成交候选供应商提供虚假材料或存在其它违规行为的，或者是</w:t>
      </w:r>
      <w:r>
        <w:rPr>
          <w:rFonts w:hint="eastAsia" w:ascii="宋体" w:hAnsi="宋体" w:cs="宋体"/>
          <w:color w:val="auto"/>
          <w:sz w:val="24"/>
          <w:lang w:eastAsia="zh-CN"/>
        </w:rPr>
        <w:t>谈判</w:t>
      </w:r>
      <w:r>
        <w:rPr>
          <w:rFonts w:hint="eastAsia" w:ascii="宋体" w:hAnsi="宋体" w:cs="宋体"/>
          <w:color w:val="auto"/>
          <w:sz w:val="24"/>
        </w:rPr>
        <w:t xml:space="preserve">小组出现评审错误，被他人质疑后证实确有其事的，采购人将把合同授予排名第二的成交候选供应商或重新组织招标。如此类推。 </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20.3采购代理机构将在指定的网站上公告成交结果。</w:t>
      </w:r>
    </w:p>
    <w:p>
      <w:pPr>
        <w:shd w:val="clear" w:color="auto" w:fill="FFFFFF"/>
        <w:snapToGrid w:val="0"/>
        <w:spacing w:line="355" w:lineRule="auto"/>
        <w:rPr>
          <w:rFonts w:hint="eastAsia" w:ascii="宋体" w:hAnsi="宋体"/>
          <w:color w:val="auto"/>
          <w:sz w:val="24"/>
        </w:rPr>
      </w:pPr>
      <w:r>
        <w:rPr>
          <w:rFonts w:hint="eastAsia" w:ascii="宋体" w:hAnsi="宋体"/>
          <w:color w:val="auto"/>
          <w:sz w:val="24"/>
        </w:rPr>
        <w:t>21. 质疑处理</w:t>
      </w:r>
    </w:p>
    <w:p>
      <w:pPr>
        <w:shd w:val="clear" w:color="auto" w:fill="FFFFFF"/>
        <w:snapToGrid w:val="0"/>
        <w:spacing w:line="355" w:lineRule="auto"/>
        <w:rPr>
          <w:rFonts w:hint="eastAsia" w:ascii="宋体" w:hAnsi="宋体"/>
          <w:color w:val="auto"/>
          <w:sz w:val="24"/>
        </w:rPr>
      </w:pPr>
      <w:r>
        <w:rPr>
          <w:rFonts w:hint="eastAsia" w:ascii="宋体" w:hAnsi="宋体"/>
          <w:color w:val="auto"/>
          <w:sz w:val="24"/>
        </w:rPr>
        <w:t xml:space="preserve">    21.1 供应商如认为</w:t>
      </w:r>
      <w:r>
        <w:rPr>
          <w:rFonts w:hint="eastAsia" w:ascii="宋体" w:hAnsi="宋体"/>
          <w:color w:val="auto"/>
          <w:sz w:val="24"/>
          <w:lang w:val="en-US" w:eastAsia="zh-CN"/>
        </w:rPr>
        <w:t>竞争性谈判</w:t>
      </w:r>
      <w:r>
        <w:rPr>
          <w:rFonts w:hint="eastAsia" w:ascii="宋体" w:hAnsi="宋体"/>
          <w:color w:val="auto"/>
          <w:sz w:val="24"/>
        </w:rPr>
        <w:t>文件、</w:t>
      </w:r>
      <w:r>
        <w:rPr>
          <w:rFonts w:hint="eastAsia" w:ascii="宋体" w:hAnsi="宋体"/>
          <w:color w:val="auto"/>
          <w:sz w:val="24"/>
          <w:lang w:eastAsia="zh-CN"/>
        </w:rPr>
        <w:t>谈判</w:t>
      </w:r>
      <w:r>
        <w:rPr>
          <w:rFonts w:hint="eastAsia" w:ascii="宋体" w:hAnsi="宋体"/>
          <w:color w:val="auto"/>
          <w:sz w:val="24"/>
        </w:rPr>
        <w:t>过程和成交结果使自己的权益受到损害的，应在知道或应知道其权益受到损害之日起七个工作日内以书面形式向</w:t>
      </w:r>
      <w:r>
        <w:rPr>
          <w:rFonts w:hint="eastAsia" w:ascii="宋体" w:hAnsi="宋体"/>
          <w:color w:val="auto"/>
          <w:sz w:val="24"/>
          <w:lang w:eastAsia="zh-CN"/>
        </w:rPr>
        <w:t>海南政辉招投标代理有限公司</w:t>
      </w:r>
      <w:r>
        <w:rPr>
          <w:rFonts w:hint="eastAsia" w:ascii="宋体" w:hAnsi="宋体"/>
          <w:color w:val="auto"/>
          <w:sz w:val="24"/>
        </w:rPr>
        <w:t>提出质疑，并附相关证明材料</w:t>
      </w:r>
      <w:r>
        <w:rPr>
          <w:rFonts w:hint="eastAsia" w:ascii="宋体" w:hAnsi="宋体"/>
          <w:b/>
          <w:bCs/>
          <w:color w:val="auto"/>
          <w:sz w:val="24"/>
        </w:rPr>
        <w:t>（质疑函格式详见海南省财政厅质疑函范本，未按照质疑函范本书写或未附相关证明材料的质疑均不受理）</w:t>
      </w:r>
      <w:r>
        <w:rPr>
          <w:rFonts w:hint="eastAsia" w:ascii="宋体" w:hAnsi="宋体"/>
          <w:color w:val="auto"/>
          <w:sz w:val="24"/>
        </w:rPr>
        <w:t>。匿名、非书面形式、七个工作日之外的质疑均不予受理。</w:t>
      </w:r>
    </w:p>
    <w:p>
      <w:pPr>
        <w:shd w:val="clear" w:color="auto" w:fill="FFFFFF"/>
        <w:snapToGrid w:val="0"/>
        <w:spacing w:line="355" w:lineRule="auto"/>
        <w:ind w:firstLine="480" w:firstLineChars="200"/>
        <w:rPr>
          <w:rFonts w:hint="eastAsia" w:ascii="宋体" w:hAnsi="宋体" w:eastAsia="宋体" w:cs="Times New Roman"/>
          <w:color w:val="auto"/>
          <w:sz w:val="24"/>
          <w:lang w:val="en-US" w:eastAsia="zh-CN"/>
        </w:rPr>
      </w:pPr>
      <w:r>
        <w:rPr>
          <w:rFonts w:hint="eastAsia" w:ascii="宋体" w:hAnsi="宋体" w:eastAsia="宋体" w:cs="Times New Roman"/>
          <w:color w:val="auto"/>
          <w:sz w:val="24"/>
          <w:lang w:val="en-US" w:eastAsia="zh-CN"/>
        </w:rPr>
        <w:t>21.2 质疑书原件可采取当面递交或邮寄、快递的方式送达代理机构。以邮寄、快递方式递交的，质疑提起日期以邮寄件上的戳记日期、邮政快递件上的戳记日期或非邮政快递件上的签注之日计算，受理日期则以代理机构收到质疑函原件之日计算。</w:t>
      </w:r>
    </w:p>
    <w:p>
      <w:pPr>
        <w:shd w:val="clear" w:color="auto" w:fill="FFFFFF"/>
        <w:snapToGrid w:val="0"/>
        <w:spacing w:line="355" w:lineRule="auto"/>
        <w:rPr>
          <w:rFonts w:hint="eastAsia" w:ascii="宋体" w:hAnsi="宋体" w:eastAsia="宋体" w:cs="Times New Roman"/>
          <w:color w:val="auto"/>
          <w:sz w:val="24"/>
          <w:lang w:val="en-US" w:eastAsia="zh-CN"/>
        </w:rPr>
      </w:pPr>
      <w:r>
        <w:rPr>
          <w:rFonts w:hint="eastAsia" w:ascii="宋体" w:hAnsi="宋体" w:eastAsia="宋体" w:cs="Times New Roman"/>
          <w:color w:val="auto"/>
          <w:sz w:val="24"/>
          <w:lang w:val="en-US" w:eastAsia="zh-CN"/>
        </w:rPr>
        <w:t>以邮寄、快递方式递交质疑函的，质疑人可以在质疑有效期内以清晰扫描及时将质疑事项告知代理机构，并提供邮寄件、快递件的有效查询方式。</w:t>
      </w:r>
    </w:p>
    <w:p>
      <w:pPr>
        <w:shd w:val="clear" w:color="auto" w:fill="FFFFFF"/>
        <w:snapToGrid w:val="0"/>
        <w:spacing w:line="355" w:lineRule="auto"/>
        <w:ind w:firstLine="480" w:firstLineChars="200"/>
        <w:rPr>
          <w:rFonts w:hint="eastAsia" w:ascii="宋体" w:hAnsi="宋体" w:eastAsia="宋体" w:cs="Times New Roman"/>
          <w:color w:val="auto"/>
          <w:sz w:val="24"/>
          <w:lang w:val="en-US" w:eastAsia="zh-CN"/>
        </w:rPr>
      </w:pPr>
      <w:r>
        <w:rPr>
          <w:rFonts w:hint="eastAsia" w:ascii="宋体" w:hAnsi="宋体" w:eastAsia="宋体" w:cs="Times New Roman"/>
          <w:color w:val="auto"/>
          <w:sz w:val="24"/>
          <w:lang w:val="en-US" w:eastAsia="zh-CN"/>
        </w:rPr>
        <w:t>21.3质疑函接收信息</w:t>
      </w:r>
    </w:p>
    <w:p>
      <w:pPr>
        <w:shd w:val="clear" w:color="auto" w:fill="FFFFFF"/>
        <w:snapToGrid w:val="0"/>
        <w:spacing w:line="355" w:lineRule="auto"/>
        <w:ind w:firstLine="480" w:firstLineChars="200"/>
        <w:rPr>
          <w:rFonts w:hint="eastAsia" w:ascii="宋体" w:hAnsi="宋体" w:eastAsia="宋体" w:cs="Times New Roman"/>
          <w:color w:val="auto"/>
          <w:sz w:val="24"/>
          <w:lang w:val="en-US" w:eastAsia="zh-CN"/>
        </w:rPr>
      </w:pPr>
      <w:r>
        <w:rPr>
          <w:rFonts w:hint="eastAsia" w:ascii="宋体" w:hAnsi="宋体" w:eastAsia="宋体" w:cs="Times New Roman"/>
          <w:color w:val="auto"/>
          <w:sz w:val="24"/>
          <w:lang w:val="en-US" w:eastAsia="zh-CN"/>
        </w:rPr>
        <w:t>联系部门：海南政辉招投标代理有限公司—项目部</w:t>
      </w:r>
    </w:p>
    <w:p>
      <w:pPr>
        <w:shd w:val="clear" w:color="auto" w:fill="FFFFFF"/>
        <w:snapToGrid w:val="0"/>
        <w:spacing w:line="355" w:lineRule="auto"/>
        <w:ind w:firstLine="480" w:firstLineChars="200"/>
        <w:rPr>
          <w:rFonts w:hint="default" w:ascii="宋体" w:hAnsi="宋体" w:eastAsia="宋体" w:cs="Times New Roman"/>
          <w:color w:val="auto"/>
          <w:sz w:val="24"/>
          <w:lang w:val="en-US" w:eastAsia="zh-CN"/>
        </w:rPr>
      </w:pPr>
      <w:r>
        <w:rPr>
          <w:rFonts w:hint="eastAsia" w:ascii="宋体" w:hAnsi="宋体" w:eastAsia="宋体" w:cs="Times New Roman"/>
          <w:color w:val="auto"/>
          <w:sz w:val="24"/>
          <w:lang w:val="en-US" w:eastAsia="zh-CN"/>
        </w:rPr>
        <w:t>联系电话及联系人：</w:t>
      </w:r>
      <w:r>
        <w:rPr>
          <w:rFonts w:hint="eastAsia" w:ascii="宋体" w:hAnsi="宋体" w:eastAsia="宋体" w:cs="Times New Roman"/>
          <w:color w:val="auto"/>
          <w:sz w:val="24"/>
          <w:u w:val="single"/>
          <w:lang w:val="en-US" w:eastAsia="zh-CN"/>
        </w:rPr>
        <w:t xml:space="preserve">0898-66557609  </w:t>
      </w:r>
      <w:r>
        <w:rPr>
          <w:rFonts w:hint="eastAsia" w:ascii="宋体" w:hAnsi="宋体" w:cs="Times New Roman"/>
          <w:color w:val="auto"/>
          <w:sz w:val="24"/>
          <w:u w:val="single"/>
          <w:lang w:val="en-US" w:eastAsia="zh-CN"/>
        </w:rPr>
        <w:t>周工</w:t>
      </w:r>
      <w:r>
        <w:rPr>
          <w:rFonts w:hint="eastAsia" w:ascii="宋体" w:hAnsi="宋体" w:eastAsia="宋体" w:cs="Times New Roman"/>
          <w:color w:val="auto"/>
          <w:sz w:val="24"/>
          <w:u w:val="single"/>
          <w:lang w:val="en-US" w:eastAsia="zh-CN"/>
        </w:rPr>
        <w:t xml:space="preserve"> </w:t>
      </w:r>
    </w:p>
    <w:p>
      <w:pPr>
        <w:shd w:val="clear" w:color="auto" w:fill="FFFFFF"/>
        <w:snapToGrid w:val="0"/>
        <w:spacing w:line="355" w:lineRule="auto"/>
        <w:ind w:firstLine="480" w:firstLineChars="200"/>
        <w:rPr>
          <w:rFonts w:hint="eastAsia" w:ascii="宋体" w:hAnsi="宋体" w:eastAsia="宋体" w:cs="Times New Roman"/>
          <w:color w:val="auto"/>
          <w:sz w:val="24"/>
          <w:lang w:val="en-US" w:eastAsia="zh-CN"/>
        </w:rPr>
      </w:pPr>
      <w:r>
        <w:rPr>
          <w:rFonts w:hint="eastAsia" w:ascii="宋体" w:hAnsi="宋体" w:eastAsia="宋体" w:cs="Times New Roman"/>
          <w:color w:val="auto"/>
          <w:sz w:val="24"/>
          <w:lang w:val="en-US" w:eastAsia="zh-CN"/>
        </w:rPr>
        <w:t>通讯地址：海口市五指山路康业花园西湖苑G栋2A</w:t>
      </w:r>
    </w:p>
    <w:p>
      <w:pPr>
        <w:shd w:val="clear" w:color="auto" w:fill="FFFFFF"/>
        <w:snapToGrid w:val="0"/>
        <w:spacing w:line="355" w:lineRule="auto"/>
        <w:ind w:firstLine="480" w:firstLineChars="200"/>
        <w:rPr>
          <w:rFonts w:hint="eastAsia" w:ascii="宋体" w:hAnsi="宋体" w:eastAsia="宋体" w:cs="Times New Roman"/>
          <w:color w:val="auto"/>
          <w:sz w:val="24"/>
          <w:lang w:val="en-US" w:eastAsia="zh-CN"/>
        </w:rPr>
      </w:pPr>
      <w:r>
        <w:rPr>
          <w:rFonts w:hint="eastAsia" w:ascii="宋体" w:hAnsi="宋体" w:eastAsia="宋体" w:cs="Times New Roman"/>
          <w:color w:val="auto"/>
          <w:sz w:val="24"/>
          <w:lang w:val="en-US" w:eastAsia="zh-CN"/>
        </w:rPr>
        <w:t>21.4有下列情形之一的，属于无效质疑，采购人或采购代理机构可不予受理：</w:t>
      </w:r>
    </w:p>
    <w:p>
      <w:pPr>
        <w:shd w:val="clear" w:color="auto" w:fill="FFFFFF"/>
        <w:snapToGrid w:val="0"/>
        <w:spacing w:line="355" w:lineRule="auto"/>
        <w:ind w:firstLine="480" w:firstLineChars="200"/>
        <w:rPr>
          <w:rFonts w:hint="eastAsia" w:ascii="宋体" w:hAnsi="宋体" w:eastAsia="宋体" w:cs="Times New Roman"/>
          <w:color w:val="auto"/>
          <w:sz w:val="24"/>
          <w:lang w:val="en-US" w:eastAsia="zh-CN"/>
        </w:rPr>
      </w:pPr>
      <w:r>
        <w:rPr>
          <w:rFonts w:hint="eastAsia" w:ascii="宋体" w:hAnsi="宋体" w:eastAsia="宋体" w:cs="Times New Roman"/>
          <w:color w:val="auto"/>
          <w:sz w:val="24"/>
          <w:lang w:val="en-US" w:eastAsia="zh-CN"/>
        </w:rPr>
        <w:t>（1）未在有效期限内提出质疑的；</w:t>
      </w:r>
    </w:p>
    <w:p>
      <w:pPr>
        <w:shd w:val="clear" w:color="auto" w:fill="FFFFFF"/>
        <w:snapToGrid w:val="0"/>
        <w:spacing w:line="355" w:lineRule="auto"/>
        <w:ind w:firstLine="480" w:firstLineChars="200"/>
        <w:rPr>
          <w:rFonts w:hint="eastAsia" w:ascii="宋体" w:hAnsi="宋体" w:eastAsia="宋体" w:cs="Times New Roman"/>
          <w:color w:val="auto"/>
          <w:sz w:val="24"/>
          <w:lang w:val="en-US" w:eastAsia="zh-CN"/>
        </w:rPr>
      </w:pPr>
      <w:r>
        <w:rPr>
          <w:rFonts w:hint="eastAsia" w:ascii="宋体" w:hAnsi="宋体" w:eastAsia="宋体" w:cs="Times New Roman"/>
          <w:color w:val="auto"/>
          <w:sz w:val="24"/>
          <w:lang w:val="en-US" w:eastAsia="zh-CN"/>
        </w:rPr>
        <w:t>（2）质疑未以书面形式提出的；</w:t>
      </w:r>
    </w:p>
    <w:p>
      <w:pPr>
        <w:shd w:val="clear" w:color="auto" w:fill="FFFFFF"/>
        <w:snapToGrid w:val="0"/>
        <w:spacing w:line="355" w:lineRule="auto"/>
        <w:ind w:firstLine="480" w:firstLineChars="200"/>
        <w:rPr>
          <w:rFonts w:hint="eastAsia" w:ascii="宋体" w:hAnsi="宋体" w:eastAsia="宋体" w:cs="Times New Roman"/>
          <w:color w:val="auto"/>
          <w:sz w:val="24"/>
          <w:lang w:val="en-US" w:eastAsia="zh-CN"/>
        </w:rPr>
      </w:pPr>
      <w:r>
        <w:rPr>
          <w:rFonts w:hint="eastAsia" w:ascii="宋体" w:hAnsi="宋体" w:eastAsia="宋体" w:cs="Times New Roman"/>
          <w:color w:val="auto"/>
          <w:sz w:val="24"/>
          <w:lang w:val="en-US" w:eastAsia="zh-CN"/>
        </w:rPr>
        <w:t>（3）所提交材料未明示属于质疑材料的；</w:t>
      </w:r>
    </w:p>
    <w:p>
      <w:pPr>
        <w:shd w:val="clear" w:color="auto" w:fill="FFFFFF"/>
        <w:snapToGrid w:val="0"/>
        <w:spacing w:line="355" w:lineRule="auto"/>
        <w:ind w:firstLine="480" w:firstLineChars="200"/>
        <w:rPr>
          <w:rFonts w:hint="eastAsia" w:ascii="宋体" w:hAnsi="宋体" w:eastAsia="宋体" w:cs="Times New Roman"/>
          <w:color w:val="auto"/>
          <w:sz w:val="24"/>
          <w:lang w:val="en-US" w:eastAsia="zh-CN"/>
        </w:rPr>
      </w:pPr>
      <w:r>
        <w:rPr>
          <w:rFonts w:hint="eastAsia" w:ascii="宋体" w:hAnsi="宋体" w:eastAsia="宋体" w:cs="Times New Roman"/>
          <w:color w:val="auto"/>
          <w:sz w:val="24"/>
          <w:lang w:val="en-US" w:eastAsia="zh-CN"/>
        </w:rPr>
        <w:t>（4）质疑事项已经进入投诉或者诉讼程序的；</w:t>
      </w:r>
    </w:p>
    <w:p>
      <w:pPr>
        <w:shd w:val="clear" w:color="auto" w:fill="FFFFFF"/>
        <w:snapToGrid w:val="0"/>
        <w:spacing w:line="355" w:lineRule="auto"/>
        <w:ind w:firstLine="480" w:firstLineChars="200"/>
        <w:rPr>
          <w:rFonts w:hint="eastAsia" w:ascii="宋体" w:hAnsi="宋体" w:eastAsia="宋体" w:cs="Times New Roman"/>
          <w:color w:val="auto"/>
          <w:sz w:val="24"/>
          <w:lang w:val="en-US" w:eastAsia="zh-CN"/>
        </w:rPr>
      </w:pPr>
      <w:r>
        <w:rPr>
          <w:rFonts w:hint="eastAsia" w:ascii="宋体" w:hAnsi="宋体" w:eastAsia="宋体" w:cs="Times New Roman"/>
          <w:color w:val="auto"/>
          <w:sz w:val="24"/>
          <w:lang w:val="en-US" w:eastAsia="zh-CN"/>
        </w:rPr>
        <w:t>（5）在质疑有效期内未就同一环节一次性提出质疑的；</w:t>
      </w:r>
    </w:p>
    <w:p>
      <w:pPr>
        <w:shd w:val="clear" w:color="auto" w:fill="FFFFFF"/>
        <w:snapToGrid w:val="0"/>
        <w:spacing w:line="355" w:lineRule="auto"/>
        <w:ind w:firstLine="480" w:firstLineChars="200"/>
        <w:rPr>
          <w:rFonts w:hint="eastAsia" w:ascii="宋体" w:hAnsi="宋体" w:eastAsia="宋体" w:cs="Times New Roman"/>
          <w:color w:val="auto"/>
          <w:sz w:val="24"/>
          <w:lang w:val="en-US" w:eastAsia="zh-CN"/>
        </w:rPr>
      </w:pPr>
      <w:r>
        <w:rPr>
          <w:rFonts w:hint="eastAsia" w:ascii="宋体" w:hAnsi="宋体" w:eastAsia="宋体" w:cs="Times New Roman"/>
          <w:color w:val="auto"/>
          <w:sz w:val="24"/>
          <w:lang w:val="en-US" w:eastAsia="zh-CN"/>
        </w:rPr>
        <w:t>（6）其它不符合受理条件的情形。</w:t>
      </w:r>
    </w:p>
    <w:p>
      <w:pPr>
        <w:shd w:val="clear" w:color="auto" w:fill="FFFFFF"/>
        <w:snapToGrid w:val="0"/>
        <w:spacing w:line="355" w:lineRule="auto"/>
        <w:ind w:firstLine="480" w:firstLineChars="200"/>
        <w:rPr>
          <w:rFonts w:hint="eastAsia" w:ascii="宋体" w:hAnsi="宋体" w:eastAsia="宋体" w:cs="Times New Roman"/>
          <w:color w:val="auto"/>
          <w:sz w:val="24"/>
          <w:lang w:val="en-US" w:eastAsia="zh-CN"/>
        </w:rPr>
      </w:pPr>
      <w:r>
        <w:rPr>
          <w:rFonts w:hint="eastAsia" w:ascii="宋体" w:hAnsi="宋体" w:eastAsia="宋体" w:cs="Times New Roman"/>
          <w:color w:val="auto"/>
          <w:sz w:val="24"/>
          <w:lang w:val="en-US" w:eastAsia="zh-CN"/>
        </w:rPr>
        <w:t>21.5质疑函的形式有下列情形之一的，采购人或采购代理机构应当一次性告知质疑人在法定质疑期内修改后重新提交。法定质疑期内质疑人未重新提交，或者重新提交的质疑仍不符合形式规定的，由此产生的风险由投标人自行承担：</w:t>
      </w:r>
    </w:p>
    <w:p>
      <w:pPr>
        <w:shd w:val="clear" w:color="auto" w:fill="FFFFFF"/>
        <w:snapToGrid w:val="0"/>
        <w:spacing w:line="355" w:lineRule="auto"/>
        <w:ind w:firstLine="480" w:firstLineChars="200"/>
        <w:rPr>
          <w:rFonts w:hint="eastAsia" w:ascii="宋体" w:hAnsi="宋体" w:eastAsia="宋体" w:cs="Times New Roman"/>
          <w:color w:val="auto"/>
          <w:sz w:val="24"/>
          <w:lang w:val="en-US" w:eastAsia="zh-CN"/>
        </w:rPr>
      </w:pPr>
      <w:r>
        <w:rPr>
          <w:rFonts w:hint="eastAsia" w:ascii="宋体" w:hAnsi="宋体" w:eastAsia="宋体" w:cs="Times New Roman"/>
          <w:color w:val="auto"/>
          <w:sz w:val="24"/>
          <w:lang w:val="en-US" w:eastAsia="zh-CN"/>
        </w:rPr>
        <w:t>（1）质疑函未使用财政部制定的政府采购供应商质疑函范本进行编写的；</w:t>
      </w:r>
    </w:p>
    <w:p>
      <w:pPr>
        <w:shd w:val="clear" w:color="auto" w:fill="FFFFFF"/>
        <w:snapToGrid w:val="0"/>
        <w:spacing w:line="355" w:lineRule="auto"/>
        <w:ind w:firstLine="480" w:firstLineChars="200"/>
        <w:rPr>
          <w:rFonts w:hint="eastAsia" w:ascii="宋体" w:hAnsi="宋体" w:eastAsia="宋体" w:cs="Times New Roman"/>
          <w:color w:val="auto"/>
          <w:sz w:val="24"/>
          <w:lang w:val="en-US" w:eastAsia="zh-CN"/>
        </w:rPr>
      </w:pPr>
      <w:r>
        <w:rPr>
          <w:rFonts w:hint="eastAsia" w:ascii="宋体" w:hAnsi="宋体" w:eastAsia="宋体" w:cs="Times New Roman"/>
          <w:color w:val="auto"/>
          <w:sz w:val="24"/>
          <w:lang w:val="en-US" w:eastAsia="zh-CN"/>
        </w:rPr>
        <w:t>（2）质疑函内容不全的。</w:t>
      </w:r>
    </w:p>
    <w:p>
      <w:pPr>
        <w:shd w:val="clear" w:color="auto" w:fill="FFFFFF"/>
        <w:snapToGrid w:val="0"/>
        <w:spacing w:line="355" w:lineRule="auto"/>
        <w:ind w:firstLine="480" w:firstLineChars="200"/>
        <w:rPr>
          <w:rFonts w:hint="eastAsia" w:ascii="宋体" w:hAnsi="宋体" w:eastAsia="宋体" w:cs="Times New Roman"/>
          <w:color w:val="auto"/>
          <w:sz w:val="24"/>
          <w:lang w:val="en-US" w:eastAsia="zh-CN"/>
        </w:rPr>
      </w:pPr>
      <w:r>
        <w:rPr>
          <w:rFonts w:hint="eastAsia" w:ascii="宋体" w:hAnsi="宋体" w:eastAsia="宋体" w:cs="Times New Roman"/>
          <w:color w:val="auto"/>
          <w:sz w:val="24"/>
          <w:lang w:val="en-US" w:eastAsia="zh-CN"/>
        </w:rPr>
        <w:t>21.6代理机构应于收到质疑函后一个工作日内对质疑函的形式进行审查，符合条件的质疑，应当受理并向质疑人发出质疑签收单。收到质疑函原件并向质疑人发出质疑签收单之日，为质疑正式受理之日。</w:t>
      </w:r>
    </w:p>
    <w:p>
      <w:pPr>
        <w:shd w:val="clear" w:color="auto" w:fill="FFFFFF"/>
        <w:snapToGrid w:val="0"/>
        <w:spacing w:line="355" w:lineRule="auto"/>
        <w:ind w:firstLine="480" w:firstLineChars="200"/>
        <w:rPr>
          <w:rFonts w:hint="eastAsia"/>
        </w:rPr>
      </w:pPr>
      <w:r>
        <w:rPr>
          <w:rFonts w:hint="eastAsia" w:ascii="宋体" w:hAnsi="宋体" w:eastAsia="宋体" w:cs="Times New Roman"/>
          <w:color w:val="auto"/>
          <w:sz w:val="24"/>
          <w:lang w:val="en-US" w:eastAsia="zh-CN"/>
        </w:rPr>
        <w:t>质疑函在质疑有效期内需要修改、补充的，以提交修改或补充的质疑函原件并发出质疑签收单之日作为质疑正式受理之日。</w:t>
      </w:r>
    </w:p>
    <w:p>
      <w:pPr>
        <w:snapToGrid w:val="0"/>
        <w:spacing w:line="360" w:lineRule="auto"/>
        <w:rPr>
          <w:rFonts w:hint="eastAsia" w:ascii="宋体" w:hAnsi="宋体" w:cs="宋体"/>
          <w:color w:val="auto"/>
          <w:sz w:val="24"/>
        </w:rPr>
      </w:pPr>
      <w:r>
        <w:rPr>
          <w:rFonts w:hint="eastAsia" w:ascii="宋体" w:hAnsi="宋体" w:cs="宋体"/>
          <w:color w:val="auto"/>
          <w:sz w:val="24"/>
        </w:rPr>
        <w:t>22．成交通知</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22.1 成交供应商收到成交通知后，到采购代理机构处办理有关手续。</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22.2 成交通知书将是合同的一个组成部分。</w:t>
      </w:r>
    </w:p>
    <w:p>
      <w:pPr>
        <w:snapToGrid w:val="0"/>
        <w:spacing w:line="360" w:lineRule="auto"/>
        <w:rPr>
          <w:rFonts w:hint="eastAsia" w:ascii="宋体" w:hAnsi="宋体" w:cs="宋体"/>
          <w:color w:val="auto"/>
          <w:sz w:val="24"/>
        </w:rPr>
      </w:pPr>
      <w:r>
        <w:rPr>
          <w:rFonts w:hint="eastAsia" w:ascii="宋体" w:hAnsi="宋体" w:cs="宋体"/>
          <w:color w:val="auto"/>
          <w:sz w:val="24"/>
        </w:rPr>
        <w:t>23．签订合同</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23.l 成交供应商应按成交通知书规定的时间、地点与采购人签订成交合同,否则</w:t>
      </w:r>
      <w:r>
        <w:rPr>
          <w:rFonts w:hint="eastAsia" w:ascii="宋体" w:hAnsi="宋体" w:cs="宋体"/>
          <w:color w:val="auto"/>
          <w:sz w:val="24"/>
          <w:lang w:eastAsia="zh-CN"/>
        </w:rPr>
        <w:t>谈判</w:t>
      </w:r>
      <w:r>
        <w:rPr>
          <w:rFonts w:hint="eastAsia" w:ascii="宋体" w:hAnsi="宋体" w:cs="宋体"/>
          <w:color w:val="auto"/>
          <w:sz w:val="24"/>
        </w:rPr>
        <w:t>保证金将不予退还，给采购人和采购代理机构造成损失的，成交供应商还应承担赔偿责任。</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 xml:space="preserve">23.2 </w:t>
      </w:r>
      <w:r>
        <w:rPr>
          <w:rFonts w:hint="eastAsia" w:ascii="宋体" w:hAnsi="宋体" w:cs="宋体"/>
          <w:color w:val="auto"/>
          <w:sz w:val="24"/>
          <w:lang w:val="en-US" w:eastAsia="zh-CN"/>
        </w:rPr>
        <w:t>竞争性谈判</w:t>
      </w:r>
      <w:r>
        <w:rPr>
          <w:rFonts w:hint="eastAsia" w:ascii="宋体" w:hAnsi="宋体" w:cs="宋体"/>
          <w:color w:val="auto"/>
          <w:sz w:val="24"/>
        </w:rPr>
        <w:t>文件、成交供应商的</w:t>
      </w:r>
      <w:r>
        <w:rPr>
          <w:rFonts w:hint="eastAsia" w:ascii="宋体" w:hAnsi="宋体" w:cs="宋体"/>
          <w:color w:val="auto"/>
          <w:sz w:val="24"/>
          <w:lang w:eastAsia="zh-CN"/>
        </w:rPr>
        <w:t>报价</w:t>
      </w:r>
      <w:r>
        <w:rPr>
          <w:rFonts w:hint="eastAsia" w:ascii="宋体" w:hAnsi="宋体" w:cs="宋体"/>
          <w:color w:val="auto"/>
          <w:sz w:val="24"/>
        </w:rPr>
        <w:t>文件及评审过程中有关澄清文件均应作为合同附件。</w:t>
      </w:r>
    </w:p>
    <w:p>
      <w:pPr>
        <w:bidi w:val="0"/>
        <w:rPr>
          <w:rFonts w:hint="default"/>
          <w:b/>
          <w:bCs/>
          <w:sz w:val="32"/>
          <w:szCs w:val="32"/>
          <w:lang w:val="en-US" w:eastAsia="zh-CN"/>
        </w:rPr>
      </w:pPr>
      <w:bookmarkStart w:id="29" w:name="_Toc3519"/>
      <w:r>
        <w:rPr>
          <w:rFonts w:hint="eastAsia"/>
          <w:b/>
          <w:bCs/>
          <w:sz w:val="32"/>
          <w:szCs w:val="32"/>
          <w:lang w:val="en-US" w:eastAsia="zh-CN"/>
        </w:rPr>
        <w:t>六、其他</w:t>
      </w:r>
      <w:bookmarkEnd w:id="29"/>
    </w:p>
    <w:p>
      <w:pPr>
        <w:snapToGrid w:val="0"/>
        <w:spacing w:line="360" w:lineRule="auto"/>
        <w:rPr>
          <w:rFonts w:hint="eastAsia" w:ascii="宋体" w:hAnsi="宋体" w:cs="宋体"/>
          <w:color w:val="auto"/>
          <w:sz w:val="24"/>
        </w:rPr>
      </w:pPr>
      <w:r>
        <w:rPr>
          <w:rFonts w:hint="eastAsia" w:ascii="宋体" w:hAnsi="宋体" w:cs="宋体"/>
          <w:color w:val="auto"/>
          <w:sz w:val="24"/>
        </w:rPr>
        <w:t>24．采购代理服务费</w:t>
      </w:r>
    </w:p>
    <w:p>
      <w:pPr>
        <w:snapToGrid w:val="0"/>
        <w:spacing w:line="360" w:lineRule="auto"/>
        <w:ind w:firstLine="482" w:firstLineChars="200"/>
        <w:rPr>
          <w:rFonts w:hint="eastAsia" w:ascii="宋体" w:hAnsi="宋体" w:cs="宋体"/>
          <w:b/>
          <w:bCs/>
          <w:color w:val="auto"/>
          <w:sz w:val="24"/>
          <w:lang w:val="en-US" w:eastAsia="zh-CN"/>
        </w:rPr>
      </w:pPr>
      <w:r>
        <w:rPr>
          <w:rFonts w:hint="eastAsia" w:ascii="宋体" w:hAnsi="宋体" w:cs="宋体"/>
          <w:b/>
          <w:bCs/>
          <w:color w:val="auto"/>
          <w:sz w:val="24"/>
        </w:rPr>
        <w:t>根据项目预算金额按海南省物价局关于降低部分招标代理服务收费标准的通知【琼价费管（2011）225号】文件相关规定向</w:t>
      </w:r>
      <w:r>
        <w:rPr>
          <w:rFonts w:hint="eastAsia" w:ascii="宋体" w:hAnsi="宋体" w:cs="宋体"/>
          <w:b/>
          <w:bCs/>
          <w:color w:val="auto"/>
          <w:sz w:val="24"/>
          <w:lang w:val="en-US" w:eastAsia="zh-CN"/>
        </w:rPr>
        <w:t>中标方</w:t>
      </w:r>
      <w:r>
        <w:rPr>
          <w:rFonts w:hint="eastAsia" w:ascii="宋体" w:hAnsi="宋体" w:cs="宋体"/>
          <w:b/>
          <w:bCs/>
          <w:color w:val="auto"/>
          <w:sz w:val="24"/>
        </w:rPr>
        <w:t>收取招标代理服务费</w:t>
      </w:r>
      <w:r>
        <w:rPr>
          <w:rFonts w:hint="eastAsia" w:ascii="宋体" w:hAnsi="宋体" w:cs="宋体"/>
          <w:b/>
          <w:bCs/>
          <w:color w:val="auto"/>
          <w:sz w:val="24"/>
          <w:lang w:val="en-US" w:eastAsia="zh-CN"/>
        </w:rPr>
        <w:t>。</w:t>
      </w:r>
    </w:p>
    <w:p>
      <w:pPr>
        <w:snapToGrid w:val="0"/>
        <w:spacing w:line="360" w:lineRule="auto"/>
        <w:rPr>
          <w:rFonts w:hint="eastAsia" w:ascii="宋体" w:hAnsi="宋体" w:cs="宋体"/>
          <w:color w:val="auto"/>
          <w:sz w:val="24"/>
        </w:rPr>
      </w:pPr>
      <w:r>
        <w:rPr>
          <w:rFonts w:hint="eastAsia" w:ascii="宋体" w:hAnsi="宋体" w:cs="宋体"/>
          <w:color w:val="auto"/>
          <w:sz w:val="24"/>
        </w:rPr>
        <w:t>25.其他</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本项目不召开答疑会。</w:t>
      </w:r>
    </w:p>
    <w:p>
      <w:pPr>
        <w:spacing w:line="360" w:lineRule="auto"/>
        <w:ind w:firstLine="482" w:firstLineChars="200"/>
        <w:rPr>
          <w:rFonts w:hint="eastAsia" w:ascii="仿宋" w:hAnsi="仿宋" w:eastAsia="仿宋" w:cs="仿宋"/>
          <w:b/>
          <w:bCs/>
          <w:color w:val="000000" w:themeColor="text1"/>
          <w:sz w:val="24"/>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0"/>
        <w:rPr>
          <w:rFonts w:hint="eastAsia" w:ascii="宋体" w:hAnsi="宋体" w:eastAsia="宋体" w:cs="宋体"/>
          <w:b/>
          <w:color w:val="auto"/>
          <w:kern w:val="0"/>
          <w:sz w:val="44"/>
          <w:szCs w:val="44"/>
          <w:lang w:eastAsia="zh-CN"/>
        </w:rPr>
      </w:pPr>
      <w:r>
        <w:rPr>
          <w:rFonts w:hint="eastAsia" w:ascii="仿宋" w:hAnsi="仿宋" w:eastAsia="仿宋" w:cs="仿宋"/>
          <w:color w:val="000000" w:themeColor="text1"/>
          <w14:textFill>
            <w14:solidFill>
              <w14:schemeClr w14:val="tx1"/>
            </w14:solidFill>
          </w14:textFill>
        </w:rPr>
        <w:br w:type="page"/>
      </w:r>
      <w:bookmarkStart w:id="30" w:name="_Toc13899"/>
      <w:bookmarkStart w:id="31" w:name="_Toc27043"/>
      <w:bookmarkStart w:id="32" w:name="_Toc21463"/>
      <w:r>
        <w:rPr>
          <w:rFonts w:hint="eastAsia" w:ascii="宋体" w:hAnsi="宋体" w:eastAsia="宋体" w:cs="宋体"/>
          <w:b/>
          <w:color w:val="auto"/>
          <w:kern w:val="0"/>
          <w:sz w:val="44"/>
          <w:szCs w:val="44"/>
          <w:lang w:eastAsia="zh-CN"/>
        </w:rPr>
        <w:t>第三章 用户需求书</w:t>
      </w:r>
      <w:bookmarkEnd w:id="30"/>
      <w:bookmarkEnd w:id="31"/>
      <w:bookmarkEnd w:id="32"/>
    </w:p>
    <w:p>
      <w:pPr>
        <w:spacing w:line="360" w:lineRule="auto"/>
        <w:rPr>
          <w:rFonts w:hint="eastAsia" w:ascii="宋体" w:hAnsi="宋体" w:cs="宋体"/>
          <w:b/>
          <w:bCs/>
          <w:color w:val="auto"/>
          <w:sz w:val="24"/>
        </w:rPr>
      </w:pPr>
    </w:p>
    <w:p>
      <w:pPr>
        <w:shd w:val="clear" w:color="auto" w:fill="FFFFFF"/>
        <w:snapToGrid w:val="0"/>
        <w:spacing w:line="360" w:lineRule="auto"/>
        <w:rPr>
          <w:rFonts w:hint="eastAsia" w:ascii="宋体" w:hAnsi="宋体" w:eastAsia="宋体" w:cs="Times New Roman"/>
          <w:b/>
          <w:color w:val="auto"/>
          <w:sz w:val="28"/>
          <w:szCs w:val="28"/>
          <w:lang w:val="en-US" w:eastAsia="zh-CN"/>
        </w:rPr>
      </w:pPr>
      <w:r>
        <w:rPr>
          <w:rFonts w:hint="eastAsia" w:ascii="宋体" w:hAnsi="宋体" w:eastAsia="宋体" w:cs="Times New Roman"/>
          <w:b/>
          <w:color w:val="auto"/>
          <w:sz w:val="28"/>
          <w:szCs w:val="28"/>
          <w:lang w:val="en-US" w:eastAsia="zh-CN"/>
        </w:rPr>
        <w:t>一、项目名称</w:t>
      </w:r>
    </w:p>
    <w:p>
      <w:pPr>
        <w:spacing w:line="360" w:lineRule="auto"/>
        <w:rPr>
          <w:rFonts w:hint="eastAsia"/>
          <w:lang w:eastAsia="zh-CN"/>
        </w:rPr>
      </w:pPr>
      <w:bookmarkStart w:id="33" w:name="_Toc460421727"/>
      <w:bookmarkStart w:id="34" w:name="_Toc491437779"/>
      <w:bookmarkStart w:id="35" w:name="_Toc458334276"/>
      <w:bookmarkStart w:id="36" w:name="_Toc458255327"/>
      <w:r>
        <w:rPr>
          <w:rFonts w:hint="eastAsia"/>
          <w:b w:val="0"/>
          <w:bCs/>
          <w:color w:val="000000"/>
          <w:sz w:val="24"/>
          <w:szCs w:val="24"/>
          <w:lang w:val="en-US" w:eastAsia="zh-CN"/>
        </w:rPr>
        <w:t xml:space="preserve"> 设施设备采购</w:t>
      </w:r>
    </w:p>
    <w:p>
      <w:pPr>
        <w:numPr>
          <w:ilvl w:val="0"/>
          <w:numId w:val="0"/>
        </w:numPr>
        <w:spacing w:line="240" w:lineRule="auto"/>
        <w:rPr>
          <w:rFonts w:hint="eastAsia" w:ascii="宋体" w:hAnsi="宋体" w:eastAsia="宋体" w:cs="Times New Roman"/>
          <w:b/>
          <w:color w:val="auto"/>
          <w:sz w:val="28"/>
          <w:szCs w:val="28"/>
          <w:lang w:val="en-US" w:eastAsia="zh-CN"/>
        </w:rPr>
      </w:pPr>
      <w:r>
        <w:rPr>
          <w:rFonts w:hint="eastAsia" w:ascii="宋体" w:hAnsi="宋体" w:cs="Times New Roman"/>
          <w:b/>
          <w:color w:val="auto"/>
          <w:sz w:val="28"/>
          <w:szCs w:val="28"/>
          <w:lang w:val="en-US" w:eastAsia="zh-CN"/>
        </w:rPr>
        <w:t>二</w:t>
      </w:r>
      <w:r>
        <w:rPr>
          <w:rFonts w:hint="eastAsia" w:ascii="宋体" w:hAnsi="宋体" w:eastAsia="宋体" w:cs="Times New Roman"/>
          <w:b/>
          <w:color w:val="auto"/>
          <w:sz w:val="28"/>
          <w:szCs w:val="28"/>
          <w:lang w:val="en-US" w:eastAsia="zh-CN"/>
        </w:rPr>
        <w:t>、产品详细技术</w:t>
      </w:r>
      <w:bookmarkEnd w:id="33"/>
      <w:bookmarkEnd w:id="34"/>
      <w:r>
        <w:rPr>
          <w:rFonts w:hint="eastAsia" w:ascii="宋体" w:hAnsi="宋体" w:eastAsia="宋体" w:cs="Times New Roman"/>
          <w:b/>
          <w:color w:val="auto"/>
          <w:sz w:val="28"/>
          <w:szCs w:val="28"/>
          <w:lang w:val="en-US" w:eastAsia="zh-CN"/>
        </w:rPr>
        <w:t>参数要求</w:t>
      </w:r>
    </w:p>
    <w:bookmarkEnd w:id="35"/>
    <w:bookmarkEnd w:id="36"/>
    <w:tbl>
      <w:tblPr>
        <w:tblStyle w:val="25"/>
        <w:tblpPr w:leftFromText="180" w:rightFromText="180" w:vertAnchor="text" w:horzAnchor="page" w:tblpX="1300" w:tblpY="653"/>
        <w:tblOverlap w:val="never"/>
        <w:tblW w:w="5322"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05"/>
        <w:gridCol w:w="1739"/>
        <w:gridCol w:w="4514"/>
        <w:gridCol w:w="760"/>
        <w:gridCol w:w="741"/>
        <w:gridCol w:w="8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4"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序号</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产品名称</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规格和配置技术参数</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单位</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数量</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rPr>
              <w:t>1、园长，老师办公室设备设施购置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rPr>
              <w:t>园长办公室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办公桌</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rPr>
              <w:t xml:space="preserve">规格: 1600*800*760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1.基材：采用优质E1级环保高密度纤维板，甲醛释放量低于9.0mg/100g符合国家标准，含水率≤7.4% （防潮、防虫、防腐处理）。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2.木皮：采用AAA级，厚度为0.6mm，木皮纹路清晰无瑕疵。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3.油漆：采用优质底漆、优质面漆饰面，高聚脂环保油漆，经七底五面工艺，成品油漆表面硬度可达3H级，面漆耐磨度、硬度、耐酸均高于国家标准，漆面透明度好，色泽均匀、木纹纹理清晰，光滑耐磨、手感好；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4、粘合剂：优质环保粘合剂，粘贴性强，同时具有耐水、耐热、耐酸、耐有机溶剂、韧好特性。游离甲醛＜0.3g/kg，优于国家标准。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5、封边：采用实木封边，双面贴木皮。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6.五金配件：采用 优质五金配件，导轨选用优质三节导轨，静音，承重性强，连续开合50000次仍能正常使用；锁选用优质正面锁，经过耐盐浴检测无锈蚀、痕迹等现象。</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7、贴面材料:采用优质AAA级饰面，厚度为0.6mm;                                          8、封边用材:采用优质AAA级花梨木封边;                                                            9、基材:优质高密度环保板,符合国际E1级标准;                                                                10、油漆:采用PU全封闭涂装(五底四面),优质油漆,达到E1级环保标准;                                                                                              11、五金配件:优质五金配件,均经过酸洗、磷洗等防锈处理;                           </w:t>
            </w:r>
          </w:p>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12、粘合剂材:优质胶水。</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张</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2</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椅子</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·黑色PP料背架，带固定腰靠</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·40密度高回弹中软切割海绵</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·PP连体固定扶手</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·25管1.8厚黑色烤漆弓形架</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张</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4</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电脑</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1.产品类型：分体台式电脑</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2.CPU：≥i5-10400 (六核，基础主频2.9 GHz , 可睿频至4.3GHz)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3.芯片组：≥Intel H460</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4.扩展插槽：≥1个 PCIe x1插槽，≥1个 PCIe x16插槽，≥2个 M.2 插槽 ,主板SATA接口≥2个</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5.★端口：≥8个外置USB 端口，其中前置≥ 4个USB 3.1 Gen1，后置≥4个USB2.0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6.前置：4个USB 3.1 Gen1，1个耳麦一体通用接口，1个SD 3合1读卡器接口；</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7.后置：4个USB 2.0，1个音频输出接口，1个音频输入接口，1个耳麦一体通用接口；1个VGA，1个HDMI，1个RJ-45, 1个COM端口</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8.内存类型：≥4GB 2400MHz DDR4；≥2个内存插槽最大支持32G</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9.机械硬盘：≥1TB,最大支持2TB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10.固态硬盘：支持升级M.2 1TB固态硬盘</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11.显卡类型：集成英特尔核芯显卡</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12.网卡：集成千兆以太网控制器；支持802.11AC双频无线连接及蓝牙4.2</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13.★机箱：大于15L机箱；≥180W内置电源,EPA90金牌电源，可以支持310W电源</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14.键盘鼠标：原配标准键盘、光电鼠标</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15.★主机通过可靠性实验，平均无故障时间（MTBF）＞200000小时；</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16.系统：出厂原装Windows10；</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17.显示器：≥23.8"宽屏16:9 背光液晶；显示器分辨率：1920x1080；屏幕类型：IPS； 5ms响应时间；外观：黑色扩展：支持VGA/HDHI双接口。</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台</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电脑显示屏23.8寸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5</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打印机</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①产品类型 喷墨多功能一体机：打印/复印/扫描；打印速度：文档：彩色 ESAT/单面 约 15.5 ipm , 25 ppm、黑白 ESAT/单面 约 24.0 ipm , 45 ppm；②复印速度*5 文档：彩色 sFCOT/单面 约12 秒、sESAT/单面 约 12.7 ipm；多页复印数量 黑白/彩色 最多 99 页；③扫描类型 平板/ADF；扫描方式 CIS；光学分辨率：1,200 dpi x 1,200 dpi；④支持双面打印；支持有线、无线打印；支持50页输稿器；⑤墨水GI-86BK(170ml)：6000页（标准模式）、墨水GI-86 C/M/Y(各135ml)：14000页（标准模式）；⑥纸张处理：后端托盘(64 g/㎡)：100页+纸盒(64 g/㎡)：250页；⑦操作面板 显示 2.7英寸/6.7厘米 LCD，彩色触摸屏</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highlight w:val="none"/>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6</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手提电脑</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CPU：≥i5-1135G7（2.4-4.2GHz，四核八线程）</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内存：≥16G</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硬盘：≥512G SSD NVMe固态硬盘，最高支持1TB 固态硬盘</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显卡：等于或优于Intel Iris Xe Graphics</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键盘：自然银尺寸孤岛式键盘</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屏幕：14寸</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网络：支持WiFi6</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蓝牙：蓝牙5.0</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指纹识别：不支持指纹识别</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光驱：无光驱</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端口：至少1个HDMI；≥2个USB 3.0，≥1个USB Type-3.2；至少1个SD读卡器；至少1个耳麦一体通用接口</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摄像头：HD摄像头，B面顶置设计</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电池：3芯41Wh锂聚合物长寿命电池，需≤60分钟可充电50%以上</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工艺：工艺优于喷涂 (A/D面)+IMR模内转印 (C面)</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服务：一年整机保修，两年主要部件保修</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台</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2</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7</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文件柜</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一、规格、材质及工艺等要求：</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1、宽：≥850mm；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2、深：≥390mm；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3、高：≥1800mm；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4、柜体材质：冷轧钢板</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5、柜体材质厚度：≥0.6mm</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个</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8</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摄像机</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1、焦距：4.12-98.9毫米（光学变焦24倍）</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2、滤镜直径：62mm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3、光圈（F）值：F1.8（广角）/F4.0（长焦）</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4、白平衡：自动/白平衡预设/晴天/多云/室内</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5、夜摄功能：支持</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6、遥控功能：支持</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7、触摸屏:支持</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8、防抖功能：光学防抖</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9、录音系统：AVCHD:杜比音频（5.1ch/2ch）MP4:AAC (2ch)</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10、对焦:自动/手动</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11、视频记录:[AVCHD] AVCHD 渐进式 [MP4] MP4</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12、特性:4K视频录制 ，24倍光学变焦、新4K裁切</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13、5.1声道录制:支持</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14、内置麦克风:支持</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15、画幅:1/2.5 英寸</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16、传感器像素:300万以上</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17、静态有效像素:600万以上</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18、动态有效像素400万及以上</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19、光学变焦倍数:15-30倍</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20、影像处理器:1/2.5 英寸 BSI MOS 传感器</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21、影像稳定器:5轴防抖</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22、液晶屏尺寸:3.0英寸</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23、液晶屏像素:460,800 点</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24、存储方式:闪存</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25、输入输出接口:HDMI（微型）、麦克风（立体声迷你）、耳机（立体声迷你）、USB</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26、电池:锂电池</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台</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rPr>
              <w:t>老师办公室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电脑桌</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规格:1400W*700D*760H</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材料：E1级中密度纤维板。饰面：缅甸。五金配件：（缓冲道轨、液压缓冲门铰）。油漆：优质面漆。产品品鉴：环保、美观、功能强大、使用寿命长、表面木皮纹理立体感强、油漆光泽度饱满、耐磨耐腐蚀、安装便捷、正反面双A缅甸、正反面封闭漆。</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张</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2</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椅子</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·黑色PP料背架，带固定腰靠</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·40密度高回弹中软切割海绵</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·PP连体固定扶手</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·25管1.8厚黑色烤漆弓形架</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张</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3</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电脑</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1.产品类型：分体台式电脑</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2.CPU：≥i5-10400 (六核，基础主频2.9 GHz , 可睿频至4.3GHz)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3.芯片组：≥Intel H460</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4.扩展插槽：≥1个 PCIe x1插槽，≥1个 PCIe x16插槽，≥2个 M.2 插槽 ,主板SATA接口≥2个</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5.★端口：≥8个外置USB 端口，其中前置≥ 4个USB 3.1 Gen1，后置≥4个USB2.0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6.前置：4个USB 3.1 Gen1，1个耳麦一体通用接口，1个SD 3合1读卡器接口；</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7.后置：4个USB 2.0，1个音频输出接口，1个音频输入接口，1个耳麦一体通用接口；1个VGA，1个HDMI，1个RJ-45, 1个COM端口</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8.内存类型：≥4GB 2400MHz DDR4；≥2个内存插槽最大支持32G</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9.机械硬盘：≥1TB,最大支持2TB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10.固态硬盘：支持升级M.2 1TB固态硬盘</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11.显卡类型：集成英特尔核芯显卡</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12.网卡：集成千兆以太网控制器；支持802.11AC双频无线连接及蓝牙4.2</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13.★机箱：大于15L机箱；≥180W内置电源,EPA90金牌电源，可以支持310W电源</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14.键盘鼠标：原配标准键盘、光电鼠标</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15.★主机通过可靠性实验，平均无故障时间（MTBF）＞200000小时；</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16.系统：出厂原装Windows10；</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17.显示器：≥23.8"宽屏16:9 背光液晶；显示器分辨率：1920x1080；屏幕类型：IPS； 5ms响应时间；外观：黑色扩展：支持VGA/HDHI双接口。</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台</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显示屏23.8寸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5</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打印机</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①墨仓式多功能一体机；涵盖功能 打印/复印/扫描；最大处理幅面 A4；②黑白打印速度 默认：10.5ipm，经济：33ppm；彩色打印速度 默认：5ipm，经济：15ppm；打印分辨率 5760×1440dpi；③复印分辨率 1440×720dpi；连续复印 1-99页；缩放范围 25-400%（自适应）；④扫描类型 平板式；扫描元件 CIS；光学分辨率 1200dpi；⑤供纸盒容量 A4/LTR普通纸：100页；耗材类型：轻松实现7500页黑白或6000页彩色文档输出；⑥其它参数：显示屏 1.44英寸；双面功能 自动；网络功能 支持无线网络打印；</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bookmarkStart w:id="107" w:name="_GoBack"/>
            <w:bookmarkEnd w:id="107"/>
            <w:r>
              <w:rPr>
                <w:rFonts w:hint="eastAsia" w:ascii="宋体" w:hAnsi="宋体" w:eastAsia="宋体" w:cs="宋体"/>
                <w:i w:val="0"/>
                <w:iCs w:val="0"/>
                <w:color w:val="auto"/>
                <w:kern w:val="0"/>
                <w:sz w:val="24"/>
                <w:szCs w:val="24"/>
                <w:highlight w:val="none"/>
                <w:u w:val="none"/>
                <w:lang w:val="en-US" w:eastAsia="zh-CN"/>
              </w:rPr>
              <w:t>台</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6</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6</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文件柜</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一、规格、材质及工艺等要求：</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1、宽：≥850mm；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2、深：≥390mm；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3、高：≥1800mm；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4、柜体材质：冷轧钢板</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5、柜体材质厚度：≥0.6mm</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个</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18</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rPr>
              <w:t>2、会议室设备设施购置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序号</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产品名称</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规格和配置技术参数</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单位</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数量</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会议桌</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尺寸：≥4800*1200MM；材质：高密度板，实木贴皮。</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台</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2</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会议椅</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材质：实木框架，优质PU皮，密度海绵。</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台</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40</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3</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多媒体电视一体机</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一、整机设计及功能</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1.整机采用一体化全金属外壳设计，外部无任何可见内部功能模块连接线；边角采用弧形设计，表面无尖锐边缘或凸起。</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2.整机屏幕采用≥75英寸液晶显示器，整机采用UHD超高清LED 液晶屏，显示比例为16:9，分辨率不低于3840*2160。</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3.★嵌入式系统版本不低于Android9.0，内存≥2GB，存储空间≥8GB。（投标时需提供具有CNAS资质的第三方检测机构所出具的检测报告复印件并加盖厂家公章）</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4.支持红外触控，支持Windows系统中进行20点或以上触控，安卓系统中进行 10 点或以上触控，支持红外笔书写。</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5.整机能感应并自动调节屏幕亮度来达到在不同光照环境下的不同亮度显示效果，此功能可自行开启或关闭。</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6.★整机内置 2.1 声道扬声器，前朝向 15W中高音扬声器 2 个，后朝向 20W 低音扬声器 1 个，额定总功率 50W。（投标时需提供具有CNAS资质的第三方检测机构所出具的检测报告复印件并加盖厂家公章）</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7.支持传屏功能，可以将外部电脑的屏幕画面通过无线方式传输到整机上显示。</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8.★整机内置无线网络模块，PC模块无任何外接或转接天线、网卡可实现Wi-Fi无线上网连接和AP无线热点发射；Wi-Fi和AP热点均支持频段 2.4GHz/5GHz ，满足IEEE 802.11 a/b/g/n/ac标准。（投标时需提供具有CNAS资质的第三方检测机构所出具的检测报告复印件并加盖厂家公章）</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9.三合一电源按键，同一电源物理按键完成Android系统和Windows系统的开机、节能熄屏、关机操作；关机状态下轻按按键开机；开机状态下轻按按键实现节能熄屏/唤醒，长按按键实现关机。</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10.整机具备至少6个前置按键，实现老师开关机、调出中控菜单、音量+/-、护眼、录屏的操作。</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11.★整机具有护眼功能，可通过前置面板物理功能按键一键启用护眼模式。（投标时需提供具有CNAS资质的第三方检测机构所出具的检测报告复印件并加盖厂家公章）</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12.★设备支持通过前置面板物理按键一键启动录屏功能，可将屏幕中显示的课件、音频内容与老师人声同时录制。（投标时需提供具有CNAS资质的第三方检测机构所出具的检测报告复印件并加盖厂家公章）</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13.支持智能U盘锁功能，整机可设置触摸及按键锁定，锁定后无法随意自由操作，需要使用时插入USB key可解锁。</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14.★整机内置非独立的高清摄像头，可拍摄不低于 800 万像素数的照片；摄像头对角角度≥120°。（投标时需提供具有CNAS资质的第三方检测机构所出具的检测报告复印件并加盖厂家公章）</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15.整机内置非独立外扩展的阵列麦克风，可用于对教室环境音频进行采集，拾音距离≥12m。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16.Android系统和Windows系统下，支持通过任何一个前置USB接口读取外接移动存储设备。</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17.外接电脑设备通过HDMI线投送画面至整机时，再连接TypeB USB线至整机触控输出接口，即可直接调用整机内置的摄像头、麦克风、扬声器，在外接电脑即可拍摄教室画面。</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18.整机具备不少于1路侧置双通道USB接口，双系统USB接口支持Windows和Android双系统读取外接存储设备数据和识别展台信号。</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19.★支持前置Type-C接口，通过Type-C接口实现音视频输入，外接电脑设备通过标准Type-C线连接至整机Type-C口，即可把外接电脑设备画面投到整机上，同时在整机上操作画面，可实现触摸电脑的操作，无需再连接触控USB线。（投标时需提供具有CNAS资质的第三方检测机构所出具的检测报告复印件并加盖厂家公章）</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20.外接电脑设备通过机外Type-C线连接至整机Type-C口，可直接调用整机内置的摄像头、麦克风、扬声器，在外接电脑可拍摄教室画面。</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21.支持外接信号输入时自动唤醒功能，整机处于关机通电状态，外接电脑显示信号通过HDMI传输线连接至整机时，整机可智能识别外接电脑设备信号输入并自动开机。</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22.★具备智能手势识别功能，在任意信号源通道下可识别五指上、下、左、右方向手势滑动并调用响应功能，支持将各手势滑动方向自定义设置为无操作、熄屏、批注、桌面、半屏模式。（投标时需提供具有CNAS资质的第三方检测机构所出具的检测报告复印件并加盖厂家公章）</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23.整机内置专业硬件自检维护工具（非第三方工具），支持对触摸框、PC模块等模块进行检测，针对不同模块给出问题原因提示。</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24.支持同一支红外笔笔头、笔尾书写不同的颜色，且颜色可自定义。</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25.整机屏幕触摸有效识别高度不超过3.5mm,，即触摸物体距离玻璃外表面高度不超过3.5mm时，触摸屏识别为点击操作。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26.无PC状态下，嵌入式Android操作系统下可实现windows系统中常用的教学应用功能，如白板书写、WPS软件使用、网页浏览。</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二、内置电脑配置</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1.主板采用H310芯片组，搭载Intel 酷睿系列I3 CPU或以上，内存：4GB DDR4</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套</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4</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移动支架车</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尺寸：50寸-100寸平衡安装</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参数：承重最大160 lbs（160kg）</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安装孔位（最大）：600mm×400mm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材质：SPCC高强度钢板表面喷涂</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高度：1200mm-1500mm手动自由调节</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立柱：可隐藏线材；外形简洁大方，安装简单快捷</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刹车式滚轮，稳定可靠</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配件：选配摄像头托盘、视频终端托盘</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适用：各视频会议以及大屏触摸屏、白板</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个</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5</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高端数字</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会议主机</w:t>
            </w:r>
          </w:p>
        </w:tc>
        <w:tc>
          <w:tcPr>
            <w:tcW w:w="241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 xml:space="preserve">1、采用全数字会议技术，基于数字网络架构开发，内置高性能CPU处理器，处理速度更快，音质更佳，支持讨论、视像跟踪功能；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2、高性能开关电源供电，长距离传输对音质不会有任何影响；</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3、抗干扰电路设计，杜绝一切手机信号的干扰；</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4、★采用3.5寸全视角IPS电容显示屏，直观显示和方便调节系统的各项参数；</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5、★支持USB录音，高保真WAV格式输出；</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6、★具有3组共6路RJ45的话筒单元接口，采用闭环以太网链接模式，支持话筒单元的双边供电，且支持话筒单元热插拔，每路支持20个单元，可接60个单元；</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7、★同时具有4路8芯话筒单元接口，每路支持25个单元，可接100个单元；</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8、★单台主机通过扩展电源最多可接256台会议单元，亦可通过会议扩展主机（多个扩展主机之间手拉手串联连接），一套会议系统最多可接入达1200台会议单元；</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9、单元采用“手拉手”连接方式，支持热插拔，方便安装和维护；</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10、具有多种会议模式： FIFO（先进先出模式）、APPLY（申请模式）、FREE（自由模式）、LIMIT（限制模式）、VOICE（声控模式）；</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11、发言人数限制功能：可以限定最多同时发言的单元数量（可设置为1-8不同数量），主席单元不受限制；</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12、发言时间限制功能：可以限定发言单元的发言时间（可设置0-1000S），并有定时关闭和自动关闭两种模式，主席单元不受限制；</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13、★系统具备会议服务功能，发言单元可申请茶水、纸笔、帮助等服务；</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14、★网络化协作管理，系统主机可设置IP地址，具有TCP/IP网络接口，可连接无线路由器，使用同一局域网内的电脑对主机进行操作设置；</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15、★具有USB接口，可连接电脑对主机进行操作设置；</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16、具有摄像头232和485通讯接口（6P凤凰插），连接标清或高清摄像头，支持SONY VISCA、PELCO P/D通讯协议；</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17、具有视频切换232接口（3P凤凰插），可连接高清视频矩阵；</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18、具有中控代码232接口（3P凤凰插），可连接中控系统；</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19、具有1路平衡音频输出接口（卡农），可连接扩声或录音设备；</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20、具有1路非平衡音频输出接口（6.35mm），可连接扩声或录音设备；</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21、具有1路非平衡音频输入接口（莲花），可输入外部音频信号（如：背景音乐或远程语音信号）</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台</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6</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主席单元</w:t>
            </w:r>
          </w:p>
        </w:tc>
        <w:tc>
          <w:tcPr>
            <w:tcW w:w="241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1、会议系统主席单元；</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2、单元为无源设备，由系统主机供电，输入电压为24V，属安全范围；</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3、8芯线接口的单元采用T型8芯连线，线材采用全线铝箔、水线屏蔽，大大降低强电磁波对线材的干扰；</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4、网线接口的单元采用超六类网线，“手拉手”线连接方式，带有两个RJ45接口，并带防止松动夹套；</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5、专业高保真电容咪芯，拾音灵敏、语音清晰，带宽达到20Hz~20KHz；</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6、★方形麦克风，通过固定接头连接话筒底座；</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7、采用防干扰电路设计，可防止手机等电子产品的干扰；</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8、★话筒头部带双色发言灯环，单元发言时灯环为常亮红色，单元申请发言时灯环为常亮绿色；</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9、★灵敏的触摸式开关，待机未按时图案常亮发光绿色，按下后图案常亮发光红色；</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10、话筒单元带有耳机输出口， 并带有音量调节按键，可以自由选择输出方式并调节其音量；</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11、采用“手拉手”连接方式，支持热插拔，方便安装和维护；</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12、主席单元具有批准代表的发言申请功能；</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13、★主席单元不受发言人数限制；</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14、主席单元具有全权控制会议秩序的优先功能；</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15、主席单元的连接位置不受限制；</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16、一个系统可以支持多个主席单元同时使用</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支</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7</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代表单元</w:t>
            </w:r>
          </w:p>
        </w:tc>
        <w:tc>
          <w:tcPr>
            <w:tcW w:w="241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1、会议系统代表单元；</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2、单元为无源设备，由系统主机供电，输入电压为24V，属安全范围；</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3、8芯线接口的单元采用T型8芯连线，线材采用全线铝箔、水线屏蔽，大大降低强电磁波对线材的干扰；</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4、网线接口的单元采用超六类网线，“手拉手”线连接方式，带有两个RJ45接口，并带防止松动夹套；</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5、专业高保真电容咪芯，拾音灵敏、语音清晰，带宽达到20Hz~20KHz；</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6、方形麦克风，通过固定接头连接话筒底座；</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8. 采用防干扰电路设计，可防止手机等电子产品的干扰；</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9. ★话筒头部带双色发言灯环，单元发言时灯环为常亮红色，单元申请发言时灯环为常亮绿色；</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10. ★灵敏的触摸式开关，待机未按时图案常亮发光绿色，按下后图案常亮发光红色；</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11. 话筒单元带有耳机输出口， 并带有音量调节按键，可以自由选择输出方式并调节其音量；</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12. 采用“手拉手”连接方式，支持热插拔，方便安装和维护；</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支</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8</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会议系统线</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8芯，全铜双芯，阻抗小，高屏蔽,20米长</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条</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9</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会议地面掀盖式插座</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1.用于线路预埋连接会议单元</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2.用于D62系列智能数字会议系统单元连接</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3.接口：2个8芯DCN母口，一个AC220V三线万能电源输出插座</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4.所有插座均带地线绝缘隔离，确保地线独立</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只</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rPr>
              <w:t>10</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音箱</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1、额定功率：150W；</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2、频响范围：70Hz-20KHz；</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3、阻抗：8（Ω）；</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4、灵敏度：92dB；</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5、最大声压级：113dB；</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6、覆盖角：80°×60°（H×V），分频点：2.5KHz；</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7、单元配置：1x8″低音单元  38芯音圈，8Ω，120磁；1x1″高音单元  25芯音圈，1″口径钕磁高音；</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8、号角材质：ABS,；</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9、音箱材质：12mm高密度纤维板；</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10、表面处理：水性环保黑色点漆；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11、音箱铁网：1.5mm厚板材，网孔￠5㎜钢网内衬防尘棉；</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12、连接器： SPEAKON NL4×2 PIN1+/2+POS.  PIN1-/2-NEG（正负4芯安全插头）</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只</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2</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rPr>
              <w:t>11</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纯后级</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功率放大器</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1、立体声功率：8Ω 350W*2, 4Ω 525W*2；</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2、桥接功率:8Ω 700W；</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3、总谐波失真（1KHz）:0.05%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4、信噪比（A计权）：101dB；</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5、转换速率：60V/us；</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6、阻尼系数：400:1；</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7、频率响应：20Hz-20KHz(±0.5dB)；</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8、输入灵敏度：0.775V/1V/1.44V；</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9、输入阻抗：10K ohms(非平衡）-20K ohms（平衡）；</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10、面板指示灯:Signal,active,clip/limiting；</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11、电源：220V,50/60Hz；</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12、电源消耗功率：800W</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台</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7"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12</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音箱吊架</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最大承受80Kg/对</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对</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13</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UHF一拖二真分集   无线话筒</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1、振荡方式: 锁相环频率合成(PLL syntheized)；</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2、频率范围：UHF 500MHz～980MHz；</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3、频率稳定性：&lt;±10PPM；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4、调制方式：FM；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5、动态范围：&gt;105dB；</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6、失真度:&lt;0.5%@1KHz；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7、灵敏度：1.2/UV @S/N=12dB；</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8、电源供应：DC:12V～15V；</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9、音频输出：平衡输出 0～600mV,不平衡输出 0～300mV；</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10、消耗功率：8W。</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发射器参数：</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1、电源供应：3V（1.5V AA*2）</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2、话筒耗电量：100mA</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3、载波频率：UHF 500MHz～980MHz</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4、发射功率：高功率档 10dBm,低功率档 5dBm;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5、最大调制度：±45KHz</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6、发射功率：10mW；</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7、类型：动圈式</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8、极性模式：单一指向性</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9、频率响应：40Hz～18KHz</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套</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14</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8路电源时序器</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1、通道数量：8路；</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2、单路最大输出电流：10A；</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3、辅助电源输出：10A；</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4、工作电压：180V-240V；</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5、输出插座标准；万用电源座；</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6、开关间隔时间：1秒；</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台</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15</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16路双编组调音台</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1、八路话筒输入，四路（两组）立体声输入；</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2、单声道输入通道带48V幻像供电，嵌入式开关设计；</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3、话筒输入高中低三段均衡，立体声高低两段均衡，输入推子60mm，手感平滑；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4、两个辅助输出，一个AUX发送，一个FX发送，AUX发送为推子前信号，总输出由推子控制，FX发送为推子后信号，信号发送由旋钮控制；</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5、输入每路带PFL按键，方便监听推子前信号，透光式按键设计；</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6、每路话筒输入信号指示灯和峰值指示灯共用，绿色红色两种颜色可变；</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7、USB播放功能，带液晶显示屏，可以显示歌曲名字和歌词，支持MP3,WAV等多种格式，中英文界面可选，循环模式可选；</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8、带蓝牙功能，可以直接蓝牙输入音频；</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9、带U盘录音功能；</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10、可以连接电脑，通过声卡输入输出音频到电脑；</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11、内置效果器，效果器延时时间和重复比例连续可调，效果可以加入主输入，也可以加入辅助AUX输出；</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12、左右主输出，带卡龙和莲花两种输出口接口（方便给本地或远程录音信号），两个推子独立控制，60mm推子；</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13、立体声监听输出，可以耳机监听，也可以输出到监听音箱旋钮控制音量大小；</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14、左右立体声辅助返回，旋钮控制返回音量大小；</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15、调音台本底噪声低，信噪比好，性能稳定；</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16、标准双12段电平指示标，准确显示电平大小；</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17、独特的外观设计,精准的组装工艺，性能稳定可靠；</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18、话筒输入可以选择卡龙或6.35接口，立体声输入可以选择RCA或6.35接口</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台</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16</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音频处理器</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1、8进8出的自动混音媒体矩阵，配备8路模拟输入和8路模拟输出，内置反馈抑制，自动混音，矩阵混音，均衡器，分配器，压缩器等DSP功能；</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2、通过USB免驱连接电脑软件制,RS232,TCP/IP连接中控远程控制，适合用在各种场合的扩音工程；</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3、8路模拟音频输入8路模拟音频输出，支持麦克风输入和线路输入自由切换；</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4、每路输入带48V幻相电源开关；</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5、每路输入带反馈抑制功能开关，两档调节；</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6、带自动混音和矩阵混音功能；</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7、带闪避器功能；</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8、输入31段PEQ可调，输出10段PEQ可调；</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9、USB免驱自动连接软件，另外支持RS232中控控制。</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10、支持手机APP有中英文随时切换选择，可同时添加多台设备分别控制其输入，输出音量和静音，场景调用，IP 地址设置，设备名称修改等功能。</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台</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17</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 xml:space="preserve">数字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反馈抑制器</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1、显示采用分辨率为144×32的汉字显示屏，LCD屏显示7段输入精确数字电平表及编辑状态；</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2、可任意对每通道24个滤波器编辑固定和动态反馈点数量进行全自动窄带陷波式反馈抑制，能有效地抑制各种环境下的啸叫问题；</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3、每通道提供压缩、限幅、噪声门等功能设置，为系统、喇叭单元提供安全、高品质声音的保障；</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4、LCD屏显示每通道24个总计48个led灯啸叫点数量可直观展示系统已搜索到的啸叫点；</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5、输入输出通道分别提供1组2路同轴、AES、光纤数字信号接口，2路平衡式模拟信号接口；</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6、采用92KHz采样频率，32-bit高性能DSP处理器及24-bitA/D及D/A数模转换芯片；</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7、为适应不同场景的转移使用，设为可一键清除自动获取的滤波器设置；</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8、可通过面板的bypass/on按键切换工作模式为直通或抑制；</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9、即使在环境较差的场合，也能极大限度地抑制，抑制啸叫的同时还能保证语音的高质量、高保真、高清晰地传送；</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10、单机可存储30组用户程序，存储压缩、限幅、噪声门等参数，关机前设备会自动保存所获取抑制的啸叫参数，在下次开机后无需重新获取相关抑制啸叫的参数；</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11、可通过面板的系统键来设定密码锁定操作功能，以防止非相关人员对设备的误操作</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台</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18</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卡侬公对卡侬母信号线（1.5米）</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主要功能特点：</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1、它是一款专业级高保真音质卡侬转接头；</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2、转接头由三芯卡侬公母插头组成，采用PVC+ABS+锌合金外壳，镀金铜针防腐蚀抗氧化；                                                                         3、高保真音质， 清晰无杂音，镀银铜针，防腐蚀抗氧化，卡侬头为拆卸式设计，接线简单拆卸方便；</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4、可制作话筒线、音频线、平衡线连接各种音响器材，多应用于演播厅、演唱会、KTV、家庭影音，公共广播系统等音响工程。</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主要配置描述：</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1、品名：卡侬公对卡侬母信号线；</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2、长度：1.5米；</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3、材质：PVC+ABS+锌合金；</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4、三体针头：黄铜镀银。</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条</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8</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rPr>
              <w:t>19</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6.5单声道转卡侬公信号线（1.5米）</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 xml:space="preserve">主要功能特点：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1、产品规格：1.5米  OD6mm(直径6毫米)；</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2、产品接头：3.5立体声转双莲花(RCA)；</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3、产品用途：适用于计算机、MP3、DVD、电视机、收音机、电脑、CD机与功放机、音箱之间的连接并传输他们的音频信号；                                                                                                                  4、将线缆的3.5MM插头插入MP3、DVD、电视机、CD机的3.5MM立体声输出口或耳机，另一端的插头插入相应设备的3.5MM立体声插座即可。</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主要技术参数：</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1、品名：6.5单声道转卡侬公信号线</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2、长度：1.5米；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3、线芯数量：2芯；</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4、线芯材质：裸铜线；</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5、护套材质：2；</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6、颜色：黑色；</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7、包装：袋装（1条独立包装）。</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条</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2</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20</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会议室机柜</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标准化模式，以满足各种需求；</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采用高强度钢制可拆装式机柜，最大承载重量达500公斤；</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机柜内设计4条可调节铝型材槽轨；</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底座可着地或安装活动脚轮；</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装配简单，方便搬运。</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标称高度：1.5M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尺寸（高×宽×深）：1408×535×485mm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安装空间：28U</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基本配置：</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底座、支架、顶盖和两个侧板；</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四条可调节铝合金槽轨；</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四个活动脚轮；</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配置22条可调横托、一块前板、一块后板；</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可调节横托条、前面板和托盘供另选购。</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台</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辅材</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国标视/音频线、视音频插座、电源插座、各种电源线、开关、等附材、五金件等</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批</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4"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rPr>
              <w:t>3、室内活动及辅助用房配备预算清单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41"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序号</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产品名称</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规格和配置技术参数</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单位</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数量</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lang w:eastAsia="zh-CN"/>
              </w:rPr>
            </w:pPr>
            <w:r>
              <w:rPr>
                <w:rFonts w:hint="eastAsia" w:ascii="宋体" w:hAnsi="宋体" w:eastAsia="宋体" w:cs="宋体"/>
                <w:i w:val="0"/>
                <w:iCs w:val="0"/>
                <w:color w:val="auto"/>
                <w:sz w:val="24"/>
                <w:szCs w:val="24"/>
                <w:highlight w:val="none"/>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7"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一、桌椅类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桌子大班</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1200*600*550mm，材质：橡胶木材质，油漆，清水和彩色油漆结合，桌面板材厚度不低于1.6CM的橡木板材。油漆：清水，采用环保油漆型聚脂漆，正面涂层平整光滑，光泽柔和，亮光工艺。三底两面。外表面和内表面以及儿童手指可触及的隐蔽处，均不得有锐利的棱角、毛刺以及小五金部件露出的锐利尖锐。可拆装</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张</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30</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（15张长桌+15张圆桌）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2</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桌子中班</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1200*600*520mm，材质：橡胶木材质，油漆，清水和彩色油漆结合，桌面板材厚度不低于1.6CM的橡木板材。油漆：清水，采用环保油漆型聚脂漆，正面涂层平整光滑，光泽柔和，亮光工艺。三底两面。外表面和内表面以及儿童手指可触及的隐蔽处，均不得有锐利的棱角、毛刺以及小五金部件露出的锐利尖锐。可拆装</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张</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30</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（15张长桌+15张圆桌）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3</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桌子小班</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1200*600*500mm，材质：橡胶木材质，油漆，清水和彩色油漆结合，桌面板材厚度不低于1.6CM的橡木板材。油漆：清水，采用环保油漆型聚脂漆，正面涂层平整光滑，光泽柔和，亮光工艺。三底两面。外表面和内表面以及儿童手指可触及的隐蔽处，均不得有锐利的棱角、毛刺以及小五金部件露出的锐利尖锐。可拆装</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张</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30</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（15张长桌+15张圆桌）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4</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椅子大班</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规格：坐高300mm，材质：橡胶木材质，油漆，清水和彩色油漆结合，椅面板材厚度不低于1.6CM的橡木板材。油漆：清水，采用环保油漆型聚脂漆，正面涂层平整光滑，光泽柔和，亮光工艺。三底两面。外表面和内表面以及儿童手指可触及的隐蔽处，均不得有锐利的棱角、毛刺以及小五金部件露出的锐利尖锐。</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张</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100</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5</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椅子中班</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规格：坐高280mm，材质：橡胶木材质，油漆，清水和彩色油漆结合，椅面板材厚度不低于1.6CM的橡木板材。油漆：清水，采用环保油漆型聚脂漆，正面涂层平整光滑，光泽柔和，亮光工艺。三底两面。外表面和内表面以及儿童手指可触及的隐蔽处，均不得有锐利的棱角、毛刺以及小五金部件露出的锐利尖锐。</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张</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100</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6</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椅子小班</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规格：坐高260mm，材质：橡胶木材质，油漆，清水和彩色油漆结合，椅面板材厚度不低于1.6CM的橡木板材。油漆：清水，采用环保油漆型聚脂漆，正面涂层平整光滑，光泽柔和，亮光工艺。三底两面。外表面和内表面以及儿童手指可触及的隐蔽处，均不得有锐利的棱角、毛刺以及小五金部件露出的锐利尖锐。</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 xml:space="preserve">张 </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100</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7</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鞋柜书包柜一体</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规格：120*30*120cm；采用优质白橡木齿接板加工而成无疤结无毛刺，板材厚度1.6cm，做工精致，美观，油漆采用无甲醇环保酯胶清漆，做到表面光滑，符合GB28007－2011《儿童家具通用技术条件》标准和GB18580-2001《室内装修装饰材料 人造板及其制品中甲醛释放限量》标准规定要求。可拆装</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个</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27</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8</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睡床</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135*60*30cm可堆叠摆放），优质橡胶木材质，主结构采用榫卯链结，辅助长钉螺丝链接、原木色。油漆采用儿童水性清水漆，做到五底四面均为整体喷涂漆面，均经过刨光、砂光、倒角、圆角处理，成品无毛刺、无裂纹，接缝自然，无明显缺口和缝隙；喷漆均匀，表面漆膜平整光亮、无皱皮、发粘和漏漆现象。</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张</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270</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9</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毛巾架</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规格：100*30*100cm,40挂钩，</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1.采用优质松木制作而成，不开裂、不易变形，面料无死节、开裂、虫眼，所有板边倒圆角、圆边，光滑，无毛刺；</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2.板材厚度1.7cm；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3.表面采用优质环保漆喷涂而成，四遍底漆，四遍面漆，安全、无毒无味，凸显木材纹理，手感光滑；</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5.整体产品结构稳固。</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个</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9</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10</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毛巾口杯消毒</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规格：800*445*370mm，臭氧消毒，中温加热，一边可放毛巾塑料等不耐高温的，一边高温杀菌可放水杯，餐具陶瓷等。壁挂式</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台</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9</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11</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饮水机</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规格：550*380*900mm；功率：2KW；水胆容量：18L；出水方式：全温开；电源：220V/50HZ；过滤：三级过滤；适宜水压：0.1-0.6MPa</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台</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9</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13</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口杯架</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规格：72*60cm；；采用优质橡木齿接板加工而成无疤结无毛刺，板材厚度1.6cm，做工精致，美观，油漆采用无甲醇环保酯胶清漆，做到表面光滑，符合GB28007－2011《儿童家具通用技术条件》标准和GB18580-2001《室内装修装饰材料 人造板及其制品中甲醛释放限量》标准规定要求。</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个</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7</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14</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钢琴</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技术参数：传统声学钢琴，规格：148*60*118cm，键盘：全音域88键标配。材质: 云杉木；背板材质: 实木音板；</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立式中档用琴，钢琴琴盖带安全缓降装置。</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台</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9</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15</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玩具柜（木制）</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带移动滑轮规格：100*30*60cm；材质：优质樟子松木，油漆采用儿童水性清水漆，做到五底四面均为整体喷涂漆面，均经过刨光、砂光、倒角、圆角处理，成品无毛刺、无裂纹，接缝自然，无明显缺口和缝隙；喷漆均匀，表面漆膜平整光亮、无皱皮、发粘和漏漆现象。柜子的涂层、漆膜，不含有毒物质，应符合GB28007-2011《儿童家具通用技术条件》的标准要求。</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个</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63</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16</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玩具柜（塑料）</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规格：93.5*36*86cm；碳钢管含PP材质，带4个移动滑轮含收纳盒9个</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个</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27</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17</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存储柜</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规格：47*40*90cm；材质：优质橡胶木，油漆采用儿童水性清水漆，做到五底四面均为整体喷涂漆面，均经过刨光、砂光、倒角、圆角处理，成品无毛刺、无裂纹，接缝自然，无明显缺口和缝隙；喷漆均匀，表面漆膜平整光亮、无皱皮、发粘和漏漆现象。柜子的涂层、漆膜，不含有毒物质，应符合GB28007-2011《儿童家具通用技术条件》的标准要求。</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个</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9</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18</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书架</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规格：100*20*63cm；带万向轮可移动；采用无铅木塑板；进口AA级免漆无异味，防油污，易安装，不变形，绿色环保。</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个</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36</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19</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口杯</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304不锈钢，食品级材质。直径：7cm；防摔耐用。</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个</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300</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20</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壁扇</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18英寸，三档风速，广角摆风，五叶铝叶，机械款</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台</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72</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21</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移动黑板</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1、采用优质专用面板和喷塑金属支架制作；</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2、铝合金边框带托盘，ABS塑料边角，板面可自由翻转不360。静电喷塑金属支架，底部配有4个万向轮，可随意移动；产品为豪华型可翻转外磁式双面书写板，板面为绿白双面设计，带磁性；</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3、规格：150*100cm。</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套</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9</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23</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塑料雪花片</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1、材质 ：PP食品级环保塑料、100%安全无毒，颜色艳丽，耐光照不褪色，抗压耐磨，光滑不伤手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2.产品由红、黄、蓝、绿、浅蓝、浅绿、橙、紫8种颜色组成           规格：大号直径43mm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3.件数：大号980件/箱                   </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套</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15</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24</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塑料雪花片</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1、材质 ：PP食品级环保塑料、100%安全无毒，颜色艳丽，耐光照不褪色，抗压耐磨，光滑不伤手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2.产品由红、黄、蓝、绿、浅蓝、浅绿、橙、紫8种颜色组成           规格：中号直径33mm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3.  件数：中号1800件/箱 </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套</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15</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25</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塑料雪花片</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1、材质 ：PP食品级环保塑料、100%安全无毒，颜色艳丽，耐光照不褪色，抗压耐磨，光滑不伤手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2.产品由红、黄、蓝、绿、浅蓝、浅绿、橙、紫8种颜色组成           规格： 小号直径23mm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3. 件数： 小号3080件/箱  </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套</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15</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26</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水管道积木</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小中大各5套，共计15套</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套</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15</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27</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木质积木</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长方形：规格：24*3*3cm:材质：进口新西兰松16片</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长方形：规格：18*12*3cm:材质：进口新西兰松4片</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长方形：规格：18*6*3cm:材质：进口新西兰松7片</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长方形：规格：12*6*3cm:材质：进口新西兰松17片</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正方形：规格：6*6*3cm:材质：进口新西兰松24片</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三角形：规格：8.5*8.5*3cm:材质：进口新西兰松12片</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三角形：规格：6*6*3cm:材质：进口新西兰松24片</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圆柱形：规格：12*3*3cm:材质：进口新西兰松8片</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拱形：规格：12*6*3cm:材质：进口新西兰松4片</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半圆形：规格：6*3*3cm:材质：进口新西兰松4片</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套</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13</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28</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小班娃娃家家具套装</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8件/套；                            床：50*30cm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柜：40*20*30cm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画妆台：50*20*40cm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桌：35*30cm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凳：20*20cm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材料：原木樟子松1.8cm厚</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套</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3</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5"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rPr>
              <w:t>二、多媒体电视一体机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多媒体一体机</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一、整机设计及功能</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1.整机采用一体化全金属外壳设计，外部无任何可见内部功能模块连接线；边角采用弧形设计，表面无尖锐边缘或凸起。</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2.整机屏幕采用≥75英寸液晶显示器，整机采用UHD超高清LED 液晶屏，显示比例为16:9，分辨率不低于3840*2160。</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3.★嵌入式系统版本不低于Android9.0，内存≥2GB，存储空间≥8GB。（投标时需提供具有CNAS资质的第三方检测机构所出具的检测报告复印件并加盖厂家公章）</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4.支持红外触控，支持Windows系统中进行20点或以上触控，安卓系统中进行 10 点或以上触控，支持红外笔书写。</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5.整机能感应并自动调节屏幕亮度来达到在不同光照环境下的不同亮度显示效果，此功能可自行开启或关闭。</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6.★整机内置 2.1 声道扬声器，前朝向 15W中高音扬声器 2 个，后朝向 20W 低音扬声器 1 个，额定总功率 50W。（投标时需提供具有CNAS资质的第三方检测机构所出具的检测报告复印件并加盖厂家公章）</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7.支持传屏功能，可以将外部电脑的屏幕画面通过无线方式传输到整机上显示。</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8.★整机内置无线网络模块，PC模块无任何外接或转接天线、网卡可实现Wi-Fi无线上网连接和AP无线热点发射；Wi-Fi和AP热点均支持频段 2.4GHz/5GHz ，满足IEEE 802.11 a/b/g/n/ac标准。（投标时需提供具有CNAS资质的第三方检测机构所出具的检测报告复印件并加盖厂家公章）</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9.三合一电源按键，同一电源物理按键完成Android系统和Windows系统的开机、节能熄屏、关机操作；关机状态下轻按按键开机；开机状态下轻按按键实现节能熄屏/唤醒，长按按键实现关机。</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10.整机具备至少6个前置按键，实现老师开关机、调出中控菜单、音量+/-、护眼、录屏的操作。</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11.★整机具有护眼功能，可通过前置面板物理功能按键一键启用护眼模式。（投标时需提供具有CNAS资质的第三方检测机构所出具的检测报告复印件并加盖厂家公章）</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12.★设备支持通过前置面板物理按键一键启动录屏功能，可将屏幕中显示的课件、音频内容与老师人声同时录制。（投标时需提供具有CNAS资质的第三方检测机构所出具的检测报告复印件并加盖厂家公章）</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13.支持智能U盘锁功能，整机可设置触摸及按键锁定，锁定后无法随意自由操作，需要使用时插入USB key可解锁。</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14.★整机内置非独立的高清摄像头，可拍摄不低于 800 万像素数的照片；摄像头对角角度≥120°。（投标时需提供具有CNAS资质的第三方检测机构所出具的检测报告复印件并加盖厂家公章）</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15.整机内置非独立外扩展的阵列麦克风，可用于对教室环境音频进行采集，拾音距离≥12m。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16.Android系统和Windows系统下，支持通过任何一个前置USB接口读取外接移动存储设备。</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17.外接电脑设备通过HDMI线投送画面至整机时，再连接TypeB USB线至整机触控输出接口，即可直接调用整机内置的摄像头、麦克风、扬声器，在外接电脑即可拍摄教室画面。</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18.整机具备不少于1路侧置双通道USB接口，双系统USB接口支持Windows和Android双系统读取外接存储设备数据和识别展台信号。</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19.★支持前置Type-C接口，通过Type-C接口实现音视频输入，外接电脑设备通过标准Type-C线连接至整机Type-C口，即可把外接电脑设备画面投到整机上，同时在整机上操作画面，可实现触摸电脑的操作，无需再连接触控USB线。（投标时需提供具有CNAS资质的第三方检测机构所出具的检测报告复印件并加盖厂家公章）</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20.外接电脑设备通过机外Type-C线连接至整机Type-C口，可直接调用整机内置的摄像头、麦克风、扬声器，在外接电脑可拍摄教室画面。</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21.支持外接信号输入时自动唤醒功能，整机处于关机通电状态，外接电脑显示信号通过HDMI传输线连接至整机时，整机可智能识别外接电脑设备信号输入并自动开机。</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22.★具备智能手势识别功能，在任意信号源通道下可识别五指上、下、左、右方向手势滑动并调用响应功能，支持将各手势滑动方向自定义设置为无操作、熄屏、批注、桌面、半屏模式。（投标时需提供具有CNAS资质的第三方检测机构所出具的检测报告复印件并加盖厂家公章）</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23.整机内置专业硬件自检维护工具（非第三方工具），支持对触摸框、PC模块等模块进行检测，针对不同模块给出问题原因提示。</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24.支持同一支红外笔笔头、笔尾书写不同的颜色，且颜色可自定义。</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25.整机屏幕触摸有效识别高度不超过3.5mm,，即触摸物体距离玻璃外表面高度不超过3.5mm时，触摸屏识别为点击操作。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26.无PC状态下，嵌入式Android操作系统下可实现windows系统中常用的教学应用功能，如白板书写、WPS软件使用、网页浏览。</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二、内置电脑配置</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1.主板采用H310芯片组，搭载Intel 酷睿系列I3 CPU或以上，内存：4GB DDR4</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套</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9</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rPr>
              <w:t>4、多功能活动室设备设施购置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16"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序号</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产品名称</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规格和配置技术参数</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单位</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数量</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rPr>
              <w:t>一、舞台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舞台底部钢结构</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上层用600*600间隔40方管结构做面，底部用28*28方管做做固定面</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24.0</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5"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2</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底板实铺</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面实铺1.8厘多层夹板打底</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24.0</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3</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多层实木复合地板</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·浸渍剥离：每一边的任一胶层开胶的累计长度不超过该胶层长度的1/3（3mm以下的不计）</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·静曲强度：≥30MPa</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·弹性模量：≥3500MPa</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·含水率：6%~14%</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·表面耐磨度：≥6000转</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·表面耐香烟灼烧：无黑斑、裂纹和鼓包</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·表面耐干热：无龟裂、无鼓包</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·表面耐污染腐蚀：无污染、无腐蚀</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·甲醛释放量：E0级，且≤0.5mg/L</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26.0</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rPr>
              <w:t>二、LED显示屏(P2.5）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LED显示屏(P2.5）</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 xml:space="preserve">1、显示屏显示净显示面积：长4.48m*高2.88m=12.9m²净尺寸；2.P2.5全彩LED屏封装方式：SMD 2121灯珠，3、像素管单元板：物理点间距≤2.5mm 4、像素管单元板：物理密度≥160000点5、像素组成：1R1G1B6. 灯珠寿命:≥100000小时，平均无故障工作时间≥10000小时。7、单元板大小：320mm*160mm8、最佳可视距离（m）≥2.5m9、屏体最大功率322.3W/平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10、控制方式: 计算机控制，逐点对应，视频同步，实时显示11、盲点率:≤0.000312、工作电压:AC220V±15%13、系统工作环境温度：-20℃～50℃14、灰度等级: 红、绿、蓝 14-16bits15、视角: 140±10°16、刷新频率≥1920HZ17、亮度≥550cd/m²18、防护性能：超温/过载/掉电/图像补偿/各种校正技术/过流/过压/防雷19、扫描方式:1/32 扫描，恒流驱动。</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12.9</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2</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发送卡</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·支持DVI视频信号输入；</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·支持音频输入，通过网线同步传输；</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·输入分辨率：最大1920*1200点，支持分辨率任意设置；</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·单卡最大带载面积：131万点，最宽可达2560，最高可达2560点；</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·4个千兆网口输出，支持两上下、左右任意拼接；</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·双USB接口进行数据通讯，方便级联拼接，严格同步；</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·支持低亮高灰；</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·支持AC 100~240V超宽工作电压，更强适应性；</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只</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 xml:space="preserve">1 </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3</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接收卡</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1.通信距离：超五类网线≤140M；六类网线≤170M；光纤线：单模收发器≤20KM，多模收发器≤550M。（利用中继器无限延长）</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2.兼容传输设备：千兆交换机、千兆光纤收发器、千兆光纤交换机</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3.抗人体静电能力：2KV</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4.尺寸（mm）：≤143×93</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5.工作电压：DC 3.3V~6V</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6.功耗：3W</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台</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 xml:space="preserve">28 </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4</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电脑</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主机：</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CPU：≥I3-10100 处理器 (四核，6M,基础主频3.6 GHz，可睿频至4.3GHz)</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芯片组：≥Intel H460</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扩展插槽：≥1个 PCIe x1插槽，≥1个 PCIe x16插槽，≥2个 M.2 插槽 ,主板SATA接口≥3个</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端口：≥8个外置USB 端口，其中前置≥ 4个USB 3.1 Gen1，后置≥4个USB2.0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前置：4个USB 3.1 Gen1，1个耳麦一体通用接口，1个SD 3合1读卡器接口；</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后置：4个USB 2.0，1个音频输出接口，1个音频输入接口，1个耳麦一体通用接口；1个VGA，1个HDMI，1个RJ-45, 1个COM端口</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内存类型：≥4GB 2400MHz DDR4；≥2个内存插槽最大支持32G</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机械硬盘：≥1TB,最大支持3TB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固态硬盘：≥256G 固态硬盘，支持升级M.2 1TB固态硬盘</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显卡类型：集成英特尔核芯显卡</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网卡：集成千兆以太网控制器；支持801.11AC双频无线连接及蓝牙4.2</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机箱：大于15L机箱；≥180W内置电源,EPA90金牌电源，可以支持310W电源</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键盘鼠标：原配标准键盘、光电鼠标</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认证：CCC认证、节能产品认证、环保认证</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服务：五年免费备件支持/五年免费工程师人工服务/五年免费上门服务</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系统：出厂原装Windows10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显示器：</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≥21.5"宽屏16:9 背光液晶；</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显示器分辨率：1920x1080；屏幕类型：IPS； 5ms响应时间；</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外观：黑色</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扩展：支持VGA/HDHI双接口；CCC/CECP</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保修：整机质保期3年，显示器与主机同品牌</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台</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 xml:space="preserve">1 </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5</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视频处理器</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输入接口：HDMI*1,DVI*1,VGA*2,CVBS*2,ypbpr*1</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台</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6</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配电箱</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空气开关、交流接触器40A220V</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套</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7</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屏体电源线</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RVV 3*2.5mm2 (屏体内部电源串线)</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米</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80</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8</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控制信号线</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STP 5e (屏体内部信号串线)</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条</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30</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9</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屏体结构外包边装饰</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长4.48m*高2.88m=12.9m²</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平方</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12.9</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10</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辅材</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数据线，插座，扎带、机打标签、连接件等</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批</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rPr>
              <w:t>三、多功能活动室其它设备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314"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音箱</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00" w:afterAutospacing="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1、额定功率：350W；</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2、频响范围：45Hz-20KHz；</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3、阻抗：8（Ω）；</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4、灵敏度：97dB；</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5、最大声压级：122dB；</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6、覆盖角：80°×60°（H×V），分频点：2.5KHz；</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7、单元配置：1x15″低音单元  75芯音圈， 8Ω， 170磁；1x44mm高音单元  44芯音圈，1″口径，8Ω；</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只</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2</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2</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音箱</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1、额定功率：300W；</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2、频响范围：55Hz-19.7KHz；</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3、阻抗：8（Ω）；</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4、灵敏度：98dB；</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5、最大声压级：122dB；</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6、覆盖角：80°×60°（H×V），分频点：2.5KHz；</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7、单元配置：1x12″低音单元  65芯音圈，8Ω，156磁； 1x44mm高音单元  44芯音圈，1″口径 ，8Ω；</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只</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2</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3</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纯后级</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功率放大器</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1、立体声功率：8Ω 650W*2, 4Ω 900W*2；</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2、桥接功率:8Ω 1300W；</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3、总谐波失真（1KHz）:0.05%；</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4、信噪比（A计权）：103dB；</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5、转换速率：60V/us；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6、阻尼系数：500:1；</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7、频率响应：20Hz-20KHz(0/-0.5dB)；</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8、输入灵敏度：0.775V/1V/1.44V；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9、输入阻抗：10K ohms(非平衡）-20K ohms（平衡）；</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10、面板指示灯:Signal,active,clip/limiting</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台</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4</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纯后级</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功率放大器</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1、立体声功率：8Ω 450W*2, 4Ω 675W*2；</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2、桥接功率:8Ω 900W；</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3、总谐波失真（1KHz）:0.06%；</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4、信噪比（A计权）：102dB；</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5、转换速率：60V/us；</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6、阻尼系数：450:1；</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7、频率响应：20Hz-20KHz(±0.5dB)；</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8、输入灵敏度：0.775V/1V/1.44V；</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9、输入阻抗：10K ohms(非平衡）-20K ohms（平衡）；</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10、面板指示灯:Signal,active,clip/limiting；</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台</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9"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5</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音箱吊架</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最大承受80Kg/对</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对</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2</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6</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UHF一拖二真分集   无线话筒</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1、振荡方式: 锁相环频率合成(PLL syntheized)；</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2、频率范围：UHF 500MHz～980MHz；</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3、频率稳定性：&lt;±10PPM；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4、调制方式：FM；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5、动态范围：&gt;105dB；</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6、失真度:&lt;0.5%@1KHz；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7、灵敏度：1.2/UV @S/N=12dB；</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8、电源供应：DC:12V～15V；</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9、音频输出：平衡输出 0～600mV,不平衡输出 0～300mV；</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10、消耗功率：8W。</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发射器参数：</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1、电源供应：3V（1.5V AA*2）</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2、话筒耗电量：100mA</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3、载波频率：UHF 500MHz～980MHz</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4、发射功率：高功率档 10dBm,低功率档 5dBm;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5、最大调制度：±45KHz</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6、发射功率：10mW；</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7、类型：动圈式</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8、极性模式：单一指向性</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9、频率响应：40Hz～18KHz</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套</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7</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UHF一拖二真分集   无线话筒</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1、振荡方式: 锁相环频率合成(PLL syntheized)；</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2、频率范围：UHF 500MHz～980MHz；</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3、频率稳定性：&lt;±10PPM；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4、调制方式：FM；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5、动态范围：&gt;105dB；</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6、失真度:&lt;0.5%@1KHz；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7、灵敏度：1.2/UV @S/N=12dB；</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8、电源供应：DC:12V～15V；</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9、音频输出：平衡输出 0～600mV,不平衡输出 0～300mV；</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10、消耗功率：8W。</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发射器参数：</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1、电源供应：3V（1.5V AA*2）</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2、话筒耗电量：100mA</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3、载波频率：UHF 500MHz～980MHz</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4、发射功率：高功率档 10dBm,低功率档 5dBm;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5、最大调制度：±45KHz</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6、发射功率：10mW；</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7、类型：动圈式</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8、极性模式：单一指向性</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9、频率响应：40Hz～18KHz</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套</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8</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8路电源时序器</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1、通道数量：8路；</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2、单路最大输出电流：10A；</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3、辅助电源输出：10A；</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4、工作电压：180V-240V；</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5、输出插座标准；万用电源座；</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6、开关间隔时间：1秒；</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台</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2</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9</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16路双编组调音台</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1、八路话筒输入，四路（两组）立体声输入；</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2、单声道输入通道带48V幻像供电，嵌入式开关设计；</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3、话筒输入高中低三段均衡，立体声高低两段均衡，输入推子60mm，手感平滑；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4、两个辅助输出，一个AUX发送，一个FX发送，AUX发送为推子前信号，总输出由推子控制，FX发送为推子后信号，信号发送由旋钮控制；</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5、输入每路带PFL按键，方便监听推子前信号，透光式按键设计；</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6、每路话筒输入信号指示灯和峰值指示灯共用，绿色红色两种颜色可变；</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7、USB播放功能，带液晶显示屏，可以显示歌曲名字和歌词，支持MP3,WAV等多种格式，中英文界面可选，循环模式可选；</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8、带蓝牙功能，可以直接蓝牙输入音频；</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9、带U盘录音功能；</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10、可以连接电脑，通过声卡输入输出音频到电脑；</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11、内置效果器，效果器延时时间和重复比例连续可调，效果可以加入主输入，也可以加入辅助AUX输出；</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12、左右主输出，带卡龙和莲花两种输出口接口（方便给本地或远程录音信号），两个推子独立控制，60mm推子；</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13、立体声监听输出，可以耳机监听，也可以输出到监听音箱旋钮控制音量大小；</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14、左右立体声辅助返回，旋钮控制返回音量大小；</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15、调音台本底噪声低，信噪比好，性能稳定；</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16、标准双12段电平指示标，准确显示电平大小；</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17、独特的外观设计,精准的组装工艺，性能稳定可靠；</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18、话筒输入可以选择卡龙或6.35接口，立体声输入可以选择RCA或6.35接口</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台</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10</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音频处理器</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1、8进8出的自动混音媒体矩阵，配备8路模拟输入和8路模拟输出，内置反馈抑制，自动混音，矩阵混音，均衡器，分配器，压缩器等DSP功能；</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2、通过USB免驱连接电脑软件制,RS232,TCP/IP连接中控远程控制，适合用在各种场合的扩音工程；</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3、8路模拟音频输入8路模拟音频输出，支持麦克风输入和线路输入自由切换；</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4、每路输入带48V幻相电源开关；</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5、每路输入带反馈抑制功能开关，两档调节；</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6、带自动混音和矩阵混音功能；</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7、带闪避器功能；</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8、输入31段PEQ可调，输出10段PEQ可调；</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9、USB免驱自动连接软件，另外支持RS232中控控制。</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10、支持手机APP有中英文随时切换选择，可同时添加多台设备分别控制其输入，输出音量和静音，场景调用，IP 地址设置，设备名称修改等功能。</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台</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11</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 xml:space="preserve">数字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反馈抑制器</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1、显示采用分辨率为144×32的汉字显示屏，LCD屏显示7段输入精确数字电平表及编辑状态；</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2、可任意对每通道24个滤波器编辑固定和动态反馈点数量进行全自动窄带陷波式反馈抑制，能有效地抑制各种环境下的啸叫问题；</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3、每通道提供压缩、限幅、噪声门等功能设置，为系统、喇叭单元提供安全、高品质声音的保障；</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4、LCD屏显示每通道24个总计48个led灯啸叫点数量可直观展示系统已搜索到的啸叫点；</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5、输入输出通道分别提供1组2路同轴、AES、光纤数字信号接口，2路平衡式模拟信号接口；</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6、采用92KHz采样频率，32-bit高性能DSP处理器及24-bitA/D及D/A数模转换芯片；</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7、为适应不同场景的转移使用，设为可一键清除自动获取的滤波器设置；</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8、可通过面板的bypass/on按键切换工作模式为直通或抑制；</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9、即使在环境较差的场合，也能极大限度地抑制，抑制啸叫的同时还能保证语音的高质量、高保真、高清晰地传送；</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10、单机可存储30组用户程序，存储压缩、限幅、噪声门等参数，关机前设备会自动保存所获取抑制的啸叫参数，在下次开机后无需重新获取相关抑制啸叫的参数；</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11、可通过面板的系统键来设定密码锁定操作功能，以防止非相关人员对设备的误操作</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台</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12</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卡侬公对卡侬母信号线（1.5米）</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主要功能特点：</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1、它是一款专业级高保真音质卡侬转接头；</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2、转接头由三芯卡侬公母插头组成，采用PVC+ABS+锌合金外壳，镀金铜针防腐蚀抗氧化；                                                                         3、高保真音质， 清晰无杂音，镀银铜针，防腐蚀抗氧化，卡侬头为拆卸式设计，接线简单拆卸方便；</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4、可制作话筒线、音频线、平衡线连接各种音响器材，多应用于演播厅、演唱会、KTV、家庭影音，公共广播系统等音响工程。</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主要配置描述：</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1、品名：卡侬公对卡侬母信号线；</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2、长度：1.5米；</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3、材质：PVC+ABS+锌合金；</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4、三体针头：黄铜镀银。</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条</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8</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13</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6.5单声道转卡侬公信号线（1.5米）</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 xml:space="preserve">主要功能特点：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1、产品规格：1.5米  OD6mm(直径6毫米)；</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2、产品接头：3.5立体声转双莲花(RCA)；</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3、产品用途：适用于计算机、MP3、DVD、电视机、收音机、电脑、CD机与功放机、音箱之间的连接并传输他们的音频信号；                                                                                                                  4、将线缆的3.5MM插头插入MP3、DVD、电视机、CD机的3.5MM立体声输出口或耳机，另一端的插头插入相应设备的3.5MM立体声插座即可。</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主要技术参数：</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1、品名：6.5单声道转卡侬公信号线</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2、长度：1.5米；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3、线芯数量：2芯；</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4、线芯材质：裸铜线；</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5、护套材质：2；</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6、颜色：黑色；</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7、包装：袋装（1条独立包装）。</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条</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4</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14</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会议室机柜</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标准化模式，以满足各种需求；</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采用高强度钢制可拆装式机柜，最大承载重量达500公斤；</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机柜内设计4条可调节铝型材槽轨；</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底座可着地或安装活动脚轮；</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装配简单，方便搬运。</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标称高度：1.5M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尺寸（高×宽×深）：1408×535×485mm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安装空间：28U</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基本配置：</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底座、支架、顶盖和两个侧板；</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四条可调节铝合金槽轨；</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四个活动脚轮；</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配置22条可调横托、一块前板、一块后板；</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可调节横托条、前面板和托盘供另选购。</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台</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15</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单莲花转卡侬母信号线（1米）</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 xml:space="preserve">主要功能特点：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1、产品规格：1米  OD6mm(直径6毫米)；</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2、产品接头：3.5立体声转双莲花(RCA)；</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3、产品用途：适用于计算机、MP3、DVD、电视机、收音机、电脑、CD机与功放机、音箱之间的连接并传输他们的音频信号；                                                                                                                  4、将线缆的3.5MM插头插入MP3、DVD、电视机、CD机的3.5MM立体声输出口或耳机，另一端的插头插入相应设备的3.5MM立体声插座即可。</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主要技术参数：</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1、品名：单莲花转卡侬母信号线</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2、长度：1米；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3、线芯数量：2芯；</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4、线芯材质：裸铜线；</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5、护套材质：2；</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6、颜色：黑色；</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7、包装：袋装（1条独立包装）。</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条</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 xml:space="preserve">2 </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16</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安装辅材</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网线、水晶头、喇叭线、PVC管、塑料套管、膨胀螺丝扎带、电工胶布等配件</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项</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rPr>
              <w:t>5、保健、观察室设备设施购置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75"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序号</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产品名称</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规格和配置技术参数</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单位</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数量</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rPr>
              <w:t>保健、观察与隔离室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电子人体秤</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采用微电脑控制，可以自动快速测量人的身高、体重。测量结果可以显示、语音报出，是医院、体检站及各种健身场所的理想选择。电压：220V，功率：14W，测量范围：身高：75-199.5cm 分度值：0.5cm，   体重：8.0-160kg  分度值：0.2kg</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台</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2</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灯光对数视力箱</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可作配镜及一般场合的视力检查，光线柔和适中，豪华型外壳采用优质铝型材制作，普通型外壳用冷板喷塑制作，具有美观、大方，可作台式、壁式、挂式三用。电源：AC 220V±10%•50Hz；功率：60W</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个</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3</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办公椅</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规格:网状座背转椅  材料：采用优质透气网状面料。气压棒，升降时基本无声响，五轮脚架：选用33%尼龙架纤维材料一次冲压成型。万向轮椅活动自如，滑动时无杂音。</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张</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4</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诊察床</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钢管喷塑制作【床体大架是全部钢管喷塑制成】【床面采用精致木板外包皮革制成】规格：1800X600X650mm ,床面颜色有黑色、天蓝色、白色 粉红色等可以选.</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张</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5</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医疗废弃物专用桶</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70L（65*34*50CM）,带轮 带脚踩</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只</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2</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6</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喂药箱</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340*220*210mm，材质:铝合金.</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只</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7</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身高坐高计</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台面尺寸38.5*28cm净重：22kg毛重：24kg</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台</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8</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常用消毒液</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3L；浓缩型；</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个</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2</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bdr w:val="single" w:color="000000" w:sz="4" w:space="0"/>
                <w:lang w:val="en-US" w:eastAsia="zh-CN"/>
              </w:rPr>
              <w:drawing>
                <wp:anchor distT="0" distB="0" distL="0" distR="0" simplePos="0" relativeHeight="251659264" behindDoc="0" locked="0" layoutInCell="1" allowOverlap="1">
                  <wp:simplePos x="0" y="0"/>
                  <wp:positionH relativeFrom="column">
                    <wp:posOffset>386715</wp:posOffset>
                  </wp:positionH>
                  <wp:positionV relativeFrom="paragraph">
                    <wp:posOffset>179705</wp:posOffset>
                  </wp:positionV>
                  <wp:extent cx="501015" cy="0"/>
                  <wp:effectExtent l="0" t="0" r="0" b="0"/>
                  <wp:wrapNone/>
                  <wp:docPr id="1026" name="Picture_19"/>
                  <wp:cNvGraphicFramePr/>
                  <a:graphic xmlns:a="http://schemas.openxmlformats.org/drawingml/2006/main">
                    <a:graphicData uri="http://schemas.openxmlformats.org/drawingml/2006/picture">
                      <pic:pic xmlns:pic="http://schemas.openxmlformats.org/drawingml/2006/picture">
                        <pic:nvPicPr>
                          <pic:cNvPr id="1026" name="Picture_19"/>
                          <pic:cNvPicPr/>
                        </pic:nvPicPr>
                        <pic:blipFill>
                          <a:blip r:embed="rId8" cstate="print"/>
                          <a:srcRect/>
                          <a:stretch>
                            <a:fillRect/>
                          </a:stretch>
                        </pic:blipFill>
                        <pic:spPr>
                          <a:xfrm>
                            <a:off x="0" y="0"/>
                            <a:ext cx="501014" cy="0"/>
                          </a:xfrm>
                          <a:prstGeom prst="rect">
                            <a:avLst/>
                          </a:prstGeom>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 xml:space="preserve">9                                                                                                                                                                                                                                                                                       </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配制消毒液的盆或桶</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6L，塑料材制</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盏</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rPr>
              <w:t>10</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听诊器</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双用A型，材质:不锈钢， 产品说明:检测心跳时使用.</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台</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2</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bdr w:val="single" w:color="000000" w:sz="4" w:space="0"/>
                <w:lang w:val="en-US" w:eastAsia="zh-CN"/>
              </w:rPr>
              <w:drawing>
                <wp:anchor distT="0" distB="0" distL="0" distR="0" simplePos="0" relativeHeight="251659264" behindDoc="0" locked="0" layoutInCell="1" allowOverlap="1">
                  <wp:simplePos x="0" y="0"/>
                  <wp:positionH relativeFrom="column">
                    <wp:posOffset>262890</wp:posOffset>
                  </wp:positionH>
                  <wp:positionV relativeFrom="paragraph">
                    <wp:posOffset>179705</wp:posOffset>
                  </wp:positionV>
                  <wp:extent cx="767715" cy="0"/>
                  <wp:effectExtent l="0" t="0" r="0" b="0"/>
                  <wp:wrapNone/>
                  <wp:docPr id="1027" name="Picture_11"/>
                  <wp:cNvGraphicFramePr/>
                  <a:graphic xmlns:a="http://schemas.openxmlformats.org/drawingml/2006/main">
                    <a:graphicData uri="http://schemas.openxmlformats.org/drawingml/2006/picture">
                      <pic:pic xmlns:pic="http://schemas.openxmlformats.org/drawingml/2006/picture">
                        <pic:nvPicPr>
                          <pic:cNvPr id="1027" name="Picture_11"/>
                          <pic:cNvPicPr/>
                        </pic:nvPicPr>
                        <pic:blipFill>
                          <a:blip r:embed="rId8" cstate="print"/>
                          <a:srcRect/>
                          <a:stretch>
                            <a:fillRect/>
                          </a:stretch>
                        </pic:blipFill>
                        <pic:spPr>
                          <a:xfrm>
                            <a:off x="0" y="0"/>
                            <a:ext cx="767715" cy="0"/>
                          </a:xfrm>
                          <a:prstGeom prst="rect">
                            <a:avLst/>
                          </a:prstGeom>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rPr>
              <w:t>11</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血压计</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双刻度显示,测量精确,表面喷塑处理,防腐,耐磨,美观.测量范围:0-300mmHg(0-40kPa),基本误差:±3.75mmHg,灵敏度:≥2.25mmHg.</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个</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2</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rPr>
              <w:t>12</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敷料罐</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不锈钢8CM</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个</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bdr w:val="single" w:color="000000" w:sz="4" w:space="0"/>
                <w:lang w:val="en-US" w:eastAsia="zh-CN"/>
              </w:rPr>
              <w:drawing>
                <wp:anchor distT="0" distB="0" distL="0" distR="0" simplePos="0" relativeHeight="251659264" behindDoc="0" locked="0" layoutInCell="1" allowOverlap="1">
                  <wp:simplePos x="0" y="0"/>
                  <wp:positionH relativeFrom="column">
                    <wp:posOffset>212090</wp:posOffset>
                  </wp:positionH>
                  <wp:positionV relativeFrom="paragraph">
                    <wp:posOffset>179705</wp:posOffset>
                  </wp:positionV>
                  <wp:extent cx="1109345" cy="0"/>
                  <wp:effectExtent l="0" t="0" r="0" b="0"/>
                  <wp:wrapNone/>
                  <wp:docPr id="1028" name="Picture_13"/>
                  <wp:cNvGraphicFramePr/>
                  <a:graphic xmlns:a="http://schemas.openxmlformats.org/drawingml/2006/main">
                    <a:graphicData uri="http://schemas.openxmlformats.org/drawingml/2006/picture">
                      <pic:pic xmlns:pic="http://schemas.openxmlformats.org/drawingml/2006/picture">
                        <pic:nvPicPr>
                          <pic:cNvPr id="1028" name="Picture_13"/>
                          <pic:cNvPicPr/>
                        </pic:nvPicPr>
                        <pic:blipFill>
                          <a:blip r:embed="rId8" cstate="print"/>
                          <a:srcRect/>
                          <a:stretch>
                            <a:fillRect/>
                          </a:stretch>
                        </pic:blipFill>
                        <pic:spPr>
                          <a:xfrm>
                            <a:off x="0" y="0"/>
                            <a:ext cx="1109345" cy="0"/>
                          </a:xfrm>
                          <a:prstGeom prst="rect">
                            <a:avLst/>
                          </a:prstGeom>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13</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剪刀</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不锈钢16CM</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个</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rPr>
              <w:t>14</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镊子</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不锈钢镊子(12.5cm-30cm),4个/套</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支</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bdr w:val="single" w:color="000000" w:sz="4" w:space="0"/>
                <w:lang w:val="en-US" w:eastAsia="zh-CN"/>
              </w:rPr>
              <w:drawing>
                <wp:anchor distT="0" distB="0" distL="0" distR="0" simplePos="0" relativeHeight="251659264" behindDoc="0" locked="0" layoutInCell="1" allowOverlap="1">
                  <wp:simplePos x="0" y="0"/>
                  <wp:positionH relativeFrom="column">
                    <wp:posOffset>284480</wp:posOffset>
                  </wp:positionH>
                  <wp:positionV relativeFrom="paragraph">
                    <wp:posOffset>179705</wp:posOffset>
                  </wp:positionV>
                  <wp:extent cx="752475" cy="0"/>
                  <wp:effectExtent l="0" t="0" r="0" b="0"/>
                  <wp:wrapNone/>
                  <wp:docPr id="1029" name="Picture_17"/>
                  <wp:cNvGraphicFramePr/>
                  <a:graphic xmlns:a="http://schemas.openxmlformats.org/drawingml/2006/main">
                    <a:graphicData uri="http://schemas.openxmlformats.org/drawingml/2006/picture">
                      <pic:pic xmlns:pic="http://schemas.openxmlformats.org/drawingml/2006/picture">
                        <pic:nvPicPr>
                          <pic:cNvPr id="1029" name="Picture_17"/>
                          <pic:cNvPicPr/>
                        </pic:nvPicPr>
                        <pic:blipFill>
                          <a:blip r:embed="rId8" cstate="print"/>
                          <a:srcRect/>
                          <a:stretch>
                            <a:fillRect/>
                          </a:stretch>
                        </pic:blipFill>
                        <pic:spPr>
                          <a:xfrm>
                            <a:off x="0" y="0"/>
                            <a:ext cx="752475" cy="0"/>
                          </a:xfrm>
                          <a:prstGeom prst="rect">
                            <a:avLst/>
                          </a:prstGeom>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rPr>
              <w:t>15</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弯盘</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材质:不锈钢. 产品说明:用来取棉花.处理伤口时等,大号21*14*2.5，中号20*13*2.5，小号19*11*2.5CM，3个/套</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个</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rPr>
              <w:t>16</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软皮尺</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1.5米</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个</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rPr>
              <w:t>17</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药品柜</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一、规格、材质及工艺等要求：</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1、宽：≥850mm；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2、深：≥390mm；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3、高：≥1800mm；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4、柜体材质：冷轧钢板</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5、柜体材质厚度：≥0.6mm</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个</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rPr>
              <w:t>18</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保健资料柜</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一、规格、材质及工艺等要求：</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1、宽：≥850mm；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2、深：≥390mm；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3、高：≥1800mm；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4、柜体材质：冷轧钢板</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5、柜体材质厚度：≥0.6mm</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个</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rPr>
              <w:t>19</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长方盘</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不锈钢， 产品说明:处理孩子伤口时用。</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套</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bdr w:val="single" w:color="000000" w:sz="4" w:space="0"/>
                <w:lang w:val="en-US" w:eastAsia="zh-CN"/>
              </w:rPr>
              <w:drawing>
                <wp:anchor distT="0" distB="0" distL="0" distR="0" simplePos="0" relativeHeight="251659264" behindDoc="0" locked="0" layoutInCell="1" allowOverlap="1">
                  <wp:simplePos x="0" y="0"/>
                  <wp:positionH relativeFrom="column">
                    <wp:posOffset>238760</wp:posOffset>
                  </wp:positionH>
                  <wp:positionV relativeFrom="paragraph">
                    <wp:posOffset>179705</wp:posOffset>
                  </wp:positionV>
                  <wp:extent cx="942975" cy="0"/>
                  <wp:effectExtent l="0" t="0" r="0" b="0"/>
                  <wp:wrapNone/>
                  <wp:docPr id="1030" name="Picture_16_SpCnt_1"/>
                  <wp:cNvGraphicFramePr/>
                  <a:graphic xmlns:a="http://schemas.openxmlformats.org/drawingml/2006/main">
                    <a:graphicData uri="http://schemas.openxmlformats.org/drawingml/2006/picture">
                      <pic:pic xmlns:pic="http://schemas.openxmlformats.org/drawingml/2006/picture">
                        <pic:nvPicPr>
                          <pic:cNvPr id="1030" name="Picture_16_SpCnt_1"/>
                          <pic:cNvPicPr/>
                        </pic:nvPicPr>
                        <pic:blipFill>
                          <a:blip r:embed="rId8" cstate="print"/>
                          <a:srcRect/>
                          <a:stretch>
                            <a:fillRect/>
                          </a:stretch>
                        </pic:blipFill>
                        <pic:spPr>
                          <a:xfrm>
                            <a:off x="0" y="0"/>
                            <a:ext cx="942975" cy="0"/>
                          </a:xfrm>
                          <a:prstGeom prst="rect">
                            <a:avLst/>
                          </a:prstGeom>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lang w:val="en-US" w:eastAsia="zh-CN"/>
              </w:rPr>
            </w:pPr>
            <w:r>
              <w:rPr>
                <w:rFonts w:hint="eastAsia" w:ascii="宋体" w:hAnsi="宋体" w:eastAsia="宋体" w:cs="宋体"/>
                <w:i w:val="0"/>
                <w:iCs w:val="0"/>
                <w:color w:val="auto"/>
                <w:sz w:val="24"/>
                <w:szCs w:val="24"/>
                <w:highlight w:val="none"/>
                <w:u w:val="none"/>
                <w:lang w:val="en-US" w:eastAsia="zh-CN"/>
              </w:rPr>
              <w:t>20</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体温计</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材质：玻璃，水银，使用说明：用来测量体温玻璃体温计最高温度值为42℃，因此在保管或消毒时温度不可超过42℃。由于感温泡的玻璃较薄，应避免过剧震动。</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支</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2</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rPr>
              <w:t>21</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手电筒</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5号电池手电筒</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个</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rPr>
              <w:t>22</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压舌板</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材质：木制．用来观察口腔情况,一次性包装,每包100支</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个</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rPr>
              <w:t>6、体育、游戏设施设备设施购置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36"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序号</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产品名称</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规格和配置技术参数</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单位</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数量</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rPr>
              <w:t>体育、游戏设施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9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攀爬架</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规格：长1200*宽110*高200cm；材质：优质黄花梨。整套产品均经过刨光、砂光、倒角、圆角处理，成品无毛刺、无裂纹，接缝自然，无明显缺口和缝隙；喷漆均匀，表面漆膜平整光亮、无皱皮、发粘和漏漆现象。油漆采用环保净味油漆，三底两面，均为整体喷涂漆面。榫接部分采用环保白乳胶做加固处理，环保要求：甲醛释放≤1.5mg/L。由轮胎爬、攀岩爬、网爬、钻筒、网桥等组成。</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套</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2</w:t>
            </w:r>
          </w:p>
        </w:tc>
        <w:tc>
          <w:tcPr>
            <w:tcW w:w="9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大型玩具1</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规格：长1350*宽200*高360cm；材质：优质黄花梨。整套产品均经过刨光、砂光、倒角、圆角处理，成品无毛刺、无裂纹，接缝自然，无明显缺口和缝隙；喷漆均匀，表面漆膜平整光亮、无皱皮、发粘和漏漆现象。油漆采用环保净味油漆，三底两面，均为整体喷涂漆面。榫接部分采用环保白乳胶做加固处理，环保要求：甲醛释放≤1.5mg/L。两侧2个滑梯，中间由轮胎爬、攀岩爬、网爬组成。</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套</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4</w:t>
            </w:r>
          </w:p>
        </w:tc>
        <w:tc>
          <w:tcPr>
            <w:tcW w:w="9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安吉游戏组合</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规格：34件/套；清水无结疤新西兰松木，进口多层板</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套</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2</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5</w:t>
            </w:r>
          </w:p>
        </w:tc>
        <w:tc>
          <w:tcPr>
            <w:tcW w:w="9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大型积木</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规格：260片，新西兰松木两底一面碳化清漆</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套</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2</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6</w:t>
            </w:r>
          </w:p>
        </w:tc>
        <w:tc>
          <w:tcPr>
            <w:tcW w:w="9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大雪花片</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 xml:space="preserve">1、吹塑工艺一次成型,材质：PE食品级环保塑料、100%安全无毒，颜色艳丽，耐光照不褪色，抗压耐磨，光滑不伤手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2、产品由红、黄、蓝、果绿、粉、浅绿6种颜色组成，规格：50件/箱，大雪花直径：260mm </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套</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7"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7</w:t>
            </w:r>
          </w:p>
        </w:tc>
        <w:tc>
          <w:tcPr>
            <w:tcW w:w="9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两轮平衡车</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规格:12寸；一体轴承；带安全帽护膝；</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辆</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30</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8</w:t>
            </w:r>
          </w:p>
        </w:tc>
        <w:tc>
          <w:tcPr>
            <w:tcW w:w="9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三轮车</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规格：83*58*65cm镀锌钢管（直径20mm，壁厚1.5mm，主架方管3cm*6cm，橡胶耐磨轮，牢固耐用，软胶握把，柔软舒适，防滑脚踏，静电喷塑，三层环保烤漆，不带靠背</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辆</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30</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9</w:t>
            </w:r>
          </w:p>
        </w:tc>
        <w:tc>
          <w:tcPr>
            <w:tcW w:w="9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独轮车手推车</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产品规格：92*40*40cm；颜色：红色、黄色，材质：高碳钢，环保塑料，净重：6kg；承重：75kg；年龄：2-8岁</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辆</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16</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12</w:t>
            </w:r>
          </w:p>
        </w:tc>
        <w:tc>
          <w:tcPr>
            <w:tcW w:w="9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垫子</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规格：200x100x10cm；防水布制；颜色：军绿、红色、蓝色三色可选</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套</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6</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13</w:t>
            </w:r>
          </w:p>
        </w:tc>
        <w:tc>
          <w:tcPr>
            <w:tcW w:w="9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独木桥</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小中大各1套；规格：380*18*29cm/套；规格：直径215*19*21cm/套；规格：820*19*21cm/套；产品采用吹塑工艺一次成型，材料无毒环保、色彩鲜丽适合幼儿园使用。</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套</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3</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bdr w:val="single" w:color="000000" w:sz="4" w:space="0"/>
                <w:lang w:val="en-US" w:eastAsia="zh-CN"/>
              </w:rPr>
              <w:drawing>
                <wp:anchor distT="0" distB="0" distL="0" distR="0" simplePos="0" relativeHeight="251659264" behindDoc="0" locked="0" layoutInCell="1" allowOverlap="1">
                  <wp:simplePos x="0" y="0"/>
                  <wp:positionH relativeFrom="column">
                    <wp:posOffset>136525</wp:posOffset>
                  </wp:positionH>
                  <wp:positionV relativeFrom="paragraph">
                    <wp:posOffset>454660</wp:posOffset>
                  </wp:positionV>
                  <wp:extent cx="645795" cy="0"/>
                  <wp:effectExtent l="0" t="0" r="0" b="0"/>
                  <wp:wrapNone/>
                  <wp:docPr id="1031" name="Picture_138"/>
                  <wp:cNvGraphicFramePr/>
                  <a:graphic xmlns:a="http://schemas.openxmlformats.org/drawingml/2006/main">
                    <a:graphicData uri="http://schemas.openxmlformats.org/drawingml/2006/picture">
                      <pic:pic xmlns:pic="http://schemas.openxmlformats.org/drawingml/2006/picture">
                        <pic:nvPicPr>
                          <pic:cNvPr id="1031" name="Picture_138"/>
                          <pic:cNvPicPr/>
                        </pic:nvPicPr>
                        <pic:blipFill>
                          <a:blip r:embed="rId8" cstate="print"/>
                          <a:srcRect/>
                          <a:stretch>
                            <a:fillRect/>
                          </a:stretch>
                        </pic:blipFill>
                        <pic:spPr>
                          <a:xfrm>
                            <a:off x="0" y="0"/>
                            <a:ext cx="645795" cy="0"/>
                          </a:xfrm>
                          <a:prstGeom prst="rect">
                            <a:avLst/>
                          </a:prstGeom>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2"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14</w:t>
            </w:r>
          </w:p>
        </w:tc>
        <w:tc>
          <w:tcPr>
            <w:tcW w:w="9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山洞</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采用进口工程塑料，滚塑工艺，4个/套</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套</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2</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4"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17</w:t>
            </w:r>
          </w:p>
        </w:tc>
        <w:tc>
          <w:tcPr>
            <w:tcW w:w="9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呼啦圈</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小中大各15个，带海绵按摩球</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个</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45</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19</w:t>
            </w:r>
          </w:p>
        </w:tc>
        <w:tc>
          <w:tcPr>
            <w:tcW w:w="9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篮球</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中30个，4#</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PU贴皮；采用橡胶中胎，表面筋沟采用漆沟处理，表层加厚PU皮，纹理细致，吸湿排汗，采用加厚丁基内胆，所密防护科支，保气性能好。</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个</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30</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20</w:t>
            </w:r>
          </w:p>
        </w:tc>
        <w:tc>
          <w:tcPr>
            <w:tcW w:w="9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足球</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中30个，3#、4#、5#；采用机缝工艺，防爆绕线内胆</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个</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30</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21</w:t>
            </w:r>
          </w:p>
        </w:tc>
        <w:tc>
          <w:tcPr>
            <w:tcW w:w="9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小皮球</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规格：16cm；0.3cm球材厚度，高含量橡胶表皮，大颗料防滑耐磨，柔软触感，耐磨耐打。</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个</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30</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18"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22</w:t>
            </w:r>
          </w:p>
        </w:tc>
        <w:tc>
          <w:tcPr>
            <w:tcW w:w="9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羊角球</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直径：≥45cm，因羊角球身上长两个手柄而得名,用高挡PVC材质设 计的一种最新型、造型可爱美观、颜色艳丽、环保安全、无毒无味、又耐磨运动器材。适用于儿童玩耍锻炼的造型球，幼儿园也相当流行，羊角球具有坐、骑、跳、拍等功能,使用安全可靠，有助于锻炼孩子的腿部力量和掌握协调和平衡能力，球弹性好，在跳跃过程中，由于增强功能.体力.耐力.平衡力，有益孩子一生的运动。</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个</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5</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rPr>
              <w:t>7、厨房配置设备设施购置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15"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序号</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产品名称</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规格和配置技术参数</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数量</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单位</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rPr>
              <w:t>A、收货区/仓库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A01</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全铁皮更衣柜</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bdr w:val="single" w:color="000000" w:sz="4" w:space="0"/>
                <w:lang w:val="en-US" w:eastAsia="zh-CN"/>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8255" cy="228600"/>
                  <wp:effectExtent l="0" t="0" r="10795" b="0"/>
                  <wp:wrapNone/>
                  <wp:docPr id="1032" name="图片_1_SpCnt_3"/>
                  <wp:cNvGraphicFramePr/>
                  <a:graphic xmlns:a="http://schemas.openxmlformats.org/drawingml/2006/main">
                    <a:graphicData uri="http://schemas.openxmlformats.org/drawingml/2006/picture">
                      <pic:pic xmlns:pic="http://schemas.openxmlformats.org/drawingml/2006/picture">
                        <pic:nvPicPr>
                          <pic:cNvPr id="1032" name="图片_1_SpCnt_3"/>
                          <pic:cNvPicPr/>
                        </pic:nvPicPr>
                        <pic:blipFill>
                          <a:blip r:embed="rId9" cstate="print"/>
                          <a:srcRect/>
                          <a:stretch>
                            <a:fillRect/>
                          </a:stretch>
                        </pic:blipFill>
                        <pic:spPr>
                          <a:xfrm>
                            <a:off x="0" y="0"/>
                            <a:ext cx="8255" cy="228600"/>
                          </a:xfrm>
                          <a:prstGeom prst="rect">
                            <a:avLst/>
                          </a:prstGeom>
                          <a:ln>
                            <a:noFill/>
                          </a:ln>
                        </pic:spPr>
                      </pic:pic>
                    </a:graphicData>
                  </a:graphic>
                </wp:anchor>
              </w:drawing>
            </w:r>
            <w:r>
              <w:rPr>
                <w:rFonts w:hint="eastAsia" w:ascii="宋体" w:hAnsi="宋体" w:eastAsia="宋体" w:cs="宋体"/>
                <w:i w:val="0"/>
                <w:iCs w:val="0"/>
                <w:color w:val="auto"/>
                <w:kern w:val="0"/>
                <w:sz w:val="24"/>
                <w:szCs w:val="24"/>
                <w:highlight w:val="none"/>
                <w:u w:val="none"/>
                <w:bdr w:val="single" w:color="000000" w:sz="4" w:space="0"/>
                <w:lang w:val="en-US" w:eastAsia="zh-CN"/>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8255" cy="228600"/>
                  <wp:effectExtent l="0" t="0" r="10795" b="0"/>
                  <wp:wrapNone/>
                  <wp:docPr id="1033" name="图片_2_SpCnt_3"/>
                  <wp:cNvGraphicFramePr/>
                  <a:graphic xmlns:a="http://schemas.openxmlformats.org/drawingml/2006/main">
                    <a:graphicData uri="http://schemas.openxmlformats.org/drawingml/2006/picture">
                      <pic:pic xmlns:pic="http://schemas.openxmlformats.org/drawingml/2006/picture">
                        <pic:nvPicPr>
                          <pic:cNvPr id="1033" name="图片_2_SpCnt_3"/>
                          <pic:cNvPicPr/>
                        </pic:nvPicPr>
                        <pic:blipFill>
                          <a:blip r:embed="rId10" cstate="print"/>
                          <a:srcRect/>
                          <a:stretch>
                            <a:fillRect/>
                          </a:stretch>
                        </pic:blipFill>
                        <pic:spPr>
                          <a:xfrm>
                            <a:off x="0" y="0"/>
                            <a:ext cx="8255" cy="228600"/>
                          </a:xfrm>
                          <a:prstGeom prst="rect">
                            <a:avLst/>
                          </a:prstGeom>
                          <a:ln>
                            <a:noFill/>
                          </a:ln>
                        </pic:spPr>
                      </pic:pic>
                    </a:graphicData>
                  </a:graphic>
                </wp:anchor>
              </w:drawing>
            </w:r>
            <w:r>
              <w:rPr>
                <w:rFonts w:hint="eastAsia" w:ascii="宋体" w:hAnsi="宋体" w:eastAsia="宋体" w:cs="宋体"/>
                <w:i w:val="0"/>
                <w:iCs w:val="0"/>
                <w:color w:val="auto"/>
                <w:kern w:val="0"/>
                <w:sz w:val="24"/>
                <w:szCs w:val="24"/>
                <w:highlight w:val="none"/>
                <w:u w:val="none"/>
                <w:lang w:val="en-US" w:eastAsia="zh-CN"/>
              </w:rPr>
              <w:t>850*420*1800mm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材质：全铁皮更衣柜</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1&gt;板材厚度0.8mm;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2&gt;每个门带锁,有标签位,有透气孔。</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2</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台</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A02</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半球型灭蝇灯</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500*80*280mm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功率：2*15W</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毛重：2.3KG</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有效范围：20-50㎡</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2</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台</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A03</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节能环保型风幕机</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bdr w:val="single" w:color="000000" w:sz="4" w:space="0"/>
                <w:lang w:val="en-US" w:eastAsia="zh-CN"/>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8255" cy="290195"/>
                  <wp:effectExtent l="0" t="0" r="10795" b="14605"/>
                  <wp:wrapNone/>
                  <wp:docPr id="1034" name="图片_3_SpCnt_3"/>
                  <wp:cNvGraphicFramePr/>
                  <a:graphic xmlns:a="http://schemas.openxmlformats.org/drawingml/2006/main">
                    <a:graphicData uri="http://schemas.openxmlformats.org/drawingml/2006/picture">
                      <pic:pic xmlns:pic="http://schemas.openxmlformats.org/drawingml/2006/picture">
                        <pic:nvPicPr>
                          <pic:cNvPr id="1034" name="图片_3_SpCnt_3"/>
                          <pic:cNvPicPr/>
                        </pic:nvPicPr>
                        <pic:blipFill>
                          <a:blip r:embed="rId11" cstate="print"/>
                          <a:srcRect/>
                          <a:stretch>
                            <a:fillRect/>
                          </a:stretch>
                        </pic:blipFill>
                        <pic:spPr>
                          <a:xfrm>
                            <a:off x="0" y="0"/>
                            <a:ext cx="8255" cy="290195"/>
                          </a:xfrm>
                          <a:prstGeom prst="rect">
                            <a:avLst/>
                          </a:prstGeom>
                          <a:ln>
                            <a:noFill/>
                          </a:ln>
                        </pic:spPr>
                      </pic:pic>
                    </a:graphicData>
                  </a:graphic>
                </wp:anchor>
              </w:drawing>
            </w:r>
            <w:r>
              <w:rPr>
                <w:rFonts w:hint="eastAsia" w:ascii="宋体" w:hAnsi="宋体" w:eastAsia="宋体" w:cs="宋体"/>
                <w:i w:val="0"/>
                <w:iCs w:val="0"/>
                <w:color w:val="auto"/>
                <w:kern w:val="0"/>
                <w:sz w:val="24"/>
                <w:szCs w:val="24"/>
                <w:highlight w:val="none"/>
                <w:u w:val="none"/>
                <w:lang w:val="en-US" w:eastAsia="zh-CN"/>
              </w:rPr>
              <w:t>1500*160*200mm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电压：220v 125w</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材质：整机不锈钢+塑料外壳</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电机：优质节能电机</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台</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A04</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节能环保型风幕机</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900*160*200mm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电压：220v 125w</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材质：整机不锈钢+塑料外壳</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电机：优质节能电机</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台</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A05</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不锈钢四层栅格层架</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1200*500*1550mm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材质：SUS201优质不锈钢</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1〉四条立柱采用方通38X38X1.0mm；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2〉四层存放板采用1.0mm不锈钢。</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3&gt;采用不锈钢可调子弹脚</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2</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台</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A08</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不锈钢双星水池连台带靠背</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1800*600*800*150mm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材质：SUS201优质不锈钢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1&gt;台面板用1.2mm不锈钢</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2&gt;星盆斗450×450×280用1.0mm不锈钢</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3&gt;支架、通脚38X38 X 1.0mm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4&gt;不锈钢可调子弹脚</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5&gt;加强筋采用1.0mm不锈钢板材</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6&gt;软管接驳</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台</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A09</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恒温食品专用留样冰箱</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540*530*1740mm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材质：内壁不锈钢材质，食品级专用留样冰箱，恒温保鲜</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温度范围：0~10℃</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台</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rPr>
              <w:t>B、加工间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B01</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不锈钢单星水池带靠背</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900*700*800+150mm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材质：201优质不锈钢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1&gt;台面板用1.2mm不锈钢</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2&gt;星盆斗700×450×280用1.0mm不锈钢</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3&gt;支架、通脚38X38 X 1.0mm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4&gt;不锈钢可调子弹脚</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5&gt;加强筋采用1.0mm不锈钢板材</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6&gt;软管接驳</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台</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B01a</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不锈钢双星水池带靠背</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1200*700*800+150mm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材质：SUS201优质不锈钢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1&gt;台面板用1.2mm不锈钢</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2&gt;星盆斗450×450×280用1.0mm不锈钢</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3&gt;支架、通脚38X38 X 1.0mm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4&gt;不锈钢可调子弹脚</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5&gt;加强筋采用1.0mm不锈钢板材</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6&gt;软管接驳</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台</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B02</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不锈钢挂墙单层板</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1500*350*100mm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材质：SUS201优质不锈钢</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1&gt;采用1.0mm不锈钢板制作 </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台</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B04</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不锈钢双层平板工作台带靠背</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900*700*800+150mm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材质：SUS201优质不锈钢</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1&gt;台面板用1.2mm不锈钢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2&gt;层板采用1.0mm不锈钢</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3&gt;采用不锈钢承重可调子弹脚</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4&gt;加强筋采用1.0mm不锈钢板材</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5&gt;台面内嵌木板。</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台</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B05</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不锈钢双层平板工作台</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1800*700*800mm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材质：SUS201优质不锈钢</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1&gt;台面板用1.2mm不锈钢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2&gt;层板采用1.0mm不锈钢</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3&gt;采用不锈钢承重可调子弹脚</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4&gt;加强筋采用1.0mm不锈钢板材</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5&gt;台面内嵌木板。</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3</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台</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B06</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不锈钢挂墙单层板</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1200*350*100mm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材质：SUS201优质不锈钢</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1&gt;采用1.0mm不锈钢板制作 </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台</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5"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B07</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全不锈钢绞切两用机</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（刀俎可拆卸式）</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420*590*710mm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电机功率：1.1+1.1kw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绞切转速：切肉473/r  绞肉425/r  额定电压：220v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工作效率：肉片400kg/h 肉丝200kg/h 绞肉220kg/h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规格：切肉3mm 6mm 绞肉φ62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整机重量：76kg</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台</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B08</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不锈钢双星盆带靠背</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1500*700*800+150mm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材质：SUS201优质不锈钢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1&gt;台面板用1.2mm不锈钢</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2&gt;星盆斗450×450×280用1.0mm不锈钢</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3&gt;支架、通脚38X38 X 1.0mm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4&gt;不锈钢可调子弹脚</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5&gt;加强筋采用1.0mm不锈钢板材</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6&gt;软管接驳</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台</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rPr>
              <w:t>B09</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不锈钢单星盆连台带靠背</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1200*700*950mm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材质：SUS201优质不锈钢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1&gt;台面板用1.2mm不锈钢</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2&gt;星盆斗450×450×280用1.0mm不锈钢</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3&gt;支架、通脚38X38 X 1.0mm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4&gt;不锈钢可调子弹脚</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5&gt;加强筋采用1.0mm不锈钢板材</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6&gt;软管接驳</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台</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B10</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智能型四门双机双温冰箱</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1200*715*1895mm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制冷温度：0～+10/－12～0℃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电压220v50Hz，</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功率：390W，</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容积836L,采用优质双压缩机组，内置蒸发器采用优质铜管,冰柜内外壁全采用优质不锈钢制造；坚固耐用、制冷效果好，采用双温控7档调节。</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台</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B11</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不锈钢四层栅格层架</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1200*500*1550mm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材质：SUS201优质不锈钢</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1〉四条立柱采用方通38X38X1.0mm；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2〉四层存放板采用1.0mm不锈钢。</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3&gt;采用不锈钢可调子弹脚</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台</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B12</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瓜果切丝切片机</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340*410*780</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功率：1.1kw</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刀盘转速：435r/min</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刀盘直径：300mm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整机重量：43kg</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台</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8"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rPr>
              <w:t>C、主厨房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C01</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不锈钢炉拼台</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300*1150*800+400mm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材质：SUS201优质不锈钢</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1&gt;采用1.0mm不锈钢板制作</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台</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C02</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电磁双头单尾小炒炉</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1800*1150*800+400mm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1.一体成型无缝的整体面板光滑、坚固、美观、易清洁，连体式进水结构，操作方便；</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2.大功率、大面积感应区域，速度快，能效高；</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3.耐磨损，耐高温的凹面微晶板，可牢靠放置炒锅；</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4.先进的电磁感应加热技术，让锅具直接快速均匀的受热，智能抛锅零等待；</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5.极高的加热性能，快速的探锅功能，只有锅具进入感应区域才能进行加热，大大的降低了能耗，以及消耗在工作场所的热量；</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6.国家专利双层并绕线圈盘，锅体受热强劲均匀，加热盲区小；</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7.多重立体防辐射外壳屏蔽设计，防防止磁场泄漏；</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8.国家IP44防护等级安全保护，18重漏电保护，使用更放心。</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9.采用真正的全封闭设计，做到真正防水、防油烟，防蟑螂、防老鼠等。</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台</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C03</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电热双层不沾底汤粥桶</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650*650*1060mm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电源：380V　50Hz</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功率：12kw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工艺：全不锈钢炉体，微电脑控制。双保险装置，缺水断电保护。全方位包火设计，导热性能优良，热利用率达95%以上，桶身整体发泡，快速沸腾，持久保温。</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台</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C04</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不锈钢智能型二十四盘蒸饭车</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1430*640*1550mm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额定电压：380V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额定功率：24Kw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额定频率：50Hz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产品特点：节能、安全、操作简便、自动进水、缺水断电、防干烧、使用成本低。</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台</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C04a</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不锈钢蒸饭盘</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600*400*48mm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材质：SUS201优质不锈钢，厚度1.2mm</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24</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个</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C05</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不锈钢炉拼台</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300*850*800mm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材质：SUS201优质不锈钢</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1&gt;采用1.0mm不锈钢板制作</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台</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C07</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不锈钢单星盆连台带靠背</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1200*800*950mm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材质：SUS201优质不锈钢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1&gt;台面板用1.2mm不锈钢</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2&gt;星盆斗450×450×280用1.0mm不锈钢</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3&gt;支架、通脚38X38 X 1.0mm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4&gt;不锈钢可调子弹脚</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5&gt;加强筋采用1.0mm不锈钢板材</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6&gt;软管接驳</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台</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C08</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不锈钢双层平板工作台</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1800*800*800mm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材质：SUS201优质不锈钢</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1&gt;台面板用1.2mm不锈钢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2&gt;层板采用1.0mm不锈钢</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3&gt;采用不锈钢承重可调子弹脚</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4&gt;加强筋采用1.0mm不锈钢板材</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5&gt;台面内嵌木板。</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台</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C09</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不锈钢四层栅格层架</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1200*500*1550mm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材质：SUS201优质不锈钢</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1〉四条立柱采用方通38X38X1.0mm；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2〉四层存放板采用1.0mm不锈钢。</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3&gt;采用不锈钢可调子弹脚</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台</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rPr>
              <w:t>D、备餐间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D01</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不锈钢双层平板工作台</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1500*700*800mm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材质：SUS201优质不锈钢</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1&gt;台面板用1.2mm不锈钢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2&gt;层板采用1.0mm不锈钢</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3&gt;采用不锈钢承重可调子弹脚</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4&gt;加强筋采用1.0mm不锈钢板材</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5&gt;台面内嵌木板。</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台</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D02</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不锈钢双层平板工作台</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1500*700*800mm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材质：SUS201优质不锈钢</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1&gt;台面板用1.2mm不锈钢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2&gt;层板采用1.0mm不锈钢</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3&gt;采用不锈钢承重可调子弹脚</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4&gt;加强筋采用1.0mm不锈钢板材</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5&gt;台面内嵌木板。</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台</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D05</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不锈钢洗手星盆</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500*450*300+80mm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材质：SUS201优质不锈钢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1&gt;台面板用1.2mm不锈钢</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2&gt;星盆斗用1.0mm不锈钢</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3&gt;支架、通脚38X38 X 1.0mm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4&gt;不锈钢可调子弹脚</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5&gt;加强筋采用1.0mm不锈钢板材</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6&gt;软管接驳</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2</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台</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7"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D06</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感应水龙头</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160*135*55mm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材质：优质201不锈钢</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工艺：感应式</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2</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个</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D07</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清洁烘手烘干机</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240*205*256mm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功率：1500W</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材质：环保塑料外壳</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容易操作，使用方便</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2</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个</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rPr>
              <w:t>E、洗碗间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rPr>
              <w:t>E01</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rPr>
              <w:t>不锈钢四层栅格层架</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rPr>
              <w:t>1200*500*1550mm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材质：SUS201优质不锈钢</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1〉四条立柱采用方通38X38X1.0mm；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2〉四层存放板采用1.0mm不锈钢。</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3&gt;采用不锈钢可调子弹脚</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rPr>
              <w:t>1</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rPr>
              <w:t>台</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rPr>
              <w:t>E02</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rPr>
              <w:t>不锈钢三星水池带靠背</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rPr>
              <w:t>1800*700*800*150mm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材质：SUS201优质不锈钢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1&gt;台面板用1.2mm不锈钢</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2&gt;星盆斗500×500×280用1.0mm不锈钢</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3&gt;支架、通脚38X38 X 1.0mm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4&gt;不锈钢可调子弹脚</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5&gt;加强筋采用1.0mm不锈钢板材</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6&gt;软管接驳</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rPr>
              <w:t>1</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rPr>
              <w:t>台</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rPr>
              <w:t>E03</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rPr>
              <w:t>6kw开水器连底座</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rPr>
              <w:t>420*280*760mm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1.全201不锈钢材料制作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2.全自动机械延时进水控制，保障使用100％开水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3.整体灌注聚氨酯发泡保温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4.高频不锈钢连接件焊接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5.全自动控制，缺水断电，防干烧保护系统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6.获得国家产品节能认证</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rPr>
              <w:t>1</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rPr>
              <w:t>台</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rPr>
              <w:t>E04</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rPr>
              <w:t>双门热风循环商用消毒柜</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rPr>
              <w:t>1310*660*1900</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电压：220V~50Hz</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功率：4.4kw 容量：720L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产品说明：1.整体优质不锈钢制造，豪华美观，清洁卫生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2.节能、安全、操作简便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3.高温热风360°循环杀菌，立体高温循环，实现彻底杀菌，健康无忧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4.特大消毒保洁储物空间。</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rPr>
              <w:t>2</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rPr>
              <w:t>台</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rPr>
              <w:t>E05</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rPr>
              <w:t>不锈钢单星水池带靠背</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rPr>
              <w:t>1000*600*800+150mm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材质：201优质不锈钢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1&gt;台面板用1.2mm不锈钢</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2&gt;星盆斗700×450×280用1.0mm不锈钢</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3&gt;支架、通脚38X38 X 1.0mm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4&gt;不锈钢可调子弹脚</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5&gt;加强筋采用1.0mm不锈钢板材</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6&gt;软管接驳</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rPr>
              <w:t>1</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rPr>
              <w:t>台</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rPr>
              <w:t>F、抽排烟部分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F01</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不锈钢主厨油烟净化一体机</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2200*1300*800mm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材质：SUS201优质不锈钢</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1.名称：静电复合式油烟净化一体机</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2.规格：2200*1300*800</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3.电机输入功率：3KW</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4.风量：8500m3/h</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5.电压：380v</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6.油烟净化一体机工作原理。开启风机开关，风机运行，油烟通过风机吸力，吸入设备。 净化过程，首先一级净化进入隔栅油烟分离板，碰撞过滤油污， 经过二级净化 高速物理屏蔽拦截器，可有效甩油率高达百分之80以上。经过三级净化防火隔油净化板 过滤油污，有效防火阻燃。经过第四级净化 活性炭吸附气味处理，有效去除异味。经过第五级 高压静电净化，第六级 高压静电净化。 经过6级净化排出的气体达到油烟排放量低于1.0，到达国家要求最高标准。有效净化率 百分之96。实现餐饮业油烟零污染。</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7.保修期:提供调试及至少两年免费上门维修服务</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8.其他:含税金、运输、安装等费用</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台</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F02</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不锈钢主厨油烟净化一体机</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2000*1300*800mm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材质：SUS201优质不锈钢</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1.名称：静电复合式油烟净化一体机</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2.规格：2000*1300*800</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3.电机输入功率：3KW</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4.风量：8500m3/h</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5.电压：380v</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6.油烟净化一体机工作原理。开启风机开关，风机运行，油烟通过风机吸力，吸入设备。 净化过程，首先一级净化进入隔栅油烟分离板，碰撞过滤油污， 经过二级净化 高速物理屏蔽拦截器，可有效甩油率高达百分之80以上。经过三级净化防火隔油净化板 过滤油污，有效防火阻燃。经过第四级净化 活性炭吸附气味处理，有效去除异味。经过第五级 高压静电净化，第六级 高压静电净化。 经过6级净化排出的气体达到油烟排放量低于1.0，</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到达国家要求最高标准。有效净化率 百分之96。实现餐饮业油烟零污染。</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7.保修期:提供调试及至少两年免费上门维修服务</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8.其他:含税金、运输、安装等费用</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台</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F01</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油烟净化一体机吊装支架</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1100*1350*950mm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材质：6*6号槽钢</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定制产品，现场采用多点焊接，刷三遍防锈漆</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2</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台</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F02</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不锈钢油烟网</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500*500mm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材质：SUS201优质不锈钢</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1〉0.8mm厚不锈钢制作</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4.2</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米</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F01</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不锈钢拼墙板</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500*1170mm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材质：SUS201优质不锈钢</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1〉0.8mm厚不锈钢制作</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4.2</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米</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F02</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原有墙体开孔</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700*700mm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开孔尺寸：700*700mm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不含修复费用，包含垃圾清运等</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2</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项</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F01</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镀锌板法兰吊杆</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700*450mm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材质：国标优质镀锌板</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1〉1.0mm厚，对角折边工艺</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2〉螺纹吊杆10#</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10</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付</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F02</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镀锌板抽排烟烟管</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400*400mm/定制</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材质：镀锌管1.0mm厚</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1〉特点：镀锌钢钣管道，是通风排烟系统中应用最传统、最广泛的产品。镀锌钢钣风管内壁光滑、阻力小、气密性好、承压强度高。钢板风管现场制做方便，与土建工程配合紧密，能适合非常复杂的通风工程。</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2〉制作工艺：角铁法兰风管，共板法兰风管。</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3〉连接工艺：管道内置连接处采用双层优质玻璃胶粘合，防油防水。</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15</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m²</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F01</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镀锌板弯头、三通、变头</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400*400mm/定制</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材质：镀锌管1.0mm厚</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1〉特点：镀锌钢钣管道，是通风排烟系统中应用最传统、最广泛的产品。镀锌钢钣风管内壁光滑、阻力小、气密性好、承压强度高。钢板风管现场制做方便，与土建工程配合紧密，能适合非常复杂的通风工程。</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2〉制作工艺：角铁法兰风管，共板法兰风管。</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3〉连接工艺：管道内置连接处采用双层优质玻璃胶粘合，防油防水。</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10</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m²</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F02</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风管辅助材料</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25㎡</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材质：槽钢4-6#槽钢</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角铁3*3，防火玻璃胶，切割片等配套安装材料；</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项</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1"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F01</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主厨区鲜风</w:t>
            </w:r>
          </w:p>
        </w:tc>
        <w:tc>
          <w:tcPr>
            <w:tcW w:w="368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1"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F02</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洗碗间轴流风机</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550W/220V</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材质：201优质不锈钢  铝制外壳</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台</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F01</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送鲜风机启动装置</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180*150*150mm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参数：380V10A保护器</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套</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F02</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槽钢风机支架</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600*800*900mm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4*4号槽钢角铁，现场定制</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台</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F01</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防火帆布软接</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600*400*300mm防火软接</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项</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F02</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不锈钢万向调风嘴</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规格：300*200mm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材质：201不锈钢，厚度1.0mm</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8</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个</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F01</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镀锌板抽排风管</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400*300mm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材质：镀锌管1.0mm厚</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1〉特点：镀锌钢钣管道，是通风排烟系统中应用最传统、最广泛的产品。镀锌钢钣风管内壁光滑、阻力小、气密性好、承压强度高。钢板风管现场制做方便，与土建工程配合紧密，能适合非常复杂的通风工程。</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2〉制作工艺：角铁法兰风管，共板法兰风管。</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3〉连接工艺：管道内置连接处采用双层优质玻璃胶粘合，防油防水。</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20</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F02</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镀锌板风管弯头变头</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400*300mm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材质：镀锌管1.0mm厚</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1〉特点：镀锌钢钣管道，是通风排烟系统中应用最传统、最广泛的产品。镀锌钢钣风管内壁光滑、阻力小、气密性好、承压强度高。钢板风管现场制做方便，与土建工程配合紧密，能适合非常复杂的通风工程。</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2〉制作工艺：角铁法兰风管，共板法兰风管。</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3〉连接工艺：管道内置连接处采用双层优质玻璃胶粘合，防油防水。</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15</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F01</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风管辅助材料</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35㎡</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支撑架、槽钢、角铁角、码、玻璃胶等材料</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项</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F02</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角铁法兰吊杆</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400*300mm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材质：国标优质镀锌板</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1〉1.0mm厚，对角折边工艺</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2〉螺纹吊杆10#</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5</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付</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F01</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墙体开孔打墙洞</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500*500mm/不含修复</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开孔尺寸：500*500mm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不含修复费用，包含垃圾清运等</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2</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个</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F02</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铝合金防雨百叶窗</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500*500mm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规格：500*500*50mm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材质：铝合金外壳，厚度1.0mm</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个</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7"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rPr>
              <w:t>I、餐厨用具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I01</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食品级优质不锈钢餐盘</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280*221*40mm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材质：优质304不锈钢</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1.无磁不生锈 重量500g</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2.产品工艺：加厚卷边设计 光滑不伤手 电解工艺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3.产品颜色：不锈钢色</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280</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个</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I02</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食品级优质不锈钢餐具</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（教师用）</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餐盘：355*265*26mm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餐碗：120mm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合金筷：240mm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汤勺：160mm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材质：优质201不锈钢</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1.无磁不生锈</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2.产品工艺：加厚卷边设计 光滑不伤手 电解工艺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3.产品颜色：不锈钢色</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40</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套</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I03</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食品级优质不锈钢汤碗</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直径：110mm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材质：优质201不锈钢</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1.无磁不生锈</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2.产品工艺：加厚卷边设计 光滑不伤手 电解工艺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3.产品颜色：不锈钢色</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280</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个</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I04</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食品级优质不锈钢汤匙</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长度：160mm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材质：优质201不锈钢</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1.无磁不生锈 长度16cm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2.产品工艺：加厚卷边设计 光滑不伤手 电解工艺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3.产品颜色：不锈钢色</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280</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个</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I05</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不锈钢1/1份数盆连盖</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530*325*10mm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材质：201不锈钢 1/1份</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1.无磁不生锈</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2.产品工艺：加厚卷边设计一体成型 不易变形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3.配不锈钢防尘盖</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光滑不伤手 电解工艺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4.产品颜色：不锈钢色</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5</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套</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I06</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不锈钢1/2份数盆连盖</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325*265*10mm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材质：304不锈钢 1/2份</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1.无磁不生锈</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2.产品工艺：加厚卷边设计一体成型 不易变形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3.配不锈钢防尘盖</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光滑不伤手 电解工艺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4.产品颜色：不锈钢色</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15</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套</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I07</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不锈钢加厚饭勺</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长度：300mm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材质：优质201不锈钢</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1.无磁不生锈</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2.产品颜色：不锈钢色</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10</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个</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I08</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不锈钢加长打汤勺</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长度：450mm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材质：优质201不锈钢</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1.无磁不生锈</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2.产品颜色：不锈钢色</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10</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个</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I09</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耐高温合金筷子</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240mm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材质：合金材质</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1.耐高温，耐磨损 尺寸：240mm</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20</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双</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I10</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优质不锈钢手提桶带盖</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250*250mm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材质：优质201不锈钢</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1.无磁不生锈</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2.产品工艺：一体成型圆边设计 精选无磁圆钢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3.产品颜色：不锈钢色</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18</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个</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I11</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优质不锈钢长柄炒勺</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160mm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材质：优质201不锈钢</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1.无磁不生锈</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2.产品工艺：加厚型 光滑不伤手 电解工艺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3.产品颜色：不锈钢色</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2</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个</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I12</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食品级材质塑料菜框</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450*300*130mm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材质：食品级塑料材质</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1.全新熟胶pp原料 筐壁厚实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2.外形耐磨实用 无毛刺 实用方便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3.超大容量 多种颜色可选</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6</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个</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I13</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食品级材质塑料菜框</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300*200*130mm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材质：食品级塑料材质</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1.全新熟胶pp原料 筐壁厚实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2.外形耐磨实用 无毛刺 实用方便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3.超大容量 多种颜色可选</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6</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个</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I14</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塑料大白桶</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450*450*760mm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材质满足国际HACCP食品安全控制体系</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2</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个</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I15</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精钢1号桑刀</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刃长206mm*宽度86mm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材质：精钢</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规格：1号</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尺寸：刃长206mm*宽度86mm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净重量：250g 刀背厚度：1.8mm</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5</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把</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I16</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精钢2号片刀</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刃长226mm*宽度97mm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材质：精钢</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规格：1号</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尺寸：刃长226mm*宽度97mm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净重量：917g 刀背厚度：2.0mm</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2</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把</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I17</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精钢1号钢刀</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刃长215mm*宽度92mm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材质：精钢</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规格：1号</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尺寸：刃长215mm*宽度92mm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净重量：290g 刀背厚度：2.0mm</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2</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把</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I18</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精钢1号炒勺</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长度：450mm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材质：优质201不锈钢</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1.无磁不生锈</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2.产品工艺：加厚型 光滑不伤手 电解工艺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3.产品颜色：不锈钢色</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10</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个</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I19</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不锈钢1号苏铲</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长度：450mm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材质：优质201不锈钢</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1.无磁不生锈</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2.产品工艺：加厚型 光滑不伤手 电解工艺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3.产品颜色：不锈钢色</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2</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个</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I20</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优质不锈钢盆</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直径：400mm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材质：优质不锈钢</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1.无磁不生锈</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2.产品工艺：卷边设计 光滑不伤手 电解工艺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3.产品颜色：不锈钢色</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2</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个</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I21</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优质不锈钢盆</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直径：600mm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材质：优质不锈钢</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1.无磁不生锈</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2.产品工艺：卷边设计 光滑不伤手 电解工艺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3.产品颜色：不锈钢色</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5</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个</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I22</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精钢1号片皮刀</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550*350*50mm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材质：优质不锈钢</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净重量：230g 刀背厚度：2.0mm</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5</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把</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I23</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不锈钢留样罐连盖</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67*90mm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环保食品级材质</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材质：优质不锈钢</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1.无磁不生锈</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2.产品工艺：卷边设计 光滑不伤手 电解工艺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3.产品颜色：不锈钢色</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50</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个</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I24</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特厚铁锅</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锅口直径：500mm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材质：特厚铁锅，直径：500mm材质：优质生铁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加厚加深</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2</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个</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I25</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不锈钢饭勺</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长度：300mm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环保食品级材质</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材质：优质不锈钢</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1.无磁不生锈</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2.产品工艺：卷边设计 光滑不伤手 电解工艺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3.产品颜色：不锈钢色</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15</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个</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I26</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食品级材质周转箱</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600*400*230mm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材质：食品接触及pp塑料</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1.冷藏密封保鲜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2.抗压耐摔 环保无毒 透光性好</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5</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个</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I27</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食品级材质塑料砧板</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400mm*100mm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材质：优质食品级PE菜板</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1.表面防滑处理 不开裂 不吸水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2.耐温参数：-20℃~80℃</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3.产品用途：切菜、剁肉等</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2</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个</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I28</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食品级材质塑料砧板</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300*30mm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材质：优质食品级PE菜板</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1.表面防滑处理 不开裂 不吸水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2.耐温参数：-20℃~80℃</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3.产品用途：切菜、剁肉等</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5</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个</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I29</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大功率光波炉</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262*452*370mm</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材质：不锈钢外壳</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 xml:space="preserve">功率：700W </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容量：20L</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台</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3"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I30</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大型电饭锅</w:t>
            </w:r>
          </w:p>
        </w:tc>
        <w:tc>
          <w:tcPr>
            <w:tcW w:w="2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2950W/50人用量，21升</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5</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台</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p>
        </w:tc>
      </w:tr>
    </w:tbl>
    <w:p>
      <w:pPr>
        <w:spacing w:line="360" w:lineRule="auto"/>
        <w:rPr>
          <w:b/>
          <w:color w:val="000000"/>
        </w:rPr>
      </w:pPr>
    </w:p>
    <w:p>
      <w:pPr>
        <w:pStyle w:val="129"/>
        <w:ind w:firstLine="0" w:firstLineChars="0"/>
        <w:rPr>
          <w:b/>
          <w:color w:val="000000"/>
          <w:sz w:val="32"/>
          <w:szCs w:val="32"/>
        </w:rPr>
      </w:pPr>
      <w:bookmarkStart w:id="37" w:name="_Toc491437789"/>
      <w:bookmarkStart w:id="38" w:name="_Toc460421740"/>
      <w:r>
        <w:rPr>
          <w:rFonts w:hint="eastAsia"/>
          <w:b/>
          <w:color w:val="000000"/>
          <w:sz w:val="32"/>
          <w:szCs w:val="32"/>
          <w:lang w:val="en-US" w:eastAsia="zh-CN"/>
        </w:rPr>
        <w:t>三</w:t>
      </w:r>
      <w:r>
        <w:rPr>
          <w:rFonts w:hint="eastAsia"/>
          <w:b/>
          <w:color w:val="000000"/>
          <w:sz w:val="32"/>
          <w:szCs w:val="32"/>
        </w:rPr>
        <w:t>、</w:t>
      </w:r>
      <w:r>
        <w:rPr>
          <w:rFonts w:hint="eastAsia"/>
          <w:b/>
          <w:color w:val="000000"/>
          <w:sz w:val="32"/>
          <w:szCs w:val="32"/>
          <w:lang w:eastAsia="zh-CN"/>
        </w:rPr>
        <w:t>项目</w:t>
      </w:r>
      <w:r>
        <w:rPr>
          <w:rFonts w:hint="eastAsia"/>
          <w:b/>
          <w:color w:val="000000"/>
          <w:sz w:val="32"/>
          <w:szCs w:val="32"/>
        </w:rPr>
        <w:t>相关要求</w:t>
      </w:r>
      <w:bookmarkEnd w:id="37"/>
      <w:bookmarkEnd w:id="38"/>
    </w:p>
    <w:p>
      <w:pPr>
        <w:snapToGrid w:val="0"/>
        <w:spacing w:line="360" w:lineRule="auto"/>
        <w:ind w:firstLine="482" w:firstLineChars="200"/>
        <w:rPr>
          <w:rFonts w:hint="eastAsia" w:ascii="宋体" w:hAnsi="宋体"/>
          <w:b/>
          <w:bCs/>
          <w:color w:val="auto"/>
          <w:sz w:val="24"/>
          <w:lang w:eastAsia="zh-CN"/>
        </w:rPr>
      </w:pPr>
      <w:r>
        <w:rPr>
          <w:rFonts w:hint="eastAsia" w:ascii="宋体" w:hAnsi="宋体"/>
          <w:b/>
          <w:bCs/>
          <w:color w:val="auto"/>
          <w:sz w:val="24"/>
        </w:rPr>
        <w:t>1、合同履行期限：</w:t>
      </w:r>
      <w:r>
        <w:rPr>
          <w:rFonts w:hint="eastAsia" w:ascii="宋体" w:hAnsi="宋体"/>
          <w:b/>
          <w:bCs/>
          <w:color w:val="auto"/>
          <w:sz w:val="24"/>
          <w:lang w:eastAsia="zh-CN"/>
        </w:rPr>
        <w:t>签订合同之日起</w:t>
      </w:r>
      <w:r>
        <w:rPr>
          <w:rFonts w:hint="eastAsia" w:ascii="宋体" w:hAnsi="宋体"/>
          <w:b/>
          <w:bCs/>
          <w:color w:val="auto"/>
          <w:sz w:val="24"/>
          <w:lang w:val="en-US" w:eastAsia="zh-CN"/>
        </w:rPr>
        <w:t xml:space="preserve">50天 </w:t>
      </w:r>
    </w:p>
    <w:p>
      <w:pPr>
        <w:snapToGrid w:val="0"/>
        <w:spacing w:line="360" w:lineRule="auto"/>
        <w:ind w:firstLine="482" w:firstLineChars="200"/>
        <w:rPr>
          <w:rFonts w:hint="eastAsia" w:ascii="宋体" w:hAnsi="宋体"/>
          <w:b/>
          <w:bCs/>
          <w:color w:val="auto"/>
          <w:sz w:val="24"/>
        </w:rPr>
      </w:pPr>
      <w:r>
        <w:rPr>
          <w:rFonts w:hint="eastAsia" w:ascii="宋体" w:hAnsi="宋体"/>
          <w:b/>
          <w:bCs/>
          <w:color w:val="auto"/>
          <w:sz w:val="24"/>
          <w:lang w:val="en-US" w:eastAsia="zh-CN"/>
        </w:rPr>
        <w:t>2、</w:t>
      </w:r>
      <w:r>
        <w:rPr>
          <w:rFonts w:hint="eastAsia" w:ascii="宋体" w:hAnsi="宋体"/>
          <w:b/>
          <w:bCs/>
          <w:color w:val="auto"/>
          <w:sz w:val="24"/>
        </w:rPr>
        <w:t>交付地点：</w:t>
      </w:r>
      <w:r>
        <w:rPr>
          <w:rFonts w:hint="eastAsia" w:ascii="宋体" w:hAnsi="宋体"/>
          <w:b/>
          <w:bCs/>
          <w:color w:val="auto"/>
          <w:sz w:val="24"/>
          <w:lang w:eastAsia="zh-CN"/>
        </w:rPr>
        <w:t>采购人指定地点</w:t>
      </w:r>
      <w:r>
        <w:rPr>
          <w:rFonts w:hint="eastAsia" w:ascii="宋体" w:hAnsi="宋体"/>
          <w:b/>
          <w:bCs/>
          <w:color w:val="auto"/>
          <w:sz w:val="24"/>
        </w:rPr>
        <w:t>。</w:t>
      </w:r>
    </w:p>
    <w:p>
      <w:pPr>
        <w:snapToGrid w:val="0"/>
        <w:spacing w:line="360" w:lineRule="auto"/>
        <w:ind w:firstLine="482" w:firstLineChars="200"/>
        <w:rPr>
          <w:rFonts w:hint="eastAsia" w:ascii="宋体" w:hAnsi="宋体"/>
          <w:b/>
          <w:bCs/>
          <w:color w:val="auto"/>
          <w:sz w:val="24"/>
          <w:lang w:val="en-US" w:eastAsia="zh-CN"/>
        </w:rPr>
      </w:pPr>
      <w:r>
        <w:rPr>
          <w:rFonts w:hint="eastAsia" w:ascii="宋体" w:hAnsi="宋体"/>
          <w:b/>
          <w:bCs/>
          <w:color w:val="auto"/>
          <w:sz w:val="24"/>
          <w:lang w:val="en-US" w:eastAsia="zh-CN"/>
        </w:rPr>
        <w:t>3、付款条件：双方另行协商约定</w:t>
      </w:r>
    </w:p>
    <w:p>
      <w:pPr>
        <w:snapToGrid w:val="0"/>
        <w:spacing w:line="360" w:lineRule="auto"/>
        <w:ind w:firstLine="480" w:firstLineChars="200"/>
        <w:rPr>
          <w:rFonts w:hint="eastAsia" w:ascii="宋体" w:hAnsi="宋体" w:eastAsia="宋体" w:cs="Arial"/>
          <w:color w:val="000000"/>
          <w:sz w:val="24"/>
          <w:szCs w:val="24"/>
          <w:lang w:val="en-US" w:eastAsia="zh-CN"/>
        </w:rPr>
      </w:pPr>
      <w:r>
        <w:rPr>
          <w:rFonts w:hint="eastAsia" w:ascii="宋体" w:hAnsi="宋体" w:cs="Arial"/>
          <w:color w:val="000000"/>
          <w:sz w:val="24"/>
          <w:szCs w:val="24"/>
          <w:lang w:val="en-US" w:eastAsia="zh-CN"/>
        </w:rPr>
        <w:t>4</w:t>
      </w:r>
      <w:r>
        <w:rPr>
          <w:rFonts w:hint="eastAsia" w:ascii="宋体" w:hAnsi="宋体" w:eastAsia="宋体" w:cs="Arial"/>
          <w:color w:val="000000"/>
          <w:sz w:val="24"/>
          <w:szCs w:val="24"/>
          <w:lang w:val="en-US" w:eastAsia="zh-CN"/>
        </w:rPr>
        <w:t>、</w:t>
      </w:r>
      <w:r>
        <w:rPr>
          <w:rFonts w:ascii="宋体" w:hAnsi="宋体" w:eastAsia="宋体" w:cs="Arial"/>
          <w:color w:val="000000"/>
          <w:sz w:val="24"/>
          <w:szCs w:val="24"/>
        </w:rPr>
        <w:t>验收要求：按</w:t>
      </w:r>
      <w:r>
        <w:rPr>
          <w:rFonts w:hint="eastAsia" w:ascii="宋体" w:hAnsi="宋体" w:eastAsia="宋体" w:cs="Arial"/>
          <w:color w:val="000000"/>
          <w:sz w:val="24"/>
          <w:szCs w:val="24"/>
          <w:lang w:val="en-US" w:eastAsia="zh-CN"/>
        </w:rPr>
        <w:t>招标文件</w:t>
      </w:r>
      <w:r>
        <w:rPr>
          <w:rFonts w:hint="eastAsia"/>
          <w:color w:val="auto"/>
          <w:sz w:val="24"/>
          <w:lang w:val="en-US" w:eastAsia="zh-CN"/>
        </w:rPr>
        <w:t>第三章“用户需求书”</w:t>
      </w:r>
      <w:r>
        <w:rPr>
          <w:rFonts w:hint="eastAsia" w:ascii="宋体" w:hAnsi="宋体" w:eastAsia="宋体" w:cs="Arial"/>
          <w:color w:val="000000"/>
          <w:sz w:val="24"/>
          <w:szCs w:val="24"/>
          <w:lang w:val="en-US" w:eastAsia="zh-CN"/>
        </w:rPr>
        <w:t>中技术参数要求</w:t>
      </w:r>
      <w:r>
        <w:rPr>
          <w:rFonts w:ascii="宋体" w:hAnsi="宋体" w:eastAsia="宋体" w:cs="Arial"/>
          <w:color w:val="000000"/>
          <w:sz w:val="24"/>
          <w:szCs w:val="24"/>
        </w:rPr>
        <w:t>和国家行业标准进行验收。</w:t>
      </w:r>
    </w:p>
    <w:p>
      <w:pPr>
        <w:widowControl/>
        <w:numPr>
          <w:ilvl w:val="0"/>
          <w:numId w:val="0"/>
        </w:numPr>
        <w:shd w:val="solid" w:color="FFFFFF" w:fill="auto"/>
        <w:autoSpaceDN w:val="0"/>
        <w:spacing w:line="360" w:lineRule="auto"/>
        <w:ind w:firstLine="480" w:firstLineChars="200"/>
        <w:rPr>
          <w:rFonts w:ascii="仿宋" w:hAnsi="仿宋" w:eastAsia="仿宋" w:cs="仿宋"/>
          <w:b/>
          <w:color w:val="000000" w:themeColor="text1"/>
          <w:sz w:val="24"/>
          <w:szCs w:val="24"/>
          <w14:textFill>
            <w14:solidFill>
              <w14:schemeClr w14:val="tx1"/>
            </w14:solidFill>
          </w14:textFill>
        </w:rPr>
      </w:pPr>
      <w:r>
        <w:rPr>
          <w:rFonts w:hint="eastAsia" w:ascii="宋体" w:hAnsi="宋体" w:cs="Arial"/>
          <w:bCs/>
          <w:color w:val="000000"/>
          <w:sz w:val="24"/>
          <w:lang w:val="en-US" w:eastAsia="zh-CN"/>
        </w:rPr>
        <w:t>5</w:t>
      </w:r>
      <w:r>
        <w:rPr>
          <w:rFonts w:ascii="宋体" w:hAnsi="宋体" w:cs="Arial"/>
          <w:bCs/>
          <w:color w:val="000000"/>
          <w:sz w:val="24"/>
        </w:rPr>
        <w:t>、</w:t>
      </w:r>
      <w:r>
        <w:rPr>
          <w:rFonts w:hint="eastAsia" w:ascii="宋体" w:hAnsi="宋体" w:cs="Tahoma"/>
          <w:color w:val="000000"/>
          <w:sz w:val="24"/>
        </w:rPr>
        <w:t>投标人必须根据所投产品的技术参数、资质资料编写</w:t>
      </w:r>
      <w:r>
        <w:rPr>
          <w:rFonts w:hint="eastAsia" w:ascii="宋体" w:hAnsi="宋体" w:cs="Tahoma"/>
          <w:color w:val="000000"/>
          <w:sz w:val="24"/>
          <w:lang w:val="en-US" w:eastAsia="zh-CN"/>
        </w:rPr>
        <w:t>报价</w:t>
      </w:r>
      <w:r>
        <w:rPr>
          <w:rFonts w:hint="eastAsia" w:ascii="宋体" w:hAnsi="宋体" w:cs="Tahoma"/>
          <w:color w:val="000000"/>
          <w:sz w:val="24"/>
        </w:rPr>
        <w:t>文件。在中标结果公示期间，采购人有权对中标候选人所投产品的资质证书等进行核查，如发现与其</w:t>
      </w:r>
      <w:r>
        <w:rPr>
          <w:rFonts w:hint="eastAsia" w:ascii="宋体" w:hAnsi="宋体" w:cs="Tahoma"/>
          <w:color w:val="000000"/>
          <w:sz w:val="24"/>
          <w:lang w:val="en-US" w:eastAsia="zh-CN"/>
        </w:rPr>
        <w:t>报价</w:t>
      </w:r>
      <w:r>
        <w:rPr>
          <w:rFonts w:hint="eastAsia" w:ascii="宋体" w:hAnsi="宋体" w:cs="Tahoma"/>
          <w:color w:val="000000"/>
          <w:sz w:val="24"/>
        </w:rPr>
        <w:t>文件中的描述不一，代理机构将报政府采购主管部门严肃处理。</w:t>
      </w:r>
    </w:p>
    <w:p>
      <w:pPr>
        <w:snapToGrid w:val="0"/>
        <w:spacing w:line="360" w:lineRule="auto"/>
        <w:ind w:firstLine="472" w:firstLineChars="196"/>
        <w:rPr>
          <w:rFonts w:hint="eastAsia" w:ascii="宋体" w:hAnsi="宋体"/>
          <w:b/>
          <w:bCs/>
          <w:sz w:val="32"/>
          <w:szCs w:val="32"/>
        </w:rPr>
      </w:pPr>
      <w:r>
        <w:rPr>
          <w:rFonts w:hint="eastAsia" w:ascii="宋体" w:hAnsi="宋体"/>
          <w:b/>
          <w:sz w:val="24"/>
          <w:lang w:val="en-US" w:eastAsia="zh-CN"/>
        </w:rPr>
        <w:t>6、</w:t>
      </w:r>
      <w:r>
        <w:rPr>
          <w:rFonts w:hint="eastAsia" w:ascii="宋体" w:hAnsi="宋体"/>
          <w:b/>
          <w:sz w:val="24"/>
        </w:rPr>
        <w:t>由于本项目</w:t>
      </w:r>
      <w:r>
        <w:rPr>
          <w:b/>
          <w:sz w:val="24"/>
        </w:rPr>
        <w:t>根据质量和服务均能满足采购文件实质性响应要求且最后报价最低的原则确定成交供应商，</w:t>
      </w:r>
      <w:r>
        <w:rPr>
          <w:rFonts w:hint="eastAsia"/>
          <w:b/>
          <w:sz w:val="24"/>
        </w:rPr>
        <w:t>因此</w:t>
      </w:r>
      <w:r>
        <w:rPr>
          <w:rFonts w:hint="eastAsia" w:ascii="宋体" w:hAnsi="宋体"/>
          <w:b/>
          <w:sz w:val="24"/>
        </w:rPr>
        <w:t>报价人对本章的技术、功能及资质的要求必须全部满足或优于，否则报价无效。</w:t>
      </w:r>
    </w:p>
    <w:p>
      <w:pPr>
        <w:spacing w:line="360" w:lineRule="auto"/>
        <w:jc w:val="center"/>
        <w:rPr>
          <w:rFonts w:hint="eastAsia" w:ascii="宋体" w:hAnsi="宋体"/>
          <w:b/>
          <w:bCs/>
          <w:sz w:val="32"/>
          <w:szCs w:val="32"/>
        </w:rPr>
        <w:sectPr>
          <w:footerReference r:id="rId5" w:type="default"/>
          <w:footnotePr>
            <w:pos w:val="beneathText"/>
          </w:footnotePr>
          <w:pgSz w:w="11906" w:h="16838"/>
          <w:pgMar w:top="1440" w:right="1559" w:bottom="1440" w:left="1797" w:header="851" w:footer="992" w:gutter="0"/>
          <w:cols w:space="720" w:num="1"/>
          <w:docGrid w:linePitch="312" w:charSpace="0"/>
        </w:sect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0"/>
        <w:rPr>
          <w:rFonts w:hint="eastAsia" w:ascii="宋体" w:hAnsi="宋体" w:eastAsia="宋体" w:cs="宋体"/>
          <w:b/>
          <w:color w:val="auto"/>
          <w:kern w:val="0"/>
          <w:sz w:val="44"/>
          <w:szCs w:val="44"/>
          <w:lang w:eastAsia="zh-CN"/>
        </w:rPr>
      </w:pPr>
      <w:bookmarkStart w:id="39" w:name="_Toc3032"/>
      <w:bookmarkStart w:id="40" w:name="_Toc16173"/>
      <w:bookmarkStart w:id="41" w:name="_Toc19987"/>
      <w:r>
        <w:rPr>
          <w:rFonts w:hint="eastAsia" w:ascii="宋体" w:hAnsi="宋体" w:eastAsia="宋体" w:cs="宋体"/>
          <w:b/>
          <w:color w:val="auto"/>
          <w:kern w:val="0"/>
          <w:sz w:val="44"/>
          <w:szCs w:val="44"/>
          <w:lang w:eastAsia="zh-CN"/>
        </w:rPr>
        <w:t>第四章 合同主要条款</w:t>
      </w:r>
      <w:bookmarkEnd w:id="39"/>
      <w:bookmarkEnd w:id="40"/>
      <w:bookmarkEnd w:id="41"/>
    </w:p>
    <w:p>
      <w:pPr>
        <w:shd w:val="clear" w:color="auto" w:fill="auto"/>
        <w:snapToGrid w:val="0"/>
        <w:spacing w:line="360" w:lineRule="auto"/>
        <w:jc w:val="center"/>
        <w:rPr>
          <w:rFonts w:hint="eastAsia" w:ascii="宋体" w:hAnsi="宋体"/>
          <w:b/>
          <w:color w:val="auto"/>
          <w:sz w:val="24"/>
        </w:rPr>
      </w:pPr>
    </w:p>
    <w:p>
      <w:pPr>
        <w:shd w:val="clear" w:color="auto" w:fill="auto"/>
        <w:snapToGrid w:val="0"/>
        <w:spacing w:line="360" w:lineRule="auto"/>
        <w:jc w:val="center"/>
        <w:rPr>
          <w:rFonts w:hint="eastAsia" w:ascii="宋体" w:hAnsi="宋体"/>
          <w:b/>
          <w:color w:val="auto"/>
          <w:sz w:val="24"/>
        </w:rPr>
      </w:pPr>
      <w:r>
        <w:rPr>
          <w:rFonts w:hint="eastAsia" w:ascii="宋体" w:hAnsi="宋体"/>
          <w:b/>
          <w:color w:val="auto"/>
          <w:sz w:val="24"/>
        </w:rPr>
        <w:t>注：本合同仅为合同的参考文本，合同签订双方可根据项目的具体要求进行修订。</w:t>
      </w:r>
    </w:p>
    <w:p>
      <w:pPr>
        <w:shd w:val="clear" w:color="auto" w:fill="auto"/>
        <w:spacing w:line="360" w:lineRule="auto"/>
        <w:jc w:val="center"/>
        <w:rPr>
          <w:rFonts w:hint="eastAsia" w:ascii="宋体" w:hAnsi="宋体" w:cs="宋体"/>
          <w:b/>
          <w:color w:val="auto"/>
          <w:sz w:val="24"/>
        </w:rPr>
      </w:pPr>
    </w:p>
    <w:p>
      <w:pPr>
        <w:shd w:val="clear" w:color="auto" w:fill="auto"/>
        <w:spacing w:before="19" w:line="360" w:lineRule="auto"/>
        <w:jc w:val="center"/>
        <w:rPr>
          <w:rFonts w:hint="eastAsia" w:ascii="宋体" w:hAnsi="宋体" w:cs="宋体"/>
          <w:b/>
          <w:color w:val="auto"/>
          <w:sz w:val="32"/>
          <w:szCs w:val="32"/>
        </w:rPr>
      </w:pPr>
      <w:r>
        <w:rPr>
          <w:rFonts w:hint="eastAsia" w:ascii="宋体" w:hAnsi="宋体" w:cs="宋体"/>
          <w:b/>
          <w:color w:val="auto"/>
          <w:sz w:val="32"/>
          <w:szCs w:val="32"/>
        </w:rPr>
        <w:t>通用合同条款</w:t>
      </w:r>
    </w:p>
    <w:p>
      <w:pPr>
        <w:shd w:val="clear" w:color="auto" w:fill="auto"/>
        <w:spacing w:line="360" w:lineRule="auto"/>
        <w:jc w:val="center"/>
        <w:rPr>
          <w:rFonts w:hint="eastAsia" w:ascii="宋体" w:hAnsi="宋体" w:cs="宋体"/>
          <w:b/>
          <w:color w:val="auto"/>
          <w:sz w:val="24"/>
        </w:rPr>
      </w:pPr>
      <w:r>
        <w:rPr>
          <w:rFonts w:hint="eastAsia" w:ascii="宋体" w:hAnsi="宋体" w:cs="宋体"/>
          <w:b/>
          <w:color w:val="auto"/>
          <w:sz w:val="24"/>
        </w:rPr>
        <w:t>（略）</w:t>
      </w: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eastAsia" w:ascii="宋体" w:hAnsi="宋体" w:cs="宋体"/>
          <w:b/>
          <w:color w:val="auto"/>
          <w:sz w:val="32"/>
          <w:szCs w:val="32"/>
        </w:rPr>
      </w:pPr>
      <w:r>
        <w:rPr>
          <w:rFonts w:hint="eastAsia" w:ascii="宋体" w:hAnsi="宋体" w:cs="宋体"/>
          <w:b/>
          <w:color w:val="auto"/>
          <w:sz w:val="32"/>
          <w:szCs w:val="32"/>
        </w:rPr>
        <w:t>合同专用条款部分</w:t>
      </w:r>
    </w:p>
    <w:p>
      <w:pPr>
        <w:snapToGrid w:val="0"/>
        <w:spacing w:before="19" w:line="500" w:lineRule="exact"/>
        <w:rPr>
          <w:rFonts w:hint="eastAsia" w:ascii="宋体" w:hAnsi="宋体" w:eastAsia="宋体" w:cs="宋体"/>
          <w:color w:val="auto"/>
          <w:sz w:val="24"/>
          <w:szCs w:val="24"/>
        </w:rPr>
      </w:pPr>
    </w:p>
    <w:p>
      <w:pPr>
        <w:snapToGrid w:val="0"/>
        <w:spacing w:before="19" w:line="500" w:lineRule="exact"/>
        <w:rPr>
          <w:rFonts w:hint="eastAsia" w:ascii="宋体" w:hAnsi="宋体" w:eastAsia="宋体" w:cs="宋体"/>
          <w:b/>
          <w:color w:val="auto"/>
          <w:sz w:val="24"/>
          <w:szCs w:val="24"/>
          <w:u w:val="single"/>
        </w:rPr>
      </w:pPr>
      <w:r>
        <w:rPr>
          <w:rFonts w:hint="eastAsia" w:ascii="宋体" w:hAnsi="宋体" w:eastAsia="宋体" w:cs="宋体"/>
          <w:color w:val="auto"/>
          <w:sz w:val="24"/>
          <w:szCs w:val="24"/>
        </w:rPr>
        <w:t>甲方:</w:t>
      </w:r>
      <w:r>
        <w:rPr>
          <w:rFonts w:hint="eastAsia" w:ascii="宋体" w:hAnsi="宋体" w:eastAsia="宋体" w:cs="宋体"/>
          <w:b/>
          <w:bCs/>
          <w:color w:val="auto"/>
          <w:sz w:val="24"/>
          <w:szCs w:val="24"/>
        </w:rPr>
        <w:t xml:space="preserve"> </w:t>
      </w:r>
      <w:r>
        <w:rPr>
          <w:rFonts w:hint="eastAsia" w:ascii="宋体" w:hAnsi="宋体" w:eastAsia="宋体" w:cs="宋体"/>
          <w:b/>
          <w:color w:val="auto"/>
          <w:sz w:val="24"/>
          <w:szCs w:val="24"/>
          <w:u w:val="single"/>
        </w:rPr>
        <w:t xml:space="preserve">                            </w:t>
      </w:r>
    </w:p>
    <w:p>
      <w:pPr>
        <w:snapToGrid w:val="0"/>
        <w:spacing w:before="19" w:line="500" w:lineRule="exact"/>
        <w:rPr>
          <w:rFonts w:hint="eastAsia" w:ascii="宋体" w:hAnsi="宋体" w:eastAsia="宋体" w:cs="宋体"/>
          <w:b/>
          <w:color w:val="auto"/>
          <w:sz w:val="24"/>
          <w:szCs w:val="24"/>
          <w:u w:val="single"/>
        </w:rPr>
      </w:pPr>
      <w:r>
        <w:rPr>
          <w:rFonts w:hint="eastAsia" w:ascii="宋体" w:hAnsi="宋体" w:eastAsia="宋体" w:cs="宋体"/>
          <w:color w:val="auto"/>
          <w:sz w:val="24"/>
          <w:szCs w:val="24"/>
        </w:rPr>
        <w:t>乙方:</w:t>
      </w:r>
      <w:r>
        <w:rPr>
          <w:rFonts w:hint="eastAsia" w:ascii="宋体" w:hAnsi="宋体" w:eastAsia="宋体" w:cs="宋体"/>
          <w:b/>
          <w:color w:val="auto"/>
          <w:sz w:val="24"/>
          <w:szCs w:val="24"/>
        </w:rPr>
        <w:t xml:space="preserve">  </w:t>
      </w:r>
      <w:r>
        <w:rPr>
          <w:rFonts w:hint="eastAsia" w:ascii="宋体" w:hAnsi="宋体" w:eastAsia="宋体" w:cs="宋体"/>
          <w:b/>
          <w:color w:val="auto"/>
          <w:sz w:val="24"/>
          <w:szCs w:val="24"/>
          <w:u w:val="single"/>
        </w:rPr>
        <w:t xml:space="preserve">                           </w:t>
      </w:r>
    </w:p>
    <w:p>
      <w:pPr>
        <w:snapToGrid w:val="0"/>
        <w:spacing w:before="19" w:line="500" w:lineRule="exact"/>
        <w:rPr>
          <w:rFonts w:hint="eastAsia" w:ascii="宋体" w:hAnsi="宋体" w:eastAsia="宋体" w:cs="宋体"/>
          <w:b/>
          <w:color w:val="auto"/>
          <w:sz w:val="24"/>
          <w:szCs w:val="24"/>
          <w:u w:val="single"/>
        </w:rPr>
      </w:pPr>
    </w:p>
    <w:p>
      <w:pPr>
        <w:widowControl w:val="0"/>
        <w:snapToGrid w:val="0"/>
        <w:spacing w:line="360" w:lineRule="auto"/>
        <w:ind w:firstLine="480" w:firstLineChars="200"/>
        <w:rPr>
          <w:rFonts w:hint="eastAsia" w:ascii="宋体" w:hAnsi="宋体" w:eastAsia="宋体" w:cs="宋体"/>
          <w:b/>
          <w:color w:val="auto"/>
          <w:kern w:val="2"/>
          <w:sz w:val="24"/>
          <w:szCs w:val="24"/>
        </w:rPr>
      </w:pPr>
      <w:r>
        <w:rPr>
          <w:rFonts w:hint="eastAsia" w:ascii="宋体" w:hAnsi="宋体" w:eastAsia="宋体" w:cs="宋体"/>
          <w:color w:val="auto"/>
          <w:sz w:val="24"/>
          <w:szCs w:val="24"/>
        </w:rPr>
        <w:t>甲乙双方根据</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u w:val="none"/>
          <w:lang w:val="en-US" w:eastAsia="zh-CN"/>
        </w:rPr>
        <w:t>项目</w:t>
      </w:r>
      <w:r>
        <w:rPr>
          <w:rFonts w:hint="eastAsia" w:ascii="宋体" w:hAnsi="宋体" w:eastAsia="宋体" w:cs="宋体"/>
          <w:color w:val="auto"/>
          <w:sz w:val="24"/>
          <w:szCs w:val="24"/>
        </w:rPr>
        <w:t>（项目编号:</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rPr>
        <w:t>）</w:t>
      </w:r>
      <w:r>
        <w:rPr>
          <w:rFonts w:hint="eastAsia" w:ascii="宋体" w:hAnsi="宋体" w:cs="宋体"/>
          <w:color w:val="auto"/>
          <w:sz w:val="24"/>
          <w:szCs w:val="24"/>
          <w:lang w:eastAsia="zh-CN"/>
        </w:rPr>
        <w:t>竞争性谈判</w:t>
      </w:r>
      <w:r>
        <w:rPr>
          <w:rFonts w:hint="eastAsia" w:ascii="宋体" w:hAnsi="宋体" w:eastAsia="宋体" w:cs="宋体"/>
          <w:color w:val="auto"/>
          <w:sz w:val="24"/>
          <w:szCs w:val="24"/>
        </w:rPr>
        <w:t>结果及招标文件的要求,经协商一致,同意以下专用条款作为本项目合同条款的补充。当合同条款与专用条款不一致时，以专用条款为准。</w:t>
      </w:r>
    </w:p>
    <w:p>
      <w:pPr>
        <w:widowControl w:val="0"/>
        <w:snapToGrid w:val="0"/>
        <w:spacing w:before="19" w:line="360" w:lineRule="auto"/>
        <w:jc w:val="both"/>
        <w:rPr>
          <w:rFonts w:hint="eastAsia" w:ascii="宋体" w:hAnsi="宋体" w:eastAsia="宋体" w:cs="宋体"/>
          <w:b/>
          <w:color w:val="auto"/>
          <w:sz w:val="24"/>
          <w:szCs w:val="24"/>
        </w:rPr>
      </w:pPr>
      <w:r>
        <w:rPr>
          <w:rFonts w:hint="eastAsia" w:ascii="宋体" w:hAnsi="宋体" w:eastAsia="宋体" w:cs="宋体"/>
          <w:b/>
          <w:color w:val="auto"/>
          <w:sz w:val="24"/>
          <w:szCs w:val="24"/>
        </w:rPr>
        <w:t>一、合同标的及金额等(详见附件清单)</w:t>
      </w:r>
    </w:p>
    <w:tbl>
      <w:tblPr>
        <w:tblStyle w:val="25"/>
        <w:tblW w:w="8976" w:type="dxa"/>
        <w:jc w:val="center"/>
        <w:tblLayout w:type="fixed"/>
        <w:tblCellMar>
          <w:top w:w="0" w:type="dxa"/>
          <w:left w:w="30" w:type="dxa"/>
          <w:bottom w:w="0" w:type="dxa"/>
          <w:right w:w="30" w:type="dxa"/>
        </w:tblCellMar>
      </w:tblPr>
      <w:tblGrid>
        <w:gridCol w:w="720"/>
        <w:gridCol w:w="1148"/>
        <w:gridCol w:w="1971"/>
        <w:gridCol w:w="778"/>
        <w:gridCol w:w="800"/>
        <w:gridCol w:w="1260"/>
        <w:gridCol w:w="1260"/>
        <w:gridCol w:w="1039"/>
      </w:tblGrid>
      <w:tr>
        <w:tblPrEx>
          <w:tblCellMar>
            <w:top w:w="0" w:type="dxa"/>
            <w:left w:w="30" w:type="dxa"/>
            <w:bottom w:w="0" w:type="dxa"/>
            <w:right w:w="30" w:type="dxa"/>
          </w:tblCellMar>
        </w:tblPrEx>
        <w:trPr>
          <w:trHeight w:val="593" w:hRule="exact"/>
          <w:jc w:val="center"/>
        </w:trPr>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宋体" w:hAnsi="宋体" w:cs="宋体"/>
                <w:b/>
                <w:color w:val="auto"/>
                <w:szCs w:val="21"/>
              </w:rPr>
            </w:pPr>
            <w:bookmarkStart w:id="42" w:name="_Toc462068968"/>
            <w:bookmarkStart w:id="43" w:name="_Toc417386176"/>
            <w:r>
              <w:rPr>
                <w:rFonts w:hint="eastAsia" w:ascii="宋体" w:hAnsi="宋体" w:cs="宋体"/>
                <w:b/>
                <w:color w:val="auto"/>
                <w:szCs w:val="21"/>
              </w:rPr>
              <w:t>序号</w:t>
            </w:r>
          </w:p>
        </w:tc>
        <w:tc>
          <w:tcPr>
            <w:tcW w:w="1148"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宋体" w:hAnsi="宋体" w:cs="宋体"/>
                <w:b/>
                <w:color w:val="auto"/>
                <w:szCs w:val="21"/>
              </w:rPr>
            </w:pPr>
            <w:r>
              <w:rPr>
                <w:rFonts w:hint="eastAsia" w:ascii="宋体" w:hAnsi="宋体" w:cs="宋体"/>
                <w:b/>
                <w:color w:val="auto"/>
                <w:szCs w:val="21"/>
                <w:lang w:val="en-US" w:eastAsia="zh-CN"/>
              </w:rPr>
              <w:t>产品名称</w:t>
            </w:r>
          </w:p>
        </w:tc>
        <w:tc>
          <w:tcPr>
            <w:tcW w:w="1971"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default" w:ascii="宋体" w:hAnsi="宋体" w:eastAsia="宋体" w:cs="宋体"/>
                <w:b/>
                <w:color w:val="auto"/>
                <w:szCs w:val="21"/>
                <w:lang w:val="en-US" w:eastAsia="zh-CN"/>
              </w:rPr>
            </w:pPr>
            <w:r>
              <w:rPr>
                <w:rFonts w:hint="eastAsia" w:ascii="宋体" w:hAnsi="宋体" w:cs="宋体"/>
                <w:b/>
                <w:color w:val="auto"/>
                <w:szCs w:val="21"/>
                <w:lang w:val="en-US" w:eastAsia="zh-CN"/>
              </w:rPr>
              <w:t>品牌型号、规格配置</w:t>
            </w:r>
          </w:p>
        </w:tc>
        <w:tc>
          <w:tcPr>
            <w:tcW w:w="778"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宋体" w:hAnsi="宋体" w:cs="宋体"/>
                <w:b/>
                <w:color w:val="auto"/>
                <w:szCs w:val="21"/>
              </w:rPr>
            </w:pPr>
            <w:r>
              <w:rPr>
                <w:rFonts w:hint="eastAsia" w:ascii="宋体" w:hAnsi="宋体" w:cs="宋体"/>
                <w:b/>
                <w:color w:val="auto"/>
                <w:szCs w:val="21"/>
              </w:rPr>
              <w:t>数量</w:t>
            </w:r>
          </w:p>
        </w:tc>
        <w:tc>
          <w:tcPr>
            <w:tcW w:w="80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ind w:firstLine="173" w:firstLineChars="82"/>
              <w:jc w:val="both"/>
              <w:rPr>
                <w:rFonts w:hint="eastAsia" w:ascii="宋体" w:hAnsi="宋体" w:cs="宋体"/>
                <w:b/>
                <w:color w:val="auto"/>
                <w:szCs w:val="21"/>
              </w:rPr>
            </w:pPr>
            <w:r>
              <w:rPr>
                <w:rFonts w:hint="eastAsia" w:ascii="宋体" w:hAnsi="宋体" w:cs="宋体"/>
                <w:b/>
                <w:color w:val="auto"/>
                <w:szCs w:val="21"/>
              </w:rPr>
              <w:t>单位</w:t>
            </w:r>
          </w:p>
        </w:tc>
        <w:tc>
          <w:tcPr>
            <w:tcW w:w="126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rPr>
                <w:rFonts w:hint="eastAsia" w:ascii="宋体" w:hAnsi="宋体" w:cs="宋体"/>
                <w:b/>
                <w:color w:val="auto"/>
                <w:szCs w:val="21"/>
              </w:rPr>
            </w:pPr>
            <w:r>
              <w:rPr>
                <w:rFonts w:hint="eastAsia" w:ascii="宋体" w:hAnsi="宋体" w:cs="宋体"/>
                <w:b/>
                <w:color w:val="auto"/>
                <w:szCs w:val="21"/>
              </w:rPr>
              <w:t>单价（元）</w:t>
            </w:r>
          </w:p>
        </w:tc>
        <w:tc>
          <w:tcPr>
            <w:tcW w:w="126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宋体" w:hAnsi="宋体" w:cs="宋体"/>
                <w:b/>
                <w:color w:val="auto"/>
                <w:szCs w:val="21"/>
              </w:rPr>
            </w:pPr>
            <w:r>
              <w:rPr>
                <w:rFonts w:hint="eastAsia" w:ascii="宋体" w:hAnsi="宋体" w:cs="宋体"/>
                <w:b/>
                <w:color w:val="auto"/>
                <w:szCs w:val="21"/>
              </w:rPr>
              <w:t>小计（元）</w:t>
            </w:r>
          </w:p>
        </w:tc>
        <w:tc>
          <w:tcPr>
            <w:tcW w:w="1039"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宋体" w:hAnsi="宋体" w:cs="宋体"/>
                <w:b/>
                <w:color w:val="auto"/>
                <w:szCs w:val="21"/>
              </w:rPr>
            </w:pPr>
            <w:r>
              <w:rPr>
                <w:rFonts w:hint="eastAsia" w:ascii="宋体" w:hAnsi="宋体" w:cs="宋体"/>
                <w:b/>
                <w:color w:val="auto"/>
                <w:szCs w:val="21"/>
              </w:rPr>
              <w:t>备注</w:t>
            </w:r>
          </w:p>
        </w:tc>
      </w:tr>
      <w:tr>
        <w:tblPrEx>
          <w:tblCellMar>
            <w:top w:w="0" w:type="dxa"/>
            <w:left w:w="30" w:type="dxa"/>
            <w:bottom w:w="0" w:type="dxa"/>
            <w:right w:w="30" w:type="dxa"/>
          </w:tblCellMar>
        </w:tblPrEx>
        <w:trPr>
          <w:trHeight w:val="506" w:hRule="exact"/>
          <w:jc w:val="center"/>
        </w:trPr>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宋体" w:hAnsi="宋体" w:cs="宋体"/>
                <w:color w:val="auto"/>
                <w:szCs w:val="21"/>
              </w:rPr>
            </w:pPr>
            <w:r>
              <w:rPr>
                <w:rFonts w:hint="eastAsia" w:ascii="宋体" w:hAnsi="宋体" w:cs="宋体"/>
                <w:color w:val="auto"/>
                <w:szCs w:val="21"/>
              </w:rPr>
              <w:t>1</w:t>
            </w:r>
          </w:p>
        </w:tc>
        <w:tc>
          <w:tcPr>
            <w:tcW w:w="1148"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宋体" w:hAnsi="宋体" w:cs="宋体"/>
                <w:color w:val="auto"/>
                <w:szCs w:val="21"/>
              </w:rPr>
            </w:pPr>
          </w:p>
        </w:tc>
        <w:tc>
          <w:tcPr>
            <w:tcW w:w="1971"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宋体" w:hAnsi="宋体" w:cs="宋体"/>
                <w:color w:val="auto"/>
                <w:szCs w:val="21"/>
              </w:rPr>
            </w:pPr>
          </w:p>
        </w:tc>
        <w:tc>
          <w:tcPr>
            <w:tcW w:w="778" w:type="dxa"/>
            <w:tcBorders>
              <w:top w:val="single" w:color="auto" w:sz="8" w:space="0"/>
              <w:left w:val="single" w:color="auto" w:sz="8" w:space="0"/>
              <w:bottom w:val="single" w:color="auto" w:sz="8" w:space="0"/>
              <w:right w:val="single" w:color="auto" w:sz="8" w:space="0"/>
            </w:tcBorders>
            <w:noWrap w:val="0"/>
            <w:vAlign w:val="center"/>
          </w:tcPr>
          <w:p>
            <w:pPr>
              <w:ind w:firstLine="482"/>
              <w:jc w:val="center"/>
              <w:rPr>
                <w:rFonts w:hint="eastAsia" w:ascii="宋体" w:hAnsi="宋体" w:cs="宋体"/>
                <w:b/>
                <w:color w:val="auto"/>
                <w:szCs w:val="21"/>
              </w:rPr>
            </w:pPr>
          </w:p>
        </w:tc>
        <w:tc>
          <w:tcPr>
            <w:tcW w:w="800" w:type="dxa"/>
            <w:tcBorders>
              <w:top w:val="single" w:color="auto" w:sz="8" w:space="0"/>
              <w:left w:val="single" w:color="auto" w:sz="8" w:space="0"/>
              <w:bottom w:val="single" w:color="auto" w:sz="8" w:space="0"/>
              <w:right w:val="single" w:color="auto" w:sz="8" w:space="0"/>
            </w:tcBorders>
            <w:noWrap w:val="0"/>
            <w:vAlign w:val="top"/>
          </w:tcPr>
          <w:p>
            <w:pPr>
              <w:ind w:firstLine="482"/>
              <w:jc w:val="center"/>
              <w:rPr>
                <w:rFonts w:hint="eastAsia" w:ascii="宋体" w:hAnsi="宋体" w:cs="宋体"/>
                <w:b/>
                <w:color w:val="auto"/>
                <w:szCs w:val="21"/>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cs="宋体"/>
                <w:color w:val="auto"/>
                <w:szCs w:val="21"/>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cs="宋体"/>
                <w:color w:val="auto"/>
                <w:szCs w:val="21"/>
              </w:rPr>
            </w:pPr>
          </w:p>
        </w:tc>
        <w:tc>
          <w:tcPr>
            <w:tcW w:w="1039"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cs="宋体"/>
                <w:color w:val="auto"/>
                <w:szCs w:val="21"/>
              </w:rPr>
            </w:pPr>
          </w:p>
        </w:tc>
      </w:tr>
      <w:tr>
        <w:tblPrEx>
          <w:tblCellMar>
            <w:top w:w="0" w:type="dxa"/>
            <w:left w:w="30" w:type="dxa"/>
            <w:bottom w:w="0" w:type="dxa"/>
            <w:right w:w="30" w:type="dxa"/>
          </w:tblCellMar>
        </w:tblPrEx>
        <w:trPr>
          <w:trHeight w:val="506" w:hRule="exact"/>
          <w:jc w:val="center"/>
        </w:trPr>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宋体" w:hAnsi="宋体" w:cs="宋体"/>
                <w:color w:val="auto"/>
                <w:szCs w:val="21"/>
              </w:rPr>
            </w:pPr>
            <w:r>
              <w:rPr>
                <w:rFonts w:hint="eastAsia" w:ascii="宋体" w:hAnsi="宋体" w:cs="宋体"/>
                <w:color w:val="auto"/>
                <w:szCs w:val="21"/>
              </w:rPr>
              <w:t>2</w:t>
            </w:r>
          </w:p>
        </w:tc>
        <w:tc>
          <w:tcPr>
            <w:tcW w:w="1148"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宋体" w:hAnsi="宋体" w:cs="宋体"/>
                <w:color w:val="auto"/>
                <w:szCs w:val="21"/>
              </w:rPr>
            </w:pPr>
          </w:p>
        </w:tc>
        <w:tc>
          <w:tcPr>
            <w:tcW w:w="1971"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宋体" w:hAnsi="宋体" w:cs="宋体"/>
                <w:color w:val="auto"/>
                <w:szCs w:val="21"/>
              </w:rPr>
            </w:pPr>
          </w:p>
        </w:tc>
        <w:tc>
          <w:tcPr>
            <w:tcW w:w="778" w:type="dxa"/>
            <w:tcBorders>
              <w:top w:val="single" w:color="auto" w:sz="8" w:space="0"/>
              <w:left w:val="single" w:color="auto" w:sz="8" w:space="0"/>
              <w:bottom w:val="single" w:color="auto" w:sz="8" w:space="0"/>
              <w:right w:val="single" w:color="auto" w:sz="8" w:space="0"/>
            </w:tcBorders>
            <w:noWrap w:val="0"/>
            <w:vAlign w:val="center"/>
          </w:tcPr>
          <w:p>
            <w:pPr>
              <w:ind w:firstLine="482"/>
              <w:jc w:val="center"/>
              <w:rPr>
                <w:rFonts w:hint="eastAsia" w:ascii="宋体" w:hAnsi="宋体" w:cs="宋体"/>
                <w:b/>
                <w:color w:val="auto"/>
                <w:szCs w:val="21"/>
              </w:rPr>
            </w:pPr>
          </w:p>
        </w:tc>
        <w:tc>
          <w:tcPr>
            <w:tcW w:w="800" w:type="dxa"/>
            <w:tcBorders>
              <w:top w:val="single" w:color="auto" w:sz="8" w:space="0"/>
              <w:left w:val="single" w:color="auto" w:sz="8" w:space="0"/>
              <w:bottom w:val="single" w:color="auto" w:sz="8" w:space="0"/>
              <w:right w:val="single" w:color="auto" w:sz="8" w:space="0"/>
            </w:tcBorders>
            <w:noWrap w:val="0"/>
            <w:vAlign w:val="top"/>
          </w:tcPr>
          <w:p>
            <w:pPr>
              <w:ind w:firstLine="482"/>
              <w:jc w:val="center"/>
              <w:rPr>
                <w:rFonts w:hint="eastAsia" w:ascii="宋体" w:hAnsi="宋体" w:cs="宋体"/>
                <w:b/>
                <w:color w:val="auto"/>
                <w:szCs w:val="21"/>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cs="宋体"/>
                <w:color w:val="auto"/>
                <w:szCs w:val="21"/>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cs="宋体"/>
                <w:color w:val="auto"/>
                <w:szCs w:val="21"/>
              </w:rPr>
            </w:pPr>
          </w:p>
        </w:tc>
        <w:tc>
          <w:tcPr>
            <w:tcW w:w="1039"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cs="宋体"/>
                <w:color w:val="auto"/>
                <w:szCs w:val="21"/>
              </w:rPr>
            </w:pPr>
          </w:p>
        </w:tc>
      </w:tr>
      <w:tr>
        <w:tblPrEx>
          <w:tblCellMar>
            <w:top w:w="0" w:type="dxa"/>
            <w:left w:w="30" w:type="dxa"/>
            <w:bottom w:w="0" w:type="dxa"/>
            <w:right w:w="30" w:type="dxa"/>
          </w:tblCellMar>
        </w:tblPrEx>
        <w:trPr>
          <w:trHeight w:val="456" w:hRule="exact"/>
          <w:jc w:val="center"/>
        </w:trPr>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宋体" w:hAnsi="宋体" w:cs="宋体"/>
                <w:color w:val="auto"/>
                <w:szCs w:val="21"/>
              </w:rPr>
            </w:pPr>
            <w:r>
              <w:rPr>
                <w:rFonts w:hint="eastAsia" w:ascii="宋体" w:hAnsi="宋体" w:cs="宋体"/>
                <w:color w:val="auto"/>
                <w:szCs w:val="21"/>
              </w:rPr>
              <w:t>3</w:t>
            </w:r>
          </w:p>
        </w:tc>
        <w:tc>
          <w:tcPr>
            <w:tcW w:w="1148"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宋体" w:hAnsi="宋体" w:cs="宋体"/>
                <w:color w:val="auto"/>
                <w:szCs w:val="21"/>
              </w:rPr>
            </w:pPr>
          </w:p>
        </w:tc>
        <w:tc>
          <w:tcPr>
            <w:tcW w:w="1971"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宋体" w:hAnsi="宋体" w:cs="宋体"/>
                <w:color w:val="auto"/>
                <w:szCs w:val="21"/>
              </w:rPr>
            </w:pPr>
          </w:p>
        </w:tc>
        <w:tc>
          <w:tcPr>
            <w:tcW w:w="778" w:type="dxa"/>
            <w:tcBorders>
              <w:top w:val="single" w:color="auto" w:sz="8" w:space="0"/>
              <w:left w:val="single" w:color="auto" w:sz="8" w:space="0"/>
              <w:bottom w:val="single" w:color="auto" w:sz="8" w:space="0"/>
              <w:right w:val="single" w:color="auto" w:sz="8" w:space="0"/>
            </w:tcBorders>
            <w:noWrap w:val="0"/>
            <w:vAlign w:val="center"/>
          </w:tcPr>
          <w:p>
            <w:pPr>
              <w:ind w:firstLine="482"/>
              <w:jc w:val="center"/>
              <w:rPr>
                <w:rFonts w:hint="eastAsia" w:ascii="宋体" w:hAnsi="宋体" w:cs="宋体"/>
                <w:b/>
                <w:color w:val="auto"/>
                <w:szCs w:val="21"/>
              </w:rPr>
            </w:pPr>
          </w:p>
        </w:tc>
        <w:tc>
          <w:tcPr>
            <w:tcW w:w="800" w:type="dxa"/>
            <w:tcBorders>
              <w:top w:val="single" w:color="auto" w:sz="8" w:space="0"/>
              <w:left w:val="single" w:color="auto" w:sz="8" w:space="0"/>
              <w:bottom w:val="single" w:color="auto" w:sz="8" w:space="0"/>
              <w:right w:val="single" w:color="auto" w:sz="8" w:space="0"/>
            </w:tcBorders>
            <w:noWrap w:val="0"/>
            <w:vAlign w:val="top"/>
          </w:tcPr>
          <w:p>
            <w:pPr>
              <w:ind w:firstLine="482"/>
              <w:jc w:val="center"/>
              <w:rPr>
                <w:rFonts w:hint="eastAsia" w:ascii="宋体" w:hAnsi="宋体" w:cs="宋体"/>
                <w:b/>
                <w:color w:val="auto"/>
                <w:szCs w:val="21"/>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cs="宋体"/>
                <w:color w:val="auto"/>
                <w:szCs w:val="21"/>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cs="宋体"/>
                <w:color w:val="auto"/>
                <w:szCs w:val="21"/>
              </w:rPr>
            </w:pPr>
          </w:p>
        </w:tc>
        <w:tc>
          <w:tcPr>
            <w:tcW w:w="1039"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cs="宋体"/>
                <w:color w:val="auto"/>
                <w:szCs w:val="21"/>
              </w:rPr>
            </w:pPr>
          </w:p>
        </w:tc>
      </w:tr>
      <w:tr>
        <w:tblPrEx>
          <w:tblCellMar>
            <w:top w:w="0" w:type="dxa"/>
            <w:left w:w="30" w:type="dxa"/>
            <w:bottom w:w="0" w:type="dxa"/>
            <w:right w:w="30" w:type="dxa"/>
          </w:tblCellMar>
        </w:tblPrEx>
        <w:trPr>
          <w:trHeight w:val="476" w:hRule="exact"/>
          <w:jc w:val="center"/>
        </w:trPr>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宋体" w:hAnsi="宋体" w:cs="宋体"/>
                <w:color w:val="auto"/>
                <w:szCs w:val="21"/>
              </w:rPr>
            </w:pPr>
            <w:r>
              <w:rPr>
                <w:rFonts w:hint="eastAsia" w:ascii="宋体" w:hAnsi="宋体" w:cs="宋体"/>
                <w:color w:val="auto"/>
                <w:szCs w:val="21"/>
              </w:rPr>
              <w:t>4</w:t>
            </w:r>
          </w:p>
        </w:tc>
        <w:tc>
          <w:tcPr>
            <w:tcW w:w="1148"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宋体" w:hAnsi="宋体" w:cs="宋体"/>
                <w:color w:val="auto"/>
                <w:szCs w:val="21"/>
              </w:rPr>
            </w:pPr>
          </w:p>
        </w:tc>
        <w:tc>
          <w:tcPr>
            <w:tcW w:w="1971"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宋体" w:hAnsi="宋体" w:cs="宋体"/>
                <w:color w:val="auto"/>
                <w:szCs w:val="21"/>
              </w:rPr>
            </w:pPr>
          </w:p>
        </w:tc>
        <w:tc>
          <w:tcPr>
            <w:tcW w:w="778" w:type="dxa"/>
            <w:tcBorders>
              <w:top w:val="single" w:color="auto" w:sz="8" w:space="0"/>
              <w:left w:val="single" w:color="auto" w:sz="8" w:space="0"/>
              <w:bottom w:val="single" w:color="auto" w:sz="8" w:space="0"/>
              <w:right w:val="single" w:color="auto" w:sz="8" w:space="0"/>
            </w:tcBorders>
            <w:noWrap w:val="0"/>
            <w:vAlign w:val="center"/>
          </w:tcPr>
          <w:p>
            <w:pPr>
              <w:ind w:firstLine="482"/>
              <w:jc w:val="center"/>
              <w:rPr>
                <w:rFonts w:hint="eastAsia" w:ascii="宋体" w:hAnsi="宋体" w:cs="宋体"/>
                <w:b/>
                <w:color w:val="auto"/>
                <w:szCs w:val="21"/>
              </w:rPr>
            </w:pPr>
          </w:p>
        </w:tc>
        <w:tc>
          <w:tcPr>
            <w:tcW w:w="800" w:type="dxa"/>
            <w:tcBorders>
              <w:top w:val="single" w:color="auto" w:sz="8" w:space="0"/>
              <w:left w:val="single" w:color="auto" w:sz="8" w:space="0"/>
              <w:bottom w:val="single" w:color="auto" w:sz="8" w:space="0"/>
              <w:right w:val="single" w:color="auto" w:sz="8" w:space="0"/>
            </w:tcBorders>
            <w:noWrap w:val="0"/>
            <w:vAlign w:val="top"/>
          </w:tcPr>
          <w:p>
            <w:pPr>
              <w:ind w:firstLine="482"/>
              <w:jc w:val="center"/>
              <w:rPr>
                <w:rFonts w:hint="eastAsia" w:ascii="宋体" w:hAnsi="宋体" w:cs="宋体"/>
                <w:b/>
                <w:color w:val="auto"/>
                <w:szCs w:val="21"/>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cs="宋体"/>
                <w:color w:val="auto"/>
                <w:szCs w:val="21"/>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cs="宋体"/>
                <w:color w:val="auto"/>
                <w:szCs w:val="21"/>
              </w:rPr>
            </w:pPr>
          </w:p>
        </w:tc>
        <w:tc>
          <w:tcPr>
            <w:tcW w:w="1039"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cs="宋体"/>
                <w:color w:val="auto"/>
                <w:szCs w:val="21"/>
              </w:rPr>
            </w:pPr>
          </w:p>
        </w:tc>
      </w:tr>
      <w:tr>
        <w:tblPrEx>
          <w:tblCellMar>
            <w:top w:w="0" w:type="dxa"/>
            <w:left w:w="30" w:type="dxa"/>
            <w:bottom w:w="0" w:type="dxa"/>
            <w:right w:w="30" w:type="dxa"/>
          </w:tblCellMar>
        </w:tblPrEx>
        <w:trPr>
          <w:trHeight w:val="579" w:hRule="exact"/>
          <w:jc w:val="center"/>
        </w:trPr>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宋体" w:hAnsi="宋体" w:cs="宋体"/>
                <w:color w:val="auto"/>
                <w:szCs w:val="21"/>
              </w:rPr>
            </w:pPr>
            <w:r>
              <w:rPr>
                <w:rFonts w:hint="eastAsia" w:ascii="宋体" w:hAnsi="宋体" w:cs="宋体"/>
                <w:color w:val="auto"/>
                <w:szCs w:val="21"/>
              </w:rPr>
              <w:t>5</w:t>
            </w:r>
          </w:p>
        </w:tc>
        <w:tc>
          <w:tcPr>
            <w:tcW w:w="1148"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宋体" w:hAnsi="宋体" w:cs="宋体"/>
                <w:color w:val="auto"/>
                <w:szCs w:val="21"/>
              </w:rPr>
            </w:pPr>
          </w:p>
        </w:tc>
        <w:tc>
          <w:tcPr>
            <w:tcW w:w="1971"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宋体" w:hAnsi="宋体" w:cs="宋体"/>
                <w:color w:val="auto"/>
                <w:szCs w:val="21"/>
              </w:rPr>
            </w:pPr>
          </w:p>
        </w:tc>
        <w:tc>
          <w:tcPr>
            <w:tcW w:w="778" w:type="dxa"/>
            <w:tcBorders>
              <w:top w:val="single" w:color="auto" w:sz="8" w:space="0"/>
              <w:left w:val="single" w:color="auto" w:sz="8" w:space="0"/>
              <w:bottom w:val="single" w:color="auto" w:sz="8" w:space="0"/>
              <w:right w:val="single" w:color="auto" w:sz="8" w:space="0"/>
            </w:tcBorders>
            <w:noWrap w:val="0"/>
            <w:vAlign w:val="center"/>
          </w:tcPr>
          <w:p>
            <w:pPr>
              <w:ind w:firstLine="482"/>
              <w:jc w:val="center"/>
              <w:rPr>
                <w:rFonts w:hint="eastAsia" w:ascii="宋体" w:hAnsi="宋体" w:cs="宋体"/>
                <w:b/>
                <w:color w:val="auto"/>
                <w:szCs w:val="21"/>
              </w:rPr>
            </w:pPr>
          </w:p>
        </w:tc>
        <w:tc>
          <w:tcPr>
            <w:tcW w:w="800" w:type="dxa"/>
            <w:tcBorders>
              <w:top w:val="single" w:color="auto" w:sz="8" w:space="0"/>
              <w:left w:val="single" w:color="auto" w:sz="8" w:space="0"/>
              <w:bottom w:val="single" w:color="auto" w:sz="8" w:space="0"/>
              <w:right w:val="single" w:color="auto" w:sz="8" w:space="0"/>
            </w:tcBorders>
            <w:noWrap w:val="0"/>
            <w:vAlign w:val="top"/>
          </w:tcPr>
          <w:p>
            <w:pPr>
              <w:ind w:firstLine="482"/>
              <w:jc w:val="center"/>
              <w:rPr>
                <w:rFonts w:hint="eastAsia" w:ascii="宋体" w:hAnsi="宋体" w:cs="宋体"/>
                <w:b/>
                <w:color w:val="auto"/>
                <w:szCs w:val="21"/>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cs="宋体"/>
                <w:color w:val="auto"/>
                <w:szCs w:val="21"/>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cs="宋体"/>
                <w:color w:val="auto"/>
                <w:szCs w:val="21"/>
              </w:rPr>
            </w:pPr>
          </w:p>
        </w:tc>
        <w:tc>
          <w:tcPr>
            <w:tcW w:w="1039"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cs="宋体"/>
                <w:color w:val="auto"/>
                <w:szCs w:val="21"/>
              </w:rPr>
            </w:pPr>
          </w:p>
        </w:tc>
      </w:tr>
      <w:tr>
        <w:tblPrEx>
          <w:tblCellMar>
            <w:top w:w="0" w:type="dxa"/>
            <w:left w:w="30" w:type="dxa"/>
            <w:bottom w:w="0" w:type="dxa"/>
            <w:right w:w="30" w:type="dxa"/>
          </w:tblCellMar>
        </w:tblPrEx>
        <w:trPr>
          <w:trHeight w:val="579" w:hRule="exact"/>
          <w:jc w:val="center"/>
        </w:trPr>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ind w:firstLine="174" w:firstLineChars="83"/>
              <w:jc w:val="center"/>
              <w:rPr>
                <w:rFonts w:hint="eastAsia" w:ascii="宋体" w:hAnsi="宋体" w:cs="宋体"/>
                <w:color w:val="auto"/>
                <w:szCs w:val="21"/>
              </w:rPr>
            </w:pPr>
            <w:r>
              <w:rPr>
                <w:rFonts w:hint="eastAsia" w:ascii="宋体" w:hAnsi="宋体" w:cs="宋体"/>
                <w:color w:val="auto"/>
                <w:szCs w:val="21"/>
              </w:rPr>
              <w:t>…</w:t>
            </w:r>
          </w:p>
        </w:tc>
        <w:tc>
          <w:tcPr>
            <w:tcW w:w="1148" w:type="dxa"/>
            <w:tcBorders>
              <w:top w:val="single" w:color="auto" w:sz="8" w:space="0"/>
              <w:left w:val="single" w:color="auto" w:sz="8" w:space="0"/>
              <w:bottom w:val="single" w:color="auto" w:sz="8" w:space="0"/>
              <w:right w:val="single" w:color="auto" w:sz="8" w:space="0"/>
            </w:tcBorders>
            <w:noWrap w:val="0"/>
            <w:vAlign w:val="center"/>
          </w:tcPr>
          <w:p>
            <w:pPr>
              <w:rPr>
                <w:rFonts w:hint="eastAsia" w:ascii="宋体" w:hAnsi="宋体" w:cs="宋体"/>
                <w:b/>
                <w:color w:val="auto"/>
                <w:szCs w:val="21"/>
              </w:rPr>
            </w:pPr>
            <w:r>
              <w:rPr>
                <w:rFonts w:hint="eastAsia" w:ascii="宋体" w:hAnsi="宋体" w:cs="宋体"/>
                <w:b/>
                <w:color w:val="auto"/>
                <w:szCs w:val="21"/>
              </w:rPr>
              <w:t xml:space="preserve"> </w:t>
            </w:r>
          </w:p>
        </w:tc>
        <w:tc>
          <w:tcPr>
            <w:tcW w:w="1971" w:type="dxa"/>
            <w:tcBorders>
              <w:top w:val="single" w:color="auto" w:sz="8" w:space="0"/>
              <w:left w:val="single" w:color="auto" w:sz="8" w:space="0"/>
              <w:bottom w:val="single" w:color="auto" w:sz="8" w:space="0"/>
              <w:right w:val="single" w:color="auto" w:sz="8" w:space="0"/>
            </w:tcBorders>
            <w:noWrap w:val="0"/>
            <w:vAlign w:val="center"/>
          </w:tcPr>
          <w:p>
            <w:pPr>
              <w:rPr>
                <w:rFonts w:hint="eastAsia" w:ascii="宋体" w:hAnsi="宋体" w:cs="宋体"/>
                <w:b/>
                <w:color w:val="auto"/>
                <w:szCs w:val="21"/>
              </w:rPr>
            </w:pPr>
          </w:p>
        </w:tc>
        <w:tc>
          <w:tcPr>
            <w:tcW w:w="778" w:type="dxa"/>
            <w:tcBorders>
              <w:top w:val="single" w:color="auto" w:sz="8" w:space="0"/>
              <w:left w:val="single" w:color="auto" w:sz="8" w:space="0"/>
              <w:bottom w:val="single" w:color="auto" w:sz="8" w:space="0"/>
              <w:right w:val="single" w:color="auto" w:sz="8" w:space="0"/>
            </w:tcBorders>
            <w:noWrap w:val="0"/>
            <w:vAlign w:val="center"/>
          </w:tcPr>
          <w:p>
            <w:pPr>
              <w:ind w:firstLine="482"/>
              <w:jc w:val="center"/>
              <w:rPr>
                <w:rFonts w:hint="eastAsia" w:ascii="宋体" w:hAnsi="宋体" w:cs="宋体"/>
                <w:b/>
                <w:color w:val="auto"/>
                <w:szCs w:val="21"/>
              </w:rPr>
            </w:pPr>
          </w:p>
        </w:tc>
        <w:tc>
          <w:tcPr>
            <w:tcW w:w="800" w:type="dxa"/>
            <w:tcBorders>
              <w:top w:val="single" w:color="auto" w:sz="8" w:space="0"/>
              <w:left w:val="single" w:color="auto" w:sz="8" w:space="0"/>
              <w:bottom w:val="single" w:color="auto" w:sz="8" w:space="0"/>
              <w:right w:val="single" w:color="auto" w:sz="8" w:space="0"/>
            </w:tcBorders>
            <w:noWrap w:val="0"/>
            <w:vAlign w:val="top"/>
          </w:tcPr>
          <w:p>
            <w:pPr>
              <w:ind w:firstLine="482"/>
              <w:jc w:val="center"/>
              <w:rPr>
                <w:rFonts w:hint="eastAsia" w:ascii="宋体" w:hAnsi="宋体" w:cs="宋体"/>
                <w:b/>
                <w:color w:val="auto"/>
                <w:szCs w:val="21"/>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cs="宋体"/>
                <w:color w:val="auto"/>
                <w:szCs w:val="21"/>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cs="宋体"/>
                <w:color w:val="auto"/>
                <w:szCs w:val="21"/>
              </w:rPr>
            </w:pPr>
          </w:p>
        </w:tc>
        <w:tc>
          <w:tcPr>
            <w:tcW w:w="1039"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cs="宋体"/>
                <w:color w:val="auto"/>
                <w:szCs w:val="21"/>
              </w:rPr>
            </w:pPr>
          </w:p>
        </w:tc>
      </w:tr>
      <w:tr>
        <w:tblPrEx>
          <w:tblCellMar>
            <w:top w:w="0" w:type="dxa"/>
            <w:left w:w="30" w:type="dxa"/>
            <w:bottom w:w="0" w:type="dxa"/>
            <w:right w:w="30" w:type="dxa"/>
          </w:tblCellMar>
        </w:tblPrEx>
        <w:trPr>
          <w:trHeight w:val="540" w:hRule="exact"/>
          <w:jc w:val="center"/>
        </w:trPr>
        <w:tc>
          <w:tcPr>
            <w:tcW w:w="1868" w:type="dxa"/>
            <w:gridSpan w:val="2"/>
            <w:vMerge w:val="restart"/>
            <w:tcBorders>
              <w:top w:val="single" w:color="auto" w:sz="8" w:space="0"/>
              <w:left w:val="single" w:color="auto" w:sz="8" w:space="0"/>
              <w:right w:val="single" w:color="auto" w:sz="8" w:space="0"/>
            </w:tcBorders>
            <w:noWrap w:val="0"/>
            <w:vAlign w:val="center"/>
          </w:tcPr>
          <w:p>
            <w:pPr>
              <w:autoSpaceDE w:val="0"/>
              <w:autoSpaceDN w:val="0"/>
              <w:adjustRightInd w:val="0"/>
              <w:ind w:firstLine="173" w:firstLineChars="82"/>
              <w:jc w:val="center"/>
              <w:rPr>
                <w:rFonts w:hint="eastAsia" w:ascii="宋体" w:hAnsi="宋体" w:cs="宋体"/>
                <w:color w:val="auto"/>
                <w:szCs w:val="21"/>
              </w:rPr>
            </w:pPr>
            <w:r>
              <w:rPr>
                <w:rFonts w:hint="eastAsia" w:ascii="宋体" w:hAnsi="宋体" w:cs="宋体"/>
                <w:b/>
                <w:color w:val="auto"/>
                <w:szCs w:val="21"/>
              </w:rPr>
              <w:t>合同金额</w:t>
            </w:r>
          </w:p>
        </w:tc>
        <w:tc>
          <w:tcPr>
            <w:tcW w:w="7108" w:type="dxa"/>
            <w:gridSpan w:val="6"/>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rPr>
                <w:rFonts w:hint="eastAsia" w:ascii="宋体" w:hAnsi="宋体" w:cs="宋体"/>
                <w:b/>
                <w:color w:val="auto"/>
                <w:szCs w:val="21"/>
              </w:rPr>
            </w:pPr>
            <w:r>
              <w:rPr>
                <w:rFonts w:hint="eastAsia" w:ascii="宋体" w:hAnsi="宋体" w:cs="宋体"/>
                <w:b/>
                <w:color w:val="auto"/>
                <w:szCs w:val="21"/>
              </w:rPr>
              <w:t>（小写）</w:t>
            </w:r>
          </w:p>
        </w:tc>
      </w:tr>
      <w:tr>
        <w:tblPrEx>
          <w:tblCellMar>
            <w:top w:w="0" w:type="dxa"/>
            <w:left w:w="30" w:type="dxa"/>
            <w:bottom w:w="0" w:type="dxa"/>
            <w:right w:w="30" w:type="dxa"/>
          </w:tblCellMar>
        </w:tblPrEx>
        <w:trPr>
          <w:trHeight w:val="615" w:hRule="exact"/>
          <w:jc w:val="center"/>
        </w:trPr>
        <w:tc>
          <w:tcPr>
            <w:tcW w:w="1868" w:type="dxa"/>
            <w:gridSpan w:val="2"/>
            <w:vMerge w:val="continue"/>
            <w:tcBorders>
              <w:left w:val="single" w:color="auto" w:sz="8" w:space="0"/>
              <w:bottom w:val="single" w:color="auto" w:sz="8" w:space="0"/>
              <w:right w:val="single" w:color="auto" w:sz="8" w:space="0"/>
            </w:tcBorders>
            <w:noWrap w:val="0"/>
            <w:vAlign w:val="center"/>
          </w:tcPr>
          <w:p>
            <w:pPr>
              <w:autoSpaceDE w:val="0"/>
              <w:autoSpaceDN w:val="0"/>
              <w:adjustRightInd w:val="0"/>
              <w:ind w:firstLine="480"/>
              <w:jc w:val="center"/>
              <w:rPr>
                <w:rFonts w:hint="eastAsia" w:ascii="宋体" w:hAnsi="宋体" w:cs="宋体"/>
                <w:color w:val="auto"/>
                <w:szCs w:val="21"/>
              </w:rPr>
            </w:pPr>
          </w:p>
        </w:tc>
        <w:tc>
          <w:tcPr>
            <w:tcW w:w="7108" w:type="dxa"/>
            <w:gridSpan w:val="6"/>
            <w:tcBorders>
              <w:top w:val="single" w:color="auto" w:sz="8" w:space="0"/>
              <w:left w:val="single" w:color="auto" w:sz="8" w:space="0"/>
              <w:bottom w:val="single" w:color="auto" w:sz="8" w:space="0"/>
              <w:right w:val="single" w:color="auto" w:sz="6" w:space="0"/>
            </w:tcBorders>
            <w:noWrap w:val="0"/>
            <w:vAlign w:val="center"/>
          </w:tcPr>
          <w:p>
            <w:pPr>
              <w:autoSpaceDE w:val="0"/>
              <w:autoSpaceDN w:val="0"/>
              <w:adjustRightInd w:val="0"/>
              <w:rPr>
                <w:rFonts w:hint="eastAsia" w:ascii="宋体" w:hAnsi="宋体" w:cs="宋体"/>
                <w:b/>
                <w:color w:val="auto"/>
                <w:szCs w:val="21"/>
              </w:rPr>
            </w:pPr>
            <w:r>
              <w:rPr>
                <w:rFonts w:hint="eastAsia" w:ascii="宋体" w:hAnsi="宋体" w:cs="宋体"/>
                <w:b/>
                <w:color w:val="auto"/>
                <w:szCs w:val="21"/>
              </w:rPr>
              <w:t>（大写）</w:t>
            </w:r>
          </w:p>
        </w:tc>
      </w:tr>
    </w:tbl>
    <w:p>
      <w:pPr>
        <w:widowControl w:val="0"/>
        <w:snapToGrid w:val="0"/>
        <w:spacing w:before="19" w:line="360" w:lineRule="auto"/>
        <w:jc w:val="both"/>
        <w:rPr>
          <w:rFonts w:hint="eastAsia" w:ascii="宋体" w:hAnsi="宋体" w:eastAsia="宋体" w:cs="宋体"/>
          <w:b/>
          <w:color w:val="auto"/>
          <w:sz w:val="24"/>
          <w:szCs w:val="24"/>
        </w:rPr>
      </w:pPr>
    </w:p>
    <w:p>
      <w:pPr>
        <w:widowControl w:val="0"/>
        <w:snapToGrid w:val="0"/>
        <w:spacing w:before="19" w:line="360" w:lineRule="auto"/>
        <w:jc w:val="both"/>
        <w:rPr>
          <w:rFonts w:hint="eastAsia" w:ascii="宋体" w:hAnsi="宋体" w:eastAsia="宋体" w:cs="宋体"/>
          <w:b/>
          <w:color w:val="auto"/>
          <w:sz w:val="24"/>
          <w:szCs w:val="24"/>
        </w:rPr>
      </w:pPr>
      <w:r>
        <w:rPr>
          <w:rFonts w:hint="eastAsia" w:ascii="宋体" w:hAnsi="宋体" w:cs="宋体"/>
          <w:b/>
          <w:color w:val="auto"/>
          <w:sz w:val="24"/>
          <w:szCs w:val="24"/>
          <w:lang w:val="en-US" w:eastAsia="zh-CN"/>
        </w:rPr>
        <w:t>二、</w:t>
      </w:r>
      <w:r>
        <w:rPr>
          <w:rFonts w:hint="eastAsia" w:ascii="宋体" w:hAnsi="宋体" w:eastAsia="宋体" w:cs="宋体"/>
          <w:b/>
          <w:color w:val="auto"/>
          <w:sz w:val="24"/>
          <w:szCs w:val="24"/>
        </w:rPr>
        <w:t>合同履行期限</w:t>
      </w:r>
    </w:p>
    <w:p>
      <w:pPr>
        <w:widowControl w:val="0"/>
        <w:snapToGrid w:val="0"/>
        <w:spacing w:before="19" w:line="360" w:lineRule="auto"/>
        <w:jc w:val="both"/>
        <w:rPr>
          <w:rFonts w:hint="eastAsia" w:ascii="宋体" w:hAnsi="宋体" w:cs="宋体"/>
          <w:b/>
          <w:color w:val="auto"/>
          <w:sz w:val="24"/>
          <w:szCs w:val="24"/>
          <w:lang w:val="en-US" w:eastAsia="zh-CN"/>
        </w:rPr>
      </w:pPr>
    </w:p>
    <w:p>
      <w:pPr>
        <w:widowControl w:val="0"/>
        <w:snapToGrid w:val="0"/>
        <w:spacing w:before="19" w:line="360" w:lineRule="auto"/>
        <w:jc w:val="both"/>
        <w:rPr>
          <w:rFonts w:hint="eastAsia" w:ascii="宋体" w:hAnsi="宋体" w:cs="宋体"/>
          <w:b/>
          <w:color w:val="auto"/>
          <w:sz w:val="24"/>
          <w:szCs w:val="24"/>
          <w:lang w:val="en-US" w:eastAsia="zh-CN"/>
        </w:rPr>
      </w:pPr>
      <w:r>
        <w:rPr>
          <w:rFonts w:hint="eastAsia" w:ascii="宋体" w:hAnsi="宋体" w:cs="宋体"/>
          <w:b/>
          <w:color w:val="auto"/>
          <w:sz w:val="24"/>
          <w:szCs w:val="24"/>
          <w:lang w:val="en-US" w:eastAsia="zh-CN"/>
        </w:rPr>
        <w:t>三、地点和方式</w:t>
      </w:r>
    </w:p>
    <w:p>
      <w:pPr>
        <w:numPr>
          <w:ilvl w:val="0"/>
          <w:numId w:val="0"/>
        </w:numPr>
        <w:snapToGrid w:val="0"/>
        <w:spacing w:line="360" w:lineRule="auto"/>
        <w:rPr>
          <w:rFonts w:hint="eastAsia" w:ascii="宋体" w:hAnsi="宋体" w:cs="宋体"/>
          <w:b/>
          <w:color w:val="auto"/>
          <w:sz w:val="28"/>
          <w:szCs w:val="28"/>
        </w:rPr>
      </w:pPr>
    </w:p>
    <w:p>
      <w:pPr>
        <w:widowControl w:val="0"/>
        <w:snapToGrid w:val="0"/>
        <w:spacing w:before="19" w:line="360" w:lineRule="auto"/>
        <w:jc w:val="both"/>
        <w:rPr>
          <w:rFonts w:hint="eastAsia" w:ascii="宋体" w:hAnsi="宋体" w:cs="宋体"/>
          <w:b/>
          <w:color w:val="auto"/>
          <w:sz w:val="24"/>
          <w:szCs w:val="24"/>
          <w:lang w:val="en-US" w:eastAsia="zh-CN"/>
        </w:rPr>
      </w:pPr>
      <w:r>
        <w:rPr>
          <w:rFonts w:hint="eastAsia" w:ascii="宋体" w:hAnsi="宋体" w:cs="宋体"/>
          <w:b/>
          <w:color w:val="auto"/>
          <w:sz w:val="24"/>
          <w:szCs w:val="24"/>
          <w:lang w:val="en-US" w:eastAsia="zh-CN"/>
        </w:rPr>
        <w:t>四、包装方式</w:t>
      </w:r>
    </w:p>
    <w:p>
      <w:pPr>
        <w:numPr>
          <w:ilvl w:val="0"/>
          <w:numId w:val="0"/>
        </w:numPr>
        <w:snapToGrid w:val="0"/>
        <w:spacing w:line="360" w:lineRule="auto"/>
        <w:rPr>
          <w:rFonts w:hint="eastAsia" w:ascii="宋体" w:hAnsi="宋体" w:cs="宋体"/>
          <w:b/>
          <w:color w:val="auto"/>
          <w:sz w:val="28"/>
          <w:szCs w:val="28"/>
        </w:rPr>
      </w:pPr>
    </w:p>
    <w:bookmarkEnd w:id="42"/>
    <w:bookmarkEnd w:id="43"/>
    <w:p>
      <w:pPr>
        <w:widowControl w:val="0"/>
        <w:snapToGrid w:val="0"/>
        <w:spacing w:before="19" w:line="360" w:lineRule="auto"/>
        <w:jc w:val="both"/>
        <w:rPr>
          <w:rFonts w:hint="eastAsia" w:ascii="宋体" w:hAnsi="宋体" w:cs="宋体"/>
          <w:b/>
          <w:color w:val="auto"/>
          <w:sz w:val="24"/>
          <w:szCs w:val="24"/>
          <w:lang w:val="en-US" w:eastAsia="zh-CN"/>
        </w:rPr>
      </w:pPr>
      <w:bookmarkStart w:id="44" w:name="_Toc424716420"/>
      <w:bookmarkStart w:id="45" w:name="_Toc424563315"/>
      <w:bookmarkStart w:id="46" w:name="_Toc425425703"/>
      <w:bookmarkStart w:id="47" w:name="_Toc424566854"/>
      <w:r>
        <w:rPr>
          <w:rFonts w:hint="eastAsia" w:ascii="宋体" w:hAnsi="宋体" w:cs="宋体"/>
          <w:b/>
          <w:color w:val="auto"/>
          <w:sz w:val="24"/>
          <w:szCs w:val="24"/>
          <w:lang w:val="en-US" w:eastAsia="zh-CN"/>
        </w:rPr>
        <w:t>五、付款条件</w:t>
      </w:r>
    </w:p>
    <w:p>
      <w:pPr>
        <w:widowControl w:val="0"/>
        <w:snapToGrid w:val="0"/>
        <w:spacing w:before="19" w:line="360" w:lineRule="auto"/>
        <w:jc w:val="both"/>
        <w:rPr>
          <w:rFonts w:hint="eastAsia" w:ascii="宋体" w:hAnsi="宋体" w:cs="宋体"/>
          <w:b/>
          <w:color w:val="auto"/>
          <w:sz w:val="24"/>
          <w:szCs w:val="24"/>
          <w:lang w:val="en-US" w:eastAsia="zh-CN"/>
        </w:rPr>
      </w:pPr>
    </w:p>
    <w:p>
      <w:pPr>
        <w:widowControl w:val="0"/>
        <w:snapToGrid w:val="0"/>
        <w:spacing w:before="19" w:line="360" w:lineRule="auto"/>
        <w:jc w:val="both"/>
        <w:rPr>
          <w:rFonts w:hint="eastAsia" w:ascii="宋体" w:hAnsi="宋体" w:cs="宋体"/>
          <w:b/>
          <w:color w:val="auto"/>
          <w:sz w:val="24"/>
          <w:szCs w:val="24"/>
          <w:lang w:val="en-US" w:eastAsia="zh-CN"/>
        </w:rPr>
      </w:pPr>
      <w:r>
        <w:rPr>
          <w:rFonts w:hint="eastAsia" w:ascii="宋体" w:hAnsi="宋体" w:cs="宋体"/>
          <w:b/>
          <w:color w:val="auto"/>
          <w:sz w:val="24"/>
          <w:szCs w:val="24"/>
          <w:lang w:val="en-US" w:eastAsia="zh-CN"/>
        </w:rPr>
        <w:t>六、验收、交付标准和办法</w:t>
      </w:r>
    </w:p>
    <w:p>
      <w:pPr>
        <w:numPr>
          <w:ilvl w:val="0"/>
          <w:numId w:val="0"/>
        </w:numPr>
        <w:snapToGrid w:val="0"/>
        <w:spacing w:line="360" w:lineRule="auto"/>
        <w:rPr>
          <w:rFonts w:hint="eastAsia" w:ascii="宋体" w:hAnsi="宋体" w:cs="宋体"/>
          <w:b/>
          <w:color w:val="auto"/>
          <w:sz w:val="28"/>
          <w:szCs w:val="28"/>
          <w:lang w:val="en-US" w:eastAsia="zh-CN"/>
        </w:rPr>
      </w:pPr>
    </w:p>
    <w:p>
      <w:pPr>
        <w:widowControl w:val="0"/>
        <w:snapToGrid w:val="0"/>
        <w:spacing w:before="19" w:line="360" w:lineRule="auto"/>
        <w:jc w:val="both"/>
        <w:rPr>
          <w:rFonts w:hint="default" w:ascii="宋体" w:hAnsi="宋体" w:cs="宋体"/>
          <w:b/>
          <w:color w:val="auto"/>
          <w:sz w:val="24"/>
          <w:szCs w:val="24"/>
          <w:lang w:val="en-US" w:eastAsia="zh-CN"/>
        </w:rPr>
      </w:pPr>
      <w:r>
        <w:rPr>
          <w:rFonts w:hint="eastAsia" w:ascii="宋体" w:hAnsi="宋体" w:cs="宋体"/>
          <w:b/>
          <w:color w:val="auto"/>
          <w:sz w:val="24"/>
          <w:szCs w:val="24"/>
          <w:lang w:val="en-US" w:eastAsia="zh-CN"/>
        </w:rPr>
        <w:t>七、质量保修范围和保修期限</w:t>
      </w:r>
    </w:p>
    <w:p>
      <w:pPr>
        <w:numPr>
          <w:ilvl w:val="0"/>
          <w:numId w:val="0"/>
        </w:numPr>
        <w:snapToGrid w:val="0"/>
        <w:spacing w:line="360" w:lineRule="auto"/>
        <w:rPr>
          <w:rFonts w:hint="default" w:ascii="宋体" w:hAnsi="宋体" w:cs="宋体"/>
          <w:b/>
          <w:color w:val="auto"/>
          <w:sz w:val="28"/>
          <w:szCs w:val="28"/>
          <w:lang w:val="en-US" w:eastAsia="zh-CN"/>
        </w:rPr>
      </w:pPr>
    </w:p>
    <w:bookmarkEnd w:id="44"/>
    <w:bookmarkEnd w:id="45"/>
    <w:bookmarkEnd w:id="46"/>
    <w:bookmarkEnd w:id="47"/>
    <w:p>
      <w:pPr>
        <w:widowControl w:val="0"/>
        <w:snapToGrid w:val="0"/>
        <w:spacing w:before="19" w:line="360" w:lineRule="auto"/>
        <w:jc w:val="both"/>
        <w:rPr>
          <w:rFonts w:hint="eastAsia" w:ascii="宋体" w:hAnsi="宋体" w:cs="宋体"/>
          <w:b/>
          <w:color w:val="auto"/>
          <w:sz w:val="24"/>
          <w:szCs w:val="24"/>
          <w:lang w:val="en-US" w:eastAsia="zh-CN"/>
        </w:rPr>
      </w:pPr>
      <w:r>
        <w:rPr>
          <w:rFonts w:hint="eastAsia" w:ascii="宋体" w:hAnsi="宋体" w:cs="宋体"/>
          <w:b/>
          <w:color w:val="auto"/>
          <w:sz w:val="24"/>
          <w:szCs w:val="24"/>
          <w:lang w:val="en-US" w:eastAsia="zh-CN"/>
        </w:rPr>
        <w:t>八、违约赔偿</w:t>
      </w:r>
    </w:p>
    <w:p>
      <w:pPr>
        <w:snapToGrid w:val="0"/>
        <w:spacing w:line="360" w:lineRule="auto"/>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1. 除下一条规定的不可抗力外，如果乙方没有按照合同规定的时间交货和提供服务，甲方可从合同款中扣除违约赔偿费，每延迟一个工作日迟交货物（含软件及相关服务）或未提供服务或提供产品及服务不满足项目需求，按合同金额的1％/天计扣违约赔偿费。但违约赔偿费的最高限额为合同金额的10％。如果乙方延迟交货时间超过一个月，甲方有权终止合同，并按合同约定及法律规定追究乙方的违约责任。</w:t>
      </w:r>
    </w:p>
    <w:p>
      <w:pPr>
        <w:snapToGrid w:val="0"/>
        <w:spacing w:line="360" w:lineRule="auto"/>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2.如果双方中任何一方由于战争、严重火灾、水灾、台风和地震以及其它经双方同意属于不可抗力的事故，致使合同履行受阻时，履行合同的期限应予以延长，延长的期限应相当于事故所影响的时间。</w:t>
      </w:r>
    </w:p>
    <w:p>
      <w:pPr>
        <w:widowControl w:val="0"/>
        <w:snapToGrid w:val="0"/>
        <w:spacing w:before="19" w:line="360" w:lineRule="auto"/>
        <w:jc w:val="both"/>
        <w:rPr>
          <w:rFonts w:hint="eastAsia" w:ascii="宋体" w:hAnsi="宋体" w:cs="宋体"/>
          <w:b/>
          <w:color w:val="auto"/>
          <w:sz w:val="24"/>
          <w:szCs w:val="24"/>
          <w:lang w:val="en-US" w:eastAsia="zh-CN"/>
        </w:rPr>
      </w:pPr>
      <w:bookmarkStart w:id="48" w:name="_Toc417386177"/>
      <w:bookmarkStart w:id="49" w:name="_Toc462068969"/>
      <w:r>
        <w:rPr>
          <w:rFonts w:hint="eastAsia" w:ascii="宋体" w:hAnsi="宋体" w:cs="宋体"/>
          <w:b/>
          <w:color w:val="auto"/>
          <w:sz w:val="24"/>
          <w:szCs w:val="24"/>
          <w:lang w:val="en-US" w:eastAsia="zh-CN"/>
        </w:rPr>
        <w:t>九、合同纠纷处理</w:t>
      </w:r>
      <w:bookmarkEnd w:id="48"/>
      <w:bookmarkEnd w:id="49"/>
    </w:p>
    <w:p>
      <w:pPr>
        <w:tabs>
          <w:tab w:val="left" w:pos="1980"/>
        </w:tabs>
        <w:snapToGrid w:val="0"/>
        <w:spacing w:line="360" w:lineRule="auto"/>
        <w:ind w:firstLine="470" w:firstLineChars="196"/>
        <w:rPr>
          <w:rFonts w:hint="eastAsia" w:ascii="宋体" w:hAnsi="宋体" w:eastAsia="宋体" w:cs="宋体"/>
          <w:color w:val="auto"/>
          <w:sz w:val="24"/>
          <w:szCs w:val="24"/>
        </w:rPr>
      </w:pPr>
      <w:bookmarkStart w:id="50" w:name="_Toc417386178"/>
      <w:bookmarkStart w:id="51" w:name="_Toc462068970"/>
      <w:r>
        <w:rPr>
          <w:rFonts w:hint="eastAsia" w:ascii="宋体" w:hAnsi="宋体" w:eastAsia="宋体" w:cs="宋体"/>
          <w:color w:val="auto"/>
          <w:sz w:val="24"/>
          <w:szCs w:val="24"/>
        </w:rPr>
        <w:t>本合同履行过程中发生纠纷，应协商解决，协商不成，可向人民法院提起诉讼解决。</w:t>
      </w:r>
    </w:p>
    <w:p>
      <w:pPr>
        <w:snapToGrid w:val="0"/>
        <w:spacing w:line="360" w:lineRule="auto"/>
        <w:jc w:val="both"/>
        <w:rPr>
          <w:rFonts w:hint="eastAsia" w:ascii="宋体" w:hAnsi="宋体" w:eastAsia="宋体" w:cs="宋体"/>
          <w:b/>
          <w:color w:val="auto"/>
          <w:sz w:val="24"/>
          <w:szCs w:val="24"/>
        </w:rPr>
      </w:pPr>
      <w:r>
        <w:rPr>
          <w:rFonts w:hint="eastAsia" w:ascii="宋体" w:hAnsi="宋体" w:cs="宋体"/>
          <w:b/>
          <w:color w:val="auto"/>
          <w:sz w:val="24"/>
          <w:szCs w:val="24"/>
          <w:lang w:val="en-US" w:eastAsia="zh-CN"/>
        </w:rPr>
        <w:t>十</w:t>
      </w:r>
      <w:r>
        <w:rPr>
          <w:rFonts w:hint="eastAsia" w:ascii="宋体" w:hAnsi="宋体" w:eastAsia="宋体" w:cs="宋体"/>
          <w:b/>
          <w:color w:val="auto"/>
          <w:sz w:val="24"/>
          <w:szCs w:val="24"/>
        </w:rPr>
        <w:t>、合同生效</w:t>
      </w:r>
      <w:bookmarkEnd w:id="50"/>
      <w:bookmarkEnd w:id="51"/>
    </w:p>
    <w:p>
      <w:pPr>
        <w:snapToGrid w:val="0"/>
        <w:spacing w:line="360" w:lineRule="auto"/>
        <w:ind w:left="555"/>
        <w:jc w:val="both"/>
        <w:rPr>
          <w:rFonts w:hint="eastAsia" w:ascii="宋体" w:hAnsi="宋体" w:eastAsia="宋体" w:cs="宋体"/>
          <w:color w:val="auto"/>
          <w:sz w:val="24"/>
          <w:szCs w:val="24"/>
        </w:rPr>
      </w:pPr>
      <w:r>
        <w:rPr>
          <w:rFonts w:hint="eastAsia" w:ascii="宋体" w:hAnsi="宋体" w:eastAsia="宋体" w:cs="宋体"/>
          <w:color w:val="auto"/>
          <w:sz w:val="24"/>
          <w:szCs w:val="24"/>
        </w:rPr>
        <w:t>本合同由甲乙双方签字盖章后生效。</w:t>
      </w:r>
    </w:p>
    <w:p>
      <w:pPr>
        <w:snapToGrid w:val="0"/>
        <w:spacing w:line="360" w:lineRule="auto"/>
        <w:jc w:val="both"/>
        <w:rPr>
          <w:rFonts w:hint="eastAsia" w:ascii="宋体" w:hAnsi="宋体" w:eastAsia="宋体" w:cs="宋体"/>
          <w:b/>
          <w:color w:val="auto"/>
          <w:sz w:val="24"/>
          <w:szCs w:val="24"/>
        </w:rPr>
      </w:pPr>
      <w:bookmarkStart w:id="52" w:name="_Toc462068971"/>
      <w:bookmarkStart w:id="53" w:name="_Toc417386179"/>
      <w:r>
        <w:rPr>
          <w:rFonts w:hint="eastAsia" w:ascii="宋体" w:hAnsi="宋体" w:cs="宋体"/>
          <w:b/>
          <w:color w:val="auto"/>
          <w:sz w:val="24"/>
          <w:szCs w:val="24"/>
          <w:lang w:val="en-US" w:eastAsia="zh-CN"/>
        </w:rPr>
        <w:t>十一</w:t>
      </w:r>
      <w:r>
        <w:rPr>
          <w:rFonts w:hint="eastAsia" w:ascii="宋体" w:hAnsi="宋体" w:eastAsia="宋体" w:cs="宋体"/>
          <w:b/>
          <w:color w:val="auto"/>
          <w:sz w:val="24"/>
          <w:szCs w:val="24"/>
        </w:rPr>
        <w:t>、合同鉴证</w:t>
      </w:r>
      <w:bookmarkEnd w:id="52"/>
      <w:bookmarkEnd w:id="53"/>
    </w:p>
    <w:p>
      <w:pPr>
        <w:snapToGrid w:val="0"/>
        <w:spacing w:line="360" w:lineRule="auto"/>
        <w:ind w:firstLine="480" w:firstLineChars="200"/>
        <w:jc w:val="both"/>
        <w:rPr>
          <w:rFonts w:hint="eastAsia" w:ascii="宋体" w:hAnsi="宋体" w:eastAsia="宋体" w:cs="宋体"/>
          <w:b/>
          <w:color w:val="auto"/>
          <w:sz w:val="24"/>
          <w:szCs w:val="24"/>
        </w:rPr>
      </w:pPr>
      <w:r>
        <w:rPr>
          <w:rFonts w:hint="eastAsia" w:ascii="宋体" w:hAnsi="宋体" w:eastAsia="宋体" w:cs="宋体"/>
          <w:color w:val="auto"/>
          <w:sz w:val="24"/>
          <w:szCs w:val="24"/>
          <w:lang w:eastAsia="zh-CN"/>
        </w:rPr>
        <w:t>采购代理机构</w:t>
      </w:r>
      <w:r>
        <w:rPr>
          <w:rFonts w:hint="eastAsia" w:ascii="宋体" w:hAnsi="宋体" w:eastAsia="宋体" w:cs="宋体"/>
          <w:color w:val="auto"/>
          <w:sz w:val="24"/>
          <w:szCs w:val="24"/>
        </w:rPr>
        <w:t>应当在本合同上签章，以证明本合同条款与招标文件、投标文件的相关要求相符并且未对采购内容和技术参数进行实质性修改。</w:t>
      </w:r>
    </w:p>
    <w:p>
      <w:pPr>
        <w:snapToGrid w:val="0"/>
        <w:spacing w:line="360" w:lineRule="auto"/>
        <w:jc w:val="both"/>
        <w:rPr>
          <w:rFonts w:hint="eastAsia" w:ascii="宋体" w:hAnsi="宋体" w:eastAsia="宋体" w:cs="宋体"/>
          <w:b/>
          <w:color w:val="auto"/>
          <w:sz w:val="24"/>
          <w:szCs w:val="24"/>
        </w:rPr>
      </w:pPr>
      <w:bookmarkStart w:id="54" w:name="_Toc462068972"/>
      <w:bookmarkStart w:id="55" w:name="_Toc417386180"/>
      <w:r>
        <w:rPr>
          <w:rFonts w:hint="eastAsia" w:ascii="宋体" w:hAnsi="宋体" w:cs="宋体"/>
          <w:b/>
          <w:color w:val="auto"/>
          <w:sz w:val="24"/>
          <w:szCs w:val="24"/>
          <w:lang w:val="en-US" w:eastAsia="zh-CN"/>
        </w:rPr>
        <w:t>十二</w:t>
      </w:r>
      <w:r>
        <w:rPr>
          <w:rFonts w:hint="eastAsia" w:ascii="宋体" w:hAnsi="宋体" w:eastAsia="宋体" w:cs="宋体"/>
          <w:b/>
          <w:color w:val="auto"/>
          <w:sz w:val="24"/>
          <w:szCs w:val="24"/>
        </w:rPr>
        <w:t>、本合同的组成文件</w:t>
      </w:r>
      <w:bookmarkEnd w:id="54"/>
      <w:bookmarkEnd w:id="55"/>
    </w:p>
    <w:p>
      <w:pPr>
        <w:snapToGrid w:val="0"/>
        <w:spacing w:line="360" w:lineRule="auto"/>
        <w:ind w:left="555"/>
        <w:jc w:val="both"/>
        <w:rPr>
          <w:rFonts w:hint="eastAsia" w:ascii="宋体" w:hAnsi="宋体" w:eastAsia="宋体" w:cs="宋体"/>
          <w:color w:val="auto"/>
          <w:sz w:val="24"/>
          <w:szCs w:val="24"/>
        </w:rPr>
      </w:pPr>
      <w:r>
        <w:rPr>
          <w:rFonts w:hint="eastAsia" w:ascii="宋体" w:hAnsi="宋体" w:eastAsia="宋体" w:cs="宋体"/>
          <w:color w:val="auto"/>
          <w:sz w:val="24"/>
          <w:szCs w:val="24"/>
        </w:rPr>
        <w:t>1.合同通用条款和专用条款；</w:t>
      </w:r>
    </w:p>
    <w:p>
      <w:pPr>
        <w:snapToGrid w:val="0"/>
        <w:spacing w:line="360" w:lineRule="auto"/>
        <w:ind w:left="555"/>
        <w:jc w:val="both"/>
        <w:rPr>
          <w:rFonts w:hint="eastAsia" w:ascii="宋体" w:hAnsi="宋体" w:eastAsia="宋体" w:cs="宋体"/>
          <w:color w:val="auto"/>
          <w:sz w:val="24"/>
          <w:szCs w:val="24"/>
        </w:rPr>
      </w:pPr>
      <w:r>
        <w:rPr>
          <w:rFonts w:hint="eastAsia" w:ascii="宋体" w:hAnsi="宋体" w:eastAsia="宋体" w:cs="宋体"/>
          <w:color w:val="auto"/>
          <w:sz w:val="24"/>
          <w:szCs w:val="24"/>
        </w:rPr>
        <w:t>2.招标文件、乙方的投标文件和评标时的澄清函（如有）；</w:t>
      </w:r>
    </w:p>
    <w:p>
      <w:pPr>
        <w:snapToGrid w:val="0"/>
        <w:spacing w:line="360" w:lineRule="auto"/>
        <w:ind w:left="555"/>
        <w:jc w:val="both"/>
        <w:rPr>
          <w:rFonts w:hint="eastAsia" w:ascii="宋体" w:hAnsi="宋体" w:eastAsia="宋体" w:cs="宋体"/>
          <w:color w:val="auto"/>
          <w:sz w:val="24"/>
          <w:szCs w:val="24"/>
        </w:rPr>
      </w:pPr>
      <w:r>
        <w:rPr>
          <w:rFonts w:hint="eastAsia" w:ascii="宋体" w:hAnsi="宋体" w:eastAsia="宋体" w:cs="宋体"/>
          <w:color w:val="auto"/>
          <w:sz w:val="24"/>
          <w:szCs w:val="24"/>
        </w:rPr>
        <w:t>3.中标通知书；</w:t>
      </w:r>
    </w:p>
    <w:p>
      <w:pPr>
        <w:snapToGrid w:val="0"/>
        <w:spacing w:line="360" w:lineRule="auto"/>
        <w:ind w:left="555"/>
        <w:jc w:val="both"/>
        <w:rPr>
          <w:rFonts w:hint="eastAsia" w:ascii="宋体" w:hAnsi="宋体" w:eastAsia="宋体" w:cs="宋体"/>
          <w:color w:val="auto"/>
          <w:sz w:val="24"/>
          <w:szCs w:val="24"/>
        </w:rPr>
      </w:pPr>
      <w:r>
        <w:rPr>
          <w:rFonts w:hint="eastAsia" w:ascii="宋体" w:hAnsi="宋体" w:eastAsia="宋体" w:cs="宋体"/>
          <w:color w:val="auto"/>
          <w:sz w:val="24"/>
          <w:szCs w:val="24"/>
        </w:rPr>
        <w:t>4.甲乙双方商定的其他必要文件。</w:t>
      </w:r>
    </w:p>
    <w:p>
      <w:pPr>
        <w:snapToGrid w:val="0"/>
        <w:spacing w:line="360" w:lineRule="auto"/>
        <w:ind w:firstLine="480" w:firstLineChars="200"/>
        <w:jc w:val="both"/>
        <w:rPr>
          <w:rFonts w:hint="eastAsia" w:ascii="宋体" w:hAnsi="宋体" w:eastAsia="宋体" w:cs="宋体"/>
          <w:bCs/>
          <w:color w:val="auto"/>
          <w:sz w:val="24"/>
          <w:szCs w:val="24"/>
        </w:rPr>
      </w:pPr>
      <w:r>
        <w:rPr>
          <w:rFonts w:hint="eastAsia" w:ascii="宋体" w:hAnsi="宋体" w:eastAsia="宋体" w:cs="宋体"/>
          <w:bCs/>
          <w:color w:val="auto"/>
          <w:sz w:val="24"/>
          <w:szCs w:val="24"/>
        </w:rPr>
        <w:t>上述合同文件内容互为补充，如有不明确，由甲方负责解释。</w:t>
      </w:r>
    </w:p>
    <w:p>
      <w:pPr>
        <w:snapToGrid w:val="0"/>
        <w:spacing w:line="360" w:lineRule="auto"/>
        <w:jc w:val="both"/>
        <w:rPr>
          <w:rFonts w:hint="eastAsia" w:ascii="宋体" w:hAnsi="宋体" w:eastAsia="宋体" w:cs="宋体"/>
          <w:b/>
          <w:color w:val="auto"/>
          <w:sz w:val="24"/>
          <w:szCs w:val="24"/>
        </w:rPr>
      </w:pPr>
      <w:bookmarkStart w:id="56" w:name="_Toc417386181"/>
      <w:bookmarkStart w:id="57" w:name="_Toc462068973"/>
      <w:r>
        <w:rPr>
          <w:rFonts w:hint="eastAsia" w:ascii="宋体" w:hAnsi="宋体" w:cs="宋体"/>
          <w:b/>
          <w:color w:val="auto"/>
          <w:sz w:val="24"/>
          <w:szCs w:val="24"/>
          <w:lang w:val="en-US" w:eastAsia="zh-CN"/>
        </w:rPr>
        <w:t>十三</w:t>
      </w:r>
      <w:r>
        <w:rPr>
          <w:rFonts w:hint="eastAsia" w:ascii="宋体" w:hAnsi="宋体" w:eastAsia="宋体" w:cs="宋体"/>
          <w:b/>
          <w:color w:val="auto"/>
          <w:sz w:val="24"/>
          <w:szCs w:val="24"/>
        </w:rPr>
        <w:t>、合同备案</w:t>
      </w:r>
      <w:bookmarkEnd w:id="56"/>
      <w:bookmarkEnd w:id="57"/>
    </w:p>
    <w:p>
      <w:pPr>
        <w:snapToGrid w:val="0"/>
        <w:spacing w:line="360" w:lineRule="auto"/>
        <w:ind w:firstLine="480" w:firstLineChars="200"/>
        <w:jc w:val="both"/>
        <w:rPr>
          <w:rFonts w:hint="eastAsia" w:ascii="宋体" w:hAnsi="宋体" w:eastAsia="宋体" w:cs="宋体"/>
          <w:color w:val="auto"/>
          <w:sz w:val="24"/>
          <w:szCs w:val="24"/>
        </w:rPr>
      </w:pPr>
      <w:r>
        <w:rPr>
          <w:rFonts w:hint="eastAsia" w:ascii="宋体" w:hAnsi="宋体" w:eastAsia="宋体" w:cs="宋体"/>
          <w:bCs/>
          <w:color w:val="auto"/>
          <w:sz w:val="24"/>
          <w:szCs w:val="24"/>
        </w:rPr>
        <w:t>本合同一式</w:t>
      </w:r>
      <w:r>
        <w:rPr>
          <w:rFonts w:hint="eastAsia" w:ascii="宋体" w:hAnsi="宋体" w:eastAsia="宋体" w:cs="宋体"/>
          <w:bCs/>
          <w:color w:val="auto"/>
          <w:sz w:val="24"/>
          <w:szCs w:val="24"/>
          <w:lang w:val="en-US" w:eastAsia="zh-CN"/>
        </w:rPr>
        <w:t>三</w:t>
      </w:r>
      <w:r>
        <w:rPr>
          <w:rFonts w:hint="eastAsia" w:ascii="宋体" w:hAnsi="宋体" w:eastAsia="宋体" w:cs="宋体"/>
          <w:bCs/>
          <w:color w:val="auto"/>
          <w:sz w:val="24"/>
          <w:szCs w:val="24"/>
        </w:rPr>
        <w:t>份，中文书写。甲方</w:t>
      </w:r>
      <w:r>
        <w:rPr>
          <w:rFonts w:hint="eastAsia" w:ascii="宋体" w:hAnsi="宋体" w:eastAsia="宋体" w:cs="宋体"/>
          <w:bCs/>
          <w:color w:val="auto"/>
          <w:sz w:val="24"/>
          <w:szCs w:val="24"/>
          <w:lang w:eastAsia="zh-CN"/>
        </w:rPr>
        <w:t>、</w:t>
      </w:r>
      <w:r>
        <w:rPr>
          <w:rFonts w:hint="eastAsia" w:ascii="宋体" w:hAnsi="宋体" w:eastAsia="宋体" w:cs="宋体"/>
          <w:bCs/>
          <w:color w:val="auto"/>
          <w:sz w:val="24"/>
          <w:szCs w:val="24"/>
        </w:rPr>
        <w:t>乙方</w:t>
      </w:r>
      <w:r>
        <w:rPr>
          <w:rFonts w:hint="eastAsia" w:ascii="宋体" w:hAnsi="宋体" w:eastAsia="宋体" w:cs="宋体"/>
          <w:bCs/>
          <w:color w:val="auto"/>
          <w:sz w:val="24"/>
          <w:szCs w:val="24"/>
          <w:lang w:val="en-US" w:eastAsia="zh-CN"/>
        </w:rPr>
        <w:t>和</w:t>
      </w:r>
      <w:r>
        <w:rPr>
          <w:rFonts w:hint="eastAsia" w:ascii="宋体" w:hAnsi="宋体" w:eastAsia="宋体" w:cs="宋体"/>
          <w:bCs/>
          <w:color w:val="auto"/>
          <w:sz w:val="24"/>
          <w:szCs w:val="24"/>
          <w:lang w:eastAsia="zh-CN"/>
        </w:rPr>
        <w:t>采购代理机构</w:t>
      </w:r>
      <w:r>
        <w:rPr>
          <w:rFonts w:hint="eastAsia" w:ascii="宋体" w:hAnsi="宋体" w:eastAsia="宋体" w:cs="宋体"/>
          <w:bCs/>
          <w:color w:val="auto"/>
          <w:sz w:val="24"/>
          <w:szCs w:val="24"/>
        </w:rPr>
        <w:t>执</w:t>
      </w:r>
      <w:r>
        <w:rPr>
          <w:rFonts w:hint="eastAsia" w:ascii="宋体" w:hAnsi="宋体" w:eastAsia="宋体" w:cs="宋体"/>
          <w:bCs/>
          <w:color w:val="auto"/>
          <w:sz w:val="24"/>
          <w:szCs w:val="24"/>
          <w:lang w:val="en-US" w:eastAsia="zh-CN"/>
        </w:rPr>
        <w:t>一</w:t>
      </w:r>
      <w:r>
        <w:rPr>
          <w:rFonts w:hint="eastAsia" w:ascii="宋体" w:hAnsi="宋体" w:eastAsia="宋体" w:cs="宋体"/>
          <w:bCs/>
          <w:color w:val="auto"/>
          <w:sz w:val="24"/>
          <w:szCs w:val="24"/>
        </w:rPr>
        <w:t>份。</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80" w:firstLineChars="200"/>
        <w:jc w:val="both"/>
        <w:rPr>
          <w:rFonts w:hint="eastAsia" w:ascii="宋体" w:hAnsi="宋体" w:eastAsia="宋体" w:cs="宋体"/>
          <w:bCs/>
          <w:color w:val="auto"/>
          <w:sz w:val="24"/>
          <w:szCs w:val="24"/>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hint="eastAsia" w:ascii="宋体" w:hAnsi="宋体" w:eastAsia="宋体" w:cs="宋体"/>
          <w:color w:val="auto"/>
          <w:sz w:val="24"/>
          <w:szCs w:val="24"/>
        </w:rPr>
      </w:pPr>
      <w:r>
        <w:rPr>
          <w:rFonts w:hint="eastAsia" w:ascii="宋体" w:hAnsi="宋体" w:eastAsia="宋体" w:cs="宋体"/>
          <w:b/>
          <w:color w:val="auto"/>
          <w:sz w:val="24"/>
          <w:szCs w:val="24"/>
        </w:rPr>
        <w:t>甲方：</w:t>
      </w:r>
      <w:r>
        <w:rPr>
          <w:rFonts w:hint="eastAsia" w:ascii="宋体" w:hAnsi="宋体" w:eastAsia="宋体" w:cs="宋体"/>
          <w:b/>
          <w:color w:val="auto"/>
          <w:sz w:val="24"/>
          <w:szCs w:val="24"/>
          <w:u w:val="single"/>
        </w:rPr>
        <w:t xml:space="preserve">                   （盖章）</w:t>
      </w:r>
      <w:r>
        <w:rPr>
          <w:rFonts w:hint="eastAsia" w:ascii="宋体" w:hAnsi="宋体" w:eastAsia="宋体" w:cs="宋体"/>
          <w:b/>
          <w:color w:val="auto"/>
          <w:sz w:val="24"/>
          <w:szCs w:val="24"/>
        </w:rPr>
        <w:t xml:space="preserve">      乙方：</w:t>
      </w:r>
      <w:r>
        <w:rPr>
          <w:rFonts w:hint="eastAsia" w:ascii="宋体" w:hAnsi="宋体" w:eastAsia="宋体" w:cs="宋体"/>
          <w:b/>
          <w:color w:val="auto"/>
          <w:sz w:val="24"/>
          <w:szCs w:val="24"/>
          <w:u w:val="single"/>
        </w:rPr>
        <w:t xml:space="preserve">                  （盖章）</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hint="eastAsia" w:ascii="宋体" w:hAnsi="宋体" w:eastAsia="宋体" w:cs="宋体"/>
          <w:color w:val="auto"/>
          <w:sz w:val="24"/>
          <w:szCs w:val="24"/>
          <w:u w:val="single"/>
        </w:rPr>
      </w:pPr>
      <w:r>
        <w:rPr>
          <w:rFonts w:hint="eastAsia" w:ascii="宋体" w:hAnsi="宋体" w:eastAsia="宋体" w:cs="宋体"/>
          <w:color w:val="auto"/>
          <w:sz w:val="24"/>
          <w:szCs w:val="24"/>
        </w:rPr>
        <w:t>地址：</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地址：</w:t>
      </w:r>
      <w:r>
        <w:rPr>
          <w:rFonts w:hint="eastAsia" w:ascii="宋体" w:hAnsi="宋体" w:eastAsia="宋体" w:cs="宋体"/>
          <w:color w:val="auto"/>
          <w:sz w:val="24"/>
          <w:szCs w:val="24"/>
          <w:u w:val="single"/>
        </w:rPr>
        <w:t xml:space="preserve">                           </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hint="eastAsia" w:ascii="宋体" w:hAnsi="宋体" w:eastAsia="宋体" w:cs="宋体"/>
          <w:color w:val="auto"/>
          <w:sz w:val="24"/>
          <w:szCs w:val="24"/>
          <w:u w:val="single"/>
        </w:rPr>
      </w:pPr>
      <w:r>
        <w:rPr>
          <w:rFonts w:hint="eastAsia" w:ascii="宋体" w:hAnsi="宋体" w:eastAsia="宋体" w:cs="宋体"/>
          <w:color w:val="auto"/>
          <w:sz w:val="24"/>
          <w:szCs w:val="24"/>
        </w:rPr>
        <w:t>法定（或授权）代表人：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法定（或授权）代表人：</w:t>
      </w:r>
      <w:r>
        <w:rPr>
          <w:rFonts w:hint="eastAsia" w:ascii="宋体" w:hAnsi="宋体" w:eastAsia="宋体" w:cs="宋体"/>
          <w:color w:val="auto"/>
          <w:sz w:val="24"/>
          <w:szCs w:val="24"/>
          <w:u w:val="single"/>
        </w:rPr>
        <w:t xml:space="preserve">            </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hint="eastAsia" w:ascii="宋体" w:hAnsi="宋体" w:eastAsia="宋体" w:cs="宋体"/>
          <w:color w:val="auto"/>
          <w:sz w:val="24"/>
          <w:szCs w:val="24"/>
          <w:u w:val="single"/>
        </w:rPr>
      </w:pPr>
      <w:r>
        <w:rPr>
          <w:rFonts w:hint="eastAsia" w:ascii="宋体" w:hAnsi="宋体" w:eastAsia="宋体" w:cs="宋体"/>
          <w:color w:val="auto"/>
          <w:sz w:val="24"/>
          <w:szCs w:val="24"/>
        </w:rPr>
        <w:t>开户行：</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开户行：</w:t>
      </w:r>
      <w:r>
        <w:rPr>
          <w:rFonts w:hint="eastAsia" w:ascii="宋体" w:hAnsi="宋体" w:eastAsia="宋体" w:cs="宋体"/>
          <w:color w:val="auto"/>
          <w:sz w:val="24"/>
          <w:szCs w:val="24"/>
          <w:u w:val="single"/>
        </w:rPr>
        <w:t xml:space="preserve">                          </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hint="eastAsia" w:ascii="宋体" w:hAnsi="宋体" w:eastAsia="宋体" w:cs="宋体"/>
          <w:color w:val="auto"/>
          <w:sz w:val="24"/>
          <w:szCs w:val="24"/>
        </w:rPr>
      </w:pPr>
      <w:r>
        <w:rPr>
          <w:rFonts w:hint="eastAsia" w:ascii="宋体" w:hAnsi="宋体" w:eastAsia="宋体" w:cs="宋体"/>
          <w:color w:val="auto"/>
          <w:sz w:val="24"/>
          <w:szCs w:val="24"/>
        </w:rPr>
        <w:t>户名：</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户名：</w:t>
      </w:r>
      <w:r>
        <w:rPr>
          <w:rFonts w:hint="eastAsia" w:ascii="宋体" w:hAnsi="宋体" w:eastAsia="宋体" w:cs="宋体"/>
          <w:color w:val="auto"/>
          <w:sz w:val="24"/>
          <w:szCs w:val="24"/>
          <w:u w:val="single"/>
        </w:rPr>
        <w:t xml:space="preserve">                            </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hint="eastAsia" w:ascii="宋体" w:hAnsi="宋体" w:eastAsia="宋体" w:cs="宋体"/>
          <w:color w:val="auto"/>
          <w:sz w:val="24"/>
          <w:szCs w:val="24"/>
        </w:rPr>
      </w:pPr>
      <w:r>
        <w:rPr>
          <w:rFonts w:hint="eastAsia" w:ascii="宋体" w:hAnsi="宋体" w:eastAsia="宋体" w:cs="宋体"/>
          <w:color w:val="auto"/>
          <w:sz w:val="24"/>
          <w:szCs w:val="24"/>
        </w:rPr>
        <w:t>帐号：</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帐号：</w:t>
      </w:r>
      <w:r>
        <w:rPr>
          <w:rFonts w:hint="eastAsia" w:ascii="宋体" w:hAnsi="宋体" w:eastAsia="宋体" w:cs="宋体"/>
          <w:color w:val="auto"/>
          <w:sz w:val="24"/>
          <w:szCs w:val="24"/>
          <w:u w:val="single"/>
        </w:rPr>
        <w:t xml:space="preserve">                            </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日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pStyle w:val="6"/>
        <w:jc w:val="center"/>
        <w:rPr>
          <w:rFonts w:hint="eastAsia" w:ascii="仿宋" w:hAnsi="仿宋" w:eastAsia="仿宋" w:cs="仿宋"/>
          <w:color w:val="000000" w:themeColor="text1"/>
          <w14:textFill>
            <w14:solidFill>
              <w14:schemeClr w14:val="tx1"/>
            </w14:solidFill>
          </w14:textFill>
        </w:rPr>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0"/>
        <w:rPr>
          <w:rFonts w:hint="eastAsia" w:ascii="宋体" w:hAnsi="宋体" w:eastAsia="宋体" w:cs="宋体"/>
          <w:b/>
          <w:color w:val="auto"/>
          <w:kern w:val="0"/>
          <w:sz w:val="44"/>
          <w:szCs w:val="44"/>
          <w:lang w:eastAsia="zh-CN"/>
        </w:rPr>
      </w:pPr>
      <w:bookmarkStart w:id="58" w:name="_Toc11129"/>
      <w:bookmarkStart w:id="59" w:name="_Toc31397"/>
      <w:bookmarkStart w:id="60" w:name="_Toc31659"/>
      <w:r>
        <w:rPr>
          <w:rFonts w:hint="eastAsia" w:ascii="宋体" w:hAnsi="宋体" w:eastAsia="宋体" w:cs="宋体"/>
          <w:b/>
          <w:color w:val="auto"/>
          <w:kern w:val="0"/>
          <w:sz w:val="44"/>
          <w:szCs w:val="44"/>
          <w:lang w:eastAsia="zh-CN"/>
        </w:rPr>
        <w:t xml:space="preserve">第五章 </w:t>
      </w:r>
      <w:r>
        <w:rPr>
          <w:rFonts w:hint="eastAsia" w:ascii="宋体" w:hAnsi="宋体" w:cs="宋体"/>
          <w:b/>
          <w:color w:val="auto"/>
          <w:kern w:val="0"/>
          <w:sz w:val="44"/>
          <w:szCs w:val="44"/>
          <w:lang w:val="en-US" w:eastAsia="zh-CN"/>
        </w:rPr>
        <w:t>报价</w:t>
      </w:r>
      <w:r>
        <w:rPr>
          <w:rFonts w:hint="eastAsia" w:ascii="宋体" w:hAnsi="宋体" w:eastAsia="宋体" w:cs="宋体"/>
          <w:b/>
          <w:color w:val="auto"/>
          <w:kern w:val="0"/>
          <w:sz w:val="44"/>
          <w:szCs w:val="44"/>
          <w:lang w:eastAsia="zh-CN"/>
        </w:rPr>
        <w:t>文件内容和格式</w:t>
      </w:r>
      <w:bookmarkEnd w:id="58"/>
      <w:bookmarkEnd w:id="59"/>
      <w:bookmarkEnd w:id="60"/>
    </w:p>
    <w:p>
      <w:pPr>
        <w:rPr>
          <w:rFonts w:hint="eastAsia"/>
        </w:rPr>
      </w:pP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请供应商按照以下文件要求的格式、内容制作</w:t>
      </w:r>
      <w:r>
        <w:rPr>
          <w:rFonts w:hint="eastAsia" w:ascii="宋体" w:hAnsi="宋体" w:cs="宋体"/>
          <w:color w:val="auto"/>
          <w:sz w:val="24"/>
          <w:szCs w:val="24"/>
          <w:lang w:val="en-US" w:eastAsia="zh-CN"/>
        </w:rPr>
        <w:t>报价</w:t>
      </w:r>
      <w:r>
        <w:rPr>
          <w:rFonts w:hint="eastAsia" w:ascii="宋体" w:hAnsi="宋体" w:eastAsia="宋体" w:cs="宋体"/>
          <w:color w:val="auto"/>
          <w:sz w:val="24"/>
          <w:szCs w:val="24"/>
          <w:lang w:eastAsia="zh-CN"/>
        </w:rPr>
        <w:t>文件</w:t>
      </w:r>
      <w:r>
        <w:rPr>
          <w:rFonts w:hint="eastAsia" w:ascii="宋体" w:hAnsi="宋体" w:eastAsia="宋体" w:cs="宋体"/>
          <w:color w:val="auto"/>
          <w:sz w:val="24"/>
          <w:szCs w:val="24"/>
        </w:rPr>
        <w:t>，并按以下顺序编制目录及页码，否则可能将影响对</w:t>
      </w:r>
      <w:r>
        <w:rPr>
          <w:rFonts w:hint="eastAsia" w:ascii="宋体" w:hAnsi="宋体" w:cs="宋体"/>
          <w:color w:val="auto"/>
          <w:sz w:val="24"/>
          <w:szCs w:val="24"/>
          <w:lang w:val="en-US" w:eastAsia="zh-CN"/>
        </w:rPr>
        <w:t>报价</w:t>
      </w:r>
      <w:r>
        <w:rPr>
          <w:rFonts w:hint="eastAsia" w:ascii="宋体" w:hAnsi="宋体" w:eastAsia="宋体" w:cs="宋体"/>
          <w:color w:val="auto"/>
          <w:sz w:val="24"/>
          <w:szCs w:val="24"/>
          <w:lang w:eastAsia="zh-CN"/>
        </w:rPr>
        <w:t>文件</w:t>
      </w:r>
      <w:r>
        <w:rPr>
          <w:rFonts w:hint="eastAsia" w:ascii="宋体" w:hAnsi="宋体" w:eastAsia="宋体" w:cs="宋体"/>
          <w:color w:val="auto"/>
          <w:sz w:val="24"/>
          <w:szCs w:val="24"/>
        </w:rPr>
        <w:t>的评价。</w:t>
      </w:r>
    </w:p>
    <w:p>
      <w:pPr>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1、报价函（表1）</w:t>
      </w:r>
    </w:p>
    <w:p>
      <w:pPr>
        <w:snapToGrid w:val="0"/>
        <w:spacing w:line="360" w:lineRule="auto"/>
        <w:rPr>
          <w:rFonts w:hint="eastAsia" w:ascii="宋体" w:hAnsi="宋体" w:eastAsia="宋体" w:cs="宋体"/>
          <w:b/>
          <w:color w:val="auto"/>
          <w:sz w:val="24"/>
          <w:szCs w:val="24"/>
        </w:rPr>
      </w:pPr>
      <w:r>
        <w:rPr>
          <w:rFonts w:hint="eastAsia" w:ascii="宋体" w:hAnsi="宋体" w:eastAsia="宋体" w:cs="宋体"/>
          <w:color w:val="auto"/>
          <w:sz w:val="24"/>
          <w:szCs w:val="24"/>
        </w:rPr>
        <w:t>2、报价一览表（表2）</w:t>
      </w:r>
    </w:p>
    <w:p>
      <w:pPr>
        <w:snapToGrid w:val="0"/>
        <w:spacing w:line="360" w:lineRule="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3、</w:t>
      </w:r>
      <w:r>
        <w:rPr>
          <w:rFonts w:hint="eastAsia" w:ascii="宋体" w:hAnsi="宋体" w:cs="宋体"/>
          <w:color w:val="auto"/>
          <w:sz w:val="24"/>
          <w:szCs w:val="24"/>
          <w:lang w:val="en-US" w:eastAsia="zh-CN"/>
        </w:rPr>
        <w:t>分项报价明细表</w:t>
      </w:r>
      <w:r>
        <w:rPr>
          <w:rFonts w:hint="eastAsia" w:ascii="宋体" w:hAnsi="宋体" w:eastAsia="宋体" w:cs="宋体"/>
          <w:color w:val="auto"/>
          <w:sz w:val="24"/>
          <w:szCs w:val="24"/>
        </w:rPr>
        <w:t>（表3）</w:t>
      </w:r>
    </w:p>
    <w:p>
      <w:pPr>
        <w:snapToGrid w:val="0"/>
        <w:spacing w:line="360" w:lineRule="auto"/>
        <w:rPr>
          <w:rFonts w:hint="eastAsia" w:ascii="宋体" w:hAnsi="宋体" w:eastAsia="宋体" w:cs="宋体"/>
          <w:color w:val="auto"/>
          <w:sz w:val="24"/>
          <w:szCs w:val="24"/>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技术及资质要求</w:t>
      </w:r>
      <w:r>
        <w:rPr>
          <w:rFonts w:hint="eastAsia" w:ascii="宋体" w:hAnsi="宋体" w:cs="宋体"/>
          <w:color w:val="auto"/>
          <w:sz w:val="24"/>
          <w:szCs w:val="24"/>
          <w:lang w:val="en-US" w:eastAsia="zh-CN"/>
        </w:rPr>
        <w:t>响应</w:t>
      </w:r>
      <w:r>
        <w:rPr>
          <w:rFonts w:hint="eastAsia" w:ascii="宋体" w:hAnsi="宋体" w:eastAsia="宋体" w:cs="宋体"/>
          <w:color w:val="auto"/>
          <w:sz w:val="24"/>
          <w:szCs w:val="24"/>
        </w:rPr>
        <w:t>表（表</w:t>
      </w: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w:t>
      </w:r>
    </w:p>
    <w:p>
      <w:pPr>
        <w:snapToGrid w:val="0"/>
        <w:spacing w:line="360" w:lineRule="auto"/>
        <w:rPr>
          <w:rFonts w:hint="eastAsia" w:ascii="宋体" w:hAnsi="宋体" w:eastAsia="宋体" w:cs="宋体"/>
          <w:color w:val="auto"/>
          <w:sz w:val="24"/>
          <w:szCs w:val="24"/>
        </w:rPr>
      </w:pP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、供应商简介</w:t>
      </w:r>
    </w:p>
    <w:p>
      <w:pPr>
        <w:snapToGrid w:val="0"/>
        <w:spacing w:line="360" w:lineRule="auto"/>
        <w:rPr>
          <w:rFonts w:hint="eastAsia" w:ascii="宋体" w:hAnsi="宋体" w:eastAsia="宋体" w:cs="宋体"/>
          <w:color w:val="auto"/>
          <w:sz w:val="24"/>
          <w:szCs w:val="24"/>
        </w:rPr>
      </w:pP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、营业执照副本、组织机构代码证、税务登记证和资格证书复印件（或者三证合一复印件）</w:t>
      </w:r>
    </w:p>
    <w:p>
      <w:pPr>
        <w:snapToGrid w:val="0"/>
        <w:spacing w:line="360" w:lineRule="auto"/>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7</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法定代表人证明书</w:t>
      </w:r>
      <w:r>
        <w:rPr>
          <w:rFonts w:hint="eastAsia" w:ascii="宋体" w:hAnsi="宋体" w:eastAsia="宋体" w:cs="宋体"/>
          <w:color w:val="auto"/>
          <w:sz w:val="24"/>
          <w:szCs w:val="24"/>
        </w:rPr>
        <w:t>（表</w:t>
      </w: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w:t>
      </w:r>
    </w:p>
    <w:p>
      <w:pPr>
        <w:snapToGrid w:val="0"/>
        <w:spacing w:line="360" w:lineRule="auto"/>
        <w:rPr>
          <w:rFonts w:hint="eastAsia" w:ascii="宋体" w:hAnsi="宋体" w:eastAsia="宋体" w:cs="宋体"/>
          <w:color w:val="auto"/>
          <w:sz w:val="24"/>
          <w:szCs w:val="24"/>
        </w:rPr>
      </w:pPr>
      <w:r>
        <w:rPr>
          <w:rFonts w:hint="eastAsia" w:ascii="宋体" w:hAnsi="宋体" w:cs="宋体"/>
          <w:color w:val="auto"/>
          <w:sz w:val="24"/>
          <w:szCs w:val="24"/>
          <w:lang w:val="en-US" w:eastAsia="zh-CN"/>
        </w:rPr>
        <w:t>8、</w:t>
      </w:r>
      <w:r>
        <w:rPr>
          <w:rFonts w:hint="eastAsia" w:ascii="宋体" w:hAnsi="宋体" w:eastAsia="宋体" w:cs="宋体"/>
          <w:color w:val="auto"/>
          <w:sz w:val="24"/>
          <w:szCs w:val="24"/>
        </w:rPr>
        <w:t>授权委托书（表</w:t>
      </w: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w:t>
      </w:r>
    </w:p>
    <w:p>
      <w:pPr>
        <w:snapToGrid w:val="0"/>
        <w:spacing w:line="360" w:lineRule="auto"/>
        <w:rPr>
          <w:rFonts w:hint="eastAsia"/>
        </w:rPr>
      </w:pPr>
      <w:r>
        <w:rPr>
          <w:rFonts w:hint="eastAsia" w:ascii="宋体" w:hAnsi="宋体" w:cs="宋体"/>
          <w:color w:val="auto"/>
          <w:sz w:val="24"/>
          <w:szCs w:val="24"/>
          <w:lang w:val="en-US" w:eastAsia="zh-CN"/>
        </w:rPr>
        <w:t>9、</w:t>
      </w:r>
      <w:r>
        <w:rPr>
          <w:rFonts w:hint="eastAsia" w:ascii="宋体" w:hAnsi="宋体" w:eastAsia="宋体" w:cs="宋体"/>
          <w:color w:val="auto"/>
          <w:sz w:val="24"/>
          <w:szCs w:val="24"/>
          <w:lang w:val="en-US" w:eastAsia="zh-CN"/>
        </w:rPr>
        <w:t>具有良好的商业信誉和健全的财务会计制度</w:t>
      </w:r>
    </w:p>
    <w:p>
      <w:pPr>
        <w:snapToGrid w:val="0"/>
        <w:spacing w:line="360" w:lineRule="auto"/>
        <w:rPr>
          <w:rFonts w:hint="eastAsia" w:ascii="宋体" w:hAnsi="宋体" w:eastAsia="宋体" w:cs="宋体"/>
          <w:b/>
          <w:color w:val="auto"/>
          <w:sz w:val="24"/>
          <w:szCs w:val="24"/>
          <w:lang w:eastAsia="zh-CN"/>
        </w:rPr>
      </w:pPr>
      <w:r>
        <w:rPr>
          <w:rFonts w:hint="eastAsia" w:ascii="宋体" w:hAnsi="宋体" w:cs="宋体"/>
          <w:color w:val="auto"/>
          <w:sz w:val="24"/>
          <w:szCs w:val="24"/>
          <w:lang w:val="en-US" w:eastAsia="zh-CN"/>
        </w:rPr>
        <w:t>10</w:t>
      </w:r>
      <w:r>
        <w:rPr>
          <w:rFonts w:hint="eastAsia" w:ascii="宋体" w:hAnsi="宋体" w:eastAsia="宋体" w:cs="宋体"/>
          <w:color w:val="auto"/>
          <w:sz w:val="24"/>
          <w:szCs w:val="24"/>
        </w:rPr>
        <w:t>、企业纳税证明</w:t>
      </w:r>
      <w:r>
        <w:rPr>
          <w:rFonts w:hint="eastAsia" w:ascii="宋体" w:hAnsi="宋体" w:eastAsia="宋体" w:cs="宋体"/>
          <w:color w:val="auto"/>
          <w:sz w:val="24"/>
          <w:szCs w:val="24"/>
          <w:lang w:eastAsia="zh-CN"/>
        </w:rPr>
        <w:t>复印件</w:t>
      </w:r>
    </w:p>
    <w:p>
      <w:pPr>
        <w:snapToGrid w:val="0"/>
        <w:spacing w:line="360" w:lineRule="auto"/>
        <w:rPr>
          <w:rFonts w:hint="eastAsia" w:ascii="宋体" w:hAnsi="宋体" w:eastAsia="宋体" w:cs="宋体"/>
          <w:color w:val="auto"/>
          <w:sz w:val="24"/>
          <w:szCs w:val="24"/>
        </w:rPr>
      </w:pPr>
      <w:r>
        <w:rPr>
          <w:rFonts w:hint="eastAsia" w:ascii="宋体" w:hAnsi="宋体" w:cs="宋体"/>
          <w:color w:val="auto"/>
          <w:sz w:val="24"/>
          <w:szCs w:val="24"/>
          <w:lang w:val="en-US" w:eastAsia="zh-CN"/>
        </w:rPr>
        <w:t>11</w:t>
      </w:r>
      <w:r>
        <w:rPr>
          <w:rFonts w:hint="eastAsia" w:ascii="宋体" w:hAnsi="宋体" w:eastAsia="宋体" w:cs="宋体"/>
          <w:color w:val="auto"/>
          <w:sz w:val="24"/>
          <w:szCs w:val="24"/>
        </w:rPr>
        <w:t>、社会保障缴费记录复印件</w:t>
      </w:r>
    </w:p>
    <w:p>
      <w:pPr>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、保证金缴纳证明复印件</w:t>
      </w:r>
    </w:p>
    <w:p>
      <w:pPr>
        <w:snapToGrid w:val="0"/>
        <w:spacing w:line="360" w:lineRule="auto"/>
        <w:rPr>
          <w:rFonts w:hint="eastAsia" w:ascii="宋体" w:hAnsi="宋体" w:eastAsia="宋体" w:cs="宋体"/>
          <w:color w:val="auto"/>
          <w:sz w:val="24"/>
          <w:szCs w:val="24"/>
          <w:lang w:val="en-US" w:eastAsia="zh-CN"/>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3</w:t>
      </w:r>
      <w:r>
        <w:rPr>
          <w:rFonts w:hint="eastAsia" w:ascii="宋体" w:hAnsi="宋体" w:eastAsia="宋体" w:cs="宋体"/>
          <w:bCs/>
          <w:color w:val="auto"/>
          <w:sz w:val="24"/>
          <w:szCs w:val="24"/>
        </w:rPr>
        <w:t>、</w:t>
      </w:r>
      <w:r>
        <w:rPr>
          <w:rFonts w:hint="eastAsia" w:ascii="宋体" w:hAnsi="宋体" w:eastAsia="宋体" w:cs="宋体"/>
          <w:color w:val="auto"/>
          <w:sz w:val="24"/>
          <w:szCs w:val="24"/>
        </w:rPr>
        <w:t>参加政府采购活动前三年内，在经营活动中没有重大违法记录的声明函（表</w:t>
      </w:r>
      <w:r>
        <w:rPr>
          <w:rFonts w:hint="eastAsia" w:ascii="宋体" w:hAnsi="宋体" w:cs="宋体"/>
          <w:color w:val="auto"/>
          <w:sz w:val="24"/>
          <w:szCs w:val="24"/>
          <w:lang w:val="en-US" w:eastAsia="zh-CN"/>
        </w:rPr>
        <w:t>7</w:t>
      </w:r>
      <w:r>
        <w:rPr>
          <w:rFonts w:hint="eastAsia" w:ascii="宋体" w:hAnsi="宋体" w:eastAsia="宋体" w:cs="宋体"/>
          <w:color w:val="auto"/>
          <w:sz w:val="24"/>
          <w:szCs w:val="24"/>
        </w:rPr>
        <w:t>）</w:t>
      </w:r>
    </w:p>
    <w:p>
      <w:pPr>
        <w:snapToGrid w:val="0"/>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4</w:t>
      </w:r>
      <w:r>
        <w:rPr>
          <w:rFonts w:hint="eastAsia" w:ascii="宋体" w:hAnsi="宋体" w:eastAsia="宋体" w:cs="宋体"/>
          <w:color w:val="auto"/>
          <w:sz w:val="24"/>
          <w:szCs w:val="24"/>
          <w:lang w:val="en-US" w:eastAsia="zh-CN"/>
        </w:rPr>
        <w:t>、具备《中华人民共和国政府采购法》第二十二条规定条件的承诺书（表</w:t>
      </w:r>
      <w:r>
        <w:rPr>
          <w:rFonts w:hint="eastAsia" w:ascii="宋体" w:hAnsi="宋体" w:cs="宋体"/>
          <w:color w:val="auto"/>
          <w:sz w:val="24"/>
          <w:szCs w:val="24"/>
          <w:lang w:val="en-US" w:eastAsia="zh-CN"/>
        </w:rPr>
        <w:t>8</w:t>
      </w:r>
      <w:r>
        <w:rPr>
          <w:rFonts w:hint="eastAsia" w:ascii="宋体" w:hAnsi="宋体" w:eastAsia="宋体" w:cs="宋体"/>
          <w:color w:val="auto"/>
          <w:sz w:val="24"/>
          <w:szCs w:val="24"/>
          <w:lang w:val="en-US" w:eastAsia="zh-CN"/>
        </w:rPr>
        <w:t>）</w:t>
      </w:r>
    </w:p>
    <w:p>
      <w:pPr>
        <w:snapToGrid w:val="0"/>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不存在与参加本项目采购活动的其他供应商单位负责人为同一人或者存在直接控股、管理关系的承诺函（表</w:t>
      </w:r>
      <w:r>
        <w:rPr>
          <w:rFonts w:hint="eastAsia" w:ascii="宋体" w:hAnsi="宋体" w:cs="宋体"/>
          <w:color w:val="auto"/>
          <w:sz w:val="24"/>
          <w:szCs w:val="24"/>
          <w:lang w:val="en-US" w:eastAsia="zh-CN"/>
        </w:rPr>
        <w:t>9</w:t>
      </w:r>
      <w:r>
        <w:rPr>
          <w:rFonts w:hint="eastAsia" w:ascii="宋体" w:hAnsi="宋体" w:eastAsia="宋体" w:cs="宋体"/>
          <w:color w:val="auto"/>
          <w:sz w:val="24"/>
          <w:szCs w:val="24"/>
          <w:lang w:val="en-US" w:eastAsia="zh-CN"/>
        </w:rPr>
        <w:t>）</w:t>
      </w:r>
    </w:p>
    <w:p>
      <w:pPr>
        <w:snapToGrid w:val="0"/>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中小企业声明函（表</w:t>
      </w:r>
      <w:r>
        <w:rPr>
          <w:rFonts w:hint="eastAsia" w:ascii="宋体" w:hAnsi="宋体" w:cs="宋体"/>
          <w:color w:val="auto"/>
          <w:sz w:val="24"/>
          <w:szCs w:val="24"/>
          <w:lang w:val="en-US" w:eastAsia="zh-CN"/>
        </w:rPr>
        <w:t>10</w:t>
      </w:r>
      <w:r>
        <w:rPr>
          <w:rFonts w:hint="eastAsia" w:ascii="宋体" w:hAnsi="宋体" w:eastAsia="宋体" w:cs="宋体"/>
          <w:color w:val="auto"/>
          <w:sz w:val="24"/>
          <w:szCs w:val="24"/>
          <w:lang w:val="en-US" w:eastAsia="zh-CN"/>
        </w:rPr>
        <w:t>，没有可不提供）</w:t>
      </w:r>
    </w:p>
    <w:p>
      <w:pPr>
        <w:snapToGrid w:val="0"/>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7</w:t>
      </w:r>
      <w:r>
        <w:rPr>
          <w:rFonts w:hint="eastAsia" w:ascii="宋体" w:hAnsi="宋体" w:eastAsia="宋体" w:cs="宋体"/>
          <w:color w:val="auto"/>
          <w:sz w:val="24"/>
          <w:szCs w:val="24"/>
          <w:lang w:val="en-US" w:eastAsia="zh-CN"/>
        </w:rPr>
        <w:t>、监狱企业证明文件（表</w:t>
      </w:r>
      <w:r>
        <w:rPr>
          <w:rFonts w:hint="eastAsia" w:ascii="宋体" w:hAnsi="宋体" w:cs="宋体"/>
          <w:color w:val="auto"/>
          <w:sz w:val="24"/>
          <w:szCs w:val="24"/>
          <w:lang w:val="en-US" w:eastAsia="zh-CN"/>
        </w:rPr>
        <w:t>11</w:t>
      </w:r>
      <w:r>
        <w:rPr>
          <w:rFonts w:hint="eastAsia" w:ascii="宋体" w:hAnsi="宋体" w:eastAsia="宋体" w:cs="宋体"/>
          <w:color w:val="auto"/>
          <w:sz w:val="24"/>
          <w:szCs w:val="24"/>
          <w:lang w:val="en-US" w:eastAsia="zh-CN"/>
        </w:rPr>
        <w:t>，没有可不提供）</w:t>
      </w:r>
    </w:p>
    <w:p>
      <w:pPr>
        <w:snapToGrid w:val="0"/>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8</w:t>
      </w:r>
      <w:r>
        <w:rPr>
          <w:rFonts w:hint="eastAsia" w:ascii="宋体" w:hAnsi="宋体" w:eastAsia="宋体" w:cs="宋体"/>
          <w:color w:val="auto"/>
          <w:sz w:val="24"/>
          <w:szCs w:val="24"/>
          <w:lang w:val="en-US" w:eastAsia="zh-CN"/>
        </w:rPr>
        <w:t>、残疾人福利性单位声明函（表</w:t>
      </w:r>
      <w:r>
        <w:rPr>
          <w:rFonts w:hint="eastAsia" w:ascii="宋体" w:hAnsi="宋体" w:cs="宋体"/>
          <w:color w:val="auto"/>
          <w:sz w:val="24"/>
          <w:szCs w:val="24"/>
          <w:lang w:val="en-US" w:eastAsia="zh-CN"/>
        </w:rPr>
        <w:t>12</w:t>
      </w:r>
      <w:r>
        <w:rPr>
          <w:rFonts w:hint="eastAsia" w:ascii="宋体" w:hAnsi="宋体" w:eastAsia="宋体" w:cs="宋体"/>
          <w:color w:val="auto"/>
          <w:sz w:val="24"/>
          <w:szCs w:val="24"/>
          <w:lang w:val="en-US" w:eastAsia="zh-CN"/>
        </w:rPr>
        <w:t>，没有可不提供）</w:t>
      </w:r>
    </w:p>
    <w:p>
      <w:pPr>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、技术部分（包括技术资料、技术方案、实施方案、服务承诺等）</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hint="eastAsia" w:ascii="宋体" w:hAnsi="宋体" w:eastAsia="宋体" w:cs="宋体"/>
          <w:color w:val="auto"/>
          <w:sz w:val="24"/>
          <w:szCs w:val="24"/>
        </w:rPr>
      </w:pPr>
      <w:r>
        <w:rPr>
          <w:rFonts w:hint="eastAsia" w:ascii="宋体" w:hAnsi="宋体" w:cs="宋体"/>
          <w:color w:val="auto"/>
          <w:sz w:val="24"/>
          <w:szCs w:val="24"/>
          <w:lang w:val="en-US" w:eastAsia="zh-CN"/>
        </w:rPr>
        <w:t>20</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投标人</w:t>
      </w:r>
      <w:r>
        <w:rPr>
          <w:rFonts w:hint="eastAsia" w:ascii="宋体" w:hAnsi="宋体" w:eastAsia="宋体" w:cs="宋体"/>
          <w:color w:val="auto"/>
          <w:sz w:val="24"/>
          <w:szCs w:val="24"/>
        </w:rPr>
        <w:t>认为需要的其</w:t>
      </w:r>
      <w:r>
        <w:rPr>
          <w:rFonts w:hint="eastAsia" w:ascii="宋体" w:hAnsi="宋体" w:cs="宋体"/>
          <w:color w:val="auto"/>
          <w:sz w:val="24"/>
          <w:szCs w:val="24"/>
          <w:lang w:val="en-US" w:eastAsia="zh-CN"/>
        </w:rPr>
        <w:t>他</w:t>
      </w:r>
      <w:r>
        <w:rPr>
          <w:rFonts w:hint="eastAsia" w:ascii="宋体" w:hAnsi="宋体" w:eastAsia="宋体" w:cs="宋体"/>
          <w:color w:val="auto"/>
          <w:sz w:val="24"/>
          <w:szCs w:val="24"/>
        </w:rPr>
        <w:t>材料</w:t>
      </w:r>
    </w:p>
    <w:p>
      <w:pPr>
        <w:spacing w:line="500" w:lineRule="exact"/>
        <w:ind w:firstLine="480" w:firstLineChars="200"/>
        <w:rPr>
          <w:rFonts w:hint="eastAsia" w:ascii="宋体" w:hAnsi="宋体" w:eastAsia="宋体" w:cs="宋体"/>
          <w:color w:val="auto"/>
          <w:sz w:val="24"/>
          <w:szCs w:val="24"/>
        </w:rPr>
      </w:pPr>
    </w:p>
    <w:p>
      <w:pPr>
        <w:pStyle w:val="8"/>
        <w:ind w:left="0" w:leftChars="0" w:right="482" w:firstLine="0" w:firstLineChars="0"/>
        <w:jc w:val="both"/>
        <w:rPr>
          <w:rFonts w:hint="eastAsia" w:ascii="宋体" w:hAnsi="宋体" w:eastAsia="宋体" w:cs="宋体"/>
          <w:b/>
          <w:bCs/>
          <w:color w:val="auto"/>
          <w:sz w:val="32"/>
          <w:szCs w:val="32"/>
        </w:rPr>
      </w:pPr>
      <w:bookmarkStart w:id="61" w:name="_Toc264213368"/>
      <w:bookmarkStart w:id="62" w:name="_Toc171325099"/>
      <w:bookmarkStart w:id="63" w:name="_Toc264213369"/>
    </w:p>
    <w:p>
      <w:pPr>
        <w:pStyle w:val="8"/>
        <w:ind w:left="0" w:leftChars="0" w:right="482" w:firstLine="0" w:firstLineChars="0"/>
        <w:jc w:val="both"/>
        <w:rPr>
          <w:rFonts w:hint="eastAsia" w:ascii="宋体" w:hAnsi="宋体" w:eastAsia="宋体" w:cs="宋体"/>
          <w:b/>
          <w:bCs/>
          <w:color w:val="auto"/>
          <w:sz w:val="32"/>
          <w:szCs w:val="32"/>
        </w:rPr>
      </w:pPr>
    </w:p>
    <w:p>
      <w:pPr>
        <w:pStyle w:val="8"/>
        <w:ind w:left="0" w:leftChars="0" w:right="482" w:firstLine="0" w:firstLineChars="0"/>
        <w:jc w:val="both"/>
        <w:rPr>
          <w:rFonts w:hint="eastAsia" w:ascii="宋体" w:hAnsi="宋体" w:eastAsia="宋体" w:cs="宋体"/>
          <w:b/>
          <w:bCs/>
          <w:color w:val="auto"/>
          <w:sz w:val="32"/>
          <w:szCs w:val="32"/>
        </w:rPr>
      </w:pPr>
    </w:p>
    <w:p>
      <w:pPr>
        <w:pStyle w:val="8"/>
        <w:ind w:left="0" w:leftChars="0" w:right="482" w:firstLine="0" w:firstLineChars="0"/>
        <w:jc w:val="both"/>
        <w:rPr>
          <w:rFonts w:hint="eastAsia" w:ascii="宋体" w:hAnsi="宋体" w:cs="宋体"/>
          <w:b/>
          <w:bCs/>
          <w:color w:val="auto"/>
          <w:sz w:val="32"/>
          <w:szCs w:val="32"/>
          <w:lang w:val="en-US" w:eastAsia="zh-CN"/>
        </w:rPr>
      </w:pPr>
      <w:r>
        <w:rPr>
          <w:rFonts w:hint="eastAsia" w:ascii="宋体" w:hAnsi="宋体" w:eastAsia="宋体" w:cs="宋体"/>
          <w:b/>
          <w:bCs/>
          <w:color w:val="auto"/>
          <w:sz w:val="32"/>
          <w:szCs w:val="32"/>
        </w:rPr>
        <w:t>表1</w:t>
      </w:r>
      <w:r>
        <w:rPr>
          <w:rFonts w:hint="eastAsia" w:ascii="宋体" w:hAnsi="宋体" w:cs="宋体"/>
          <w:b/>
          <w:bCs/>
          <w:color w:val="auto"/>
          <w:sz w:val="32"/>
          <w:szCs w:val="32"/>
          <w:lang w:val="en-US" w:eastAsia="zh-CN"/>
        </w:rPr>
        <w:t>:</w:t>
      </w:r>
    </w:p>
    <w:p>
      <w:pPr>
        <w:rPr>
          <w:rFonts w:hint="eastAsia"/>
          <w:lang w:val="en-US" w:eastAsia="zh-CN"/>
        </w:rPr>
      </w:pPr>
    </w:p>
    <w:p>
      <w:pPr>
        <w:pStyle w:val="6"/>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rPr>
      </w:pPr>
      <w:bookmarkStart w:id="64" w:name="_Toc24734"/>
      <w:bookmarkStart w:id="65" w:name="_Toc31498"/>
      <w:bookmarkStart w:id="66" w:name="_Toc3046"/>
      <w:r>
        <w:rPr>
          <w:rFonts w:hint="eastAsia" w:ascii="宋体" w:hAnsi="宋体" w:eastAsia="宋体" w:cs="宋体"/>
          <w:lang w:val="en-US" w:eastAsia="zh-CN"/>
        </w:rPr>
        <w:t>1</w:t>
      </w:r>
      <w:r>
        <w:rPr>
          <w:rFonts w:hint="eastAsia" w:ascii="宋体" w:hAnsi="宋体" w:eastAsia="宋体" w:cs="宋体"/>
        </w:rPr>
        <w:t>、投标函</w:t>
      </w:r>
      <w:bookmarkEnd w:id="64"/>
      <w:bookmarkEnd w:id="65"/>
      <w:bookmarkEnd w:id="66"/>
    </w:p>
    <w:p>
      <w:pPr>
        <w:pStyle w:val="8"/>
        <w:rPr>
          <w:rFonts w:hint="eastAsia"/>
        </w:rPr>
      </w:pPr>
    </w:p>
    <w:p>
      <w:pPr>
        <w:snapToGrid w:val="0"/>
        <w:spacing w:before="19" w:line="480" w:lineRule="exact"/>
        <w:rPr>
          <w:rFonts w:hint="eastAsia" w:ascii="宋体" w:hAnsi="宋体" w:eastAsia="宋体" w:cs="宋体"/>
          <w:color w:val="auto"/>
          <w:sz w:val="24"/>
          <w:szCs w:val="24"/>
        </w:rPr>
      </w:pPr>
      <w:r>
        <w:rPr>
          <w:rFonts w:hint="eastAsia" w:ascii="宋体" w:hAnsi="宋体" w:eastAsia="宋体" w:cs="宋体"/>
          <w:color w:val="auto"/>
          <w:sz w:val="24"/>
          <w:szCs w:val="24"/>
        </w:rPr>
        <w:t>致：</w:t>
      </w:r>
      <w:r>
        <w:rPr>
          <w:rFonts w:hint="eastAsia" w:ascii="宋体" w:hAnsi="宋体" w:cs="宋体"/>
          <w:color w:val="auto"/>
          <w:sz w:val="24"/>
          <w:szCs w:val="24"/>
          <w:lang w:eastAsia="zh-CN"/>
        </w:rPr>
        <w:t>海南政辉招投标代理有限公司</w:t>
      </w:r>
      <w:r>
        <w:rPr>
          <w:rFonts w:hint="eastAsia" w:ascii="宋体" w:hAnsi="宋体" w:eastAsia="宋体" w:cs="宋体"/>
          <w:color w:val="auto"/>
          <w:sz w:val="24"/>
          <w:szCs w:val="24"/>
        </w:rPr>
        <w:t>：</w:t>
      </w:r>
    </w:p>
    <w:p>
      <w:pPr>
        <w:spacing w:before="19"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根据贵司  </w:t>
      </w:r>
      <w:r>
        <w:rPr>
          <w:rFonts w:hint="eastAsia" w:ascii="宋体" w:hAnsi="宋体" w:eastAsia="宋体" w:cs="宋体"/>
          <w:color w:val="auto"/>
          <w:sz w:val="24"/>
          <w:szCs w:val="24"/>
          <w:u w:val="single"/>
        </w:rPr>
        <w:t xml:space="preserve">           项目（招标编号：       ）</w:t>
      </w:r>
      <w:r>
        <w:rPr>
          <w:rFonts w:hint="eastAsia" w:ascii="宋体" w:hAnsi="宋体" w:eastAsia="宋体" w:cs="宋体"/>
          <w:color w:val="auto"/>
          <w:sz w:val="24"/>
          <w:szCs w:val="24"/>
        </w:rPr>
        <w:t>的投标邀请函，正式授权下述签字人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（姓名和职务）代表投标人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（投标单位名称），提交投标书。</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根据此函，我们宣布同意如下：</w:t>
      </w:r>
    </w:p>
    <w:p>
      <w:pPr>
        <w:numPr>
          <w:ilvl w:val="0"/>
          <w:numId w:val="0"/>
        </w:numPr>
        <w:snapToGrid w:val="0"/>
        <w:spacing w:line="360" w:lineRule="auto"/>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我方接受招标文件的所有的条款和规定。</w:t>
      </w:r>
    </w:p>
    <w:p>
      <w:pPr>
        <w:numPr>
          <w:ilvl w:val="0"/>
          <w:numId w:val="0"/>
        </w:numPr>
        <w:snapToGrid w:val="0"/>
        <w:spacing w:line="360" w:lineRule="auto"/>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我方同意按照招标文件第二章“投标人须知”的规定，本</w:t>
      </w:r>
      <w:r>
        <w:rPr>
          <w:rFonts w:hint="eastAsia" w:ascii="宋体" w:hAnsi="宋体" w:cs="宋体"/>
          <w:color w:val="auto"/>
          <w:sz w:val="24"/>
          <w:szCs w:val="24"/>
          <w:lang w:val="en-US" w:eastAsia="zh-CN"/>
        </w:rPr>
        <w:t>报价</w:t>
      </w:r>
      <w:r>
        <w:rPr>
          <w:rFonts w:hint="eastAsia" w:ascii="宋体" w:hAnsi="宋体" w:eastAsia="宋体" w:cs="宋体"/>
          <w:color w:val="auto"/>
          <w:sz w:val="24"/>
          <w:szCs w:val="24"/>
          <w:lang w:eastAsia="zh-CN"/>
        </w:rPr>
        <w:t>文件</w:t>
      </w:r>
      <w:r>
        <w:rPr>
          <w:rFonts w:hint="eastAsia" w:ascii="宋体" w:hAnsi="宋体" w:eastAsia="宋体" w:cs="宋体"/>
          <w:color w:val="auto"/>
          <w:sz w:val="24"/>
          <w:szCs w:val="24"/>
        </w:rPr>
        <w:t>的有效期为从投标截止日期起计算的</w:t>
      </w:r>
      <w:r>
        <w:rPr>
          <w:rFonts w:hint="eastAsia" w:ascii="宋体" w:hAnsi="宋体" w:eastAsia="宋体" w:cs="宋体"/>
          <w:color w:val="auto"/>
          <w:sz w:val="24"/>
          <w:szCs w:val="24"/>
          <w:u w:val="single"/>
        </w:rPr>
        <w:t xml:space="preserve"> </w:t>
      </w:r>
      <w:r>
        <w:rPr>
          <w:rFonts w:hint="eastAsia" w:ascii="宋体" w:hAnsi="宋体" w:cs="宋体"/>
          <w:color w:val="auto"/>
          <w:sz w:val="24"/>
          <w:szCs w:val="24"/>
          <w:u w:val="single"/>
          <w:lang w:val="en-US" w:eastAsia="zh-CN"/>
        </w:rPr>
        <w:t>60</w:t>
      </w:r>
      <w:r>
        <w:rPr>
          <w:rFonts w:hint="eastAsia" w:ascii="宋体" w:hAnsi="宋体" w:eastAsia="宋体" w:cs="宋体"/>
          <w:color w:val="auto"/>
          <w:sz w:val="24"/>
          <w:szCs w:val="24"/>
          <w:u w:val="single"/>
        </w:rPr>
        <w:t>天</w:t>
      </w:r>
      <w:r>
        <w:rPr>
          <w:rFonts w:hint="eastAsia" w:ascii="宋体" w:hAnsi="宋体" w:eastAsia="宋体" w:cs="宋体"/>
          <w:color w:val="auto"/>
          <w:sz w:val="24"/>
          <w:szCs w:val="24"/>
        </w:rPr>
        <w:t>，在此期间，本</w:t>
      </w:r>
      <w:r>
        <w:rPr>
          <w:rFonts w:hint="eastAsia" w:ascii="宋体" w:hAnsi="宋体" w:cs="宋体"/>
          <w:color w:val="auto"/>
          <w:sz w:val="24"/>
          <w:szCs w:val="24"/>
          <w:lang w:val="en-US" w:eastAsia="zh-CN"/>
        </w:rPr>
        <w:t>报价</w:t>
      </w:r>
      <w:r>
        <w:rPr>
          <w:rFonts w:hint="eastAsia" w:ascii="宋体" w:hAnsi="宋体" w:eastAsia="宋体" w:cs="宋体"/>
          <w:color w:val="auto"/>
          <w:sz w:val="24"/>
          <w:szCs w:val="24"/>
          <w:lang w:eastAsia="zh-CN"/>
        </w:rPr>
        <w:t>文件</w:t>
      </w:r>
      <w:r>
        <w:rPr>
          <w:rFonts w:hint="eastAsia" w:ascii="宋体" w:hAnsi="宋体" w:eastAsia="宋体" w:cs="宋体"/>
          <w:color w:val="auto"/>
          <w:sz w:val="24"/>
          <w:szCs w:val="24"/>
        </w:rPr>
        <w:t>将始终对我方具有约束力，并可随时被接受。</w:t>
      </w:r>
    </w:p>
    <w:p>
      <w:pPr>
        <w:numPr>
          <w:ilvl w:val="0"/>
          <w:numId w:val="0"/>
        </w:numPr>
        <w:spacing w:line="360" w:lineRule="auto"/>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如果在开标后规定的投标有效期内撤回投标，我方的投标保证金可被贵方没收。</w:t>
      </w:r>
    </w:p>
    <w:p>
      <w:pPr>
        <w:numPr>
          <w:ilvl w:val="0"/>
          <w:numId w:val="0"/>
        </w:numPr>
        <w:spacing w:line="360" w:lineRule="auto"/>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我方完全理解贵方不一定要接受最低价的投标。</w:t>
      </w:r>
    </w:p>
    <w:p>
      <w:pPr>
        <w:numPr>
          <w:ilvl w:val="0"/>
          <w:numId w:val="0"/>
        </w:numPr>
        <w:snapToGrid w:val="0"/>
        <w:spacing w:line="360" w:lineRule="auto"/>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我们同意提供贵单位要求的有关本次投标的所有资料或证据。</w:t>
      </w:r>
    </w:p>
    <w:p>
      <w:pPr>
        <w:numPr>
          <w:ilvl w:val="0"/>
          <w:numId w:val="0"/>
        </w:numPr>
        <w:snapToGrid w:val="0"/>
        <w:spacing w:line="360" w:lineRule="auto"/>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如果我方中标，我们将根据招标文件的规定严格履行自己的责任和义务。</w:t>
      </w:r>
    </w:p>
    <w:p>
      <w:pPr>
        <w:numPr>
          <w:ilvl w:val="0"/>
          <w:numId w:val="0"/>
        </w:numPr>
        <w:snapToGrid w:val="0"/>
        <w:spacing w:line="360" w:lineRule="auto"/>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7、</w:t>
      </w:r>
      <w:r>
        <w:rPr>
          <w:rFonts w:hint="eastAsia" w:ascii="宋体" w:hAnsi="宋体" w:eastAsia="宋体" w:cs="宋体"/>
          <w:color w:val="auto"/>
          <w:sz w:val="24"/>
          <w:szCs w:val="24"/>
        </w:rPr>
        <w:t>如果我方中标，我方将支付本次招标的服务费。</w:t>
      </w:r>
    </w:p>
    <w:p>
      <w:pPr>
        <w:snapToGrid w:val="0"/>
        <w:spacing w:line="480" w:lineRule="exact"/>
        <w:ind w:firstLine="570"/>
        <w:rPr>
          <w:rFonts w:hint="eastAsia" w:ascii="宋体" w:hAnsi="宋体" w:eastAsia="宋体" w:cs="宋体"/>
          <w:color w:val="auto"/>
          <w:sz w:val="24"/>
          <w:szCs w:val="24"/>
        </w:rPr>
      </w:pPr>
    </w:p>
    <w:p>
      <w:pPr>
        <w:rPr>
          <w:rFonts w:hint="eastAsia"/>
        </w:rPr>
      </w:pPr>
    </w:p>
    <w:p>
      <w:pPr>
        <w:pStyle w:val="8"/>
        <w:rPr>
          <w:rFonts w:hint="eastAsia"/>
        </w:rPr>
      </w:pP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投标人</w:t>
      </w:r>
      <w:r>
        <w:rPr>
          <w:rFonts w:hint="eastAsia" w:ascii="宋体" w:hAnsi="宋体" w:eastAsia="宋体" w:cs="宋体"/>
          <w:color w:val="auto"/>
          <w:sz w:val="24"/>
          <w:szCs w:val="24"/>
        </w:rPr>
        <w:t>名称：</w:t>
      </w:r>
      <w:r>
        <w:rPr>
          <w:rFonts w:hint="eastAsia" w:ascii="宋体" w:hAnsi="宋体" w:eastAsia="宋体" w:cs="宋体"/>
          <w:color w:val="auto"/>
          <w:sz w:val="24"/>
          <w:szCs w:val="24"/>
          <w:u w:val="single"/>
        </w:rPr>
        <w:t xml:space="preserve">                 （盖章）</w:t>
      </w:r>
    </w:p>
    <w:p>
      <w:pPr>
        <w:spacing w:line="36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地址：</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邮编：</w:t>
      </w:r>
      <w:r>
        <w:rPr>
          <w:rFonts w:hint="eastAsia" w:ascii="宋体" w:hAnsi="宋体" w:eastAsia="宋体" w:cs="宋体"/>
          <w:color w:val="auto"/>
          <w:sz w:val="24"/>
          <w:szCs w:val="24"/>
          <w:u w:val="single"/>
        </w:rPr>
        <w:t xml:space="preserve">            </w:t>
      </w:r>
    </w:p>
    <w:p>
      <w:pPr>
        <w:spacing w:line="36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电话：</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传真：</w:t>
      </w:r>
      <w:r>
        <w:rPr>
          <w:rFonts w:hint="eastAsia" w:ascii="宋体" w:hAnsi="宋体" w:eastAsia="宋体" w:cs="宋体"/>
          <w:color w:val="auto"/>
          <w:sz w:val="24"/>
          <w:szCs w:val="24"/>
          <w:u w:val="single"/>
        </w:rPr>
        <w:t xml:space="preserve">            </w:t>
      </w:r>
    </w:p>
    <w:p>
      <w:pPr>
        <w:spacing w:line="36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授权代表：</w:t>
      </w:r>
      <w:r>
        <w:rPr>
          <w:rFonts w:hint="eastAsia" w:ascii="宋体" w:hAnsi="宋体" w:eastAsia="宋体" w:cs="宋体"/>
          <w:color w:val="auto"/>
          <w:sz w:val="24"/>
          <w:szCs w:val="24"/>
          <w:u w:val="single"/>
        </w:rPr>
        <w:t xml:space="preserve">             （签</w:t>
      </w:r>
      <w:r>
        <w:rPr>
          <w:rFonts w:hint="eastAsia" w:ascii="宋体" w:hAnsi="宋体" w:eastAsia="宋体" w:cs="宋体"/>
          <w:color w:val="auto"/>
          <w:sz w:val="24"/>
          <w:szCs w:val="24"/>
          <w:u w:val="single"/>
          <w:lang w:val="en-US" w:eastAsia="zh-CN"/>
        </w:rPr>
        <w:t>名</w:t>
      </w:r>
      <w:r>
        <w:rPr>
          <w:rFonts w:hint="eastAsia" w:ascii="宋体" w:hAnsi="宋体" w:eastAsia="宋体" w:cs="宋体"/>
          <w:color w:val="auto"/>
          <w:sz w:val="24"/>
          <w:szCs w:val="24"/>
          <w:u w:val="single"/>
        </w:rPr>
        <w:t>或私章）</w:t>
      </w:r>
      <w:r>
        <w:rPr>
          <w:rFonts w:hint="eastAsia" w:ascii="宋体" w:hAnsi="宋体" w:eastAsia="宋体" w:cs="宋体"/>
          <w:color w:val="auto"/>
          <w:sz w:val="24"/>
          <w:szCs w:val="24"/>
        </w:rPr>
        <w:t>职务：</w:t>
      </w:r>
      <w:r>
        <w:rPr>
          <w:rFonts w:hint="eastAsia" w:ascii="宋体" w:hAnsi="宋体" w:eastAsia="宋体" w:cs="宋体"/>
          <w:color w:val="auto"/>
          <w:sz w:val="24"/>
          <w:szCs w:val="24"/>
          <w:u w:val="single"/>
        </w:rPr>
        <w:t xml:space="preserve">            </w:t>
      </w:r>
    </w:p>
    <w:p>
      <w:pPr>
        <w:spacing w:line="36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日期：</w:t>
      </w:r>
      <w:r>
        <w:rPr>
          <w:rFonts w:hint="eastAsia" w:ascii="宋体" w:hAnsi="宋体" w:eastAsia="宋体" w:cs="宋体"/>
          <w:color w:val="auto"/>
          <w:sz w:val="24"/>
          <w:szCs w:val="24"/>
          <w:u w:val="single"/>
        </w:rPr>
        <w:t xml:space="preserve">                               </w:t>
      </w:r>
    </w:p>
    <w:p>
      <w:pPr>
        <w:snapToGrid w:val="0"/>
        <w:spacing w:line="360" w:lineRule="auto"/>
        <w:rPr>
          <w:rFonts w:hint="eastAsia" w:ascii="宋体" w:hAnsi="宋体" w:eastAsia="宋体" w:cs="宋体"/>
          <w:b/>
          <w:color w:val="auto"/>
          <w:sz w:val="24"/>
          <w:szCs w:val="24"/>
        </w:rPr>
      </w:pPr>
    </w:p>
    <w:p>
      <w:pPr>
        <w:pStyle w:val="8"/>
        <w:ind w:right="482"/>
        <w:jc w:val="center"/>
        <w:rPr>
          <w:rFonts w:hint="eastAsia" w:ascii="宋体" w:hAnsi="宋体" w:eastAsia="宋体" w:cs="宋体"/>
          <w:b/>
          <w:color w:val="auto"/>
          <w:sz w:val="24"/>
          <w:szCs w:val="24"/>
        </w:rPr>
        <w:sectPr>
          <w:pgSz w:w="11906" w:h="16838"/>
          <w:pgMar w:top="1440" w:right="1365" w:bottom="1440" w:left="1501" w:header="851" w:footer="992" w:gutter="0"/>
          <w:pgBorders w:offsetFrom="page">
            <w:top w:val="none" w:sz="0" w:space="0"/>
            <w:left w:val="none" w:sz="0" w:space="0"/>
            <w:bottom w:val="none" w:sz="0" w:space="0"/>
            <w:right w:val="none" w:sz="0" w:space="0"/>
          </w:pgBorders>
          <w:pgNumType w:fmt="decimal"/>
          <w:cols w:space="720" w:num="1"/>
          <w:titlePg/>
          <w:docGrid w:linePitch="312" w:charSpace="0"/>
        </w:sectPr>
      </w:pPr>
    </w:p>
    <w:p>
      <w:pPr>
        <w:rPr>
          <w:rFonts w:hint="eastAsia" w:eastAsia="宋体"/>
          <w:b/>
          <w:bCs/>
          <w:sz w:val="32"/>
          <w:szCs w:val="32"/>
          <w:lang w:val="en-US" w:eastAsia="zh-CN"/>
        </w:rPr>
      </w:pPr>
      <w:r>
        <w:rPr>
          <w:rFonts w:hint="eastAsia" w:ascii="宋体" w:hAnsi="宋体" w:eastAsia="宋体" w:cs="宋体"/>
          <w:b/>
          <w:bCs/>
          <w:color w:val="auto"/>
          <w:sz w:val="32"/>
          <w:szCs w:val="32"/>
        </w:rPr>
        <w:t>表</w:t>
      </w:r>
      <w:r>
        <w:rPr>
          <w:rFonts w:hint="eastAsia" w:ascii="宋体" w:hAnsi="宋体" w:cs="宋体"/>
          <w:b/>
          <w:bCs/>
          <w:color w:val="auto"/>
          <w:sz w:val="32"/>
          <w:szCs w:val="32"/>
          <w:lang w:val="en-US" w:eastAsia="zh-CN"/>
        </w:rPr>
        <w:t>2:</w:t>
      </w:r>
    </w:p>
    <w:p>
      <w:pPr>
        <w:rPr>
          <w:rFonts w:hint="eastAsia"/>
          <w:lang w:val="en-US" w:eastAsia="zh-CN"/>
        </w:rPr>
      </w:pPr>
    </w:p>
    <w:p>
      <w:pPr>
        <w:pStyle w:val="6"/>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color w:val="auto"/>
        </w:rPr>
      </w:pPr>
      <w:bookmarkStart w:id="67" w:name="_Toc32105"/>
      <w:bookmarkStart w:id="68" w:name="_Toc1671"/>
      <w:bookmarkStart w:id="69" w:name="_Toc21847"/>
      <w:r>
        <w:rPr>
          <w:rFonts w:hint="eastAsia" w:ascii="宋体" w:hAnsi="宋体" w:eastAsia="宋体" w:cs="宋体"/>
          <w:color w:val="auto"/>
          <w:lang w:val="en-US" w:eastAsia="zh-CN"/>
        </w:rPr>
        <w:t>2</w:t>
      </w:r>
      <w:r>
        <w:rPr>
          <w:rFonts w:hint="eastAsia" w:ascii="宋体" w:hAnsi="宋体" w:eastAsia="宋体" w:cs="宋体"/>
          <w:color w:val="auto"/>
        </w:rPr>
        <w:t>、开标一览表</w:t>
      </w:r>
      <w:bookmarkEnd w:id="67"/>
      <w:bookmarkEnd w:id="68"/>
      <w:bookmarkEnd w:id="69"/>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spacing w:line="360" w:lineRule="auto"/>
        <w:rPr>
          <w:rFonts w:hint="default" w:ascii="宋体" w:hAnsi="宋体" w:eastAsia="宋体" w:cs="宋体"/>
          <w:color w:val="auto"/>
          <w:sz w:val="24"/>
          <w:szCs w:val="24"/>
          <w:u w:val="single"/>
          <w:lang w:val="en-US" w:eastAsia="zh-CN"/>
        </w:rPr>
      </w:pPr>
      <w:r>
        <w:rPr>
          <w:rFonts w:hint="eastAsia" w:ascii="宋体" w:hAnsi="宋体" w:eastAsia="宋体" w:cs="宋体"/>
          <w:color w:val="auto"/>
          <w:sz w:val="24"/>
          <w:szCs w:val="24"/>
        </w:rPr>
        <w:t>项目名称：</w:t>
      </w:r>
      <w:r>
        <w:rPr>
          <w:rFonts w:hint="eastAsia" w:ascii="宋体" w:hAnsi="宋体" w:cs="宋体"/>
          <w:color w:val="auto"/>
          <w:sz w:val="24"/>
          <w:szCs w:val="24"/>
          <w:u w:val="single"/>
          <w:lang w:val="en-US" w:eastAsia="zh-CN"/>
        </w:rPr>
        <w:t xml:space="preserve">             </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项目编号：</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rPr>
        <w:t xml:space="preserve">                  </w:t>
      </w:r>
    </w:p>
    <w:p>
      <w:pPr>
        <w:spacing w:line="360" w:lineRule="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lang w:eastAsia="zh-CN"/>
        </w:rPr>
        <w:t>包号：</w:t>
      </w:r>
      <w:r>
        <w:rPr>
          <w:rFonts w:hint="eastAsia" w:ascii="宋体" w:hAnsi="宋体" w:eastAsia="宋体" w:cs="宋体"/>
          <w:color w:val="auto"/>
          <w:sz w:val="24"/>
          <w:szCs w:val="24"/>
          <w:u w:val="single"/>
          <w:lang w:val="en-US" w:eastAsia="zh-CN"/>
        </w:rPr>
        <w:t xml:space="preserve">               </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8"/>
        <w:gridCol w:w="4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4558" w:type="dxa"/>
            <w:noWrap w:val="0"/>
            <w:vAlign w:val="top"/>
          </w:tcPr>
          <w:p>
            <w:pPr>
              <w:widowControl w:val="0"/>
              <w:spacing w:line="360" w:lineRule="auto"/>
              <w:jc w:val="center"/>
              <w:rPr>
                <w:rFonts w:hint="eastAsia" w:ascii="宋体" w:hAnsi="宋体" w:eastAsia="宋体" w:cs="宋体"/>
                <w:color w:val="auto"/>
                <w:sz w:val="24"/>
                <w:szCs w:val="24"/>
                <w:u w:val="none"/>
                <w:vertAlign w:val="baseline"/>
                <w:lang w:val="en-US" w:eastAsia="zh-CN"/>
              </w:rPr>
            </w:pPr>
            <w:r>
              <w:rPr>
                <w:rFonts w:hint="eastAsia" w:ascii="宋体" w:hAnsi="宋体" w:eastAsia="宋体" w:cs="宋体"/>
                <w:color w:val="auto"/>
                <w:sz w:val="24"/>
                <w:szCs w:val="24"/>
                <w:u w:val="none"/>
                <w:vertAlign w:val="baseline"/>
                <w:lang w:val="en-US" w:eastAsia="zh-CN"/>
              </w:rPr>
              <w:t>列名称</w:t>
            </w:r>
          </w:p>
        </w:tc>
        <w:tc>
          <w:tcPr>
            <w:tcW w:w="4558" w:type="dxa"/>
            <w:noWrap w:val="0"/>
            <w:vAlign w:val="top"/>
          </w:tcPr>
          <w:p>
            <w:pPr>
              <w:widowControl w:val="0"/>
              <w:spacing w:line="360" w:lineRule="auto"/>
              <w:jc w:val="center"/>
              <w:rPr>
                <w:rFonts w:hint="eastAsia" w:ascii="宋体" w:hAnsi="宋体" w:eastAsia="宋体" w:cs="宋体"/>
                <w:color w:val="auto"/>
                <w:sz w:val="24"/>
                <w:szCs w:val="24"/>
                <w:u w:val="none"/>
                <w:vertAlign w:val="baseline"/>
                <w:lang w:val="en-US" w:eastAsia="zh-CN"/>
              </w:rPr>
            </w:pPr>
            <w:r>
              <w:rPr>
                <w:rFonts w:hint="eastAsia" w:ascii="宋体" w:hAnsi="宋体" w:eastAsia="宋体" w:cs="宋体"/>
                <w:color w:val="auto"/>
                <w:sz w:val="24"/>
                <w:szCs w:val="24"/>
                <w:u w:val="none"/>
                <w:vertAlign w:val="baseline"/>
                <w:lang w:val="en-US" w:eastAsia="zh-CN"/>
              </w:rPr>
              <w:t>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8" w:type="dxa"/>
            <w:noWrap w:val="0"/>
            <w:vAlign w:val="top"/>
          </w:tcPr>
          <w:p>
            <w:pPr>
              <w:widowControl w:val="0"/>
              <w:spacing w:line="360" w:lineRule="auto"/>
              <w:jc w:val="both"/>
              <w:rPr>
                <w:rFonts w:hint="eastAsia" w:ascii="宋体" w:hAnsi="宋体" w:eastAsia="宋体" w:cs="宋体"/>
                <w:color w:val="auto"/>
                <w:sz w:val="24"/>
                <w:szCs w:val="24"/>
                <w:u w:val="none"/>
                <w:vertAlign w:val="baseline"/>
                <w:lang w:val="en-US" w:eastAsia="zh-CN"/>
              </w:rPr>
            </w:pPr>
            <w:r>
              <w:rPr>
                <w:rFonts w:hint="eastAsia" w:ascii="宋体" w:hAnsi="宋体" w:eastAsia="宋体" w:cs="宋体"/>
                <w:color w:val="auto"/>
                <w:sz w:val="24"/>
                <w:szCs w:val="24"/>
                <w:u w:val="none"/>
                <w:vertAlign w:val="baseline"/>
                <w:lang w:val="en-US" w:eastAsia="zh-CN"/>
              </w:rPr>
              <w:t>投标单位名称</w:t>
            </w:r>
          </w:p>
        </w:tc>
        <w:tc>
          <w:tcPr>
            <w:tcW w:w="4558" w:type="dxa"/>
            <w:noWrap w:val="0"/>
            <w:vAlign w:val="top"/>
          </w:tcPr>
          <w:p>
            <w:pPr>
              <w:widowControl w:val="0"/>
              <w:spacing w:line="360" w:lineRule="auto"/>
              <w:jc w:val="center"/>
              <w:rPr>
                <w:rFonts w:hint="eastAsia" w:ascii="宋体" w:hAnsi="宋体" w:eastAsia="宋体" w:cs="宋体"/>
                <w:b/>
                <w:bCs/>
                <w:color w:val="auto"/>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8" w:type="dxa"/>
            <w:noWrap w:val="0"/>
            <w:vAlign w:val="top"/>
          </w:tcPr>
          <w:p>
            <w:pPr>
              <w:widowControl w:val="0"/>
              <w:spacing w:line="360" w:lineRule="auto"/>
              <w:jc w:val="both"/>
              <w:rPr>
                <w:rFonts w:hint="eastAsia" w:ascii="宋体" w:hAnsi="宋体" w:eastAsia="宋体" w:cs="宋体"/>
                <w:color w:val="auto"/>
                <w:sz w:val="24"/>
                <w:szCs w:val="24"/>
                <w:highlight w:val="none"/>
                <w:u w:val="none"/>
                <w:vertAlign w:val="baseline"/>
                <w:lang w:val="en-US" w:eastAsia="zh-CN"/>
              </w:rPr>
            </w:pPr>
            <w:r>
              <w:rPr>
                <w:rFonts w:hint="eastAsia" w:ascii="宋体" w:hAnsi="宋体" w:eastAsia="宋体" w:cs="宋体"/>
                <w:color w:val="auto"/>
                <w:sz w:val="24"/>
                <w:szCs w:val="24"/>
                <w:highlight w:val="none"/>
                <w:u w:val="none"/>
                <w:vertAlign w:val="baseline"/>
                <w:lang w:val="en-US" w:eastAsia="zh-CN"/>
              </w:rPr>
              <w:t>投标报价（小写）</w:t>
            </w:r>
          </w:p>
        </w:tc>
        <w:tc>
          <w:tcPr>
            <w:tcW w:w="4558" w:type="dxa"/>
            <w:noWrap w:val="0"/>
            <w:vAlign w:val="top"/>
          </w:tcPr>
          <w:p>
            <w:pPr>
              <w:widowControl w:val="0"/>
              <w:spacing w:line="360" w:lineRule="auto"/>
              <w:jc w:val="center"/>
              <w:rPr>
                <w:rFonts w:hint="eastAsia" w:ascii="宋体" w:hAnsi="宋体" w:eastAsia="宋体" w:cs="宋体"/>
                <w:b/>
                <w:bCs/>
                <w:color w:val="auto"/>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8" w:type="dxa"/>
            <w:noWrap w:val="0"/>
            <w:vAlign w:val="top"/>
          </w:tcPr>
          <w:p>
            <w:pPr>
              <w:widowControl w:val="0"/>
              <w:spacing w:line="360" w:lineRule="auto"/>
              <w:jc w:val="both"/>
              <w:rPr>
                <w:rFonts w:hint="eastAsia" w:ascii="宋体" w:hAnsi="宋体" w:eastAsia="宋体" w:cs="宋体"/>
                <w:color w:val="auto"/>
                <w:sz w:val="24"/>
                <w:szCs w:val="24"/>
                <w:highlight w:val="none"/>
                <w:u w:val="none"/>
                <w:vertAlign w:val="baseline"/>
                <w:lang w:val="en-US" w:eastAsia="zh-CN"/>
              </w:rPr>
            </w:pPr>
            <w:r>
              <w:rPr>
                <w:rFonts w:hint="eastAsia" w:ascii="宋体" w:hAnsi="宋体" w:eastAsia="宋体" w:cs="宋体"/>
                <w:color w:val="auto"/>
                <w:sz w:val="24"/>
                <w:szCs w:val="24"/>
                <w:highlight w:val="none"/>
                <w:u w:val="none"/>
                <w:vertAlign w:val="baseline"/>
                <w:lang w:val="en-US" w:eastAsia="zh-CN"/>
              </w:rPr>
              <w:t>投标报价（大写）</w:t>
            </w:r>
          </w:p>
        </w:tc>
        <w:tc>
          <w:tcPr>
            <w:tcW w:w="4558" w:type="dxa"/>
            <w:noWrap w:val="0"/>
            <w:vAlign w:val="top"/>
          </w:tcPr>
          <w:p>
            <w:pPr>
              <w:widowControl w:val="0"/>
              <w:spacing w:line="360" w:lineRule="auto"/>
              <w:jc w:val="center"/>
              <w:rPr>
                <w:rFonts w:hint="eastAsia" w:ascii="宋体" w:hAnsi="宋体" w:eastAsia="宋体" w:cs="宋体"/>
                <w:b/>
                <w:bCs/>
                <w:color w:val="auto"/>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8" w:type="dxa"/>
            <w:noWrap w:val="0"/>
            <w:vAlign w:val="top"/>
          </w:tcPr>
          <w:p>
            <w:pPr>
              <w:widowControl w:val="0"/>
              <w:spacing w:line="360" w:lineRule="auto"/>
              <w:jc w:val="both"/>
              <w:rPr>
                <w:rFonts w:hint="eastAsia" w:ascii="宋体" w:hAnsi="宋体" w:eastAsia="宋体" w:cs="宋体"/>
                <w:color w:val="auto"/>
                <w:sz w:val="24"/>
                <w:szCs w:val="24"/>
                <w:u w:val="none"/>
                <w:vertAlign w:val="baseline"/>
                <w:lang w:val="en-US" w:eastAsia="zh-CN"/>
              </w:rPr>
            </w:pPr>
            <w:r>
              <w:rPr>
                <w:rFonts w:hint="eastAsia" w:ascii="宋体" w:hAnsi="宋体" w:eastAsia="宋体" w:cs="宋体"/>
                <w:color w:val="auto"/>
                <w:sz w:val="24"/>
                <w:szCs w:val="24"/>
                <w:u w:val="none"/>
                <w:vertAlign w:val="baseline"/>
                <w:lang w:val="en-US" w:eastAsia="zh-CN"/>
              </w:rPr>
              <w:t>合同履约期限</w:t>
            </w:r>
          </w:p>
        </w:tc>
        <w:tc>
          <w:tcPr>
            <w:tcW w:w="4558" w:type="dxa"/>
            <w:noWrap w:val="0"/>
            <w:vAlign w:val="top"/>
          </w:tcPr>
          <w:p>
            <w:pPr>
              <w:keepNext w:val="0"/>
              <w:keepLines w:val="0"/>
              <w:widowControl/>
              <w:suppressLineNumbers w:val="0"/>
              <w:jc w:val="center"/>
              <w:rPr>
                <w:rFonts w:hint="eastAsia" w:ascii="宋体" w:hAnsi="宋体" w:eastAsia="宋体" w:cs="宋体"/>
                <w:b/>
                <w:bCs/>
                <w:color w:val="auto"/>
                <w:sz w:val="24"/>
                <w:szCs w:val="24"/>
                <w:u w:val="none"/>
                <w:vertAlign w:val="baseline"/>
                <w:lang w:val="en-US" w:eastAsia="zh-CN"/>
              </w:rPr>
            </w:pPr>
          </w:p>
        </w:tc>
      </w:tr>
    </w:tbl>
    <w:p>
      <w:pPr>
        <w:spacing w:line="360" w:lineRule="auto"/>
        <w:rPr>
          <w:rFonts w:hint="eastAsia" w:ascii="宋体" w:hAnsi="宋体" w:eastAsia="宋体" w:cs="宋体"/>
          <w:color w:val="auto"/>
          <w:sz w:val="24"/>
          <w:szCs w:val="24"/>
          <w:u w:val="none"/>
          <w:lang w:val="en-US" w:eastAsia="zh-CN"/>
        </w:rPr>
      </w:pPr>
    </w:p>
    <w:p>
      <w:pPr>
        <w:spacing w:line="360" w:lineRule="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交货地点：用户指定地点</w:t>
      </w:r>
    </w:p>
    <w:p>
      <w:pPr>
        <w:spacing w:line="360" w:lineRule="auto"/>
        <w:rPr>
          <w:rFonts w:hint="eastAsia" w:ascii="宋体" w:hAnsi="宋体" w:eastAsia="宋体" w:cs="宋体"/>
          <w:color w:val="auto"/>
          <w:sz w:val="24"/>
          <w:szCs w:val="24"/>
          <w:lang w:eastAsia="zh-CN"/>
        </w:rPr>
      </w:pPr>
    </w:p>
    <w:p>
      <w:pPr>
        <w:spacing w:line="360" w:lineRule="auto"/>
        <w:rPr>
          <w:rFonts w:hint="eastAsia" w:ascii="宋体" w:hAnsi="宋体" w:eastAsia="宋体" w:cs="宋体"/>
          <w:color w:val="auto"/>
          <w:sz w:val="24"/>
          <w:szCs w:val="24"/>
          <w:lang w:eastAsia="zh-CN"/>
        </w:rPr>
      </w:pPr>
    </w:p>
    <w:p>
      <w:pPr>
        <w:spacing w:line="360" w:lineRule="auto"/>
        <w:rPr>
          <w:rFonts w:hint="eastAsia" w:ascii="宋体" w:hAnsi="宋体" w:eastAsia="宋体" w:cs="宋体"/>
          <w:color w:val="auto"/>
          <w:sz w:val="24"/>
          <w:szCs w:val="24"/>
          <w:lang w:eastAsia="zh-CN"/>
        </w:rPr>
      </w:pPr>
    </w:p>
    <w:p>
      <w:pPr>
        <w:spacing w:line="360" w:lineRule="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lang w:eastAsia="zh-CN"/>
        </w:rPr>
        <w:t>投标</w:t>
      </w:r>
      <w:r>
        <w:rPr>
          <w:rFonts w:hint="eastAsia" w:ascii="宋体" w:hAnsi="宋体" w:cs="宋体"/>
          <w:color w:val="auto"/>
          <w:sz w:val="24"/>
          <w:szCs w:val="24"/>
          <w:lang w:val="en-US" w:eastAsia="zh-CN"/>
        </w:rPr>
        <w:t>人名称</w:t>
      </w:r>
      <w:r>
        <w:rPr>
          <w:rFonts w:hint="eastAsia" w:ascii="宋体" w:hAnsi="宋体" w:eastAsia="宋体" w:cs="宋体"/>
          <w:color w:val="auto"/>
          <w:sz w:val="24"/>
          <w:szCs w:val="24"/>
          <w:lang w:eastAsia="zh-CN"/>
        </w:rPr>
        <w:t>：</w:t>
      </w:r>
      <w:r>
        <w:rPr>
          <w:rFonts w:hint="eastAsia" w:ascii="宋体" w:hAnsi="宋体" w:eastAsia="宋体" w:cs="宋体"/>
          <w:b/>
          <w:bCs/>
          <w:color w:val="auto"/>
          <w:sz w:val="24"/>
          <w:szCs w:val="24"/>
          <w:u w:val="single"/>
          <w:lang w:val="en-US" w:eastAsia="zh-CN"/>
        </w:rPr>
        <w:t xml:space="preserve">                  （公章）</w:t>
      </w:r>
    </w:p>
    <w:p>
      <w:pPr>
        <w:spacing w:line="360" w:lineRule="auto"/>
        <w:rPr>
          <w:rFonts w:hint="eastAsia" w:ascii="宋体" w:hAnsi="宋体" w:eastAsia="宋体" w:cs="宋体"/>
          <w:color w:val="auto"/>
          <w:sz w:val="24"/>
          <w:szCs w:val="24"/>
          <w:lang w:eastAsia="zh-CN"/>
        </w:rPr>
      </w:pPr>
    </w:p>
    <w:p>
      <w:pPr>
        <w:spacing w:line="360" w:lineRule="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lang w:eastAsia="zh-CN"/>
        </w:rPr>
        <w:t>法定代表人（或授权代理人）：</w:t>
      </w:r>
      <w:r>
        <w:rPr>
          <w:rFonts w:hint="eastAsia" w:ascii="宋体" w:hAnsi="宋体" w:eastAsia="宋体" w:cs="宋体"/>
          <w:b/>
          <w:bCs/>
          <w:color w:val="auto"/>
          <w:sz w:val="24"/>
          <w:szCs w:val="24"/>
          <w:u w:val="single"/>
          <w:lang w:val="en-US" w:eastAsia="zh-CN"/>
        </w:rPr>
        <w:t xml:space="preserve">    </w:t>
      </w:r>
      <w:r>
        <w:rPr>
          <w:rFonts w:hint="eastAsia" w:ascii="宋体" w:hAnsi="宋体" w:eastAsia="宋体" w:cs="宋体"/>
          <w:b/>
          <w:bCs/>
          <w:color w:val="auto"/>
          <w:sz w:val="24"/>
          <w:szCs w:val="24"/>
          <w:u w:val="single"/>
          <w:lang w:eastAsia="zh-CN"/>
        </w:rPr>
        <w:t xml:space="preserve">           </w:t>
      </w:r>
      <w:r>
        <w:rPr>
          <w:rFonts w:hint="eastAsia" w:ascii="宋体" w:hAnsi="宋体" w:eastAsia="宋体" w:cs="宋体"/>
          <w:b/>
          <w:bCs/>
          <w:color w:val="auto"/>
          <w:sz w:val="24"/>
          <w:szCs w:val="24"/>
          <w:u w:val="single"/>
          <w:lang w:val="en-US" w:eastAsia="zh-CN"/>
        </w:rPr>
        <w:t xml:space="preserve">   （签字或盖章）</w:t>
      </w:r>
    </w:p>
    <w:p>
      <w:pPr>
        <w:spacing w:line="360" w:lineRule="auto"/>
        <w:rPr>
          <w:rFonts w:hint="eastAsia" w:ascii="宋体" w:hAnsi="宋体" w:eastAsia="宋体" w:cs="宋体"/>
          <w:color w:val="auto"/>
          <w:sz w:val="24"/>
          <w:szCs w:val="24"/>
          <w:lang w:eastAsia="zh-CN"/>
        </w:rPr>
      </w:pPr>
    </w:p>
    <w:p>
      <w:pPr>
        <w:spacing w:line="360" w:lineRule="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lang w:eastAsia="zh-CN"/>
        </w:rPr>
        <w:t>日期：</w:t>
      </w:r>
      <w:r>
        <w:rPr>
          <w:rFonts w:hint="eastAsia" w:ascii="宋体" w:hAnsi="宋体" w:eastAsia="宋体" w:cs="宋体"/>
          <w:b/>
          <w:bCs/>
          <w:color w:val="auto"/>
          <w:sz w:val="24"/>
          <w:szCs w:val="24"/>
          <w:u w:val="single"/>
          <w:lang w:val="en-US" w:eastAsia="zh-CN"/>
        </w:rPr>
        <w:t xml:space="preserve">                    </w:t>
      </w:r>
    </w:p>
    <w:p>
      <w:pPr>
        <w:rPr>
          <w:rFonts w:hint="eastAsia" w:ascii="宋体" w:hAnsi="宋体" w:eastAsia="宋体" w:cs="宋体"/>
          <w:color w:val="auto"/>
          <w:sz w:val="24"/>
          <w:szCs w:val="24"/>
          <w:lang w:eastAsia="zh-CN"/>
        </w:rPr>
      </w:pPr>
    </w:p>
    <w:p>
      <w:pPr>
        <w:rPr>
          <w:rFonts w:hint="eastAsia" w:ascii="宋体" w:hAnsi="宋体" w:eastAsia="宋体" w:cs="宋体"/>
          <w:color w:val="auto"/>
          <w:sz w:val="24"/>
          <w:szCs w:val="24"/>
          <w:lang w:eastAsia="zh-CN"/>
        </w:rPr>
      </w:pPr>
    </w:p>
    <w:p>
      <w:pPr>
        <w:pStyle w:val="130"/>
        <w:spacing w:line="360" w:lineRule="auto"/>
        <w:ind w:firstLine="482" w:firstLineChars="200"/>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eastAsia="zh-CN"/>
        </w:rPr>
        <w:t>注：</w:t>
      </w:r>
      <w:r>
        <w:rPr>
          <w:rFonts w:hint="eastAsia" w:ascii="宋体" w:hAnsi="宋体" w:eastAsia="宋体" w:cs="宋体"/>
          <w:b/>
          <w:bCs/>
          <w:color w:val="auto"/>
          <w:sz w:val="24"/>
          <w:szCs w:val="24"/>
          <w:lang w:val="en-US" w:eastAsia="zh-CN"/>
        </w:rPr>
        <w:t>1.投标报价应包括招标文件所规定的招标范围的全部内容，投标总金额包括本招标书中要求的所有货物和服务的费用，包括运输、</w:t>
      </w:r>
      <w:r>
        <w:rPr>
          <w:rFonts w:hint="eastAsia" w:hAnsi="宋体" w:eastAsia="宋体" w:cs="宋体"/>
          <w:b/>
          <w:bCs/>
          <w:color w:val="auto"/>
          <w:sz w:val="24"/>
          <w:szCs w:val="24"/>
          <w:lang w:val="en-US" w:eastAsia="zh-CN"/>
        </w:rPr>
        <w:t>安装调试、</w:t>
      </w:r>
      <w:r>
        <w:rPr>
          <w:rFonts w:hint="eastAsia" w:ascii="宋体" w:hAnsi="宋体" w:eastAsia="宋体" w:cs="宋体"/>
          <w:b/>
          <w:bCs/>
          <w:color w:val="auto"/>
          <w:sz w:val="24"/>
          <w:szCs w:val="24"/>
          <w:lang w:val="en-US" w:eastAsia="zh-CN"/>
        </w:rPr>
        <w:t>保险、税收等相关费用。</w:t>
      </w:r>
    </w:p>
    <w:p>
      <w:pPr>
        <w:pStyle w:val="130"/>
        <w:spacing w:line="360" w:lineRule="auto"/>
        <w:ind w:firstLine="482" w:firstLineChars="200"/>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2.本项目投标总报价超过采购预算的将视为无效投标。</w:t>
      </w:r>
    </w:p>
    <w:p>
      <w:pPr>
        <w:rPr>
          <w:rFonts w:hint="eastAsia" w:ascii="宋体" w:hAnsi="宋体" w:eastAsia="宋体" w:cs="宋体"/>
          <w:color w:val="auto"/>
          <w:sz w:val="24"/>
          <w:szCs w:val="24"/>
        </w:rPr>
      </w:pPr>
    </w:p>
    <w:p>
      <w:pPr>
        <w:spacing w:before="19" w:line="360" w:lineRule="auto"/>
        <w:rPr>
          <w:rFonts w:hint="eastAsia" w:ascii="宋体" w:hAnsi="宋体" w:eastAsia="宋体" w:cs="宋体"/>
          <w:color w:val="auto"/>
          <w:sz w:val="24"/>
          <w:szCs w:val="24"/>
        </w:rPr>
        <w:sectPr>
          <w:pgSz w:w="11906" w:h="16838"/>
          <w:pgMar w:top="1440" w:right="1365" w:bottom="1440" w:left="1501" w:header="851" w:footer="992" w:gutter="0"/>
          <w:pgBorders w:offsetFrom="page">
            <w:top w:val="none" w:sz="0" w:space="0"/>
            <w:left w:val="none" w:sz="0" w:space="0"/>
            <w:bottom w:val="none" w:sz="0" w:space="0"/>
            <w:right w:val="none" w:sz="0" w:space="0"/>
          </w:pgBorders>
          <w:pgNumType w:fmt="decimal"/>
          <w:cols w:space="720" w:num="1"/>
          <w:titlePg/>
          <w:docGrid w:linePitch="312" w:charSpace="0"/>
        </w:sectPr>
      </w:pPr>
    </w:p>
    <w:p>
      <w:pPr>
        <w:rPr>
          <w:rFonts w:hint="eastAsia" w:ascii="宋体" w:hAnsi="宋体" w:cs="宋体"/>
          <w:b/>
          <w:bCs/>
          <w:color w:val="auto"/>
          <w:sz w:val="32"/>
          <w:szCs w:val="32"/>
          <w:lang w:val="en-US" w:eastAsia="zh-CN"/>
        </w:rPr>
      </w:pPr>
      <w:r>
        <w:rPr>
          <w:rFonts w:hint="eastAsia" w:ascii="宋体" w:hAnsi="宋体" w:eastAsia="宋体" w:cs="宋体"/>
          <w:b/>
          <w:bCs/>
          <w:color w:val="auto"/>
          <w:sz w:val="32"/>
          <w:szCs w:val="32"/>
        </w:rPr>
        <w:t>表</w:t>
      </w:r>
      <w:r>
        <w:rPr>
          <w:rFonts w:hint="eastAsia" w:ascii="宋体" w:hAnsi="宋体" w:cs="宋体"/>
          <w:b/>
          <w:bCs/>
          <w:color w:val="auto"/>
          <w:sz w:val="32"/>
          <w:szCs w:val="32"/>
          <w:lang w:val="en-US" w:eastAsia="zh-CN"/>
        </w:rPr>
        <w:t>3:</w:t>
      </w:r>
    </w:p>
    <w:p>
      <w:pPr>
        <w:rPr>
          <w:rFonts w:hint="eastAsia"/>
          <w:color w:val="auto"/>
          <w:lang w:val="en-US" w:eastAsia="zh-CN"/>
        </w:rPr>
      </w:pPr>
    </w:p>
    <w:p>
      <w:pPr>
        <w:pStyle w:val="6"/>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color w:val="auto"/>
          <w:lang w:val="en-US" w:eastAsia="zh-CN"/>
        </w:rPr>
      </w:pPr>
      <w:bookmarkStart w:id="70" w:name="_Toc28100"/>
      <w:bookmarkStart w:id="71" w:name="_Toc1584"/>
      <w:bookmarkStart w:id="72" w:name="_Toc24409"/>
      <w:r>
        <w:rPr>
          <w:rFonts w:hint="eastAsia" w:ascii="宋体" w:hAnsi="宋体" w:eastAsia="宋体" w:cs="宋体"/>
          <w:color w:val="auto"/>
          <w:lang w:val="en-US" w:eastAsia="zh-CN"/>
        </w:rPr>
        <w:t>3、分项报价明细表</w:t>
      </w:r>
      <w:bookmarkEnd w:id="70"/>
      <w:bookmarkEnd w:id="71"/>
      <w:bookmarkEnd w:id="72"/>
    </w:p>
    <w:p>
      <w:pPr>
        <w:rPr>
          <w:rFonts w:hint="eastAsia" w:ascii="宋体" w:hAnsi="宋体" w:eastAsia="宋体" w:cs="宋体"/>
          <w:color w:val="auto"/>
          <w:sz w:val="24"/>
          <w:szCs w:val="24"/>
        </w:rPr>
      </w:pPr>
    </w:p>
    <w:p>
      <w:pPr>
        <w:spacing w:before="19"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项目名称：</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rPr>
        <w:t xml:space="preserve">      </w:t>
      </w:r>
    </w:p>
    <w:p>
      <w:pPr>
        <w:spacing w:before="19"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项目编号：</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lang w:eastAsia="zh-CN"/>
        </w:rPr>
        <w:t xml:space="preserve"> </w:t>
      </w:r>
      <w:r>
        <w:rPr>
          <w:rFonts w:hint="eastAsia" w:ascii="宋体" w:hAnsi="宋体" w:eastAsia="宋体" w:cs="宋体"/>
          <w:color w:val="auto"/>
          <w:sz w:val="24"/>
          <w:szCs w:val="24"/>
        </w:rPr>
        <w:t xml:space="preserve">       </w:t>
      </w:r>
    </w:p>
    <w:tbl>
      <w:tblPr>
        <w:tblStyle w:val="25"/>
        <w:tblW w:w="9686" w:type="dxa"/>
        <w:tblInd w:w="-318" w:type="dxa"/>
        <w:tblBorders>
          <w:top w:val="none" w:color="auto" w:sz="4" w:space="0"/>
          <w:left w:val="none" w:color="auto" w:sz="4" w:space="0"/>
          <w:bottom w:val="none" w:color="auto" w:sz="4" w:space="0"/>
          <w:right w:val="single" w:color="000000" w:sz="8" w:space="0"/>
          <w:insideH w:val="none" w:color="auto" w:sz="4" w:space="0"/>
          <w:insideV w:val="none" w:color="auto" w:sz="4" w:space="0"/>
        </w:tblBorders>
        <w:tblLayout w:type="fixed"/>
        <w:tblCellMar>
          <w:top w:w="0" w:type="dxa"/>
          <w:left w:w="30" w:type="dxa"/>
          <w:bottom w:w="0" w:type="dxa"/>
          <w:right w:w="30" w:type="dxa"/>
        </w:tblCellMar>
      </w:tblPr>
      <w:tblGrid>
        <w:gridCol w:w="806"/>
        <w:gridCol w:w="1641"/>
        <w:gridCol w:w="2493"/>
        <w:gridCol w:w="864"/>
        <w:gridCol w:w="930"/>
        <w:gridCol w:w="1340"/>
        <w:gridCol w:w="1612"/>
      </w:tblGrid>
      <w:tr>
        <w:tblPrEx>
          <w:tblBorders>
            <w:top w:val="none" w:color="auto" w:sz="4" w:space="0"/>
            <w:left w:val="none" w:color="auto" w:sz="4" w:space="0"/>
            <w:bottom w:val="none" w:color="auto" w:sz="4" w:space="0"/>
            <w:right w:val="single" w:color="000000" w:sz="8" w:space="0"/>
            <w:insideH w:val="none" w:color="auto" w:sz="4" w:space="0"/>
            <w:insideV w:val="none" w:color="auto" w:sz="4" w:space="0"/>
          </w:tblBorders>
          <w:tblCellMar>
            <w:top w:w="0" w:type="dxa"/>
            <w:left w:w="30" w:type="dxa"/>
            <w:bottom w:w="0" w:type="dxa"/>
            <w:right w:w="30" w:type="dxa"/>
          </w:tblCellMar>
        </w:tblPrEx>
        <w:trPr>
          <w:trHeight w:val="593" w:hRule="exact"/>
        </w:trPr>
        <w:tc>
          <w:tcPr>
            <w:tcW w:w="806"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序号</w:t>
            </w:r>
          </w:p>
        </w:tc>
        <w:tc>
          <w:tcPr>
            <w:tcW w:w="1641"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宋体" w:hAnsi="宋体" w:eastAsia="宋体" w:cs="宋体"/>
                <w:b/>
                <w:color w:val="auto"/>
                <w:sz w:val="24"/>
                <w:szCs w:val="24"/>
              </w:rPr>
            </w:pPr>
            <w:r>
              <w:rPr>
                <w:rFonts w:hint="eastAsia" w:ascii="宋体" w:hAnsi="宋体" w:cs="宋体"/>
                <w:b/>
                <w:color w:val="auto"/>
                <w:sz w:val="24"/>
                <w:szCs w:val="24"/>
                <w:lang w:val="en-US" w:eastAsia="zh-CN"/>
              </w:rPr>
              <w:t>产品</w:t>
            </w:r>
            <w:r>
              <w:rPr>
                <w:rFonts w:hint="eastAsia" w:ascii="宋体" w:hAnsi="宋体" w:eastAsia="宋体" w:cs="宋体"/>
                <w:b/>
                <w:color w:val="auto"/>
                <w:sz w:val="24"/>
                <w:szCs w:val="24"/>
              </w:rPr>
              <w:t>名称</w:t>
            </w:r>
          </w:p>
        </w:tc>
        <w:tc>
          <w:tcPr>
            <w:tcW w:w="2493"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品牌型号、规格配置</w:t>
            </w:r>
          </w:p>
        </w:tc>
        <w:tc>
          <w:tcPr>
            <w:tcW w:w="8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数量</w:t>
            </w:r>
          </w:p>
        </w:tc>
        <w:tc>
          <w:tcPr>
            <w:tcW w:w="93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单位</w:t>
            </w:r>
          </w:p>
        </w:tc>
        <w:tc>
          <w:tcPr>
            <w:tcW w:w="134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ind w:firstLine="198" w:firstLineChars="82"/>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单价（元）</w:t>
            </w:r>
          </w:p>
        </w:tc>
        <w:tc>
          <w:tcPr>
            <w:tcW w:w="1612" w:type="dxa"/>
            <w:tcBorders>
              <w:top w:val="single" w:color="auto" w:sz="8" w:space="0"/>
              <w:left w:val="single" w:color="auto" w:sz="8" w:space="0"/>
              <w:bottom w:val="single" w:color="auto" w:sz="8" w:space="0"/>
            </w:tcBorders>
            <w:noWrap w:val="0"/>
            <w:vAlign w:val="center"/>
          </w:tcPr>
          <w:p>
            <w:pPr>
              <w:autoSpaceDE w:val="0"/>
              <w:autoSpaceDN w:val="0"/>
              <w:adjustRightInd w:val="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小计（元）</w:t>
            </w:r>
          </w:p>
        </w:tc>
      </w:tr>
      <w:tr>
        <w:tblPrEx>
          <w:tblBorders>
            <w:top w:val="none" w:color="auto" w:sz="4" w:space="0"/>
            <w:left w:val="none" w:color="auto" w:sz="4" w:space="0"/>
            <w:bottom w:val="none" w:color="auto" w:sz="4" w:space="0"/>
            <w:right w:val="single" w:color="000000" w:sz="8" w:space="0"/>
            <w:insideH w:val="none" w:color="auto" w:sz="4" w:space="0"/>
            <w:insideV w:val="none" w:color="auto" w:sz="4" w:space="0"/>
          </w:tblBorders>
          <w:tblCellMar>
            <w:top w:w="0" w:type="dxa"/>
            <w:left w:w="30" w:type="dxa"/>
            <w:bottom w:w="0" w:type="dxa"/>
            <w:right w:w="30" w:type="dxa"/>
          </w:tblCellMar>
        </w:tblPrEx>
        <w:trPr>
          <w:trHeight w:val="506" w:hRule="exact"/>
        </w:trPr>
        <w:tc>
          <w:tcPr>
            <w:tcW w:w="806"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641"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宋体" w:hAnsi="宋体" w:eastAsia="宋体" w:cs="宋体"/>
                <w:color w:val="auto"/>
                <w:sz w:val="24"/>
                <w:szCs w:val="24"/>
              </w:rPr>
            </w:pPr>
          </w:p>
        </w:tc>
        <w:tc>
          <w:tcPr>
            <w:tcW w:w="2493"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宋体" w:hAnsi="宋体" w:eastAsia="宋体" w:cs="宋体"/>
                <w:color w:val="auto"/>
                <w:sz w:val="24"/>
                <w:szCs w:val="24"/>
              </w:rPr>
            </w:pPr>
          </w:p>
        </w:tc>
        <w:tc>
          <w:tcPr>
            <w:tcW w:w="864" w:type="dxa"/>
            <w:tcBorders>
              <w:top w:val="single" w:color="auto" w:sz="8" w:space="0"/>
              <w:left w:val="single" w:color="auto" w:sz="8" w:space="0"/>
              <w:bottom w:val="single" w:color="auto" w:sz="8" w:space="0"/>
              <w:right w:val="single" w:color="auto" w:sz="8" w:space="0"/>
            </w:tcBorders>
            <w:noWrap w:val="0"/>
            <w:vAlign w:val="center"/>
          </w:tcPr>
          <w:p>
            <w:pPr>
              <w:ind w:firstLine="482"/>
              <w:jc w:val="center"/>
              <w:rPr>
                <w:rFonts w:hint="eastAsia" w:ascii="宋体" w:hAnsi="宋体" w:eastAsia="宋体" w:cs="宋体"/>
                <w:b/>
                <w:color w:val="auto"/>
                <w:sz w:val="24"/>
                <w:szCs w:val="24"/>
              </w:rPr>
            </w:pPr>
          </w:p>
        </w:tc>
        <w:tc>
          <w:tcPr>
            <w:tcW w:w="9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eastAsia="宋体" w:cs="宋体"/>
                <w:color w:val="auto"/>
                <w:sz w:val="24"/>
                <w:szCs w:val="24"/>
              </w:rPr>
            </w:pPr>
          </w:p>
        </w:tc>
        <w:tc>
          <w:tcPr>
            <w:tcW w:w="134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eastAsia="宋体" w:cs="宋体"/>
                <w:color w:val="auto"/>
                <w:sz w:val="24"/>
                <w:szCs w:val="24"/>
              </w:rPr>
            </w:pPr>
          </w:p>
        </w:tc>
        <w:tc>
          <w:tcPr>
            <w:tcW w:w="1612" w:type="dxa"/>
            <w:tcBorders>
              <w:top w:val="single" w:color="auto" w:sz="8" w:space="0"/>
              <w:left w:val="single" w:color="auto" w:sz="8" w:space="0"/>
              <w:bottom w:val="single" w:color="auto" w:sz="8" w:space="0"/>
            </w:tcBorders>
            <w:noWrap w:val="0"/>
            <w:vAlign w:val="top"/>
          </w:tcPr>
          <w:p>
            <w:pPr>
              <w:autoSpaceDE w:val="0"/>
              <w:autoSpaceDN w:val="0"/>
              <w:adjustRightInd w:val="0"/>
              <w:ind w:firstLine="480"/>
              <w:jc w:val="right"/>
              <w:rPr>
                <w:rFonts w:hint="eastAsia" w:ascii="宋体" w:hAnsi="宋体" w:eastAsia="宋体" w:cs="宋体"/>
                <w:color w:val="auto"/>
                <w:sz w:val="24"/>
                <w:szCs w:val="24"/>
              </w:rPr>
            </w:pPr>
          </w:p>
        </w:tc>
      </w:tr>
      <w:tr>
        <w:tblPrEx>
          <w:tblBorders>
            <w:top w:val="none" w:color="auto" w:sz="4" w:space="0"/>
            <w:left w:val="none" w:color="auto" w:sz="4" w:space="0"/>
            <w:bottom w:val="none" w:color="auto" w:sz="4" w:space="0"/>
            <w:right w:val="single" w:color="000000" w:sz="8" w:space="0"/>
            <w:insideH w:val="none" w:color="auto" w:sz="4" w:space="0"/>
            <w:insideV w:val="none" w:color="auto" w:sz="4" w:space="0"/>
          </w:tblBorders>
          <w:tblCellMar>
            <w:top w:w="0" w:type="dxa"/>
            <w:left w:w="30" w:type="dxa"/>
            <w:bottom w:w="0" w:type="dxa"/>
            <w:right w:w="30" w:type="dxa"/>
          </w:tblCellMar>
        </w:tblPrEx>
        <w:trPr>
          <w:trHeight w:val="506" w:hRule="exact"/>
        </w:trPr>
        <w:tc>
          <w:tcPr>
            <w:tcW w:w="806"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1641"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宋体" w:hAnsi="宋体" w:eastAsia="宋体" w:cs="宋体"/>
                <w:color w:val="auto"/>
                <w:sz w:val="24"/>
                <w:szCs w:val="24"/>
              </w:rPr>
            </w:pPr>
          </w:p>
        </w:tc>
        <w:tc>
          <w:tcPr>
            <w:tcW w:w="2493"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宋体" w:hAnsi="宋体" w:eastAsia="宋体" w:cs="宋体"/>
                <w:color w:val="auto"/>
                <w:sz w:val="24"/>
                <w:szCs w:val="24"/>
              </w:rPr>
            </w:pPr>
          </w:p>
        </w:tc>
        <w:tc>
          <w:tcPr>
            <w:tcW w:w="864" w:type="dxa"/>
            <w:tcBorders>
              <w:top w:val="single" w:color="auto" w:sz="8" w:space="0"/>
              <w:left w:val="single" w:color="auto" w:sz="8" w:space="0"/>
              <w:bottom w:val="single" w:color="auto" w:sz="8" w:space="0"/>
              <w:right w:val="single" w:color="auto" w:sz="8" w:space="0"/>
            </w:tcBorders>
            <w:noWrap w:val="0"/>
            <w:vAlign w:val="center"/>
          </w:tcPr>
          <w:p>
            <w:pPr>
              <w:ind w:firstLine="482"/>
              <w:jc w:val="center"/>
              <w:rPr>
                <w:rFonts w:hint="eastAsia" w:ascii="宋体" w:hAnsi="宋体" w:eastAsia="宋体" w:cs="宋体"/>
                <w:b/>
                <w:color w:val="auto"/>
                <w:sz w:val="24"/>
                <w:szCs w:val="24"/>
              </w:rPr>
            </w:pPr>
          </w:p>
        </w:tc>
        <w:tc>
          <w:tcPr>
            <w:tcW w:w="9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eastAsia="宋体" w:cs="宋体"/>
                <w:color w:val="auto"/>
                <w:sz w:val="24"/>
                <w:szCs w:val="24"/>
              </w:rPr>
            </w:pPr>
          </w:p>
        </w:tc>
        <w:tc>
          <w:tcPr>
            <w:tcW w:w="134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eastAsia="宋体" w:cs="宋体"/>
                <w:color w:val="auto"/>
                <w:sz w:val="24"/>
                <w:szCs w:val="24"/>
              </w:rPr>
            </w:pPr>
          </w:p>
        </w:tc>
        <w:tc>
          <w:tcPr>
            <w:tcW w:w="1612" w:type="dxa"/>
            <w:tcBorders>
              <w:top w:val="single" w:color="auto" w:sz="8" w:space="0"/>
              <w:left w:val="single" w:color="auto" w:sz="8" w:space="0"/>
              <w:bottom w:val="single" w:color="auto" w:sz="8" w:space="0"/>
            </w:tcBorders>
            <w:noWrap w:val="0"/>
            <w:vAlign w:val="top"/>
          </w:tcPr>
          <w:p>
            <w:pPr>
              <w:autoSpaceDE w:val="0"/>
              <w:autoSpaceDN w:val="0"/>
              <w:adjustRightInd w:val="0"/>
              <w:ind w:firstLine="480"/>
              <w:jc w:val="right"/>
              <w:rPr>
                <w:rFonts w:hint="eastAsia" w:ascii="宋体" w:hAnsi="宋体" w:eastAsia="宋体" w:cs="宋体"/>
                <w:color w:val="auto"/>
                <w:sz w:val="24"/>
                <w:szCs w:val="24"/>
              </w:rPr>
            </w:pPr>
          </w:p>
        </w:tc>
      </w:tr>
      <w:tr>
        <w:tblPrEx>
          <w:tblBorders>
            <w:top w:val="none" w:color="auto" w:sz="4" w:space="0"/>
            <w:left w:val="none" w:color="auto" w:sz="4" w:space="0"/>
            <w:bottom w:val="none" w:color="auto" w:sz="4" w:space="0"/>
            <w:right w:val="single" w:color="000000" w:sz="8" w:space="0"/>
            <w:insideH w:val="none" w:color="auto" w:sz="4" w:space="0"/>
            <w:insideV w:val="none" w:color="auto" w:sz="4" w:space="0"/>
          </w:tblBorders>
          <w:tblCellMar>
            <w:top w:w="0" w:type="dxa"/>
            <w:left w:w="30" w:type="dxa"/>
            <w:bottom w:w="0" w:type="dxa"/>
            <w:right w:w="30" w:type="dxa"/>
          </w:tblCellMar>
        </w:tblPrEx>
        <w:trPr>
          <w:trHeight w:val="456" w:hRule="exact"/>
        </w:trPr>
        <w:tc>
          <w:tcPr>
            <w:tcW w:w="806"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1641"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宋体" w:hAnsi="宋体" w:eastAsia="宋体" w:cs="宋体"/>
                <w:color w:val="auto"/>
                <w:sz w:val="24"/>
                <w:szCs w:val="24"/>
              </w:rPr>
            </w:pPr>
          </w:p>
        </w:tc>
        <w:tc>
          <w:tcPr>
            <w:tcW w:w="2493"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宋体" w:hAnsi="宋体" w:eastAsia="宋体" w:cs="宋体"/>
                <w:color w:val="auto"/>
                <w:sz w:val="24"/>
                <w:szCs w:val="24"/>
              </w:rPr>
            </w:pPr>
          </w:p>
        </w:tc>
        <w:tc>
          <w:tcPr>
            <w:tcW w:w="864" w:type="dxa"/>
            <w:tcBorders>
              <w:top w:val="single" w:color="auto" w:sz="8" w:space="0"/>
              <w:left w:val="single" w:color="auto" w:sz="8" w:space="0"/>
              <w:bottom w:val="single" w:color="auto" w:sz="8" w:space="0"/>
              <w:right w:val="single" w:color="auto" w:sz="8" w:space="0"/>
            </w:tcBorders>
            <w:noWrap w:val="0"/>
            <w:vAlign w:val="center"/>
          </w:tcPr>
          <w:p>
            <w:pPr>
              <w:ind w:firstLine="482"/>
              <w:jc w:val="center"/>
              <w:rPr>
                <w:rFonts w:hint="eastAsia" w:ascii="宋体" w:hAnsi="宋体" w:eastAsia="宋体" w:cs="宋体"/>
                <w:b/>
                <w:color w:val="auto"/>
                <w:sz w:val="24"/>
                <w:szCs w:val="24"/>
              </w:rPr>
            </w:pPr>
          </w:p>
        </w:tc>
        <w:tc>
          <w:tcPr>
            <w:tcW w:w="9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eastAsia="宋体" w:cs="宋体"/>
                <w:color w:val="auto"/>
                <w:sz w:val="24"/>
                <w:szCs w:val="24"/>
              </w:rPr>
            </w:pPr>
          </w:p>
        </w:tc>
        <w:tc>
          <w:tcPr>
            <w:tcW w:w="134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eastAsia="宋体" w:cs="宋体"/>
                <w:color w:val="auto"/>
                <w:sz w:val="24"/>
                <w:szCs w:val="24"/>
              </w:rPr>
            </w:pPr>
          </w:p>
        </w:tc>
        <w:tc>
          <w:tcPr>
            <w:tcW w:w="1612" w:type="dxa"/>
            <w:tcBorders>
              <w:top w:val="single" w:color="auto" w:sz="8" w:space="0"/>
              <w:left w:val="single" w:color="auto" w:sz="8" w:space="0"/>
              <w:bottom w:val="single" w:color="auto" w:sz="8" w:space="0"/>
            </w:tcBorders>
            <w:noWrap w:val="0"/>
            <w:vAlign w:val="top"/>
          </w:tcPr>
          <w:p>
            <w:pPr>
              <w:autoSpaceDE w:val="0"/>
              <w:autoSpaceDN w:val="0"/>
              <w:adjustRightInd w:val="0"/>
              <w:ind w:firstLine="480"/>
              <w:jc w:val="right"/>
              <w:rPr>
                <w:rFonts w:hint="eastAsia" w:ascii="宋体" w:hAnsi="宋体" w:eastAsia="宋体" w:cs="宋体"/>
                <w:color w:val="auto"/>
                <w:sz w:val="24"/>
                <w:szCs w:val="24"/>
              </w:rPr>
            </w:pPr>
          </w:p>
        </w:tc>
      </w:tr>
      <w:tr>
        <w:tblPrEx>
          <w:tblBorders>
            <w:top w:val="none" w:color="auto" w:sz="4" w:space="0"/>
            <w:left w:val="none" w:color="auto" w:sz="4" w:space="0"/>
            <w:bottom w:val="none" w:color="auto" w:sz="4" w:space="0"/>
            <w:right w:val="single" w:color="000000" w:sz="8" w:space="0"/>
            <w:insideH w:val="none" w:color="auto" w:sz="4" w:space="0"/>
            <w:insideV w:val="none" w:color="auto" w:sz="4" w:space="0"/>
          </w:tblBorders>
          <w:tblCellMar>
            <w:top w:w="0" w:type="dxa"/>
            <w:left w:w="30" w:type="dxa"/>
            <w:bottom w:w="0" w:type="dxa"/>
            <w:right w:w="30" w:type="dxa"/>
          </w:tblCellMar>
        </w:tblPrEx>
        <w:trPr>
          <w:trHeight w:val="476" w:hRule="exact"/>
        </w:trPr>
        <w:tc>
          <w:tcPr>
            <w:tcW w:w="806"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1641"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宋体" w:hAnsi="宋体" w:eastAsia="宋体" w:cs="宋体"/>
                <w:color w:val="auto"/>
                <w:sz w:val="24"/>
                <w:szCs w:val="24"/>
              </w:rPr>
            </w:pPr>
          </w:p>
        </w:tc>
        <w:tc>
          <w:tcPr>
            <w:tcW w:w="2493"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宋体" w:hAnsi="宋体" w:eastAsia="宋体" w:cs="宋体"/>
                <w:color w:val="auto"/>
                <w:sz w:val="24"/>
                <w:szCs w:val="24"/>
              </w:rPr>
            </w:pPr>
          </w:p>
        </w:tc>
        <w:tc>
          <w:tcPr>
            <w:tcW w:w="864" w:type="dxa"/>
            <w:tcBorders>
              <w:top w:val="single" w:color="auto" w:sz="8" w:space="0"/>
              <w:left w:val="single" w:color="auto" w:sz="8" w:space="0"/>
              <w:bottom w:val="single" w:color="auto" w:sz="8" w:space="0"/>
              <w:right w:val="single" w:color="auto" w:sz="8" w:space="0"/>
            </w:tcBorders>
            <w:noWrap w:val="0"/>
            <w:vAlign w:val="center"/>
          </w:tcPr>
          <w:p>
            <w:pPr>
              <w:ind w:firstLine="482"/>
              <w:jc w:val="center"/>
              <w:rPr>
                <w:rFonts w:hint="eastAsia" w:ascii="宋体" w:hAnsi="宋体" w:eastAsia="宋体" w:cs="宋体"/>
                <w:b/>
                <w:color w:val="auto"/>
                <w:sz w:val="24"/>
                <w:szCs w:val="24"/>
              </w:rPr>
            </w:pPr>
          </w:p>
        </w:tc>
        <w:tc>
          <w:tcPr>
            <w:tcW w:w="9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eastAsia="宋体" w:cs="宋体"/>
                <w:color w:val="auto"/>
                <w:sz w:val="24"/>
                <w:szCs w:val="24"/>
              </w:rPr>
            </w:pPr>
          </w:p>
        </w:tc>
        <w:tc>
          <w:tcPr>
            <w:tcW w:w="134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eastAsia="宋体" w:cs="宋体"/>
                <w:color w:val="auto"/>
                <w:sz w:val="24"/>
                <w:szCs w:val="24"/>
              </w:rPr>
            </w:pPr>
          </w:p>
        </w:tc>
        <w:tc>
          <w:tcPr>
            <w:tcW w:w="1612" w:type="dxa"/>
            <w:tcBorders>
              <w:top w:val="single" w:color="auto" w:sz="8" w:space="0"/>
              <w:left w:val="single" w:color="auto" w:sz="8" w:space="0"/>
              <w:bottom w:val="single" w:color="auto" w:sz="8" w:space="0"/>
            </w:tcBorders>
            <w:noWrap w:val="0"/>
            <w:vAlign w:val="top"/>
          </w:tcPr>
          <w:p>
            <w:pPr>
              <w:autoSpaceDE w:val="0"/>
              <w:autoSpaceDN w:val="0"/>
              <w:adjustRightInd w:val="0"/>
              <w:ind w:firstLine="480"/>
              <w:jc w:val="right"/>
              <w:rPr>
                <w:rFonts w:hint="eastAsia" w:ascii="宋体" w:hAnsi="宋体" w:eastAsia="宋体" w:cs="宋体"/>
                <w:color w:val="auto"/>
                <w:sz w:val="24"/>
                <w:szCs w:val="24"/>
              </w:rPr>
            </w:pPr>
          </w:p>
        </w:tc>
      </w:tr>
      <w:tr>
        <w:tblPrEx>
          <w:tblBorders>
            <w:top w:val="none" w:color="auto" w:sz="4" w:space="0"/>
            <w:left w:val="none" w:color="auto" w:sz="4" w:space="0"/>
            <w:bottom w:val="none" w:color="auto" w:sz="4" w:space="0"/>
            <w:right w:val="single" w:color="000000" w:sz="8" w:space="0"/>
            <w:insideH w:val="none" w:color="auto" w:sz="4" w:space="0"/>
            <w:insideV w:val="none" w:color="auto" w:sz="4" w:space="0"/>
          </w:tblBorders>
          <w:tblCellMar>
            <w:top w:w="0" w:type="dxa"/>
            <w:left w:w="30" w:type="dxa"/>
            <w:bottom w:w="0" w:type="dxa"/>
            <w:right w:w="30" w:type="dxa"/>
          </w:tblCellMar>
        </w:tblPrEx>
        <w:trPr>
          <w:trHeight w:val="579" w:hRule="exact"/>
        </w:trPr>
        <w:tc>
          <w:tcPr>
            <w:tcW w:w="806"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1641"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宋体" w:hAnsi="宋体" w:eastAsia="宋体" w:cs="宋体"/>
                <w:color w:val="auto"/>
                <w:sz w:val="24"/>
                <w:szCs w:val="24"/>
              </w:rPr>
            </w:pPr>
          </w:p>
        </w:tc>
        <w:tc>
          <w:tcPr>
            <w:tcW w:w="2493"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宋体" w:hAnsi="宋体" w:eastAsia="宋体" w:cs="宋体"/>
                <w:color w:val="auto"/>
                <w:sz w:val="24"/>
                <w:szCs w:val="24"/>
              </w:rPr>
            </w:pPr>
          </w:p>
        </w:tc>
        <w:tc>
          <w:tcPr>
            <w:tcW w:w="864" w:type="dxa"/>
            <w:tcBorders>
              <w:top w:val="single" w:color="auto" w:sz="8" w:space="0"/>
              <w:left w:val="single" w:color="auto" w:sz="8" w:space="0"/>
              <w:bottom w:val="single" w:color="auto" w:sz="8" w:space="0"/>
              <w:right w:val="single" w:color="auto" w:sz="8" w:space="0"/>
            </w:tcBorders>
            <w:noWrap w:val="0"/>
            <w:vAlign w:val="center"/>
          </w:tcPr>
          <w:p>
            <w:pPr>
              <w:ind w:firstLine="482"/>
              <w:jc w:val="center"/>
              <w:rPr>
                <w:rFonts w:hint="eastAsia" w:ascii="宋体" w:hAnsi="宋体" w:eastAsia="宋体" w:cs="宋体"/>
                <w:b/>
                <w:color w:val="auto"/>
                <w:sz w:val="24"/>
                <w:szCs w:val="24"/>
              </w:rPr>
            </w:pPr>
          </w:p>
        </w:tc>
        <w:tc>
          <w:tcPr>
            <w:tcW w:w="9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eastAsia="宋体" w:cs="宋体"/>
                <w:color w:val="auto"/>
                <w:sz w:val="24"/>
                <w:szCs w:val="24"/>
              </w:rPr>
            </w:pPr>
          </w:p>
        </w:tc>
        <w:tc>
          <w:tcPr>
            <w:tcW w:w="134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eastAsia="宋体" w:cs="宋体"/>
                <w:color w:val="auto"/>
                <w:sz w:val="24"/>
                <w:szCs w:val="24"/>
              </w:rPr>
            </w:pPr>
          </w:p>
        </w:tc>
        <w:tc>
          <w:tcPr>
            <w:tcW w:w="1612" w:type="dxa"/>
            <w:tcBorders>
              <w:top w:val="single" w:color="auto" w:sz="8" w:space="0"/>
              <w:left w:val="single" w:color="auto" w:sz="8" w:space="0"/>
              <w:bottom w:val="single" w:color="auto" w:sz="8" w:space="0"/>
            </w:tcBorders>
            <w:noWrap w:val="0"/>
            <w:vAlign w:val="top"/>
          </w:tcPr>
          <w:p>
            <w:pPr>
              <w:autoSpaceDE w:val="0"/>
              <w:autoSpaceDN w:val="0"/>
              <w:adjustRightInd w:val="0"/>
              <w:ind w:firstLine="480"/>
              <w:jc w:val="right"/>
              <w:rPr>
                <w:rFonts w:hint="eastAsia" w:ascii="宋体" w:hAnsi="宋体" w:eastAsia="宋体" w:cs="宋体"/>
                <w:color w:val="auto"/>
                <w:sz w:val="24"/>
                <w:szCs w:val="24"/>
              </w:rPr>
            </w:pPr>
          </w:p>
        </w:tc>
      </w:tr>
      <w:tr>
        <w:tblPrEx>
          <w:tblBorders>
            <w:top w:val="none" w:color="auto" w:sz="4" w:space="0"/>
            <w:left w:val="none" w:color="auto" w:sz="4" w:space="0"/>
            <w:bottom w:val="none" w:color="auto" w:sz="4" w:space="0"/>
            <w:right w:val="single" w:color="000000" w:sz="8" w:space="0"/>
            <w:insideH w:val="none" w:color="auto" w:sz="4" w:space="0"/>
            <w:insideV w:val="none" w:color="auto" w:sz="4" w:space="0"/>
          </w:tblBorders>
          <w:tblCellMar>
            <w:top w:w="0" w:type="dxa"/>
            <w:left w:w="30" w:type="dxa"/>
            <w:bottom w:w="0" w:type="dxa"/>
            <w:right w:w="30" w:type="dxa"/>
          </w:tblCellMar>
        </w:tblPrEx>
        <w:trPr>
          <w:trHeight w:val="579" w:hRule="exact"/>
        </w:trPr>
        <w:tc>
          <w:tcPr>
            <w:tcW w:w="806"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ind w:firstLine="199" w:firstLineChars="83"/>
              <w:jc w:val="both"/>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1641" w:type="dxa"/>
            <w:tcBorders>
              <w:top w:val="single" w:color="auto" w:sz="8" w:space="0"/>
              <w:left w:val="single" w:color="auto" w:sz="8" w:space="0"/>
              <w:bottom w:val="single" w:color="auto" w:sz="8" w:space="0"/>
              <w:right w:val="single" w:color="auto" w:sz="8" w:space="0"/>
            </w:tcBorders>
            <w:noWrap w:val="0"/>
            <w:vAlign w:val="center"/>
          </w:tcPr>
          <w:p>
            <w:pPr>
              <w:ind w:firstLine="482"/>
              <w:rPr>
                <w:rFonts w:hint="eastAsia" w:ascii="宋体" w:hAnsi="宋体" w:eastAsia="宋体" w:cs="宋体"/>
                <w:b/>
                <w:color w:val="000000"/>
                <w:sz w:val="24"/>
                <w:szCs w:val="24"/>
              </w:rPr>
            </w:pPr>
            <w:r>
              <w:rPr>
                <w:rFonts w:hint="eastAsia" w:ascii="宋体" w:hAnsi="宋体" w:eastAsia="宋体" w:cs="宋体"/>
                <w:b/>
                <w:color w:val="000000"/>
                <w:sz w:val="24"/>
                <w:szCs w:val="24"/>
              </w:rPr>
              <w:t xml:space="preserve"> </w:t>
            </w:r>
          </w:p>
        </w:tc>
        <w:tc>
          <w:tcPr>
            <w:tcW w:w="2493" w:type="dxa"/>
            <w:tcBorders>
              <w:top w:val="single" w:color="auto" w:sz="8" w:space="0"/>
              <w:left w:val="single" w:color="auto" w:sz="8" w:space="0"/>
              <w:bottom w:val="single" w:color="auto" w:sz="8" w:space="0"/>
              <w:right w:val="single" w:color="auto" w:sz="8" w:space="0"/>
            </w:tcBorders>
            <w:noWrap w:val="0"/>
            <w:vAlign w:val="center"/>
          </w:tcPr>
          <w:p>
            <w:pPr>
              <w:rPr>
                <w:rFonts w:hint="eastAsia" w:ascii="宋体" w:hAnsi="宋体" w:eastAsia="宋体" w:cs="宋体"/>
                <w:b/>
                <w:color w:val="000000"/>
                <w:sz w:val="24"/>
                <w:szCs w:val="24"/>
              </w:rPr>
            </w:pPr>
          </w:p>
        </w:tc>
        <w:tc>
          <w:tcPr>
            <w:tcW w:w="864" w:type="dxa"/>
            <w:tcBorders>
              <w:top w:val="single" w:color="auto" w:sz="8" w:space="0"/>
              <w:left w:val="single" w:color="auto" w:sz="8" w:space="0"/>
              <w:bottom w:val="single" w:color="auto" w:sz="8" w:space="0"/>
              <w:right w:val="single" w:color="auto" w:sz="8" w:space="0"/>
            </w:tcBorders>
            <w:noWrap w:val="0"/>
            <w:vAlign w:val="center"/>
          </w:tcPr>
          <w:p>
            <w:pPr>
              <w:ind w:firstLine="482"/>
              <w:jc w:val="center"/>
              <w:rPr>
                <w:rFonts w:hint="eastAsia" w:ascii="宋体" w:hAnsi="宋体" w:eastAsia="宋体" w:cs="宋体"/>
                <w:b/>
                <w:color w:val="000000"/>
                <w:sz w:val="24"/>
                <w:szCs w:val="24"/>
              </w:rPr>
            </w:pPr>
          </w:p>
        </w:tc>
        <w:tc>
          <w:tcPr>
            <w:tcW w:w="9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eastAsia="宋体" w:cs="宋体"/>
                <w:color w:val="000000"/>
                <w:sz w:val="24"/>
                <w:szCs w:val="24"/>
              </w:rPr>
            </w:pPr>
          </w:p>
        </w:tc>
        <w:tc>
          <w:tcPr>
            <w:tcW w:w="134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eastAsia="宋体" w:cs="宋体"/>
                <w:color w:val="000000"/>
                <w:sz w:val="24"/>
                <w:szCs w:val="24"/>
              </w:rPr>
            </w:pPr>
          </w:p>
        </w:tc>
        <w:tc>
          <w:tcPr>
            <w:tcW w:w="1612" w:type="dxa"/>
            <w:tcBorders>
              <w:top w:val="single" w:color="auto" w:sz="8" w:space="0"/>
              <w:left w:val="single" w:color="auto" w:sz="8" w:space="0"/>
              <w:bottom w:val="single" w:color="auto" w:sz="8" w:space="0"/>
            </w:tcBorders>
            <w:noWrap w:val="0"/>
            <w:vAlign w:val="top"/>
          </w:tcPr>
          <w:p>
            <w:pPr>
              <w:autoSpaceDE w:val="0"/>
              <w:autoSpaceDN w:val="0"/>
              <w:adjustRightInd w:val="0"/>
              <w:ind w:firstLine="480"/>
              <w:jc w:val="right"/>
              <w:rPr>
                <w:rFonts w:hint="eastAsia" w:ascii="宋体" w:hAnsi="宋体" w:eastAsia="宋体" w:cs="宋体"/>
                <w:color w:val="000000"/>
                <w:sz w:val="24"/>
                <w:szCs w:val="24"/>
              </w:rPr>
            </w:pPr>
          </w:p>
        </w:tc>
      </w:tr>
      <w:tr>
        <w:tblPrEx>
          <w:tblBorders>
            <w:top w:val="none" w:color="auto" w:sz="4" w:space="0"/>
            <w:left w:val="none" w:color="auto" w:sz="4" w:space="0"/>
            <w:bottom w:val="none" w:color="auto" w:sz="4" w:space="0"/>
            <w:right w:val="single" w:color="000000" w:sz="8" w:space="0"/>
            <w:insideH w:val="none" w:color="auto" w:sz="4" w:space="0"/>
            <w:insideV w:val="none" w:color="auto" w:sz="4" w:space="0"/>
          </w:tblBorders>
          <w:tblCellMar>
            <w:top w:w="0" w:type="dxa"/>
            <w:left w:w="30" w:type="dxa"/>
            <w:bottom w:w="0" w:type="dxa"/>
            <w:right w:w="30" w:type="dxa"/>
          </w:tblCellMar>
        </w:tblPrEx>
        <w:trPr>
          <w:trHeight w:val="579" w:hRule="exact"/>
        </w:trPr>
        <w:tc>
          <w:tcPr>
            <w:tcW w:w="806"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ind w:firstLine="199" w:firstLineChars="83"/>
              <w:jc w:val="both"/>
              <w:rPr>
                <w:rFonts w:hint="eastAsia" w:ascii="宋体" w:hAnsi="宋体" w:eastAsia="宋体" w:cs="宋体"/>
                <w:color w:val="000000"/>
                <w:sz w:val="24"/>
                <w:szCs w:val="24"/>
              </w:rPr>
            </w:pPr>
          </w:p>
        </w:tc>
        <w:tc>
          <w:tcPr>
            <w:tcW w:w="7268" w:type="dxa"/>
            <w:gridSpan w:val="5"/>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ind w:firstLine="480"/>
              <w:jc w:val="center"/>
              <w:rPr>
                <w:rFonts w:hint="eastAsia" w:ascii="宋体" w:hAnsi="宋体" w:eastAsia="宋体" w:cs="宋体"/>
                <w:color w:val="000000"/>
                <w:sz w:val="24"/>
                <w:szCs w:val="24"/>
                <w:lang w:val="en-US" w:eastAsia="zh-CN"/>
              </w:rPr>
            </w:pPr>
            <w:r>
              <w:rPr>
                <w:rFonts w:hint="eastAsia" w:ascii="宋体" w:hAnsi="宋体" w:eastAsia="宋体" w:cs="宋体"/>
                <w:b/>
                <w:color w:val="000000"/>
                <w:sz w:val="24"/>
                <w:szCs w:val="24"/>
                <w:lang w:val="en-US" w:eastAsia="zh-CN"/>
              </w:rPr>
              <w:t>合计：</w:t>
            </w:r>
          </w:p>
        </w:tc>
        <w:tc>
          <w:tcPr>
            <w:tcW w:w="1612" w:type="dxa"/>
            <w:tcBorders>
              <w:top w:val="single" w:color="auto" w:sz="8" w:space="0"/>
              <w:left w:val="single" w:color="auto" w:sz="8" w:space="0"/>
              <w:bottom w:val="single" w:color="auto" w:sz="8" w:space="0"/>
            </w:tcBorders>
            <w:noWrap w:val="0"/>
            <w:vAlign w:val="top"/>
          </w:tcPr>
          <w:p>
            <w:pPr>
              <w:autoSpaceDE w:val="0"/>
              <w:autoSpaceDN w:val="0"/>
              <w:adjustRightInd w:val="0"/>
              <w:ind w:firstLine="480"/>
              <w:jc w:val="right"/>
              <w:rPr>
                <w:rFonts w:hint="eastAsia" w:ascii="宋体" w:hAnsi="宋体" w:eastAsia="宋体" w:cs="宋体"/>
                <w:color w:val="000000"/>
                <w:sz w:val="24"/>
                <w:szCs w:val="24"/>
              </w:rPr>
            </w:pPr>
          </w:p>
        </w:tc>
      </w:tr>
    </w:tbl>
    <w:p>
      <w:pPr>
        <w:spacing w:before="19" w:line="360" w:lineRule="auto"/>
        <w:rPr>
          <w:rFonts w:hint="eastAsia" w:ascii="宋体" w:hAnsi="宋体" w:eastAsia="宋体" w:cs="宋体"/>
          <w:sz w:val="24"/>
          <w:szCs w:val="24"/>
        </w:rPr>
      </w:pPr>
      <w:r>
        <w:rPr>
          <w:rFonts w:hint="eastAsia" w:ascii="宋体" w:hAnsi="宋体" w:cs="宋体"/>
          <w:sz w:val="24"/>
          <w:szCs w:val="24"/>
          <w:lang w:val="en-US" w:eastAsia="zh-CN"/>
        </w:rPr>
        <w:t>投标人</w:t>
      </w:r>
      <w:r>
        <w:rPr>
          <w:rFonts w:hint="eastAsia" w:ascii="宋体" w:hAnsi="宋体" w:eastAsia="宋体" w:cs="宋体"/>
          <w:sz w:val="24"/>
          <w:szCs w:val="24"/>
        </w:rPr>
        <w:t>名称（盖章）：                          授权代表（签名或私章）：</w:t>
      </w:r>
    </w:p>
    <w:p>
      <w:pPr>
        <w:rPr>
          <w:rFonts w:hint="eastAsia" w:ascii="宋体" w:hAnsi="宋体" w:eastAsia="宋体" w:cs="宋体"/>
          <w:sz w:val="24"/>
          <w:szCs w:val="24"/>
        </w:rPr>
      </w:pPr>
    </w:p>
    <w:p>
      <w:pPr>
        <w:snapToGrid w:val="0"/>
        <w:spacing w:line="360" w:lineRule="auto"/>
        <w:ind w:left="482" w:hanging="482" w:hangingChars="200"/>
        <w:rPr>
          <w:rFonts w:hint="eastAsia" w:ascii="宋体" w:hAnsi="宋体" w:eastAsia="宋体" w:cs="宋体"/>
          <w:b/>
          <w:sz w:val="24"/>
          <w:szCs w:val="24"/>
        </w:rPr>
      </w:pPr>
    </w:p>
    <w:p>
      <w:pPr>
        <w:snapToGrid w:val="0"/>
        <w:spacing w:line="360" w:lineRule="auto"/>
        <w:ind w:left="482" w:hanging="482" w:hangingChars="200"/>
        <w:rPr>
          <w:rFonts w:hint="eastAsia" w:ascii="宋体" w:hAnsi="宋体" w:eastAsia="宋体" w:cs="宋体"/>
          <w:b/>
          <w:sz w:val="24"/>
          <w:szCs w:val="24"/>
        </w:rPr>
      </w:pPr>
    </w:p>
    <w:p>
      <w:pPr>
        <w:snapToGrid w:val="0"/>
        <w:spacing w:line="360" w:lineRule="auto"/>
        <w:ind w:left="482" w:hanging="482" w:hangingChars="200"/>
        <w:rPr>
          <w:rFonts w:hint="eastAsia" w:ascii="宋体" w:hAnsi="宋体" w:eastAsia="宋体" w:cs="宋体"/>
          <w:b/>
          <w:sz w:val="24"/>
          <w:szCs w:val="24"/>
        </w:rPr>
      </w:pPr>
      <w:r>
        <w:rPr>
          <w:rFonts w:hint="eastAsia" w:ascii="宋体" w:hAnsi="宋体" w:eastAsia="宋体" w:cs="宋体"/>
          <w:b/>
          <w:sz w:val="24"/>
          <w:szCs w:val="24"/>
        </w:rPr>
        <w:t>注: 1、</w:t>
      </w:r>
      <w:r>
        <w:rPr>
          <w:rFonts w:hint="eastAsia" w:ascii="宋体" w:hAnsi="宋体" w:eastAsia="宋体" w:cs="宋体"/>
          <w:b/>
          <w:sz w:val="24"/>
          <w:szCs w:val="24"/>
          <w:lang w:val="en-US" w:eastAsia="zh-CN"/>
        </w:rPr>
        <w:t>投标人必须按“分项报价明细表”的格式详细报出投标总价的各个组成部分的报价，否则作无效投标处理。</w:t>
      </w:r>
    </w:p>
    <w:p>
      <w:pPr>
        <w:numPr>
          <w:ilvl w:val="0"/>
          <w:numId w:val="3"/>
        </w:numPr>
        <w:tabs>
          <w:tab w:val="left" w:pos="360"/>
        </w:tabs>
        <w:snapToGrid w:val="0"/>
        <w:spacing w:line="360" w:lineRule="auto"/>
        <w:ind w:left="-15" w:leftChars="-7" w:right="-119" w:firstLine="472" w:firstLineChars="196"/>
        <w:rPr>
          <w:rFonts w:hint="eastAsia" w:ascii="宋体" w:hAnsi="宋体" w:eastAsia="宋体" w:cs="宋体"/>
          <w:b/>
          <w:sz w:val="24"/>
          <w:szCs w:val="24"/>
        </w:rPr>
      </w:pPr>
      <w:r>
        <w:rPr>
          <w:rFonts w:hint="eastAsia" w:ascii="宋体" w:hAnsi="宋体" w:eastAsia="宋体" w:cs="宋体"/>
          <w:b/>
          <w:sz w:val="24"/>
          <w:szCs w:val="24"/>
          <w:lang w:val="en-US" w:eastAsia="zh-CN"/>
        </w:rPr>
        <w:t>分项报价明细表</w:t>
      </w:r>
      <w:r>
        <w:rPr>
          <w:rFonts w:hint="eastAsia" w:ascii="宋体" w:hAnsi="宋体" w:eastAsia="宋体" w:cs="宋体"/>
          <w:b/>
          <w:sz w:val="24"/>
          <w:szCs w:val="24"/>
        </w:rPr>
        <w:t>格式不得自行改动</w:t>
      </w:r>
      <w:r>
        <w:rPr>
          <w:rFonts w:hint="eastAsia" w:ascii="宋体" w:hAnsi="宋体" w:eastAsia="宋体" w:cs="宋体"/>
          <w:b/>
          <w:sz w:val="24"/>
          <w:szCs w:val="24"/>
          <w:lang w:eastAsia="zh-CN"/>
        </w:rPr>
        <w:t>，</w:t>
      </w:r>
      <w:r>
        <w:rPr>
          <w:rFonts w:hint="eastAsia" w:ascii="宋体" w:hAnsi="宋体" w:eastAsia="宋体" w:cs="宋体"/>
          <w:b/>
          <w:sz w:val="24"/>
          <w:szCs w:val="24"/>
          <w:lang w:val="en-US" w:eastAsia="zh-CN"/>
        </w:rPr>
        <w:t>行数可以自行添加</w:t>
      </w:r>
      <w:r>
        <w:rPr>
          <w:rFonts w:hint="eastAsia" w:ascii="宋体" w:hAnsi="宋体" w:eastAsia="宋体" w:cs="宋体"/>
          <w:b/>
          <w:sz w:val="24"/>
          <w:szCs w:val="24"/>
        </w:rPr>
        <w:t>。</w:t>
      </w:r>
    </w:p>
    <w:p>
      <w:pPr>
        <w:numPr>
          <w:ilvl w:val="0"/>
          <w:numId w:val="0"/>
        </w:numPr>
        <w:tabs>
          <w:tab w:val="left" w:pos="360"/>
        </w:tabs>
        <w:snapToGrid w:val="0"/>
        <w:spacing w:line="360" w:lineRule="auto"/>
        <w:ind w:right="-119" w:rightChars="0" w:firstLine="482" w:firstLineChars="200"/>
        <w:rPr>
          <w:rFonts w:hint="eastAsia" w:ascii="宋体" w:hAnsi="宋体" w:eastAsia="宋体" w:cs="宋体"/>
          <w:b/>
          <w:sz w:val="24"/>
          <w:szCs w:val="24"/>
        </w:rPr>
      </w:pPr>
      <w:r>
        <w:rPr>
          <w:rFonts w:hint="eastAsia" w:ascii="宋体" w:hAnsi="宋体" w:eastAsia="宋体" w:cs="宋体"/>
          <w:b/>
          <w:sz w:val="24"/>
          <w:szCs w:val="24"/>
          <w:lang w:val="en-US" w:eastAsia="zh-CN"/>
        </w:rPr>
        <w:t>3、“分项报价明细表”各分项报价合计应当与“开标一览表”报价合计相等。</w:t>
      </w:r>
    </w:p>
    <w:p>
      <w:pPr>
        <w:pStyle w:val="8"/>
        <w:spacing w:line="440" w:lineRule="exact"/>
        <w:ind w:firstLine="0"/>
        <w:rPr>
          <w:rFonts w:hint="eastAsia" w:ascii="宋体" w:hAnsi="宋体" w:eastAsia="宋体" w:cs="宋体"/>
          <w:bCs/>
          <w:color w:val="auto"/>
          <w:sz w:val="24"/>
          <w:szCs w:val="24"/>
        </w:rPr>
      </w:pPr>
      <w:r>
        <w:rPr>
          <w:rFonts w:hint="eastAsia" w:ascii="宋体" w:hAnsi="宋体" w:eastAsia="宋体" w:cs="宋体"/>
          <w:bCs/>
          <w:color w:val="auto"/>
          <w:sz w:val="24"/>
          <w:szCs w:val="24"/>
        </w:rPr>
        <w:t>　　　　　　　　</w:t>
      </w:r>
      <w:bookmarkEnd w:id="61"/>
      <w:bookmarkEnd w:id="62"/>
      <w:bookmarkStart w:id="73" w:name="_Toc264213367"/>
    </w:p>
    <w:p>
      <w:pPr>
        <w:pStyle w:val="8"/>
        <w:spacing w:line="440" w:lineRule="exact"/>
        <w:ind w:firstLine="0"/>
        <w:rPr>
          <w:rFonts w:hint="eastAsia" w:ascii="宋体" w:hAnsi="宋体" w:eastAsia="宋体" w:cs="宋体"/>
          <w:bCs/>
          <w:color w:val="auto"/>
          <w:sz w:val="24"/>
          <w:szCs w:val="24"/>
        </w:rPr>
      </w:pPr>
    </w:p>
    <w:p>
      <w:pPr>
        <w:pStyle w:val="8"/>
        <w:spacing w:line="440" w:lineRule="exact"/>
        <w:ind w:firstLine="0"/>
        <w:rPr>
          <w:rFonts w:hint="eastAsia" w:ascii="宋体" w:hAnsi="宋体" w:eastAsia="宋体" w:cs="宋体"/>
          <w:bCs/>
          <w:color w:val="auto"/>
          <w:sz w:val="24"/>
          <w:szCs w:val="24"/>
        </w:rPr>
      </w:pPr>
    </w:p>
    <w:p>
      <w:pPr>
        <w:pStyle w:val="8"/>
        <w:spacing w:line="440" w:lineRule="exact"/>
        <w:ind w:firstLine="0"/>
        <w:jc w:val="center"/>
        <w:rPr>
          <w:rFonts w:hint="eastAsia" w:ascii="宋体" w:hAnsi="宋体" w:eastAsia="宋体" w:cs="宋体"/>
          <w:b/>
          <w:color w:val="auto"/>
          <w:sz w:val="24"/>
          <w:szCs w:val="24"/>
        </w:rPr>
      </w:pPr>
    </w:p>
    <w:p>
      <w:pPr>
        <w:pStyle w:val="8"/>
        <w:spacing w:line="440" w:lineRule="exact"/>
        <w:ind w:firstLine="0"/>
        <w:jc w:val="center"/>
        <w:rPr>
          <w:rFonts w:hint="eastAsia" w:ascii="宋体" w:hAnsi="宋体" w:eastAsia="宋体" w:cs="宋体"/>
          <w:b/>
          <w:color w:val="auto"/>
          <w:sz w:val="24"/>
          <w:szCs w:val="24"/>
        </w:rPr>
      </w:pPr>
    </w:p>
    <w:p>
      <w:pPr>
        <w:pStyle w:val="8"/>
        <w:spacing w:line="440" w:lineRule="exact"/>
        <w:ind w:firstLine="0"/>
        <w:jc w:val="center"/>
        <w:rPr>
          <w:rFonts w:hint="eastAsia" w:ascii="宋体" w:hAnsi="宋体" w:eastAsia="宋体" w:cs="宋体"/>
          <w:b/>
          <w:color w:val="auto"/>
          <w:sz w:val="24"/>
          <w:szCs w:val="24"/>
        </w:rPr>
      </w:pPr>
    </w:p>
    <w:p>
      <w:pPr>
        <w:pStyle w:val="8"/>
        <w:spacing w:line="440" w:lineRule="exact"/>
        <w:ind w:firstLine="0"/>
        <w:jc w:val="center"/>
        <w:rPr>
          <w:rFonts w:hint="eastAsia" w:ascii="宋体" w:hAnsi="宋体" w:eastAsia="宋体" w:cs="宋体"/>
          <w:b/>
          <w:color w:val="auto"/>
          <w:sz w:val="24"/>
          <w:szCs w:val="24"/>
        </w:rPr>
      </w:pPr>
    </w:p>
    <w:p>
      <w:pPr>
        <w:pStyle w:val="8"/>
        <w:spacing w:line="440" w:lineRule="exact"/>
        <w:ind w:firstLine="0"/>
        <w:jc w:val="center"/>
        <w:rPr>
          <w:rFonts w:hint="eastAsia" w:ascii="宋体" w:hAnsi="宋体" w:eastAsia="宋体" w:cs="宋体"/>
          <w:b/>
          <w:color w:val="auto"/>
          <w:sz w:val="24"/>
          <w:szCs w:val="24"/>
        </w:rPr>
      </w:pPr>
    </w:p>
    <w:p>
      <w:pPr>
        <w:pStyle w:val="8"/>
        <w:spacing w:line="440" w:lineRule="exact"/>
        <w:ind w:firstLine="0"/>
        <w:jc w:val="center"/>
        <w:rPr>
          <w:rFonts w:hint="eastAsia" w:ascii="宋体" w:hAnsi="宋体" w:eastAsia="宋体" w:cs="宋体"/>
          <w:b/>
          <w:color w:val="auto"/>
          <w:sz w:val="24"/>
          <w:szCs w:val="24"/>
        </w:rPr>
        <w:sectPr>
          <w:pgSz w:w="11906" w:h="16838"/>
          <w:pgMar w:top="1440" w:right="1365" w:bottom="1440" w:left="1501" w:header="851" w:footer="992" w:gutter="0"/>
          <w:pgBorders w:offsetFrom="page">
            <w:top w:val="none" w:sz="0" w:space="0"/>
            <w:left w:val="none" w:sz="0" w:space="0"/>
            <w:bottom w:val="none" w:sz="0" w:space="0"/>
            <w:right w:val="none" w:sz="0" w:space="0"/>
          </w:pgBorders>
          <w:pgNumType w:fmt="decimal"/>
          <w:cols w:space="720" w:num="1"/>
          <w:titlePg/>
          <w:docGrid w:linePitch="312" w:charSpace="0"/>
        </w:sectPr>
      </w:pPr>
    </w:p>
    <w:p>
      <w:pPr>
        <w:rPr>
          <w:rFonts w:hint="eastAsia" w:ascii="宋体" w:hAnsi="宋体" w:cs="宋体"/>
          <w:b/>
          <w:bCs/>
          <w:color w:val="auto"/>
          <w:sz w:val="32"/>
          <w:szCs w:val="32"/>
          <w:lang w:val="en-US" w:eastAsia="zh-CN"/>
        </w:rPr>
      </w:pPr>
      <w:r>
        <w:rPr>
          <w:rFonts w:hint="eastAsia" w:ascii="宋体" w:hAnsi="宋体" w:eastAsia="宋体" w:cs="宋体"/>
          <w:b/>
          <w:bCs/>
          <w:color w:val="auto"/>
          <w:sz w:val="32"/>
          <w:szCs w:val="32"/>
        </w:rPr>
        <w:t>表</w:t>
      </w:r>
      <w:r>
        <w:rPr>
          <w:rFonts w:hint="eastAsia" w:ascii="宋体" w:hAnsi="宋体" w:cs="宋体"/>
          <w:b/>
          <w:bCs/>
          <w:color w:val="auto"/>
          <w:sz w:val="32"/>
          <w:szCs w:val="32"/>
          <w:lang w:val="en-US" w:eastAsia="zh-CN"/>
        </w:rPr>
        <w:t>4:</w:t>
      </w:r>
    </w:p>
    <w:p>
      <w:pPr>
        <w:rPr>
          <w:rFonts w:hint="eastAsia"/>
          <w:lang w:val="en-US" w:eastAsia="zh-CN"/>
        </w:rPr>
      </w:pPr>
    </w:p>
    <w:p>
      <w:pPr>
        <w:pStyle w:val="6"/>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lang w:val="en-US" w:eastAsia="zh-CN"/>
        </w:rPr>
      </w:pPr>
      <w:bookmarkStart w:id="74" w:name="_Toc23215"/>
      <w:bookmarkStart w:id="75" w:name="_Toc5692"/>
      <w:bookmarkStart w:id="76" w:name="_Toc32201"/>
      <w:r>
        <w:rPr>
          <w:rFonts w:hint="eastAsia" w:ascii="宋体" w:hAnsi="宋体" w:eastAsia="宋体" w:cs="宋体"/>
          <w:lang w:val="en-US" w:eastAsia="zh-CN"/>
        </w:rPr>
        <w:t>4、技术及资质要求响应表</w:t>
      </w:r>
      <w:bookmarkEnd w:id="74"/>
      <w:bookmarkEnd w:id="75"/>
      <w:bookmarkEnd w:id="76"/>
    </w:p>
    <w:p>
      <w:pPr>
        <w:rPr>
          <w:rFonts w:hint="eastAsia"/>
          <w:sz w:val="24"/>
          <w:szCs w:val="24"/>
        </w:rPr>
      </w:pPr>
    </w:p>
    <w:p>
      <w:pPr>
        <w:snapToGrid w:val="0"/>
        <w:spacing w:line="360" w:lineRule="auto"/>
        <w:ind w:firstLine="480" w:firstLineChars="200"/>
        <w:rPr>
          <w:rFonts w:hint="eastAsia" w:ascii="宋体" w:hAnsi="宋体" w:eastAsia="宋体" w:cs="宋体"/>
          <w:b/>
          <w:color w:val="auto"/>
          <w:sz w:val="24"/>
          <w:szCs w:val="24"/>
          <w:u w:val="single"/>
        </w:rPr>
      </w:pPr>
      <w:r>
        <w:rPr>
          <w:rFonts w:hint="eastAsia" w:ascii="宋体" w:hAnsi="宋体" w:eastAsia="宋体" w:cs="宋体"/>
          <w:color w:val="auto"/>
          <w:sz w:val="24"/>
          <w:szCs w:val="24"/>
        </w:rPr>
        <w:t>说明：投标人必须仔细阅读招标文件中所有“用户需求书”中的技术规范条款和相关功能要求，并对所有技术规范和功能偏离的条目列入下表，未列入下表的视作投标人不响应。</w:t>
      </w:r>
      <w:r>
        <w:rPr>
          <w:rFonts w:hint="eastAsia" w:ascii="宋体" w:hAnsi="宋体" w:eastAsia="宋体" w:cs="宋体"/>
          <w:b/>
          <w:color w:val="auto"/>
          <w:sz w:val="24"/>
          <w:szCs w:val="24"/>
          <w:u w:val="single"/>
        </w:rPr>
        <w:t>投标人必须根据所投产品的实际情况如实填写，招标方有权要求投标方在投标后进行产品测试，评委会如发现有虚假描述的，该</w:t>
      </w:r>
      <w:r>
        <w:rPr>
          <w:rFonts w:hint="eastAsia" w:ascii="宋体" w:hAnsi="宋体" w:cs="宋体"/>
          <w:b/>
          <w:color w:val="auto"/>
          <w:sz w:val="24"/>
          <w:szCs w:val="24"/>
          <w:u w:val="single"/>
          <w:lang w:val="en-US" w:eastAsia="zh-CN"/>
        </w:rPr>
        <w:t>报价</w:t>
      </w:r>
      <w:r>
        <w:rPr>
          <w:rFonts w:hint="eastAsia" w:ascii="宋体" w:hAnsi="宋体" w:eastAsia="宋体" w:cs="宋体"/>
          <w:b/>
          <w:color w:val="auto"/>
          <w:sz w:val="24"/>
          <w:szCs w:val="24"/>
          <w:u w:val="single"/>
          <w:lang w:eastAsia="zh-CN"/>
        </w:rPr>
        <w:t>文件</w:t>
      </w:r>
      <w:r>
        <w:rPr>
          <w:rFonts w:hint="eastAsia" w:ascii="宋体" w:hAnsi="宋体" w:eastAsia="宋体" w:cs="宋体"/>
          <w:b/>
          <w:color w:val="auto"/>
          <w:sz w:val="24"/>
          <w:szCs w:val="24"/>
          <w:u w:val="single"/>
        </w:rPr>
        <w:t>作废标处理，并报政府采购主管部门严肃处理。</w:t>
      </w:r>
    </w:p>
    <w:tbl>
      <w:tblPr>
        <w:tblStyle w:val="25"/>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234"/>
        <w:gridCol w:w="2767"/>
        <w:gridCol w:w="2752"/>
        <w:gridCol w:w="1071"/>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blHeader/>
          <w:jc w:val="center"/>
        </w:trPr>
        <w:tc>
          <w:tcPr>
            <w:tcW w:w="722" w:type="dxa"/>
            <w:tcBorders>
              <w:bottom w:val="single" w:color="auto" w:sz="4" w:space="0"/>
            </w:tcBorders>
            <w:shd w:val="clear" w:color="auto" w:fill="D9D9D9"/>
            <w:noWrap w:val="0"/>
            <w:vAlign w:val="center"/>
          </w:tcPr>
          <w:p>
            <w:pPr>
              <w:snapToGrid w:val="0"/>
              <w:spacing w:line="360" w:lineRule="auto"/>
              <w:jc w:val="center"/>
              <w:rPr>
                <w:rFonts w:hint="eastAsia" w:ascii="宋体" w:hAnsi="宋体" w:eastAsia="宋体" w:cs="宋体"/>
                <w:b/>
                <w:bCs/>
                <w:color w:val="auto"/>
                <w:sz w:val="24"/>
                <w:szCs w:val="24"/>
              </w:rPr>
            </w:pPr>
            <w:r>
              <w:rPr>
                <w:rFonts w:hint="eastAsia" w:ascii="宋体" w:hAnsi="宋体"/>
                <w:b/>
                <w:bCs/>
                <w:color w:val="auto"/>
                <w:szCs w:val="21"/>
              </w:rPr>
              <w:t>序号</w:t>
            </w:r>
          </w:p>
        </w:tc>
        <w:tc>
          <w:tcPr>
            <w:tcW w:w="1234" w:type="dxa"/>
            <w:tcBorders>
              <w:bottom w:val="single" w:color="auto" w:sz="4" w:space="0"/>
            </w:tcBorders>
            <w:shd w:val="clear" w:color="auto" w:fill="D9D9D9"/>
            <w:noWrap w:val="0"/>
            <w:vAlign w:val="center"/>
          </w:tcPr>
          <w:p>
            <w:pPr>
              <w:snapToGrid w:val="0"/>
              <w:spacing w:line="360" w:lineRule="auto"/>
              <w:jc w:val="center"/>
              <w:rPr>
                <w:rFonts w:hint="eastAsia" w:ascii="宋体" w:hAnsi="宋体" w:eastAsia="宋体" w:cs="宋体"/>
                <w:b/>
                <w:bCs/>
                <w:color w:val="auto"/>
                <w:sz w:val="24"/>
                <w:szCs w:val="24"/>
              </w:rPr>
            </w:pPr>
            <w:r>
              <w:rPr>
                <w:rFonts w:hint="eastAsia" w:ascii="宋体" w:hAnsi="宋体"/>
                <w:b/>
                <w:bCs/>
                <w:color w:val="auto"/>
                <w:szCs w:val="21"/>
              </w:rPr>
              <w:t>项目/产品</w:t>
            </w:r>
          </w:p>
        </w:tc>
        <w:tc>
          <w:tcPr>
            <w:tcW w:w="2767" w:type="dxa"/>
            <w:tcBorders>
              <w:bottom w:val="single" w:color="auto" w:sz="4" w:space="0"/>
            </w:tcBorders>
            <w:shd w:val="clear" w:color="auto" w:fill="D9D9D9"/>
            <w:noWrap w:val="0"/>
            <w:vAlign w:val="center"/>
          </w:tcPr>
          <w:p>
            <w:pPr>
              <w:snapToGrid w:val="0"/>
              <w:spacing w:line="360" w:lineRule="auto"/>
              <w:jc w:val="center"/>
              <w:rPr>
                <w:rFonts w:hint="eastAsia" w:ascii="宋体" w:hAnsi="宋体"/>
                <w:b/>
                <w:bCs/>
                <w:color w:val="auto"/>
                <w:szCs w:val="21"/>
              </w:rPr>
            </w:pPr>
            <w:r>
              <w:rPr>
                <w:rFonts w:hint="eastAsia" w:ascii="宋体" w:hAnsi="宋体"/>
                <w:b/>
                <w:bCs/>
                <w:color w:val="auto"/>
                <w:szCs w:val="21"/>
              </w:rPr>
              <w:t>招标文件技术参数</w:t>
            </w:r>
            <w:r>
              <w:rPr>
                <w:rFonts w:hint="default" w:ascii="宋体" w:hAnsi="宋体"/>
                <w:b/>
                <w:bCs/>
                <w:color w:val="auto"/>
                <w:szCs w:val="21"/>
              </w:rPr>
              <w:t>/</w:t>
            </w:r>
            <w:r>
              <w:rPr>
                <w:rFonts w:hint="eastAsia" w:ascii="宋体" w:hAnsi="宋体"/>
                <w:b/>
                <w:bCs/>
                <w:color w:val="auto"/>
                <w:szCs w:val="21"/>
              </w:rPr>
              <w:t>功</w:t>
            </w:r>
          </w:p>
          <w:p>
            <w:pPr>
              <w:snapToGrid w:val="0"/>
              <w:spacing w:line="360" w:lineRule="auto"/>
              <w:jc w:val="center"/>
              <w:rPr>
                <w:rFonts w:hint="eastAsia" w:ascii="宋体" w:hAnsi="宋体" w:eastAsia="宋体" w:cs="宋体"/>
                <w:b/>
                <w:bCs/>
                <w:color w:val="auto"/>
                <w:sz w:val="24"/>
                <w:szCs w:val="24"/>
              </w:rPr>
            </w:pPr>
            <w:r>
              <w:rPr>
                <w:rFonts w:hint="eastAsia" w:ascii="宋体" w:hAnsi="宋体"/>
                <w:b/>
                <w:bCs/>
                <w:color w:val="auto"/>
                <w:szCs w:val="21"/>
              </w:rPr>
              <w:t>能要求</w:t>
            </w:r>
            <w:r>
              <w:rPr>
                <w:rFonts w:hint="default" w:ascii="宋体" w:hAnsi="宋体"/>
                <w:b/>
                <w:bCs/>
                <w:color w:val="auto"/>
                <w:szCs w:val="21"/>
              </w:rPr>
              <w:t>/</w:t>
            </w:r>
            <w:r>
              <w:rPr>
                <w:rFonts w:hint="eastAsia" w:ascii="宋体" w:hAnsi="宋体"/>
                <w:b/>
                <w:bCs/>
                <w:color w:val="auto"/>
                <w:szCs w:val="21"/>
              </w:rPr>
              <w:t>服务内容</w:t>
            </w:r>
            <w:r>
              <w:rPr>
                <w:rFonts w:hint="eastAsia" w:ascii="宋体" w:hAnsi="宋体"/>
                <w:b/>
                <w:bCs/>
                <w:color w:val="auto"/>
                <w:szCs w:val="21"/>
                <w:lang w:val="en-US" w:eastAsia="zh-CN"/>
              </w:rPr>
              <w:t>/</w:t>
            </w:r>
            <w:r>
              <w:rPr>
                <w:rFonts w:hint="eastAsia" w:ascii="宋体" w:hAnsi="宋体"/>
                <w:b/>
                <w:bCs/>
                <w:color w:val="auto"/>
                <w:szCs w:val="21"/>
              </w:rPr>
              <w:t>资质要求</w:t>
            </w:r>
          </w:p>
        </w:tc>
        <w:tc>
          <w:tcPr>
            <w:tcW w:w="2752" w:type="dxa"/>
            <w:tcBorders>
              <w:bottom w:val="single" w:color="auto" w:sz="4" w:space="0"/>
            </w:tcBorders>
            <w:shd w:val="clear" w:color="auto" w:fill="D9D9D9"/>
            <w:noWrap w:val="0"/>
            <w:vAlign w:val="center"/>
          </w:tcPr>
          <w:p>
            <w:pPr>
              <w:snapToGrid w:val="0"/>
              <w:spacing w:line="360" w:lineRule="auto"/>
              <w:jc w:val="center"/>
              <w:rPr>
                <w:rFonts w:hint="eastAsia" w:ascii="宋体" w:hAnsi="宋体"/>
                <w:b/>
                <w:bCs/>
                <w:color w:val="auto"/>
                <w:szCs w:val="21"/>
              </w:rPr>
            </w:pPr>
            <w:r>
              <w:rPr>
                <w:rFonts w:hint="eastAsia" w:ascii="宋体" w:hAnsi="宋体"/>
                <w:b/>
                <w:bCs/>
                <w:color w:val="auto"/>
                <w:szCs w:val="21"/>
              </w:rPr>
              <w:t>投标人技术参数</w:t>
            </w:r>
            <w:r>
              <w:rPr>
                <w:rFonts w:hint="default" w:ascii="宋体" w:hAnsi="宋体"/>
                <w:b/>
                <w:bCs/>
                <w:color w:val="auto"/>
                <w:szCs w:val="21"/>
              </w:rPr>
              <w:t>/</w:t>
            </w:r>
            <w:r>
              <w:rPr>
                <w:rFonts w:hint="eastAsia" w:ascii="宋体" w:hAnsi="宋体"/>
                <w:b/>
                <w:bCs/>
                <w:color w:val="auto"/>
                <w:szCs w:val="21"/>
              </w:rPr>
              <w:t>功</w:t>
            </w:r>
          </w:p>
          <w:p>
            <w:pPr>
              <w:snapToGrid w:val="0"/>
              <w:spacing w:line="360" w:lineRule="auto"/>
              <w:jc w:val="center"/>
              <w:rPr>
                <w:rFonts w:hint="eastAsia" w:ascii="宋体" w:hAnsi="宋体" w:eastAsia="宋体" w:cs="宋体"/>
                <w:b/>
                <w:bCs/>
                <w:color w:val="auto"/>
                <w:sz w:val="24"/>
                <w:szCs w:val="24"/>
              </w:rPr>
            </w:pPr>
            <w:r>
              <w:rPr>
                <w:rFonts w:hint="eastAsia" w:ascii="宋体" w:hAnsi="宋体"/>
                <w:b/>
                <w:bCs/>
                <w:color w:val="auto"/>
                <w:szCs w:val="21"/>
              </w:rPr>
              <w:t>能要求</w:t>
            </w:r>
            <w:r>
              <w:rPr>
                <w:rFonts w:hint="default" w:ascii="宋体" w:hAnsi="宋体"/>
                <w:b/>
                <w:bCs/>
                <w:color w:val="auto"/>
                <w:szCs w:val="21"/>
              </w:rPr>
              <w:t>/</w:t>
            </w:r>
            <w:r>
              <w:rPr>
                <w:rFonts w:hint="eastAsia" w:ascii="宋体" w:hAnsi="宋体"/>
                <w:b/>
                <w:bCs/>
                <w:color w:val="auto"/>
                <w:szCs w:val="21"/>
              </w:rPr>
              <w:t>服务内容</w:t>
            </w:r>
            <w:r>
              <w:rPr>
                <w:rFonts w:hint="eastAsia" w:ascii="宋体" w:hAnsi="宋体"/>
                <w:b/>
                <w:bCs/>
                <w:color w:val="auto"/>
                <w:szCs w:val="21"/>
                <w:lang w:val="en-US" w:eastAsia="zh-CN"/>
              </w:rPr>
              <w:t>/</w:t>
            </w:r>
            <w:r>
              <w:rPr>
                <w:rFonts w:hint="eastAsia" w:ascii="宋体" w:hAnsi="宋体"/>
                <w:b/>
                <w:bCs/>
                <w:color w:val="auto"/>
                <w:szCs w:val="21"/>
              </w:rPr>
              <w:t>资质要求</w:t>
            </w:r>
          </w:p>
        </w:tc>
        <w:tc>
          <w:tcPr>
            <w:tcW w:w="1071" w:type="dxa"/>
            <w:tcBorders>
              <w:bottom w:val="single" w:color="auto" w:sz="4" w:space="0"/>
            </w:tcBorders>
            <w:shd w:val="clear" w:color="auto" w:fill="D9D9D9"/>
            <w:noWrap w:val="0"/>
            <w:vAlign w:val="center"/>
          </w:tcPr>
          <w:p>
            <w:pPr>
              <w:snapToGrid w:val="0"/>
              <w:spacing w:line="360" w:lineRule="auto"/>
              <w:jc w:val="center"/>
              <w:rPr>
                <w:rFonts w:hint="eastAsia" w:ascii="宋体" w:hAnsi="宋体" w:eastAsia="宋体" w:cs="宋体"/>
                <w:b/>
                <w:bCs/>
                <w:color w:val="auto"/>
                <w:sz w:val="24"/>
                <w:szCs w:val="24"/>
              </w:rPr>
            </w:pPr>
            <w:r>
              <w:rPr>
                <w:rFonts w:hint="eastAsia" w:ascii="宋体" w:hAnsi="宋体"/>
                <w:b/>
                <w:bCs/>
                <w:color w:val="auto"/>
                <w:szCs w:val="21"/>
              </w:rPr>
              <w:t>偏离情况</w:t>
            </w:r>
          </w:p>
        </w:tc>
        <w:tc>
          <w:tcPr>
            <w:tcW w:w="1094" w:type="dxa"/>
            <w:tcBorders>
              <w:bottom w:val="single" w:color="auto" w:sz="4" w:space="0"/>
            </w:tcBorders>
            <w:shd w:val="clear" w:color="auto" w:fill="D9D9D9"/>
            <w:noWrap w:val="0"/>
            <w:vAlign w:val="center"/>
          </w:tcPr>
          <w:p>
            <w:pPr>
              <w:snapToGrid w:val="0"/>
              <w:spacing w:line="360" w:lineRule="auto"/>
              <w:jc w:val="center"/>
              <w:rPr>
                <w:rFonts w:hint="eastAsia" w:ascii="宋体" w:hAnsi="宋体" w:eastAsia="宋体" w:cs="宋体"/>
                <w:b/>
                <w:bCs/>
                <w:color w:val="FF0000"/>
                <w:sz w:val="24"/>
                <w:szCs w:val="24"/>
              </w:rPr>
            </w:pPr>
            <w:r>
              <w:rPr>
                <w:rFonts w:hint="eastAsia" w:ascii="宋体" w:hAnsi="宋体"/>
                <w:b/>
                <w:bCs/>
                <w:color w:val="auto"/>
                <w:szCs w:val="21"/>
              </w:rPr>
              <w:t>页码索引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722"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234" w:type="dxa"/>
            <w:noWrap w:val="0"/>
            <w:vAlign w:val="center"/>
          </w:tcPr>
          <w:p>
            <w:pPr>
              <w:snapToGrid w:val="0"/>
              <w:spacing w:line="360" w:lineRule="auto"/>
              <w:jc w:val="center"/>
              <w:rPr>
                <w:rFonts w:hint="eastAsia" w:ascii="宋体" w:hAnsi="宋体" w:eastAsia="宋体" w:cs="宋体"/>
                <w:color w:val="auto"/>
                <w:sz w:val="24"/>
                <w:szCs w:val="24"/>
                <w:lang w:eastAsia="zh-CN"/>
              </w:rPr>
            </w:pPr>
          </w:p>
        </w:tc>
        <w:tc>
          <w:tcPr>
            <w:tcW w:w="2767" w:type="dxa"/>
            <w:noWrap w:val="0"/>
            <w:vAlign w:val="center"/>
          </w:tcPr>
          <w:p>
            <w:pPr>
              <w:snapToGrid w:val="0"/>
              <w:spacing w:line="360" w:lineRule="auto"/>
              <w:jc w:val="center"/>
              <w:rPr>
                <w:rFonts w:hint="eastAsia" w:ascii="宋体" w:hAnsi="宋体" w:eastAsia="宋体" w:cs="宋体"/>
                <w:color w:val="auto"/>
                <w:sz w:val="24"/>
                <w:szCs w:val="24"/>
              </w:rPr>
            </w:pPr>
          </w:p>
        </w:tc>
        <w:tc>
          <w:tcPr>
            <w:tcW w:w="2752" w:type="dxa"/>
            <w:noWrap w:val="0"/>
            <w:vAlign w:val="center"/>
          </w:tcPr>
          <w:p>
            <w:pPr>
              <w:snapToGrid w:val="0"/>
              <w:spacing w:line="360" w:lineRule="auto"/>
              <w:jc w:val="center"/>
              <w:rPr>
                <w:rFonts w:hint="eastAsia" w:ascii="宋体" w:hAnsi="宋体" w:eastAsia="宋体" w:cs="宋体"/>
                <w:color w:val="auto"/>
                <w:sz w:val="24"/>
                <w:szCs w:val="24"/>
              </w:rPr>
            </w:pPr>
          </w:p>
        </w:tc>
        <w:tc>
          <w:tcPr>
            <w:tcW w:w="1071" w:type="dxa"/>
            <w:noWrap w:val="0"/>
            <w:vAlign w:val="center"/>
          </w:tcPr>
          <w:p>
            <w:pPr>
              <w:snapToGrid w:val="0"/>
              <w:spacing w:line="360" w:lineRule="auto"/>
              <w:jc w:val="center"/>
              <w:rPr>
                <w:rFonts w:hint="eastAsia" w:ascii="宋体" w:hAnsi="宋体" w:eastAsia="宋体" w:cs="宋体"/>
                <w:color w:val="auto"/>
                <w:sz w:val="24"/>
                <w:szCs w:val="24"/>
              </w:rPr>
            </w:pPr>
          </w:p>
        </w:tc>
        <w:tc>
          <w:tcPr>
            <w:tcW w:w="1094" w:type="dxa"/>
            <w:noWrap w:val="0"/>
            <w:vAlign w:val="center"/>
          </w:tcPr>
          <w:p>
            <w:pPr>
              <w:snapToGrid w:val="0"/>
              <w:spacing w:line="360" w:lineRule="auto"/>
              <w:jc w:val="center"/>
              <w:rPr>
                <w:rFonts w:hint="default" w:ascii="宋体" w:hAnsi="宋体" w:eastAsia="宋体" w:cs="宋体"/>
                <w:color w:val="FF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722"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1234" w:type="dxa"/>
            <w:noWrap w:val="0"/>
            <w:vAlign w:val="center"/>
          </w:tcPr>
          <w:p>
            <w:pPr>
              <w:snapToGrid w:val="0"/>
              <w:spacing w:line="360" w:lineRule="auto"/>
              <w:jc w:val="center"/>
              <w:rPr>
                <w:rFonts w:hint="default" w:ascii="宋体" w:hAnsi="宋体" w:eastAsia="宋体" w:cs="宋体"/>
                <w:color w:val="auto"/>
                <w:sz w:val="24"/>
                <w:szCs w:val="24"/>
                <w:lang w:val="en-US" w:eastAsia="zh-CN"/>
              </w:rPr>
            </w:pPr>
          </w:p>
        </w:tc>
        <w:tc>
          <w:tcPr>
            <w:tcW w:w="2767" w:type="dxa"/>
            <w:noWrap w:val="0"/>
            <w:vAlign w:val="center"/>
          </w:tcPr>
          <w:p>
            <w:pPr>
              <w:snapToGrid w:val="0"/>
              <w:spacing w:line="360" w:lineRule="auto"/>
              <w:jc w:val="center"/>
              <w:rPr>
                <w:rFonts w:hint="eastAsia" w:ascii="宋体" w:hAnsi="宋体" w:eastAsia="宋体" w:cs="宋体"/>
                <w:color w:val="auto"/>
                <w:sz w:val="24"/>
                <w:szCs w:val="24"/>
              </w:rPr>
            </w:pPr>
          </w:p>
        </w:tc>
        <w:tc>
          <w:tcPr>
            <w:tcW w:w="2752" w:type="dxa"/>
            <w:noWrap w:val="0"/>
            <w:vAlign w:val="center"/>
          </w:tcPr>
          <w:p>
            <w:pPr>
              <w:snapToGrid w:val="0"/>
              <w:spacing w:line="360" w:lineRule="auto"/>
              <w:jc w:val="center"/>
              <w:rPr>
                <w:rFonts w:hint="eastAsia" w:ascii="宋体" w:hAnsi="宋体" w:eastAsia="宋体" w:cs="宋体"/>
                <w:color w:val="auto"/>
                <w:sz w:val="24"/>
                <w:szCs w:val="24"/>
              </w:rPr>
            </w:pPr>
          </w:p>
        </w:tc>
        <w:tc>
          <w:tcPr>
            <w:tcW w:w="1071" w:type="dxa"/>
            <w:noWrap w:val="0"/>
            <w:vAlign w:val="center"/>
          </w:tcPr>
          <w:p>
            <w:pPr>
              <w:snapToGrid w:val="0"/>
              <w:spacing w:line="360" w:lineRule="auto"/>
              <w:jc w:val="center"/>
              <w:rPr>
                <w:rFonts w:hint="eastAsia" w:ascii="宋体" w:hAnsi="宋体" w:eastAsia="宋体" w:cs="宋体"/>
                <w:color w:val="auto"/>
                <w:sz w:val="24"/>
                <w:szCs w:val="24"/>
              </w:rPr>
            </w:pPr>
          </w:p>
        </w:tc>
        <w:tc>
          <w:tcPr>
            <w:tcW w:w="1094" w:type="dxa"/>
            <w:noWrap w:val="0"/>
            <w:vAlign w:val="center"/>
          </w:tcPr>
          <w:p>
            <w:pPr>
              <w:snapToGrid w:val="0"/>
              <w:spacing w:line="360" w:lineRule="auto"/>
              <w:jc w:val="center"/>
              <w:rPr>
                <w:rFonts w:hint="eastAsia" w:ascii="宋体" w:hAnsi="宋体" w:eastAsia="宋体" w:cs="宋体"/>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722"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1234" w:type="dxa"/>
            <w:noWrap w:val="0"/>
            <w:vAlign w:val="center"/>
          </w:tcPr>
          <w:p>
            <w:pPr>
              <w:snapToGrid w:val="0"/>
              <w:spacing w:line="360" w:lineRule="auto"/>
              <w:jc w:val="center"/>
              <w:rPr>
                <w:rFonts w:hint="eastAsia" w:ascii="宋体" w:hAnsi="宋体" w:eastAsia="宋体" w:cs="宋体"/>
                <w:color w:val="auto"/>
                <w:sz w:val="24"/>
                <w:szCs w:val="24"/>
              </w:rPr>
            </w:pPr>
          </w:p>
        </w:tc>
        <w:tc>
          <w:tcPr>
            <w:tcW w:w="2767" w:type="dxa"/>
            <w:noWrap w:val="0"/>
            <w:vAlign w:val="center"/>
          </w:tcPr>
          <w:p>
            <w:pPr>
              <w:snapToGrid w:val="0"/>
              <w:spacing w:line="360" w:lineRule="auto"/>
              <w:jc w:val="center"/>
              <w:rPr>
                <w:rFonts w:hint="eastAsia" w:ascii="宋体" w:hAnsi="宋体" w:eastAsia="宋体" w:cs="宋体"/>
                <w:color w:val="auto"/>
                <w:sz w:val="24"/>
                <w:szCs w:val="24"/>
              </w:rPr>
            </w:pPr>
          </w:p>
        </w:tc>
        <w:tc>
          <w:tcPr>
            <w:tcW w:w="2752" w:type="dxa"/>
            <w:noWrap w:val="0"/>
            <w:vAlign w:val="center"/>
          </w:tcPr>
          <w:p>
            <w:pPr>
              <w:snapToGrid w:val="0"/>
              <w:spacing w:line="360" w:lineRule="auto"/>
              <w:jc w:val="center"/>
              <w:rPr>
                <w:rFonts w:hint="eastAsia" w:ascii="宋体" w:hAnsi="宋体" w:eastAsia="宋体" w:cs="宋体"/>
                <w:color w:val="auto"/>
                <w:sz w:val="24"/>
                <w:szCs w:val="24"/>
              </w:rPr>
            </w:pPr>
          </w:p>
        </w:tc>
        <w:tc>
          <w:tcPr>
            <w:tcW w:w="1071" w:type="dxa"/>
            <w:noWrap w:val="0"/>
            <w:vAlign w:val="center"/>
          </w:tcPr>
          <w:p>
            <w:pPr>
              <w:snapToGrid w:val="0"/>
              <w:spacing w:line="360" w:lineRule="auto"/>
              <w:jc w:val="center"/>
              <w:rPr>
                <w:rFonts w:hint="eastAsia" w:ascii="宋体" w:hAnsi="宋体" w:eastAsia="宋体" w:cs="宋体"/>
                <w:color w:val="auto"/>
                <w:sz w:val="24"/>
                <w:szCs w:val="24"/>
              </w:rPr>
            </w:pPr>
          </w:p>
        </w:tc>
        <w:tc>
          <w:tcPr>
            <w:tcW w:w="1094" w:type="dxa"/>
            <w:noWrap w:val="0"/>
            <w:vAlign w:val="center"/>
          </w:tcPr>
          <w:p>
            <w:pPr>
              <w:snapToGrid w:val="0"/>
              <w:spacing w:line="360" w:lineRule="auto"/>
              <w:jc w:val="center"/>
              <w:rPr>
                <w:rFonts w:hint="eastAsia" w:ascii="宋体" w:hAnsi="宋体" w:eastAsia="宋体" w:cs="宋体"/>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722"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1234" w:type="dxa"/>
            <w:noWrap w:val="0"/>
            <w:vAlign w:val="center"/>
          </w:tcPr>
          <w:p>
            <w:pPr>
              <w:snapToGrid w:val="0"/>
              <w:spacing w:line="360" w:lineRule="auto"/>
              <w:jc w:val="center"/>
              <w:rPr>
                <w:rFonts w:hint="eastAsia" w:ascii="宋体" w:hAnsi="宋体" w:eastAsia="宋体" w:cs="宋体"/>
                <w:color w:val="auto"/>
                <w:sz w:val="24"/>
                <w:szCs w:val="24"/>
              </w:rPr>
            </w:pPr>
          </w:p>
        </w:tc>
        <w:tc>
          <w:tcPr>
            <w:tcW w:w="2767" w:type="dxa"/>
            <w:noWrap w:val="0"/>
            <w:vAlign w:val="center"/>
          </w:tcPr>
          <w:p>
            <w:pPr>
              <w:snapToGrid w:val="0"/>
              <w:spacing w:line="360" w:lineRule="auto"/>
              <w:jc w:val="center"/>
              <w:rPr>
                <w:rFonts w:hint="eastAsia" w:ascii="宋体" w:hAnsi="宋体" w:eastAsia="宋体" w:cs="宋体"/>
                <w:color w:val="auto"/>
                <w:sz w:val="24"/>
                <w:szCs w:val="24"/>
              </w:rPr>
            </w:pPr>
          </w:p>
        </w:tc>
        <w:tc>
          <w:tcPr>
            <w:tcW w:w="2752" w:type="dxa"/>
            <w:noWrap w:val="0"/>
            <w:vAlign w:val="center"/>
          </w:tcPr>
          <w:p>
            <w:pPr>
              <w:snapToGrid w:val="0"/>
              <w:spacing w:line="360" w:lineRule="auto"/>
              <w:jc w:val="center"/>
              <w:rPr>
                <w:rFonts w:hint="eastAsia" w:ascii="宋体" w:hAnsi="宋体" w:eastAsia="宋体" w:cs="宋体"/>
                <w:color w:val="auto"/>
                <w:sz w:val="24"/>
                <w:szCs w:val="24"/>
              </w:rPr>
            </w:pPr>
          </w:p>
        </w:tc>
        <w:tc>
          <w:tcPr>
            <w:tcW w:w="1071" w:type="dxa"/>
            <w:noWrap w:val="0"/>
            <w:vAlign w:val="center"/>
          </w:tcPr>
          <w:p>
            <w:pPr>
              <w:snapToGrid w:val="0"/>
              <w:spacing w:line="360" w:lineRule="auto"/>
              <w:jc w:val="center"/>
              <w:rPr>
                <w:rFonts w:hint="eastAsia" w:ascii="宋体" w:hAnsi="宋体" w:eastAsia="宋体" w:cs="宋体"/>
                <w:color w:val="auto"/>
                <w:sz w:val="24"/>
                <w:szCs w:val="24"/>
              </w:rPr>
            </w:pPr>
          </w:p>
        </w:tc>
        <w:tc>
          <w:tcPr>
            <w:tcW w:w="1094" w:type="dxa"/>
            <w:noWrap w:val="0"/>
            <w:vAlign w:val="center"/>
          </w:tcPr>
          <w:p>
            <w:pPr>
              <w:snapToGrid w:val="0"/>
              <w:spacing w:line="360" w:lineRule="auto"/>
              <w:jc w:val="center"/>
              <w:rPr>
                <w:rFonts w:hint="eastAsia" w:ascii="宋体" w:hAnsi="宋体" w:eastAsia="宋体" w:cs="宋体"/>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blHeader/>
          <w:jc w:val="center"/>
        </w:trPr>
        <w:tc>
          <w:tcPr>
            <w:tcW w:w="722"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1234" w:type="dxa"/>
            <w:noWrap w:val="0"/>
            <w:vAlign w:val="center"/>
          </w:tcPr>
          <w:p>
            <w:pPr>
              <w:snapToGrid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2767" w:type="dxa"/>
            <w:noWrap w:val="0"/>
            <w:vAlign w:val="center"/>
          </w:tcPr>
          <w:p>
            <w:pPr>
              <w:snapToGrid w:val="0"/>
              <w:spacing w:line="360" w:lineRule="auto"/>
              <w:jc w:val="center"/>
              <w:rPr>
                <w:rFonts w:hint="eastAsia" w:ascii="宋体" w:hAnsi="宋体" w:eastAsia="宋体" w:cs="宋体"/>
                <w:color w:val="auto"/>
                <w:sz w:val="24"/>
                <w:szCs w:val="24"/>
              </w:rPr>
            </w:pPr>
          </w:p>
        </w:tc>
        <w:tc>
          <w:tcPr>
            <w:tcW w:w="2752" w:type="dxa"/>
            <w:noWrap w:val="0"/>
            <w:vAlign w:val="center"/>
          </w:tcPr>
          <w:p>
            <w:pPr>
              <w:snapToGrid w:val="0"/>
              <w:spacing w:line="360" w:lineRule="auto"/>
              <w:jc w:val="center"/>
              <w:rPr>
                <w:rFonts w:hint="eastAsia" w:ascii="宋体" w:hAnsi="宋体" w:eastAsia="宋体" w:cs="宋体"/>
                <w:color w:val="auto"/>
                <w:sz w:val="24"/>
                <w:szCs w:val="24"/>
              </w:rPr>
            </w:pPr>
          </w:p>
        </w:tc>
        <w:tc>
          <w:tcPr>
            <w:tcW w:w="1071" w:type="dxa"/>
            <w:noWrap w:val="0"/>
            <w:vAlign w:val="center"/>
          </w:tcPr>
          <w:p>
            <w:pPr>
              <w:snapToGrid w:val="0"/>
              <w:spacing w:line="360" w:lineRule="auto"/>
              <w:jc w:val="center"/>
              <w:rPr>
                <w:rFonts w:hint="eastAsia" w:ascii="宋体" w:hAnsi="宋体" w:eastAsia="宋体" w:cs="宋体"/>
                <w:color w:val="auto"/>
                <w:sz w:val="24"/>
                <w:szCs w:val="24"/>
              </w:rPr>
            </w:pPr>
          </w:p>
        </w:tc>
        <w:tc>
          <w:tcPr>
            <w:tcW w:w="1094" w:type="dxa"/>
            <w:noWrap w:val="0"/>
            <w:vAlign w:val="center"/>
          </w:tcPr>
          <w:p>
            <w:pPr>
              <w:snapToGrid w:val="0"/>
              <w:spacing w:line="360" w:lineRule="auto"/>
              <w:jc w:val="center"/>
              <w:rPr>
                <w:rFonts w:hint="eastAsia" w:ascii="宋体" w:hAnsi="宋体" w:eastAsia="宋体" w:cs="宋体"/>
                <w:color w:val="FF0000"/>
                <w:sz w:val="24"/>
                <w:szCs w:val="24"/>
              </w:rPr>
            </w:pPr>
          </w:p>
        </w:tc>
      </w:tr>
    </w:tbl>
    <w:p>
      <w:pPr>
        <w:snapToGrid w:val="0"/>
        <w:spacing w:line="360" w:lineRule="auto"/>
        <w:rPr>
          <w:rFonts w:hint="eastAsia" w:ascii="宋体" w:hAnsi="宋体" w:eastAsia="宋体" w:cs="宋体"/>
          <w:bCs/>
          <w:color w:val="auto"/>
          <w:sz w:val="24"/>
          <w:szCs w:val="24"/>
        </w:rPr>
      </w:pPr>
    </w:p>
    <w:p>
      <w:pPr>
        <w:snapToGrid w:val="0"/>
        <w:spacing w:line="360" w:lineRule="auto"/>
        <w:rPr>
          <w:rFonts w:hint="eastAsia" w:ascii="宋体" w:hAnsi="宋体" w:eastAsia="宋体" w:cs="宋体"/>
          <w:color w:val="auto"/>
          <w:sz w:val="24"/>
          <w:szCs w:val="24"/>
        </w:rPr>
      </w:pPr>
      <w:r>
        <w:rPr>
          <w:rFonts w:hint="eastAsia" w:ascii="宋体" w:hAnsi="宋体" w:cs="宋体"/>
          <w:color w:val="auto"/>
          <w:sz w:val="24"/>
          <w:szCs w:val="24"/>
          <w:lang w:val="en-US" w:eastAsia="zh-CN"/>
        </w:rPr>
        <w:t>投标人</w:t>
      </w:r>
      <w:r>
        <w:rPr>
          <w:rFonts w:hint="eastAsia" w:ascii="宋体" w:hAnsi="宋体" w:eastAsia="宋体" w:cs="宋体"/>
          <w:color w:val="auto"/>
          <w:sz w:val="24"/>
          <w:szCs w:val="24"/>
        </w:rPr>
        <w:t>名</w:t>
      </w:r>
      <w:r>
        <w:rPr>
          <w:rFonts w:hint="eastAsia" w:ascii="宋体" w:hAnsi="宋体" w:eastAsia="宋体" w:cs="宋体"/>
          <w:bCs/>
          <w:color w:val="auto"/>
          <w:sz w:val="24"/>
          <w:szCs w:val="24"/>
        </w:rPr>
        <w:t>称（盖章）：                          授权代表</w:t>
      </w:r>
      <w:r>
        <w:rPr>
          <w:rFonts w:hint="eastAsia" w:ascii="宋体" w:hAnsi="宋体" w:eastAsia="宋体" w:cs="宋体"/>
          <w:color w:val="auto"/>
          <w:sz w:val="24"/>
          <w:szCs w:val="24"/>
        </w:rPr>
        <w:t>（签</w:t>
      </w:r>
      <w:r>
        <w:rPr>
          <w:rFonts w:hint="eastAsia" w:ascii="宋体" w:hAnsi="宋体" w:eastAsia="宋体" w:cs="宋体"/>
          <w:color w:val="auto"/>
          <w:sz w:val="24"/>
          <w:szCs w:val="24"/>
          <w:lang w:val="en-US" w:eastAsia="zh-CN"/>
        </w:rPr>
        <w:t>名</w:t>
      </w:r>
      <w:r>
        <w:rPr>
          <w:rFonts w:hint="eastAsia" w:ascii="宋体" w:hAnsi="宋体" w:eastAsia="宋体" w:cs="宋体"/>
          <w:color w:val="auto"/>
          <w:sz w:val="24"/>
          <w:szCs w:val="24"/>
        </w:rPr>
        <w:t>或私章）</w:t>
      </w:r>
      <w:r>
        <w:rPr>
          <w:rFonts w:hint="eastAsia" w:ascii="宋体" w:hAnsi="宋体" w:eastAsia="宋体" w:cs="宋体"/>
          <w:bCs/>
          <w:color w:val="auto"/>
          <w:sz w:val="24"/>
          <w:szCs w:val="24"/>
        </w:rPr>
        <w:t>：</w:t>
      </w:r>
    </w:p>
    <w:p>
      <w:pPr>
        <w:rPr>
          <w:rFonts w:hint="eastAsia"/>
        </w:rPr>
      </w:pPr>
    </w:p>
    <w:p>
      <w:pPr>
        <w:shd w:val="clear" w:color="auto" w:fill="FFFFFF"/>
        <w:snapToGrid w:val="0"/>
        <w:spacing w:line="360" w:lineRule="auto"/>
        <w:rPr>
          <w:rFonts w:hint="eastAsia" w:ascii="宋体" w:hAnsi="宋体" w:eastAsia="宋体" w:cs="宋体"/>
          <w:bCs/>
          <w:color w:val="auto"/>
          <w:sz w:val="24"/>
          <w:szCs w:val="24"/>
        </w:rPr>
      </w:pPr>
      <w:r>
        <w:rPr>
          <w:rFonts w:hint="eastAsia" w:ascii="宋体" w:hAnsi="宋体" w:eastAsia="宋体" w:cs="宋体"/>
          <w:bCs/>
          <w:color w:val="auto"/>
          <w:sz w:val="24"/>
          <w:szCs w:val="24"/>
        </w:rPr>
        <w:t>注：1、此表为表样，行数可自行添加，但表式不变。</w:t>
      </w:r>
    </w:p>
    <w:p>
      <w:pPr>
        <w:shd w:val="clear" w:color="auto" w:fill="FFFFFF"/>
        <w:snapToGrid w:val="0"/>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w:t>
      </w:r>
      <w:r>
        <w:rPr>
          <w:rFonts w:hint="eastAsia" w:ascii="宋体" w:hAnsi="宋体" w:eastAsia="宋体" w:cs="宋体"/>
          <w:b/>
          <w:color w:val="auto"/>
          <w:sz w:val="24"/>
          <w:szCs w:val="24"/>
          <w:u w:val="single"/>
        </w:rPr>
        <w:t>此表后面按响应顺序附上第三章中要求的各产品资质文件、检测报告等复印件</w:t>
      </w:r>
      <w:r>
        <w:rPr>
          <w:rFonts w:hint="eastAsia" w:ascii="宋体" w:hAnsi="宋体" w:eastAsia="宋体" w:cs="宋体"/>
          <w:b/>
          <w:color w:val="auto"/>
          <w:sz w:val="24"/>
          <w:szCs w:val="24"/>
        </w:rPr>
        <w:t>（如有），否则视为不满足</w:t>
      </w:r>
      <w:r>
        <w:rPr>
          <w:rFonts w:hint="eastAsia" w:ascii="宋体" w:hAnsi="宋体" w:eastAsia="宋体" w:cs="宋体"/>
          <w:color w:val="auto"/>
          <w:sz w:val="24"/>
          <w:szCs w:val="24"/>
        </w:rPr>
        <w:t>。</w:t>
      </w:r>
    </w:p>
    <w:p>
      <w:pPr>
        <w:shd w:val="clear" w:color="auto" w:fill="FFFFFF"/>
        <w:snapToGrid w:val="0"/>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3、偏离情况说明分正偏离、完全响应、负偏离，分别表示优于要求、满足要求、不满足要求。</w:t>
      </w:r>
      <w:r>
        <w:rPr>
          <w:rFonts w:hint="eastAsia" w:ascii="宋体" w:hAnsi="宋体" w:eastAsia="宋体" w:cs="宋体"/>
          <w:b/>
          <w:bCs/>
          <w:color w:val="auto"/>
          <w:sz w:val="24"/>
          <w:szCs w:val="24"/>
          <w:u w:val="single"/>
        </w:rPr>
        <w:t>评委评审时不能只根据供应商填写的偏离情况说明来判断是否响应</w:t>
      </w:r>
      <w:r>
        <w:rPr>
          <w:rFonts w:hint="eastAsia" w:ascii="宋体" w:hAnsi="宋体" w:eastAsia="宋体" w:cs="宋体"/>
          <w:bCs/>
          <w:color w:val="auto"/>
          <w:sz w:val="24"/>
          <w:szCs w:val="24"/>
        </w:rPr>
        <w:t>，而应认真查阅“投标人技术参数/功能要求/服务内容</w:t>
      </w:r>
      <w:r>
        <w:rPr>
          <w:rFonts w:hint="eastAsia" w:ascii="宋体" w:hAnsi="宋体" w:eastAsia="宋体" w:cs="宋体"/>
          <w:bCs/>
          <w:color w:val="auto"/>
          <w:sz w:val="24"/>
          <w:szCs w:val="24"/>
          <w:lang w:val="en-US" w:eastAsia="zh-CN"/>
        </w:rPr>
        <w:t>/</w:t>
      </w:r>
      <w:r>
        <w:rPr>
          <w:rFonts w:hint="eastAsia" w:ascii="宋体" w:hAnsi="宋体" w:eastAsia="宋体" w:cs="宋体"/>
          <w:bCs/>
          <w:color w:val="auto"/>
          <w:sz w:val="24"/>
          <w:szCs w:val="24"/>
        </w:rPr>
        <w:t>资质要求”内容以及相关的资料（如有）判断是否满足要求。</w:t>
      </w:r>
    </w:p>
    <w:p>
      <w:pPr>
        <w:snapToGrid w:val="0"/>
        <w:spacing w:line="360" w:lineRule="auto"/>
        <w:ind w:firstLine="480" w:firstLineChars="200"/>
        <w:rPr>
          <w:rFonts w:hint="eastAsia" w:ascii="宋体" w:hAnsi="宋体" w:eastAsia="宋体" w:cs="宋体"/>
          <w:b/>
          <w:color w:val="auto"/>
          <w:sz w:val="24"/>
          <w:szCs w:val="24"/>
        </w:rPr>
      </w:pPr>
      <w:r>
        <w:rPr>
          <w:rFonts w:hint="eastAsia" w:ascii="宋体" w:hAnsi="宋体" w:eastAsia="宋体" w:cs="宋体"/>
          <w:color w:val="auto"/>
          <w:sz w:val="24"/>
          <w:szCs w:val="24"/>
        </w:rPr>
        <w:t>4、</w:t>
      </w:r>
      <w:r>
        <w:rPr>
          <w:rFonts w:hint="eastAsia" w:ascii="宋体" w:hAnsi="宋体" w:eastAsia="宋体" w:cs="宋体"/>
          <w:b/>
          <w:color w:val="auto"/>
          <w:sz w:val="24"/>
          <w:szCs w:val="24"/>
        </w:rPr>
        <w:t>“页码索引”指“</w:t>
      </w:r>
      <w:r>
        <w:rPr>
          <w:rFonts w:hint="eastAsia" w:ascii="宋体" w:hAnsi="宋体" w:cs="宋体"/>
          <w:b/>
          <w:color w:val="auto"/>
          <w:sz w:val="24"/>
          <w:szCs w:val="24"/>
          <w:lang w:val="en-US" w:eastAsia="zh-CN"/>
        </w:rPr>
        <w:t>招标</w:t>
      </w:r>
      <w:r>
        <w:rPr>
          <w:rFonts w:hint="eastAsia" w:ascii="宋体" w:hAnsi="宋体" w:eastAsia="宋体" w:cs="宋体"/>
          <w:b/>
          <w:color w:val="auto"/>
          <w:sz w:val="24"/>
          <w:szCs w:val="24"/>
        </w:rPr>
        <w:t>文件技术参数、功能及资质响应”所对应的证明材料在供应商</w:t>
      </w:r>
      <w:r>
        <w:rPr>
          <w:rFonts w:hint="eastAsia" w:ascii="宋体" w:hAnsi="宋体" w:cs="宋体"/>
          <w:b/>
          <w:color w:val="auto"/>
          <w:sz w:val="24"/>
          <w:szCs w:val="24"/>
          <w:lang w:val="en-US" w:eastAsia="zh-CN"/>
        </w:rPr>
        <w:t>报价</w:t>
      </w:r>
      <w:r>
        <w:rPr>
          <w:rFonts w:hint="eastAsia" w:ascii="宋体" w:hAnsi="宋体" w:eastAsia="宋体" w:cs="宋体"/>
          <w:b/>
          <w:color w:val="auto"/>
          <w:sz w:val="24"/>
          <w:szCs w:val="24"/>
          <w:lang w:eastAsia="zh-CN"/>
        </w:rPr>
        <w:t>文件</w:t>
      </w:r>
      <w:r>
        <w:rPr>
          <w:rFonts w:hint="eastAsia" w:ascii="宋体" w:hAnsi="宋体" w:eastAsia="宋体" w:cs="宋体"/>
          <w:b/>
          <w:color w:val="auto"/>
          <w:sz w:val="24"/>
          <w:szCs w:val="24"/>
        </w:rPr>
        <w:t>中的页码。</w:t>
      </w:r>
    </w:p>
    <w:p>
      <w:pPr>
        <w:snapToGrid w:val="0"/>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bookmarkEnd w:id="73"/>
    </w:p>
    <w:p>
      <w:pPr>
        <w:rPr>
          <w:rFonts w:hint="eastAsia"/>
          <w:lang w:val="en-US" w:eastAsia="zh-CN"/>
        </w:rPr>
      </w:pPr>
      <w:r>
        <w:rPr>
          <w:rFonts w:hint="eastAsia" w:ascii="宋体" w:hAnsi="宋体" w:eastAsia="宋体" w:cs="宋体"/>
          <w:b/>
          <w:bCs/>
          <w:color w:val="auto"/>
          <w:sz w:val="32"/>
          <w:szCs w:val="32"/>
        </w:rPr>
        <w:t>表</w:t>
      </w:r>
      <w:r>
        <w:rPr>
          <w:rFonts w:hint="eastAsia" w:ascii="宋体" w:hAnsi="宋体" w:cs="宋体"/>
          <w:b/>
          <w:bCs/>
          <w:color w:val="auto"/>
          <w:sz w:val="32"/>
          <w:szCs w:val="32"/>
          <w:lang w:val="en-US" w:eastAsia="zh-CN"/>
        </w:rPr>
        <w:t>5:</w:t>
      </w:r>
    </w:p>
    <w:p>
      <w:pPr>
        <w:pStyle w:val="6"/>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lang w:val="en-US" w:eastAsia="zh-CN"/>
        </w:rPr>
      </w:pPr>
      <w:bookmarkStart w:id="77" w:name="_Toc20581"/>
      <w:bookmarkStart w:id="78" w:name="_Toc30590"/>
      <w:bookmarkStart w:id="79" w:name="_Toc4867"/>
      <w:r>
        <w:rPr>
          <w:rFonts w:hint="eastAsia" w:ascii="宋体" w:hAnsi="宋体" w:eastAsia="宋体" w:cs="宋体"/>
          <w:lang w:val="en-US" w:eastAsia="zh-CN"/>
        </w:rPr>
        <w:t>5、法定代表人证明书</w:t>
      </w:r>
      <w:bookmarkEnd w:id="77"/>
      <w:bookmarkEnd w:id="78"/>
      <w:bookmarkEnd w:id="79"/>
    </w:p>
    <w:p>
      <w:pPr>
        <w:spacing w:line="360" w:lineRule="auto"/>
        <w:ind w:firstLine="480" w:firstLineChars="200"/>
        <w:rPr>
          <w:rFonts w:hint="eastAsia" w:ascii="宋体" w:hAnsi="宋体" w:eastAsia="宋体" w:cs="宋体"/>
          <w:color w:val="auto"/>
          <w:sz w:val="24"/>
          <w:szCs w:val="24"/>
        </w:rPr>
      </w:pP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投标人名称：</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单位性质：</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地址：</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成立时间：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经营期限：</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姓名：</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性别：</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年龄：</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职务：</w:t>
      </w:r>
      <w:r>
        <w:rPr>
          <w:rFonts w:hint="eastAsia" w:ascii="宋体" w:hAnsi="宋体" w:eastAsia="宋体" w:cs="宋体"/>
          <w:color w:val="auto"/>
          <w:sz w:val="24"/>
          <w:szCs w:val="24"/>
          <w:u w:val="single"/>
        </w:rPr>
        <w:t xml:space="preserve">       </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系</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（投标人名称）的法定代表人。</w:t>
      </w:r>
    </w:p>
    <w:p>
      <w:pPr>
        <w:spacing w:line="360" w:lineRule="auto"/>
        <w:ind w:firstLine="960" w:firstLineChars="400"/>
        <w:rPr>
          <w:rFonts w:hint="eastAsia" w:ascii="宋体" w:hAnsi="宋体" w:eastAsia="宋体" w:cs="宋体"/>
          <w:color w:val="auto"/>
          <w:sz w:val="24"/>
          <w:szCs w:val="24"/>
        </w:rPr>
      </w:pPr>
      <w:r>
        <w:rPr>
          <w:rFonts w:hint="eastAsia" w:ascii="宋体" w:hAnsi="宋体" w:eastAsia="宋体" w:cs="宋体"/>
          <w:color w:val="auto"/>
          <w:sz w:val="24"/>
          <w:szCs w:val="24"/>
        </w:rPr>
        <w:t>特此证明。</w:t>
      </w:r>
    </w:p>
    <w:p>
      <w:pPr>
        <w:spacing w:line="360" w:lineRule="auto"/>
        <w:ind w:firstLine="480" w:firstLineChars="200"/>
        <w:rPr>
          <w:rFonts w:hint="eastAsia" w:ascii="宋体" w:hAnsi="宋体" w:eastAsia="宋体" w:cs="宋体"/>
          <w:color w:val="auto"/>
          <w:sz w:val="24"/>
          <w:szCs w:val="24"/>
        </w:rPr>
      </w:pP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附：法定代表人身份证复印件</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spacing w:line="360" w:lineRule="auto"/>
        <w:ind w:firstLine="2640" w:firstLineChars="1100"/>
        <w:rPr>
          <w:rFonts w:hint="eastAsia" w:ascii="宋体" w:hAnsi="宋体" w:eastAsia="宋体" w:cs="宋体"/>
          <w:color w:val="auto"/>
          <w:sz w:val="24"/>
          <w:szCs w:val="24"/>
        </w:rPr>
      </w:pPr>
      <w:r>
        <w:rPr>
          <w:rFonts w:hint="eastAsia" w:ascii="宋体" w:hAnsi="宋体" w:eastAsia="宋体" w:cs="宋体"/>
          <w:color w:val="auto"/>
          <w:sz w:val="24"/>
          <w:szCs w:val="24"/>
        </w:rPr>
        <w:t>法定代表人：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w:t>
      </w:r>
      <w:r>
        <w:rPr>
          <w:rFonts w:hint="eastAsia" w:ascii="宋体" w:hAnsi="宋体" w:eastAsia="宋体" w:cs="宋体"/>
          <w:color w:val="auto"/>
          <w:sz w:val="24"/>
          <w:szCs w:val="24"/>
          <w:u w:val="none"/>
        </w:rPr>
        <w:t>签名</w:t>
      </w:r>
      <w:r>
        <w:rPr>
          <w:rFonts w:hint="eastAsia" w:ascii="宋体" w:hAnsi="宋体" w:eastAsia="宋体" w:cs="宋体"/>
          <w:color w:val="auto"/>
          <w:sz w:val="24"/>
          <w:szCs w:val="24"/>
          <w:u w:val="none"/>
          <w:lang w:eastAsia="zh-CN"/>
        </w:rPr>
        <w:t>或盖章</w:t>
      </w:r>
      <w:r>
        <w:rPr>
          <w:rFonts w:hint="eastAsia" w:ascii="宋体" w:hAnsi="宋体" w:eastAsia="宋体" w:cs="宋体"/>
          <w:color w:val="auto"/>
          <w:sz w:val="24"/>
          <w:szCs w:val="24"/>
        </w:rPr>
        <w:t>）</w:t>
      </w:r>
    </w:p>
    <w:p>
      <w:pPr>
        <w:spacing w:line="360" w:lineRule="auto"/>
        <w:ind w:firstLine="2640" w:firstLineChars="1100"/>
        <w:rPr>
          <w:rFonts w:hint="eastAsia" w:ascii="宋体" w:hAnsi="宋体" w:eastAsia="宋体" w:cs="宋体"/>
          <w:color w:val="auto"/>
          <w:sz w:val="24"/>
          <w:szCs w:val="24"/>
        </w:rPr>
      </w:pPr>
      <w:r>
        <w:rPr>
          <w:rFonts w:hint="eastAsia" w:ascii="宋体" w:hAnsi="宋体" w:eastAsia="宋体" w:cs="宋体"/>
          <w:color w:val="auto"/>
          <w:sz w:val="24"/>
          <w:szCs w:val="24"/>
        </w:rPr>
        <w:t>投标人名称：</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（盖单位章）</w:t>
      </w:r>
    </w:p>
    <w:p>
      <w:pPr>
        <w:spacing w:line="360" w:lineRule="auto"/>
        <w:ind w:firstLine="5160" w:firstLineChars="2150"/>
        <w:rPr>
          <w:rFonts w:hint="eastAsia" w:ascii="宋体" w:hAnsi="宋体" w:eastAsia="宋体" w:cs="宋体"/>
          <w:color w:val="auto"/>
          <w:sz w:val="24"/>
          <w:szCs w:val="24"/>
          <w:u w:val="single"/>
        </w:rPr>
      </w:pPr>
    </w:p>
    <w:p>
      <w:pPr>
        <w:spacing w:line="360" w:lineRule="auto"/>
        <w:ind w:firstLine="5160" w:firstLineChars="2150"/>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p>
    <w:p>
      <w:pPr>
        <w:spacing w:line="360" w:lineRule="auto"/>
        <w:rPr>
          <w:rFonts w:hint="eastAsia" w:ascii="宋体" w:hAnsi="宋体" w:eastAsia="宋体" w:cs="宋体"/>
          <w:b/>
          <w:color w:val="auto"/>
          <w:sz w:val="24"/>
          <w:szCs w:val="24"/>
        </w:rPr>
      </w:pPr>
    </w:p>
    <w:p>
      <w:pPr>
        <w:spacing w:line="360" w:lineRule="auto"/>
        <w:rPr>
          <w:rFonts w:hint="eastAsia" w:ascii="宋体" w:hAnsi="宋体" w:eastAsia="宋体" w:cs="宋体"/>
          <w:b/>
          <w:color w:val="auto"/>
          <w:sz w:val="24"/>
          <w:szCs w:val="24"/>
        </w:rPr>
      </w:pPr>
    </w:p>
    <w:p>
      <w:pPr>
        <w:spacing w:line="360" w:lineRule="auto"/>
        <w:rPr>
          <w:rFonts w:hint="eastAsia" w:ascii="宋体" w:hAnsi="宋体" w:eastAsia="宋体" w:cs="宋体"/>
          <w:b/>
          <w:color w:val="auto"/>
          <w:sz w:val="24"/>
          <w:szCs w:val="24"/>
        </w:rPr>
      </w:pPr>
    </w:p>
    <w:p>
      <w:pPr>
        <w:spacing w:line="360" w:lineRule="auto"/>
        <w:rPr>
          <w:rFonts w:hint="eastAsia" w:ascii="宋体" w:hAnsi="宋体" w:eastAsia="宋体" w:cs="宋体"/>
          <w:b/>
          <w:color w:val="auto"/>
          <w:sz w:val="24"/>
          <w:szCs w:val="24"/>
        </w:rPr>
      </w:pPr>
    </w:p>
    <w:p>
      <w:pPr>
        <w:spacing w:line="360" w:lineRule="auto"/>
        <w:rPr>
          <w:rFonts w:hint="eastAsia" w:ascii="宋体" w:hAnsi="宋体" w:eastAsia="宋体" w:cs="宋体"/>
          <w:b/>
          <w:color w:val="auto"/>
          <w:sz w:val="24"/>
          <w:szCs w:val="24"/>
        </w:rPr>
      </w:pPr>
    </w:p>
    <w:p>
      <w:pPr>
        <w:rPr>
          <w:rFonts w:hint="eastAsia"/>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spacing w:line="360" w:lineRule="auto"/>
        <w:rPr>
          <w:rFonts w:hint="eastAsia" w:ascii="宋体" w:hAnsi="宋体" w:eastAsia="宋体" w:cs="宋体"/>
          <w:b/>
          <w:color w:val="auto"/>
          <w:sz w:val="24"/>
          <w:szCs w:val="24"/>
        </w:rPr>
      </w:pPr>
    </w:p>
    <w:p>
      <w:pPr>
        <w:pStyle w:val="6"/>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lang w:val="en-US" w:eastAsia="zh-CN"/>
        </w:rPr>
        <w:sectPr>
          <w:footnotePr>
            <w:pos w:val="beneathText"/>
          </w:footnotePr>
          <w:pgSz w:w="11906" w:h="16838"/>
          <w:pgMar w:top="1440" w:right="1797" w:bottom="1440" w:left="1797" w:header="1134" w:footer="964" w:gutter="0"/>
          <w:pgBorders w:offsetFrom="page">
            <w:top w:val="none" w:sz="0" w:space="0"/>
            <w:left w:val="none" w:sz="0" w:space="0"/>
            <w:bottom w:val="none" w:sz="0" w:space="0"/>
            <w:right w:val="none" w:sz="0" w:space="0"/>
          </w:pgBorders>
          <w:pgNumType w:fmt="decimal"/>
          <w:cols w:space="720" w:num="1"/>
          <w:docGrid w:linePitch="312" w:charSpace="0"/>
        </w:sectPr>
      </w:pPr>
    </w:p>
    <w:p>
      <w:pPr>
        <w:rPr>
          <w:rFonts w:hint="eastAsia"/>
          <w:lang w:val="en-US" w:eastAsia="zh-CN"/>
        </w:rPr>
      </w:pPr>
      <w:r>
        <w:rPr>
          <w:rFonts w:hint="eastAsia" w:ascii="宋体" w:hAnsi="宋体" w:eastAsia="宋体" w:cs="宋体"/>
          <w:b/>
          <w:bCs/>
          <w:color w:val="auto"/>
          <w:sz w:val="32"/>
          <w:szCs w:val="32"/>
        </w:rPr>
        <w:t>表</w:t>
      </w:r>
      <w:r>
        <w:rPr>
          <w:rFonts w:hint="eastAsia" w:ascii="宋体" w:hAnsi="宋体" w:cs="宋体"/>
          <w:b/>
          <w:bCs/>
          <w:color w:val="auto"/>
          <w:sz w:val="32"/>
          <w:szCs w:val="32"/>
          <w:lang w:val="en-US" w:eastAsia="zh-CN"/>
        </w:rPr>
        <w:t>6:</w:t>
      </w:r>
    </w:p>
    <w:p>
      <w:pPr>
        <w:pStyle w:val="6"/>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lang w:val="en-US" w:eastAsia="zh-CN"/>
        </w:rPr>
      </w:pPr>
      <w:bookmarkStart w:id="80" w:name="_Toc21517"/>
      <w:bookmarkStart w:id="81" w:name="_Toc20469"/>
      <w:bookmarkStart w:id="82" w:name="_Toc26280"/>
      <w:r>
        <w:rPr>
          <w:rFonts w:hint="eastAsia" w:ascii="宋体" w:hAnsi="宋体" w:eastAsia="宋体" w:cs="宋体"/>
          <w:lang w:val="en-US" w:eastAsia="zh-CN"/>
        </w:rPr>
        <w:t>6、授权委托书</w:t>
      </w:r>
      <w:bookmarkEnd w:id="80"/>
      <w:bookmarkEnd w:id="81"/>
      <w:bookmarkEnd w:id="82"/>
    </w:p>
    <w:p>
      <w:pPr>
        <w:spacing w:line="360" w:lineRule="auto"/>
        <w:rPr>
          <w:rFonts w:hint="eastAsia" w:ascii="宋体" w:hAnsi="宋体" w:eastAsia="宋体" w:cs="宋体"/>
          <w:b/>
          <w:color w:val="auto"/>
          <w:sz w:val="24"/>
          <w:szCs w:val="24"/>
        </w:rPr>
      </w:pPr>
    </w:p>
    <w:p>
      <w:pPr>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rPr>
        <w:t>致：</w:t>
      </w:r>
      <w:r>
        <w:rPr>
          <w:rFonts w:hint="eastAsia" w:ascii="宋体" w:hAnsi="宋体" w:cs="宋体"/>
          <w:b/>
          <w:color w:val="auto"/>
          <w:sz w:val="24"/>
          <w:szCs w:val="24"/>
          <w:lang w:eastAsia="zh-CN"/>
        </w:rPr>
        <w:t>海南政辉招投标代理有限公司</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本授权书声明：</w:t>
      </w:r>
    </w:p>
    <w:p>
      <w:pPr>
        <w:snapToGrid w:val="0"/>
        <w:spacing w:line="36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rPr>
        <w:t>委托人：</w:t>
      </w:r>
      <w:r>
        <w:rPr>
          <w:rFonts w:hint="eastAsia" w:ascii="宋体" w:hAnsi="宋体" w:eastAsia="宋体" w:cs="宋体"/>
          <w:color w:val="auto"/>
          <w:sz w:val="24"/>
          <w:szCs w:val="24"/>
          <w:u w:val="single"/>
        </w:rPr>
        <w:t xml:space="preserve">                                            </w:t>
      </w:r>
    </w:p>
    <w:p>
      <w:pPr>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地  址：</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法定代表人：</w:t>
      </w:r>
      <w:r>
        <w:rPr>
          <w:rFonts w:hint="eastAsia" w:ascii="宋体" w:hAnsi="宋体" w:eastAsia="宋体" w:cs="宋体"/>
          <w:color w:val="auto"/>
          <w:sz w:val="24"/>
          <w:szCs w:val="24"/>
          <w:u w:val="single"/>
        </w:rPr>
        <w:t xml:space="preserve">          </w:t>
      </w:r>
    </w:p>
    <w:p>
      <w:pPr>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受托人：姓名</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性别：</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出生日期：</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p>
    <w:p>
      <w:pPr>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所在单位：</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职务：</w:t>
      </w:r>
      <w:r>
        <w:rPr>
          <w:rFonts w:hint="eastAsia" w:ascii="宋体" w:hAnsi="宋体" w:eastAsia="宋体" w:cs="宋体"/>
          <w:color w:val="auto"/>
          <w:sz w:val="24"/>
          <w:szCs w:val="24"/>
          <w:u w:val="single"/>
        </w:rPr>
        <w:t xml:space="preserve">           </w:t>
      </w:r>
    </w:p>
    <w:p>
      <w:pPr>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身 份 证：</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联系方式:</w:t>
      </w:r>
      <w:r>
        <w:rPr>
          <w:rFonts w:hint="eastAsia" w:ascii="宋体" w:hAnsi="宋体" w:eastAsia="宋体" w:cs="宋体"/>
          <w:color w:val="auto"/>
          <w:sz w:val="24"/>
          <w:szCs w:val="24"/>
          <w:u w:val="single"/>
        </w:rPr>
        <w:t xml:space="preserve">                    </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兹委托受托人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代表我方参加</w:t>
      </w:r>
      <w:r>
        <w:rPr>
          <w:rFonts w:hint="eastAsia" w:ascii="宋体" w:hAnsi="宋体" w:cs="宋体"/>
          <w:color w:val="auto"/>
          <w:sz w:val="24"/>
          <w:szCs w:val="24"/>
          <w:lang w:eastAsia="zh-CN"/>
        </w:rPr>
        <w:t>海南政辉招投标代理有限公司</w:t>
      </w:r>
      <w:r>
        <w:rPr>
          <w:rFonts w:hint="eastAsia" w:ascii="宋体" w:hAnsi="宋体" w:eastAsia="宋体" w:cs="宋体"/>
          <w:color w:val="auto"/>
          <w:sz w:val="24"/>
          <w:szCs w:val="24"/>
        </w:rPr>
        <w:t xml:space="preserve">组织的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项目（招标编号：     ）的政府采购活动，并授权其全权办理以下事宜：</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1、参加投标活动；</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2、出席开标评标会议；</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3、签订与中标事宜有关的合同；</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4、负责合同的履行、服务以及在合同履行过程中有关事宜的洽谈和处理。</w:t>
      </w:r>
    </w:p>
    <w:p>
      <w:pPr>
        <w:snapToGrid w:val="0"/>
        <w:spacing w:line="360" w:lineRule="auto"/>
        <w:ind w:left="48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    受托人在办理上述事宜过程中以其自己的名义所签署的所有文件我方均予以承认。受托人无转委托权。</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委托期限：至上述事宜处理完毕止。</w:t>
      </w:r>
    </w:p>
    <w:p>
      <w:pPr>
        <w:snapToGrid w:val="0"/>
        <w:spacing w:line="360" w:lineRule="auto"/>
        <w:rPr>
          <w:rFonts w:hint="eastAsia" w:ascii="宋体" w:hAnsi="宋体" w:eastAsia="宋体" w:cs="宋体"/>
          <w:color w:val="auto"/>
          <w:sz w:val="24"/>
          <w:szCs w:val="24"/>
        </w:rPr>
      </w:pPr>
    </w:p>
    <w:p>
      <w:pPr>
        <w:snapToGrid w:val="0"/>
        <w:spacing w:line="360" w:lineRule="auto"/>
        <w:rPr>
          <w:rFonts w:hint="eastAsia" w:ascii="宋体" w:hAnsi="宋体" w:eastAsia="宋体" w:cs="宋体"/>
          <w:color w:val="auto"/>
          <w:sz w:val="24"/>
          <w:szCs w:val="24"/>
        </w:rPr>
      </w:pPr>
    </w:p>
    <w:p>
      <w:pPr>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附：受托人身份证复印件</w:t>
      </w:r>
    </w:p>
    <w:p>
      <w:pPr>
        <w:snapToGrid w:val="0"/>
        <w:spacing w:line="360" w:lineRule="auto"/>
        <w:ind w:firstLine="3840" w:firstLineChars="1600"/>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pStyle w:val="8"/>
        <w:rPr>
          <w:rFonts w:hint="eastAsia"/>
        </w:rPr>
      </w:pPr>
    </w:p>
    <w:p>
      <w:pPr>
        <w:snapToGrid w:val="0"/>
        <w:spacing w:line="36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法定代表人</w:t>
      </w:r>
      <w:r>
        <w:rPr>
          <w:rFonts w:hint="eastAsia" w:ascii="宋体" w:hAnsi="宋体" w:cs="宋体"/>
          <w:color w:val="auto"/>
          <w:sz w:val="24"/>
          <w:szCs w:val="24"/>
          <w:lang w:eastAsia="zh-CN"/>
        </w:rPr>
        <w:t>：</w:t>
      </w:r>
      <w:r>
        <w:rPr>
          <w:rFonts w:hint="eastAsia" w:ascii="宋体" w:hAnsi="宋体" w:eastAsia="宋体" w:cs="宋体"/>
          <w:color w:val="auto"/>
          <w:sz w:val="24"/>
          <w:szCs w:val="24"/>
          <w:u w:val="single"/>
        </w:rPr>
        <w:t xml:space="preserve"> （签名</w:t>
      </w:r>
      <w:r>
        <w:rPr>
          <w:rFonts w:hint="eastAsia" w:ascii="宋体" w:hAnsi="宋体" w:eastAsia="宋体" w:cs="宋体"/>
          <w:color w:val="auto"/>
          <w:sz w:val="24"/>
          <w:szCs w:val="24"/>
          <w:u w:val="single"/>
          <w:lang w:eastAsia="zh-CN"/>
        </w:rPr>
        <w:t>或盖章</w:t>
      </w:r>
      <w:r>
        <w:rPr>
          <w:rFonts w:hint="eastAsia" w:ascii="宋体" w:hAnsi="宋体" w:eastAsia="宋体" w:cs="宋体"/>
          <w:color w:val="auto"/>
          <w:sz w:val="24"/>
          <w:szCs w:val="24"/>
          <w:u w:val="single"/>
        </w:rPr>
        <w:t xml:space="preserve">）          </w:t>
      </w:r>
    </w:p>
    <w:p>
      <w:pPr>
        <w:snapToGrid w:val="0"/>
        <w:spacing w:line="36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受托人</w:t>
      </w:r>
      <w:r>
        <w:rPr>
          <w:rFonts w:hint="eastAsia" w:ascii="宋体" w:hAnsi="宋体" w:cs="宋体"/>
          <w:color w:val="auto"/>
          <w:sz w:val="24"/>
          <w:szCs w:val="24"/>
          <w:lang w:eastAsia="zh-CN"/>
        </w:rPr>
        <w:t>：</w:t>
      </w:r>
      <w:r>
        <w:rPr>
          <w:rFonts w:hint="eastAsia" w:ascii="宋体" w:hAnsi="宋体" w:eastAsia="宋体" w:cs="宋体"/>
          <w:color w:val="auto"/>
          <w:sz w:val="24"/>
          <w:szCs w:val="24"/>
          <w:u w:val="single"/>
        </w:rPr>
        <w:t xml:space="preserve"> （签名）          </w:t>
      </w:r>
    </w:p>
    <w:p>
      <w:pPr>
        <w:snapToGrid w:val="0"/>
        <w:spacing w:line="360" w:lineRule="auto"/>
        <w:ind w:firstLine="3840" w:firstLineChars="1600"/>
        <w:rPr>
          <w:rFonts w:hint="eastAsia" w:ascii="宋体" w:hAnsi="宋体" w:eastAsia="宋体" w:cs="宋体"/>
          <w:color w:val="auto"/>
          <w:sz w:val="24"/>
          <w:szCs w:val="24"/>
          <w:u w:val="single"/>
        </w:rPr>
      </w:pPr>
      <w:r>
        <w:rPr>
          <w:rFonts w:hint="eastAsia" w:ascii="宋体" w:hAnsi="宋体" w:eastAsia="宋体" w:cs="宋体"/>
          <w:color w:val="auto"/>
          <w:sz w:val="24"/>
          <w:szCs w:val="24"/>
        </w:rPr>
        <w:t>委托单位</w:t>
      </w:r>
      <w:r>
        <w:rPr>
          <w:rFonts w:hint="eastAsia" w:ascii="宋体" w:hAnsi="宋体" w:cs="宋体"/>
          <w:color w:val="auto"/>
          <w:sz w:val="24"/>
          <w:szCs w:val="24"/>
          <w:lang w:eastAsia="zh-CN"/>
        </w:rPr>
        <w:t>：</w:t>
      </w:r>
      <w:r>
        <w:rPr>
          <w:rFonts w:hint="eastAsia" w:ascii="宋体" w:hAnsi="宋体" w:eastAsia="宋体" w:cs="宋体"/>
          <w:color w:val="auto"/>
          <w:sz w:val="24"/>
          <w:szCs w:val="24"/>
          <w:u w:val="single"/>
        </w:rPr>
        <w:t xml:space="preserve"> （公章）          </w:t>
      </w:r>
    </w:p>
    <w:p>
      <w:pPr>
        <w:snapToGrid w:val="0"/>
        <w:spacing w:line="360" w:lineRule="auto"/>
        <w:ind w:firstLine="352" w:firstLineChars="147"/>
        <w:jc w:val="right"/>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p>
    <w:p>
      <w:pPr>
        <w:rPr>
          <w:rFonts w:hint="eastAsia" w:ascii="宋体" w:hAnsi="宋体" w:cs="宋体"/>
          <w:b/>
          <w:bCs/>
          <w:color w:val="auto"/>
          <w:sz w:val="32"/>
          <w:szCs w:val="32"/>
          <w:lang w:val="en-US" w:eastAsia="zh-CN"/>
        </w:rPr>
      </w:pPr>
      <w:r>
        <w:rPr>
          <w:rFonts w:hint="eastAsia" w:ascii="宋体" w:hAnsi="宋体" w:eastAsia="宋体" w:cs="宋体"/>
          <w:b/>
          <w:bCs/>
          <w:color w:val="auto"/>
          <w:sz w:val="32"/>
          <w:szCs w:val="32"/>
        </w:rPr>
        <w:t>表</w:t>
      </w:r>
      <w:r>
        <w:rPr>
          <w:rFonts w:hint="eastAsia" w:ascii="宋体" w:hAnsi="宋体" w:cs="宋体"/>
          <w:b/>
          <w:bCs/>
          <w:color w:val="auto"/>
          <w:sz w:val="32"/>
          <w:szCs w:val="32"/>
          <w:lang w:val="en-US" w:eastAsia="zh-CN"/>
        </w:rPr>
        <w:t>7:</w:t>
      </w:r>
    </w:p>
    <w:p>
      <w:pPr>
        <w:rPr>
          <w:rFonts w:hint="eastAsia"/>
          <w:lang w:val="en-US" w:eastAsia="zh-CN"/>
        </w:rPr>
      </w:pPr>
    </w:p>
    <w:bookmarkEnd w:id="63"/>
    <w:p>
      <w:pPr>
        <w:pStyle w:val="6"/>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lang w:val="en-US" w:eastAsia="zh-CN"/>
        </w:rPr>
      </w:pPr>
      <w:bookmarkStart w:id="83" w:name="_Toc30555"/>
      <w:bookmarkStart w:id="84" w:name="_Toc4391"/>
      <w:bookmarkStart w:id="85" w:name="_Toc18203"/>
      <w:bookmarkStart w:id="86" w:name="_Toc18619"/>
      <w:bookmarkStart w:id="87" w:name="_Toc13835"/>
      <w:bookmarkStart w:id="88" w:name="_Toc19635"/>
      <w:r>
        <w:rPr>
          <w:rFonts w:hint="eastAsia" w:ascii="宋体" w:hAnsi="宋体" w:eastAsia="宋体" w:cs="宋体"/>
          <w:lang w:val="en-US" w:eastAsia="zh-CN"/>
        </w:rPr>
        <w:t>7、参加政府采购活动前三年内，在经营活动中没有重大违法记录的声明函</w:t>
      </w:r>
      <w:bookmarkEnd w:id="83"/>
      <w:bookmarkEnd w:id="84"/>
      <w:bookmarkEnd w:id="85"/>
    </w:p>
    <w:p>
      <w:pPr>
        <w:shd w:val="clear" w:color="auto" w:fill="FFFFFF"/>
        <w:rPr>
          <w:rFonts w:hint="eastAsia" w:ascii="宋体" w:hAnsi="宋体" w:eastAsia="宋体" w:cs="宋体"/>
          <w:color w:val="auto"/>
          <w:sz w:val="24"/>
          <w:szCs w:val="24"/>
        </w:rPr>
      </w:pPr>
    </w:p>
    <w:p>
      <w:pPr>
        <w:shd w:val="clear" w:color="auto" w:fill="FFFFFF"/>
        <w:snapToGrid w:val="0"/>
        <w:spacing w:before="19" w:line="360" w:lineRule="auto"/>
        <w:rPr>
          <w:rFonts w:hint="eastAsia" w:ascii="宋体" w:hAnsi="宋体" w:eastAsia="宋体" w:cs="宋体"/>
          <w:b/>
          <w:color w:val="auto"/>
          <w:sz w:val="24"/>
          <w:szCs w:val="24"/>
          <w:lang w:eastAsia="zh-CN"/>
        </w:rPr>
      </w:pPr>
      <w:r>
        <w:rPr>
          <w:rFonts w:hint="eastAsia" w:ascii="宋体" w:hAnsi="宋体" w:eastAsia="宋体" w:cs="宋体"/>
          <w:b/>
          <w:color w:val="auto"/>
          <w:sz w:val="24"/>
          <w:szCs w:val="24"/>
        </w:rPr>
        <w:t>致：</w:t>
      </w:r>
      <w:r>
        <w:rPr>
          <w:rFonts w:hint="eastAsia" w:ascii="宋体" w:hAnsi="宋体" w:cs="宋体"/>
          <w:b/>
          <w:color w:val="auto"/>
          <w:sz w:val="24"/>
          <w:szCs w:val="24"/>
          <w:lang w:eastAsia="zh-CN"/>
        </w:rPr>
        <w:t>海南政辉招投标代理有限公司</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为响应贵公司组织的</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rPr>
        <w:t>（项目编号为：</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rPr>
        <w:t>）货物及服务的招标采购活动，我司声明如下：</w:t>
      </w:r>
    </w:p>
    <w:p>
      <w:pPr>
        <w:spacing w:line="360" w:lineRule="auto"/>
        <w:ind w:firstLine="480" w:firstLineChars="200"/>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1、参加政府采购活动前三年内，在经营活动中没有重大违法记录。</w:t>
      </w:r>
    </w:p>
    <w:p>
      <w:pPr>
        <w:spacing w:line="360" w:lineRule="auto"/>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本项目</w:t>
      </w:r>
      <w:r>
        <w:rPr>
          <w:rFonts w:hint="eastAsia" w:ascii="宋体" w:hAnsi="宋体" w:cs="宋体"/>
          <w:color w:val="auto"/>
          <w:sz w:val="24"/>
          <w:szCs w:val="24"/>
          <w:lang w:val="en-US" w:eastAsia="zh-CN"/>
        </w:rPr>
        <w:t>招标</w:t>
      </w:r>
      <w:r>
        <w:rPr>
          <w:rFonts w:hint="eastAsia" w:ascii="宋体" w:hAnsi="宋体" w:eastAsia="宋体" w:cs="宋体"/>
          <w:color w:val="auto"/>
          <w:sz w:val="24"/>
          <w:szCs w:val="24"/>
        </w:rPr>
        <w:t>公告前三年内，我司在经营活动中没有被</w:t>
      </w:r>
      <w:r>
        <w:rPr>
          <w:rFonts w:hint="eastAsia" w:ascii="宋体" w:hAnsi="宋体" w:eastAsia="宋体" w:cs="宋体"/>
          <w:color w:val="auto"/>
          <w:sz w:val="24"/>
          <w:szCs w:val="24"/>
          <w:lang w:val="en-US" w:eastAsia="zh-CN"/>
        </w:rPr>
        <w:t>列入</w:t>
      </w:r>
      <w:r>
        <w:rPr>
          <w:rFonts w:hint="eastAsia" w:ascii="宋体" w:hAnsi="宋体" w:eastAsia="宋体" w:cs="宋体"/>
          <w:color w:val="auto"/>
          <w:sz w:val="24"/>
          <w:szCs w:val="24"/>
        </w:rPr>
        <w:t>中国执行信息公开网</w:t>
      </w:r>
      <w:r>
        <w:rPr>
          <w:rFonts w:hint="eastAsia" w:ascii="宋体" w:hAnsi="宋体" w:eastAsia="宋体" w:cs="宋体"/>
          <w:color w:val="auto"/>
          <w:sz w:val="24"/>
          <w:szCs w:val="24"/>
          <w:lang w:eastAsia="zh-CN"/>
        </w:rPr>
        <w:t>（http://zxgk.court.gov.cn）</w:t>
      </w:r>
      <w:r>
        <w:rPr>
          <w:rFonts w:hint="eastAsia" w:ascii="宋体" w:hAnsi="宋体" w:eastAsia="宋体" w:cs="宋体"/>
          <w:color w:val="auto"/>
          <w:sz w:val="24"/>
          <w:szCs w:val="24"/>
          <w:lang w:val="en-US" w:eastAsia="zh-CN"/>
        </w:rPr>
        <w:t>的“失信被执行人”、信用中国(www.creditchina.gov.cn)的“重大税收违法案件当事人名单”、“政府采购严重违法失信名单”和中国政府采购网(www.ccgp.gov.cn)的“政府采购严重违法失信行为记录名单”等</w:t>
      </w:r>
      <w:r>
        <w:rPr>
          <w:rFonts w:hint="eastAsia" w:ascii="宋体" w:hAnsi="宋体" w:eastAsia="宋体" w:cs="宋体"/>
          <w:color w:val="auto"/>
          <w:sz w:val="24"/>
          <w:szCs w:val="24"/>
        </w:rPr>
        <w:t>重大违法记录。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本公司对上述</w:t>
      </w:r>
      <w:r>
        <w:rPr>
          <w:rFonts w:hint="eastAsia" w:ascii="宋体" w:hAnsi="宋体" w:eastAsia="宋体" w:cs="宋体"/>
          <w:b/>
          <w:bCs/>
          <w:color w:val="auto"/>
          <w:sz w:val="24"/>
          <w:szCs w:val="24"/>
          <w:lang w:val="en-US" w:eastAsia="zh-CN"/>
        </w:rPr>
        <w:t>声明</w:t>
      </w:r>
      <w:r>
        <w:rPr>
          <w:rFonts w:hint="eastAsia" w:ascii="宋体" w:hAnsi="宋体" w:eastAsia="宋体" w:cs="宋体"/>
          <w:b/>
          <w:bCs/>
          <w:color w:val="auto"/>
          <w:sz w:val="24"/>
          <w:szCs w:val="24"/>
        </w:rPr>
        <w:t>的真实性负责</w:t>
      </w:r>
      <w:r>
        <w:rPr>
          <w:rFonts w:hint="eastAsia" w:ascii="宋体" w:hAnsi="宋体" w:eastAsia="宋体" w:cs="宋体"/>
          <w:b/>
          <w:bCs/>
          <w:color w:val="auto"/>
          <w:sz w:val="24"/>
          <w:szCs w:val="24"/>
          <w:lang w:eastAsia="zh-CN"/>
        </w:rPr>
        <w:t>，</w:t>
      </w:r>
      <w:r>
        <w:rPr>
          <w:rFonts w:hint="eastAsia" w:ascii="宋体" w:hAnsi="宋体" w:eastAsia="宋体" w:cs="宋体"/>
          <w:b/>
          <w:color w:val="auto"/>
          <w:sz w:val="24"/>
          <w:szCs w:val="24"/>
        </w:rPr>
        <w:t>如有虚假，我司愿意接受相关处罚。</w:t>
      </w:r>
    </w:p>
    <w:p>
      <w:pPr>
        <w:spacing w:line="360" w:lineRule="auto"/>
        <w:ind w:firstLine="480" w:firstLineChars="200"/>
        <w:rPr>
          <w:rFonts w:hint="eastAsia" w:ascii="宋体" w:hAnsi="宋体" w:eastAsia="宋体" w:cs="宋体"/>
          <w:color w:val="auto"/>
          <w:sz w:val="24"/>
          <w:szCs w:val="24"/>
        </w:rPr>
      </w:pP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特此声明。</w:t>
      </w:r>
    </w:p>
    <w:p>
      <w:pPr>
        <w:spacing w:line="440" w:lineRule="exact"/>
        <w:ind w:firstLine="480" w:firstLineChars="200"/>
        <w:rPr>
          <w:rFonts w:hint="eastAsia" w:ascii="宋体" w:hAnsi="宋体" w:eastAsia="宋体" w:cs="宋体"/>
          <w:color w:val="auto"/>
          <w:sz w:val="24"/>
          <w:szCs w:val="24"/>
        </w:rPr>
      </w:pPr>
    </w:p>
    <w:p>
      <w:pPr>
        <w:spacing w:line="440" w:lineRule="exact"/>
        <w:ind w:firstLine="576"/>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shd w:val="clear" w:color="auto" w:fill="FFFFFF"/>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投标人</w:t>
      </w:r>
      <w:r>
        <w:rPr>
          <w:rFonts w:hint="eastAsia" w:ascii="宋体" w:hAnsi="宋体" w:eastAsia="宋体" w:cs="宋体"/>
          <w:color w:val="auto"/>
          <w:sz w:val="24"/>
          <w:szCs w:val="24"/>
        </w:rPr>
        <w:t>名称：</w:t>
      </w:r>
      <w:r>
        <w:rPr>
          <w:rFonts w:hint="eastAsia" w:ascii="宋体" w:hAnsi="宋体" w:eastAsia="宋体" w:cs="宋体"/>
          <w:color w:val="auto"/>
          <w:sz w:val="24"/>
          <w:szCs w:val="24"/>
          <w:u w:val="single"/>
        </w:rPr>
        <w:t xml:space="preserve">                 （盖章）</w:t>
      </w:r>
    </w:p>
    <w:p>
      <w:pPr>
        <w:shd w:val="clear" w:color="auto" w:fill="FFFFFF"/>
        <w:snapToGrid w:val="0"/>
        <w:spacing w:line="36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地址：</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邮编：</w:t>
      </w:r>
      <w:r>
        <w:rPr>
          <w:rFonts w:hint="eastAsia" w:ascii="宋体" w:hAnsi="宋体" w:eastAsia="宋体" w:cs="宋体"/>
          <w:color w:val="auto"/>
          <w:sz w:val="24"/>
          <w:szCs w:val="24"/>
          <w:u w:val="single"/>
        </w:rPr>
        <w:t xml:space="preserve">             </w:t>
      </w:r>
    </w:p>
    <w:p>
      <w:pPr>
        <w:shd w:val="clear" w:color="auto" w:fill="FFFFFF"/>
        <w:snapToGrid w:val="0"/>
        <w:spacing w:line="36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电话：</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传真：</w:t>
      </w:r>
      <w:r>
        <w:rPr>
          <w:rFonts w:hint="eastAsia" w:ascii="宋体" w:hAnsi="宋体" w:eastAsia="宋体" w:cs="宋体"/>
          <w:color w:val="auto"/>
          <w:sz w:val="24"/>
          <w:szCs w:val="24"/>
          <w:u w:val="single"/>
        </w:rPr>
        <w:t xml:space="preserve">             </w:t>
      </w:r>
    </w:p>
    <w:p>
      <w:pPr>
        <w:shd w:val="clear" w:color="auto" w:fill="FFFFFF"/>
        <w:snapToGrid w:val="0"/>
        <w:spacing w:line="36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授权代表：</w:t>
      </w:r>
      <w:r>
        <w:rPr>
          <w:rFonts w:hint="eastAsia" w:ascii="宋体" w:hAnsi="宋体" w:eastAsia="宋体" w:cs="宋体"/>
          <w:color w:val="auto"/>
          <w:sz w:val="24"/>
          <w:szCs w:val="24"/>
          <w:u w:val="single"/>
        </w:rPr>
        <w:t xml:space="preserve">             （签</w:t>
      </w:r>
      <w:r>
        <w:rPr>
          <w:rFonts w:hint="eastAsia" w:ascii="宋体" w:hAnsi="宋体" w:eastAsia="宋体" w:cs="宋体"/>
          <w:color w:val="auto"/>
          <w:sz w:val="24"/>
          <w:szCs w:val="24"/>
          <w:u w:val="single"/>
          <w:lang w:val="en-US" w:eastAsia="zh-CN"/>
        </w:rPr>
        <w:t>名</w:t>
      </w:r>
      <w:r>
        <w:rPr>
          <w:rFonts w:hint="eastAsia" w:ascii="宋体" w:hAnsi="宋体" w:eastAsia="宋体" w:cs="宋体"/>
          <w:color w:val="auto"/>
          <w:sz w:val="24"/>
          <w:szCs w:val="24"/>
          <w:u w:val="single"/>
        </w:rPr>
        <w:t>或私章）</w:t>
      </w:r>
      <w:r>
        <w:rPr>
          <w:rFonts w:hint="eastAsia" w:ascii="宋体" w:hAnsi="宋体" w:eastAsia="宋体" w:cs="宋体"/>
          <w:color w:val="auto"/>
          <w:sz w:val="24"/>
          <w:szCs w:val="24"/>
        </w:rPr>
        <w:t>职务：</w:t>
      </w:r>
      <w:r>
        <w:rPr>
          <w:rFonts w:hint="eastAsia" w:ascii="宋体" w:hAnsi="宋体" w:eastAsia="宋体" w:cs="宋体"/>
          <w:color w:val="auto"/>
          <w:sz w:val="24"/>
          <w:szCs w:val="24"/>
          <w:u w:val="single"/>
        </w:rPr>
        <w:t xml:space="preserve">             </w:t>
      </w:r>
    </w:p>
    <w:p>
      <w:pPr>
        <w:shd w:val="clear" w:color="auto" w:fill="FFFFFF"/>
        <w:snapToGrid w:val="0"/>
        <w:spacing w:line="36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日期：</w:t>
      </w:r>
      <w:r>
        <w:rPr>
          <w:rFonts w:hint="eastAsia" w:ascii="宋体" w:hAnsi="宋体" w:eastAsia="宋体" w:cs="宋体"/>
          <w:color w:val="auto"/>
          <w:sz w:val="24"/>
          <w:szCs w:val="24"/>
          <w:u w:val="single"/>
        </w:rPr>
        <w:t xml:space="preserve">                               </w:t>
      </w:r>
    </w:p>
    <w:p>
      <w:pPr>
        <w:pStyle w:val="8"/>
        <w:ind w:right="482" w:firstLine="0"/>
        <w:jc w:val="center"/>
        <w:rPr>
          <w:rFonts w:hint="eastAsia" w:ascii="宋体" w:hAnsi="宋体" w:eastAsia="宋体" w:cs="宋体"/>
          <w:b/>
          <w:bCs/>
          <w:color w:val="auto"/>
          <w:sz w:val="24"/>
          <w:szCs w:val="24"/>
        </w:rPr>
      </w:pPr>
    </w:p>
    <w:p>
      <w:pPr>
        <w:pStyle w:val="8"/>
        <w:ind w:right="482" w:firstLine="0"/>
        <w:jc w:val="center"/>
        <w:rPr>
          <w:rFonts w:hint="eastAsia" w:ascii="宋体" w:hAnsi="宋体" w:eastAsia="宋体" w:cs="宋体"/>
          <w:b/>
          <w:bCs/>
          <w:color w:val="auto"/>
          <w:sz w:val="24"/>
          <w:szCs w:val="24"/>
        </w:rPr>
      </w:pPr>
    </w:p>
    <w:p>
      <w:pPr>
        <w:pStyle w:val="8"/>
        <w:ind w:right="482" w:firstLine="0"/>
        <w:jc w:val="center"/>
        <w:rPr>
          <w:rFonts w:hint="eastAsia" w:ascii="宋体" w:hAnsi="宋体" w:eastAsia="宋体" w:cs="宋体"/>
          <w:b/>
          <w:bCs/>
          <w:color w:val="auto"/>
          <w:sz w:val="24"/>
          <w:szCs w:val="24"/>
        </w:rPr>
      </w:pPr>
    </w:p>
    <w:p>
      <w:pPr>
        <w:pStyle w:val="8"/>
        <w:ind w:right="482" w:firstLine="0"/>
        <w:jc w:val="center"/>
        <w:rPr>
          <w:rFonts w:hint="eastAsia" w:ascii="宋体" w:hAnsi="宋体" w:eastAsia="宋体" w:cs="宋体"/>
          <w:b/>
          <w:bCs/>
          <w:color w:val="auto"/>
          <w:sz w:val="24"/>
          <w:szCs w:val="24"/>
        </w:rPr>
      </w:pPr>
    </w:p>
    <w:p>
      <w:pPr>
        <w:pStyle w:val="8"/>
        <w:ind w:right="482" w:firstLine="0"/>
        <w:jc w:val="center"/>
        <w:rPr>
          <w:rFonts w:hint="eastAsia" w:ascii="宋体" w:hAnsi="宋体" w:eastAsia="宋体" w:cs="宋体"/>
          <w:b/>
          <w:bCs/>
          <w:color w:val="auto"/>
          <w:sz w:val="24"/>
          <w:szCs w:val="24"/>
        </w:rPr>
      </w:pPr>
    </w:p>
    <w:p>
      <w:pPr>
        <w:pStyle w:val="8"/>
        <w:ind w:right="482" w:firstLine="0"/>
        <w:jc w:val="center"/>
        <w:rPr>
          <w:rFonts w:hint="eastAsia" w:ascii="宋体" w:hAnsi="宋体" w:eastAsia="宋体" w:cs="宋体"/>
          <w:b/>
          <w:bCs/>
          <w:color w:val="auto"/>
          <w:sz w:val="24"/>
          <w:szCs w:val="24"/>
        </w:rPr>
      </w:pPr>
    </w:p>
    <w:p>
      <w:pPr>
        <w:rPr>
          <w:rFonts w:hint="eastAsia" w:ascii="宋体" w:hAnsi="宋体" w:eastAsia="宋体" w:cs="宋体"/>
          <w:b/>
          <w:bCs/>
          <w:color w:val="auto"/>
          <w:sz w:val="32"/>
          <w:szCs w:val="32"/>
        </w:rPr>
        <w:sectPr>
          <w:footnotePr>
            <w:pos w:val="beneathText"/>
          </w:footnotePr>
          <w:pgSz w:w="11906" w:h="16838"/>
          <w:pgMar w:top="1440" w:right="1797" w:bottom="1440" w:left="1797" w:header="1134" w:footer="964" w:gutter="0"/>
          <w:pgBorders w:offsetFrom="page">
            <w:top w:val="none" w:sz="0" w:space="0"/>
            <w:left w:val="none" w:sz="0" w:space="0"/>
            <w:bottom w:val="none" w:sz="0" w:space="0"/>
            <w:right w:val="none" w:sz="0" w:space="0"/>
          </w:pgBorders>
          <w:pgNumType w:fmt="decimal"/>
          <w:cols w:space="720" w:num="1"/>
          <w:docGrid w:linePitch="312" w:charSpace="0"/>
        </w:sectPr>
      </w:pPr>
    </w:p>
    <w:p>
      <w:pPr>
        <w:rPr>
          <w:rFonts w:hint="eastAsia" w:ascii="宋体" w:hAnsi="宋体" w:cs="宋体"/>
          <w:b/>
          <w:bCs/>
          <w:color w:val="auto"/>
          <w:sz w:val="32"/>
          <w:szCs w:val="32"/>
          <w:lang w:val="en-US" w:eastAsia="zh-CN"/>
        </w:rPr>
      </w:pPr>
      <w:r>
        <w:rPr>
          <w:rFonts w:hint="eastAsia" w:ascii="宋体" w:hAnsi="宋体" w:eastAsia="宋体" w:cs="宋体"/>
          <w:b/>
          <w:bCs/>
          <w:color w:val="auto"/>
          <w:sz w:val="32"/>
          <w:szCs w:val="32"/>
        </w:rPr>
        <w:t>表</w:t>
      </w:r>
      <w:r>
        <w:rPr>
          <w:rFonts w:hint="eastAsia" w:ascii="宋体" w:hAnsi="宋体" w:cs="宋体"/>
          <w:b/>
          <w:bCs/>
          <w:color w:val="auto"/>
          <w:sz w:val="32"/>
          <w:szCs w:val="32"/>
          <w:lang w:val="en-US" w:eastAsia="zh-CN"/>
        </w:rPr>
        <w:t>8:</w:t>
      </w:r>
    </w:p>
    <w:p>
      <w:pPr>
        <w:rPr>
          <w:rFonts w:hint="eastAsia"/>
          <w:color w:val="548DD4"/>
          <w:lang w:val="en-US" w:eastAsia="zh-CN"/>
        </w:rPr>
      </w:pPr>
    </w:p>
    <w:p>
      <w:pPr>
        <w:pStyle w:val="6"/>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lang w:val="en-US" w:eastAsia="zh-CN"/>
        </w:rPr>
      </w:pPr>
      <w:bookmarkStart w:id="89" w:name="_Toc11954"/>
      <w:bookmarkStart w:id="90" w:name="_Toc9667"/>
      <w:bookmarkStart w:id="91" w:name="_Toc23466"/>
      <w:r>
        <w:rPr>
          <w:rFonts w:hint="eastAsia" w:ascii="宋体" w:hAnsi="宋体" w:eastAsia="宋体" w:cs="宋体"/>
          <w:lang w:val="en-US" w:eastAsia="zh-CN"/>
        </w:rPr>
        <w:t>8、具备《中华人民共和国政府采购法》第二十二条规定条件的承诺书</w:t>
      </w:r>
      <w:bookmarkEnd w:id="89"/>
      <w:bookmarkEnd w:id="90"/>
      <w:bookmarkEnd w:id="9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致：</w:t>
      </w:r>
      <w:r>
        <w:rPr>
          <w:rFonts w:hint="eastAsia" w:ascii="宋体" w:hAnsi="宋体" w:cs="宋体"/>
          <w:b/>
          <w:bCs/>
          <w:color w:val="auto"/>
          <w:sz w:val="24"/>
          <w:szCs w:val="24"/>
          <w:lang w:eastAsia="zh-CN"/>
        </w:rPr>
        <w:t>海南政辉招投标代理有限公司</w:t>
      </w:r>
      <w:r>
        <w:rPr>
          <w:rFonts w:hint="eastAsia" w:ascii="宋体" w:hAnsi="宋体" w:eastAsia="宋体" w:cs="宋体"/>
          <w:color w:val="auto"/>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本公司作为参加本次</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rPr>
        <w:t>（项目编号为：</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rPr>
        <w:t>）的</w:t>
      </w:r>
      <w:r>
        <w:rPr>
          <w:rFonts w:hint="eastAsia" w:ascii="宋体" w:hAnsi="宋体" w:eastAsia="宋体" w:cs="宋体"/>
          <w:color w:val="auto"/>
          <w:sz w:val="24"/>
          <w:szCs w:val="24"/>
          <w:lang w:val="en-US" w:eastAsia="zh-CN"/>
        </w:rPr>
        <w:t>供应商</w:t>
      </w:r>
      <w:r>
        <w:rPr>
          <w:rFonts w:hint="eastAsia" w:ascii="宋体" w:hAnsi="宋体" w:eastAsia="宋体" w:cs="宋体"/>
          <w:color w:val="auto"/>
          <w:sz w:val="24"/>
          <w:szCs w:val="24"/>
        </w:rPr>
        <w:t xml:space="preserve">，现郑重承诺具备以下条件（《中华人民共和国政府采购法》第二十二条）： </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具有独立承担民事责任的能力； </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具有良好的商业信誉和健全的财务会计制度； </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具有履行合同所必需的设备和专业技术能力； </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具有依法缴纳税收和社会保障资金的良好记录； </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参加本次政府采购活动前三年内，在经营活动中没有重大违法违规记录；</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FF0000"/>
          <w:sz w:val="24"/>
          <w:szCs w:val="24"/>
        </w:rPr>
      </w:pPr>
      <w:r>
        <w:rPr>
          <w:rFonts w:hint="eastAsia" w:ascii="宋体" w:hAnsi="宋体" w:eastAsia="宋体" w:cs="宋体"/>
          <w:color w:val="auto"/>
          <w:sz w:val="24"/>
          <w:szCs w:val="24"/>
        </w:rPr>
        <w:t>法律、行政法规规定的其他条件。</w:t>
      </w:r>
      <w:r>
        <w:rPr>
          <w:rFonts w:hint="eastAsia" w:ascii="宋体" w:hAnsi="宋体" w:eastAsia="宋体" w:cs="宋体"/>
          <w:color w:val="FF0000"/>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本公司对上述承诺的真实性负责。如有虚假，将依法承担相应责任。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特此</w:t>
      </w:r>
      <w:r>
        <w:rPr>
          <w:rFonts w:hint="eastAsia" w:ascii="宋体" w:hAnsi="宋体" w:eastAsia="宋体" w:cs="宋体"/>
          <w:color w:val="auto"/>
          <w:sz w:val="24"/>
          <w:szCs w:val="24"/>
          <w:lang w:val="en-US" w:eastAsia="zh-CN"/>
        </w:rPr>
        <w:t>承诺</w:t>
      </w:r>
      <w:r>
        <w:rPr>
          <w:rFonts w:hint="eastAsia" w:ascii="宋体" w:hAnsi="宋体" w:eastAsia="宋体" w:cs="宋体"/>
          <w:color w:val="auto"/>
          <w:sz w:val="24"/>
          <w:szCs w:val="24"/>
        </w:rPr>
        <w:t>。</w:t>
      </w:r>
    </w:p>
    <w:p>
      <w:pPr>
        <w:pStyle w:val="8"/>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p>
    <w:p>
      <w:pPr>
        <w:pStyle w:val="8"/>
        <w:rPr>
          <w:rFonts w:hint="eastAsia"/>
        </w:rPr>
      </w:pPr>
    </w:p>
    <w:p>
      <w:pPr>
        <w:shd w:val="clear" w:color="auto" w:fill="FFFFFF"/>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投标人</w:t>
      </w:r>
      <w:r>
        <w:rPr>
          <w:rFonts w:hint="eastAsia" w:ascii="宋体" w:hAnsi="宋体" w:eastAsia="宋体" w:cs="宋体"/>
          <w:color w:val="auto"/>
          <w:sz w:val="24"/>
          <w:szCs w:val="24"/>
        </w:rPr>
        <w:t>名称：</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w:t>
      </w:r>
      <w:r>
        <w:rPr>
          <w:rFonts w:hint="eastAsia" w:ascii="宋体" w:hAnsi="宋体" w:eastAsia="宋体" w:cs="宋体"/>
          <w:color w:val="auto"/>
          <w:sz w:val="24"/>
          <w:szCs w:val="24"/>
          <w:u w:val="single"/>
          <w:lang w:val="en-US" w:eastAsia="zh-CN"/>
        </w:rPr>
        <w:t>盖</w:t>
      </w:r>
      <w:r>
        <w:rPr>
          <w:rFonts w:hint="eastAsia" w:ascii="宋体" w:hAnsi="宋体" w:eastAsia="宋体" w:cs="宋体"/>
          <w:color w:val="auto"/>
          <w:sz w:val="24"/>
          <w:szCs w:val="24"/>
          <w:u w:val="single"/>
        </w:rPr>
        <w:t>章）</w:t>
      </w:r>
    </w:p>
    <w:p>
      <w:pPr>
        <w:shd w:val="clear" w:color="auto" w:fill="FFFFFF"/>
        <w:snapToGrid w:val="0"/>
        <w:spacing w:line="36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地址：</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邮编：</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p>
    <w:p>
      <w:pPr>
        <w:shd w:val="clear" w:color="auto" w:fill="FFFFFF"/>
        <w:snapToGrid w:val="0"/>
        <w:spacing w:line="36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电话：</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传真：</w:t>
      </w:r>
      <w:r>
        <w:rPr>
          <w:rFonts w:hint="eastAsia" w:ascii="宋体" w:hAnsi="宋体" w:eastAsia="宋体" w:cs="宋体"/>
          <w:color w:val="auto"/>
          <w:sz w:val="24"/>
          <w:szCs w:val="24"/>
          <w:u w:val="single"/>
        </w:rPr>
        <w:t xml:space="preserve">             </w:t>
      </w:r>
    </w:p>
    <w:p>
      <w:pPr>
        <w:shd w:val="clear" w:color="auto" w:fill="FFFFFF"/>
        <w:snapToGrid w:val="0"/>
        <w:spacing w:line="36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授权代表：</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（签</w:t>
      </w:r>
      <w:r>
        <w:rPr>
          <w:rFonts w:hint="eastAsia" w:ascii="宋体" w:hAnsi="宋体" w:eastAsia="宋体" w:cs="宋体"/>
          <w:color w:val="auto"/>
          <w:sz w:val="24"/>
          <w:szCs w:val="24"/>
          <w:u w:val="single"/>
          <w:lang w:val="en-US" w:eastAsia="zh-CN"/>
        </w:rPr>
        <w:t>名</w:t>
      </w:r>
      <w:r>
        <w:rPr>
          <w:rFonts w:hint="eastAsia" w:ascii="宋体" w:hAnsi="宋体" w:eastAsia="宋体" w:cs="宋体"/>
          <w:color w:val="auto"/>
          <w:sz w:val="24"/>
          <w:szCs w:val="24"/>
          <w:u w:val="single"/>
        </w:rPr>
        <w:t>或私章）</w:t>
      </w:r>
      <w:r>
        <w:rPr>
          <w:rFonts w:hint="eastAsia" w:ascii="宋体" w:hAnsi="宋体" w:eastAsia="宋体" w:cs="宋体"/>
          <w:color w:val="auto"/>
          <w:sz w:val="24"/>
          <w:szCs w:val="24"/>
        </w:rPr>
        <w:t>职务：</w:t>
      </w:r>
      <w:r>
        <w:rPr>
          <w:rFonts w:hint="eastAsia" w:ascii="宋体" w:hAnsi="宋体" w:eastAsia="宋体" w:cs="宋体"/>
          <w:color w:val="auto"/>
          <w:sz w:val="24"/>
          <w:szCs w:val="24"/>
          <w:u w:val="single"/>
        </w:rPr>
        <w:t xml:space="preserve">             </w:t>
      </w:r>
    </w:p>
    <w:p>
      <w:pPr>
        <w:shd w:val="clear" w:color="auto" w:fill="FFFFFF"/>
        <w:snapToGrid w:val="0"/>
        <w:spacing w:line="36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日期：</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p>
    <w:p>
      <w:pPr>
        <w:shd w:val="clear" w:color="auto" w:fill="FFFFFF"/>
        <w:snapToGrid w:val="0"/>
        <w:spacing w:line="360" w:lineRule="auto"/>
        <w:ind w:firstLine="482" w:firstLineChars="200"/>
        <w:jc w:val="center"/>
        <w:rPr>
          <w:rFonts w:hint="eastAsia" w:ascii="宋体" w:hAnsi="宋体" w:eastAsia="宋体" w:cs="宋体"/>
          <w:b/>
          <w:color w:val="auto"/>
          <w:sz w:val="24"/>
          <w:szCs w:val="24"/>
        </w:rPr>
        <w:sectPr>
          <w:footnotePr>
            <w:pos w:val="beneathText"/>
          </w:footnotePr>
          <w:pgSz w:w="11906" w:h="16838"/>
          <w:pgMar w:top="1440" w:right="1797" w:bottom="1440" w:left="1797" w:header="1134" w:footer="964" w:gutter="0"/>
          <w:pgBorders w:offsetFrom="page">
            <w:top w:val="none" w:sz="0" w:space="0"/>
            <w:left w:val="none" w:sz="0" w:space="0"/>
            <w:bottom w:val="none" w:sz="0" w:space="0"/>
            <w:right w:val="none" w:sz="0" w:space="0"/>
          </w:pgBorders>
          <w:pgNumType w:fmt="decimal"/>
          <w:cols w:space="720" w:num="1"/>
          <w:docGrid w:linePitch="312" w:charSpace="0"/>
        </w:sectPr>
      </w:pPr>
    </w:p>
    <w:p>
      <w:pPr>
        <w:rPr>
          <w:rFonts w:hint="eastAsia" w:ascii="宋体" w:hAnsi="宋体" w:cs="宋体"/>
          <w:b/>
          <w:bCs/>
          <w:color w:val="auto"/>
          <w:sz w:val="32"/>
          <w:szCs w:val="32"/>
          <w:lang w:val="en-US" w:eastAsia="zh-CN"/>
        </w:rPr>
      </w:pPr>
      <w:r>
        <w:rPr>
          <w:rFonts w:hint="eastAsia" w:ascii="宋体" w:hAnsi="宋体" w:eastAsia="宋体" w:cs="宋体"/>
          <w:b/>
          <w:bCs/>
          <w:color w:val="auto"/>
          <w:sz w:val="32"/>
          <w:szCs w:val="32"/>
        </w:rPr>
        <w:t>表</w:t>
      </w:r>
      <w:r>
        <w:rPr>
          <w:rFonts w:hint="eastAsia" w:ascii="宋体" w:hAnsi="宋体" w:cs="宋体"/>
          <w:b/>
          <w:bCs/>
          <w:color w:val="auto"/>
          <w:sz w:val="32"/>
          <w:szCs w:val="32"/>
          <w:lang w:val="en-US" w:eastAsia="zh-CN"/>
        </w:rPr>
        <w:t>9:</w:t>
      </w:r>
    </w:p>
    <w:p>
      <w:pPr>
        <w:rPr>
          <w:rFonts w:hint="eastAsia"/>
          <w:lang w:val="en-US" w:eastAsia="zh-CN"/>
        </w:rPr>
      </w:pPr>
    </w:p>
    <w:p>
      <w:pPr>
        <w:pStyle w:val="6"/>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lang w:val="en-US" w:eastAsia="zh-CN"/>
        </w:rPr>
      </w:pPr>
      <w:bookmarkStart w:id="92" w:name="_Toc12105"/>
      <w:bookmarkStart w:id="93" w:name="_Toc10292"/>
      <w:bookmarkStart w:id="94" w:name="_Toc25815"/>
      <w:r>
        <w:rPr>
          <w:rFonts w:hint="eastAsia" w:ascii="宋体" w:hAnsi="宋体" w:eastAsia="宋体" w:cs="宋体"/>
          <w:lang w:val="en-US" w:eastAsia="zh-CN"/>
        </w:rPr>
        <w:t>9、不存在与参加本项目采购活动的其他供应商单位负责人为同一人或者存在直接控股、管理关系的承诺函</w:t>
      </w:r>
      <w:bookmarkEnd w:id="92"/>
      <w:bookmarkEnd w:id="93"/>
      <w:bookmarkEnd w:id="94"/>
    </w:p>
    <w:p>
      <w:pPr>
        <w:rPr>
          <w:rFonts w:hint="eastAsia" w:ascii="宋体" w:hAnsi="宋体" w:eastAsia="宋体" w:cs="宋体"/>
          <w:sz w:val="24"/>
          <w:szCs w:val="24"/>
        </w:rPr>
      </w:pPr>
    </w:p>
    <w:p>
      <w:pPr>
        <w:bidi w:val="0"/>
        <w:spacing w:line="360" w:lineRule="auto"/>
        <w:rPr>
          <w:rFonts w:hint="eastAsia"/>
          <w:b/>
          <w:bCs/>
          <w:sz w:val="28"/>
          <w:szCs w:val="24"/>
          <w:lang w:eastAsia="zh-CN"/>
        </w:rPr>
      </w:pPr>
      <w:r>
        <w:rPr>
          <w:rFonts w:hint="eastAsia"/>
          <w:b/>
          <w:bCs/>
          <w:sz w:val="28"/>
          <w:szCs w:val="24"/>
        </w:rPr>
        <w:t>致：</w:t>
      </w:r>
      <w:r>
        <w:rPr>
          <w:rFonts w:hint="eastAsia"/>
          <w:b/>
          <w:bCs/>
          <w:sz w:val="28"/>
          <w:szCs w:val="24"/>
          <w:lang w:eastAsia="zh-CN"/>
        </w:rPr>
        <w:t>海南政辉招投标代理有限公司</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为响应贵公司组织的</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rPr>
        <w:t>（项目编号为：</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rPr>
        <w:t>）货物及服务的招标采购活动，我司</w:t>
      </w:r>
      <w:r>
        <w:rPr>
          <w:rFonts w:hint="eastAsia" w:ascii="宋体" w:hAnsi="宋体" w:eastAsia="宋体" w:cs="宋体"/>
          <w:color w:val="auto"/>
          <w:sz w:val="24"/>
          <w:szCs w:val="24"/>
          <w:lang w:val="en-US" w:eastAsia="zh-CN"/>
        </w:rPr>
        <w:t>郑重承诺</w:t>
      </w:r>
      <w:r>
        <w:rPr>
          <w:rFonts w:hint="eastAsia" w:ascii="宋体" w:hAnsi="宋体" w:eastAsia="宋体" w:cs="宋体"/>
          <w:color w:val="auto"/>
          <w:sz w:val="24"/>
          <w:szCs w:val="24"/>
        </w:rPr>
        <w:t>如下：</w:t>
      </w:r>
    </w:p>
    <w:p>
      <w:pPr>
        <w:spacing w:line="360" w:lineRule="auto"/>
        <w:ind w:firstLine="482" w:firstLineChars="200"/>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我公司在参加该项目招标采购活动中，不存在与参加本项目采购活动的其他供应商单位负责人为同一人或者存在直接控股、管理关系。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本公司对上述承诺的真实性负责。如有虚假，将依法承担相应责任。</w:t>
      </w:r>
    </w:p>
    <w:p>
      <w:pPr>
        <w:spacing w:line="360" w:lineRule="auto"/>
        <w:ind w:firstLine="480" w:firstLineChars="200"/>
        <w:rPr>
          <w:rFonts w:hint="eastAsia" w:ascii="宋体" w:hAnsi="宋体" w:eastAsia="宋体" w:cs="宋体"/>
          <w:color w:val="auto"/>
          <w:sz w:val="24"/>
          <w:szCs w:val="24"/>
        </w:rPr>
      </w:pP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特此</w:t>
      </w:r>
      <w:r>
        <w:rPr>
          <w:rFonts w:hint="eastAsia" w:ascii="宋体" w:hAnsi="宋体" w:cs="宋体"/>
          <w:color w:val="auto"/>
          <w:sz w:val="24"/>
          <w:szCs w:val="24"/>
          <w:lang w:val="en-US" w:eastAsia="zh-CN"/>
        </w:rPr>
        <w:t>承诺</w:t>
      </w:r>
      <w:r>
        <w:rPr>
          <w:rFonts w:hint="eastAsia" w:ascii="宋体" w:hAnsi="宋体" w:eastAsia="宋体" w:cs="宋体"/>
          <w:color w:val="auto"/>
          <w:sz w:val="24"/>
          <w:szCs w:val="24"/>
        </w:rPr>
        <w:t>。</w:t>
      </w:r>
    </w:p>
    <w:p>
      <w:pPr>
        <w:pStyle w:val="8"/>
        <w:rPr>
          <w:rFonts w:hint="eastAsia"/>
        </w:rPr>
      </w:pPr>
    </w:p>
    <w:p>
      <w:pPr>
        <w:spacing w:line="440" w:lineRule="exact"/>
        <w:ind w:firstLine="480" w:firstLineChars="200"/>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spacing w:line="440" w:lineRule="exact"/>
        <w:ind w:firstLine="576"/>
        <w:rPr>
          <w:rFonts w:hint="eastAsia" w:ascii="宋体" w:hAnsi="宋体" w:eastAsia="宋体" w:cs="宋体"/>
          <w:color w:val="auto"/>
          <w:sz w:val="24"/>
          <w:szCs w:val="24"/>
        </w:rPr>
      </w:pPr>
    </w:p>
    <w:p>
      <w:pPr>
        <w:shd w:val="clear" w:color="auto" w:fill="FFFFFF"/>
        <w:snapToGrid w:val="0"/>
        <w:spacing w:line="360" w:lineRule="auto"/>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投标人</w:t>
      </w:r>
      <w:r>
        <w:rPr>
          <w:rFonts w:hint="eastAsia" w:ascii="宋体" w:hAnsi="宋体" w:eastAsia="宋体" w:cs="宋体"/>
          <w:color w:val="auto"/>
          <w:sz w:val="24"/>
          <w:szCs w:val="24"/>
        </w:rPr>
        <w:t>名称：</w:t>
      </w:r>
      <w:r>
        <w:rPr>
          <w:rFonts w:hint="eastAsia" w:ascii="宋体" w:hAnsi="宋体" w:eastAsia="宋体" w:cs="宋体"/>
          <w:color w:val="auto"/>
          <w:sz w:val="24"/>
          <w:szCs w:val="24"/>
          <w:u w:val="single"/>
        </w:rPr>
        <w:t xml:space="preserve">                 （盖章）</w:t>
      </w:r>
    </w:p>
    <w:p>
      <w:pPr>
        <w:shd w:val="clear" w:color="auto" w:fill="FFFFFF"/>
        <w:snapToGrid w:val="0"/>
        <w:spacing w:line="36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地址：</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邮编：</w:t>
      </w:r>
      <w:r>
        <w:rPr>
          <w:rFonts w:hint="eastAsia" w:ascii="宋体" w:hAnsi="宋体" w:eastAsia="宋体" w:cs="宋体"/>
          <w:color w:val="auto"/>
          <w:sz w:val="24"/>
          <w:szCs w:val="24"/>
          <w:u w:val="single"/>
        </w:rPr>
        <w:t xml:space="preserve">             </w:t>
      </w:r>
    </w:p>
    <w:p>
      <w:pPr>
        <w:shd w:val="clear" w:color="auto" w:fill="FFFFFF"/>
        <w:snapToGrid w:val="0"/>
        <w:spacing w:line="36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电话：</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传真：</w:t>
      </w:r>
      <w:r>
        <w:rPr>
          <w:rFonts w:hint="eastAsia" w:ascii="宋体" w:hAnsi="宋体" w:eastAsia="宋体" w:cs="宋体"/>
          <w:color w:val="auto"/>
          <w:sz w:val="24"/>
          <w:szCs w:val="24"/>
          <w:u w:val="single"/>
        </w:rPr>
        <w:t xml:space="preserve">             </w:t>
      </w:r>
    </w:p>
    <w:p>
      <w:pPr>
        <w:shd w:val="clear" w:color="auto" w:fill="FFFFFF"/>
        <w:snapToGrid w:val="0"/>
        <w:spacing w:line="36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授权代表：</w:t>
      </w:r>
      <w:r>
        <w:rPr>
          <w:rFonts w:hint="eastAsia" w:ascii="宋体" w:hAnsi="宋体" w:eastAsia="宋体" w:cs="宋体"/>
          <w:color w:val="auto"/>
          <w:sz w:val="24"/>
          <w:szCs w:val="24"/>
          <w:u w:val="single"/>
        </w:rPr>
        <w:t xml:space="preserve">             （签</w:t>
      </w:r>
      <w:r>
        <w:rPr>
          <w:rFonts w:hint="eastAsia" w:ascii="宋体" w:hAnsi="宋体" w:eastAsia="宋体" w:cs="宋体"/>
          <w:color w:val="auto"/>
          <w:sz w:val="24"/>
          <w:szCs w:val="24"/>
          <w:u w:val="single"/>
          <w:lang w:val="en-US" w:eastAsia="zh-CN"/>
        </w:rPr>
        <w:t>名</w:t>
      </w:r>
      <w:r>
        <w:rPr>
          <w:rFonts w:hint="eastAsia" w:ascii="宋体" w:hAnsi="宋体" w:eastAsia="宋体" w:cs="宋体"/>
          <w:color w:val="auto"/>
          <w:sz w:val="24"/>
          <w:szCs w:val="24"/>
          <w:u w:val="single"/>
        </w:rPr>
        <w:t>或私章）</w:t>
      </w:r>
      <w:r>
        <w:rPr>
          <w:rFonts w:hint="eastAsia" w:ascii="宋体" w:hAnsi="宋体" w:eastAsia="宋体" w:cs="宋体"/>
          <w:color w:val="auto"/>
          <w:sz w:val="24"/>
          <w:szCs w:val="24"/>
        </w:rPr>
        <w:t>职务：</w:t>
      </w:r>
      <w:r>
        <w:rPr>
          <w:rFonts w:hint="eastAsia" w:ascii="宋体" w:hAnsi="宋体" w:eastAsia="宋体" w:cs="宋体"/>
          <w:color w:val="auto"/>
          <w:sz w:val="24"/>
          <w:szCs w:val="24"/>
          <w:u w:val="single"/>
        </w:rPr>
        <w:t xml:space="preserve">             </w:t>
      </w:r>
    </w:p>
    <w:p>
      <w:pPr>
        <w:shd w:val="clear" w:color="auto" w:fill="FFFFFF"/>
        <w:snapToGrid w:val="0"/>
        <w:spacing w:line="36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日期：</w:t>
      </w:r>
      <w:r>
        <w:rPr>
          <w:rFonts w:hint="eastAsia" w:ascii="宋体" w:hAnsi="宋体" w:eastAsia="宋体" w:cs="宋体"/>
          <w:color w:val="auto"/>
          <w:sz w:val="24"/>
          <w:szCs w:val="24"/>
          <w:u w:val="single"/>
        </w:rPr>
        <w:t xml:space="preserve">                               </w:t>
      </w:r>
    </w:p>
    <w:p>
      <w:pPr>
        <w:rPr>
          <w:rFonts w:hint="eastAsia" w:ascii="宋体" w:hAnsi="宋体" w:eastAsia="宋体" w:cs="宋体"/>
          <w:sz w:val="24"/>
          <w:szCs w:val="24"/>
        </w:rPr>
        <w:sectPr>
          <w:footnotePr>
            <w:pos w:val="beneathText"/>
          </w:footnotePr>
          <w:pgSz w:w="11906" w:h="16838"/>
          <w:pgMar w:top="1440" w:right="1797" w:bottom="1440" w:left="1797" w:header="1134" w:footer="964" w:gutter="0"/>
          <w:pgBorders w:offsetFrom="page">
            <w:top w:val="none" w:sz="0" w:space="0"/>
            <w:left w:val="none" w:sz="0" w:space="0"/>
            <w:bottom w:val="none" w:sz="0" w:space="0"/>
            <w:right w:val="none" w:sz="0" w:space="0"/>
          </w:pgBorders>
          <w:pgNumType w:fmt="decimal"/>
          <w:cols w:space="720" w:num="1"/>
          <w:docGrid w:linePitch="312" w:charSpace="0"/>
        </w:sectPr>
      </w:pPr>
    </w:p>
    <w:p>
      <w:pPr>
        <w:rPr>
          <w:rFonts w:hint="eastAsia"/>
          <w:lang w:val="en-US" w:eastAsia="zh-CN"/>
        </w:rPr>
      </w:pPr>
      <w:r>
        <w:rPr>
          <w:rFonts w:hint="eastAsia" w:ascii="宋体" w:hAnsi="宋体" w:eastAsia="宋体" w:cs="宋体"/>
          <w:b/>
          <w:bCs/>
          <w:color w:val="auto"/>
          <w:sz w:val="32"/>
          <w:szCs w:val="32"/>
        </w:rPr>
        <w:t>表</w:t>
      </w:r>
      <w:r>
        <w:rPr>
          <w:rFonts w:hint="eastAsia" w:ascii="宋体" w:hAnsi="宋体" w:cs="宋体"/>
          <w:b/>
          <w:bCs/>
          <w:color w:val="auto"/>
          <w:sz w:val="32"/>
          <w:szCs w:val="32"/>
          <w:lang w:val="en-US" w:eastAsia="zh-CN"/>
        </w:rPr>
        <w:t>10:</w:t>
      </w:r>
    </w:p>
    <w:p>
      <w:pPr>
        <w:rPr>
          <w:rFonts w:hint="eastAsia"/>
          <w:lang w:val="en-US" w:eastAsia="zh-CN"/>
        </w:rPr>
      </w:pPr>
    </w:p>
    <w:p>
      <w:pPr>
        <w:pStyle w:val="6"/>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color w:val="auto"/>
          <w:lang w:val="en-US" w:eastAsia="zh-CN"/>
        </w:rPr>
      </w:pPr>
      <w:bookmarkStart w:id="95" w:name="_Toc10835"/>
      <w:bookmarkStart w:id="96" w:name="_Toc17065"/>
      <w:bookmarkStart w:id="97" w:name="_Toc11803"/>
      <w:r>
        <w:rPr>
          <w:rFonts w:hint="eastAsia" w:ascii="宋体" w:hAnsi="宋体" w:eastAsia="宋体" w:cs="宋体"/>
          <w:color w:val="auto"/>
          <w:lang w:val="en-US" w:eastAsia="zh-CN"/>
        </w:rPr>
        <w:t>10、中小企业声明函</w:t>
      </w:r>
      <w:bookmarkEnd w:id="95"/>
      <w:bookmarkEnd w:id="96"/>
      <w:bookmarkEnd w:id="97"/>
    </w:p>
    <w:p>
      <w:pPr>
        <w:spacing w:after="0" w:line="360" w:lineRule="auto"/>
        <w:ind w:right="2"/>
        <w:jc w:val="both"/>
        <w:rPr>
          <w:rFonts w:hint="eastAsia" w:ascii="宋体" w:hAnsi="宋体" w:eastAsia="宋体" w:cs="宋体"/>
          <w:b w:val="0"/>
          <w:bCs/>
          <w:color w:val="auto"/>
          <w:sz w:val="24"/>
          <w:szCs w:val="24"/>
        </w:rPr>
      </w:pPr>
    </w:p>
    <w:p>
      <w:pPr>
        <w:spacing w:after="0" w:line="360" w:lineRule="auto"/>
        <w:ind w:right="2" w:firstLine="480" w:firstLineChars="200"/>
        <w:jc w:val="both"/>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rPr>
        <w:t>本公司(联合体)郑重声明，根据《政府采购促进中小企业发展管理办法》(财库﹝</w:t>
      </w:r>
      <w:r>
        <w:rPr>
          <w:rFonts w:hint="eastAsia" w:ascii="宋体" w:hAnsi="宋体" w:cs="宋体"/>
          <w:b w:val="0"/>
          <w:bCs/>
          <w:color w:val="auto"/>
          <w:sz w:val="24"/>
          <w:szCs w:val="24"/>
          <w:lang w:eastAsia="zh-CN"/>
        </w:rPr>
        <w:t>2021</w:t>
      </w:r>
      <w:r>
        <w:rPr>
          <w:rFonts w:hint="eastAsia" w:ascii="宋体" w:hAnsi="宋体" w:eastAsia="宋体" w:cs="宋体"/>
          <w:b w:val="0"/>
          <w:bCs/>
          <w:color w:val="auto"/>
          <w:sz w:val="24"/>
          <w:szCs w:val="24"/>
        </w:rPr>
        <w:t>﹞46号)的规定，本公司(联合体)参加</w:t>
      </w:r>
      <w:r>
        <w:rPr>
          <w:rFonts w:hint="eastAsia" w:ascii="宋体" w:hAnsi="宋体" w:eastAsia="宋体" w:cs="宋体"/>
          <w:b w:val="0"/>
          <w:bCs/>
          <w:color w:val="auto"/>
          <w:sz w:val="24"/>
          <w:szCs w:val="24"/>
          <w:u w:val="single"/>
          <w:lang w:val="en-US" w:eastAsia="zh-CN"/>
        </w:rPr>
        <w:t xml:space="preserve"> </w:t>
      </w:r>
      <w:r>
        <w:rPr>
          <w:rFonts w:hint="eastAsia" w:ascii="宋体" w:hAnsi="宋体" w:eastAsia="宋体" w:cs="宋体"/>
          <w:b w:val="0"/>
          <w:bCs/>
          <w:color w:val="auto"/>
          <w:sz w:val="24"/>
          <w:szCs w:val="24"/>
          <w:u w:val="single"/>
        </w:rPr>
        <w:t>(单位名称</w:t>
      </w:r>
      <w:r>
        <w:rPr>
          <w:rFonts w:hint="eastAsia" w:ascii="宋体" w:hAnsi="宋体" w:eastAsia="宋体" w:cs="宋体"/>
          <w:b w:val="0"/>
          <w:bCs/>
          <w:color w:val="auto"/>
          <w:sz w:val="24"/>
          <w:szCs w:val="24"/>
        </w:rPr>
        <w:t>)的</w:t>
      </w:r>
      <w:r>
        <w:rPr>
          <w:rFonts w:hint="eastAsia" w:ascii="宋体" w:hAnsi="宋体" w:eastAsia="宋体" w:cs="宋体"/>
          <w:b w:val="0"/>
          <w:bCs/>
          <w:color w:val="auto"/>
          <w:sz w:val="24"/>
          <w:szCs w:val="24"/>
          <w:u w:val="single"/>
          <w:lang w:val="en-US" w:eastAsia="zh-CN"/>
        </w:rPr>
        <w:t xml:space="preserve">  </w:t>
      </w:r>
      <w:r>
        <w:rPr>
          <w:rFonts w:hint="eastAsia" w:ascii="宋体" w:hAnsi="宋体" w:eastAsia="宋体" w:cs="宋体"/>
          <w:b w:val="0"/>
          <w:bCs/>
          <w:color w:val="auto"/>
          <w:sz w:val="24"/>
          <w:szCs w:val="24"/>
          <w:u w:val="single"/>
        </w:rPr>
        <w:t>(项目名称)</w:t>
      </w:r>
      <w:r>
        <w:rPr>
          <w:rFonts w:hint="eastAsia" w:ascii="宋体" w:hAnsi="宋体" w:eastAsia="宋体" w:cs="宋体"/>
          <w:b w:val="0"/>
          <w:bCs/>
          <w:color w:val="auto"/>
          <w:sz w:val="24"/>
          <w:szCs w:val="24"/>
        </w:rPr>
        <w:t>采购活动，提供的货物全部由符合政策要求的中小企业制造。相关企业（含联合体中的中小企业、签订分包意向协议的中小企业）的具体情况如下：</w:t>
      </w:r>
    </w:p>
    <w:p>
      <w:pPr>
        <w:spacing w:after="0" w:line="360" w:lineRule="auto"/>
        <w:ind w:right="2" w:firstLine="480" w:firstLineChars="200"/>
        <w:jc w:val="both"/>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rPr>
        <w:t>1.</w:t>
      </w:r>
      <w:r>
        <w:rPr>
          <w:rFonts w:hint="eastAsia" w:ascii="宋体" w:hAnsi="宋体" w:eastAsia="宋体" w:cs="宋体"/>
          <w:b w:val="0"/>
          <w:bCs/>
          <w:color w:val="auto"/>
          <w:sz w:val="24"/>
          <w:szCs w:val="24"/>
          <w:u w:val="single"/>
          <w:lang w:val="en-US" w:eastAsia="zh-CN"/>
        </w:rPr>
        <w:t xml:space="preserve">  </w:t>
      </w:r>
      <w:r>
        <w:rPr>
          <w:rFonts w:hint="eastAsia" w:ascii="宋体" w:hAnsi="宋体" w:eastAsia="宋体" w:cs="宋体"/>
          <w:b w:val="0"/>
          <w:bCs/>
          <w:color w:val="auto"/>
          <w:sz w:val="24"/>
          <w:szCs w:val="24"/>
          <w:u w:val="single"/>
        </w:rPr>
        <w:t>(标的名称)</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rPr>
        <w:t>属于</w:t>
      </w:r>
      <w:r>
        <w:rPr>
          <w:rFonts w:hint="eastAsia" w:ascii="宋体" w:hAnsi="宋体" w:eastAsia="宋体" w:cs="宋体"/>
          <w:b w:val="0"/>
          <w:bCs/>
          <w:color w:val="auto"/>
          <w:sz w:val="24"/>
          <w:szCs w:val="24"/>
          <w:u w:val="single"/>
          <w:lang w:val="en-US" w:eastAsia="zh-CN"/>
        </w:rPr>
        <w:t xml:space="preserve">  </w:t>
      </w:r>
      <w:r>
        <w:rPr>
          <w:rFonts w:hint="eastAsia" w:ascii="宋体" w:hAnsi="宋体" w:eastAsia="宋体" w:cs="宋体"/>
          <w:b w:val="0"/>
          <w:bCs/>
          <w:color w:val="auto"/>
          <w:sz w:val="24"/>
          <w:szCs w:val="24"/>
          <w:u w:val="single"/>
        </w:rPr>
        <w:t>(采购文件中明确的所属行业)</w:t>
      </w:r>
      <w:r>
        <w:rPr>
          <w:rFonts w:hint="eastAsia" w:ascii="宋体" w:hAnsi="宋体" w:eastAsia="宋体" w:cs="宋体"/>
          <w:b w:val="0"/>
          <w:bCs/>
          <w:color w:val="auto"/>
          <w:sz w:val="24"/>
          <w:szCs w:val="24"/>
          <w:u w:val="none"/>
          <w:lang w:eastAsia="zh-CN"/>
        </w:rPr>
        <w:t>；制造商为</w:t>
      </w:r>
      <w:r>
        <w:rPr>
          <w:rFonts w:hint="eastAsia" w:ascii="宋体" w:hAnsi="宋体" w:eastAsia="宋体" w:cs="宋体"/>
          <w:b w:val="0"/>
          <w:bCs/>
          <w:color w:val="auto"/>
          <w:sz w:val="24"/>
          <w:szCs w:val="24"/>
          <w:u w:val="single"/>
        </w:rPr>
        <w:t>(企业名称)</w:t>
      </w:r>
      <w:r>
        <w:rPr>
          <w:rFonts w:hint="eastAsia" w:ascii="宋体" w:hAnsi="宋体" w:eastAsia="宋体" w:cs="宋体"/>
          <w:b w:val="0"/>
          <w:bCs/>
          <w:color w:val="auto"/>
          <w:sz w:val="24"/>
          <w:szCs w:val="24"/>
        </w:rPr>
        <w:t>，从业人员</w:t>
      </w:r>
      <w:r>
        <w:rPr>
          <w:rFonts w:hint="eastAsia" w:ascii="宋体" w:hAnsi="宋体" w:eastAsia="宋体" w:cs="宋体"/>
          <w:b w:val="0"/>
          <w:bCs/>
          <w:color w:val="auto"/>
          <w:sz w:val="24"/>
          <w:szCs w:val="24"/>
          <w:u w:val="single"/>
          <w:lang w:val="en-US" w:eastAsia="zh-CN"/>
        </w:rPr>
        <w:t xml:space="preserve">   </w:t>
      </w:r>
      <w:r>
        <w:rPr>
          <w:rFonts w:hint="eastAsia" w:ascii="宋体" w:hAnsi="宋体" w:eastAsia="宋体" w:cs="宋体"/>
          <w:b w:val="0"/>
          <w:bCs/>
          <w:color w:val="auto"/>
          <w:sz w:val="24"/>
          <w:szCs w:val="24"/>
        </w:rPr>
        <w:t>人， 营业收入为</w:t>
      </w:r>
      <w:r>
        <w:rPr>
          <w:rFonts w:hint="eastAsia" w:ascii="宋体" w:hAnsi="宋体" w:eastAsia="宋体" w:cs="宋体"/>
          <w:b w:val="0"/>
          <w:bCs/>
          <w:color w:val="auto"/>
          <w:sz w:val="24"/>
          <w:szCs w:val="24"/>
          <w:u w:val="single"/>
          <w:lang w:val="en-US" w:eastAsia="zh-CN"/>
        </w:rPr>
        <w:t xml:space="preserve">     </w:t>
      </w:r>
      <w:r>
        <w:rPr>
          <w:rFonts w:hint="eastAsia" w:ascii="宋体" w:hAnsi="宋体" w:eastAsia="宋体" w:cs="宋体"/>
          <w:b w:val="0"/>
          <w:bCs/>
          <w:color w:val="auto"/>
          <w:sz w:val="24"/>
          <w:szCs w:val="24"/>
        </w:rPr>
        <w:t>万元，资产总额为</w:t>
      </w:r>
      <w:r>
        <w:rPr>
          <w:rFonts w:hint="eastAsia" w:ascii="宋体" w:hAnsi="宋体" w:eastAsia="宋体" w:cs="宋体"/>
          <w:b w:val="0"/>
          <w:bCs/>
          <w:color w:val="auto"/>
          <w:sz w:val="24"/>
          <w:szCs w:val="24"/>
          <w:u w:val="single"/>
          <w:lang w:val="en-US" w:eastAsia="zh-CN"/>
        </w:rPr>
        <w:t xml:space="preserve">    </w:t>
      </w:r>
      <w:r>
        <w:rPr>
          <w:rFonts w:hint="eastAsia" w:ascii="宋体" w:hAnsi="宋体" w:eastAsia="宋体" w:cs="宋体"/>
          <w:b w:val="0"/>
          <w:bCs/>
          <w:color w:val="auto"/>
          <w:sz w:val="24"/>
          <w:szCs w:val="24"/>
        </w:rPr>
        <w:t>万元¹，属于</w:t>
      </w:r>
      <w:r>
        <w:rPr>
          <w:rFonts w:hint="eastAsia" w:ascii="宋体" w:hAnsi="宋体" w:eastAsia="宋体" w:cs="宋体"/>
          <w:b w:val="0"/>
          <w:bCs/>
          <w:color w:val="auto"/>
          <w:sz w:val="24"/>
          <w:szCs w:val="24"/>
          <w:u w:val="single"/>
        </w:rPr>
        <w:t>(中型企业</w:t>
      </w:r>
      <w:r>
        <w:rPr>
          <w:rFonts w:hint="eastAsia" w:ascii="宋体" w:hAnsi="宋体" w:eastAsia="宋体" w:cs="宋体"/>
          <w:b w:val="0"/>
          <w:bCs/>
          <w:color w:val="auto"/>
          <w:sz w:val="24"/>
          <w:szCs w:val="24"/>
          <w:u w:val="single"/>
          <w:lang w:eastAsia="zh-CN"/>
        </w:rPr>
        <w:t>、</w:t>
      </w:r>
      <w:r>
        <w:rPr>
          <w:rFonts w:hint="eastAsia" w:ascii="宋体" w:hAnsi="宋体" w:eastAsia="宋体" w:cs="宋体"/>
          <w:b w:val="0"/>
          <w:bCs/>
          <w:color w:val="auto"/>
          <w:sz w:val="24"/>
          <w:szCs w:val="24"/>
          <w:u w:val="single"/>
        </w:rPr>
        <w:t>小型企业、微型企业</w:t>
      </w:r>
      <w:r>
        <w:rPr>
          <w:rFonts w:hint="eastAsia" w:ascii="宋体" w:hAnsi="宋体" w:eastAsia="宋体" w:cs="宋体"/>
          <w:b w:val="0"/>
          <w:bCs/>
          <w:color w:val="auto"/>
          <w:sz w:val="24"/>
          <w:szCs w:val="24"/>
          <w:u w:val="single"/>
          <w:lang w:eastAsia="zh-CN"/>
        </w:rPr>
        <w:t>）</w:t>
      </w:r>
      <w:r>
        <w:rPr>
          <w:rFonts w:hint="eastAsia" w:ascii="宋体" w:hAnsi="宋体" w:eastAsia="宋体" w:cs="宋体"/>
          <w:b w:val="0"/>
          <w:bCs/>
          <w:color w:val="auto"/>
          <w:sz w:val="24"/>
          <w:szCs w:val="24"/>
          <w:lang w:eastAsia="zh-CN"/>
        </w:rPr>
        <w:t>；</w:t>
      </w:r>
    </w:p>
    <w:p>
      <w:pPr>
        <w:spacing w:after="0" w:line="360" w:lineRule="auto"/>
        <w:ind w:right="2" w:firstLine="480" w:firstLineChars="200"/>
        <w:jc w:val="both"/>
        <w:rPr>
          <w:rFonts w:hint="eastAsia" w:ascii="宋体" w:hAnsi="宋体" w:eastAsia="宋体" w:cs="宋体"/>
          <w:b w:val="0"/>
          <w:bCs/>
          <w:color w:val="auto"/>
          <w:sz w:val="24"/>
          <w:szCs w:val="24"/>
          <w:u w:val="single"/>
          <w:lang w:eastAsia="zh-CN"/>
        </w:rPr>
      </w:pPr>
      <w:r>
        <w:rPr>
          <w:rFonts w:hint="eastAsia" w:ascii="宋体" w:hAnsi="宋体" w:eastAsia="宋体" w:cs="宋体"/>
          <w:b w:val="0"/>
          <w:bCs/>
          <w:color w:val="auto"/>
          <w:sz w:val="24"/>
          <w:szCs w:val="24"/>
          <w:lang w:val="en-US" w:eastAsia="zh-CN"/>
        </w:rPr>
        <w:t>2</w:t>
      </w:r>
      <w:r>
        <w:rPr>
          <w:rFonts w:hint="eastAsia" w:ascii="宋体" w:hAnsi="宋体" w:eastAsia="宋体" w:cs="宋体"/>
          <w:b w:val="0"/>
          <w:bCs/>
          <w:color w:val="auto"/>
          <w:sz w:val="24"/>
          <w:szCs w:val="24"/>
        </w:rPr>
        <w:t>.</w:t>
      </w:r>
      <w:r>
        <w:rPr>
          <w:rFonts w:hint="eastAsia" w:ascii="宋体" w:hAnsi="宋体" w:eastAsia="宋体" w:cs="宋体"/>
          <w:b w:val="0"/>
          <w:bCs/>
          <w:color w:val="auto"/>
          <w:sz w:val="24"/>
          <w:szCs w:val="24"/>
          <w:u w:val="single"/>
          <w:lang w:val="en-US" w:eastAsia="zh-CN"/>
        </w:rPr>
        <w:t xml:space="preserve">  </w:t>
      </w:r>
      <w:r>
        <w:rPr>
          <w:rFonts w:hint="eastAsia" w:ascii="宋体" w:hAnsi="宋体" w:eastAsia="宋体" w:cs="宋体"/>
          <w:b w:val="0"/>
          <w:bCs/>
          <w:color w:val="auto"/>
          <w:sz w:val="24"/>
          <w:szCs w:val="24"/>
          <w:u w:val="single"/>
        </w:rPr>
        <w:t>(标的名称)</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rPr>
        <w:t>属于</w:t>
      </w:r>
      <w:r>
        <w:rPr>
          <w:rFonts w:hint="eastAsia" w:ascii="宋体" w:hAnsi="宋体" w:eastAsia="宋体" w:cs="宋体"/>
          <w:b w:val="0"/>
          <w:bCs/>
          <w:color w:val="auto"/>
          <w:sz w:val="24"/>
          <w:szCs w:val="24"/>
          <w:u w:val="single"/>
          <w:lang w:val="en-US" w:eastAsia="zh-CN"/>
        </w:rPr>
        <w:t xml:space="preserve">  </w:t>
      </w:r>
      <w:r>
        <w:rPr>
          <w:rFonts w:hint="eastAsia" w:ascii="宋体" w:hAnsi="宋体" w:eastAsia="宋体" w:cs="宋体"/>
          <w:b w:val="0"/>
          <w:bCs/>
          <w:color w:val="auto"/>
          <w:sz w:val="24"/>
          <w:szCs w:val="24"/>
          <w:u w:val="single"/>
        </w:rPr>
        <w:t>(采购文件中明确的所属行业)</w:t>
      </w:r>
      <w:r>
        <w:rPr>
          <w:rFonts w:hint="eastAsia" w:ascii="宋体" w:hAnsi="宋体" w:eastAsia="宋体" w:cs="宋体"/>
          <w:b w:val="0"/>
          <w:bCs/>
          <w:color w:val="auto"/>
          <w:sz w:val="24"/>
          <w:szCs w:val="24"/>
          <w:u w:val="none"/>
          <w:lang w:eastAsia="zh-CN"/>
        </w:rPr>
        <w:t>；制造商为</w:t>
      </w:r>
      <w:r>
        <w:rPr>
          <w:rFonts w:hint="eastAsia" w:ascii="宋体" w:hAnsi="宋体" w:eastAsia="宋体" w:cs="宋体"/>
          <w:b w:val="0"/>
          <w:bCs/>
          <w:color w:val="auto"/>
          <w:sz w:val="24"/>
          <w:szCs w:val="24"/>
          <w:u w:val="single"/>
        </w:rPr>
        <w:t>(企业名称)</w:t>
      </w:r>
      <w:r>
        <w:rPr>
          <w:rFonts w:hint="eastAsia" w:ascii="宋体" w:hAnsi="宋体" w:eastAsia="宋体" w:cs="宋体"/>
          <w:b w:val="0"/>
          <w:bCs/>
          <w:color w:val="auto"/>
          <w:sz w:val="24"/>
          <w:szCs w:val="24"/>
        </w:rPr>
        <w:t>，从业人员</w:t>
      </w:r>
      <w:r>
        <w:rPr>
          <w:rFonts w:hint="eastAsia" w:ascii="宋体" w:hAnsi="宋体" w:eastAsia="宋体" w:cs="宋体"/>
          <w:b w:val="0"/>
          <w:bCs/>
          <w:color w:val="auto"/>
          <w:sz w:val="24"/>
          <w:szCs w:val="24"/>
          <w:u w:val="single"/>
          <w:lang w:val="en-US" w:eastAsia="zh-CN"/>
        </w:rPr>
        <w:t xml:space="preserve">   </w:t>
      </w:r>
      <w:r>
        <w:rPr>
          <w:rFonts w:hint="eastAsia" w:ascii="宋体" w:hAnsi="宋体" w:eastAsia="宋体" w:cs="宋体"/>
          <w:b w:val="0"/>
          <w:bCs/>
          <w:color w:val="auto"/>
          <w:sz w:val="24"/>
          <w:szCs w:val="24"/>
        </w:rPr>
        <w:t>人， 营业收入为</w:t>
      </w:r>
      <w:r>
        <w:rPr>
          <w:rFonts w:hint="eastAsia" w:ascii="宋体" w:hAnsi="宋体" w:eastAsia="宋体" w:cs="宋体"/>
          <w:b w:val="0"/>
          <w:bCs/>
          <w:color w:val="auto"/>
          <w:sz w:val="24"/>
          <w:szCs w:val="24"/>
          <w:u w:val="single"/>
          <w:lang w:val="en-US" w:eastAsia="zh-CN"/>
        </w:rPr>
        <w:t xml:space="preserve">     </w:t>
      </w:r>
      <w:r>
        <w:rPr>
          <w:rFonts w:hint="eastAsia" w:ascii="宋体" w:hAnsi="宋体" w:eastAsia="宋体" w:cs="宋体"/>
          <w:b w:val="0"/>
          <w:bCs/>
          <w:color w:val="auto"/>
          <w:sz w:val="24"/>
          <w:szCs w:val="24"/>
        </w:rPr>
        <w:t>万元，资产总额为</w:t>
      </w:r>
      <w:r>
        <w:rPr>
          <w:rFonts w:hint="eastAsia" w:ascii="宋体" w:hAnsi="宋体" w:eastAsia="宋体" w:cs="宋体"/>
          <w:b w:val="0"/>
          <w:bCs/>
          <w:color w:val="auto"/>
          <w:sz w:val="24"/>
          <w:szCs w:val="24"/>
          <w:u w:val="single"/>
          <w:lang w:val="en-US" w:eastAsia="zh-CN"/>
        </w:rPr>
        <w:t xml:space="preserve">    </w:t>
      </w:r>
      <w:r>
        <w:rPr>
          <w:rFonts w:hint="eastAsia" w:ascii="宋体" w:hAnsi="宋体" w:eastAsia="宋体" w:cs="宋体"/>
          <w:b w:val="0"/>
          <w:bCs/>
          <w:color w:val="auto"/>
          <w:sz w:val="24"/>
          <w:szCs w:val="24"/>
        </w:rPr>
        <w:t>万元，属于</w:t>
      </w:r>
      <w:r>
        <w:rPr>
          <w:rFonts w:hint="eastAsia" w:ascii="宋体" w:hAnsi="宋体" w:eastAsia="宋体" w:cs="宋体"/>
          <w:b w:val="0"/>
          <w:bCs/>
          <w:color w:val="auto"/>
          <w:sz w:val="24"/>
          <w:szCs w:val="24"/>
          <w:u w:val="single"/>
        </w:rPr>
        <w:t>(中型企业</w:t>
      </w:r>
      <w:r>
        <w:rPr>
          <w:rFonts w:hint="eastAsia" w:ascii="宋体" w:hAnsi="宋体" w:eastAsia="宋体" w:cs="宋体"/>
          <w:b w:val="0"/>
          <w:bCs/>
          <w:color w:val="auto"/>
          <w:sz w:val="24"/>
          <w:szCs w:val="24"/>
          <w:u w:val="single"/>
          <w:lang w:eastAsia="zh-CN"/>
        </w:rPr>
        <w:t>、</w:t>
      </w:r>
      <w:r>
        <w:rPr>
          <w:rFonts w:hint="eastAsia" w:ascii="宋体" w:hAnsi="宋体" w:eastAsia="宋体" w:cs="宋体"/>
          <w:b w:val="0"/>
          <w:bCs/>
          <w:color w:val="auto"/>
          <w:sz w:val="24"/>
          <w:szCs w:val="24"/>
          <w:u w:val="single"/>
        </w:rPr>
        <w:t>小型企业、微型企业</w:t>
      </w:r>
      <w:r>
        <w:rPr>
          <w:rFonts w:hint="eastAsia" w:ascii="宋体" w:hAnsi="宋体" w:eastAsia="宋体" w:cs="宋体"/>
          <w:b w:val="0"/>
          <w:bCs/>
          <w:color w:val="auto"/>
          <w:sz w:val="24"/>
          <w:szCs w:val="24"/>
          <w:u w:val="single"/>
          <w:lang w:eastAsia="zh-CN"/>
        </w:rPr>
        <w:t>）</w:t>
      </w:r>
      <w:r>
        <w:rPr>
          <w:rFonts w:hint="eastAsia" w:ascii="宋体" w:hAnsi="宋体" w:eastAsia="宋体" w:cs="宋体"/>
          <w:b w:val="0"/>
          <w:bCs/>
          <w:i w:val="0"/>
          <w:iCs w:val="0"/>
          <w:color w:val="auto"/>
          <w:sz w:val="24"/>
          <w:szCs w:val="24"/>
          <w:u w:val="none"/>
          <w:lang w:eastAsia="zh-CN"/>
        </w:rPr>
        <w:t>；</w:t>
      </w:r>
    </w:p>
    <w:p>
      <w:pPr>
        <w:spacing w:after="0" w:line="360" w:lineRule="auto"/>
        <w:ind w:right="2" w:firstLine="480" w:firstLineChars="200"/>
        <w:jc w:val="both"/>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w:t>
      </w:r>
    </w:p>
    <w:p>
      <w:pPr>
        <w:spacing w:after="0" w:line="360" w:lineRule="auto"/>
        <w:ind w:right="2" w:firstLine="480" w:firstLineChars="200"/>
        <w:jc w:val="both"/>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以上企业，不属于大企业的分支机构，不存在控股股东为大企业的情形，也不存在与大企业的负责人为同一人的情形。</w:t>
      </w:r>
    </w:p>
    <w:p>
      <w:pPr>
        <w:spacing w:after="0" w:line="360" w:lineRule="auto"/>
        <w:ind w:right="2" w:firstLine="480" w:firstLineChars="200"/>
        <w:jc w:val="both"/>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本企业对上述声明内容的真实性负责。如有虚假，将依法承担相应责任。</w:t>
      </w:r>
    </w:p>
    <w:p>
      <w:pPr>
        <w:spacing w:after="0" w:line="360" w:lineRule="auto"/>
        <w:ind w:right="2" w:firstLine="3360" w:firstLineChars="1400"/>
        <w:jc w:val="both"/>
        <w:rPr>
          <w:rFonts w:hint="eastAsia" w:ascii="宋体" w:hAnsi="宋体" w:eastAsia="宋体" w:cs="宋体"/>
          <w:b w:val="0"/>
          <w:bCs/>
          <w:color w:val="auto"/>
          <w:sz w:val="24"/>
          <w:szCs w:val="24"/>
        </w:rPr>
      </w:pPr>
    </w:p>
    <w:p>
      <w:pPr>
        <w:spacing w:after="0" w:line="360" w:lineRule="auto"/>
        <w:ind w:right="2" w:firstLine="3360" w:firstLineChars="1400"/>
        <w:jc w:val="both"/>
        <w:rPr>
          <w:rFonts w:hint="eastAsia" w:ascii="宋体" w:hAnsi="宋体" w:eastAsia="宋体" w:cs="宋体"/>
          <w:b w:val="0"/>
          <w:bCs/>
          <w:color w:val="auto"/>
          <w:sz w:val="24"/>
          <w:szCs w:val="24"/>
        </w:rPr>
      </w:pPr>
    </w:p>
    <w:p>
      <w:pPr>
        <w:spacing w:after="0" w:line="360" w:lineRule="auto"/>
        <w:ind w:right="2" w:firstLine="5520" w:firstLineChars="2300"/>
        <w:jc w:val="both"/>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rPr>
        <w:t>企业名称</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rPr>
        <w:t>盖章</w:t>
      </w:r>
      <w:r>
        <w:rPr>
          <w:rFonts w:hint="eastAsia" w:ascii="宋体" w:hAnsi="宋体" w:eastAsia="宋体" w:cs="宋体"/>
          <w:b w:val="0"/>
          <w:bCs/>
          <w:color w:val="auto"/>
          <w:sz w:val="24"/>
          <w:szCs w:val="24"/>
          <w:lang w:eastAsia="zh-CN"/>
        </w:rPr>
        <w:t>）：</w:t>
      </w:r>
    </w:p>
    <w:p>
      <w:pPr>
        <w:spacing w:after="0" w:line="360" w:lineRule="auto"/>
        <w:ind w:right="2" w:firstLine="5520" w:firstLineChars="2300"/>
        <w:jc w:val="both"/>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rPr>
        <w:t>日期</w:t>
      </w:r>
      <w:r>
        <w:rPr>
          <w:rFonts w:hint="eastAsia" w:ascii="宋体" w:hAnsi="宋体" w:eastAsia="宋体" w:cs="宋体"/>
          <w:b w:val="0"/>
          <w:bCs/>
          <w:color w:val="auto"/>
          <w:sz w:val="24"/>
          <w:szCs w:val="24"/>
          <w:lang w:eastAsia="zh-CN"/>
        </w:rPr>
        <w:t>：</w:t>
      </w:r>
    </w:p>
    <w:p>
      <w:pPr>
        <w:spacing w:after="0" w:line="360" w:lineRule="auto"/>
        <w:ind w:right="2" w:firstLine="3360" w:firstLineChars="1400"/>
        <w:jc w:val="center"/>
        <w:rPr>
          <w:rFonts w:hint="eastAsia" w:ascii="宋体" w:hAnsi="宋体" w:eastAsia="宋体" w:cs="宋体"/>
          <w:b w:val="0"/>
          <w:bCs/>
          <w:color w:val="auto"/>
          <w:sz w:val="24"/>
          <w:szCs w:val="24"/>
          <w:lang w:eastAsia="zh-CN"/>
        </w:rPr>
      </w:pPr>
    </w:p>
    <w:p>
      <w:pPr>
        <w:spacing w:after="0" w:line="360" w:lineRule="auto"/>
        <w:ind w:right="2" w:firstLine="3360" w:firstLineChars="1400"/>
        <w:jc w:val="center"/>
        <w:rPr>
          <w:rFonts w:hint="eastAsia" w:ascii="宋体" w:hAnsi="宋体" w:eastAsia="宋体" w:cs="宋体"/>
          <w:b w:val="0"/>
          <w:bCs/>
          <w:color w:val="auto"/>
          <w:sz w:val="24"/>
          <w:szCs w:val="24"/>
          <w:lang w:eastAsia="zh-CN"/>
        </w:rPr>
      </w:pPr>
    </w:p>
    <w:p>
      <w:pPr>
        <w:spacing w:after="0" w:line="360" w:lineRule="auto"/>
        <w:ind w:right="2"/>
        <w:jc w:val="both"/>
        <w:rPr>
          <w:rFonts w:hint="eastAsia" w:ascii="宋体" w:hAnsi="宋体" w:eastAsia="宋体" w:cs="宋体"/>
          <w:b w:val="0"/>
          <w:bCs/>
          <w:color w:val="auto"/>
          <w:sz w:val="24"/>
          <w:szCs w:val="24"/>
          <w:lang w:eastAsia="zh-CN"/>
        </w:rPr>
      </w:pPr>
    </w:p>
    <w:p>
      <w:pPr>
        <w:spacing w:after="0" w:line="360" w:lineRule="auto"/>
        <w:ind w:right="2" w:firstLine="3360" w:firstLineChars="1400"/>
        <w:jc w:val="center"/>
        <w:rPr>
          <w:rFonts w:hint="eastAsia" w:ascii="宋体" w:hAnsi="宋体" w:eastAsia="宋体" w:cs="宋体"/>
          <w:b w:val="0"/>
          <w:bCs/>
          <w:color w:val="auto"/>
          <w:sz w:val="24"/>
          <w:szCs w:val="24"/>
          <w:lang w:eastAsia="zh-CN"/>
        </w:rPr>
      </w:pPr>
    </w:p>
    <w:p>
      <w:pPr>
        <w:spacing w:after="0" w:line="360" w:lineRule="auto"/>
        <w:ind w:right="2"/>
        <w:jc w:val="both"/>
        <w:rPr>
          <w:rFonts w:hint="eastAsia" w:ascii="宋体" w:hAnsi="宋体" w:eastAsia="宋体" w:cs="宋体"/>
          <w:b w:val="0"/>
          <w:bCs/>
          <w:color w:val="auto"/>
          <w:sz w:val="24"/>
          <w:szCs w:val="24"/>
        </w:rPr>
      </w:pPr>
    </w:p>
    <w:p>
      <w:pPr>
        <w:bidi w:val="0"/>
        <w:rPr>
          <w:rFonts w:hint="eastAsia" w:ascii="宋体" w:hAnsi="宋体" w:eastAsia="宋体" w:cs="宋体"/>
          <w:color w:val="auto"/>
          <w:sz w:val="24"/>
          <w:szCs w:val="24"/>
          <w:lang w:val="en-US" w:eastAsia="zh-CN"/>
        </w:rPr>
      </w:pPr>
      <w:r>
        <w:rPr>
          <w:rFonts w:hint="eastAsia" w:ascii="宋体" w:hAnsi="宋体" w:eastAsia="宋体" w:cs="宋体"/>
          <w:b w:val="0"/>
          <w:bCs/>
          <w:color w:val="auto"/>
          <w:sz w:val="24"/>
          <w:szCs w:val="24"/>
        </w:rPr>
        <w:t>¹从业人员、营业收入、资产总额填报上一年度数据，无上一年度数据的新成立企业可不填报。</w:t>
      </w:r>
    </w:p>
    <w:p>
      <w:pPr>
        <w:spacing w:after="0" w:line="360" w:lineRule="auto"/>
        <w:ind w:right="2"/>
        <w:jc w:val="center"/>
        <w:rPr>
          <w:rFonts w:hint="eastAsia" w:ascii="宋体" w:hAnsi="宋体" w:eastAsia="宋体" w:cs="宋体"/>
          <w:b/>
          <w:color w:val="auto"/>
          <w:sz w:val="24"/>
          <w:szCs w:val="24"/>
          <w:lang w:val="en-US" w:eastAsia="zh-CN"/>
        </w:rPr>
        <w:sectPr>
          <w:footnotePr>
            <w:pos w:val="beneathText"/>
          </w:footnotePr>
          <w:pgSz w:w="11906" w:h="16838"/>
          <w:pgMar w:top="1440" w:right="1797" w:bottom="1440" w:left="1797" w:header="1134" w:footer="964" w:gutter="0"/>
          <w:pgBorders w:offsetFrom="page">
            <w:top w:val="none" w:sz="0" w:space="0"/>
            <w:left w:val="none" w:sz="0" w:space="0"/>
            <w:bottom w:val="none" w:sz="0" w:space="0"/>
            <w:right w:val="none" w:sz="0" w:space="0"/>
          </w:pgBorders>
          <w:pgNumType w:fmt="decimal"/>
          <w:cols w:space="720" w:num="1"/>
          <w:docGrid w:linePitch="312" w:charSpace="0"/>
        </w:sectPr>
      </w:pPr>
    </w:p>
    <w:p>
      <w:pPr>
        <w:rPr>
          <w:rFonts w:hint="eastAsia"/>
          <w:lang w:val="en-US" w:eastAsia="zh-CN"/>
        </w:rPr>
      </w:pPr>
      <w:r>
        <w:rPr>
          <w:rFonts w:hint="eastAsia" w:ascii="宋体" w:hAnsi="宋体" w:eastAsia="宋体" w:cs="宋体"/>
          <w:b/>
          <w:bCs/>
          <w:color w:val="auto"/>
          <w:sz w:val="32"/>
          <w:szCs w:val="32"/>
        </w:rPr>
        <w:t>表</w:t>
      </w:r>
      <w:r>
        <w:rPr>
          <w:rFonts w:hint="eastAsia" w:ascii="宋体" w:hAnsi="宋体" w:cs="宋体"/>
          <w:b/>
          <w:bCs/>
          <w:color w:val="auto"/>
          <w:sz w:val="32"/>
          <w:szCs w:val="32"/>
          <w:lang w:val="en-US" w:eastAsia="zh-CN"/>
        </w:rPr>
        <w:t>11:</w:t>
      </w:r>
    </w:p>
    <w:p>
      <w:pPr>
        <w:pStyle w:val="6"/>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lang w:val="en-US" w:eastAsia="zh-CN"/>
        </w:rPr>
      </w:pPr>
      <w:bookmarkStart w:id="98" w:name="_Toc14310"/>
      <w:bookmarkStart w:id="99" w:name="_Toc1285"/>
      <w:bookmarkStart w:id="100" w:name="_Toc12366"/>
      <w:r>
        <w:rPr>
          <w:rFonts w:hint="eastAsia" w:ascii="宋体" w:hAnsi="宋体" w:eastAsia="宋体" w:cs="宋体"/>
          <w:lang w:val="en-US" w:eastAsia="zh-CN"/>
        </w:rPr>
        <w:t>11、监狱企业证明文件</w:t>
      </w:r>
      <w:bookmarkEnd w:id="98"/>
      <w:bookmarkEnd w:id="99"/>
      <w:bookmarkEnd w:id="100"/>
    </w:p>
    <w:p>
      <w:pPr>
        <w:spacing w:after="0" w:line="360" w:lineRule="auto"/>
        <w:ind w:left="420" w:firstLine="420"/>
        <w:rPr>
          <w:rFonts w:hint="eastAsia" w:ascii="宋体" w:hAnsi="宋体" w:eastAsia="宋体" w:cs="宋体"/>
          <w:color w:val="auto"/>
          <w:sz w:val="24"/>
          <w:szCs w:val="24"/>
        </w:rPr>
      </w:pPr>
    </w:p>
    <w:p>
      <w:pPr>
        <w:spacing w:after="0" w:line="360" w:lineRule="auto"/>
        <w:ind w:left="420" w:firstLine="420"/>
        <w:rPr>
          <w:rFonts w:hint="eastAsia" w:ascii="宋体" w:hAnsi="宋体" w:eastAsia="宋体" w:cs="宋体"/>
          <w:color w:val="auto"/>
          <w:sz w:val="24"/>
          <w:szCs w:val="24"/>
        </w:rPr>
      </w:pPr>
      <w:r>
        <w:rPr>
          <w:rFonts w:hint="eastAsia" w:ascii="宋体" w:hAnsi="宋体" w:eastAsia="宋体" w:cs="宋体"/>
          <w:color w:val="auto"/>
          <w:sz w:val="24"/>
          <w:szCs w:val="24"/>
        </w:rPr>
        <w:t>享受政策优惠的监狱企业须提供由省级以上监狱管理局、戒毒管理局（含新疆生产建设兵团）出具的属于监狱企业的证明文件。</w:t>
      </w:r>
    </w:p>
    <w:p>
      <w:pPr>
        <w:pStyle w:val="5"/>
        <w:spacing w:after="240"/>
        <w:rPr>
          <w:rFonts w:hint="eastAsia" w:ascii="宋体" w:hAnsi="宋体" w:eastAsia="宋体" w:cs="宋体"/>
          <w:color w:val="auto"/>
          <w:kern w:val="2"/>
          <w:sz w:val="24"/>
          <w:szCs w:val="24"/>
          <w:lang w:val="en-US" w:eastAsia="zh-CN"/>
        </w:rPr>
        <w:sectPr>
          <w:footnotePr>
            <w:pos w:val="beneathText"/>
          </w:footnotePr>
          <w:pgSz w:w="11906" w:h="16838"/>
          <w:pgMar w:top="1440" w:right="1797" w:bottom="1440" w:left="1797" w:header="1134" w:footer="964" w:gutter="0"/>
          <w:pgBorders w:offsetFrom="page">
            <w:top w:val="none" w:sz="0" w:space="0"/>
            <w:left w:val="none" w:sz="0" w:space="0"/>
            <w:bottom w:val="none" w:sz="0" w:space="0"/>
            <w:right w:val="none" w:sz="0" w:space="0"/>
          </w:pgBorders>
          <w:pgNumType w:fmt="decimal"/>
          <w:cols w:space="720" w:num="1"/>
          <w:docGrid w:linePitch="312" w:charSpace="0"/>
        </w:sectPr>
      </w:pPr>
    </w:p>
    <w:p>
      <w:pPr>
        <w:rPr>
          <w:rFonts w:hint="eastAsia"/>
          <w:lang w:val="en-US" w:eastAsia="zh-CN"/>
        </w:rPr>
      </w:pPr>
      <w:r>
        <w:rPr>
          <w:rFonts w:hint="eastAsia" w:ascii="宋体" w:hAnsi="宋体" w:eastAsia="宋体" w:cs="宋体"/>
          <w:b/>
          <w:bCs/>
          <w:color w:val="auto"/>
          <w:sz w:val="32"/>
          <w:szCs w:val="32"/>
        </w:rPr>
        <w:t>表</w:t>
      </w:r>
      <w:r>
        <w:rPr>
          <w:rFonts w:hint="eastAsia" w:ascii="宋体" w:hAnsi="宋体" w:cs="宋体"/>
          <w:b/>
          <w:bCs/>
          <w:color w:val="auto"/>
          <w:sz w:val="32"/>
          <w:szCs w:val="32"/>
          <w:lang w:val="en-US" w:eastAsia="zh-CN"/>
        </w:rPr>
        <w:t>12:</w:t>
      </w:r>
    </w:p>
    <w:p>
      <w:pPr>
        <w:rPr>
          <w:rFonts w:hint="eastAsia"/>
          <w:lang w:val="en-US" w:eastAsia="zh-CN"/>
        </w:rPr>
      </w:pPr>
    </w:p>
    <w:p>
      <w:pPr>
        <w:pStyle w:val="6"/>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lang w:val="en-US" w:eastAsia="zh-CN"/>
        </w:rPr>
      </w:pPr>
      <w:bookmarkStart w:id="101" w:name="_Toc16196"/>
      <w:bookmarkStart w:id="102" w:name="_Toc12204"/>
      <w:bookmarkStart w:id="103" w:name="_Toc23307"/>
      <w:r>
        <w:rPr>
          <w:rFonts w:hint="eastAsia" w:ascii="宋体" w:hAnsi="宋体" w:eastAsia="宋体" w:cs="宋体"/>
          <w:lang w:val="en-US" w:eastAsia="zh-CN"/>
        </w:rPr>
        <w:t>12、残疾人福利性单位声明函</w:t>
      </w:r>
      <w:bookmarkEnd w:id="101"/>
      <w:bookmarkEnd w:id="102"/>
      <w:bookmarkEnd w:id="103"/>
    </w:p>
    <w:p>
      <w:pPr>
        <w:spacing w:line="588" w:lineRule="exact"/>
        <w:ind w:firstLine="504" w:firstLineChars="200"/>
        <w:rPr>
          <w:rFonts w:hint="eastAsia" w:ascii="宋体" w:hAnsi="宋体" w:eastAsia="宋体" w:cs="宋体"/>
          <w:color w:val="auto"/>
          <w:spacing w:val="6"/>
          <w:sz w:val="24"/>
          <w:szCs w:val="24"/>
        </w:rPr>
      </w:pPr>
    </w:p>
    <w:p>
      <w:pPr>
        <w:spacing w:line="360" w:lineRule="auto"/>
        <w:ind w:firstLine="504" w:firstLineChars="200"/>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本单位郑重声明，根据《财政部 民政部 中国残疾人联合会关于促进残疾人就业政府采购政策的通知》（财库</w:t>
      </w:r>
      <w:r>
        <w:rPr>
          <w:rFonts w:hint="eastAsia" w:ascii="宋体" w:hAnsi="宋体" w:eastAsia="宋体" w:cs="宋体"/>
          <w:color w:val="auto"/>
          <w:sz w:val="24"/>
          <w:szCs w:val="24"/>
        </w:rPr>
        <w:t>〔2017〕141</w:t>
      </w:r>
      <w:r>
        <w:rPr>
          <w:rFonts w:hint="eastAsia" w:ascii="宋体" w:hAnsi="宋体" w:eastAsia="宋体" w:cs="宋体"/>
          <w:color w:val="auto"/>
          <w:spacing w:val="6"/>
          <w:sz w:val="24"/>
          <w:szCs w:val="24"/>
        </w:rPr>
        <w:t>号）的规定，本单位为符合条件的残疾人福利性单位，且本单位参加</w:t>
      </w:r>
      <w:r>
        <w:rPr>
          <w:rFonts w:hint="eastAsia" w:ascii="宋体" w:hAnsi="宋体" w:eastAsia="宋体" w:cs="宋体"/>
          <w:color w:val="auto"/>
          <w:spacing w:val="6"/>
          <w:sz w:val="24"/>
          <w:szCs w:val="24"/>
          <w:u w:val="single"/>
          <w:lang w:val="en-US" w:eastAsia="zh-CN"/>
        </w:rPr>
        <w:t xml:space="preserve">     </w:t>
      </w:r>
      <w:r>
        <w:rPr>
          <w:rFonts w:hint="eastAsia" w:ascii="宋体" w:hAnsi="宋体" w:eastAsia="宋体" w:cs="宋体"/>
          <w:color w:val="auto"/>
          <w:spacing w:val="6"/>
          <w:sz w:val="24"/>
          <w:szCs w:val="24"/>
        </w:rPr>
        <w:t>单位的</w:t>
      </w:r>
      <w:r>
        <w:rPr>
          <w:rFonts w:hint="eastAsia" w:ascii="宋体" w:hAnsi="宋体" w:eastAsia="宋体" w:cs="宋体"/>
          <w:color w:val="auto"/>
          <w:spacing w:val="6"/>
          <w:sz w:val="24"/>
          <w:szCs w:val="24"/>
          <w:u w:val="single"/>
          <w:lang w:val="en-US" w:eastAsia="zh-CN"/>
        </w:rPr>
        <w:t xml:space="preserve">      </w:t>
      </w:r>
      <w:r>
        <w:rPr>
          <w:rFonts w:hint="eastAsia" w:ascii="宋体" w:hAnsi="宋体" w:eastAsia="宋体" w:cs="宋体"/>
          <w:color w:val="auto"/>
          <w:spacing w:val="6"/>
          <w:sz w:val="24"/>
          <w:szCs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本单位对上述声明的真实性负责。如有虚假，将依法承担相应责任。</w:t>
      </w:r>
    </w:p>
    <w:p>
      <w:pPr>
        <w:spacing w:line="588" w:lineRule="exact"/>
        <w:ind w:firstLine="504" w:firstLineChars="200"/>
        <w:rPr>
          <w:rFonts w:hint="eastAsia" w:ascii="宋体" w:hAnsi="宋体" w:eastAsia="宋体" w:cs="宋体"/>
          <w:color w:val="auto"/>
          <w:spacing w:val="6"/>
          <w:sz w:val="24"/>
          <w:szCs w:val="24"/>
        </w:rPr>
      </w:pPr>
    </w:p>
    <w:p>
      <w:pPr>
        <w:spacing w:line="588" w:lineRule="exact"/>
        <w:ind w:firstLine="504" w:firstLineChars="200"/>
        <w:rPr>
          <w:rFonts w:hint="eastAsia" w:ascii="宋体" w:hAnsi="宋体" w:eastAsia="宋体" w:cs="宋体"/>
          <w:color w:val="auto"/>
          <w:spacing w:val="6"/>
          <w:sz w:val="24"/>
          <w:szCs w:val="24"/>
        </w:rPr>
      </w:pPr>
    </w:p>
    <w:p>
      <w:pPr>
        <w:tabs>
          <w:tab w:val="left" w:pos="4860"/>
        </w:tabs>
        <w:spacing w:line="588" w:lineRule="exact"/>
        <w:ind w:right="1560" w:firstLine="504" w:firstLineChars="200"/>
        <w:jc w:val="center"/>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 xml:space="preserve">               单位名称（盖章）：</w:t>
      </w:r>
    </w:p>
    <w:p>
      <w:pPr>
        <w:tabs>
          <w:tab w:val="left" w:pos="4860"/>
        </w:tabs>
        <w:spacing w:line="588" w:lineRule="exact"/>
        <w:ind w:right="1560" w:firstLine="504" w:firstLineChars="200"/>
        <w:jc w:val="center"/>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 xml:space="preserve">       日  期：</w:t>
      </w:r>
    </w:p>
    <w:p>
      <w:pPr>
        <w:pStyle w:val="5"/>
        <w:spacing w:after="240"/>
        <w:rPr>
          <w:rFonts w:hint="eastAsia" w:ascii="宋体" w:hAnsi="宋体" w:eastAsia="宋体" w:cs="宋体"/>
          <w:color w:val="auto"/>
          <w:kern w:val="2"/>
          <w:sz w:val="24"/>
          <w:szCs w:val="24"/>
          <w:lang w:val="en-US" w:eastAsia="zh-CN"/>
        </w:rPr>
        <w:sectPr>
          <w:footnotePr>
            <w:pos w:val="beneathText"/>
          </w:footnotePr>
          <w:pgSz w:w="11906" w:h="16838"/>
          <w:pgMar w:top="1440" w:right="1797" w:bottom="1440" w:left="1797" w:header="1134" w:footer="964" w:gutter="0"/>
          <w:pgBorders w:offsetFrom="page">
            <w:top w:val="none" w:sz="0" w:space="0"/>
            <w:left w:val="none" w:sz="0" w:space="0"/>
            <w:bottom w:val="none" w:sz="0" w:space="0"/>
            <w:right w:val="none" w:sz="0" w:space="0"/>
          </w:pgBorders>
          <w:pgNumType w:fmt="decimal"/>
          <w:cols w:space="720" w:num="1"/>
          <w:docGrid w:linePitch="312" w:charSpace="0"/>
        </w:sectPr>
      </w:pPr>
    </w:p>
    <w:bookmarkEnd w:id="86"/>
    <w:bookmarkEnd w:id="87"/>
    <w:bookmarkEnd w:id="88"/>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0"/>
        <w:rPr>
          <w:rFonts w:hint="eastAsia" w:ascii="宋体" w:hAnsi="宋体" w:eastAsia="宋体" w:cs="宋体"/>
          <w:b/>
          <w:color w:val="auto"/>
          <w:kern w:val="0"/>
          <w:sz w:val="44"/>
          <w:szCs w:val="44"/>
          <w:lang w:eastAsia="zh-CN"/>
        </w:rPr>
      </w:pPr>
      <w:bookmarkStart w:id="104" w:name="_Toc30489"/>
      <w:r>
        <w:rPr>
          <w:rFonts w:hint="eastAsia" w:ascii="宋体" w:hAnsi="宋体" w:eastAsia="宋体" w:cs="宋体"/>
          <w:b/>
          <w:color w:val="auto"/>
          <w:kern w:val="0"/>
          <w:sz w:val="44"/>
          <w:szCs w:val="44"/>
          <w:lang w:eastAsia="zh-CN"/>
        </w:rPr>
        <w:t>第六章  谈判程序</w:t>
      </w:r>
      <w:bookmarkEnd w:id="104"/>
    </w:p>
    <w:p>
      <w:pPr>
        <w:tabs>
          <w:tab w:val="left" w:pos="720"/>
        </w:tabs>
        <w:snapToGrid w:val="0"/>
        <w:spacing w:line="360" w:lineRule="auto"/>
        <w:ind w:right="-105" w:rightChars="-50"/>
        <w:rPr>
          <w:rFonts w:hint="eastAsia" w:ascii="宋体" w:hAnsi="宋体" w:cs="宋体"/>
          <w:b/>
          <w:sz w:val="32"/>
          <w:szCs w:val="32"/>
        </w:rPr>
      </w:pPr>
      <w:r>
        <w:rPr>
          <w:rFonts w:hint="eastAsia" w:ascii="宋体" w:hAnsi="宋体" w:cs="宋体"/>
          <w:b/>
          <w:sz w:val="32"/>
          <w:szCs w:val="32"/>
        </w:rPr>
        <w:t>一、评审原则</w:t>
      </w:r>
    </w:p>
    <w:p>
      <w:pPr>
        <w:snapToGrid w:val="0"/>
        <w:spacing w:line="360" w:lineRule="auto"/>
        <w:ind w:firstLine="480" w:firstLineChars="200"/>
        <w:jc w:val="left"/>
        <w:rPr>
          <w:rFonts w:hint="eastAsia" w:ascii="宋体" w:hAnsi="宋体" w:cs="宋体"/>
          <w:sz w:val="24"/>
        </w:rPr>
      </w:pPr>
      <w:r>
        <w:rPr>
          <w:rFonts w:hint="eastAsia" w:ascii="宋体" w:hAnsi="宋体" w:cs="宋体"/>
          <w:sz w:val="24"/>
        </w:rPr>
        <w:t>1、本次采购采用竞争性谈判方式进行，评审由依法组成的谈判小组负责完成。评审基本原则：评审工作应依据《中华人民共和国政府采购法》以及国家和地方政府采购的有关规定，遵循“公开、公平、公正、择优、诚实信用”的原则。</w:t>
      </w:r>
    </w:p>
    <w:p>
      <w:pPr>
        <w:tabs>
          <w:tab w:val="left" w:pos="360"/>
        </w:tabs>
        <w:snapToGrid w:val="0"/>
        <w:spacing w:line="360" w:lineRule="auto"/>
        <w:ind w:firstLine="480" w:firstLineChars="200"/>
        <w:jc w:val="left"/>
        <w:rPr>
          <w:rFonts w:hint="eastAsia" w:ascii="宋体" w:hAnsi="宋体" w:cs="宋体"/>
          <w:sz w:val="24"/>
        </w:rPr>
      </w:pPr>
      <w:r>
        <w:rPr>
          <w:rFonts w:hint="eastAsia" w:ascii="宋体" w:hAnsi="宋体" w:cs="宋体"/>
          <w:sz w:val="24"/>
        </w:rPr>
        <w:t>2、本次竞争性谈判采购的评审采用</w:t>
      </w:r>
      <w:r>
        <w:rPr>
          <w:rFonts w:hint="eastAsia" w:ascii="宋体" w:hAnsi="宋体" w:cs="宋体"/>
          <w:kern w:val="0"/>
          <w:sz w:val="24"/>
        </w:rPr>
        <w:t>最低评标价法确定成交供应商，即</w:t>
      </w:r>
      <w:r>
        <w:rPr>
          <w:rFonts w:hint="eastAsia" w:ascii="宋体" w:hAnsi="宋体" w:cs="宋体"/>
          <w:sz w:val="24"/>
        </w:rPr>
        <w:t>根据质量和服务均能满足采购文件实质性响应要求且最后报价最低的原则确定成交供应商。</w:t>
      </w:r>
    </w:p>
    <w:p>
      <w:pPr>
        <w:tabs>
          <w:tab w:val="left" w:pos="360"/>
        </w:tabs>
        <w:snapToGrid w:val="0"/>
        <w:spacing w:line="360" w:lineRule="auto"/>
        <w:ind w:firstLine="480" w:firstLineChars="200"/>
        <w:jc w:val="left"/>
        <w:rPr>
          <w:rFonts w:hint="eastAsia" w:ascii="宋体" w:hAnsi="宋体" w:cs="宋体"/>
          <w:sz w:val="24"/>
        </w:rPr>
      </w:pPr>
      <w:r>
        <w:rPr>
          <w:rFonts w:hint="eastAsia" w:ascii="宋体" w:hAnsi="宋体" w:cs="宋体"/>
          <w:sz w:val="24"/>
        </w:rPr>
        <w:t>3、参加谈判工作的所有人员应遵守《中华人民共和国政府采购法》以及国家和地方政府采购的有关规定，严格保密，确保竞争性谈判工作公平、公正，任何单位和个人不得无理干预谈判小组的正常工作。</w:t>
      </w:r>
    </w:p>
    <w:p>
      <w:pPr>
        <w:tabs>
          <w:tab w:val="left" w:pos="720"/>
        </w:tabs>
        <w:snapToGrid w:val="0"/>
        <w:spacing w:line="360" w:lineRule="auto"/>
        <w:ind w:right="-105" w:rightChars="-50"/>
        <w:rPr>
          <w:rFonts w:hint="eastAsia" w:ascii="宋体" w:hAnsi="宋体" w:cs="宋体"/>
          <w:b/>
          <w:sz w:val="32"/>
          <w:szCs w:val="32"/>
        </w:rPr>
      </w:pPr>
      <w:r>
        <w:rPr>
          <w:rFonts w:hint="eastAsia" w:ascii="宋体" w:hAnsi="宋体" w:cs="宋体"/>
          <w:b/>
          <w:sz w:val="32"/>
          <w:szCs w:val="32"/>
        </w:rPr>
        <w:t>二、评审程序和评审方法</w:t>
      </w:r>
    </w:p>
    <w:p>
      <w:pPr>
        <w:tabs>
          <w:tab w:val="left" w:pos="720"/>
        </w:tabs>
        <w:snapToGrid w:val="0"/>
        <w:spacing w:line="360" w:lineRule="auto"/>
        <w:ind w:right="-105" w:rightChars="-50" w:firstLine="480" w:firstLineChars="200"/>
        <w:rPr>
          <w:rFonts w:hint="eastAsia" w:ascii="宋体" w:hAnsi="宋体" w:cs="宋体"/>
          <w:sz w:val="24"/>
        </w:rPr>
      </w:pPr>
      <w:r>
        <w:rPr>
          <w:rFonts w:hint="eastAsia" w:ascii="宋体" w:hAnsi="宋体" w:cs="宋体"/>
          <w:sz w:val="24"/>
        </w:rPr>
        <w:t>评审程序分初步评审、谈判和详细评审。</w:t>
      </w:r>
    </w:p>
    <w:p>
      <w:pPr>
        <w:snapToGrid w:val="0"/>
        <w:spacing w:line="360" w:lineRule="auto"/>
        <w:jc w:val="left"/>
        <w:rPr>
          <w:rFonts w:hint="eastAsia" w:ascii="宋体" w:hAnsi="宋体" w:cs="宋体"/>
          <w:b/>
          <w:sz w:val="28"/>
          <w:szCs w:val="28"/>
        </w:rPr>
      </w:pPr>
      <w:r>
        <w:rPr>
          <w:rFonts w:hint="eastAsia" w:ascii="宋体" w:hAnsi="宋体" w:cs="宋体"/>
          <w:b/>
          <w:sz w:val="28"/>
          <w:szCs w:val="28"/>
        </w:rPr>
        <w:t>1、初步评审</w:t>
      </w:r>
    </w:p>
    <w:p>
      <w:pPr>
        <w:snapToGrid w:val="0"/>
        <w:spacing w:line="360" w:lineRule="auto"/>
        <w:ind w:firstLine="480" w:firstLineChars="200"/>
        <w:rPr>
          <w:rFonts w:hint="eastAsia" w:ascii="宋体" w:hAnsi="宋体" w:cs="宋体"/>
          <w:sz w:val="24"/>
        </w:rPr>
      </w:pPr>
      <w:r>
        <w:rPr>
          <w:rFonts w:hint="eastAsia" w:ascii="宋体" w:hAnsi="宋体" w:cs="宋体"/>
          <w:sz w:val="24"/>
        </w:rPr>
        <w:t>进入评审程序后，谈判小组先对供应商的</w:t>
      </w:r>
      <w:r>
        <w:rPr>
          <w:rFonts w:hint="eastAsia" w:ascii="宋体" w:hAnsi="宋体" w:cs="宋体"/>
          <w:sz w:val="24"/>
          <w:lang w:eastAsia="zh-CN"/>
        </w:rPr>
        <w:t>报价</w:t>
      </w:r>
      <w:r>
        <w:rPr>
          <w:rFonts w:hint="eastAsia" w:ascii="宋体" w:hAnsi="宋体" w:cs="宋体"/>
          <w:sz w:val="24"/>
        </w:rPr>
        <w:t>文件进行初步评审。谈判小组将根据评审办法的规定和附表1的内容，对</w:t>
      </w:r>
      <w:r>
        <w:rPr>
          <w:rFonts w:hint="eastAsia" w:ascii="宋体" w:hAnsi="宋体" w:cs="宋体"/>
          <w:sz w:val="24"/>
          <w:lang w:eastAsia="zh-CN"/>
        </w:rPr>
        <w:t>报价</w:t>
      </w:r>
      <w:r>
        <w:rPr>
          <w:rFonts w:hint="eastAsia" w:ascii="宋体" w:hAnsi="宋体" w:cs="宋体"/>
          <w:sz w:val="24"/>
        </w:rPr>
        <w:t>文件进行初步评审。</w:t>
      </w:r>
    </w:p>
    <w:p>
      <w:pPr>
        <w:tabs>
          <w:tab w:val="left" w:pos="720"/>
          <w:tab w:val="left" w:pos="3675"/>
        </w:tabs>
        <w:snapToGrid w:val="0"/>
        <w:spacing w:line="360" w:lineRule="auto"/>
        <w:ind w:firstLine="480" w:firstLineChars="200"/>
        <w:rPr>
          <w:rFonts w:hint="eastAsia" w:ascii="宋体" w:hAnsi="宋体" w:cs="宋体"/>
          <w:sz w:val="24"/>
        </w:rPr>
      </w:pPr>
      <w:r>
        <w:rPr>
          <w:rFonts w:hint="eastAsia" w:ascii="宋体" w:hAnsi="宋体" w:cs="宋体"/>
          <w:sz w:val="24"/>
        </w:rPr>
        <w:t>出现下列情况的</w:t>
      </w:r>
      <w:r>
        <w:rPr>
          <w:rFonts w:hint="eastAsia" w:ascii="宋体" w:hAnsi="宋体" w:cs="宋体"/>
          <w:sz w:val="24"/>
          <w:lang w:eastAsia="zh-CN"/>
        </w:rPr>
        <w:t>报价</w:t>
      </w:r>
      <w:r>
        <w:rPr>
          <w:rFonts w:hint="eastAsia" w:ascii="宋体" w:hAnsi="宋体" w:cs="宋体"/>
          <w:sz w:val="24"/>
        </w:rPr>
        <w:t>文件将被认定为不满足采购需求而不能通过初步审查：</w:t>
      </w:r>
    </w:p>
    <w:p>
      <w:pPr>
        <w:snapToGrid w:val="0"/>
        <w:spacing w:line="360" w:lineRule="auto"/>
        <w:ind w:firstLine="480" w:firstLineChars="200"/>
        <w:jc w:val="left"/>
        <w:rPr>
          <w:rFonts w:hint="eastAsia" w:ascii="宋体" w:hAnsi="宋体" w:cs="宋体"/>
          <w:sz w:val="24"/>
        </w:rPr>
      </w:pPr>
      <w:r>
        <w:rPr>
          <w:rFonts w:hint="eastAsia" w:ascii="宋体" w:hAnsi="宋体" w:cs="宋体"/>
          <w:sz w:val="24"/>
        </w:rPr>
        <w:t>1) 不满足供应商资格要求的；</w:t>
      </w:r>
    </w:p>
    <w:p>
      <w:pPr>
        <w:snapToGrid w:val="0"/>
        <w:spacing w:line="360" w:lineRule="auto"/>
        <w:ind w:firstLine="480" w:firstLineChars="200"/>
        <w:jc w:val="left"/>
        <w:rPr>
          <w:rFonts w:hint="eastAsia" w:ascii="宋体" w:hAnsi="宋体" w:cs="宋体"/>
          <w:sz w:val="24"/>
        </w:rPr>
      </w:pPr>
      <w:r>
        <w:rPr>
          <w:rFonts w:hint="eastAsia" w:ascii="宋体" w:hAnsi="宋体" w:cs="宋体"/>
          <w:sz w:val="24"/>
        </w:rPr>
        <w:t xml:space="preserve">2) </w:t>
      </w:r>
      <w:r>
        <w:rPr>
          <w:rFonts w:hint="eastAsia" w:ascii="宋体" w:hAnsi="宋体" w:cs="宋体"/>
          <w:sz w:val="24"/>
          <w:lang w:eastAsia="zh-CN"/>
        </w:rPr>
        <w:t>报价</w:t>
      </w:r>
      <w:r>
        <w:rPr>
          <w:rFonts w:hint="eastAsia" w:ascii="宋体" w:hAnsi="宋体" w:cs="宋体"/>
          <w:sz w:val="24"/>
        </w:rPr>
        <w:t>文件无法定代表人签名，或签名人未经法定代表人授权的；</w:t>
      </w:r>
    </w:p>
    <w:p>
      <w:pPr>
        <w:snapToGrid w:val="0"/>
        <w:spacing w:line="360" w:lineRule="auto"/>
        <w:ind w:firstLine="480" w:firstLineChars="200"/>
        <w:jc w:val="left"/>
        <w:rPr>
          <w:rFonts w:hint="eastAsia" w:ascii="宋体" w:hAnsi="宋体" w:cs="宋体"/>
          <w:sz w:val="24"/>
        </w:rPr>
      </w:pPr>
      <w:r>
        <w:rPr>
          <w:rFonts w:hint="eastAsia" w:ascii="宋体" w:hAnsi="宋体" w:cs="宋体"/>
          <w:sz w:val="24"/>
        </w:rPr>
        <w:t>3) 未按竞争性谈判文件要求的金额提交谈判保证金的；</w:t>
      </w:r>
    </w:p>
    <w:p>
      <w:pPr>
        <w:snapToGrid w:val="0"/>
        <w:spacing w:line="360" w:lineRule="auto"/>
        <w:ind w:firstLine="480" w:firstLineChars="200"/>
        <w:jc w:val="left"/>
        <w:rPr>
          <w:rFonts w:hint="eastAsia" w:ascii="宋体" w:hAnsi="宋体" w:cs="宋体"/>
          <w:sz w:val="24"/>
        </w:rPr>
      </w:pPr>
      <w:r>
        <w:rPr>
          <w:rFonts w:hint="eastAsia" w:ascii="宋体" w:hAnsi="宋体" w:cs="宋体"/>
          <w:sz w:val="24"/>
        </w:rPr>
        <w:t xml:space="preserve">4) 交货期、工期或报价有效期不满足竞争性谈判文件要求的； </w:t>
      </w:r>
    </w:p>
    <w:p>
      <w:pPr>
        <w:snapToGrid w:val="0"/>
        <w:spacing w:line="360" w:lineRule="auto"/>
        <w:ind w:firstLine="480" w:firstLineChars="200"/>
        <w:jc w:val="left"/>
        <w:rPr>
          <w:rFonts w:hint="eastAsia" w:ascii="宋体" w:hAnsi="宋体" w:cs="宋体"/>
          <w:sz w:val="24"/>
        </w:rPr>
      </w:pPr>
      <w:r>
        <w:rPr>
          <w:rFonts w:hint="eastAsia" w:ascii="宋体" w:hAnsi="宋体" w:cs="宋体"/>
          <w:sz w:val="24"/>
        </w:rPr>
        <w:t xml:space="preserve">5) 技术参数、功能或资质要求不满足用户需求书的要求或商务有负偏离的； </w:t>
      </w:r>
    </w:p>
    <w:p>
      <w:pPr>
        <w:snapToGrid w:val="0"/>
        <w:spacing w:line="360" w:lineRule="auto"/>
        <w:ind w:firstLine="480" w:firstLineChars="200"/>
        <w:jc w:val="left"/>
        <w:rPr>
          <w:rFonts w:hint="eastAsia" w:ascii="宋体" w:hAnsi="宋体" w:cs="宋体"/>
          <w:sz w:val="24"/>
        </w:rPr>
      </w:pPr>
      <w:r>
        <w:rPr>
          <w:rFonts w:hint="eastAsia" w:ascii="宋体" w:hAnsi="宋体" w:cs="宋体"/>
          <w:sz w:val="24"/>
          <w:lang w:val="en-US" w:eastAsia="zh-CN"/>
        </w:rPr>
        <w:t>6</w:t>
      </w:r>
      <w:r>
        <w:rPr>
          <w:rFonts w:hint="eastAsia" w:ascii="宋体" w:hAnsi="宋体" w:cs="宋体"/>
          <w:sz w:val="24"/>
        </w:rPr>
        <w:t>) 谈判小组认为报价未实质性</w:t>
      </w:r>
      <w:r>
        <w:rPr>
          <w:rFonts w:hint="eastAsia" w:ascii="宋体" w:hAnsi="宋体" w:cs="宋体"/>
          <w:sz w:val="24"/>
          <w:lang w:eastAsia="zh-CN"/>
        </w:rPr>
        <w:t>报价</w:t>
      </w:r>
      <w:r>
        <w:rPr>
          <w:rFonts w:hint="eastAsia" w:ascii="宋体" w:hAnsi="宋体" w:cs="宋体"/>
          <w:sz w:val="24"/>
        </w:rPr>
        <w:t>竞争性谈判文件的要求的；</w:t>
      </w:r>
    </w:p>
    <w:p>
      <w:pPr>
        <w:snapToGrid w:val="0"/>
        <w:spacing w:line="360" w:lineRule="auto"/>
        <w:ind w:firstLine="480" w:firstLineChars="200"/>
        <w:jc w:val="left"/>
        <w:rPr>
          <w:rFonts w:hint="eastAsia" w:ascii="宋体" w:hAnsi="宋体" w:cs="宋体"/>
          <w:sz w:val="24"/>
        </w:rPr>
      </w:pPr>
      <w:r>
        <w:rPr>
          <w:rFonts w:hint="eastAsia" w:ascii="宋体" w:hAnsi="宋体" w:cs="宋体"/>
          <w:sz w:val="24"/>
        </w:rPr>
        <w:t>7）不满足竞争性谈判文件规定的其它条件的。</w:t>
      </w:r>
    </w:p>
    <w:p>
      <w:pPr>
        <w:snapToGrid w:val="0"/>
        <w:spacing w:line="360" w:lineRule="auto"/>
        <w:ind w:firstLine="480" w:firstLineChars="200"/>
        <w:rPr>
          <w:rFonts w:hint="eastAsia" w:ascii="宋体" w:hAnsi="宋体" w:cs="宋体"/>
          <w:sz w:val="24"/>
        </w:rPr>
      </w:pPr>
      <w:r>
        <w:rPr>
          <w:rFonts w:hint="eastAsia" w:ascii="宋体" w:hAnsi="宋体" w:cs="宋体"/>
          <w:sz w:val="24"/>
        </w:rPr>
        <w:t>初步评审采用“一项否决”的原则，只有全部符合要求的才能通过初步评审。</w:t>
      </w:r>
    </w:p>
    <w:p>
      <w:pPr>
        <w:snapToGrid w:val="0"/>
        <w:spacing w:line="360" w:lineRule="auto"/>
        <w:jc w:val="left"/>
        <w:rPr>
          <w:rFonts w:hint="eastAsia" w:ascii="宋体" w:hAnsi="宋体" w:cs="宋体"/>
          <w:b/>
          <w:sz w:val="28"/>
          <w:szCs w:val="28"/>
        </w:rPr>
      </w:pPr>
      <w:r>
        <w:rPr>
          <w:rFonts w:hint="eastAsia" w:ascii="宋体" w:hAnsi="宋体" w:cs="宋体"/>
          <w:b/>
          <w:sz w:val="28"/>
          <w:szCs w:val="28"/>
        </w:rPr>
        <w:t>2、谈判</w:t>
      </w:r>
    </w:p>
    <w:p>
      <w:pPr>
        <w:snapToGrid w:val="0"/>
        <w:spacing w:line="360" w:lineRule="auto"/>
        <w:ind w:firstLine="480" w:firstLineChars="200"/>
        <w:rPr>
          <w:rFonts w:hint="eastAsia" w:ascii="宋体" w:hAnsi="宋体" w:cs="宋体"/>
          <w:sz w:val="24"/>
        </w:rPr>
      </w:pPr>
      <w:r>
        <w:rPr>
          <w:rFonts w:hint="eastAsia" w:ascii="宋体" w:hAnsi="宋体" w:cs="宋体"/>
          <w:sz w:val="24"/>
        </w:rPr>
        <w:t>1）按照评审程序的规定，谈判小组阅读通过初步评审的供应商的</w:t>
      </w:r>
      <w:r>
        <w:rPr>
          <w:rFonts w:hint="eastAsia" w:ascii="宋体" w:hAnsi="宋体" w:cs="宋体"/>
          <w:sz w:val="24"/>
          <w:lang w:eastAsia="zh-CN"/>
        </w:rPr>
        <w:t>报价</w:t>
      </w:r>
      <w:r>
        <w:rPr>
          <w:rFonts w:hint="eastAsia" w:ascii="宋体" w:hAnsi="宋体" w:cs="宋体"/>
          <w:sz w:val="24"/>
        </w:rPr>
        <w:t>文件，据此与供应商进行技术、商务内容的澄清、修正和谈判，谈判中发现供应商的</w:t>
      </w:r>
      <w:r>
        <w:rPr>
          <w:rFonts w:hint="eastAsia" w:ascii="宋体" w:hAnsi="宋体" w:cs="宋体"/>
          <w:sz w:val="24"/>
          <w:lang w:eastAsia="zh-CN"/>
        </w:rPr>
        <w:t>报价</w:t>
      </w:r>
      <w:r>
        <w:rPr>
          <w:rFonts w:hint="eastAsia" w:ascii="宋体" w:hAnsi="宋体" w:cs="宋体"/>
          <w:sz w:val="24"/>
        </w:rPr>
        <w:t>文件资料不清晰或造成理解有歧义时,谈判小组准许其在规定时间内做出解释说明，如不及时做出合理的说明，该报价则将会由于不符合谈判的基本要求而被拒绝。</w:t>
      </w:r>
    </w:p>
    <w:p>
      <w:pPr>
        <w:snapToGrid w:val="0"/>
        <w:spacing w:line="360" w:lineRule="auto"/>
        <w:ind w:firstLine="480" w:firstLineChars="200"/>
        <w:jc w:val="left"/>
        <w:rPr>
          <w:rFonts w:hint="eastAsia" w:ascii="宋体" w:hAnsi="宋体" w:cs="宋体"/>
          <w:sz w:val="24"/>
        </w:rPr>
      </w:pPr>
      <w:r>
        <w:rPr>
          <w:rFonts w:hint="eastAsia" w:ascii="宋体" w:hAnsi="宋体" w:cs="宋体"/>
          <w:sz w:val="24"/>
        </w:rPr>
        <w:t>2）谈判结束后，各供应商按要求在规定时间内提交本项目的最后报价。</w:t>
      </w:r>
    </w:p>
    <w:p>
      <w:pPr>
        <w:snapToGrid w:val="0"/>
        <w:spacing w:line="360" w:lineRule="auto"/>
        <w:ind w:firstLine="480" w:firstLineChars="200"/>
        <w:jc w:val="left"/>
        <w:rPr>
          <w:rFonts w:hint="eastAsia" w:ascii="宋体" w:hAnsi="宋体" w:cs="宋体"/>
          <w:sz w:val="24"/>
        </w:rPr>
      </w:pPr>
      <w:r>
        <w:rPr>
          <w:rFonts w:hint="eastAsia" w:ascii="宋体" w:hAnsi="宋体" w:cs="宋体"/>
          <w:sz w:val="24"/>
        </w:rPr>
        <w:t>3）谈判小组对供应商的最终形成的</w:t>
      </w:r>
      <w:r>
        <w:rPr>
          <w:rFonts w:hint="eastAsia" w:ascii="宋体" w:hAnsi="宋体" w:cs="宋体"/>
          <w:sz w:val="24"/>
          <w:lang w:eastAsia="zh-CN"/>
        </w:rPr>
        <w:t>报价</w:t>
      </w:r>
      <w:r>
        <w:rPr>
          <w:rFonts w:hint="eastAsia" w:ascii="宋体" w:hAnsi="宋体" w:cs="宋体"/>
          <w:sz w:val="24"/>
        </w:rPr>
        <w:t>文件、谈判承诺及最后报价等方面进行详细评审，从质量和服务均能满足采购文件实质性</w:t>
      </w:r>
      <w:r>
        <w:rPr>
          <w:rFonts w:hint="eastAsia" w:ascii="宋体" w:hAnsi="宋体" w:cs="宋体"/>
          <w:sz w:val="24"/>
          <w:lang w:eastAsia="zh-CN"/>
        </w:rPr>
        <w:t>报价</w:t>
      </w:r>
      <w:r>
        <w:rPr>
          <w:rFonts w:hint="eastAsia" w:ascii="宋体" w:hAnsi="宋体" w:cs="宋体"/>
          <w:sz w:val="24"/>
        </w:rPr>
        <w:t>要求的供应商中，按照最后报价由低到高的顺序提出3名成交候选人，质量和服务均能满足采购文件实质性</w:t>
      </w:r>
      <w:r>
        <w:rPr>
          <w:rFonts w:hint="eastAsia" w:ascii="宋体" w:hAnsi="宋体" w:cs="宋体"/>
          <w:sz w:val="24"/>
          <w:lang w:eastAsia="zh-CN"/>
        </w:rPr>
        <w:t>报价</w:t>
      </w:r>
      <w:r>
        <w:rPr>
          <w:rFonts w:hint="eastAsia" w:ascii="宋体" w:hAnsi="宋体" w:cs="宋体"/>
          <w:sz w:val="24"/>
        </w:rPr>
        <w:t>要求且最后报价最低的供应商为成交供应商，并编写评审报告。</w:t>
      </w:r>
    </w:p>
    <w:p>
      <w:pPr>
        <w:tabs>
          <w:tab w:val="left" w:pos="420"/>
          <w:tab w:val="left" w:pos="7020"/>
          <w:tab w:val="left" w:pos="7380"/>
        </w:tabs>
        <w:snapToGrid w:val="0"/>
        <w:spacing w:line="360" w:lineRule="auto"/>
        <w:ind w:right="-59" w:rightChars="-28"/>
        <w:rPr>
          <w:rFonts w:hint="eastAsia" w:ascii="宋体" w:hAnsi="宋体" w:cs="宋体"/>
          <w:sz w:val="24"/>
        </w:rPr>
      </w:pPr>
      <w:r>
        <w:rPr>
          <w:rFonts w:hint="eastAsia" w:ascii="宋体" w:hAnsi="宋体" w:cs="宋体"/>
          <w:sz w:val="24"/>
        </w:rPr>
        <w:t xml:space="preserve">    4）如供应商满足第二章第</w:t>
      </w:r>
      <w:r>
        <w:rPr>
          <w:rFonts w:hint="eastAsia" w:ascii="宋体" w:hAnsi="宋体" w:cs="宋体"/>
          <w:sz w:val="24"/>
          <w:lang w:val="en-US" w:eastAsia="zh-CN"/>
        </w:rPr>
        <w:t>19</w:t>
      </w:r>
      <w:r>
        <w:rPr>
          <w:rFonts w:hint="eastAsia" w:ascii="宋体" w:hAnsi="宋体" w:cs="宋体"/>
          <w:sz w:val="24"/>
        </w:rPr>
        <w:t>条“关于政策性</w:t>
      </w:r>
      <w:r>
        <w:rPr>
          <w:rFonts w:hint="eastAsia" w:ascii="宋体" w:hAnsi="宋体" w:cs="宋体"/>
          <w:sz w:val="24"/>
          <w:lang w:val="en-US" w:eastAsia="zh-CN"/>
        </w:rPr>
        <w:t>优惠</w:t>
      </w:r>
      <w:r>
        <w:rPr>
          <w:rFonts w:hint="eastAsia" w:ascii="宋体" w:hAnsi="宋体" w:cs="宋体"/>
          <w:sz w:val="24"/>
        </w:rPr>
        <w:t>”规定的，应按该条规定对供应商的最后报价进行调整。</w:t>
      </w:r>
    </w:p>
    <w:p>
      <w:pPr>
        <w:snapToGrid w:val="0"/>
        <w:spacing w:line="360" w:lineRule="auto"/>
        <w:ind w:left="1805" w:right="420" w:rightChars="200" w:hanging="1805" w:hangingChars="562"/>
        <w:rPr>
          <w:rFonts w:hint="eastAsia" w:ascii="宋体" w:hAnsi="宋体" w:cs="宋体"/>
          <w:sz w:val="32"/>
          <w:szCs w:val="32"/>
        </w:rPr>
      </w:pPr>
      <w:r>
        <w:rPr>
          <w:rFonts w:hint="eastAsia" w:ascii="宋体" w:hAnsi="宋体" w:cs="宋体"/>
          <w:b/>
          <w:sz w:val="32"/>
          <w:szCs w:val="32"/>
        </w:rPr>
        <w:t>三、谈判、评审过程的保密性</w:t>
      </w:r>
    </w:p>
    <w:p>
      <w:pPr>
        <w:snapToGrid w:val="0"/>
        <w:spacing w:line="360" w:lineRule="auto"/>
        <w:ind w:firstLine="480" w:firstLineChars="200"/>
        <w:jc w:val="left"/>
        <w:rPr>
          <w:rFonts w:hint="eastAsia" w:ascii="宋体" w:hAnsi="宋体" w:cs="宋体"/>
          <w:sz w:val="24"/>
        </w:rPr>
      </w:pPr>
      <w:r>
        <w:rPr>
          <w:rFonts w:hint="eastAsia" w:ascii="宋体" w:hAnsi="宋体" w:cs="宋体"/>
          <w:sz w:val="24"/>
        </w:rPr>
        <w:t>1、接受报价后，直至成交供应商与采购人签订合同后止，凡与谈判、审查、澄清、评价、比较、确定成交候选人意见有关的内容，任何人均不得向供应商及与谈判评审无关的其他人透露。</w:t>
      </w:r>
    </w:p>
    <w:p>
      <w:pPr>
        <w:snapToGrid w:val="0"/>
        <w:spacing w:line="360" w:lineRule="auto"/>
        <w:ind w:firstLine="480" w:firstLineChars="200"/>
        <w:jc w:val="left"/>
        <w:rPr>
          <w:rFonts w:hint="eastAsia" w:ascii="宋体" w:hAnsi="宋体" w:cs="宋体"/>
          <w:sz w:val="24"/>
        </w:rPr>
      </w:pPr>
      <w:r>
        <w:rPr>
          <w:rFonts w:hint="eastAsia" w:ascii="宋体" w:hAnsi="宋体" w:cs="宋体"/>
          <w:sz w:val="24"/>
        </w:rPr>
        <w:t>2、从报价递交截止时间起到确定成交供应商日止，供应商不得与参加谈判、评审的有关人员私下接触。在谈判评审过程中，如果供应商试图在</w:t>
      </w:r>
      <w:r>
        <w:rPr>
          <w:rFonts w:hint="eastAsia" w:ascii="宋体" w:hAnsi="宋体" w:cs="宋体"/>
          <w:sz w:val="24"/>
          <w:lang w:eastAsia="zh-CN"/>
        </w:rPr>
        <w:t>报价</w:t>
      </w:r>
      <w:r>
        <w:rPr>
          <w:rFonts w:hint="eastAsia" w:ascii="宋体" w:hAnsi="宋体" w:cs="宋体"/>
          <w:sz w:val="24"/>
        </w:rPr>
        <w:t>文件审查、澄清、比较及推荐成交候选人方面向参与谈判评审的有关人员和采购人施加任何影响，其报价将被拒绝。</w:t>
      </w:r>
    </w:p>
    <w:p>
      <w:pPr>
        <w:snapToGrid w:val="0"/>
        <w:spacing w:line="360" w:lineRule="auto"/>
        <w:ind w:left="1805" w:right="420" w:rightChars="200" w:hanging="1805" w:hangingChars="562"/>
        <w:rPr>
          <w:rFonts w:hint="eastAsia" w:ascii="宋体" w:hAnsi="宋体" w:cs="宋体"/>
          <w:b/>
          <w:sz w:val="32"/>
          <w:szCs w:val="32"/>
        </w:rPr>
      </w:pPr>
      <w:r>
        <w:rPr>
          <w:rFonts w:hint="eastAsia" w:ascii="宋体" w:hAnsi="宋体" w:cs="宋体"/>
          <w:b/>
          <w:sz w:val="32"/>
          <w:szCs w:val="32"/>
        </w:rPr>
        <w:t>四、接受和拒绝任何或所有报价的权利</w:t>
      </w:r>
    </w:p>
    <w:p>
      <w:pPr>
        <w:tabs>
          <w:tab w:val="left" w:pos="180"/>
          <w:tab w:val="left" w:pos="360"/>
        </w:tabs>
        <w:snapToGrid w:val="0"/>
        <w:spacing w:line="360" w:lineRule="auto"/>
        <w:ind w:left="-2" w:leftChars="-1" w:right="31" w:rightChars="15" w:firstLine="480" w:firstLineChars="200"/>
        <w:rPr>
          <w:rFonts w:hint="eastAsia" w:ascii="宋体" w:hAnsi="宋体" w:cs="宋体"/>
          <w:sz w:val="24"/>
        </w:rPr>
      </w:pPr>
      <w:r>
        <w:rPr>
          <w:rFonts w:hint="eastAsia" w:ascii="宋体" w:hAnsi="宋体" w:cs="宋体"/>
          <w:sz w:val="24"/>
        </w:rPr>
        <w:t>采购代理机构和采购人保留在成交之前任何时候接受或拒绝任何报价，以及宣布竞争性谈判无效或拒绝所有报价的权力，对受影响的供应商不承担任何责任。</w:t>
      </w:r>
    </w:p>
    <w:p>
      <w:pPr>
        <w:snapToGrid w:val="0"/>
        <w:spacing w:line="360" w:lineRule="auto"/>
        <w:ind w:right="420" w:rightChars="200"/>
        <w:rPr>
          <w:rFonts w:hint="eastAsia" w:ascii="宋体" w:hAnsi="宋体" w:cs="宋体"/>
          <w:b/>
          <w:sz w:val="32"/>
          <w:szCs w:val="32"/>
        </w:rPr>
      </w:pPr>
      <w:r>
        <w:rPr>
          <w:rFonts w:hint="eastAsia" w:ascii="宋体" w:hAnsi="宋体" w:cs="宋体"/>
          <w:b/>
          <w:sz w:val="32"/>
          <w:szCs w:val="32"/>
        </w:rPr>
        <w:t>五、变更技术方案的权利</w:t>
      </w:r>
    </w:p>
    <w:p>
      <w:pPr>
        <w:snapToGrid w:val="0"/>
        <w:spacing w:line="360" w:lineRule="auto"/>
        <w:ind w:firstLine="480"/>
        <w:rPr>
          <w:rFonts w:hint="eastAsia" w:ascii="宋体" w:hAnsi="宋体" w:cs="宋体"/>
          <w:sz w:val="24"/>
        </w:rPr>
      </w:pPr>
      <w:r>
        <w:rPr>
          <w:rFonts w:hint="eastAsia" w:ascii="宋体" w:hAnsi="宋体" w:cs="宋体"/>
          <w:sz w:val="24"/>
        </w:rPr>
        <w:t>在竞争性谈判过程中，采购人有权变更技术方案或采购数量，如果供应商根据采购人提出的变更要求调整方案或价格后未能获得合同，采购人和采购代理机构不承担任何责任。</w:t>
      </w:r>
    </w:p>
    <w:p>
      <w:pPr>
        <w:spacing w:line="360" w:lineRule="auto"/>
        <w:rPr>
          <w:rFonts w:hint="eastAsia" w:ascii="宋体" w:hAnsi="宋体" w:cs="宋体"/>
          <w:b/>
          <w:sz w:val="36"/>
          <w:szCs w:val="36"/>
        </w:rPr>
        <w:sectPr>
          <w:footnotePr>
            <w:pos w:val="beneathText"/>
          </w:footnotePr>
          <w:pgSz w:w="11906" w:h="16838"/>
          <w:pgMar w:top="1440" w:right="1797" w:bottom="1440" w:left="1797" w:header="851" w:footer="992" w:gutter="0"/>
          <w:pgBorders w:offsetFrom="page">
            <w:top w:val="none" w:sz="0" w:space="0"/>
            <w:left w:val="none" w:sz="0" w:space="0"/>
            <w:bottom w:val="none" w:sz="0" w:space="0"/>
            <w:right w:val="none" w:sz="0" w:space="0"/>
          </w:pgBorders>
          <w:cols w:space="720" w:num="1"/>
          <w:docGrid w:linePitch="312" w:charSpace="0"/>
        </w:sectPr>
      </w:pPr>
    </w:p>
    <w:p>
      <w:pPr>
        <w:spacing w:line="360" w:lineRule="auto"/>
        <w:rPr>
          <w:rFonts w:hint="eastAsia" w:ascii="宋体" w:hAnsi="宋体" w:cs="宋体"/>
          <w:b/>
          <w:color w:val="auto"/>
          <w:sz w:val="36"/>
          <w:szCs w:val="36"/>
        </w:rPr>
      </w:pPr>
      <w:r>
        <w:rPr>
          <w:rFonts w:hint="eastAsia" w:ascii="宋体" w:hAnsi="宋体" w:cs="宋体"/>
          <w:b/>
          <w:color w:val="auto"/>
          <w:sz w:val="36"/>
          <w:szCs w:val="36"/>
        </w:rPr>
        <w:t>附表1</w:t>
      </w:r>
    </w:p>
    <w:p>
      <w:pPr>
        <w:pStyle w:val="6"/>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b/>
          <w:bCs/>
        </w:rPr>
      </w:pPr>
      <w:bookmarkStart w:id="105" w:name="_Toc2567"/>
      <w:bookmarkStart w:id="106" w:name="_Toc17950"/>
      <w:r>
        <w:rPr>
          <w:rFonts w:hint="eastAsia" w:ascii="宋体" w:hAnsi="宋体" w:eastAsia="宋体" w:cs="宋体"/>
          <w:b/>
          <w:bCs/>
          <w:lang w:val="en-US" w:eastAsia="zh-CN"/>
        </w:rPr>
        <w:t>1、</w:t>
      </w:r>
      <w:r>
        <w:rPr>
          <w:rFonts w:hint="eastAsia" w:ascii="宋体" w:hAnsi="宋体" w:eastAsia="宋体" w:cs="宋体"/>
          <w:b/>
          <w:bCs/>
        </w:rPr>
        <w:t>初步审查表</w:t>
      </w:r>
      <w:bookmarkEnd w:id="105"/>
      <w:bookmarkEnd w:id="106"/>
    </w:p>
    <w:p>
      <w:pPr>
        <w:rPr>
          <w:rFonts w:hint="eastAsia"/>
        </w:rPr>
      </w:pPr>
    </w:p>
    <w:p>
      <w:pPr>
        <w:spacing w:after="120" w:afterLines="50" w:line="360" w:lineRule="auto"/>
        <w:rPr>
          <w:rFonts w:hint="eastAsia" w:ascii="宋体" w:hAnsi="宋体" w:cs="宋体"/>
          <w:color w:val="auto"/>
          <w:sz w:val="24"/>
          <w:u w:val="single"/>
        </w:rPr>
      </w:pPr>
      <w:r>
        <w:rPr>
          <w:rFonts w:hint="eastAsia" w:ascii="宋体" w:hAnsi="宋体" w:cs="宋体"/>
          <w:color w:val="auto"/>
          <w:sz w:val="24"/>
        </w:rPr>
        <w:t>项目名称：</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p>
    <w:p>
      <w:pPr>
        <w:spacing w:after="120" w:afterLines="50" w:line="360" w:lineRule="auto"/>
        <w:rPr>
          <w:rFonts w:hint="default" w:ascii="宋体" w:hAnsi="宋体" w:eastAsia="宋体" w:cs="宋体"/>
          <w:color w:val="auto"/>
          <w:sz w:val="24"/>
          <w:lang w:val="en-US" w:eastAsia="zh-CN"/>
        </w:rPr>
      </w:pPr>
      <w:r>
        <w:rPr>
          <w:rFonts w:hint="eastAsia" w:ascii="宋体" w:hAnsi="宋体" w:cs="宋体"/>
          <w:color w:val="auto"/>
          <w:sz w:val="24"/>
        </w:rPr>
        <w:t>项目编号：</w:t>
      </w:r>
      <w:r>
        <w:rPr>
          <w:rFonts w:hint="eastAsia" w:ascii="宋体" w:hAnsi="宋体" w:cs="宋体"/>
          <w:color w:val="auto"/>
          <w:sz w:val="24"/>
          <w:u w:val="single"/>
          <w:lang w:val="en-US" w:eastAsia="zh-CN"/>
        </w:rPr>
        <w:t xml:space="preserve">             </w:t>
      </w:r>
    </w:p>
    <w:tbl>
      <w:tblPr>
        <w:tblStyle w:val="25"/>
        <w:tblW w:w="9476"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2"/>
        <w:gridCol w:w="1858"/>
        <w:gridCol w:w="3717"/>
        <w:gridCol w:w="1053"/>
        <w:gridCol w:w="1053"/>
        <w:gridCol w:w="105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5" w:hRule="atLeast"/>
        </w:trPr>
        <w:tc>
          <w:tcPr>
            <w:tcW w:w="74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cs="宋体"/>
                <w:b/>
                <w:color w:val="auto"/>
              </w:rPr>
            </w:pPr>
            <w:r>
              <w:rPr>
                <w:rFonts w:hint="eastAsia" w:ascii="宋体" w:hAnsi="宋体" w:cs="宋体"/>
                <w:b/>
                <w:color w:val="auto"/>
              </w:rPr>
              <w:t>序号</w:t>
            </w:r>
          </w:p>
        </w:tc>
        <w:tc>
          <w:tcPr>
            <w:tcW w:w="185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cs="宋体"/>
                <w:b/>
                <w:color w:val="auto"/>
              </w:rPr>
            </w:pPr>
            <w:r>
              <w:rPr>
                <w:rFonts w:hint="eastAsia" w:ascii="宋体" w:hAnsi="宋体" w:cs="宋体"/>
                <w:b/>
                <w:color w:val="auto"/>
              </w:rPr>
              <w:t>审查项目</w:t>
            </w:r>
          </w:p>
        </w:tc>
        <w:tc>
          <w:tcPr>
            <w:tcW w:w="371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cs="宋体"/>
                <w:b/>
                <w:color w:val="auto"/>
              </w:rPr>
            </w:pPr>
            <w:r>
              <w:rPr>
                <w:rFonts w:hint="eastAsia" w:ascii="宋体" w:hAnsi="宋体" w:cs="宋体"/>
                <w:b/>
                <w:color w:val="auto"/>
              </w:rPr>
              <w:t>评议内容</w:t>
            </w:r>
            <w:r>
              <w:rPr>
                <w:rFonts w:hint="eastAsia" w:ascii="宋体" w:hAnsi="宋体" w:cs="宋体"/>
                <w:color w:val="auto"/>
              </w:rPr>
              <w:t>（无效报价认定条件）</w:t>
            </w:r>
          </w:p>
        </w:tc>
        <w:tc>
          <w:tcPr>
            <w:tcW w:w="105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cs="宋体"/>
                <w:b/>
                <w:color w:val="auto"/>
              </w:rPr>
            </w:pPr>
            <w:r>
              <w:rPr>
                <w:rFonts w:hint="eastAsia" w:ascii="宋体" w:hAnsi="宋体" w:cs="宋体"/>
                <w:b/>
                <w:color w:val="auto"/>
              </w:rPr>
              <w:t>供应商1</w:t>
            </w:r>
          </w:p>
        </w:tc>
        <w:tc>
          <w:tcPr>
            <w:tcW w:w="105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cs="宋体"/>
                <w:b/>
                <w:color w:val="auto"/>
              </w:rPr>
            </w:pPr>
            <w:r>
              <w:rPr>
                <w:rFonts w:hint="eastAsia" w:ascii="宋体" w:hAnsi="宋体" w:cs="宋体"/>
                <w:b/>
                <w:color w:val="auto"/>
              </w:rPr>
              <w:t>供应商2</w:t>
            </w:r>
          </w:p>
        </w:tc>
        <w:tc>
          <w:tcPr>
            <w:tcW w:w="105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cs="宋体"/>
                <w:b/>
                <w:color w:val="auto"/>
              </w:rPr>
            </w:pPr>
            <w:r>
              <w:rPr>
                <w:rFonts w:hint="eastAsia" w:ascii="宋体" w:hAnsi="宋体" w:cs="宋体"/>
                <w:b/>
                <w:color w:val="auto"/>
              </w:rPr>
              <w:t>供应商3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742"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宋体" w:hAnsi="宋体" w:cs="宋体"/>
                <w:color w:val="auto"/>
              </w:rPr>
            </w:pPr>
            <w:r>
              <w:rPr>
                <w:rFonts w:hint="eastAsia" w:ascii="宋体" w:hAnsi="宋体" w:cs="宋体"/>
                <w:color w:val="auto"/>
              </w:rPr>
              <w:t>1</w:t>
            </w:r>
          </w:p>
        </w:tc>
        <w:tc>
          <w:tcPr>
            <w:tcW w:w="1858"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rPr>
                <w:rFonts w:hint="eastAsia" w:ascii="宋体" w:hAnsi="宋体" w:cs="宋体"/>
                <w:color w:val="auto"/>
              </w:rPr>
            </w:pPr>
            <w:r>
              <w:rPr>
                <w:rFonts w:hint="eastAsia" w:ascii="宋体" w:hAnsi="宋体" w:cs="宋体"/>
                <w:color w:val="auto"/>
              </w:rPr>
              <w:t>供应商的资格</w:t>
            </w:r>
          </w:p>
        </w:tc>
        <w:tc>
          <w:tcPr>
            <w:tcW w:w="371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rPr>
                <w:rFonts w:hint="eastAsia" w:ascii="宋体" w:hAnsi="宋体" w:cs="宋体"/>
                <w:color w:val="auto"/>
              </w:rPr>
            </w:pPr>
            <w:r>
              <w:rPr>
                <w:rFonts w:hint="eastAsia" w:ascii="宋体" w:hAnsi="宋体" w:cs="宋体"/>
                <w:color w:val="auto"/>
              </w:rPr>
              <w:t>是否符合供应商资格要求</w:t>
            </w:r>
          </w:p>
        </w:tc>
        <w:tc>
          <w:tcPr>
            <w:tcW w:w="105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cs="宋体"/>
                <w:b/>
                <w:color w:val="auto"/>
              </w:rPr>
            </w:pPr>
            <w:r>
              <w:rPr>
                <w:rFonts w:hint="eastAsia" w:ascii="宋体" w:hAnsi="宋体" w:cs="宋体"/>
                <w:b/>
                <w:color w:val="auto"/>
              </w:rPr>
              <w:t> </w:t>
            </w:r>
          </w:p>
        </w:tc>
        <w:tc>
          <w:tcPr>
            <w:tcW w:w="105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cs="宋体"/>
                <w:b/>
                <w:color w:val="auto"/>
              </w:rPr>
            </w:pPr>
            <w:r>
              <w:rPr>
                <w:rFonts w:hint="eastAsia" w:ascii="宋体" w:hAnsi="宋体" w:cs="宋体"/>
                <w:b/>
                <w:color w:val="auto"/>
              </w:rPr>
              <w:t> </w:t>
            </w:r>
          </w:p>
        </w:tc>
        <w:tc>
          <w:tcPr>
            <w:tcW w:w="105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cs="宋体"/>
                <w:b/>
                <w:color w:val="auto"/>
              </w:rPr>
            </w:pPr>
            <w:r>
              <w:rPr>
                <w:rFonts w:hint="eastAsia" w:ascii="宋体" w:hAnsi="宋体" w:cs="宋体"/>
                <w:b/>
                <w:color w:val="auto"/>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9" w:hRule="atLeast"/>
        </w:trPr>
        <w:tc>
          <w:tcPr>
            <w:tcW w:w="742"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宋体" w:hAnsi="宋体" w:cs="宋体"/>
                <w:color w:val="auto"/>
              </w:rPr>
            </w:pPr>
            <w:r>
              <w:rPr>
                <w:rFonts w:hint="eastAsia" w:ascii="宋体" w:hAnsi="宋体" w:cs="宋体"/>
                <w:color w:val="auto"/>
              </w:rPr>
              <w:t>2</w:t>
            </w:r>
          </w:p>
        </w:tc>
        <w:tc>
          <w:tcPr>
            <w:tcW w:w="1858"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rPr>
                <w:rFonts w:hint="eastAsia" w:ascii="宋体" w:hAnsi="宋体" w:cs="宋体"/>
                <w:color w:val="auto"/>
              </w:rPr>
            </w:pPr>
            <w:r>
              <w:rPr>
                <w:rFonts w:hint="eastAsia" w:ascii="宋体" w:hAnsi="宋体" w:cs="宋体"/>
                <w:color w:val="auto"/>
                <w:lang w:eastAsia="zh-CN"/>
              </w:rPr>
              <w:t>报价</w:t>
            </w:r>
            <w:r>
              <w:rPr>
                <w:rFonts w:hint="eastAsia" w:ascii="宋体" w:hAnsi="宋体" w:cs="宋体"/>
                <w:color w:val="auto"/>
              </w:rPr>
              <w:t>文件的有效性、完整性</w:t>
            </w:r>
          </w:p>
        </w:tc>
        <w:tc>
          <w:tcPr>
            <w:tcW w:w="371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rPr>
                <w:rFonts w:hint="eastAsia" w:ascii="宋体" w:hAnsi="宋体" w:cs="宋体"/>
                <w:color w:val="auto"/>
              </w:rPr>
            </w:pPr>
            <w:r>
              <w:rPr>
                <w:rFonts w:hint="eastAsia" w:ascii="宋体" w:hAnsi="宋体" w:cs="宋体"/>
                <w:color w:val="auto"/>
              </w:rPr>
              <w:t>是否符合</w:t>
            </w:r>
            <w:r>
              <w:rPr>
                <w:rFonts w:hint="eastAsia" w:ascii="宋体" w:hAnsi="宋体" w:cs="宋体"/>
                <w:color w:val="auto"/>
                <w:lang w:val="en-US" w:eastAsia="zh-CN"/>
              </w:rPr>
              <w:t>竞争性</w:t>
            </w:r>
            <w:r>
              <w:rPr>
                <w:rFonts w:hint="eastAsia" w:ascii="宋体" w:hAnsi="宋体" w:cs="宋体"/>
                <w:color w:val="auto"/>
                <w:lang w:eastAsia="zh-CN"/>
              </w:rPr>
              <w:t>谈判</w:t>
            </w:r>
            <w:r>
              <w:rPr>
                <w:rFonts w:hint="eastAsia" w:ascii="宋体" w:hAnsi="宋体" w:cs="宋体"/>
                <w:color w:val="auto"/>
              </w:rPr>
              <w:t>文件的式样和签署要求且内容完整无缺漏</w:t>
            </w:r>
          </w:p>
        </w:tc>
        <w:tc>
          <w:tcPr>
            <w:tcW w:w="105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cs="宋体"/>
                <w:b/>
                <w:color w:val="auto"/>
              </w:rPr>
            </w:pPr>
            <w:r>
              <w:rPr>
                <w:rFonts w:hint="eastAsia" w:ascii="宋体" w:hAnsi="宋体" w:cs="宋体"/>
                <w:b/>
                <w:color w:val="auto"/>
              </w:rPr>
              <w:t> </w:t>
            </w:r>
          </w:p>
        </w:tc>
        <w:tc>
          <w:tcPr>
            <w:tcW w:w="105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cs="宋体"/>
                <w:b/>
                <w:color w:val="auto"/>
              </w:rPr>
            </w:pPr>
            <w:r>
              <w:rPr>
                <w:rFonts w:hint="eastAsia" w:ascii="宋体" w:hAnsi="宋体" w:cs="宋体"/>
                <w:b/>
                <w:color w:val="auto"/>
              </w:rPr>
              <w:t> </w:t>
            </w:r>
          </w:p>
        </w:tc>
        <w:tc>
          <w:tcPr>
            <w:tcW w:w="105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cs="宋体"/>
                <w:b/>
                <w:color w:val="auto"/>
              </w:rPr>
            </w:pPr>
            <w:r>
              <w:rPr>
                <w:rFonts w:hint="eastAsia" w:ascii="宋体" w:hAnsi="宋体" w:cs="宋体"/>
                <w:b/>
                <w:color w:val="auto"/>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9" w:hRule="atLeast"/>
        </w:trPr>
        <w:tc>
          <w:tcPr>
            <w:tcW w:w="742"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宋体" w:hAnsi="宋体" w:cs="宋体"/>
                <w:color w:val="auto"/>
              </w:rPr>
            </w:pPr>
            <w:r>
              <w:rPr>
                <w:rFonts w:hint="eastAsia" w:ascii="宋体" w:hAnsi="宋体" w:cs="宋体"/>
                <w:color w:val="auto"/>
              </w:rPr>
              <w:t>3</w:t>
            </w:r>
          </w:p>
        </w:tc>
        <w:tc>
          <w:tcPr>
            <w:tcW w:w="1858"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rPr>
                <w:rFonts w:hint="eastAsia" w:ascii="宋体" w:hAnsi="宋体" w:cs="宋体"/>
                <w:color w:val="auto"/>
              </w:rPr>
            </w:pPr>
            <w:r>
              <w:rPr>
                <w:rFonts w:hint="eastAsia" w:ascii="宋体" w:hAnsi="宋体" w:cs="宋体"/>
                <w:color w:val="auto"/>
              </w:rPr>
              <w:t>报价项目完整性</w:t>
            </w:r>
          </w:p>
        </w:tc>
        <w:tc>
          <w:tcPr>
            <w:tcW w:w="371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rPr>
                <w:rFonts w:hint="eastAsia" w:ascii="宋体" w:hAnsi="宋体" w:cs="宋体"/>
                <w:color w:val="auto"/>
                <w:szCs w:val="21"/>
              </w:rPr>
            </w:pPr>
            <w:r>
              <w:rPr>
                <w:rFonts w:hint="eastAsia" w:ascii="宋体" w:hAnsi="宋体" w:cs="宋体"/>
                <w:color w:val="auto"/>
                <w:kern w:val="28"/>
                <w:szCs w:val="21"/>
              </w:rPr>
              <w:t>是否对本项目内所有的内容进行报价，漏报其报价将被拒绝</w:t>
            </w:r>
          </w:p>
        </w:tc>
        <w:tc>
          <w:tcPr>
            <w:tcW w:w="105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cs="宋体"/>
                <w:b/>
                <w:color w:val="auto"/>
              </w:rPr>
            </w:pPr>
            <w:r>
              <w:rPr>
                <w:rFonts w:hint="eastAsia" w:ascii="宋体" w:hAnsi="宋体" w:cs="宋体"/>
                <w:b/>
                <w:color w:val="auto"/>
              </w:rPr>
              <w:t> </w:t>
            </w:r>
          </w:p>
        </w:tc>
        <w:tc>
          <w:tcPr>
            <w:tcW w:w="105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cs="宋体"/>
                <w:b/>
                <w:color w:val="auto"/>
              </w:rPr>
            </w:pPr>
            <w:r>
              <w:rPr>
                <w:rFonts w:hint="eastAsia" w:ascii="宋体" w:hAnsi="宋体" w:cs="宋体"/>
                <w:b/>
                <w:color w:val="auto"/>
              </w:rPr>
              <w:t> </w:t>
            </w:r>
          </w:p>
        </w:tc>
        <w:tc>
          <w:tcPr>
            <w:tcW w:w="105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cs="宋体"/>
                <w:b/>
                <w:color w:val="auto"/>
              </w:rPr>
            </w:pPr>
            <w:r>
              <w:rPr>
                <w:rFonts w:hint="eastAsia" w:ascii="宋体" w:hAnsi="宋体" w:cs="宋体"/>
                <w:b/>
                <w:color w:val="auto"/>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9" w:hRule="atLeast"/>
        </w:trPr>
        <w:tc>
          <w:tcPr>
            <w:tcW w:w="742"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宋体" w:hAnsi="宋体" w:eastAsia="宋体" w:cs="宋体"/>
                <w:color w:val="auto"/>
                <w:kern w:val="2"/>
                <w:sz w:val="21"/>
                <w:lang w:val="en-US" w:eastAsia="zh-CN" w:bidi="ar-SA"/>
              </w:rPr>
            </w:pPr>
            <w:r>
              <w:rPr>
                <w:rFonts w:hint="eastAsia" w:ascii="宋体" w:hAnsi="宋体" w:cs="宋体"/>
                <w:color w:val="auto"/>
              </w:rPr>
              <w:t>4</w:t>
            </w:r>
          </w:p>
        </w:tc>
        <w:tc>
          <w:tcPr>
            <w:tcW w:w="1858"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rPr>
                <w:rFonts w:hint="eastAsia" w:ascii="宋体" w:hAnsi="宋体" w:eastAsia="宋体" w:cs="宋体"/>
                <w:color w:val="auto"/>
                <w:kern w:val="2"/>
                <w:sz w:val="21"/>
                <w:szCs w:val="21"/>
                <w:lang w:val="en-US" w:eastAsia="zh-CN" w:bidi="ar-SA"/>
              </w:rPr>
            </w:pPr>
            <w:r>
              <w:rPr>
                <w:rFonts w:hint="eastAsia" w:ascii="宋体" w:hAnsi="宋体" w:cs="宋体"/>
                <w:color w:val="auto"/>
                <w:szCs w:val="21"/>
              </w:rPr>
              <w:t>技术</w:t>
            </w:r>
            <w:r>
              <w:rPr>
                <w:rFonts w:hint="eastAsia" w:ascii="宋体" w:hAnsi="宋体" w:cs="宋体"/>
                <w:color w:val="auto"/>
                <w:szCs w:val="21"/>
                <w:lang w:eastAsia="zh-CN"/>
              </w:rPr>
              <w:t>响应</w:t>
            </w:r>
          </w:p>
        </w:tc>
        <w:tc>
          <w:tcPr>
            <w:tcW w:w="371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rPr>
                <w:rFonts w:hint="eastAsia" w:ascii="宋体" w:hAnsi="宋体" w:eastAsia="宋体" w:cs="宋体"/>
                <w:color w:val="auto"/>
                <w:kern w:val="28"/>
                <w:sz w:val="21"/>
                <w:szCs w:val="21"/>
                <w:lang w:val="en-US" w:eastAsia="zh-CN" w:bidi="ar-SA"/>
              </w:rPr>
            </w:pPr>
            <w:r>
              <w:rPr>
                <w:rFonts w:hint="eastAsia" w:ascii="宋体" w:hAnsi="宋体" w:cs="宋体"/>
                <w:color w:val="auto"/>
                <w:szCs w:val="21"/>
              </w:rPr>
              <w:t>供应商的技术参数、功能或资质是否全部满足（任一项不满足即报价无效）</w:t>
            </w:r>
          </w:p>
        </w:tc>
        <w:tc>
          <w:tcPr>
            <w:tcW w:w="105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cs="宋体"/>
                <w:b/>
                <w:color w:val="auto"/>
              </w:rPr>
            </w:pPr>
          </w:p>
        </w:tc>
        <w:tc>
          <w:tcPr>
            <w:tcW w:w="105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cs="宋体"/>
                <w:b/>
                <w:color w:val="auto"/>
              </w:rPr>
            </w:pPr>
          </w:p>
        </w:tc>
        <w:tc>
          <w:tcPr>
            <w:tcW w:w="105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cs="宋体"/>
                <w:b/>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742"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宋体" w:hAnsi="宋体" w:cs="宋体"/>
                <w:color w:val="auto"/>
              </w:rPr>
            </w:pPr>
            <w:r>
              <w:rPr>
                <w:rFonts w:hint="eastAsia" w:ascii="宋体" w:hAnsi="宋体" w:cs="宋体"/>
                <w:color w:val="auto"/>
                <w:lang w:val="en-US" w:eastAsia="zh-CN"/>
              </w:rPr>
              <w:t>5</w:t>
            </w:r>
          </w:p>
        </w:tc>
        <w:tc>
          <w:tcPr>
            <w:tcW w:w="1858"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rPr>
                <w:rFonts w:hint="eastAsia" w:ascii="宋体" w:hAnsi="宋体" w:cs="宋体"/>
                <w:color w:val="auto"/>
                <w:szCs w:val="21"/>
              </w:rPr>
            </w:pPr>
            <w:r>
              <w:rPr>
                <w:rFonts w:hint="eastAsia" w:ascii="宋体" w:hAnsi="宋体" w:cs="宋体"/>
                <w:color w:val="auto"/>
                <w:szCs w:val="21"/>
                <w:lang w:eastAsia="zh-CN"/>
              </w:rPr>
              <w:t>谈判</w:t>
            </w:r>
            <w:r>
              <w:rPr>
                <w:rFonts w:hint="eastAsia" w:ascii="宋体" w:hAnsi="宋体" w:cs="宋体"/>
                <w:color w:val="auto"/>
                <w:szCs w:val="21"/>
              </w:rPr>
              <w:t>保证金</w:t>
            </w:r>
          </w:p>
        </w:tc>
        <w:tc>
          <w:tcPr>
            <w:tcW w:w="371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rPr>
                <w:rFonts w:hint="eastAsia" w:ascii="宋体" w:hAnsi="宋体" w:cs="宋体"/>
                <w:color w:val="auto"/>
                <w:szCs w:val="21"/>
              </w:rPr>
            </w:pPr>
            <w:r>
              <w:rPr>
                <w:rFonts w:hint="eastAsia" w:ascii="宋体" w:hAnsi="宋体" w:cs="宋体"/>
                <w:color w:val="auto"/>
                <w:szCs w:val="21"/>
              </w:rPr>
              <w:t>是否提交</w:t>
            </w:r>
            <w:r>
              <w:rPr>
                <w:rFonts w:hint="eastAsia" w:ascii="宋体" w:hAnsi="宋体" w:cs="宋体"/>
                <w:color w:val="auto"/>
                <w:szCs w:val="21"/>
                <w:lang w:eastAsia="zh-CN"/>
              </w:rPr>
              <w:t>谈判</w:t>
            </w:r>
            <w:r>
              <w:rPr>
                <w:rFonts w:hint="eastAsia" w:ascii="宋体" w:hAnsi="宋体" w:cs="宋体"/>
                <w:color w:val="auto"/>
                <w:szCs w:val="21"/>
              </w:rPr>
              <w:t>保证金的</w:t>
            </w:r>
          </w:p>
        </w:tc>
        <w:tc>
          <w:tcPr>
            <w:tcW w:w="105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cs="宋体"/>
                <w:b/>
                <w:color w:val="auto"/>
              </w:rPr>
            </w:pPr>
            <w:r>
              <w:rPr>
                <w:rFonts w:hint="eastAsia" w:ascii="宋体" w:hAnsi="宋体" w:cs="宋体"/>
                <w:b/>
                <w:color w:val="auto"/>
              </w:rPr>
              <w:t> </w:t>
            </w:r>
          </w:p>
        </w:tc>
        <w:tc>
          <w:tcPr>
            <w:tcW w:w="105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cs="宋体"/>
                <w:b/>
                <w:color w:val="auto"/>
              </w:rPr>
            </w:pPr>
            <w:r>
              <w:rPr>
                <w:rFonts w:hint="eastAsia" w:ascii="宋体" w:hAnsi="宋体" w:cs="宋体"/>
                <w:b/>
                <w:color w:val="auto"/>
              </w:rPr>
              <w:t> </w:t>
            </w:r>
          </w:p>
        </w:tc>
        <w:tc>
          <w:tcPr>
            <w:tcW w:w="105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cs="宋体"/>
                <w:b/>
                <w:color w:val="auto"/>
              </w:rPr>
            </w:pPr>
            <w:r>
              <w:rPr>
                <w:rFonts w:hint="eastAsia" w:ascii="宋体" w:hAnsi="宋体" w:cs="宋体"/>
                <w:b/>
                <w:color w:val="auto"/>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742"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宋体" w:hAnsi="宋体" w:eastAsia="宋体" w:cs="宋体"/>
                <w:color w:val="auto"/>
                <w:lang w:eastAsia="zh-CN"/>
              </w:rPr>
            </w:pPr>
            <w:r>
              <w:rPr>
                <w:rFonts w:hint="eastAsia" w:ascii="宋体" w:hAnsi="宋体" w:cs="宋体"/>
                <w:color w:val="auto"/>
                <w:lang w:val="en-US" w:eastAsia="zh-CN"/>
              </w:rPr>
              <w:t>6</w:t>
            </w:r>
          </w:p>
        </w:tc>
        <w:tc>
          <w:tcPr>
            <w:tcW w:w="1858"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rPr>
                <w:rFonts w:hint="eastAsia" w:ascii="宋体" w:hAnsi="宋体" w:cs="宋体"/>
                <w:color w:val="auto"/>
              </w:rPr>
            </w:pPr>
            <w:r>
              <w:rPr>
                <w:rFonts w:hint="eastAsia" w:ascii="宋体" w:hAnsi="宋体" w:cs="宋体"/>
                <w:color w:val="auto"/>
              </w:rPr>
              <w:t>报价有效期</w:t>
            </w:r>
          </w:p>
        </w:tc>
        <w:tc>
          <w:tcPr>
            <w:tcW w:w="371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rPr>
                <w:rFonts w:hint="eastAsia" w:ascii="宋体" w:hAnsi="宋体" w:cs="宋体"/>
                <w:color w:val="auto"/>
              </w:rPr>
            </w:pPr>
            <w:r>
              <w:rPr>
                <w:rFonts w:hint="eastAsia" w:ascii="宋体" w:hAnsi="宋体" w:cs="宋体"/>
                <w:color w:val="auto"/>
              </w:rPr>
              <w:t>是否满足</w:t>
            </w:r>
            <w:r>
              <w:rPr>
                <w:rFonts w:hint="eastAsia" w:ascii="宋体" w:hAnsi="宋体" w:cs="宋体"/>
                <w:color w:val="auto"/>
                <w:lang w:val="en-US" w:eastAsia="zh-CN"/>
              </w:rPr>
              <w:t>竞争性</w:t>
            </w:r>
            <w:r>
              <w:rPr>
                <w:rFonts w:hint="eastAsia" w:ascii="宋体" w:hAnsi="宋体" w:cs="宋体"/>
                <w:color w:val="auto"/>
                <w:lang w:eastAsia="zh-CN"/>
              </w:rPr>
              <w:t>谈判</w:t>
            </w:r>
            <w:r>
              <w:rPr>
                <w:rFonts w:hint="eastAsia" w:ascii="宋体" w:hAnsi="宋体" w:cs="宋体"/>
                <w:color w:val="auto"/>
              </w:rPr>
              <w:t>文件要求</w:t>
            </w:r>
          </w:p>
        </w:tc>
        <w:tc>
          <w:tcPr>
            <w:tcW w:w="105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cs="宋体"/>
                <w:b/>
                <w:color w:val="auto"/>
              </w:rPr>
            </w:pPr>
            <w:r>
              <w:rPr>
                <w:rFonts w:hint="eastAsia" w:ascii="宋体" w:hAnsi="宋体" w:cs="宋体"/>
                <w:b/>
                <w:color w:val="auto"/>
              </w:rPr>
              <w:t> </w:t>
            </w:r>
          </w:p>
        </w:tc>
        <w:tc>
          <w:tcPr>
            <w:tcW w:w="105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cs="宋体"/>
                <w:b/>
                <w:color w:val="auto"/>
              </w:rPr>
            </w:pPr>
            <w:r>
              <w:rPr>
                <w:rFonts w:hint="eastAsia" w:ascii="宋体" w:hAnsi="宋体" w:cs="宋体"/>
                <w:b/>
                <w:color w:val="auto"/>
              </w:rPr>
              <w:t> </w:t>
            </w:r>
          </w:p>
        </w:tc>
        <w:tc>
          <w:tcPr>
            <w:tcW w:w="105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cs="宋体"/>
                <w:b/>
                <w:color w:val="auto"/>
              </w:rPr>
            </w:pPr>
            <w:r>
              <w:rPr>
                <w:rFonts w:hint="eastAsia" w:ascii="宋体" w:hAnsi="宋体" w:cs="宋体"/>
                <w:b/>
                <w:color w:val="auto"/>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742"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宋体" w:hAnsi="宋体" w:eastAsia="宋体" w:cs="宋体"/>
                <w:color w:val="auto"/>
                <w:lang w:eastAsia="zh-CN"/>
              </w:rPr>
            </w:pPr>
            <w:r>
              <w:rPr>
                <w:rFonts w:hint="eastAsia" w:ascii="宋体" w:hAnsi="宋体" w:cs="宋体"/>
                <w:color w:val="auto"/>
                <w:lang w:val="en-US" w:eastAsia="zh-CN"/>
              </w:rPr>
              <w:t>7</w:t>
            </w:r>
          </w:p>
        </w:tc>
        <w:tc>
          <w:tcPr>
            <w:tcW w:w="1858"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rPr>
                <w:rFonts w:hint="default" w:ascii="宋体" w:hAnsi="宋体" w:eastAsia="宋体" w:cs="宋体"/>
                <w:color w:val="auto"/>
                <w:lang w:val="en-US" w:eastAsia="zh-CN"/>
              </w:rPr>
            </w:pPr>
            <w:r>
              <w:rPr>
                <w:rFonts w:hint="default" w:ascii="宋体" w:hAnsi="宋体" w:eastAsia="宋体" w:cs="宋体"/>
                <w:color w:val="auto"/>
                <w:lang w:val="en-US" w:eastAsia="zh-CN"/>
              </w:rPr>
              <w:t>合同履行期限</w:t>
            </w:r>
          </w:p>
        </w:tc>
        <w:tc>
          <w:tcPr>
            <w:tcW w:w="371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rPr>
                <w:rFonts w:hint="eastAsia" w:ascii="宋体" w:hAnsi="宋体" w:cs="宋体"/>
                <w:color w:val="auto"/>
                <w:szCs w:val="21"/>
              </w:rPr>
            </w:pPr>
            <w:r>
              <w:rPr>
                <w:rFonts w:hint="eastAsia" w:ascii="宋体" w:hAnsi="宋体" w:cs="宋体"/>
                <w:color w:val="auto"/>
              </w:rPr>
              <w:t>是否满足</w:t>
            </w:r>
            <w:r>
              <w:rPr>
                <w:rFonts w:hint="eastAsia" w:ascii="宋体" w:hAnsi="宋体" w:cs="宋体"/>
                <w:color w:val="auto"/>
                <w:lang w:val="en-US" w:eastAsia="zh-CN"/>
              </w:rPr>
              <w:t>竞争性</w:t>
            </w:r>
            <w:r>
              <w:rPr>
                <w:rFonts w:hint="eastAsia" w:ascii="宋体" w:hAnsi="宋体" w:cs="宋体"/>
                <w:color w:val="auto"/>
                <w:lang w:eastAsia="zh-CN"/>
              </w:rPr>
              <w:t>谈判</w:t>
            </w:r>
            <w:r>
              <w:rPr>
                <w:rFonts w:hint="eastAsia" w:ascii="宋体" w:hAnsi="宋体" w:cs="宋体"/>
                <w:color w:val="auto"/>
              </w:rPr>
              <w:t>文件要求</w:t>
            </w:r>
          </w:p>
        </w:tc>
        <w:tc>
          <w:tcPr>
            <w:tcW w:w="1053"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宋体" w:hAnsi="宋体" w:cs="宋体"/>
                <w:color w:val="auto"/>
                <w:szCs w:val="21"/>
              </w:rPr>
            </w:pPr>
          </w:p>
        </w:tc>
        <w:tc>
          <w:tcPr>
            <w:tcW w:w="105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cs="宋体"/>
                <w:b/>
                <w:color w:val="auto"/>
              </w:rPr>
            </w:pPr>
            <w:r>
              <w:rPr>
                <w:rFonts w:hint="eastAsia" w:ascii="宋体" w:hAnsi="宋体" w:cs="宋体"/>
                <w:b/>
                <w:color w:val="auto"/>
              </w:rPr>
              <w:t> </w:t>
            </w:r>
          </w:p>
        </w:tc>
        <w:tc>
          <w:tcPr>
            <w:tcW w:w="105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cs="宋体"/>
                <w:b/>
                <w:color w:val="auto"/>
              </w:rPr>
            </w:pPr>
            <w:r>
              <w:rPr>
                <w:rFonts w:hint="eastAsia" w:ascii="宋体" w:hAnsi="宋体" w:cs="宋体"/>
                <w:b/>
                <w:color w:val="auto"/>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742"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宋体" w:hAnsi="宋体" w:eastAsia="宋体" w:cs="宋体"/>
                <w:color w:val="auto"/>
                <w:lang w:eastAsia="zh-CN"/>
              </w:rPr>
            </w:pPr>
            <w:r>
              <w:rPr>
                <w:rFonts w:hint="eastAsia" w:ascii="宋体" w:hAnsi="宋体" w:cs="宋体"/>
                <w:color w:val="auto"/>
                <w:lang w:val="en-US" w:eastAsia="zh-CN"/>
              </w:rPr>
              <w:t>8</w:t>
            </w:r>
          </w:p>
        </w:tc>
        <w:tc>
          <w:tcPr>
            <w:tcW w:w="1858"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rPr>
                <w:rFonts w:hint="eastAsia" w:ascii="宋体" w:hAnsi="宋体" w:eastAsia="宋体" w:cs="宋体"/>
                <w:color w:val="auto"/>
                <w:lang w:val="en-US" w:eastAsia="zh-CN"/>
              </w:rPr>
            </w:pPr>
            <w:r>
              <w:rPr>
                <w:rFonts w:hint="eastAsia" w:ascii="宋体" w:hAnsi="宋体" w:cs="宋体"/>
                <w:color w:val="auto"/>
              </w:rPr>
              <w:t>其</w:t>
            </w:r>
            <w:r>
              <w:rPr>
                <w:rFonts w:hint="eastAsia" w:ascii="宋体" w:hAnsi="宋体" w:cs="宋体"/>
                <w:color w:val="auto"/>
                <w:lang w:val="en-US" w:eastAsia="zh-CN"/>
              </w:rPr>
              <w:t>他</w:t>
            </w:r>
          </w:p>
        </w:tc>
        <w:tc>
          <w:tcPr>
            <w:tcW w:w="371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rPr>
                <w:rFonts w:hint="eastAsia" w:ascii="宋体" w:hAnsi="宋体" w:cs="宋体"/>
                <w:color w:val="auto"/>
              </w:rPr>
            </w:pPr>
            <w:r>
              <w:rPr>
                <w:rFonts w:hint="eastAsia" w:ascii="宋体" w:hAnsi="宋体" w:cs="宋体"/>
                <w:color w:val="auto"/>
              </w:rPr>
              <w:t>无其</w:t>
            </w:r>
            <w:r>
              <w:rPr>
                <w:rFonts w:hint="eastAsia" w:ascii="宋体" w:hAnsi="宋体" w:cs="宋体"/>
                <w:color w:val="auto"/>
                <w:lang w:eastAsia="zh-CN"/>
              </w:rPr>
              <w:t>他</w:t>
            </w:r>
            <w:r>
              <w:rPr>
                <w:rFonts w:hint="eastAsia" w:ascii="宋体" w:hAnsi="宋体" w:cs="宋体"/>
                <w:color w:val="auto"/>
              </w:rPr>
              <w:t>无效认定条件</w:t>
            </w:r>
          </w:p>
        </w:tc>
        <w:tc>
          <w:tcPr>
            <w:tcW w:w="105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cs="宋体"/>
                <w:b/>
                <w:color w:val="auto"/>
              </w:rPr>
            </w:pPr>
          </w:p>
        </w:tc>
        <w:tc>
          <w:tcPr>
            <w:tcW w:w="105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cs="宋体"/>
                <w:b/>
                <w:color w:val="auto"/>
              </w:rPr>
            </w:pPr>
          </w:p>
        </w:tc>
        <w:tc>
          <w:tcPr>
            <w:tcW w:w="105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cs="宋体"/>
                <w:b/>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7" w:hRule="atLeast"/>
        </w:trPr>
        <w:tc>
          <w:tcPr>
            <w:tcW w:w="6317" w:type="dxa"/>
            <w:gridSpan w:val="3"/>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宋体" w:hAnsi="宋体" w:cs="宋体"/>
                <w:color w:val="auto"/>
              </w:rPr>
            </w:pPr>
            <w:r>
              <w:rPr>
                <w:rFonts w:hint="eastAsia" w:ascii="宋体" w:hAnsi="宋体" w:cs="宋体"/>
                <w:color w:val="auto"/>
              </w:rPr>
              <w:t xml:space="preserve">                </w:t>
            </w:r>
            <w:r>
              <w:rPr>
                <w:rFonts w:hint="eastAsia" w:ascii="宋体" w:hAnsi="宋体" w:cs="宋体"/>
                <w:color w:val="FF0000"/>
              </w:rPr>
              <w:t xml:space="preserve"> </w:t>
            </w:r>
            <w:r>
              <w:rPr>
                <w:rFonts w:hint="eastAsia" w:ascii="宋体" w:hAnsi="宋体" w:cs="宋体"/>
                <w:color w:val="auto"/>
              </w:rPr>
              <w:t xml:space="preserve"> </w:t>
            </w:r>
            <w:r>
              <w:rPr>
                <w:rFonts w:hint="eastAsia" w:ascii="宋体" w:hAnsi="宋体" w:cs="宋体"/>
                <w:b/>
                <w:color w:val="auto"/>
              </w:rPr>
              <w:t>结         论</w:t>
            </w:r>
          </w:p>
        </w:tc>
        <w:tc>
          <w:tcPr>
            <w:tcW w:w="105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cs="宋体"/>
                <w:b/>
                <w:color w:val="auto"/>
              </w:rPr>
            </w:pPr>
            <w:r>
              <w:rPr>
                <w:rFonts w:hint="eastAsia" w:ascii="宋体" w:hAnsi="宋体" w:cs="宋体"/>
                <w:b/>
                <w:color w:val="auto"/>
              </w:rPr>
              <w:t> </w:t>
            </w:r>
          </w:p>
        </w:tc>
        <w:tc>
          <w:tcPr>
            <w:tcW w:w="105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cs="宋体"/>
                <w:b/>
                <w:color w:val="auto"/>
              </w:rPr>
            </w:pPr>
            <w:r>
              <w:rPr>
                <w:rFonts w:hint="eastAsia" w:ascii="宋体" w:hAnsi="宋体" w:cs="宋体"/>
                <w:b/>
                <w:color w:val="auto"/>
              </w:rPr>
              <w:t> </w:t>
            </w:r>
          </w:p>
        </w:tc>
        <w:tc>
          <w:tcPr>
            <w:tcW w:w="105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cs="宋体"/>
                <w:b/>
                <w:color w:val="auto"/>
              </w:rPr>
            </w:pPr>
            <w:r>
              <w:rPr>
                <w:rFonts w:hint="eastAsia" w:ascii="宋体" w:hAnsi="宋体" w:cs="宋体"/>
                <w:b/>
                <w:color w:val="auto"/>
              </w:rPr>
              <w:t> </w:t>
            </w:r>
          </w:p>
        </w:tc>
      </w:tr>
    </w:tbl>
    <w:p>
      <w:pPr>
        <w:spacing w:line="360" w:lineRule="auto"/>
        <w:rPr>
          <w:rFonts w:hint="eastAsia" w:ascii="宋体" w:hAnsi="宋体" w:cs="宋体"/>
          <w:color w:val="auto"/>
          <w:szCs w:val="21"/>
        </w:rPr>
      </w:pPr>
    </w:p>
    <w:p>
      <w:pPr>
        <w:spacing w:line="360" w:lineRule="auto"/>
        <w:rPr>
          <w:rFonts w:hint="eastAsia" w:ascii="宋体" w:hAnsi="宋体" w:cs="宋体"/>
          <w:color w:val="auto"/>
          <w:szCs w:val="21"/>
        </w:rPr>
      </w:pPr>
      <w:r>
        <w:rPr>
          <w:rFonts w:hint="eastAsia" w:ascii="宋体" w:hAnsi="宋体" w:cs="宋体"/>
          <w:color w:val="auto"/>
          <w:szCs w:val="21"/>
        </w:rPr>
        <w:t>1、表中只需填写“√/通过”或“×/不通过”。</w:t>
      </w:r>
    </w:p>
    <w:p>
      <w:pPr>
        <w:spacing w:line="360" w:lineRule="auto"/>
        <w:rPr>
          <w:rFonts w:hint="eastAsia" w:ascii="宋体" w:hAnsi="宋体" w:cs="宋体"/>
          <w:color w:val="auto"/>
          <w:szCs w:val="21"/>
        </w:rPr>
      </w:pPr>
      <w:r>
        <w:rPr>
          <w:rFonts w:hint="eastAsia" w:ascii="宋体" w:hAnsi="宋体" w:cs="宋体"/>
          <w:color w:val="auto"/>
          <w:szCs w:val="21"/>
        </w:rPr>
        <w:t>2、在结论中按“一项否决”的原则，只有全部是√/通过的，填写“合格”；只要其中有一项是×/不通过的，填写“不合格”。</w:t>
      </w:r>
    </w:p>
    <w:p>
      <w:pPr>
        <w:spacing w:line="360" w:lineRule="auto"/>
        <w:rPr>
          <w:rFonts w:hint="eastAsia" w:ascii="宋体" w:hAnsi="宋体" w:cs="宋体"/>
          <w:color w:val="auto"/>
          <w:sz w:val="24"/>
        </w:rPr>
      </w:pPr>
      <w:r>
        <w:rPr>
          <w:rFonts w:hint="eastAsia" w:ascii="宋体" w:hAnsi="宋体" w:cs="宋体"/>
          <w:color w:val="auto"/>
          <w:szCs w:val="21"/>
        </w:rPr>
        <w:t>3、结论是合格的，才能进入下一轮；不合格的被淘汰。</w:t>
      </w:r>
    </w:p>
    <w:p>
      <w:pPr>
        <w:spacing w:line="480" w:lineRule="exact"/>
        <w:rPr>
          <w:rFonts w:hint="eastAsia" w:ascii="宋体" w:hAnsi="宋体" w:cs="宋体"/>
          <w:color w:val="auto"/>
          <w:sz w:val="24"/>
        </w:rPr>
      </w:pPr>
      <w:r>
        <w:rPr>
          <w:rFonts w:hint="eastAsia" w:ascii="宋体" w:hAnsi="宋体" w:cs="宋体"/>
          <w:color w:val="auto"/>
          <w:sz w:val="24"/>
        </w:rPr>
        <w:t>评委：                                              日期：</w:t>
      </w:r>
    </w:p>
    <w:p>
      <w:pPr>
        <w:pStyle w:val="8"/>
        <w:numPr>
          <w:ilvl w:val="0"/>
          <w:numId w:val="0"/>
        </w:numPr>
        <w:rPr>
          <w:rFonts w:hint="eastAsia"/>
        </w:rPr>
      </w:pPr>
    </w:p>
    <w:p>
      <w:pPr>
        <w:rPr>
          <w:rFonts w:ascii="仿宋" w:hAnsi="仿宋" w:eastAsia="仿宋" w:cs="仿宋"/>
          <w:color w:val="000000" w:themeColor="text1"/>
          <w14:textFill>
            <w14:solidFill>
              <w14:schemeClr w14:val="tx1"/>
            </w14:solidFill>
          </w14:textFill>
        </w:rPr>
      </w:pPr>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fldChar w:fldCharType="begin"/>
    </w:r>
    <w:r>
      <w:instrText xml:space="preserve">PAGE   \* MERGEFORMAT</w:instrText>
    </w:r>
    <w:r>
      <w:fldChar w:fldCharType="separate"/>
    </w:r>
    <w:r>
      <w:rPr>
        <w:lang w:val="zh-CN"/>
      </w:rPr>
      <w:t>53</w:t>
    </w:r>
    <w:r>
      <w:rPr>
        <w:lang w:val="zh-CN"/>
      </w:rPr>
      <w:fldChar w:fldCharType="end"/>
    </w:r>
  </w:p>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9"/>
      </w:rPr>
    </w:pPr>
    <w:r>
      <w:fldChar w:fldCharType="begin"/>
    </w:r>
    <w:r>
      <w:rPr>
        <w:rStyle w:val="29"/>
      </w:rPr>
      <w:instrText xml:space="preserve">PAGE  </w:instrText>
    </w:r>
    <w:r>
      <w:fldChar w:fldCharType="separate"/>
    </w:r>
    <w:r>
      <w:rPr>
        <w:rStyle w:val="29"/>
      </w:rPr>
      <w:t>28</w:t>
    </w:r>
    <w:r>
      <w:fldChar w:fldCharType="end"/>
    </w:r>
  </w:p>
  <w:p>
    <w:pPr>
      <w:pStyle w:val="17"/>
      <w:rPr>
        <w:rFonts w:hint="eastAsi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7BA76F"/>
    <w:multiLevelType w:val="singleLevel"/>
    <w:tmpl w:val="917BA76F"/>
    <w:lvl w:ilvl="0" w:tentative="0">
      <w:start w:val="1"/>
      <w:numFmt w:val="chineseCounting"/>
      <w:suff w:val="nothing"/>
      <w:lvlText w:val="（%1）"/>
      <w:lvlJc w:val="left"/>
      <w:rPr>
        <w:rFonts w:hint="eastAsia"/>
        <w:color w:val="auto"/>
      </w:rPr>
    </w:lvl>
  </w:abstractNum>
  <w:abstractNum w:abstractNumId="1">
    <w:nsid w:val="B2C2E46E"/>
    <w:multiLevelType w:val="singleLevel"/>
    <w:tmpl w:val="B2C2E46E"/>
    <w:lvl w:ilvl="0" w:tentative="0">
      <w:start w:val="2"/>
      <w:numFmt w:val="decimal"/>
      <w:suff w:val="nothing"/>
      <w:lvlText w:val="%1、"/>
      <w:lvlJc w:val="left"/>
    </w:lvl>
  </w:abstractNum>
  <w:abstractNum w:abstractNumId="2">
    <w:nsid w:val="DD8549C2"/>
    <w:multiLevelType w:val="singleLevel"/>
    <w:tmpl w:val="DD8549C2"/>
    <w:lvl w:ilvl="0" w:tentative="0">
      <w:start w:val="2"/>
      <w:numFmt w:val="decimal"/>
      <w:suff w:val="nothing"/>
      <w:lvlText w:val="%1、"/>
      <w:lvlJc w:val="left"/>
    </w:lvl>
  </w:abstractNum>
  <w:abstractNum w:abstractNumId="3">
    <w:nsid w:val="6AAA39C2"/>
    <w:multiLevelType w:val="multilevel"/>
    <w:tmpl w:val="6AAA39C2"/>
    <w:lvl w:ilvl="0" w:tentative="0">
      <w:start w:val="1"/>
      <w:numFmt w:val="decimal"/>
      <w:pStyle w:val="112"/>
      <w:lvlText w:val="%1、"/>
      <w:lvlJc w:val="left"/>
      <w:pPr>
        <w:tabs>
          <w:tab w:val="left" w:pos="840"/>
        </w:tabs>
        <w:ind w:left="840" w:hanging="420"/>
      </w:pPr>
      <w:rPr>
        <w:rFonts w:hint="eastAsia" w:cs="Times New Roman"/>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hideSpellingError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B3E"/>
    <w:rsid w:val="00023B40"/>
    <w:rsid w:val="000449D9"/>
    <w:rsid w:val="000557D2"/>
    <w:rsid w:val="0006170A"/>
    <w:rsid w:val="000761F6"/>
    <w:rsid w:val="00090D74"/>
    <w:rsid w:val="000B1CC4"/>
    <w:rsid w:val="000B7AFB"/>
    <w:rsid w:val="000C09E3"/>
    <w:rsid w:val="000C329D"/>
    <w:rsid w:val="000D0B3E"/>
    <w:rsid w:val="000D4D83"/>
    <w:rsid w:val="000E30B5"/>
    <w:rsid w:val="000F3493"/>
    <w:rsid w:val="000F5B49"/>
    <w:rsid w:val="00103CBC"/>
    <w:rsid w:val="00117C90"/>
    <w:rsid w:val="00120A67"/>
    <w:rsid w:val="001270B5"/>
    <w:rsid w:val="00134DF0"/>
    <w:rsid w:val="001554DE"/>
    <w:rsid w:val="00157255"/>
    <w:rsid w:val="00161846"/>
    <w:rsid w:val="001623CA"/>
    <w:rsid w:val="00170356"/>
    <w:rsid w:val="00186223"/>
    <w:rsid w:val="00197773"/>
    <w:rsid w:val="001A657A"/>
    <w:rsid w:val="001B623C"/>
    <w:rsid w:val="001B772A"/>
    <w:rsid w:val="001E35A5"/>
    <w:rsid w:val="00206362"/>
    <w:rsid w:val="00216159"/>
    <w:rsid w:val="0021659F"/>
    <w:rsid w:val="00223EE0"/>
    <w:rsid w:val="00225734"/>
    <w:rsid w:val="00261048"/>
    <w:rsid w:val="00262E48"/>
    <w:rsid w:val="002646D3"/>
    <w:rsid w:val="00271E6F"/>
    <w:rsid w:val="002B12B9"/>
    <w:rsid w:val="002C6E14"/>
    <w:rsid w:val="002D2773"/>
    <w:rsid w:val="002E1E05"/>
    <w:rsid w:val="00303526"/>
    <w:rsid w:val="00324275"/>
    <w:rsid w:val="00333408"/>
    <w:rsid w:val="00371C55"/>
    <w:rsid w:val="0037558B"/>
    <w:rsid w:val="0038372B"/>
    <w:rsid w:val="00390778"/>
    <w:rsid w:val="0039080C"/>
    <w:rsid w:val="00392552"/>
    <w:rsid w:val="003E7452"/>
    <w:rsid w:val="004105B6"/>
    <w:rsid w:val="00420B99"/>
    <w:rsid w:val="00437A6F"/>
    <w:rsid w:val="0045095C"/>
    <w:rsid w:val="00457BD0"/>
    <w:rsid w:val="00481552"/>
    <w:rsid w:val="00492AFF"/>
    <w:rsid w:val="004D5E74"/>
    <w:rsid w:val="004E3A39"/>
    <w:rsid w:val="004E5587"/>
    <w:rsid w:val="005100C5"/>
    <w:rsid w:val="00516BF5"/>
    <w:rsid w:val="00521393"/>
    <w:rsid w:val="00521701"/>
    <w:rsid w:val="00531929"/>
    <w:rsid w:val="00533BAC"/>
    <w:rsid w:val="005477D7"/>
    <w:rsid w:val="00552742"/>
    <w:rsid w:val="00562C89"/>
    <w:rsid w:val="005848A2"/>
    <w:rsid w:val="00584A80"/>
    <w:rsid w:val="00584C7C"/>
    <w:rsid w:val="005858CC"/>
    <w:rsid w:val="005906DD"/>
    <w:rsid w:val="005943EC"/>
    <w:rsid w:val="0059491E"/>
    <w:rsid w:val="005B3952"/>
    <w:rsid w:val="005C3201"/>
    <w:rsid w:val="005E0427"/>
    <w:rsid w:val="005E2013"/>
    <w:rsid w:val="005F09DA"/>
    <w:rsid w:val="00600A4A"/>
    <w:rsid w:val="00630822"/>
    <w:rsid w:val="00646EBB"/>
    <w:rsid w:val="00651A3A"/>
    <w:rsid w:val="006664BA"/>
    <w:rsid w:val="006721EE"/>
    <w:rsid w:val="00673AA6"/>
    <w:rsid w:val="00675E53"/>
    <w:rsid w:val="00680DEC"/>
    <w:rsid w:val="006926C6"/>
    <w:rsid w:val="00694AA9"/>
    <w:rsid w:val="006B1F47"/>
    <w:rsid w:val="006C64B0"/>
    <w:rsid w:val="006D5F03"/>
    <w:rsid w:val="006D7A24"/>
    <w:rsid w:val="006F59E3"/>
    <w:rsid w:val="00704100"/>
    <w:rsid w:val="007300EE"/>
    <w:rsid w:val="00737C03"/>
    <w:rsid w:val="007436BB"/>
    <w:rsid w:val="00743927"/>
    <w:rsid w:val="007468A9"/>
    <w:rsid w:val="0075049B"/>
    <w:rsid w:val="0075412C"/>
    <w:rsid w:val="00783728"/>
    <w:rsid w:val="0078583C"/>
    <w:rsid w:val="007932F9"/>
    <w:rsid w:val="007B1AA6"/>
    <w:rsid w:val="007C5E1C"/>
    <w:rsid w:val="007C7054"/>
    <w:rsid w:val="007D52C0"/>
    <w:rsid w:val="007F23D5"/>
    <w:rsid w:val="00802D2A"/>
    <w:rsid w:val="00804522"/>
    <w:rsid w:val="00814F99"/>
    <w:rsid w:val="00815784"/>
    <w:rsid w:val="0083283F"/>
    <w:rsid w:val="00841E5B"/>
    <w:rsid w:val="00841FBE"/>
    <w:rsid w:val="00850158"/>
    <w:rsid w:val="00850C6D"/>
    <w:rsid w:val="00857286"/>
    <w:rsid w:val="008640E9"/>
    <w:rsid w:val="00865B4E"/>
    <w:rsid w:val="00870B8C"/>
    <w:rsid w:val="00881DAF"/>
    <w:rsid w:val="008955F2"/>
    <w:rsid w:val="008A7C28"/>
    <w:rsid w:val="008C060F"/>
    <w:rsid w:val="008C19C5"/>
    <w:rsid w:val="008C2A11"/>
    <w:rsid w:val="008E0C26"/>
    <w:rsid w:val="008E71DE"/>
    <w:rsid w:val="008F758E"/>
    <w:rsid w:val="009111E7"/>
    <w:rsid w:val="0091161E"/>
    <w:rsid w:val="00911B13"/>
    <w:rsid w:val="00917A40"/>
    <w:rsid w:val="00946C82"/>
    <w:rsid w:val="009501B4"/>
    <w:rsid w:val="00987B29"/>
    <w:rsid w:val="009A3984"/>
    <w:rsid w:val="009B74D6"/>
    <w:rsid w:val="009C30A4"/>
    <w:rsid w:val="009D0145"/>
    <w:rsid w:val="009D7941"/>
    <w:rsid w:val="009E517F"/>
    <w:rsid w:val="009F315E"/>
    <w:rsid w:val="009F4D17"/>
    <w:rsid w:val="00A050C8"/>
    <w:rsid w:val="00A11565"/>
    <w:rsid w:val="00A1446A"/>
    <w:rsid w:val="00A14721"/>
    <w:rsid w:val="00A23EA2"/>
    <w:rsid w:val="00A37010"/>
    <w:rsid w:val="00A46942"/>
    <w:rsid w:val="00A658A1"/>
    <w:rsid w:val="00A770E2"/>
    <w:rsid w:val="00A914CD"/>
    <w:rsid w:val="00A93364"/>
    <w:rsid w:val="00A9568E"/>
    <w:rsid w:val="00A97A79"/>
    <w:rsid w:val="00AB5B52"/>
    <w:rsid w:val="00AD53BE"/>
    <w:rsid w:val="00AD69DB"/>
    <w:rsid w:val="00AE6BE5"/>
    <w:rsid w:val="00AE7A18"/>
    <w:rsid w:val="00AF2CEC"/>
    <w:rsid w:val="00B0236F"/>
    <w:rsid w:val="00B13DAE"/>
    <w:rsid w:val="00B1459D"/>
    <w:rsid w:val="00B145B4"/>
    <w:rsid w:val="00B20FE0"/>
    <w:rsid w:val="00B257FB"/>
    <w:rsid w:val="00B4258C"/>
    <w:rsid w:val="00B438ED"/>
    <w:rsid w:val="00B71554"/>
    <w:rsid w:val="00B718BA"/>
    <w:rsid w:val="00B81AF4"/>
    <w:rsid w:val="00B901DA"/>
    <w:rsid w:val="00B9165C"/>
    <w:rsid w:val="00BA1DA9"/>
    <w:rsid w:val="00BB3F94"/>
    <w:rsid w:val="00BD6323"/>
    <w:rsid w:val="00BE032C"/>
    <w:rsid w:val="00BE3B54"/>
    <w:rsid w:val="00BF653B"/>
    <w:rsid w:val="00C0499B"/>
    <w:rsid w:val="00C0502A"/>
    <w:rsid w:val="00C269D6"/>
    <w:rsid w:val="00C5084F"/>
    <w:rsid w:val="00C70ECD"/>
    <w:rsid w:val="00C856BA"/>
    <w:rsid w:val="00CB5B85"/>
    <w:rsid w:val="00CC5935"/>
    <w:rsid w:val="00CE7191"/>
    <w:rsid w:val="00D239C8"/>
    <w:rsid w:val="00D265A8"/>
    <w:rsid w:val="00D36349"/>
    <w:rsid w:val="00D56184"/>
    <w:rsid w:val="00D60398"/>
    <w:rsid w:val="00D73276"/>
    <w:rsid w:val="00D81674"/>
    <w:rsid w:val="00D84936"/>
    <w:rsid w:val="00D85966"/>
    <w:rsid w:val="00DB0B78"/>
    <w:rsid w:val="00DB1269"/>
    <w:rsid w:val="00DC5E3F"/>
    <w:rsid w:val="00DD34EF"/>
    <w:rsid w:val="00DD6BFA"/>
    <w:rsid w:val="00DE2EEA"/>
    <w:rsid w:val="00E040DA"/>
    <w:rsid w:val="00E13B5F"/>
    <w:rsid w:val="00E24383"/>
    <w:rsid w:val="00E26076"/>
    <w:rsid w:val="00E31FA5"/>
    <w:rsid w:val="00E34C61"/>
    <w:rsid w:val="00E4328F"/>
    <w:rsid w:val="00E5423F"/>
    <w:rsid w:val="00E60E15"/>
    <w:rsid w:val="00E701AC"/>
    <w:rsid w:val="00E82C68"/>
    <w:rsid w:val="00EA3AB9"/>
    <w:rsid w:val="00EA48BC"/>
    <w:rsid w:val="00EB144C"/>
    <w:rsid w:val="00EC24C6"/>
    <w:rsid w:val="00EC6687"/>
    <w:rsid w:val="00ED5A12"/>
    <w:rsid w:val="00EF3F0B"/>
    <w:rsid w:val="00EF5402"/>
    <w:rsid w:val="00F1013F"/>
    <w:rsid w:val="00F111BB"/>
    <w:rsid w:val="00F1533C"/>
    <w:rsid w:val="00F23BA5"/>
    <w:rsid w:val="00F25A57"/>
    <w:rsid w:val="00F40121"/>
    <w:rsid w:val="00F42015"/>
    <w:rsid w:val="00F5156E"/>
    <w:rsid w:val="00F56AD3"/>
    <w:rsid w:val="00F6323F"/>
    <w:rsid w:val="00F649DF"/>
    <w:rsid w:val="00F85315"/>
    <w:rsid w:val="00FB2975"/>
    <w:rsid w:val="00FC2547"/>
    <w:rsid w:val="00FD7C9F"/>
    <w:rsid w:val="00FF1F91"/>
    <w:rsid w:val="00FF3CBA"/>
    <w:rsid w:val="01105490"/>
    <w:rsid w:val="029C5D53"/>
    <w:rsid w:val="031629F3"/>
    <w:rsid w:val="03775773"/>
    <w:rsid w:val="03964D0D"/>
    <w:rsid w:val="04ED064B"/>
    <w:rsid w:val="05730AE9"/>
    <w:rsid w:val="058721F8"/>
    <w:rsid w:val="05994FE7"/>
    <w:rsid w:val="05B74AFB"/>
    <w:rsid w:val="063740F5"/>
    <w:rsid w:val="06DC784B"/>
    <w:rsid w:val="074E0713"/>
    <w:rsid w:val="08261541"/>
    <w:rsid w:val="098B19C6"/>
    <w:rsid w:val="0A423E84"/>
    <w:rsid w:val="0A5D4F05"/>
    <w:rsid w:val="0A7C6EFC"/>
    <w:rsid w:val="0B5437E6"/>
    <w:rsid w:val="0C4A64EF"/>
    <w:rsid w:val="0C943AA2"/>
    <w:rsid w:val="0DB17C78"/>
    <w:rsid w:val="0F02785E"/>
    <w:rsid w:val="0F03753E"/>
    <w:rsid w:val="0FBE32B3"/>
    <w:rsid w:val="103D284F"/>
    <w:rsid w:val="107527EB"/>
    <w:rsid w:val="129D4084"/>
    <w:rsid w:val="12A562B5"/>
    <w:rsid w:val="156022C5"/>
    <w:rsid w:val="15CB2D8A"/>
    <w:rsid w:val="16797DA3"/>
    <w:rsid w:val="16C72A54"/>
    <w:rsid w:val="17D05333"/>
    <w:rsid w:val="18770500"/>
    <w:rsid w:val="1B793BA7"/>
    <w:rsid w:val="1BC6196C"/>
    <w:rsid w:val="1CCB06E1"/>
    <w:rsid w:val="1D17436E"/>
    <w:rsid w:val="1D8D0F45"/>
    <w:rsid w:val="1DDC0C8A"/>
    <w:rsid w:val="1EAB3048"/>
    <w:rsid w:val="1F7A4EC9"/>
    <w:rsid w:val="205A6588"/>
    <w:rsid w:val="20F143C2"/>
    <w:rsid w:val="2158675C"/>
    <w:rsid w:val="21BF6A73"/>
    <w:rsid w:val="221E2AF7"/>
    <w:rsid w:val="24E95804"/>
    <w:rsid w:val="253220B8"/>
    <w:rsid w:val="26540F79"/>
    <w:rsid w:val="27810683"/>
    <w:rsid w:val="279D33B3"/>
    <w:rsid w:val="27ED16AE"/>
    <w:rsid w:val="280478D6"/>
    <w:rsid w:val="28447A04"/>
    <w:rsid w:val="2918611D"/>
    <w:rsid w:val="295A634E"/>
    <w:rsid w:val="29710E42"/>
    <w:rsid w:val="2A0548AA"/>
    <w:rsid w:val="2AE1482B"/>
    <w:rsid w:val="2C282EE9"/>
    <w:rsid w:val="2DDE0225"/>
    <w:rsid w:val="2F1D7A98"/>
    <w:rsid w:val="2F717923"/>
    <w:rsid w:val="2FC449A7"/>
    <w:rsid w:val="317B49F3"/>
    <w:rsid w:val="32841A5A"/>
    <w:rsid w:val="32BA1A02"/>
    <w:rsid w:val="337A2A70"/>
    <w:rsid w:val="34627342"/>
    <w:rsid w:val="358B5B8B"/>
    <w:rsid w:val="35A048AD"/>
    <w:rsid w:val="371B5CAA"/>
    <w:rsid w:val="384D4981"/>
    <w:rsid w:val="385A1A6C"/>
    <w:rsid w:val="388F054D"/>
    <w:rsid w:val="39EC1CB3"/>
    <w:rsid w:val="3A5554AE"/>
    <w:rsid w:val="3A7A1689"/>
    <w:rsid w:val="3B050E70"/>
    <w:rsid w:val="3B1E6843"/>
    <w:rsid w:val="3BB13320"/>
    <w:rsid w:val="3D74319A"/>
    <w:rsid w:val="3DCD16AB"/>
    <w:rsid w:val="40EC1629"/>
    <w:rsid w:val="42AD5878"/>
    <w:rsid w:val="43297F78"/>
    <w:rsid w:val="43C73BD9"/>
    <w:rsid w:val="45465225"/>
    <w:rsid w:val="456B69BA"/>
    <w:rsid w:val="45DE4E6B"/>
    <w:rsid w:val="46AF57A9"/>
    <w:rsid w:val="46CE50EA"/>
    <w:rsid w:val="48941498"/>
    <w:rsid w:val="49343BAB"/>
    <w:rsid w:val="49A32BC3"/>
    <w:rsid w:val="49E862B8"/>
    <w:rsid w:val="4B823411"/>
    <w:rsid w:val="4BCA0825"/>
    <w:rsid w:val="4E101A34"/>
    <w:rsid w:val="4EFD3B23"/>
    <w:rsid w:val="4FA233AD"/>
    <w:rsid w:val="50EE4AFC"/>
    <w:rsid w:val="53F4296E"/>
    <w:rsid w:val="54F93A6F"/>
    <w:rsid w:val="55D74983"/>
    <w:rsid w:val="56F70929"/>
    <w:rsid w:val="57B6174B"/>
    <w:rsid w:val="57B70629"/>
    <w:rsid w:val="58754879"/>
    <w:rsid w:val="59724B45"/>
    <w:rsid w:val="5A363CDC"/>
    <w:rsid w:val="5BF91471"/>
    <w:rsid w:val="5C4F7A5F"/>
    <w:rsid w:val="5C944AD5"/>
    <w:rsid w:val="5CCC09EF"/>
    <w:rsid w:val="5D8359D1"/>
    <w:rsid w:val="5E914D18"/>
    <w:rsid w:val="5EE874D2"/>
    <w:rsid w:val="5EED7933"/>
    <w:rsid w:val="5EF27157"/>
    <w:rsid w:val="5F5C6630"/>
    <w:rsid w:val="5F7720FF"/>
    <w:rsid w:val="5F910A89"/>
    <w:rsid w:val="5FCB004C"/>
    <w:rsid w:val="61C64267"/>
    <w:rsid w:val="64587A9C"/>
    <w:rsid w:val="646908E0"/>
    <w:rsid w:val="653F77EA"/>
    <w:rsid w:val="6847410F"/>
    <w:rsid w:val="6E503873"/>
    <w:rsid w:val="6EF15EEE"/>
    <w:rsid w:val="6F426B7B"/>
    <w:rsid w:val="70FD2CB7"/>
    <w:rsid w:val="713E5A13"/>
    <w:rsid w:val="724A1C60"/>
    <w:rsid w:val="72CA1EEA"/>
    <w:rsid w:val="736A2927"/>
    <w:rsid w:val="75F23002"/>
    <w:rsid w:val="766B159A"/>
    <w:rsid w:val="78DB02F8"/>
    <w:rsid w:val="79120440"/>
    <w:rsid w:val="792879E0"/>
    <w:rsid w:val="7AEC3CAD"/>
    <w:rsid w:val="7B831C15"/>
    <w:rsid w:val="7DB73A96"/>
    <w:rsid w:val="7ED7027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0" w:semiHidden="0" w:name="caption" w:locked="1"/>
    <w:lsdException w:uiPriority="99" w:name="table of figures" w:locked="1"/>
    <w:lsdException w:uiPriority="99" w:name="envelope address" w:locked="1"/>
    <w:lsdException w:qFormat="1" w:unhideWhenUsed="0" w:uiPriority="0" w:semiHidden="0"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qFormat="1" w:unhideWhenUsed="0" w:uiPriority="99" w:name="Body Text First Indent 2"/>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uiPriority="99" w:name="HTML Keyboard" w:locked="1"/>
    <w:lsdException w:qFormat="1" w:uiPriority="99" w:name="HTML Preformatted" w:locked="1"/>
    <w:lsdException w:uiPriority="99" w:name="HTML Sample" w:locked="1"/>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1"/>
    <w:basedOn w:val="1"/>
    <w:next w:val="1"/>
    <w:link w:val="126"/>
    <w:qFormat/>
    <w:uiPriority w:val="0"/>
    <w:pPr>
      <w:keepNext/>
      <w:keepLines/>
      <w:spacing w:before="340" w:after="330" w:line="578" w:lineRule="auto"/>
      <w:outlineLvl w:val="0"/>
    </w:pPr>
    <w:rPr>
      <w:b/>
      <w:bCs/>
      <w:kern w:val="44"/>
      <w:sz w:val="44"/>
      <w:szCs w:val="44"/>
    </w:rPr>
  </w:style>
  <w:style w:type="paragraph" w:styleId="6">
    <w:name w:val="heading 2"/>
    <w:basedOn w:val="1"/>
    <w:next w:val="1"/>
    <w:link w:val="40"/>
    <w:qFormat/>
    <w:uiPriority w:val="9"/>
    <w:pPr>
      <w:keepNext/>
      <w:keepLines/>
      <w:spacing w:before="260" w:after="260" w:line="416" w:lineRule="auto"/>
      <w:outlineLvl w:val="1"/>
    </w:pPr>
    <w:rPr>
      <w:rFonts w:ascii="等线 Light" w:hAnsi="等线 Light" w:eastAsia="等线 Light"/>
      <w:b/>
      <w:bCs/>
      <w:sz w:val="32"/>
      <w:szCs w:val="32"/>
    </w:rPr>
  </w:style>
  <w:style w:type="paragraph" w:styleId="7">
    <w:name w:val="heading 3"/>
    <w:basedOn w:val="1"/>
    <w:next w:val="8"/>
    <w:link w:val="41"/>
    <w:qFormat/>
    <w:uiPriority w:val="99"/>
    <w:pPr>
      <w:keepNext/>
      <w:keepLines/>
      <w:tabs>
        <w:tab w:val="left" w:pos="5852"/>
      </w:tabs>
      <w:snapToGrid w:val="0"/>
      <w:spacing w:before="360" w:line="240" w:lineRule="exact"/>
      <w:outlineLvl w:val="2"/>
    </w:pPr>
    <w:rPr>
      <w:b/>
      <w:sz w:val="28"/>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19"/>
    <w:semiHidden/>
    <w:qFormat/>
    <w:uiPriority w:val="99"/>
    <w:pPr>
      <w:autoSpaceDE/>
      <w:autoSpaceDN/>
      <w:spacing w:after="120" w:line="240" w:lineRule="auto"/>
      <w:ind w:left="420" w:leftChars="200" w:firstLine="420" w:firstLineChars="200"/>
    </w:pPr>
    <w:rPr>
      <w:rFonts w:ascii="Times New Roman" w:hAnsi="Times New Roman"/>
      <w:sz w:val="21"/>
    </w:rPr>
  </w:style>
  <w:style w:type="paragraph" w:styleId="3">
    <w:name w:val="Body Text Indent"/>
    <w:basedOn w:val="1"/>
    <w:next w:val="4"/>
    <w:link w:val="42"/>
    <w:qFormat/>
    <w:uiPriority w:val="99"/>
    <w:pPr>
      <w:autoSpaceDE w:val="0"/>
      <w:autoSpaceDN w:val="0"/>
      <w:spacing w:line="360" w:lineRule="auto"/>
      <w:ind w:left="181" w:firstLine="539"/>
    </w:pPr>
    <w:rPr>
      <w:rFonts w:ascii="等线" w:hAnsi="等线"/>
      <w:kern w:val="0"/>
      <w:sz w:val="24"/>
    </w:rPr>
  </w:style>
  <w:style w:type="paragraph" w:styleId="4">
    <w:name w:val="envelope return"/>
    <w:basedOn w:val="1"/>
    <w:qFormat/>
    <w:locked/>
    <w:uiPriority w:val="0"/>
    <w:pPr>
      <w:widowControl/>
      <w:adjustRightInd w:val="0"/>
      <w:snapToGrid w:val="0"/>
      <w:spacing w:after="200"/>
      <w:jc w:val="left"/>
    </w:pPr>
    <w:rPr>
      <w:rFonts w:ascii="Arial" w:hAnsi="Arial" w:eastAsia="微软雅黑"/>
      <w:kern w:val="0"/>
      <w:sz w:val="22"/>
      <w:szCs w:val="22"/>
    </w:rPr>
  </w:style>
  <w:style w:type="paragraph" w:styleId="8">
    <w:name w:val="Normal Indent"/>
    <w:basedOn w:val="1"/>
    <w:next w:val="1"/>
    <w:link w:val="58"/>
    <w:qFormat/>
    <w:uiPriority w:val="99"/>
    <w:pPr>
      <w:ind w:firstLine="420"/>
    </w:pPr>
    <w:rPr>
      <w:rFonts w:ascii="等线" w:hAnsi="等线"/>
      <w:szCs w:val="22"/>
    </w:rPr>
  </w:style>
  <w:style w:type="paragraph" w:styleId="9">
    <w:name w:val="caption"/>
    <w:basedOn w:val="1"/>
    <w:next w:val="1"/>
    <w:qFormat/>
    <w:locked/>
    <w:uiPriority w:val="0"/>
    <w:rPr>
      <w:rFonts w:ascii="Arial" w:hAnsi="Arial" w:eastAsia="黑体" w:cs="Arial"/>
      <w:sz w:val="20"/>
      <w:szCs w:val="20"/>
    </w:rPr>
  </w:style>
  <w:style w:type="paragraph" w:styleId="10">
    <w:name w:val="Document Map"/>
    <w:basedOn w:val="1"/>
    <w:link w:val="77"/>
    <w:qFormat/>
    <w:uiPriority w:val="99"/>
    <w:pPr>
      <w:shd w:val="clear" w:color="auto" w:fill="000080"/>
    </w:pPr>
    <w:rPr>
      <w:szCs w:val="24"/>
    </w:rPr>
  </w:style>
  <w:style w:type="paragraph" w:styleId="11">
    <w:name w:val="annotation text"/>
    <w:basedOn w:val="1"/>
    <w:link w:val="75"/>
    <w:qFormat/>
    <w:uiPriority w:val="0"/>
    <w:pPr>
      <w:jc w:val="left"/>
    </w:pPr>
  </w:style>
  <w:style w:type="paragraph" w:styleId="12">
    <w:name w:val="Body Text"/>
    <w:basedOn w:val="1"/>
    <w:next w:val="1"/>
    <w:link w:val="124"/>
    <w:qFormat/>
    <w:locked/>
    <w:uiPriority w:val="99"/>
    <w:pPr>
      <w:spacing w:before="60" w:after="60" w:line="360" w:lineRule="auto"/>
      <w:ind w:firstLine="200"/>
    </w:pPr>
    <w:rPr>
      <w:rFonts w:eastAsia="仿宋_GB2312"/>
      <w:sz w:val="32"/>
      <w:szCs w:val="24"/>
    </w:rPr>
  </w:style>
  <w:style w:type="paragraph" w:styleId="13">
    <w:name w:val="Plain Text"/>
    <w:basedOn w:val="1"/>
    <w:link w:val="51"/>
    <w:qFormat/>
    <w:uiPriority w:val="99"/>
    <w:rPr>
      <w:rFonts w:ascii="宋体" w:hAnsi="Courier New"/>
      <w:szCs w:val="22"/>
    </w:rPr>
  </w:style>
  <w:style w:type="paragraph" w:styleId="14">
    <w:name w:val="Date"/>
    <w:basedOn w:val="1"/>
    <w:next w:val="1"/>
    <w:link w:val="74"/>
    <w:qFormat/>
    <w:uiPriority w:val="99"/>
    <w:pPr>
      <w:ind w:left="100" w:leftChars="2500"/>
    </w:pPr>
    <w:rPr>
      <w:szCs w:val="24"/>
    </w:rPr>
  </w:style>
  <w:style w:type="paragraph" w:styleId="15">
    <w:name w:val="Body Text Indent 2"/>
    <w:basedOn w:val="1"/>
    <w:link w:val="53"/>
    <w:qFormat/>
    <w:uiPriority w:val="99"/>
    <w:pPr>
      <w:spacing w:after="120" w:line="480" w:lineRule="auto"/>
      <w:ind w:left="420" w:leftChars="200"/>
    </w:pPr>
    <w:rPr>
      <w:rFonts w:ascii="等线" w:hAnsi="等线" w:eastAsia="等线"/>
      <w:szCs w:val="24"/>
    </w:rPr>
  </w:style>
  <w:style w:type="paragraph" w:styleId="16">
    <w:name w:val="Balloon Text"/>
    <w:basedOn w:val="1"/>
    <w:link w:val="80"/>
    <w:qFormat/>
    <w:uiPriority w:val="99"/>
    <w:rPr>
      <w:sz w:val="18"/>
      <w:szCs w:val="18"/>
    </w:rPr>
  </w:style>
  <w:style w:type="paragraph" w:styleId="17">
    <w:name w:val="footer"/>
    <w:basedOn w:val="1"/>
    <w:link w:val="64"/>
    <w:qFormat/>
    <w:uiPriority w:val="99"/>
    <w:pPr>
      <w:tabs>
        <w:tab w:val="center" w:pos="4153"/>
        <w:tab w:val="right" w:pos="8306"/>
      </w:tabs>
      <w:snapToGrid w:val="0"/>
      <w:jc w:val="left"/>
    </w:pPr>
    <w:rPr>
      <w:rFonts w:ascii="等线" w:hAnsi="等线" w:eastAsia="等线"/>
      <w:sz w:val="18"/>
      <w:szCs w:val="18"/>
    </w:rPr>
  </w:style>
  <w:style w:type="paragraph" w:styleId="18">
    <w:name w:val="header"/>
    <w:basedOn w:val="1"/>
    <w:next w:val="9"/>
    <w:link w:val="66"/>
    <w:qFormat/>
    <w:uiPriority w:val="99"/>
    <w:pPr>
      <w:pBdr>
        <w:bottom w:val="single" w:color="auto" w:sz="6" w:space="1"/>
      </w:pBdr>
      <w:tabs>
        <w:tab w:val="center" w:pos="4153"/>
        <w:tab w:val="right" w:pos="8306"/>
      </w:tabs>
      <w:snapToGrid w:val="0"/>
      <w:jc w:val="center"/>
    </w:pPr>
    <w:rPr>
      <w:rFonts w:ascii="等线" w:hAnsi="等线" w:eastAsia="等线"/>
      <w:sz w:val="18"/>
      <w:szCs w:val="18"/>
    </w:rPr>
  </w:style>
  <w:style w:type="paragraph" w:styleId="19">
    <w:name w:val="toc 1"/>
    <w:basedOn w:val="1"/>
    <w:next w:val="1"/>
    <w:qFormat/>
    <w:uiPriority w:val="39"/>
    <w:pPr>
      <w:tabs>
        <w:tab w:val="right" w:leader="dot" w:pos="8393"/>
      </w:tabs>
      <w:spacing w:line="500" w:lineRule="exact"/>
    </w:pPr>
    <w:rPr>
      <w:rFonts w:ascii="宋体" w:hAnsi="宋体"/>
      <w:b/>
      <w:bCs/>
      <w:color w:val="000000"/>
      <w:sz w:val="28"/>
      <w:szCs w:val="28"/>
    </w:rPr>
  </w:style>
  <w:style w:type="paragraph" w:styleId="20">
    <w:name w:val="toc 2"/>
    <w:basedOn w:val="1"/>
    <w:next w:val="1"/>
    <w:qFormat/>
    <w:uiPriority w:val="39"/>
    <w:pPr>
      <w:tabs>
        <w:tab w:val="right" w:leader="dot" w:pos="8393"/>
      </w:tabs>
      <w:spacing w:line="500" w:lineRule="exact"/>
      <w:ind w:left="420" w:leftChars="200"/>
      <w:jc w:val="center"/>
    </w:pPr>
    <w:rPr>
      <w:rFonts w:ascii="黑体" w:eastAsia="黑体"/>
      <w:sz w:val="32"/>
      <w:szCs w:val="32"/>
    </w:rPr>
  </w:style>
  <w:style w:type="paragraph" w:styleId="21">
    <w:name w:val="HTML Preformatted"/>
    <w:basedOn w:val="1"/>
    <w:link w:val="121"/>
    <w:semiHidden/>
    <w:unhideWhenUsed/>
    <w:qFormat/>
    <w:lock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22">
    <w:name w:val="Normal (Web)"/>
    <w:basedOn w:val="1"/>
    <w:qFormat/>
    <w:uiPriority w:val="99"/>
    <w:pPr>
      <w:widowControl/>
      <w:spacing w:before="100" w:beforeAutospacing="1" w:after="100" w:afterAutospacing="1"/>
      <w:jc w:val="left"/>
    </w:pPr>
    <w:rPr>
      <w:rFonts w:ascii="宋体" w:hAnsi="宋体"/>
      <w:kern w:val="0"/>
      <w:sz w:val="24"/>
    </w:rPr>
  </w:style>
  <w:style w:type="paragraph" w:styleId="23">
    <w:name w:val="Title"/>
    <w:basedOn w:val="1"/>
    <w:link w:val="68"/>
    <w:qFormat/>
    <w:uiPriority w:val="99"/>
    <w:pPr>
      <w:tabs>
        <w:tab w:val="left" w:pos="420"/>
      </w:tabs>
      <w:spacing w:before="120" w:after="120" w:line="360" w:lineRule="auto"/>
      <w:ind w:left="420"/>
      <w:jc w:val="center"/>
      <w:outlineLvl w:val="0"/>
    </w:pPr>
    <w:rPr>
      <w:rFonts w:ascii="宋体" w:hAnsi="Verdana" w:eastAsia="等线"/>
      <w:b/>
      <w:kern w:val="0"/>
      <w:sz w:val="32"/>
    </w:rPr>
  </w:style>
  <w:style w:type="paragraph" w:styleId="24">
    <w:name w:val="annotation subject"/>
    <w:basedOn w:val="11"/>
    <w:next w:val="11"/>
    <w:link w:val="76"/>
    <w:qFormat/>
    <w:uiPriority w:val="99"/>
    <w:rPr>
      <w:b/>
      <w:bCs/>
      <w:szCs w:val="24"/>
    </w:rPr>
  </w:style>
  <w:style w:type="table" w:styleId="26">
    <w:name w:val="Table Grid"/>
    <w:basedOn w:val="25"/>
    <w:qFormat/>
    <w:uiPriority w:val="9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qFormat/>
    <w:uiPriority w:val="99"/>
    <w:rPr>
      <w:rFonts w:cs="Times New Roman"/>
      <w:b/>
      <w:bCs/>
    </w:rPr>
  </w:style>
  <w:style w:type="character" w:styleId="29">
    <w:name w:val="page number"/>
    <w:basedOn w:val="27"/>
    <w:qFormat/>
    <w:locked/>
    <w:uiPriority w:val="0"/>
  </w:style>
  <w:style w:type="character" w:styleId="30">
    <w:name w:val="FollowedHyperlink"/>
    <w:qFormat/>
    <w:uiPriority w:val="99"/>
    <w:rPr>
      <w:rFonts w:cs="Times New Roman"/>
      <w:color w:val="013F7C"/>
      <w:u w:val="none"/>
    </w:rPr>
  </w:style>
  <w:style w:type="character" w:styleId="31">
    <w:name w:val="Emphasis"/>
    <w:qFormat/>
    <w:uiPriority w:val="99"/>
    <w:rPr>
      <w:rFonts w:cs="Times New Roman"/>
    </w:rPr>
  </w:style>
  <w:style w:type="character" w:styleId="32">
    <w:name w:val="HTML Definition"/>
    <w:qFormat/>
    <w:uiPriority w:val="99"/>
    <w:rPr>
      <w:rFonts w:cs="Times New Roman"/>
    </w:rPr>
  </w:style>
  <w:style w:type="character" w:styleId="33">
    <w:name w:val="HTML Typewriter"/>
    <w:qFormat/>
    <w:uiPriority w:val="99"/>
    <w:rPr>
      <w:rFonts w:ascii="宋体" w:hAnsi="宋体" w:eastAsia="宋体" w:cs="宋体"/>
      <w:sz w:val="24"/>
      <w:szCs w:val="24"/>
    </w:rPr>
  </w:style>
  <w:style w:type="character" w:styleId="34">
    <w:name w:val="HTML Variable"/>
    <w:qFormat/>
    <w:uiPriority w:val="99"/>
    <w:rPr>
      <w:rFonts w:cs="Times New Roman"/>
    </w:rPr>
  </w:style>
  <w:style w:type="character" w:styleId="35">
    <w:name w:val="Hyperlink"/>
    <w:qFormat/>
    <w:uiPriority w:val="99"/>
    <w:rPr>
      <w:rFonts w:cs="Times New Roman"/>
      <w:color w:val="013F7C"/>
      <w:u w:val="none"/>
    </w:rPr>
  </w:style>
  <w:style w:type="character" w:styleId="36">
    <w:name w:val="HTML Code"/>
    <w:qFormat/>
    <w:uiPriority w:val="99"/>
    <w:rPr>
      <w:rFonts w:ascii="Courier New" w:hAnsi="Courier New" w:cs="Times New Roman"/>
      <w:sz w:val="20"/>
    </w:rPr>
  </w:style>
  <w:style w:type="character" w:styleId="37">
    <w:name w:val="annotation reference"/>
    <w:qFormat/>
    <w:uiPriority w:val="99"/>
    <w:rPr>
      <w:rFonts w:cs="Times New Roman"/>
      <w:sz w:val="21"/>
      <w:szCs w:val="21"/>
    </w:rPr>
  </w:style>
  <w:style w:type="character" w:styleId="38">
    <w:name w:val="HTML Cite"/>
    <w:qFormat/>
    <w:uiPriority w:val="99"/>
    <w:rPr>
      <w:rFonts w:cs="Times New Roman"/>
    </w:rPr>
  </w:style>
  <w:style w:type="character" w:customStyle="1" w:styleId="39">
    <w:name w:val="标题 1 字符"/>
    <w:link w:val="5"/>
    <w:qFormat/>
    <w:locked/>
    <w:uiPriority w:val="0"/>
    <w:rPr>
      <w:rFonts w:ascii="Times New Roman" w:hAnsi="Times New Roman" w:eastAsia="宋体" w:cs="Times New Roman"/>
      <w:b/>
      <w:bCs/>
      <w:kern w:val="44"/>
      <w:sz w:val="44"/>
      <w:szCs w:val="44"/>
    </w:rPr>
  </w:style>
  <w:style w:type="character" w:customStyle="1" w:styleId="40">
    <w:name w:val="标题 2 Char"/>
    <w:link w:val="6"/>
    <w:qFormat/>
    <w:locked/>
    <w:uiPriority w:val="9"/>
    <w:rPr>
      <w:rFonts w:ascii="等线 Light" w:hAnsi="等线 Light" w:eastAsia="等线 Light" w:cs="Times New Roman"/>
      <w:b/>
      <w:bCs/>
      <w:sz w:val="32"/>
      <w:szCs w:val="32"/>
    </w:rPr>
  </w:style>
  <w:style w:type="character" w:customStyle="1" w:styleId="41">
    <w:name w:val="标题 3 Char"/>
    <w:link w:val="7"/>
    <w:qFormat/>
    <w:locked/>
    <w:uiPriority w:val="99"/>
    <w:rPr>
      <w:rFonts w:ascii="Times New Roman" w:hAnsi="Times New Roman" w:eastAsia="宋体" w:cs="Times New Roman"/>
      <w:b/>
      <w:sz w:val="20"/>
      <w:szCs w:val="20"/>
    </w:rPr>
  </w:style>
  <w:style w:type="character" w:customStyle="1" w:styleId="42">
    <w:name w:val="正文文本缩进 Char"/>
    <w:link w:val="3"/>
    <w:qFormat/>
    <w:locked/>
    <w:uiPriority w:val="99"/>
    <w:rPr>
      <w:rFonts w:eastAsia="宋体"/>
      <w:sz w:val="24"/>
    </w:rPr>
  </w:style>
  <w:style w:type="character" w:customStyle="1" w:styleId="43">
    <w:name w:val="Body Text Indent Char1"/>
    <w:semiHidden/>
    <w:qFormat/>
    <w:locked/>
    <w:uiPriority w:val="99"/>
    <w:rPr>
      <w:rFonts w:ascii="Times New Roman" w:hAnsi="Times New Roman" w:eastAsia="宋体" w:cs="Times New Roman"/>
      <w:sz w:val="20"/>
      <w:szCs w:val="20"/>
    </w:rPr>
  </w:style>
  <w:style w:type="character" w:customStyle="1" w:styleId="44">
    <w:name w:val="正文文本缩进 字符1"/>
    <w:semiHidden/>
    <w:qFormat/>
    <w:uiPriority w:val="99"/>
    <w:rPr>
      <w:rFonts w:ascii="Times New Roman" w:hAnsi="Times New Roman" w:eastAsia="宋体" w:cs="Times New Roman"/>
      <w:sz w:val="20"/>
      <w:szCs w:val="20"/>
    </w:rPr>
  </w:style>
  <w:style w:type="character" w:customStyle="1" w:styleId="45">
    <w:name w:val="current"/>
    <w:qFormat/>
    <w:uiPriority w:val="99"/>
    <w:rPr>
      <w:rFonts w:cs="Times New Roman"/>
      <w:b/>
      <w:color w:val="FF0084"/>
    </w:rPr>
  </w:style>
  <w:style w:type="character" w:customStyle="1" w:styleId="46">
    <w:name w:val="批注文字 Char"/>
    <w:qFormat/>
    <w:uiPriority w:val="0"/>
    <w:rPr>
      <w:rFonts w:eastAsia="宋体" w:cs="Times New Roman"/>
      <w:kern w:val="2"/>
      <w:sz w:val="24"/>
      <w:szCs w:val="24"/>
      <w:lang w:val="en-US" w:eastAsia="zh-CN" w:bidi="ar-SA"/>
    </w:rPr>
  </w:style>
  <w:style w:type="character" w:customStyle="1" w:styleId="47">
    <w:name w:val="批注文字 字符"/>
    <w:qFormat/>
    <w:uiPriority w:val="99"/>
    <w:rPr>
      <w:rFonts w:eastAsia="宋体" w:cs="Times New Roman"/>
      <w:kern w:val="2"/>
      <w:sz w:val="24"/>
      <w:szCs w:val="24"/>
      <w:lang w:val="en-US" w:eastAsia="zh-CN" w:bidi="ar-SA"/>
    </w:rPr>
  </w:style>
  <w:style w:type="character" w:customStyle="1" w:styleId="48">
    <w:name w:val="Underrubrik1 Char Char"/>
    <w:qFormat/>
    <w:uiPriority w:val="99"/>
    <w:rPr>
      <w:rFonts w:ascii="Arial" w:hAnsi="Arial"/>
      <w:b/>
      <w:color w:val="000000"/>
      <w:sz w:val="30"/>
    </w:rPr>
  </w:style>
  <w:style w:type="character" w:customStyle="1" w:styleId="49">
    <w:name w:val="样式3 Char Char"/>
    <w:link w:val="50"/>
    <w:qFormat/>
    <w:locked/>
    <w:uiPriority w:val="99"/>
    <w:rPr>
      <w:rFonts w:ascii="宋体" w:hAnsi="Courier New"/>
      <w:sz w:val="24"/>
    </w:rPr>
  </w:style>
  <w:style w:type="paragraph" w:customStyle="1" w:styleId="50">
    <w:name w:val="样式3"/>
    <w:basedOn w:val="13"/>
    <w:link w:val="49"/>
    <w:qFormat/>
    <w:uiPriority w:val="99"/>
    <w:pPr>
      <w:spacing w:line="240" w:lineRule="atLeast"/>
      <w:outlineLvl w:val="0"/>
    </w:pPr>
    <w:rPr>
      <w:rFonts w:eastAsia="等线"/>
      <w:kern w:val="0"/>
      <w:sz w:val="24"/>
      <w:szCs w:val="20"/>
    </w:rPr>
  </w:style>
  <w:style w:type="character" w:customStyle="1" w:styleId="51">
    <w:name w:val="纯文本 Char"/>
    <w:link w:val="13"/>
    <w:qFormat/>
    <w:locked/>
    <w:uiPriority w:val="99"/>
    <w:rPr>
      <w:rFonts w:ascii="宋体" w:hAnsi="Courier New" w:eastAsia="宋体" w:cs="Times New Roman"/>
    </w:rPr>
  </w:style>
  <w:style w:type="character" w:customStyle="1" w:styleId="52">
    <w:name w:val="ds-reads-from"/>
    <w:qFormat/>
    <w:uiPriority w:val="99"/>
    <w:rPr>
      <w:rFonts w:cs="Times New Roman"/>
    </w:rPr>
  </w:style>
  <w:style w:type="character" w:customStyle="1" w:styleId="53">
    <w:name w:val="正文文本缩进 2 Char"/>
    <w:link w:val="15"/>
    <w:qFormat/>
    <w:locked/>
    <w:uiPriority w:val="99"/>
    <w:rPr>
      <w:rFonts w:cs="Times New Roman"/>
      <w:sz w:val="24"/>
      <w:szCs w:val="24"/>
    </w:rPr>
  </w:style>
  <w:style w:type="character" w:customStyle="1" w:styleId="54">
    <w:name w:val="Char Char5"/>
    <w:qFormat/>
    <w:uiPriority w:val="99"/>
    <w:rPr>
      <w:rFonts w:ascii="宋体" w:hAnsi="Courier New" w:eastAsia="宋体" w:cs="Times New Roman"/>
      <w:kern w:val="2"/>
      <w:sz w:val="21"/>
      <w:lang w:val="en-US" w:eastAsia="zh-CN" w:bidi="ar-SA"/>
    </w:rPr>
  </w:style>
  <w:style w:type="character" w:customStyle="1" w:styleId="55">
    <w:name w:val="普通文字 Char Char1"/>
    <w:qFormat/>
    <w:uiPriority w:val="99"/>
    <w:rPr>
      <w:rFonts w:ascii="宋体" w:hAnsi="Courier New" w:eastAsia="宋体" w:cs="Times New Roman"/>
      <w:kern w:val="2"/>
      <w:sz w:val="21"/>
      <w:lang w:val="en-US" w:eastAsia="zh-CN" w:bidi="ar-SA"/>
    </w:rPr>
  </w:style>
  <w:style w:type="character" w:customStyle="1" w:styleId="56">
    <w:name w:val="ds-reads-app-special"/>
    <w:qFormat/>
    <w:uiPriority w:val="99"/>
    <w:rPr>
      <w:rFonts w:cs="Times New Roman"/>
      <w:color w:val="FFFFFF"/>
      <w:shd w:val="clear" w:color="auto" w:fill="F94A47"/>
    </w:rPr>
  </w:style>
  <w:style w:type="character" w:customStyle="1" w:styleId="57">
    <w:name w:val="font81"/>
    <w:qFormat/>
    <w:uiPriority w:val="99"/>
    <w:rPr>
      <w:rFonts w:ascii="新宋体" w:hAnsi="新宋体" w:eastAsia="新宋体" w:cs="新宋体"/>
      <w:color w:val="000000"/>
      <w:sz w:val="21"/>
      <w:szCs w:val="21"/>
      <w:u w:val="none"/>
    </w:rPr>
  </w:style>
  <w:style w:type="character" w:customStyle="1" w:styleId="58">
    <w:name w:val="正文缩进 Char"/>
    <w:link w:val="8"/>
    <w:qFormat/>
    <w:locked/>
    <w:uiPriority w:val="99"/>
    <w:rPr>
      <w:rFonts w:eastAsia="宋体" w:cs="Times New Roman"/>
    </w:rPr>
  </w:style>
  <w:style w:type="character" w:customStyle="1" w:styleId="59">
    <w:name w:val="font91"/>
    <w:qFormat/>
    <w:uiPriority w:val="99"/>
    <w:rPr>
      <w:rFonts w:ascii="Arial" w:hAnsi="Arial" w:cs="Arial"/>
      <w:color w:val="000000"/>
      <w:sz w:val="21"/>
      <w:szCs w:val="21"/>
      <w:u w:val="none"/>
    </w:rPr>
  </w:style>
  <w:style w:type="character" w:customStyle="1" w:styleId="60">
    <w:name w:val="font101"/>
    <w:qFormat/>
    <w:uiPriority w:val="99"/>
    <w:rPr>
      <w:rFonts w:ascii="宋体" w:hAnsi="宋体" w:eastAsia="宋体" w:cs="宋体"/>
      <w:color w:val="000000"/>
      <w:sz w:val="21"/>
      <w:szCs w:val="21"/>
      <w:u w:val="none"/>
    </w:rPr>
  </w:style>
  <w:style w:type="character" w:customStyle="1" w:styleId="61">
    <w:name w:val="p141"/>
    <w:qFormat/>
    <w:uiPriority w:val="99"/>
    <w:rPr>
      <w:sz w:val="21"/>
    </w:rPr>
  </w:style>
  <w:style w:type="character" w:customStyle="1" w:styleId="62">
    <w:name w:val="font11"/>
    <w:qFormat/>
    <w:uiPriority w:val="99"/>
    <w:rPr>
      <w:rFonts w:ascii="新宋体" w:hAnsi="新宋体" w:eastAsia="新宋体" w:cs="新宋体"/>
      <w:color w:val="000000"/>
      <w:sz w:val="21"/>
      <w:szCs w:val="21"/>
      <w:u w:val="none"/>
    </w:rPr>
  </w:style>
  <w:style w:type="character" w:customStyle="1" w:styleId="63">
    <w:name w:val="Char Char"/>
    <w:qFormat/>
    <w:uiPriority w:val="99"/>
    <w:rPr>
      <w:rFonts w:ascii="宋体" w:hAnsi="Courier New" w:eastAsia="宋体" w:cs="Times New Roman"/>
      <w:kern w:val="2"/>
      <w:sz w:val="21"/>
      <w:lang w:val="en-US" w:eastAsia="zh-CN" w:bidi="ar-SA"/>
    </w:rPr>
  </w:style>
  <w:style w:type="character" w:customStyle="1" w:styleId="64">
    <w:name w:val="页脚 Char"/>
    <w:link w:val="17"/>
    <w:qFormat/>
    <w:locked/>
    <w:uiPriority w:val="99"/>
    <w:rPr>
      <w:rFonts w:cs="Times New Roman"/>
      <w:sz w:val="18"/>
      <w:szCs w:val="18"/>
    </w:rPr>
  </w:style>
  <w:style w:type="character" w:customStyle="1" w:styleId="65">
    <w:name w:val="ask-title2"/>
    <w:qFormat/>
    <w:uiPriority w:val="99"/>
    <w:rPr>
      <w:rFonts w:cs="Times New Roman"/>
    </w:rPr>
  </w:style>
  <w:style w:type="character" w:customStyle="1" w:styleId="66">
    <w:name w:val="页眉 Char"/>
    <w:link w:val="18"/>
    <w:qFormat/>
    <w:locked/>
    <w:uiPriority w:val="99"/>
    <w:rPr>
      <w:rFonts w:cs="Times New Roman"/>
      <w:sz w:val="18"/>
      <w:szCs w:val="18"/>
    </w:rPr>
  </w:style>
  <w:style w:type="character" w:customStyle="1" w:styleId="67">
    <w:name w:val="标题 字符1"/>
    <w:qFormat/>
    <w:uiPriority w:val="99"/>
    <w:rPr>
      <w:rFonts w:ascii="Cambria" w:hAnsi="Cambria" w:eastAsia="宋体" w:cs="宋体"/>
      <w:b/>
      <w:bCs/>
      <w:kern w:val="2"/>
      <w:sz w:val="32"/>
      <w:szCs w:val="32"/>
    </w:rPr>
  </w:style>
  <w:style w:type="character" w:customStyle="1" w:styleId="68">
    <w:name w:val="标题 Char"/>
    <w:link w:val="23"/>
    <w:qFormat/>
    <w:locked/>
    <w:uiPriority w:val="99"/>
    <w:rPr>
      <w:rFonts w:ascii="宋体" w:hAnsi="Verdana"/>
      <w:b/>
      <w:sz w:val="32"/>
    </w:rPr>
  </w:style>
  <w:style w:type="character" w:customStyle="1" w:styleId="69">
    <w:name w:val="ds-unread-count"/>
    <w:qFormat/>
    <w:uiPriority w:val="99"/>
    <w:rPr>
      <w:rFonts w:cs="Times New Roman"/>
      <w:b/>
      <w:color w:val="EE3322"/>
    </w:rPr>
  </w:style>
  <w:style w:type="character" w:customStyle="1" w:styleId="70">
    <w:name w:val="Plain Text Char1"/>
    <w:semiHidden/>
    <w:qFormat/>
    <w:locked/>
    <w:uiPriority w:val="99"/>
    <w:rPr>
      <w:rFonts w:ascii="宋体" w:hAnsi="Courier New" w:eastAsia="宋体" w:cs="Courier New"/>
      <w:sz w:val="21"/>
      <w:szCs w:val="21"/>
    </w:rPr>
  </w:style>
  <w:style w:type="character" w:customStyle="1" w:styleId="71">
    <w:name w:val="纯文本 字符1"/>
    <w:semiHidden/>
    <w:qFormat/>
    <w:uiPriority w:val="99"/>
    <w:rPr>
      <w:rFonts w:ascii="等线" w:hAnsi="Courier New" w:cs="Courier New"/>
      <w:sz w:val="20"/>
      <w:szCs w:val="20"/>
    </w:rPr>
  </w:style>
  <w:style w:type="character" w:customStyle="1" w:styleId="72">
    <w:name w:val="Body Text Indent 2 Char1"/>
    <w:semiHidden/>
    <w:qFormat/>
    <w:locked/>
    <w:uiPriority w:val="99"/>
    <w:rPr>
      <w:rFonts w:ascii="Times New Roman" w:hAnsi="Times New Roman" w:eastAsia="宋体" w:cs="Times New Roman"/>
      <w:sz w:val="20"/>
      <w:szCs w:val="20"/>
    </w:rPr>
  </w:style>
  <w:style w:type="character" w:customStyle="1" w:styleId="73">
    <w:name w:val="正文文本缩进 2 字符1"/>
    <w:semiHidden/>
    <w:qFormat/>
    <w:uiPriority w:val="99"/>
    <w:rPr>
      <w:rFonts w:ascii="Times New Roman" w:hAnsi="Times New Roman" w:eastAsia="宋体" w:cs="Times New Roman"/>
      <w:sz w:val="20"/>
      <w:szCs w:val="20"/>
    </w:rPr>
  </w:style>
  <w:style w:type="character" w:customStyle="1" w:styleId="74">
    <w:name w:val="日期 Char"/>
    <w:link w:val="14"/>
    <w:qFormat/>
    <w:locked/>
    <w:uiPriority w:val="99"/>
    <w:rPr>
      <w:rFonts w:ascii="Times New Roman" w:hAnsi="Times New Roman" w:eastAsia="宋体" w:cs="Times New Roman"/>
      <w:sz w:val="24"/>
      <w:szCs w:val="24"/>
    </w:rPr>
  </w:style>
  <w:style w:type="character" w:customStyle="1" w:styleId="75">
    <w:name w:val="批注文字 Char1"/>
    <w:link w:val="11"/>
    <w:semiHidden/>
    <w:qFormat/>
    <w:locked/>
    <w:uiPriority w:val="99"/>
    <w:rPr>
      <w:rFonts w:ascii="Times New Roman" w:hAnsi="Times New Roman" w:eastAsia="宋体" w:cs="Times New Roman"/>
      <w:sz w:val="20"/>
      <w:szCs w:val="20"/>
    </w:rPr>
  </w:style>
  <w:style w:type="character" w:customStyle="1" w:styleId="76">
    <w:name w:val="批注主题 Char"/>
    <w:link w:val="24"/>
    <w:qFormat/>
    <w:locked/>
    <w:uiPriority w:val="99"/>
    <w:rPr>
      <w:rFonts w:ascii="Times New Roman" w:hAnsi="Times New Roman" w:eastAsia="宋体" w:cs="Times New Roman"/>
      <w:b/>
      <w:bCs/>
      <w:sz w:val="24"/>
      <w:szCs w:val="24"/>
    </w:rPr>
  </w:style>
  <w:style w:type="character" w:customStyle="1" w:styleId="77">
    <w:name w:val="文档结构图 Char"/>
    <w:link w:val="10"/>
    <w:qFormat/>
    <w:locked/>
    <w:uiPriority w:val="99"/>
    <w:rPr>
      <w:rFonts w:ascii="Times New Roman" w:hAnsi="Times New Roman" w:eastAsia="宋体" w:cs="Times New Roman"/>
      <w:sz w:val="24"/>
      <w:szCs w:val="24"/>
      <w:shd w:val="clear" w:color="auto" w:fill="000080"/>
    </w:rPr>
  </w:style>
  <w:style w:type="character" w:customStyle="1" w:styleId="78">
    <w:name w:val="Header Char1"/>
    <w:semiHidden/>
    <w:qFormat/>
    <w:locked/>
    <w:uiPriority w:val="99"/>
    <w:rPr>
      <w:rFonts w:ascii="Times New Roman" w:hAnsi="Times New Roman" w:eastAsia="宋体" w:cs="Times New Roman"/>
      <w:sz w:val="18"/>
      <w:szCs w:val="18"/>
    </w:rPr>
  </w:style>
  <w:style w:type="character" w:customStyle="1" w:styleId="79">
    <w:name w:val="页眉 字符1"/>
    <w:semiHidden/>
    <w:qFormat/>
    <w:uiPriority w:val="99"/>
    <w:rPr>
      <w:rFonts w:ascii="Times New Roman" w:hAnsi="Times New Roman" w:eastAsia="宋体" w:cs="Times New Roman"/>
      <w:sz w:val="18"/>
      <w:szCs w:val="18"/>
    </w:rPr>
  </w:style>
  <w:style w:type="character" w:customStyle="1" w:styleId="80">
    <w:name w:val="批注框文本 Char"/>
    <w:link w:val="16"/>
    <w:qFormat/>
    <w:locked/>
    <w:uiPriority w:val="99"/>
    <w:rPr>
      <w:rFonts w:ascii="Times New Roman" w:hAnsi="Times New Roman" w:eastAsia="宋体" w:cs="Times New Roman"/>
      <w:sz w:val="18"/>
      <w:szCs w:val="18"/>
    </w:rPr>
  </w:style>
  <w:style w:type="character" w:customStyle="1" w:styleId="81">
    <w:name w:val="Footer Char1"/>
    <w:semiHidden/>
    <w:qFormat/>
    <w:locked/>
    <w:uiPriority w:val="99"/>
    <w:rPr>
      <w:rFonts w:ascii="Times New Roman" w:hAnsi="Times New Roman" w:eastAsia="宋体" w:cs="Times New Roman"/>
      <w:sz w:val="18"/>
      <w:szCs w:val="18"/>
    </w:rPr>
  </w:style>
  <w:style w:type="character" w:customStyle="1" w:styleId="82">
    <w:name w:val="页脚 字符1"/>
    <w:semiHidden/>
    <w:qFormat/>
    <w:uiPriority w:val="99"/>
    <w:rPr>
      <w:rFonts w:ascii="Times New Roman" w:hAnsi="Times New Roman" w:eastAsia="宋体" w:cs="Times New Roman"/>
      <w:sz w:val="18"/>
      <w:szCs w:val="18"/>
    </w:rPr>
  </w:style>
  <w:style w:type="character" w:customStyle="1" w:styleId="83">
    <w:name w:val="Title Char1"/>
    <w:qFormat/>
    <w:locked/>
    <w:uiPriority w:val="99"/>
    <w:rPr>
      <w:rFonts w:ascii="Cambria" w:hAnsi="Cambria" w:eastAsia="宋体" w:cs="Times New Roman"/>
      <w:b/>
      <w:bCs/>
      <w:sz w:val="32"/>
      <w:szCs w:val="32"/>
    </w:rPr>
  </w:style>
  <w:style w:type="character" w:customStyle="1" w:styleId="84">
    <w:name w:val="标题 字符2"/>
    <w:qFormat/>
    <w:uiPriority w:val="99"/>
    <w:rPr>
      <w:rFonts w:ascii="等线 Light" w:hAnsi="等线 Light" w:eastAsia="等线 Light" w:cs="Times New Roman"/>
      <w:b/>
      <w:bCs/>
      <w:sz w:val="32"/>
      <w:szCs w:val="32"/>
    </w:rPr>
  </w:style>
  <w:style w:type="paragraph" w:customStyle="1" w:styleId="85">
    <w:name w:val="样式 标题 2 + Times New Roman 四号 非加粗 段前: 5 磅 段后: 0 磅 行距: 固定值 20..."/>
    <w:basedOn w:val="6"/>
    <w:qFormat/>
    <w:uiPriority w:val="99"/>
    <w:pPr>
      <w:spacing w:before="100" w:after="0" w:line="400" w:lineRule="exact"/>
    </w:pPr>
    <w:rPr>
      <w:rFonts w:ascii="Times New Roman" w:hAnsi="Times New Roman" w:eastAsia="黑体" w:cs="宋体"/>
      <w:b w:val="0"/>
      <w:bCs w:val="0"/>
      <w:sz w:val="28"/>
      <w:szCs w:val="20"/>
    </w:rPr>
  </w:style>
  <w:style w:type="paragraph" w:customStyle="1" w:styleId="86">
    <w:name w:val="Char Char Char Char Char Char Char"/>
    <w:basedOn w:val="1"/>
    <w:qFormat/>
    <w:uiPriority w:val="99"/>
    <w:rPr>
      <w:szCs w:val="24"/>
    </w:rPr>
  </w:style>
  <w:style w:type="paragraph" w:customStyle="1" w:styleId="87">
    <w:name w:val="列出段落5"/>
    <w:basedOn w:val="1"/>
    <w:qFormat/>
    <w:uiPriority w:val="99"/>
    <w:pPr>
      <w:ind w:firstLine="420" w:firstLineChars="200"/>
    </w:pPr>
    <w:rPr>
      <w:szCs w:val="24"/>
    </w:rPr>
  </w:style>
  <w:style w:type="paragraph" w:customStyle="1" w:styleId="88">
    <w:name w:val="List Paragraph1"/>
    <w:basedOn w:val="1"/>
    <w:qFormat/>
    <w:uiPriority w:val="99"/>
    <w:pPr>
      <w:widowControl/>
      <w:spacing w:after="200" w:line="276" w:lineRule="auto"/>
      <w:ind w:left="720"/>
      <w:contextualSpacing/>
      <w:jc w:val="left"/>
    </w:pPr>
    <w:rPr>
      <w:rFonts w:ascii="Calibri" w:hAnsi="Calibri"/>
      <w:kern w:val="0"/>
      <w:sz w:val="22"/>
      <w:szCs w:val="22"/>
    </w:rPr>
  </w:style>
  <w:style w:type="paragraph" w:customStyle="1" w:styleId="89">
    <w:name w:val="正文文本缩进1"/>
    <w:basedOn w:val="1"/>
    <w:qFormat/>
    <w:uiPriority w:val="99"/>
    <w:pPr>
      <w:widowControl/>
      <w:spacing w:after="120"/>
      <w:ind w:left="420" w:leftChars="200"/>
      <w:jc w:val="left"/>
    </w:pPr>
    <w:rPr>
      <w:kern w:val="0"/>
      <w:sz w:val="34"/>
    </w:rPr>
  </w:style>
  <w:style w:type="paragraph" w:customStyle="1" w:styleId="90">
    <w:name w:val="列出段落4"/>
    <w:basedOn w:val="1"/>
    <w:qFormat/>
    <w:uiPriority w:val="99"/>
    <w:pPr>
      <w:ind w:firstLine="420" w:firstLineChars="200"/>
    </w:pPr>
    <w:rPr>
      <w:szCs w:val="24"/>
    </w:rPr>
  </w:style>
  <w:style w:type="paragraph" w:customStyle="1" w:styleId="91">
    <w:name w:val="列出段落11"/>
    <w:basedOn w:val="1"/>
    <w:qFormat/>
    <w:uiPriority w:val="99"/>
    <w:pPr>
      <w:ind w:firstLine="420" w:firstLineChars="200"/>
    </w:pPr>
    <w:rPr>
      <w:szCs w:val="24"/>
    </w:rPr>
  </w:style>
  <w:style w:type="paragraph" w:customStyle="1" w:styleId="92">
    <w:name w:val="xl87"/>
    <w:basedOn w:val="1"/>
    <w:qFormat/>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宋体" w:hAnsi="宋体" w:cs="宋体"/>
      <w:sz w:val="18"/>
      <w:szCs w:val="18"/>
    </w:rPr>
  </w:style>
  <w:style w:type="paragraph" w:customStyle="1" w:styleId="93">
    <w:name w:val="_Style 49"/>
    <w:basedOn w:val="1"/>
    <w:next w:val="13"/>
    <w:qFormat/>
    <w:uiPriority w:val="99"/>
    <w:rPr>
      <w:rFonts w:ascii="宋体" w:hAnsi="Courier New"/>
      <w:sz w:val="24"/>
    </w:rPr>
  </w:style>
  <w:style w:type="paragraph" w:customStyle="1" w:styleId="94">
    <w:name w:val="Char"/>
    <w:basedOn w:val="1"/>
    <w:next w:val="1"/>
    <w:qFormat/>
    <w:uiPriority w:val="99"/>
    <w:pPr>
      <w:widowControl/>
      <w:spacing w:after="160" w:line="240" w:lineRule="exact"/>
      <w:jc w:val="left"/>
    </w:pPr>
    <w:rPr>
      <w:rFonts w:ascii="Verdana" w:hAnsi="Verdana"/>
      <w:kern w:val="0"/>
      <w:sz w:val="20"/>
      <w:lang w:eastAsia="en-US"/>
    </w:rPr>
  </w:style>
  <w:style w:type="paragraph" w:customStyle="1" w:styleId="95">
    <w:name w:val="_Style 13"/>
    <w:basedOn w:val="1"/>
    <w:qFormat/>
    <w:uiPriority w:val="99"/>
    <w:pPr>
      <w:spacing w:after="160" w:line="240" w:lineRule="exact"/>
    </w:pPr>
  </w:style>
  <w:style w:type="paragraph" w:customStyle="1" w:styleId="96">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97">
    <w:name w:val="正文2"/>
    <w:basedOn w:val="98"/>
    <w:qFormat/>
    <w:uiPriority w:val="99"/>
    <w:pPr>
      <w:tabs>
        <w:tab w:val="left" w:pos="420"/>
      </w:tabs>
      <w:adjustRightInd/>
      <w:spacing w:line="360" w:lineRule="auto"/>
      <w:ind w:left="420" w:hanging="420"/>
    </w:pPr>
    <w:rPr>
      <w:kern w:val="2"/>
      <w:sz w:val="24"/>
      <w:szCs w:val="24"/>
    </w:rPr>
  </w:style>
  <w:style w:type="paragraph" w:customStyle="1" w:styleId="98">
    <w:name w:val="正文1"/>
    <w:qFormat/>
    <w:uiPriority w:val="99"/>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99">
    <w:name w:val="_Style 12"/>
    <w:basedOn w:val="10"/>
    <w:qFormat/>
    <w:uiPriority w:val="99"/>
    <w:pPr>
      <w:adjustRightInd w:val="0"/>
      <w:snapToGrid w:val="0"/>
      <w:spacing w:line="360" w:lineRule="auto"/>
    </w:pPr>
    <w:rPr>
      <w:rFonts w:hAnsi="Tahoma"/>
      <w:sz w:val="24"/>
      <w:szCs w:val="20"/>
    </w:rPr>
  </w:style>
  <w:style w:type="paragraph" w:customStyle="1" w:styleId="100">
    <w:name w:val="列出段落1"/>
    <w:basedOn w:val="1"/>
    <w:qFormat/>
    <w:uiPriority w:val="99"/>
    <w:pPr>
      <w:ind w:firstLine="420" w:firstLineChars="200"/>
    </w:pPr>
    <w:rPr>
      <w:rFonts w:ascii="Calibri" w:hAnsi="Calibri"/>
    </w:rPr>
  </w:style>
  <w:style w:type="paragraph" w:customStyle="1" w:styleId="101">
    <w:name w:val="Char1 Char Char Char Char Char Char1"/>
    <w:basedOn w:val="1"/>
    <w:qFormat/>
    <w:uiPriority w:val="99"/>
    <w:pPr>
      <w:spacing w:after="160" w:line="240" w:lineRule="exact"/>
    </w:pPr>
  </w:style>
  <w:style w:type="paragraph" w:customStyle="1" w:styleId="102">
    <w:name w:val="示例×："/>
    <w:basedOn w:val="1"/>
    <w:qFormat/>
    <w:uiPriority w:val="99"/>
    <w:pPr>
      <w:widowControl/>
    </w:pPr>
    <w:rPr>
      <w:rFonts w:ascii="宋体"/>
      <w:kern w:val="0"/>
      <w:sz w:val="18"/>
      <w:szCs w:val="18"/>
    </w:rPr>
  </w:style>
  <w:style w:type="paragraph" w:customStyle="1" w:styleId="103">
    <w:name w:val="默认段落字体 Para Char Char Char Char Char Char Char"/>
    <w:basedOn w:val="1"/>
    <w:qFormat/>
    <w:uiPriority w:val="99"/>
    <w:pPr>
      <w:spacing w:line="360" w:lineRule="auto"/>
    </w:pPr>
  </w:style>
  <w:style w:type="paragraph" w:customStyle="1" w:styleId="104">
    <w:name w:val="Char Char Char"/>
    <w:basedOn w:val="1"/>
    <w:qFormat/>
    <w:uiPriority w:val="99"/>
    <w:rPr>
      <w:szCs w:val="24"/>
    </w:rPr>
  </w:style>
  <w:style w:type="paragraph" w:customStyle="1" w:styleId="105">
    <w:name w:val="正文3"/>
    <w:qFormat/>
    <w:uiPriority w:val="99"/>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06">
    <w:name w:val="列出段落3"/>
    <w:basedOn w:val="1"/>
    <w:qFormat/>
    <w:uiPriority w:val="99"/>
    <w:pPr>
      <w:ind w:firstLine="420" w:firstLineChars="200"/>
    </w:pPr>
    <w:rPr>
      <w:szCs w:val="24"/>
    </w:rPr>
  </w:style>
  <w:style w:type="paragraph" w:customStyle="1" w:styleId="107">
    <w:name w:val="列出段落2"/>
    <w:basedOn w:val="1"/>
    <w:qFormat/>
    <w:uiPriority w:val="99"/>
    <w:pPr>
      <w:ind w:firstLine="420" w:firstLineChars="200"/>
    </w:pPr>
    <w:rPr>
      <w:szCs w:val="24"/>
    </w:rPr>
  </w:style>
  <w:style w:type="paragraph" w:customStyle="1" w:styleId="108">
    <w:name w:val="样式 首行缩进:  2 字符"/>
    <w:basedOn w:val="1"/>
    <w:qFormat/>
    <w:uiPriority w:val="99"/>
    <w:pPr>
      <w:ind w:firstLine="420" w:firstLineChars="200"/>
    </w:pPr>
    <w:rPr>
      <w:rFonts w:ascii="宋体" w:cs="宋体"/>
    </w:rPr>
  </w:style>
  <w:style w:type="paragraph" w:customStyle="1" w:styleId="109">
    <w:name w:val="Default"/>
    <w:qFormat/>
    <w:uiPriority w:val="99"/>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110">
    <w:name w:val="正文 A"/>
    <w:qFormat/>
    <w:uiPriority w:val="99"/>
    <w:pPr>
      <w:framePr w:wrap="around" w:vAnchor="margin" w:hAnchor="text" w:y="1"/>
      <w:widowControl w:val="0"/>
      <w:jc w:val="both"/>
    </w:pPr>
    <w:rPr>
      <w:rFonts w:ascii="Calibri" w:hAnsi="Calibri" w:eastAsia="宋体" w:cs="Calibri"/>
      <w:color w:val="000000"/>
      <w:kern w:val="2"/>
      <w:sz w:val="21"/>
      <w:szCs w:val="21"/>
      <w:lang w:val="en-US" w:eastAsia="zh-CN" w:bidi="ar-SA"/>
    </w:rPr>
  </w:style>
  <w:style w:type="paragraph" w:customStyle="1" w:styleId="111">
    <w:name w:val="Char Char1 Char Char Char Char Char Char"/>
    <w:basedOn w:val="1"/>
    <w:qFormat/>
    <w:uiPriority w:val="99"/>
    <w:pPr>
      <w:adjustRightInd w:val="0"/>
      <w:snapToGrid w:val="0"/>
      <w:spacing w:beforeLines="25" w:afterLines="25" w:line="240" w:lineRule="exact"/>
      <w:ind w:firstLine="560" w:firstLineChars="192"/>
    </w:pPr>
    <w:rPr>
      <w:szCs w:val="24"/>
    </w:rPr>
  </w:style>
  <w:style w:type="paragraph" w:customStyle="1" w:styleId="112">
    <w:name w:val="样式1"/>
    <w:basedOn w:val="1"/>
    <w:qFormat/>
    <w:uiPriority w:val="99"/>
    <w:pPr>
      <w:numPr>
        <w:ilvl w:val="0"/>
        <w:numId w:val="1"/>
      </w:numPr>
      <w:tabs>
        <w:tab w:val="left" w:pos="709"/>
      </w:tabs>
    </w:pPr>
    <w:rPr>
      <w:rFonts w:ascii="宋体" w:hAnsi="宋体"/>
      <w:szCs w:val="21"/>
    </w:rPr>
  </w:style>
  <w:style w:type="paragraph" w:customStyle="1" w:styleId="113">
    <w:name w:val="Char Char Char Char"/>
    <w:basedOn w:val="10"/>
    <w:qFormat/>
    <w:uiPriority w:val="99"/>
    <w:pPr>
      <w:adjustRightInd w:val="0"/>
      <w:snapToGrid w:val="0"/>
      <w:spacing w:line="360" w:lineRule="auto"/>
    </w:pPr>
  </w:style>
  <w:style w:type="paragraph" w:customStyle="1" w:styleId="114">
    <w:name w:val="msonormalcxspmiddle"/>
    <w:basedOn w:val="1"/>
    <w:qFormat/>
    <w:uiPriority w:val="99"/>
    <w:pPr>
      <w:widowControl/>
      <w:spacing w:before="280" w:after="280"/>
      <w:jc w:val="left"/>
    </w:pPr>
    <w:rPr>
      <w:rFonts w:ascii="宋体" w:hAnsi="宋体" w:cs="宋体"/>
      <w:kern w:val="1"/>
      <w:sz w:val="24"/>
      <w:szCs w:val="24"/>
      <w:lang w:eastAsia="ar-SA"/>
    </w:rPr>
  </w:style>
  <w:style w:type="paragraph" w:customStyle="1" w:styleId="115">
    <w:name w:val="List Paragraph_32a8a71d-9d51-41db-9a20-0e87fd3ab526"/>
    <w:basedOn w:val="1"/>
    <w:qFormat/>
    <w:uiPriority w:val="99"/>
    <w:pPr>
      <w:ind w:firstLine="420" w:firstLineChars="200"/>
    </w:pPr>
    <w:rPr>
      <w:szCs w:val="24"/>
    </w:rPr>
  </w:style>
  <w:style w:type="paragraph" w:customStyle="1" w:styleId="116">
    <w:name w:val="表格"/>
    <w:basedOn w:val="1"/>
    <w:qFormat/>
    <w:uiPriority w:val="99"/>
    <w:pPr>
      <w:spacing w:line="400" w:lineRule="exact"/>
    </w:pPr>
    <w:rPr>
      <w:sz w:val="24"/>
      <w:szCs w:val="24"/>
    </w:rPr>
  </w:style>
  <w:style w:type="paragraph" w:styleId="117">
    <w:name w:val="List Paragraph"/>
    <w:basedOn w:val="1"/>
    <w:qFormat/>
    <w:uiPriority w:val="34"/>
    <w:pPr>
      <w:ind w:firstLine="420" w:firstLineChars="200"/>
    </w:pPr>
  </w:style>
  <w:style w:type="paragraph" w:customStyle="1" w:styleId="118">
    <w:name w:val="TOC 标题1"/>
    <w:basedOn w:val="5"/>
    <w:next w:val="1"/>
    <w:qFormat/>
    <w:uiPriority w:val="99"/>
    <w:pPr>
      <w:widowControl/>
      <w:spacing w:before="240" w:after="0" w:line="259" w:lineRule="auto"/>
      <w:jc w:val="left"/>
      <w:outlineLvl w:val="9"/>
    </w:pPr>
    <w:rPr>
      <w:rFonts w:ascii="等线 Light" w:hAnsi="等线 Light" w:eastAsia="等线 Light"/>
      <w:b w:val="0"/>
      <w:bCs w:val="0"/>
      <w:color w:val="2E74B5"/>
      <w:kern w:val="0"/>
      <w:sz w:val="32"/>
      <w:szCs w:val="32"/>
    </w:rPr>
  </w:style>
  <w:style w:type="character" w:customStyle="1" w:styleId="119">
    <w:name w:val="正文首行缩进 2 Char"/>
    <w:link w:val="2"/>
    <w:semiHidden/>
    <w:qFormat/>
    <w:locked/>
    <w:uiPriority w:val="99"/>
    <w:rPr>
      <w:rFonts w:ascii="Times New Roman" w:hAnsi="Times New Roman" w:eastAsia="宋体" w:cs="Times New Roman"/>
      <w:sz w:val="20"/>
      <w:szCs w:val="20"/>
    </w:rPr>
  </w:style>
  <w:style w:type="character" w:customStyle="1" w:styleId="120">
    <w:name w:val="apple-converted-space"/>
    <w:qFormat/>
    <w:uiPriority w:val="99"/>
    <w:rPr>
      <w:rFonts w:cs="Times New Roman"/>
    </w:rPr>
  </w:style>
  <w:style w:type="character" w:customStyle="1" w:styleId="121">
    <w:name w:val="HTML 预设格式 Char"/>
    <w:link w:val="21"/>
    <w:semiHidden/>
    <w:qFormat/>
    <w:uiPriority w:val="99"/>
    <w:rPr>
      <w:rFonts w:ascii="宋体" w:hAnsi="宋体"/>
      <w:sz w:val="24"/>
      <w:szCs w:val="24"/>
    </w:rPr>
  </w:style>
  <w:style w:type="paragraph" w:customStyle="1" w:styleId="122">
    <w:name w:val="段"/>
    <w:basedOn w:val="1"/>
    <w:qFormat/>
    <w:uiPriority w:val="0"/>
    <w:pPr>
      <w:autoSpaceDE w:val="0"/>
      <w:autoSpaceDN w:val="0"/>
      <w:ind w:firstLine="200" w:firstLineChars="200"/>
    </w:pPr>
    <w:rPr>
      <w:rFonts w:ascii="宋体"/>
      <w:szCs w:val="24"/>
    </w:rPr>
  </w:style>
  <w:style w:type="paragraph" w:customStyle="1" w:styleId="123">
    <w:name w:val="p0"/>
    <w:basedOn w:val="1"/>
    <w:qFormat/>
    <w:uiPriority w:val="0"/>
    <w:pPr>
      <w:widowControl/>
    </w:pPr>
    <w:rPr>
      <w:rFonts w:ascii="Calibri" w:hAnsi="Calibri"/>
      <w:kern w:val="0"/>
      <w:szCs w:val="21"/>
    </w:rPr>
  </w:style>
  <w:style w:type="character" w:customStyle="1" w:styleId="124">
    <w:name w:val="正文文本 Char"/>
    <w:link w:val="12"/>
    <w:qFormat/>
    <w:uiPriority w:val="99"/>
    <w:rPr>
      <w:rFonts w:eastAsia="仿宋_GB2312"/>
      <w:kern w:val="2"/>
      <w:sz w:val="32"/>
      <w:szCs w:val="24"/>
    </w:rPr>
  </w:style>
  <w:style w:type="paragraph" w:customStyle="1" w:styleId="125">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126">
    <w:name w:val="标题 1 Char"/>
    <w:link w:val="5"/>
    <w:qFormat/>
    <w:uiPriority w:val="0"/>
    <w:rPr>
      <w:rFonts w:ascii="黑体" w:hAnsi="宋体" w:eastAsia="黑体"/>
      <w:kern w:val="2"/>
      <w:sz w:val="28"/>
      <w:szCs w:val="28"/>
      <w:lang w:val="en-US" w:eastAsia="zh-CN" w:bidi="ar-SA"/>
    </w:rPr>
  </w:style>
  <w:style w:type="paragraph" w:customStyle="1" w:styleId="127">
    <w:name w:val="Body text|1"/>
    <w:basedOn w:val="1"/>
    <w:qFormat/>
    <w:uiPriority w:val="0"/>
    <w:pPr>
      <w:widowControl w:val="0"/>
      <w:shd w:val="clear" w:color="auto" w:fill="auto"/>
      <w:spacing w:after="240" w:line="480" w:lineRule="auto"/>
      <w:ind w:firstLine="400"/>
    </w:pPr>
    <w:rPr>
      <w:rFonts w:ascii="宋体" w:hAnsi="宋体" w:eastAsia="宋体" w:cs="宋体"/>
      <w:u w:val="none"/>
      <w:shd w:val="clear" w:color="auto" w:fill="auto"/>
      <w:lang w:val="zh-TW" w:eastAsia="zh-TW" w:bidi="zh-TW"/>
    </w:rPr>
  </w:style>
  <w:style w:type="character" w:customStyle="1" w:styleId="128">
    <w:name w:val="bord"/>
    <w:basedOn w:val="27"/>
    <w:qFormat/>
    <w:uiPriority w:val="0"/>
  </w:style>
  <w:style w:type="paragraph" w:customStyle="1" w:styleId="129">
    <w:name w:val="*正文"/>
    <w:basedOn w:val="1"/>
    <w:qFormat/>
    <w:uiPriority w:val="0"/>
    <w:pPr>
      <w:widowControl w:val="0"/>
      <w:spacing w:line="360" w:lineRule="auto"/>
      <w:ind w:firstLine="200" w:firstLineChars="200"/>
      <w:jc w:val="both"/>
    </w:pPr>
    <w:rPr>
      <w:rFonts w:ascii="宋体" w:hAnsi="宋体"/>
      <w:sz w:val="24"/>
      <w:szCs w:val="24"/>
    </w:rPr>
  </w:style>
  <w:style w:type="paragraph" w:customStyle="1" w:styleId="130">
    <w:name w:val="Plain Text"/>
    <w:basedOn w:val="131"/>
    <w:qFormat/>
    <w:uiPriority w:val="0"/>
    <w:pPr>
      <w:adjustRightInd w:val="0"/>
      <w:textAlignment w:val="baseline"/>
    </w:pPr>
    <w:rPr>
      <w:rFonts w:ascii="宋体" w:hAnsi="Courier New" w:eastAsia="楷体_GB2312"/>
      <w:sz w:val="28"/>
      <w:szCs w:val="20"/>
    </w:rPr>
  </w:style>
  <w:style w:type="paragraph" w:customStyle="1" w:styleId="131">
    <w:name w:val="正文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C53D56-1AC0-464C-89B6-81B3748A8A4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40</Pages>
  <Words>18309</Words>
  <Characters>19264</Characters>
  <Lines>225</Lines>
  <Paragraphs>63</Paragraphs>
  <TotalTime>7</TotalTime>
  <ScaleCrop>false</ScaleCrop>
  <LinksUpToDate>false</LinksUpToDate>
  <CharactersWithSpaces>21924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2019-10-15T02:32:00Z</dcterms:created>
  <dc:creator>AutoBVT</dc:creator>
  <cp:lastModifiedBy>...</cp:lastModifiedBy>
  <cp:lastPrinted>2019-09-09T01:15:00Z</cp:lastPrinted>
  <dcterms:modified xsi:type="dcterms:W3CDTF">2021-12-28T08:19:57Z</dcterms:modified>
  <dc:title> </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2261F68AA4204EA78260A1B27E6A6BC4</vt:lpwstr>
  </property>
</Properties>
</file>