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41"/>
          <w:rFonts w:cs="宋体" w:asciiTheme="majorEastAsia" w:hAnsiTheme="majorEastAsia" w:eastAsiaTheme="majorEastAsia"/>
          <w:b w:val="0"/>
          <w:bCs/>
          <w:color w:val="auto"/>
          <w:sz w:val="36"/>
          <w:szCs w:val="52"/>
        </w:rPr>
      </w:pPr>
    </w:p>
    <w:p>
      <w:pPr>
        <w:jc w:val="center"/>
        <w:rPr>
          <w:rStyle w:val="41"/>
          <w:rFonts w:cs="宋体" w:asciiTheme="majorEastAsia" w:hAnsiTheme="majorEastAsia" w:eastAsiaTheme="majorEastAsia"/>
          <w:bCs/>
          <w:color w:val="auto"/>
          <w:sz w:val="52"/>
          <w:szCs w:val="52"/>
        </w:rPr>
      </w:pPr>
      <w:r>
        <w:rPr>
          <w:rStyle w:val="41"/>
          <w:rFonts w:hint="eastAsia" w:cs="宋体" w:asciiTheme="majorEastAsia" w:hAnsiTheme="majorEastAsia" w:eastAsiaTheme="majorEastAsia"/>
          <w:bCs/>
          <w:color w:val="auto"/>
          <w:sz w:val="52"/>
          <w:szCs w:val="52"/>
        </w:rPr>
        <w:t>临高县皇桐镇古银瀑布绿化项目</w:t>
      </w:r>
    </w:p>
    <w:p>
      <w:pPr>
        <w:rPr>
          <w:rStyle w:val="41"/>
          <w:rFonts w:cs="宋体" w:asciiTheme="majorEastAsia" w:hAnsiTheme="majorEastAsia" w:eastAsiaTheme="majorEastAsia"/>
          <w:bCs/>
          <w:color w:val="auto"/>
        </w:rPr>
      </w:pPr>
    </w:p>
    <w:p>
      <w:pPr>
        <w:rPr>
          <w:rStyle w:val="41"/>
          <w:rFonts w:cs="宋体" w:asciiTheme="majorEastAsia" w:hAnsiTheme="majorEastAsia" w:eastAsiaTheme="majorEastAsia"/>
          <w:bCs/>
          <w:color w:val="auto"/>
        </w:rPr>
      </w:pPr>
    </w:p>
    <w:p>
      <w:pPr>
        <w:jc w:val="center"/>
        <w:rPr>
          <w:rStyle w:val="41"/>
          <w:rFonts w:cs="宋体" w:asciiTheme="majorEastAsia" w:hAnsiTheme="majorEastAsia" w:eastAsiaTheme="majorEastAsia"/>
          <w:bCs/>
          <w:color w:val="auto"/>
          <w:sz w:val="72"/>
          <w:szCs w:val="72"/>
        </w:rPr>
      </w:pPr>
    </w:p>
    <w:p>
      <w:pPr>
        <w:jc w:val="center"/>
        <w:rPr>
          <w:rStyle w:val="41"/>
          <w:rFonts w:cs="宋体" w:asciiTheme="majorEastAsia" w:hAnsiTheme="majorEastAsia" w:eastAsiaTheme="majorEastAsia"/>
          <w:bCs/>
          <w:color w:val="auto"/>
          <w:sz w:val="72"/>
          <w:szCs w:val="72"/>
        </w:rPr>
      </w:pPr>
    </w:p>
    <w:p>
      <w:pPr>
        <w:jc w:val="center"/>
        <w:rPr>
          <w:rStyle w:val="41"/>
          <w:rFonts w:cs="宋体" w:asciiTheme="majorEastAsia" w:hAnsiTheme="majorEastAsia" w:eastAsiaTheme="majorEastAsia"/>
          <w:bCs/>
          <w:color w:val="auto"/>
          <w:sz w:val="72"/>
          <w:szCs w:val="72"/>
        </w:rPr>
      </w:pPr>
      <w:r>
        <w:rPr>
          <w:rStyle w:val="41"/>
          <w:rFonts w:hint="eastAsia" w:cs="宋体" w:asciiTheme="majorEastAsia" w:hAnsiTheme="majorEastAsia" w:eastAsiaTheme="majorEastAsia"/>
          <w:bCs/>
          <w:color w:val="auto"/>
          <w:sz w:val="72"/>
          <w:szCs w:val="72"/>
        </w:rPr>
        <w:t>竞争性磋商文件</w:t>
      </w:r>
    </w:p>
    <w:p>
      <w:pPr>
        <w:rPr>
          <w:rStyle w:val="41"/>
          <w:rFonts w:cs="宋体" w:asciiTheme="majorEastAsia" w:hAnsiTheme="majorEastAsia" w:eastAsiaTheme="majorEastAsia"/>
          <w:b w:val="0"/>
          <w:bCs/>
          <w:color w:val="auto"/>
        </w:rPr>
      </w:pPr>
    </w:p>
    <w:p>
      <w:pPr>
        <w:rPr>
          <w:rStyle w:val="41"/>
          <w:rFonts w:cs="宋体" w:asciiTheme="majorEastAsia" w:hAnsiTheme="majorEastAsia" w:eastAsiaTheme="majorEastAsia"/>
          <w:b w:val="0"/>
          <w:bCs/>
          <w:color w:val="auto"/>
        </w:rPr>
      </w:pPr>
    </w:p>
    <w:p>
      <w:pPr>
        <w:rPr>
          <w:rStyle w:val="41"/>
          <w:rFonts w:cs="宋体" w:asciiTheme="majorEastAsia" w:hAnsiTheme="majorEastAsia" w:eastAsiaTheme="majorEastAsia"/>
          <w:b w:val="0"/>
          <w:bCs/>
          <w:color w:val="auto"/>
        </w:rPr>
      </w:pPr>
    </w:p>
    <w:p>
      <w:pPr>
        <w:rPr>
          <w:rStyle w:val="41"/>
          <w:rFonts w:cs="宋体" w:asciiTheme="majorEastAsia" w:hAnsiTheme="majorEastAsia" w:eastAsiaTheme="majorEastAsia"/>
          <w:b w:val="0"/>
          <w:bCs/>
          <w:color w:val="auto"/>
        </w:rPr>
      </w:pPr>
    </w:p>
    <w:p>
      <w:pPr>
        <w:rPr>
          <w:rStyle w:val="41"/>
          <w:rFonts w:cs="宋体" w:asciiTheme="majorEastAsia" w:hAnsiTheme="majorEastAsia" w:eastAsiaTheme="majorEastAsia"/>
          <w:b w:val="0"/>
          <w:bCs/>
          <w:color w:val="auto"/>
        </w:rPr>
      </w:pPr>
    </w:p>
    <w:p>
      <w:pPr>
        <w:rPr>
          <w:rStyle w:val="41"/>
          <w:rFonts w:cs="宋体" w:asciiTheme="majorEastAsia" w:hAnsiTheme="majorEastAsia" w:eastAsiaTheme="majorEastAsia"/>
          <w:b w:val="0"/>
          <w:bCs/>
          <w:color w:val="auto"/>
        </w:rPr>
      </w:pPr>
    </w:p>
    <w:p>
      <w:pPr>
        <w:ind w:firstLine="795" w:firstLineChars="265"/>
        <w:rPr>
          <w:rStyle w:val="41"/>
          <w:rFonts w:cs="宋体" w:asciiTheme="majorEastAsia" w:hAnsiTheme="majorEastAsia" w:eastAsiaTheme="majorEastAsia"/>
          <w:b w:val="0"/>
          <w:bCs/>
          <w:color w:val="auto"/>
          <w:szCs w:val="30"/>
        </w:rPr>
      </w:pPr>
    </w:p>
    <w:p>
      <w:pPr>
        <w:spacing w:after="156" w:afterLines="50" w:line="380" w:lineRule="exact"/>
        <w:ind w:firstLine="1205" w:firstLineChars="400"/>
        <w:rPr>
          <w:rStyle w:val="41"/>
          <w:rFonts w:cs="宋体" w:asciiTheme="majorEastAsia" w:hAnsiTheme="majorEastAsia" w:eastAsiaTheme="majorEastAsia"/>
          <w:bCs/>
          <w:color w:val="auto"/>
          <w:szCs w:val="30"/>
        </w:rPr>
      </w:pPr>
      <w:r>
        <w:rPr>
          <w:rStyle w:val="41"/>
          <w:rFonts w:hint="eastAsia" w:cs="宋体" w:asciiTheme="majorEastAsia" w:hAnsiTheme="majorEastAsia" w:eastAsiaTheme="majorEastAsia"/>
          <w:bCs/>
          <w:color w:val="auto"/>
          <w:szCs w:val="30"/>
        </w:rPr>
        <w:t xml:space="preserve">采 </w:t>
      </w:r>
      <w:r>
        <w:rPr>
          <w:rStyle w:val="41"/>
          <w:rFonts w:hint="eastAsia" w:cs="宋体" w:asciiTheme="majorEastAsia" w:hAnsiTheme="majorEastAsia" w:eastAsiaTheme="majorEastAsia"/>
          <w:bCs/>
          <w:color w:val="auto"/>
          <w:szCs w:val="30"/>
          <w:lang w:val="en-US" w:eastAsia="zh-CN"/>
        </w:rPr>
        <w:t xml:space="preserve">  </w:t>
      </w:r>
      <w:r>
        <w:rPr>
          <w:rStyle w:val="41"/>
          <w:rFonts w:hint="eastAsia" w:cs="宋体" w:asciiTheme="majorEastAsia" w:hAnsiTheme="majorEastAsia" w:eastAsiaTheme="majorEastAsia"/>
          <w:bCs/>
          <w:color w:val="auto"/>
          <w:szCs w:val="30"/>
        </w:rPr>
        <w:t xml:space="preserve">购 </w:t>
      </w:r>
      <w:r>
        <w:rPr>
          <w:rStyle w:val="41"/>
          <w:rFonts w:hint="eastAsia" w:cs="宋体" w:asciiTheme="majorEastAsia" w:hAnsiTheme="majorEastAsia" w:eastAsiaTheme="majorEastAsia"/>
          <w:bCs/>
          <w:color w:val="auto"/>
          <w:szCs w:val="30"/>
          <w:lang w:val="en-US" w:eastAsia="zh-CN"/>
        </w:rPr>
        <w:t xml:space="preserve">  </w:t>
      </w:r>
      <w:r>
        <w:rPr>
          <w:rStyle w:val="41"/>
          <w:rFonts w:hint="eastAsia" w:cs="宋体" w:asciiTheme="majorEastAsia" w:hAnsiTheme="majorEastAsia" w:eastAsiaTheme="majorEastAsia"/>
          <w:bCs/>
          <w:color w:val="auto"/>
          <w:szCs w:val="30"/>
        </w:rPr>
        <w:t>人：临高县临高林场</w:t>
      </w:r>
    </w:p>
    <w:p>
      <w:pPr>
        <w:ind w:firstLine="1099" w:firstLineChars="365"/>
        <w:rPr>
          <w:rStyle w:val="41"/>
          <w:rFonts w:hint="eastAsia" w:cs="宋体" w:asciiTheme="majorEastAsia" w:hAnsiTheme="majorEastAsia" w:eastAsiaTheme="majorEastAsia"/>
          <w:bCs/>
          <w:color w:val="auto"/>
          <w:szCs w:val="30"/>
        </w:rPr>
      </w:pPr>
      <w:r>
        <w:rPr>
          <w:rStyle w:val="41"/>
          <w:rFonts w:hint="eastAsia" w:cs="宋体" w:asciiTheme="majorEastAsia" w:hAnsiTheme="majorEastAsia" w:eastAsiaTheme="majorEastAsia"/>
          <w:bCs/>
          <w:color w:val="auto"/>
          <w:szCs w:val="30"/>
        </w:rPr>
        <w:t>采购代理机构</w:t>
      </w:r>
      <w:r>
        <w:rPr>
          <w:rStyle w:val="41"/>
          <w:rFonts w:hint="eastAsia" w:cs="宋体" w:asciiTheme="majorEastAsia" w:hAnsiTheme="majorEastAsia" w:eastAsiaTheme="majorEastAsia"/>
          <w:bCs/>
          <w:color w:val="auto"/>
          <w:szCs w:val="30"/>
          <w:lang w:eastAsia="zh-CN"/>
        </w:rPr>
        <w:t>：</w:t>
      </w:r>
      <w:r>
        <w:rPr>
          <w:rStyle w:val="41"/>
          <w:rFonts w:hint="eastAsia" w:cs="宋体" w:asciiTheme="majorEastAsia" w:hAnsiTheme="majorEastAsia" w:eastAsiaTheme="majorEastAsia"/>
          <w:bCs/>
          <w:color w:val="auto"/>
          <w:szCs w:val="30"/>
        </w:rPr>
        <w:t xml:space="preserve">海南中信源项目管理有限公司 </w:t>
      </w:r>
    </w:p>
    <w:p>
      <w:pPr>
        <w:jc w:val="center"/>
        <w:rPr>
          <w:rFonts w:asciiTheme="majorEastAsia" w:hAnsiTheme="majorEastAsia" w:eastAsiaTheme="majorEastAsia"/>
          <w:b/>
          <w:color w:val="auto"/>
          <w:sz w:val="36"/>
          <w:szCs w:val="36"/>
        </w:rPr>
        <w:sectPr>
          <w:footerReference r:id="rId7" w:type="first"/>
          <w:headerReference r:id="rId5" w:type="default"/>
          <w:footerReference r:id="rId6" w:type="default"/>
          <w:pgSz w:w="11906" w:h="16838"/>
          <w:pgMar w:top="1440" w:right="1531" w:bottom="1440" w:left="1531" w:header="851" w:footer="992" w:gutter="0"/>
          <w:pgNumType w:start="0"/>
          <w:cols w:space="720" w:num="1"/>
          <w:titlePg/>
          <w:docGrid w:type="lines" w:linePitch="312" w:charSpace="0"/>
        </w:sectPr>
      </w:pPr>
      <w:r>
        <w:rPr>
          <w:rStyle w:val="41"/>
          <w:rFonts w:hint="eastAsia" w:cs="宋体" w:asciiTheme="majorEastAsia" w:hAnsiTheme="majorEastAsia" w:eastAsiaTheme="majorEastAsia"/>
          <w:bCs/>
          <w:color w:val="auto"/>
        </w:rPr>
        <w:t>2021年</w:t>
      </w:r>
      <w:r>
        <w:rPr>
          <w:rStyle w:val="41"/>
          <w:rFonts w:hint="eastAsia" w:cs="宋体" w:asciiTheme="majorEastAsia" w:hAnsiTheme="majorEastAsia" w:eastAsiaTheme="majorEastAsia"/>
          <w:bCs/>
          <w:color w:val="auto"/>
          <w:lang w:val="en-US" w:eastAsia="zh-CN"/>
        </w:rPr>
        <w:t>12</w:t>
      </w:r>
      <w:r>
        <w:rPr>
          <w:rStyle w:val="41"/>
          <w:rFonts w:hint="eastAsia" w:cs="宋体" w:asciiTheme="majorEastAsia" w:hAnsiTheme="majorEastAsia" w:eastAsiaTheme="majorEastAsia"/>
          <w:bCs/>
          <w:color w:val="auto"/>
        </w:rPr>
        <w:t>月</w:t>
      </w:r>
    </w:p>
    <w:p>
      <w:pPr>
        <w:jc w:val="center"/>
        <w:rPr>
          <w:rFonts w:asciiTheme="majorEastAsia" w:hAnsiTheme="majorEastAsia" w:eastAsiaTheme="majorEastAsia"/>
          <w:b/>
          <w:color w:val="auto"/>
          <w:sz w:val="36"/>
          <w:szCs w:val="36"/>
        </w:rPr>
      </w:pPr>
    </w:p>
    <w:p>
      <w:pPr>
        <w:rPr>
          <w:rFonts w:cs="宋体" w:asciiTheme="majorEastAsia" w:hAnsiTheme="majorEastAsia" w:eastAsiaTheme="majorEastAsia"/>
          <w:b/>
          <w:color w:val="auto"/>
          <w:sz w:val="36"/>
          <w:szCs w:val="36"/>
        </w:rPr>
      </w:pPr>
    </w:p>
    <w:p>
      <w:pPr>
        <w:autoSpaceDE w:val="0"/>
        <w:autoSpaceDN w:val="0"/>
        <w:jc w:val="center"/>
        <w:textAlignment w:val="bottom"/>
        <w:rPr>
          <w:rFonts w:cs="宋体" w:asciiTheme="majorEastAsia" w:hAnsiTheme="majorEastAsia" w:eastAsiaTheme="majorEastAsia"/>
          <w:b/>
          <w:color w:val="auto"/>
          <w:sz w:val="52"/>
          <w:szCs w:val="52"/>
        </w:rPr>
      </w:pPr>
      <w:r>
        <w:rPr>
          <w:rFonts w:hint="eastAsia" w:cs="宋体" w:asciiTheme="majorEastAsia" w:hAnsiTheme="majorEastAsia" w:eastAsiaTheme="majorEastAsia"/>
          <w:b/>
          <w:color w:val="auto"/>
          <w:sz w:val="52"/>
          <w:szCs w:val="52"/>
        </w:rPr>
        <w:t>目       录</w:t>
      </w:r>
    </w:p>
    <w:p>
      <w:pPr>
        <w:autoSpaceDE w:val="0"/>
        <w:autoSpaceDN w:val="0"/>
        <w:jc w:val="center"/>
        <w:textAlignment w:val="bottom"/>
        <w:rPr>
          <w:rFonts w:cs="宋体" w:asciiTheme="majorEastAsia" w:hAnsiTheme="majorEastAsia" w:eastAsiaTheme="majorEastAsia"/>
          <w:b/>
          <w:color w:val="auto"/>
          <w:u w:val="single"/>
        </w:rPr>
      </w:pPr>
    </w:p>
    <w:p>
      <w:pPr>
        <w:pStyle w:val="20"/>
        <w:tabs>
          <w:tab w:val="right" w:leader="dot" w:pos="8834"/>
        </w:tabs>
        <w:rPr>
          <w:rFonts w:cs="Times New Roman" w:asciiTheme="majorEastAsia" w:hAnsiTheme="majorEastAsia" w:eastAsiaTheme="majorEastAsia"/>
          <w:b w:val="0"/>
          <w:bCs w:val="0"/>
          <w:caps w:val="0"/>
          <w:color w:val="auto"/>
          <w:sz w:val="21"/>
          <w:szCs w:val="22"/>
        </w:rPr>
      </w:pPr>
      <w:r>
        <w:rPr>
          <w:rFonts w:cs="宋体" w:asciiTheme="majorEastAsia" w:hAnsiTheme="majorEastAsia" w:eastAsiaTheme="majorEastAsia"/>
          <w:color w:val="auto"/>
        </w:rPr>
        <w:fldChar w:fldCharType="begin"/>
      </w:r>
      <w:r>
        <w:rPr>
          <w:rFonts w:cs="宋体" w:asciiTheme="majorEastAsia" w:hAnsiTheme="majorEastAsia" w:eastAsiaTheme="majorEastAsia"/>
          <w:color w:val="auto"/>
        </w:rPr>
        <w:instrText xml:space="preserve"> </w:instrText>
      </w:r>
      <w:r>
        <w:rPr>
          <w:rFonts w:hint="eastAsia" w:cs="宋体" w:asciiTheme="majorEastAsia" w:hAnsiTheme="majorEastAsia" w:eastAsiaTheme="majorEastAsia"/>
          <w:color w:val="auto"/>
        </w:rPr>
        <w:instrText xml:space="preserve">TOC \o "1-1" \h \z \u</w:instrText>
      </w:r>
      <w:r>
        <w:rPr>
          <w:rFonts w:cs="宋体" w:asciiTheme="majorEastAsia" w:hAnsiTheme="majorEastAsia" w:eastAsiaTheme="majorEastAsia"/>
          <w:color w:val="auto"/>
        </w:rPr>
        <w:instrText xml:space="preserve"> </w:instrText>
      </w:r>
      <w:r>
        <w:rPr>
          <w:rFonts w:cs="宋体" w:asciiTheme="majorEastAsia" w:hAnsiTheme="majorEastAsia" w:eastAsiaTheme="majorEastAsia"/>
          <w:color w:val="auto"/>
        </w:rPr>
        <w:fldChar w:fldCharType="separate"/>
      </w:r>
      <w:r>
        <w:rPr>
          <w:color w:val="auto"/>
        </w:rPr>
        <w:fldChar w:fldCharType="begin"/>
      </w:r>
      <w:r>
        <w:rPr>
          <w:color w:val="auto"/>
        </w:rPr>
        <w:instrText xml:space="preserve"> HYPERLINK \l "_Toc13507834" </w:instrText>
      </w:r>
      <w:r>
        <w:rPr>
          <w:color w:val="auto"/>
        </w:rPr>
        <w:fldChar w:fldCharType="separate"/>
      </w:r>
      <w:r>
        <w:rPr>
          <w:rStyle w:val="37"/>
          <w:rFonts w:hint="eastAsia" w:asciiTheme="majorEastAsia" w:hAnsiTheme="majorEastAsia" w:eastAsiaTheme="majorEastAsia"/>
          <w:color w:val="auto"/>
        </w:rPr>
        <w:t>第一章</w:t>
      </w:r>
      <w:r>
        <w:rPr>
          <w:rStyle w:val="37"/>
          <w:rFonts w:asciiTheme="majorEastAsia" w:hAnsiTheme="majorEastAsia" w:eastAsiaTheme="majorEastAsia"/>
          <w:color w:val="auto"/>
        </w:rPr>
        <w:t xml:space="preserve"> </w:t>
      </w:r>
      <w:r>
        <w:rPr>
          <w:rStyle w:val="37"/>
          <w:rFonts w:hint="eastAsia" w:asciiTheme="majorEastAsia" w:hAnsiTheme="majorEastAsia" w:eastAsiaTheme="majorEastAsia"/>
          <w:color w:val="auto"/>
        </w:rPr>
        <w:t>竞争性磋商邀请</w:t>
      </w:r>
      <w:r>
        <w:rPr>
          <w:rFonts w:asciiTheme="majorEastAsia" w:hAnsiTheme="majorEastAsia" w:eastAsiaTheme="majorEastAsia"/>
          <w:color w:val="auto"/>
        </w:rPr>
        <w:tab/>
      </w:r>
      <w:r>
        <w:rPr>
          <w:rFonts w:asciiTheme="majorEastAsia" w:hAnsiTheme="majorEastAsia" w:eastAsiaTheme="majorEastAsia"/>
          <w:color w:val="auto"/>
        </w:rPr>
        <w:fldChar w:fldCharType="begin"/>
      </w:r>
      <w:r>
        <w:rPr>
          <w:rFonts w:asciiTheme="majorEastAsia" w:hAnsiTheme="majorEastAsia" w:eastAsiaTheme="majorEastAsia"/>
          <w:color w:val="auto"/>
        </w:rPr>
        <w:instrText xml:space="preserve"> PAGEREF _Toc13507834 \h </w:instrText>
      </w:r>
      <w:r>
        <w:rPr>
          <w:rFonts w:asciiTheme="majorEastAsia" w:hAnsiTheme="majorEastAsia" w:eastAsiaTheme="majorEastAsia"/>
          <w:color w:val="auto"/>
        </w:rPr>
        <w:fldChar w:fldCharType="separate"/>
      </w:r>
      <w:r>
        <w:rPr>
          <w:rFonts w:asciiTheme="majorEastAsia" w:hAnsiTheme="majorEastAsia" w:eastAsiaTheme="majorEastAsia"/>
          <w:color w:val="auto"/>
        </w:rPr>
        <w:t>2</w:t>
      </w:r>
      <w:r>
        <w:rPr>
          <w:rFonts w:asciiTheme="majorEastAsia" w:hAnsiTheme="majorEastAsia" w:eastAsiaTheme="majorEastAsia"/>
          <w:color w:val="auto"/>
        </w:rPr>
        <w:fldChar w:fldCharType="end"/>
      </w:r>
      <w:r>
        <w:rPr>
          <w:rFonts w:asciiTheme="majorEastAsia" w:hAnsiTheme="majorEastAsia" w:eastAsiaTheme="majorEastAsia"/>
          <w:color w:val="auto"/>
        </w:rPr>
        <w:fldChar w:fldCharType="end"/>
      </w:r>
    </w:p>
    <w:p>
      <w:pPr>
        <w:pStyle w:val="20"/>
        <w:tabs>
          <w:tab w:val="right" w:leader="dot" w:pos="8834"/>
        </w:tabs>
        <w:rPr>
          <w:rFonts w:cs="Times New Roman" w:asciiTheme="majorEastAsia" w:hAnsiTheme="majorEastAsia" w:eastAsiaTheme="majorEastAsia"/>
          <w:b w:val="0"/>
          <w:bCs w:val="0"/>
          <w:caps w:val="0"/>
          <w:color w:val="auto"/>
          <w:sz w:val="21"/>
          <w:szCs w:val="22"/>
        </w:rPr>
      </w:pPr>
      <w:r>
        <w:rPr>
          <w:color w:val="auto"/>
        </w:rPr>
        <w:fldChar w:fldCharType="begin"/>
      </w:r>
      <w:r>
        <w:rPr>
          <w:color w:val="auto"/>
        </w:rPr>
        <w:instrText xml:space="preserve"> HYPERLINK \l "_Toc13507835" </w:instrText>
      </w:r>
      <w:r>
        <w:rPr>
          <w:color w:val="auto"/>
        </w:rPr>
        <w:fldChar w:fldCharType="separate"/>
      </w:r>
      <w:r>
        <w:rPr>
          <w:rStyle w:val="37"/>
          <w:rFonts w:hint="eastAsia" w:asciiTheme="majorEastAsia" w:hAnsiTheme="majorEastAsia" w:eastAsiaTheme="majorEastAsia"/>
          <w:color w:val="auto"/>
        </w:rPr>
        <w:t>第二章</w:t>
      </w:r>
      <w:r>
        <w:rPr>
          <w:rStyle w:val="37"/>
          <w:rFonts w:asciiTheme="majorEastAsia" w:hAnsiTheme="majorEastAsia" w:eastAsiaTheme="majorEastAsia"/>
          <w:color w:val="auto"/>
        </w:rPr>
        <w:t xml:space="preserve"> </w:t>
      </w:r>
      <w:r>
        <w:rPr>
          <w:rStyle w:val="37"/>
          <w:rFonts w:hint="eastAsia" w:asciiTheme="majorEastAsia" w:hAnsiTheme="majorEastAsia" w:eastAsiaTheme="majorEastAsia"/>
          <w:color w:val="auto"/>
        </w:rPr>
        <w:t>竞争性磋商须知</w:t>
      </w:r>
      <w:r>
        <w:rPr>
          <w:rFonts w:asciiTheme="majorEastAsia" w:hAnsiTheme="majorEastAsia" w:eastAsiaTheme="majorEastAsia"/>
          <w:color w:val="auto"/>
        </w:rPr>
        <w:tab/>
      </w:r>
      <w:r>
        <w:rPr>
          <w:rFonts w:asciiTheme="majorEastAsia" w:hAnsiTheme="majorEastAsia" w:eastAsiaTheme="majorEastAsia"/>
          <w:color w:val="auto"/>
        </w:rPr>
        <w:fldChar w:fldCharType="begin"/>
      </w:r>
      <w:r>
        <w:rPr>
          <w:rFonts w:asciiTheme="majorEastAsia" w:hAnsiTheme="majorEastAsia" w:eastAsiaTheme="majorEastAsia"/>
          <w:color w:val="auto"/>
        </w:rPr>
        <w:instrText xml:space="preserve"> PAGEREF _Toc13507835 \h </w:instrText>
      </w:r>
      <w:r>
        <w:rPr>
          <w:rFonts w:asciiTheme="majorEastAsia" w:hAnsiTheme="majorEastAsia" w:eastAsiaTheme="majorEastAsia"/>
          <w:color w:val="auto"/>
        </w:rPr>
        <w:fldChar w:fldCharType="separate"/>
      </w:r>
      <w:r>
        <w:rPr>
          <w:rFonts w:asciiTheme="majorEastAsia" w:hAnsiTheme="majorEastAsia" w:eastAsiaTheme="majorEastAsia"/>
          <w:color w:val="auto"/>
        </w:rPr>
        <w:t>5</w:t>
      </w:r>
      <w:r>
        <w:rPr>
          <w:rFonts w:asciiTheme="majorEastAsia" w:hAnsiTheme="majorEastAsia" w:eastAsiaTheme="majorEastAsia"/>
          <w:color w:val="auto"/>
        </w:rPr>
        <w:fldChar w:fldCharType="end"/>
      </w:r>
      <w:r>
        <w:rPr>
          <w:rFonts w:asciiTheme="majorEastAsia" w:hAnsiTheme="majorEastAsia" w:eastAsiaTheme="majorEastAsia"/>
          <w:color w:val="auto"/>
        </w:rPr>
        <w:fldChar w:fldCharType="end"/>
      </w:r>
    </w:p>
    <w:p>
      <w:pPr>
        <w:pStyle w:val="20"/>
        <w:tabs>
          <w:tab w:val="right" w:leader="dot" w:pos="8834"/>
        </w:tabs>
        <w:rPr>
          <w:rFonts w:cs="Times New Roman" w:asciiTheme="majorEastAsia" w:hAnsiTheme="majorEastAsia" w:eastAsiaTheme="majorEastAsia"/>
          <w:b w:val="0"/>
          <w:bCs w:val="0"/>
          <w:caps w:val="0"/>
          <w:color w:val="auto"/>
          <w:sz w:val="21"/>
          <w:szCs w:val="22"/>
        </w:rPr>
      </w:pPr>
      <w:r>
        <w:rPr>
          <w:color w:val="auto"/>
        </w:rPr>
        <w:fldChar w:fldCharType="begin"/>
      </w:r>
      <w:r>
        <w:rPr>
          <w:color w:val="auto"/>
        </w:rPr>
        <w:instrText xml:space="preserve"> HYPERLINK \l "_Toc13507836" </w:instrText>
      </w:r>
      <w:r>
        <w:rPr>
          <w:color w:val="auto"/>
        </w:rPr>
        <w:fldChar w:fldCharType="separate"/>
      </w:r>
      <w:r>
        <w:rPr>
          <w:rStyle w:val="37"/>
          <w:rFonts w:hint="eastAsia" w:asciiTheme="majorEastAsia" w:hAnsiTheme="majorEastAsia" w:eastAsiaTheme="majorEastAsia"/>
          <w:color w:val="auto"/>
        </w:rPr>
        <w:t>第三章</w:t>
      </w:r>
      <w:r>
        <w:rPr>
          <w:rStyle w:val="37"/>
          <w:rFonts w:asciiTheme="majorEastAsia" w:hAnsiTheme="majorEastAsia" w:eastAsiaTheme="majorEastAsia"/>
          <w:color w:val="auto"/>
        </w:rPr>
        <w:t xml:space="preserve"> </w:t>
      </w:r>
      <w:r>
        <w:rPr>
          <w:rStyle w:val="37"/>
          <w:rFonts w:hint="eastAsia" w:asciiTheme="majorEastAsia" w:hAnsiTheme="majorEastAsia" w:eastAsiaTheme="majorEastAsia"/>
          <w:color w:val="auto"/>
        </w:rPr>
        <w:t>采购合同</w:t>
      </w:r>
      <w:r>
        <w:rPr>
          <w:rFonts w:asciiTheme="majorEastAsia" w:hAnsiTheme="majorEastAsia" w:eastAsiaTheme="majorEastAsia"/>
          <w:color w:val="auto"/>
        </w:rPr>
        <w:tab/>
      </w:r>
      <w:r>
        <w:rPr>
          <w:rFonts w:asciiTheme="majorEastAsia" w:hAnsiTheme="majorEastAsia" w:eastAsiaTheme="majorEastAsia"/>
          <w:color w:val="auto"/>
        </w:rPr>
        <w:fldChar w:fldCharType="begin"/>
      </w:r>
      <w:r>
        <w:rPr>
          <w:rFonts w:asciiTheme="majorEastAsia" w:hAnsiTheme="majorEastAsia" w:eastAsiaTheme="majorEastAsia"/>
          <w:color w:val="auto"/>
        </w:rPr>
        <w:instrText xml:space="preserve"> PAGEREF _Toc13507836 \h </w:instrText>
      </w:r>
      <w:r>
        <w:rPr>
          <w:rFonts w:asciiTheme="majorEastAsia" w:hAnsiTheme="majorEastAsia" w:eastAsiaTheme="majorEastAsia"/>
          <w:color w:val="auto"/>
        </w:rPr>
        <w:fldChar w:fldCharType="separate"/>
      </w:r>
      <w:r>
        <w:rPr>
          <w:rFonts w:asciiTheme="majorEastAsia" w:hAnsiTheme="majorEastAsia" w:eastAsiaTheme="majorEastAsia"/>
          <w:color w:val="auto"/>
        </w:rPr>
        <w:t>16</w:t>
      </w:r>
      <w:r>
        <w:rPr>
          <w:rFonts w:asciiTheme="majorEastAsia" w:hAnsiTheme="majorEastAsia" w:eastAsiaTheme="majorEastAsia"/>
          <w:color w:val="auto"/>
        </w:rPr>
        <w:fldChar w:fldCharType="end"/>
      </w:r>
      <w:r>
        <w:rPr>
          <w:rFonts w:asciiTheme="majorEastAsia" w:hAnsiTheme="majorEastAsia" w:eastAsiaTheme="majorEastAsia"/>
          <w:color w:val="auto"/>
        </w:rPr>
        <w:fldChar w:fldCharType="end"/>
      </w:r>
    </w:p>
    <w:p>
      <w:pPr>
        <w:pStyle w:val="20"/>
        <w:tabs>
          <w:tab w:val="right" w:leader="dot" w:pos="8834"/>
        </w:tabs>
        <w:rPr>
          <w:rFonts w:hint="eastAsia" w:cs="Times New Roman" w:asciiTheme="majorEastAsia" w:hAnsiTheme="majorEastAsia" w:eastAsiaTheme="majorEastAsia"/>
          <w:b w:val="0"/>
          <w:bCs w:val="0"/>
          <w:caps w:val="0"/>
          <w:color w:val="auto"/>
          <w:sz w:val="21"/>
          <w:szCs w:val="22"/>
          <w:lang w:val="en-US" w:eastAsia="zh-CN"/>
        </w:rPr>
      </w:pPr>
      <w:r>
        <w:rPr>
          <w:color w:val="auto"/>
        </w:rPr>
        <w:fldChar w:fldCharType="begin"/>
      </w:r>
      <w:r>
        <w:rPr>
          <w:color w:val="auto"/>
        </w:rPr>
        <w:instrText xml:space="preserve"> HYPERLINK \l "_Toc13507839" </w:instrText>
      </w:r>
      <w:r>
        <w:rPr>
          <w:color w:val="auto"/>
        </w:rPr>
        <w:fldChar w:fldCharType="separate"/>
      </w:r>
      <w:r>
        <w:rPr>
          <w:rStyle w:val="37"/>
          <w:rFonts w:hint="eastAsia" w:asciiTheme="majorEastAsia" w:hAnsiTheme="majorEastAsia" w:eastAsiaTheme="majorEastAsia"/>
          <w:color w:val="auto"/>
        </w:rPr>
        <w:t>第四章</w:t>
      </w:r>
      <w:r>
        <w:rPr>
          <w:rStyle w:val="37"/>
          <w:rFonts w:asciiTheme="majorEastAsia" w:hAnsiTheme="majorEastAsia" w:eastAsiaTheme="majorEastAsia"/>
          <w:color w:val="auto"/>
        </w:rPr>
        <w:t xml:space="preserve"> </w:t>
      </w:r>
      <w:r>
        <w:rPr>
          <w:rStyle w:val="37"/>
          <w:rFonts w:hint="eastAsia" w:asciiTheme="majorEastAsia" w:hAnsiTheme="majorEastAsia" w:eastAsiaTheme="majorEastAsia"/>
          <w:color w:val="auto"/>
        </w:rPr>
        <w:t>用户需求书</w:t>
      </w:r>
      <w:r>
        <w:rPr>
          <w:rFonts w:asciiTheme="majorEastAsia" w:hAnsiTheme="majorEastAsia" w:eastAsiaTheme="majorEastAsia"/>
          <w:color w:val="auto"/>
        </w:rPr>
        <w:tab/>
      </w:r>
      <w:r>
        <w:rPr>
          <w:rFonts w:hint="eastAsia" w:asciiTheme="majorEastAsia" w:hAnsiTheme="majorEastAsia" w:eastAsiaTheme="majorEastAsia"/>
          <w:color w:val="auto"/>
          <w:lang w:val="en-US" w:eastAsia="zh-CN"/>
        </w:rPr>
        <w:t>4</w:t>
      </w:r>
      <w:r>
        <w:rPr>
          <w:rFonts w:asciiTheme="majorEastAsia" w:hAnsiTheme="majorEastAsia" w:eastAsiaTheme="majorEastAsia"/>
          <w:color w:val="auto"/>
        </w:rPr>
        <w:fldChar w:fldCharType="end"/>
      </w:r>
      <w:r>
        <w:rPr>
          <w:rFonts w:hint="eastAsia" w:asciiTheme="majorEastAsia" w:hAnsiTheme="majorEastAsia" w:eastAsiaTheme="majorEastAsia"/>
          <w:color w:val="auto"/>
          <w:lang w:val="en-US" w:eastAsia="zh-CN"/>
        </w:rPr>
        <w:t>1</w:t>
      </w:r>
    </w:p>
    <w:p>
      <w:pPr>
        <w:pStyle w:val="20"/>
        <w:tabs>
          <w:tab w:val="right" w:leader="dot" w:pos="8834"/>
        </w:tabs>
        <w:rPr>
          <w:rFonts w:hint="eastAsia" w:cs="Times New Roman" w:asciiTheme="majorEastAsia" w:hAnsiTheme="majorEastAsia" w:eastAsiaTheme="majorEastAsia"/>
          <w:b w:val="0"/>
          <w:bCs w:val="0"/>
          <w:caps w:val="0"/>
          <w:color w:val="auto"/>
          <w:sz w:val="21"/>
          <w:szCs w:val="22"/>
          <w:lang w:val="en-US" w:eastAsia="zh-CN"/>
        </w:rPr>
      </w:pPr>
      <w:r>
        <w:rPr>
          <w:color w:val="auto"/>
        </w:rPr>
        <w:fldChar w:fldCharType="begin"/>
      </w:r>
      <w:r>
        <w:rPr>
          <w:color w:val="auto"/>
        </w:rPr>
        <w:instrText xml:space="preserve"> HYPERLINK \l "_Toc13507840" </w:instrText>
      </w:r>
      <w:r>
        <w:rPr>
          <w:color w:val="auto"/>
        </w:rPr>
        <w:fldChar w:fldCharType="separate"/>
      </w:r>
      <w:r>
        <w:rPr>
          <w:rStyle w:val="37"/>
          <w:rFonts w:hint="eastAsia" w:asciiTheme="majorEastAsia" w:hAnsiTheme="majorEastAsia" w:eastAsiaTheme="majorEastAsia"/>
          <w:color w:val="auto"/>
        </w:rPr>
        <w:t>第五章</w:t>
      </w:r>
      <w:r>
        <w:rPr>
          <w:rStyle w:val="37"/>
          <w:rFonts w:asciiTheme="majorEastAsia" w:hAnsiTheme="majorEastAsia" w:eastAsiaTheme="majorEastAsia"/>
          <w:color w:val="auto"/>
        </w:rPr>
        <w:t xml:space="preserve"> </w:t>
      </w:r>
      <w:r>
        <w:rPr>
          <w:rStyle w:val="37"/>
          <w:rFonts w:hint="eastAsia" w:asciiTheme="majorEastAsia" w:hAnsiTheme="majorEastAsia" w:eastAsiaTheme="majorEastAsia"/>
          <w:color w:val="auto"/>
        </w:rPr>
        <w:t>响应文件的格式</w:t>
      </w:r>
      <w:r>
        <w:rPr>
          <w:rFonts w:asciiTheme="majorEastAsia" w:hAnsiTheme="majorEastAsia" w:eastAsiaTheme="majorEastAsia"/>
          <w:color w:val="auto"/>
        </w:rPr>
        <w:tab/>
      </w:r>
      <w:r>
        <w:rPr>
          <w:rFonts w:hint="eastAsia" w:asciiTheme="majorEastAsia" w:hAnsiTheme="majorEastAsia" w:eastAsiaTheme="majorEastAsia"/>
          <w:color w:val="auto"/>
          <w:lang w:val="en-US" w:eastAsia="zh-CN"/>
        </w:rPr>
        <w:t>5</w:t>
      </w:r>
      <w:r>
        <w:rPr>
          <w:rFonts w:asciiTheme="majorEastAsia" w:hAnsiTheme="majorEastAsia" w:eastAsiaTheme="majorEastAsia"/>
          <w:color w:val="auto"/>
        </w:rPr>
        <w:fldChar w:fldCharType="end"/>
      </w:r>
      <w:r>
        <w:rPr>
          <w:rFonts w:hint="eastAsia" w:asciiTheme="majorEastAsia" w:hAnsiTheme="majorEastAsia" w:eastAsiaTheme="majorEastAsia"/>
          <w:color w:val="auto"/>
          <w:lang w:val="en-US" w:eastAsia="zh-CN"/>
        </w:rPr>
        <w:t>6</w:t>
      </w:r>
    </w:p>
    <w:p>
      <w:pPr>
        <w:pStyle w:val="20"/>
        <w:tabs>
          <w:tab w:val="right" w:leader="dot" w:pos="8834"/>
        </w:tabs>
        <w:rPr>
          <w:rFonts w:hint="default" w:cs="Times New Roman" w:asciiTheme="majorEastAsia" w:hAnsiTheme="majorEastAsia" w:eastAsiaTheme="majorEastAsia"/>
          <w:b w:val="0"/>
          <w:bCs w:val="0"/>
          <w:caps w:val="0"/>
          <w:color w:val="auto"/>
          <w:sz w:val="21"/>
          <w:szCs w:val="22"/>
          <w:lang w:val="en-US" w:eastAsia="zh-CN"/>
        </w:rPr>
      </w:pPr>
      <w:r>
        <w:rPr>
          <w:color w:val="auto"/>
        </w:rPr>
        <w:fldChar w:fldCharType="begin"/>
      </w:r>
      <w:r>
        <w:rPr>
          <w:color w:val="auto"/>
        </w:rPr>
        <w:instrText xml:space="preserve"> HYPERLINK \l "_Toc13507841" </w:instrText>
      </w:r>
      <w:r>
        <w:rPr>
          <w:color w:val="auto"/>
        </w:rPr>
        <w:fldChar w:fldCharType="separate"/>
      </w:r>
      <w:r>
        <w:rPr>
          <w:rStyle w:val="37"/>
          <w:rFonts w:hint="eastAsia" w:asciiTheme="majorEastAsia" w:hAnsiTheme="majorEastAsia" w:eastAsiaTheme="majorEastAsia"/>
          <w:color w:val="auto"/>
        </w:rPr>
        <w:t>第六章</w:t>
      </w:r>
      <w:r>
        <w:rPr>
          <w:rStyle w:val="37"/>
          <w:rFonts w:asciiTheme="majorEastAsia" w:hAnsiTheme="majorEastAsia" w:eastAsiaTheme="majorEastAsia"/>
          <w:color w:val="auto"/>
        </w:rPr>
        <w:t xml:space="preserve">  </w:t>
      </w:r>
      <w:r>
        <w:rPr>
          <w:rStyle w:val="37"/>
          <w:rFonts w:hint="eastAsia" w:asciiTheme="majorEastAsia" w:hAnsiTheme="majorEastAsia" w:eastAsiaTheme="majorEastAsia"/>
          <w:color w:val="auto"/>
        </w:rPr>
        <w:t>评审办法和程序</w:t>
      </w:r>
      <w:r>
        <w:rPr>
          <w:rFonts w:asciiTheme="majorEastAsia" w:hAnsiTheme="majorEastAsia" w:eastAsiaTheme="majorEastAsia"/>
          <w:color w:val="auto"/>
        </w:rPr>
        <w:tab/>
      </w:r>
      <w:r>
        <w:rPr>
          <w:rFonts w:asciiTheme="majorEastAsia" w:hAnsiTheme="majorEastAsia" w:eastAsiaTheme="majorEastAsia"/>
          <w:color w:val="auto"/>
        </w:rPr>
        <w:fldChar w:fldCharType="end"/>
      </w:r>
      <w:r>
        <w:rPr>
          <w:rFonts w:hint="eastAsia" w:asciiTheme="majorEastAsia" w:hAnsiTheme="majorEastAsia" w:eastAsiaTheme="majorEastAsia"/>
          <w:color w:val="auto"/>
          <w:lang w:val="en-US" w:eastAsia="zh-CN"/>
        </w:rPr>
        <w:t>65</w:t>
      </w:r>
    </w:p>
    <w:p>
      <w:pPr>
        <w:autoSpaceDE w:val="0"/>
        <w:autoSpaceDN w:val="0"/>
        <w:textAlignment w:val="bottom"/>
        <w:rPr>
          <w:rFonts w:cs="宋体" w:asciiTheme="majorEastAsia" w:hAnsiTheme="majorEastAsia" w:eastAsiaTheme="majorEastAsia"/>
          <w:color w:val="auto"/>
        </w:rPr>
      </w:pPr>
      <w:r>
        <w:rPr>
          <w:rFonts w:cs="宋体" w:asciiTheme="majorEastAsia" w:hAnsiTheme="majorEastAsia" w:eastAsiaTheme="majorEastAsia"/>
          <w:color w:val="auto"/>
        </w:rPr>
        <w:fldChar w:fldCharType="end"/>
      </w:r>
    </w:p>
    <w:p>
      <w:pPr>
        <w:rPr>
          <w:rFonts w:cs="宋体" w:asciiTheme="majorEastAsia" w:hAnsiTheme="majorEastAsia" w:eastAsiaTheme="majorEastAsia"/>
          <w:color w:val="auto"/>
          <w:sz w:val="30"/>
          <w:szCs w:val="30"/>
        </w:rPr>
      </w:pPr>
    </w:p>
    <w:p>
      <w:pPr>
        <w:jc w:val="center"/>
        <w:rPr>
          <w:rFonts w:asciiTheme="majorEastAsia" w:hAnsiTheme="majorEastAsia" w:eastAsiaTheme="majorEastAsia"/>
          <w:b/>
          <w:color w:val="auto"/>
          <w:sz w:val="48"/>
          <w:szCs w:val="48"/>
        </w:rPr>
      </w:pPr>
    </w:p>
    <w:p>
      <w:pPr>
        <w:jc w:val="center"/>
        <w:rPr>
          <w:rFonts w:asciiTheme="majorEastAsia" w:hAnsiTheme="majorEastAsia" w:eastAsiaTheme="majorEastAsia"/>
          <w:b/>
          <w:color w:val="auto"/>
          <w:sz w:val="48"/>
          <w:szCs w:val="48"/>
        </w:rPr>
      </w:pPr>
    </w:p>
    <w:p>
      <w:pPr>
        <w:jc w:val="center"/>
        <w:rPr>
          <w:rFonts w:asciiTheme="majorEastAsia" w:hAnsiTheme="majorEastAsia" w:eastAsiaTheme="majorEastAsia"/>
          <w:b/>
          <w:color w:val="auto"/>
          <w:sz w:val="48"/>
          <w:szCs w:val="48"/>
        </w:rPr>
      </w:pPr>
    </w:p>
    <w:p>
      <w:pPr>
        <w:jc w:val="center"/>
        <w:rPr>
          <w:rFonts w:asciiTheme="majorEastAsia" w:hAnsiTheme="majorEastAsia" w:eastAsiaTheme="majorEastAsia"/>
          <w:b/>
          <w:color w:val="auto"/>
          <w:sz w:val="48"/>
          <w:szCs w:val="48"/>
        </w:rPr>
      </w:pPr>
    </w:p>
    <w:p>
      <w:pPr>
        <w:jc w:val="center"/>
        <w:rPr>
          <w:rFonts w:asciiTheme="majorEastAsia" w:hAnsiTheme="majorEastAsia" w:eastAsiaTheme="majorEastAsia"/>
          <w:b/>
          <w:color w:val="auto"/>
          <w:sz w:val="48"/>
          <w:szCs w:val="48"/>
        </w:rPr>
      </w:pPr>
    </w:p>
    <w:p>
      <w:pPr>
        <w:jc w:val="center"/>
        <w:rPr>
          <w:rFonts w:asciiTheme="majorEastAsia" w:hAnsiTheme="majorEastAsia" w:eastAsiaTheme="majorEastAsia"/>
          <w:b/>
          <w:color w:val="auto"/>
          <w:sz w:val="48"/>
          <w:szCs w:val="48"/>
        </w:rPr>
      </w:pPr>
    </w:p>
    <w:p>
      <w:pPr>
        <w:jc w:val="center"/>
        <w:rPr>
          <w:rFonts w:asciiTheme="majorEastAsia" w:hAnsiTheme="majorEastAsia" w:eastAsiaTheme="majorEastAsia"/>
          <w:b/>
          <w:color w:val="auto"/>
          <w:sz w:val="48"/>
          <w:szCs w:val="48"/>
        </w:rPr>
      </w:pPr>
    </w:p>
    <w:p>
      <w:pPr>
        <w:rPr>
          <w:rFonts w:asciiTheme="majorEastAsia" w:hAnsiTheme="majorEastAsia" w:eastAsiaTheme="majorEastAsia"/>
          <w:b/>
          <w:color w:val="auto"/>
          <w:sz w:val="48"/>
          <w:szCs w:val="48"/>
        </w:rPr>
      </w:pPr>
    </w:p>
    <w:p>
      <w:pPr>
        <w:rPr>
          <w:rFonts w:asciiTheme="majorEastAsia" w:hAnsiTheme="majorEastAsia" w:eastAsiaTheme="majorEastAsia"/>
          <w:b/>
          <w:color w:val="auto"/>
          <w:sz w:val="48"/>
          <w:szCs w:val="48"/>
        </w:rPr>
        <w:sectPr>
          <w:footerReference r:id="rId9" w:type="first"/>
          <w:footerReference r:id="rId8" w:type="default"/>
          <w:pgSz w:w="11906" w:h="16838"/>
          <w:pgMar w:top="1440" w:right="1531" w:bottom="1440" w:left="1531" w:header="851" w:footer="992" w:gutter="0"/>
          <w:pgNumType w:start="1"/>
          <w:cols w:space="720" w:num="1"/>
          <w:titlePg/>
          <w:docGrid w:type="lines" w:linePitch="312" w:charSpace="0"/>
        </w:sectPr>
      </w:pPr>
    </w:p>
    <w:p>
      <w:pPr>
        <w:pStyle w:val="13"/>
        <w:tabs>
          <w:tab w:val="left" w:pos="8360"/>
        </w:tabs>
        <w:spacing w:line="420" w:lineRule="exact"/>
        <w:ind w:firstLine="540"/>
        <w:jc w:val="center"/>
        <w:rPr>
          <w:rFonts w:hint="default" w:cs="宋体" w:asciiTheme="majorEastAsia" w:hAnsiTheme="majorEastAsia" w:eastAsiaTheme="majorEastAsia"/>
          <w:color w:val="auto"/>
          <w:sz w:val="36"/>
          <w:szCs w:val="36"/>
          <w:lang w:val="en-GB"/>
        </w:rPr>
      </w:pPr>
      <w:bookmarkStart w:id="0" w:name="_Toc13507834"/>
      <w:r>
        <w:rPr>
          <w:rFonts w:cs="宋体" w:asciiTheme="majorEastAsia" w:hAnsiTheme="majorEastAsia" w:eastAsiaTheme="majorEastAsia"/>
          <w:color w:val="auto"/>
          <w:sz w:val="36"/>
          <w:szCs w:val="36"/>
          <w:lang w:val="en-GB"/>
        </w:rPr>
        <w:t>第一章 竞争性磋商邀请</w:t>
      </w:r>
      <w:bookmarkEnd w:id="0"/>
    </w:p>
    <w:p>
      <w:pPr>
        <w:pStyle w:val="13"/>
        <w:tabs>
          <w:tab w:val="left" w:pos="8360"/>
        </w:tabs>
        <w:spacing w:line="420" w:lineRule="exact"/>
        <w:ind w:firstLine="540"/>
        <w:jc w:val="left"/>
        <w:rPr>
          <w:rFonts w:hint="default" w:cs="宋体" w:asciiTheme="majorEastAsia" w:hAnsiTheme="majorEastAsia" w:eastAsiaTheme="majorEastAsia"/>
          <w:color w:val="auto"/>
          <w:sz w:val="22"/>
          <w:szCs w:val="22"/>
          <w:lang w:val="en-GB"/>
        </w:rPr>
      </w:pPr>
    </w:p>
    <w:p>
      <w:pPr>
        <w:spacing w:after="156" w:afterLines="50" w:line="380" w:lineRule="exact"/>
        <w:ind w:firstLine="880" w:firstLineChars="400"/>
        <w:rPr>
          <w:rFonts w:hint="default" w:cs="宋体" w:asciiTheme="majorEastAsia" w:hAnsiTheme="majorEastAsia" w:eastAsiaTheme="majorEastAsia"/>
          <w:color w:val="auto"/>
          <w:sz w:val="22"/>
          <w:szCs w:val="22"/>
          <w:lang w:val="en-GB"/>
        </w:rPr>
      </w:pPr>
      <w:r>
        <w:rPr>
          <w:rFonts w:cs="宋体" w:asciiTheme="majorEastAsia" w:hAnsiTheme="majorEastAsia" w:eastAsiaTheme="majorEastAsia"/>
          <w:color w:val="auto"/>
          <w:sz w:val="22"/>
          <w:szCs w:val="22"/>
          <w:lang w:val="en-GB"/>
        </w:rPr>
        <w:t>受</w:t>
      </w:r>
      <w:r>
        <w:rPr>
          <w:rFonts w:hint="eastAsia" w:cs="宋体" w:asciiTheme="majorEastAsia" w:hAnsiTheme="majorEastAsia" w:eastAsiaTheme="majorEastAsia"/>
          <w:color w:val="auto"/>
          <w:kern w:val="2"/>
          <w:sz w:val="22"/>
          <w:szCs w:val="22"/>
          <w:u w:val="single"/>
          <w:lang w:val="en-GB" w:eastAsia="zh-CN" w:bidi="ar-SA"/>
        </w:rPr>
        <w:t>临高县临高林场</w:t>
      </w:r>
      <w:r>
        <w:rPr>
          <w:rFonts w:cs="宋体" w:asciiTheme="majorEastAsia" w:hAnsiTheme="majorEastAsia" w:eastAsiaTheme="majorEastAsia"/>
          <w:color w:val="auto"/>
          <w:sz w:val="22"/>
          <w:szCs w:val="22"/>
          <w:lang w:val="en-GB"/>
        </w:rPr>
        <w:t>的委托，</w:t>
      </w:r>
      <w:r>
        <w:rPr>
          <w:rFonts w:hint="eastAsia" w:ascii="宋体" w:hAnsi="宋体" w:eastAsia="宋体"/>
          <w:color w:val="000000"/>
          <w:sz w:val="24"/>
          <w:u w:val="single"/>
        </w:rPr>
        <w:t>海南中信源项目管理有限公司</w:t>
      </w:r>
      <w:r>
        <w:rPr>
          <w:rFonts w:cs="宋体" w:asciiTheme="majorEastAsia" w:hAnsiTheme="majorEastAsia" w:eastAsiaTheme="majorEastAsia"/>
          <w:color w:val="auto"/>
          <w:sz w:val="22"/>
          <w:szCs w:val="22"/>
          <w:lang w:val="en-GB"/>
        </w:rPr>
        <w:t>根据《中华人民共和国政府采购法》等有关规定，现对</w:t>
      </w:r>
      <w:r>
        <w:rPr>
          <w:rFonts w:hint="eastAsia" w:ascii="宋体" w:hAnsi="宋体" w:eastAsia="宋体"/>
          <w:sz w:val="24"/>
          <w:u w:val="single"/>
        </w:rPr>
        <w:t>临高县皇桐镇古银瀑布绿化项目</w:t>
      </w:r>
      <w:r>
        <w:rPr>
          <w:rFonts w:hint="eastAsia" w:ascii="宋体" w:hAnsi="宋体" w:eastAsia="宋体"/>
          <w:sz w:val="24"/>
          <w:u w:val="single"/>
          <w:lang w:eastAsia="zh-CN"/>
        </w:rPr>
        <w:t>（施工）</w:t>
      </w:r>
      <w:r>
        <w:rPr>
          <w:rFonts w:cs="宋体" w:asciiTheme="majorEastAsia" w:hAnsiTheme="majorEastAsia" w:eastAsiaTheme="majorEastAsia"/>
          <w:color w:val="auto"/>
          <w:sz w:val="22"/>
          <w:szCs w:val="22"/>
          <w:lang w:val="en-GB"/>
        </w:rPr>
        <w:t>进行竞争性磋商，欢迎合格的投标人前来磋商。</w:t>
      </w:r>
    </w:p>
    <w:p>
      <w:pPr>
        <w:autoSpaceDE w:val="0"/>
        <w:autoSpaceDN w:val="0"/>
        <w:spacing w:before="156" w:beforeLines="50" w:after="156" w:afterLines="50" w:line="420" w:lineRule="exact"/>
        <w:rPr>
          <w:rFonts w:cs="宋体" w:asciiTheme="majorEastAsia" w:hAnsiTheme="majorEastAsia" w:eastAsiaTheme="majorEastAsia"/>
          <w:color w:val="auto"/>
          <w:lang w:val="zh-CN"/>
        </w:rPr>
      </w:pPr>
      <w:r>
        <w:rPr>
          <w:rFonts w:hint="eastAsia" w:cs="宋体" w:asciiTheme="majorEastAsia" w:hAnsiTheme="majorEastAsia" w:eastAsiaTheme="majorEastAsia"/>
          <w:b/>
          <w:bCs/>
          <w:color w:val="auto"/>
          <w:lang w:val="zh-CN"/>
        </w:rPr>
        <w:t>一、招标项目的名称、用途、数量及简要技术要求：</w:t>
      </w:r>
    </w:p>
    <w:p>
      <w:pPr>
        <w:pStyle w:val="13"/>
        <w:tabs>
          <w:tab w:val="left" w:pos="8360"/>
        </w:tabs>
        <w:spacing w:line="420" w:lineRule="exact"/>
        <w:ind w:firstLine="540"/>
        <w:jc w:val="left"/>
        <w:rPr>
          <w:rFonts w:hint="eastAsia" w:cs="宋体" w:asciiTheme="majorEastAsia" w:hAnsiTheme="majorEastAsia" w:eastAsiaTheme="majorEastAsia"/>
          <w:color w:val="auto"/>
          <w:sz w:val="22"/>
          <w:szCs w:val="22"/>
          <w:u w:val="none"/>
          <w:lang w:val="en-US" w:eastAsia="zh-CN"/>
        </w:rPr>
      </w:pPr>
      <w:r>
        <w:rPr>
          <w:rFonts w:cs="宋体" w:asciiTheme="majorEastAsia" w:hAnsiTheme="majorEastAsia" w:eastAsiaTheme="majorEastAsia"/>
          <w:color w:val="auto"/>
          <w:sz w:val="22"/>
          <w:szCs w:val="22"/>
          <w:lang w:val="en-GB"/>
        </w:rPr>
        <w:t>1、</w:t>
      </w:r>
      <w:r>
        <w:rPr>
          <w:rFonts w:hint="eastAsia" w:cs="宋体" w:asciiTheme="majorEastAsia" w:hAnsiTheme="majorEastAsia" w:eastAsiaTheme="majorEastAsia"/>
          <w:color w:val="auto"/>
          <w:sz w:val="22"/>
          <w:szCs w:val="22"/>
          <w:lang w:val="en-GB" w:eastAsia="zh-CN"/>
        </w:rPr>
        <w:t>项目名称：</w:t>
      </w:r>
      <w:r>
        <w:rPr>
          <w:rFonts w:hint="eastAsia" w:ascii="宋体" w:hAnsi="宋体" w:eastAsia="宋体"/>
          <w:sz w:val="24"/>
          <w:u w:val="none"/>
        </w:rPr>
        <w:t>临高县皇桐镇古银瀑布绿化项目</w:t>
      </w:r>
    </w:p>
    <w:p>
      <w:pPr>
        <w:pStyle w:val="13"/>
        <w:tabs>
          <w:tab w:val="left" w:pos="8360"/>
        </w:tabs>
        <w:spacing w:line="420" w:lineRule="exact"/>
        <w:ind w:firstLine="540"/>
        <w:jc w:val="left"/>
        <w:rPr>
          <w:rFonts w:hint="default" w:cs="宋体" w:asciiTheme="majorEastAsia" w:hAnsiTheme="majorEastAsia" w:eastAsiaTheme="majorEastAsia"/>
          <w:color w:val="auto"/>
          <w:sz w:val="22"/>
          <w:szCs w:val="22"/>
          <w:lang w:val="en-US" w:eastAsia="zh-CN"/>
        </w:rPr>
      </w:pPr>
      <w:r>
        <w:rPr>
          <w:rFonts w:hint="eastAsia" w:cs="宋体" w:asciiTheme="majorEastAsia" w:hAnsiTheme="majorEastAsia" w:eastAsiaTheme="majorEastAsia"/>
          <w:color w:val="auto"/>
          <w:sz w:val="22"/>
          <w:szCs w:val="22"/>
          <w:lang w:val="en-US" w:eastAsia="zh-CN"/>
        </w:rPr>
        <w:t>2、</w:t>
      </w:r>
      <w:r>
        <w:rPr>
          <w:rFonts w:cs="宋体" w:asciiTheme="majorEastAsia" w:hAnsiTheme="majorEastAsia" w:eastAsiaTheme="majorEastAsia"/>
          <w:color w:val="auto"/>
          <w:sz w:val="22"/>
          <w:szCs w:val="22"/>
          <w:lang w:val="en-GB"/>
        </w:rPr>
        <w:t>项目编号：</w:t>
      </w:r>
      <w:r>
        <w:rPr>
          <w:rFonts w:hint="eastAsia" w:cs="宋体" w:asciiTheme="majorEastAsia" w:hAnsiTheme="majorEastAsia" w:eastAsiaTheme="majorEastAsia"/>
          <w:color w:val="auto"/>
          <w:sz w:val="22"/>
          <w:szCs w:val="22"/>
          <w:lang w:val="en-US" w:eastAsia="zh-CN"/>
        </w:rPr>
        <w:t>HNZXY2021-098</w:t>
      </w:r>
    </w:p>
    <w:p>
      <w:pPr>
        <w:pStyle w:val="13"/>
        <w:tabs>
          <w:tab w:val="left" w:pos="8360"/>
        </w:tabs>
        <w:spacing w:line="420" w:lineRule="exact"/>
        <w:ind w:firstLine="540"/>
        <w:jc w:val="left"/>
        <w:rPr>
          <w:rFonts w:hint="default" w:cs="宋体" w:asciiTheme="majorEastAsia" w:hAnsiTheme="majorEastAsia" w:eastAsiaTheme="majorEastAsia"/>
          <w:color w:val="auto"/>
          <w:sz w:val="22"/>
          <w:szCs w:val="22"/>
          <w:lang w:val="en-GB"/>
        </w:rPr>
      </w:pPr>
      <w:r>
        <w:rPr>
          <w:rFonts w:cs="宋体" w:asciiTheme="majorEastAsia" w:hAnsiTheme="majorEastAsia" w:eastAsiaTheme="majorEastAsia"/>
          <w:color w:val="auto"/>
          <w:sz w:val="22"/>
          <w:szCs w:val="22"/>
          <w:lang w:val="en-GB"/>
        </w:rPr>
        <w:t>2、建设地点：</w:t>
      </w:r>
      <w:r>
        <w:rPr>
          <w:rFonts w:hint="eastAsia" w:ascii="宋体" w:hAnsi="宋体" w:eastAsia="宋体"/>
          <w:sz w:val="24"/>
          <w:u w:val="none"/>
        </w:rPr>
        <w:t>临高县皇桐镇</w:t>
      </w:r>
    </w:p>
    <w:p>
      <w:pPr>
        <w:pStyle w:val="13"/>
        <w:tabs>
          <w:tab w:val="left" w:pos="8360"/>
        </w:tabs>
        <w:spacing w:line="420" w:lineRule="exact"/>
        <w:ind w:firstLine="540"/>
        <w:jc w:val="left"/>
        <w:rPr>
          <w:rFonts w:hint="default" w:cs="宋体" w:asciiTheme="majorEastAsia" w:hAnsiTheme="majorEastAsia" w:eastAsiaTheme="majorEastAsia"/>
          <w:color w:val="auto"/>
          <w:sz w:val="22"/>
          <w:szCs w:val="22"/>
          <w:lang w:val="en-GB"/>
        </w:rPr>
      </w:pPr>
      <w:r>
        <w:rPr>
          <w:rFonts w:cs="宋体" w:asciiTheme="majorEastAsia" w:hAnsiTheme="majorEastAsia" w:eastAsiaTheme="majorEastAsia"/>
          <w:color w:val="auto"/>
          <w:sz w:val="22"/>
          <w:szCs w:val="22"/>
          <w:lang w:val="en-GB"/>
        </w:rPr>
        <w:t>3、</w:t>
      </w:r>
      <w:r>
        <w:rPr>
          <w:rFonts w:hint="eastAsia" w:cs="宋体" w:asciiTheme="majorEastAsia" w:hAnsiTheme="majorEastAsia" w:eastAsiaTheme="majorEastAsia"/>
          <w:color w:val="auto"/>
          <w:sz w:val="22"/>
          <w:szCs w:val="22"/>
          <w:lang w:val="en-US" w:eastAsia="zh-CN"/>
        </w:rPr>
        <w:t>工期</w:t>
      </w:r>
      <w:r>
        <w:rPr>
          <w:rFonts w:cs="宋体" w:asciiTheme="majorEastAsia" w:hAnsiTheme="majorEastAsia" w:eastAsiaTheme="majorEastAsia"/>
          <w:color w:val="auto"/>
          <w:sz w:val="22"/>
          <w:szCs w:val="22"/>
          <w:lang w:val="en-GB"/>
        </w:rPr>
        <w:t>：</w:t>
      </w:r>
      <w:r>
        <w:rPr>
          <w:rFonts w:hint="eastAsia" w:cs="宋体" w:asciiTheme="majorEastAsia" w:hAnsiTheme="majorEastAsia" w:eastAsiaTheme="majorEastAsia"/>
          <w:color w:val="auto"/>
          <w:sz w:val="22"/>
          <w:szCs w:val="22"/>
          <w:lang w:val="en-US" w:eastAsia="zh-CN"/>
        </w:rPr>
        <w:t>90</w:t>
      </w:r>
      <w:r>
        <w:rPr>
          <w:rFonts w:cs="宋体" w:asciiTheme="majorEastAsia" w:hAnsiTheme="majorEastAsia" w:eastAsiaTheme="majorEastAsia"/>
          <w:color w:val="auto"/>
          <w:sz w:val="22"/>
          <w:szCs w:val="22"/>
          <w:lang w:val="en-GB"/>
        </w:rPr>
        <w:t>日历天。</w:t>
      </w:r>
    </w:p>
    <w:p>
      <w:pPr>
        <w:pStyle w:val="13"/>
        <w:tabs>
          <w:tab w:val="left" w:pos="8360"/>
        </w:tabs>
        <w:spacing w:line="420" w:lineRule="exact"/>
        <w:ind w:firstLine="540"/>
        <w:jc w:val="left"/>
        <w:rPr>
          <w:rFonts w:hint="default" w:cs="宋体" w:asciiTheme="majorEastAsia" w:hAnsiTheme="majorEastAsia" w:eastAsiaTheme="majorEastAsia"/>
          <w:color w:val="auto"/>
          <w:sz w:val="22"/>
          <w:szCs w:val="22"/>
          <w:lang w:val="en-GB"/>
        </w:rPr>
      </w:pPr>
      <w:r>
        <w:rPr>
          <w:rFonts w:cs="宋体" w:asciiTheme="majorEastAsia" w:hAnsiTheme="majorEastAsia" w:eastAsiaTheme="majorEastAsia"/>
          <w:color w:val="auto"/>
          <w:sz w:val="22"/>
          <w:szCs w:val="22"/>
          <w:lang w:val="en-GB"/>
        </w:rPr>
        <w:t>4、最高限价：</w:t>
      </w:r>
      <w:r>
        <w:rPr>
          <w:rFonts w:hint="eastAsia" w:cs="宋体" w:asciiTheme="majorEastAsia" w:hAnsiTheme="majorEastAsia" w:eastAsiaTheme="majorEastAsia"/>
          <w:color w:val="auto"/>
          <w:sz w:val="22"/>
          <w:szCs w:val="22"/>
          <w:lang w:val="en-US" w:eastAsia="zh-CN"/>
        </w:rPr>
        <w:t>753214.38</w:t>
      </w:r>
      <w:r>
        <w:rPr>
          <w:rFonts w:cs="宋体" w:asciiTheme="majorEastAsia" w:hAnsiTheme="majorEastAsia" w:eastAsiaTheme="majorEastAsia"/>
          <w:color w:val="auto"/>
          <w:sz w:val="22"/>
          <w:szCs w:val="22"/>
          <w:lang w:val="en-GB"/>
        </w:rPr>
        <w:t>元</w:t>
      </w:r>
    </w:p>
    <w:p>
      <w:pPr>
        <w:pStyle w:val="13"/>
        <w:tabs>
          <w:tab w:val="left" w:pos="8360"/>
        </w:tabs>
        <w:spacing w:line="420" w:lineRule="exact"/>
        <w:ind w:firstLine="540"/>
        <w:jc w:val="left"/>
        <w:rPr>
          <w:rFonts w:hint="default" w:cs="宋体" w:asciiTheme="majorEastAsia" w:hAnsiTheme="majorEastAsia" w:eastAsiaTheme="majorEastAsia"/>
          <w:color w:val="auto"/>
          <w:sz w:val="22"/>
          <w:szCs w:val="22"/>
          <w:lang w:val="en-GB"/>
        </w:rPr>
      </w:pPr>
      <w:r>
        <w:rPr>
          <w:rFonts w:cs="宋体" w:asciiTheme="majorEastAsia" w:hAnsiTheme="majorEastAsia" w:eastAsiaTheme="majorEastAsia"/>
          <w:color w:val="auto"/>
          <w:sz w:val="22"/>
          <w:szCs w:val="22"/>
          <w:lang w:val="en-GB"/>
        </w:rPr>
        <w:t>5、质量要求：合格。</w:t>
      </w:r>
    </w:p>
    <w:p>
      <w:pPr>
        <w:pStyle w:val="13"/>
        <w:tabs>
          <w:tab w:val="left" w:pos="8360"/>
        </w:tabs>
        <w:spacing w:line="420" w:lineRule="exact"/>
        <w:ind w:firstLine="540"/>
        <w:rPr>
          <w:rFonts w:hint="default" w:cs="宋体" w:asciiTheme="majorEastAsia" w:hAnsiTheme="majorEastAsia" w:eastAsiaTheme="majorEastAsia"/>
          <w:color w:val="auto"/>
          <w:sz w:val="22"/>
          <w:szCs w:val="22"/>
          <w:lang w:val="en-GB"/>
        </w:rPr>
      </w:pPr>
      <w:r>
        <w:rPr>
          <w:rFonts w:cs="宋体" w:asciiTheme="majorEastAsia" w:hAnsiTheme="majorEastAsia" w:eastAsiaTheme="majorEastAsia"/>
          <w:color w:val="auto"/>
          <w:sz w:val="22"/>
          <w:szCs w:val="22"/>
          <w:lang w:val="en-GB"/>
        </w:rPr>
        <w:t>6、招标范围：</w:t>
      </w:r>
      <w:r>
        <w:rPr>
          <w:rFonts w:hint="eastAsia" w:cs="宋体" w:asciiTheme="majorEastAsia" w:hAnsiTheme="majorEastAsia" w:eastAsiaTheme="majorEastAsia"/>
          <w:color w:val="auto"/>
          <w:sz w:val="22"/>
          <w:szCs w:val="22"/>
          <w:lang w:val="en-GB"/>
        </w:rPr>
        <w:t>清表、回填</w:t>
      </w:r>
      <w:r>
        <w:rPr>
          <w:rFonts w:hint="eastAsia" w:cs="宋体" w:asciiTheme="majorEastAsia" w:hAnsiTheme="majorEastAsia" w:eastAsiaTheme="majorEastAsia"/>
          <w:color w:val="auto"/>
          <w:sz w:val="22"/>
          <w:szCs w:val="22"/>
          <w:lang w:val="en-GB" w:eastAsia="zh-CN"/>
        </w:rPr>
        <w:t>、砍伐棕榈树、乔木种植、灌木种植、草本花卉、地被种植、标识警示牌、三叉路口指示牌、广告牌等</w:t>
      </w:r>
      <w:r>
        <w:rPr>
          <w:rFonts w:cs="宋体" w:asciiTheme="majorEastAsia" w:hAnsiTheme="majorEastAsia" w:eastAsiaTheme="majorEastAsia"/>
          <w:color w:val="auto"/>
          <w:sz w:val="22"/>
          <w:szCs w:val="22"/>
          <w:lang w:val="en-GB"/>
        </w:rPr>
        <w:t>（</w:t>
      </w:r>
      <w:r>
        <w:rPr>
          <w:rFonts w:hint="eastAsia" w:cs="宋体" w:asciiTheme="majorEastAsia" w:hAnsiTheme="majorEastAsia" w:eastAsiaTheme="majorEastAsia"/>
          <w:color w:val="auto"/>
          <w:sz w:val="22"/>
          <w:szCs w:val="22"/>
          <w:lang w:val="en-GB" w:eastAsia="zh-CN"/>
        </w:rPr>
        <w:t>详见</w:t>
      </w:r>
      <w:r>
        <w:rPr>
          <w:rFonts w:hint="eastAsia" w:cs="宋体" w:asciiTheme="majorEastAsia" w:hAnsiTheme="majorEastAsia" w:eastAsiaTheme="majorEastAsia"/>
          <w:color w:val="auto"/>
          <w:sz w:val="22"/>
          <w:szCs w:val="22"/>
          <w:lang w:val="en-US" w:eastAsia="zh-CN"/>
        </w:rPr>
        <w:t>施工设计图及工程量清单</w:t>
      </w:r>
      <w:r>
        <w:rPr>
          <w:rFonts w:cs="宋体" w:asciiTheme="majorEastAsia" w:hAnsiTheme="majorEastAsia" w:eastAsiaTheme="majorEastAsia"/>
          <w:color w:val="auto"/>
          <w:sz w:val="22"/>
          <w:szCs w:val="22"/>
          <w:lang w:val="en-GB"/>
        </w:rPr>
        <w:t>）。</w:t>
      </w:r>
    </w:p>
    <w:p>
      <w:pPr>
        <w:autoSpaceDE w:val="0"/>
        <w:autoSpaceDN w:val="0"/>
        <w:spacing w:before="156" w:beforeLines="50" w:after="156" w:afterLines="50" w:line="420" w:lineRule="exact"/>
        <w:rPr>
          <w:rFonts w:cs="宋体" w:asciiTheme="majorEastAsia" w:hAnsiTheme="majorEastAsia" w:eastAsiaTheme="majorEastAsia"/>
          <w:b/>
          <w:bCs/>
          <w:color w:val="auto"/>
          <w:lang w:val="zh-CN"/>
        </w:rPr>
      </w:pPr>
      <w:r>
        <w:rPr>
          <w:rFonts w:hint="eastAsia" w:cs="宋体" w:asciiTheme="majorEastAsia" w:hAnsiTheme="majorEastAsia" w:eastAsiaTheme="majorEastAsia"/>
          <w:b/>
          <w:bCs/>
          <w:color w:val="auto"/>
          <w:lang w:val="zh-CN"/>
        </w:rPr>
        <w:t xml:space="preserve">二、投标人资格要求 </w:t>
      </w:r>
    </w:p>
    <w:p>
      <w:pPr>
        <w:autoSpaceDE w:val="0"/>
        <w:autoSpaceDN w:val="0"/>
        <w:spacing w:before="156" w:beforeLines="50" w:after="156" w:afterLines="50" w:line="420" w:lineRule="exact"/>
        <w:ind w:firstLine="440" w:firstLineChars="200"/>
        <w:rPr>
          <w:rFonts w:hint="eastAsia" w:asciiTheme="majorEastAsia" w:hAnsiTheme="majorEastAsia" w:eastAsiaTheme="majorEastAsia"/>
          <w:color w:val="auto"/>
        </w:rPr>
      </w:pPr>
      <w:r>
        <w:rPr>
          <w:rFonts w:hint="eastAsia" w:asciiTheme="majorEastAsia" w:hAnsiTheme="majorEastAsia" w:eastAsiaTheme="majorEastAsia"/>
          <w:color w:val="auto"/>
          <w:lang w:val="en-US" w:eastAsia="zh-CN"/>
        </w:rPr>
        <w:t>1.满足《中华人民共和国政府采购法》第二十二条规定；</w:t>
      </w:r>
    </w:p>
    <w:p>
      <w:pPr>
        <w:autoSpaceDE w:val="0"/>
        <w:autoSpaceDN w:val="0"/>
        <w:spacing w:before="156" w:beforeLines="50" w:after="156" w:afterLines="50" w:line="420" w:lineRule="exact"/>
        <w:ind w:firstLine="440" w:firstLineChars="200"/>
        <w:rPr>
          <w:rFonts w:hint="eastAsia" w:asciiTheme="majorEastAsia" w:hAnsiTheme="majorEastAsia" w:eastAsiaTheme="majorEastAsia"/>
          <w:color w:val="auto"/>
          <w:lang w:eastAsia="zh-CN"/>
        </w:rPr>
      </w:pPr>
      <w:r>
        <w:rPr>
          <w:rFonts w:hint="eastAsia" w:asciiTheme="majorEastAsia" w:hAnsiTheme="majorEastAsia" w:eastAsiaTheme="majorEastAsia"/>
          <w:color w:val="auto"/>
          <w:lang w:val="en-US" w:eastAsia="zh-CN"/>
        </w:rPr>
        <w:t>2</w:t>
      </w:r>
      <w:r>
        <w:rPr>
          <w:rFonts w:hint="eastAsia" w:asciiTheme="majorEastAsia" w:hAnsiTheme="majorEastAsia" w:eastAsiaTheme="majorEastAsia"/>
          <w:color w:val="auto"/>
        </w:rPr>
        <w:t>、在中华人民共和国注册的、具有独立承担民事责任能力的法人（提供三证合一的营业执照复印件加盖公章，</w:t>
      </w:r>
      <w:r>
        <w:rPr>
          <w:rFonts w:hint="eastAsia" w:asciiTheme="majorEastAsia" w:hAnsiTheme="majorEastAsia" w:eastAsiaTheme="majorEastAsia"/>
          <w:color w:val="auto"/>
          <w:lang w:val="en-US" w:eastAsia="zh-CN"/>
        </w:rPr>
        <w:t>营业执照经营范围包括园林绿化工程</w:t>
      </w:r>
      <w:r>
        <w:rPr>
          <w:rFonts w:hint="eastAsia" w:asciiTheme="majorEastAsia" w:hAnsiTheme="majorEastAsia" w:eastAsiaTheme="majorEastAsia"/>
          <w:color w:val="auto"/>
        </w:rPr>
        <w:t>）</w:t>
      </w:r>
      <w:r>
        <w:rPr>
          <w:rFonts w:hint="eastAsia" w:asciiTheme="majorEastAsia" w:hAnsiTheme="majorEastAsia" w:eastAsiaTheme="majorEastAsia"/>
          <w:color w:val="auto"/>
          <w:lang w:eastAsia="zh-CN"/>
        </w:rPr>
        <w:t>；</w:t>
      </w:r>
    </w:p>
    <w:p>
      <w:pPr>
        <w:autoSpaceDE w:val="0"/>
        <w:autoSpaceDN w:val="0"/>
        <w:spacing w:before="156" w:beforeLines="50" w:after="156" w:afterLines="50" w:line="420" w:lineRule="exact"/>
        <w:ind w:firstLine="440" w:firstLineChars="200"/>
        <w:rPr>
          <w:rFonts w:hint="default" w:asciiTheme="majorEastAsia" w:hAnsiTheme="majorEastAsia" w:eastAsiaTheme="majorEastAsia"/>
          <w:color w:val="auto"/>
          <w:lang w:val="en-US" w:eastAsia="zh-CN"/>
        </w:rPr>
      </w:pPr>
      <w:r>
        <w:rPr>
          <w:rFonts w:hint="eastAsia" w:asciiTheme="majorEastAsia" w:hAnsiTheme="majorEastAsia" w:eastAsiaTheme="majorEastAsia"/>
          <w:color w:val="auto"/>
          <w:lang w:val="en-US" w:eastAsia="zh-CN"/>
        </w:rPr>
        <w:t>3、项目负责人（项目经理）具备园林或园林绿化相关专业中级或以上职称，且未担任其他在施建设工程项目的项目负责人；</w:t>
      </w:r>
    </w:p>
    <w:p>
      <w:pPr>
        <w:autoSpaceDE w:val="0"/>
        <w:autoSpaceDN w:val="0"/>
        <w:spacing w:before="156" w:beforeLines="50" w:after="156" w:afterLines="50" w:line="420" w:lineRule="exact"/>
        <w:ind w:firstLine="440" w:firstLineChars="200"/>
        <w:rPr>
          <w:rFonts w:hint="eastAsia" w:asciiTheme="majorEastAsia" w:hAnsiTheme="majorEastAsia" w:eastAsiaTheme="majorEastAsia"/>
          <w:color w:val="auto"/>
        </w:rPr>
      </w:pPr>
      <w:r>
        <w:rPr>
          <w:rFonts w:hint="eastAsia" w:asciiTheme="majorEastAsia" w:hAnsiTheme="majorEastAsia" w:eastAsiaTheme="majorEastAsia"/>
          <w:color w:val="auto"/>
          <w:lang w:val="en-US" w:eastAsia="zh-CN"/>
        </w:rPr>
        <w:t>4</w:t>
      </w:r>
      <w:r>
        <w:rPr>
          <w:rFonts w:hint="eastAsia" w:asciiTheme="majorEastAsia" w:hAnsiTheme="majorEastAsia" w:eastAsiaTheme="majorEastAsia"/>
          <w:color w:val="auto"/>
          <w:lang w:eastAsia="zh-CN"/>
        </w:rPr>
        <w:t>、</w:t>
      </w:r>
      <w:r>
        <w:rPr>
          <w:rFonts w:hint="eastAsia" w:asciiTheme="majorEastAsia" w:hAnsiTheme="majorEastAsia" w:eastAsiaTheme="majorEastAsia"/>
          <w:color w:val="auto"/>
        </w:rPr>
        <w:t>具有良好的商业信誉和健全的财务会计制度</w:t>
      </w:r>
      <w:r>
        <w:rPr>
          <w:rFonts w:hint="eastAsia" w:asciiTheme="majorEastAsia" w:hAnsiTheme="majorEastAsia" w:eastAsiaTheme="majorEastAsia"/>
          <w:color w:val="auto"/>
          <w:lang w:eastAsia="zh-CN"/>
        </w:rPr>
        <w:t>（</w:t>
      </w:r>
      <w:r>
        <w:rPr>
          <w:rFonts w:hint="eastAsia" w:asciiTheme="majorEastAsia" w:hAnsiTheme="majorEastAsia" w:eastAsiaTheme="majorEastAsia"/>
          <w:color w:val="auto"/>
        </w:rPr>
        <w:t>提供2020年度经审计的财务报告或2021年至今任意1个月的财务报表，财务报表应含资产负债表、利润表、现金流量表（如有）复印件加盖公章</w:t>
      </w:r>
      <w:r>
        <w:rPr>
          <w:rFonts w:hint="eastAsia" w:asciiTheme="majorEastAsia" w:hAnsiTheme="majorEastAsia" w:eastAsiaTheme="majorEastAsia"/>
          <w:color w:val="auto"/>
          <w:lang w:eastAsia="zh-CN"/>
        </w:rPr>
        <w:t>）</w:t>
      </w:r>
      <w:r>
        <w:rPr>
          <w:rFonts w:hint="eastAsia" w:asciiTheme="majorEastAsia" w:hAnsiTheme="majorEastAsia" w:eastAsiaTheme="majorEastAsia"/>
          <w:color w:val="auto"/>
        </w:rPr>
        <w:t>；</w:t>
      </w:r>
    </w:p>
    <w:p>
      <w:pPr>
        <w:autoSpaceDE w:val="0"/>
        <w:autoSpaceDN w:val="0"/>
        <w:spacing w:before="156" w:beforeLines="50" w:after="156" w:afterLines="50" w:line="420" w:lineRule="exact"/>
        <w:ind w:firstLine="440" w:firstLineChars="200"/>
        <w:rPr>
          <w:rFonts w:hint="eastAsia" w:asciiTheme="majorEastAsia" w:hAnsiTheme="majorEastAsia" w:eastAsiaTheme="majorEastAsia"/>
          <w:color w:val="auto"/>
        </w:rPr>
      </w:pPr>
      <w:r>
        <w:rPr>
          <w:rFonts w:hint="eastAsia" w:asciiTheme="majorEastAsia" w:hAnsiTheme="majorEastAsia" w:eastAsiaTheme="majorEastAsia"/>
          <w:color w:val="auto"/>
          <w:lang w:val="en-US" w:eastAsia="zh-CN"/>
        </w:rPr>
        <w:t>5</w:t>
      </w:r>
      <w:r>
        <w:rPr>
          <w:rFonts w:hint="eastAsia" w:asciiTheme="majorEastAsia" w:hAnsiTheme="majorEastAsia" w:eastAsiaTheme="majorEastAsia"/>
          <w:color w:val="auto"/>
          <w:lang w:eastAsia="zh-CN"/>
        </w:rPr>
        <w:t>、</w:t>
      </w:r>
      <w:r>
        <w:rPr>
          <w:rFonts w:hint="eastAsia" w:asciiTheme="majorEastAsia" w:hAnsiTheme="majorEastAsia" w:eastAsiaTheme="majorEastAsia"/>
          <w:color w:val="auto"/>
        </w:rPr>
        <w:t xml:space="preserve">有依法缴纳税收和社会保障资金的良好记录（提供2021年至今任意1个月的税收、社保记录凭证并加盖公章，无税收月份须提供税务部门盖章的零申报表）； </w:t>
      </w:r>
    </w:p>
    <w:p>
      <w:pPr>
        <w:autoSpaceDE w:val="0"/>
        <w:autoSpaceDN w:val="0"/>
        <w:spacing w:before="156" w:beforeLines="50" w:after="156" w:afterLines="50" w:line="420" w:lineRule="exact"/>
        <w:ind w:firstLine="440" w:firstLineChars="200"/>
        <w:rPr>
          <w:rFonts w:hint="eastAsia" w:asciiTheme="majorEastAsia" w:hAnsiTheme="majorEastAsia" w:eastAsiaTheme="majorEastAsia"/>
          <w:color w:val="auto"/>
        </w:rPr>
      </w:pPr>
      <w:r>
        <w:rPr>
          <w:rFonts w:hint="eastAsia" w:asciiTheme="majorEastAsia" w:hAnsiTheme="majorEastAsia" w:eastAsiaTheme="majorEastAsia"/>
          <w:color w:val="auto"/>
          <w:lang w:val="en-US" w:eastAsia="zh-CN"/>
        </w:rPr>
        <w:t>6、</w:t>
      </w:r>
      <w:r>
        <w:rPr>
          <w:rFonts w:hint="eastAsia" w:asciiTheme="majorEastAsia" w:hAnsiTheme="majorEastAsia" w:eastAsiaTheme="majorEastAsia"/>
          <w:color w:val="auto"/>
        </w:rPr>
        <w:t xml:space="preserve">参加政府采购活动前三年内，在经营活动中没有重大违法记录（提供投标人书面声明并加盖公章，营业执照不满三年的，按照营业执照注册年限起算）； </w:t>
      </w:r>
    </w:p>
    <w:p>
      <w:pPr>
        <w:autoSpaceDE w:val="0"/>
        <w:autoSpaceDN w:val="0"/>
        <w:spacing w:before="156" w:beforeLines="50" w:after="156" w:afterLines="50" w:line="420" w:lineRule="exact"/>
        <w:ind w:firstLine="440" w:firstLineChars="200"/>
        <w:rPr>
          <w:rFonts w:hint="eastAsia" w:asciiTheme="majorEastAsia" w:hAnsiTheme="majorEastAsia" w:eastAsiaTheme="majorEastAsia"/>
          <w:color w:val="auto"/>
        </w:rPr>
      </w:pPr>
      <w:r>
        <w:rPr>
          <w:rFonts w:hint="eastAsia" w:asciiTheme="majorEastAsia" w:hAnsiTheme="majorEastAsia" w:eastAsiaTheme="majorEastAsia"/>
          <w:color w:val="auto"/>
          <w:lang w:val="en-US" w:eastAsia="zh-CN"/>
        </w:rPr>
        <w:t>7</w:t>
      </w:r>
      <w:r>
        <w:rPr>
          <w:rFonts w:hint="eastAsia" w:asciiTheme="majorEastAsia" w:hAnsiTheme="majorEastAsia" w:eastAsiaTheme="majorEastAsia"/>
          <w:color w:val="auto"/>
          <w:lang w:eastAsia="zh-CN"/>
        </w:rPr>
        <w:t>、</w:t>
      </w:r>
      <w:r>
        <w:rPr>
          <w:rFonts w:hint="eastAsia" w:asciiTheme="majorEastAsia" w:hAnsiTheme="majorEastAsia" w:eastAsiaTheme="majorEastAsia"/>
          <w:color w:val="auto"/>
        </w:rPr>
        <w:t>具备履行合同所必需的设备和专业技术能力（提供承诺函或相关证明材料并加盖公章）；</w:t>
      </w:r>
    </w:p>
    <w:p>
      <w:pPr>
        <w:autoSpaceDE w:val="0"/>
        <w:autoSpaceDN w:val="0"/>
        <w:spacing w:before="156" w:beforeLines="50" w:after="156" w:afterLines="50" w:line="420" w:lineRule="exact"/>
        <w:ind w:firstLine="440" w:firstLineChars="200"/>
        <w:rPr>
          <w:rFonts w:hint="eastAsia" w:asciiTheme="majorEastAsia" w:hAnsiTheme="majorEastAsia" w:eastAsiaTheme="majorEastAsia"/>
          <w:color w:val="auto"/>
        </w:rPr>
      </w:pPr>
      <w:r>
        <w:rPr>
          <w:rFonts w:hint="eastAsia" w:asciiTheme="majorEastAsia" w:hAnsiTheme="majorEastAsia" w:eastAsiaTheme="majorEastAsia"/>
          <w:color w:val="auto"/>
          <w:lang w:val="en-US" w:eastAsia="zh-CN"/>
        </w:rPr>
        <w:t>8</w:t>
      </w:r>
      <w:r>
        <w:rPr>
          <w:rFonts w:hint="eastAsia" w:asciiTheme="majorEastAsia" w:hAnsiTheme="majorEastAsia" w:eastAsiaTheme="majorEastAsia"/>
          <w:color w:val="auto"/>
          <w:lang w:eastAsia="zh-CN"/>
        </w:rPr>
        <w:t>、</w:t>
      </w:r>
      <w:r>
        <w:rPr>
          <w:rFonts w:hint="eastAsia" w:asciiTheme="majorEastAsia" w:hAnsiTheme="majorEastAsia" w:eastAsiaTheme="majorEastAsia"/>
          <w:color w:val="auto"/>
        </w:rPr>
        <w:t xml:space="preserve">必须为未被列入信用中国 (https://www.creditchina.gov.cn/) “重大税收违法案件当事人名单”、中国执行信息公开网（http://zxgk.court.gov.cn/shixin/） “失信被执行人”、中国政府采购网(http://www.ccgp.gov.cn/) “政府采购严重违法失信行为记录名单”的投标人（提供查询结果截图并加盖公章）； </w:t>
      </w:r>
    </w:p>
    <w:p>
      <w:pPr>
        <w:autoSpaceDE w:val="0"/>
        <w:autoSpaceDN w:val="0"/>
        <w:spacing w:before="156" w:beforeLines="50" w:after="156" w:afterLines="50" w:line="420" w:lineRule="exact"/>
        <w:ind w:firstLine="440" w:firstLineChars="200"/>
        <w:rPr>
          <w:rFonts w:hint="eastAsia" w:asciiTheme="majorEastAsia" w:hAnsiTheme="majorEastAsia" w:eastAsiaTheme="majorEastAsia"/>
          <w:color w:val="auto"/>
          <w:lang w:eastAsia="zh-CN"/>
        </w:rPr>
      </w:pPr>
      <w:r>
        <w:rPr>
          <w:rFonts w:hint="eastAsia" w:asciiTheme="majorEastAsia" w:hAnsiTheme="majorEastAsia" w:eastAsiaTheme="majorEastAsia"/>
          <w:color w:val="auto"/>
          <w:lang w:val="en-US" w:eastAsia="zh-CN"/>
        </w:rPr>
        <w:t>9</w:t>
      </w:r>
      <w:r>
        <w:rPr>
          <w:rFonts w:hint="eastAsia" w:asciiTheme="majorEastAsia" w:hAnsiTheme="majorEastAsia" w:eastAsiaTheme="majorEastAsia"/>
          <w:color w:val="auto"/>
          <w:lang w:eastAsia="zh-CN"/>
        </w:rPr>
        <w:t>、</w:t>
      </w:r>
      <w:r>
        <w:rPr>
          <w:rFonts w:hint="eastAsia" w:asciiTheme="majorEastAsia" w:hAnsiTheme="majorEastAsia" w:eastAsiaTheme="majorEastAsia"/>
          <w:color w:val="auto"/>
        </w:rPr>
        <w:t>购买本项目招标文件并按时提交投标保证金（提供支付保证金凭证，复印件加盖公章）</w:t>
      </w:r>
      <w:r>
        <w:rPr>
          <w:rFonts w:hint="eastAsia" w:asciiTheme="majorEastAsia" w:hAnsiTheme="majorEastAsia" w:eastAsiaTheme="majorEastAsia"/>
          <w:color w:val="auto"/>
          <w:lang w:eastAsia="zh-CN"/>
        </w:rPr>
        <w:t>。</w:t>
      </w:r>
    </w:p>
    <w:p>
      <w:pPr>
        <w:autoSpaceDE w:val="0"/>
        <w:autoSpaceDN w:val="0"/>
        <w:spacing w:before="156" w:beforeLines="50" w:after="156" w:afterLines="50" w:line="420" w:lineRule="exact"/>
        <w:rPr>
          <w:rFonts w:cs="宋体" w:asciiTheme="majorEastAsia" w:hAnsiTheme="majorEastAsia" w:eastAsiaTheme="majorEastAsia"/>
          <w:color w:val="auto"/>
          <w:lang w:val="zh-CN"/>
        </w:rPr>
      </w:pPr>
      <w:r>
        <w:rPr>
          <w:rFonts w:hint="eastAsia" w:cs="宋体" w:asciiTheme="majorEastAsia" w:hAnsiTheme="majorEastAsia" w:eastAsiaTheme="majorEastAsia"/>
          <w:b/>
          <w:bCs/>
          <w:color w:val="auto"/>
          <w:lang w:val="en-GB"/>
        </w:rPr>
        <w:t>三、获取磋商文件：</w:t>
      </w:r>
    </w:p>
    <w:p>
      <w:pPr>
        <w:spacing w:line="420" w:lineRule="exact"/>
        <w:ind w:firstLine="440" w:firstLineChars="200"/>
        <w:rPr>
          <w:rFonts w:cs="宋体" w:asciiTheme="majorEastAsia" w:hAnsiTheme="majorEastAsia" w:eastAsiaTheme="majorEastAsia"/>
          <w:bCs/>
          <w:color w:val="auto"/>
          <w:lang w:val="en-GB"/>
        </w:rPr>
      </w:pPr>
      <w:r>
        <w:rPr>
          <w:rFonts w:hint="eastAsia" w:cs="宋体" w:asciiTheme="majorEastAsia" w:hAnsiTheme="majorEastAsia" w:eastAsiaTheme="majorEastAsia"/>
          <w:bCs/>
          <w:color w:val="auto"/>
          <w:lang w:val="en-GB"/>
        </w:rPr>
        <w:t>1、时间</w:t>
      </w:r>
      <w:r>
        <w:rPr>
          <w:rFonts w:hint="eastAsia" w:cs="宋体" w:asciiTheme="majorEastAsia" w:hAnsiTheme="majorEastAsia" w:eastAsiaTheme="majorEastAsia"/>
          <w:bCs/>
          <w:color w:val="auto"/>
        </w:rPr>
        <w:t>：</w:t>
      </w:r>
      <w:r>
        <w:rPr>
          <w:rFonts w:hint="eastAsia" w:cs="宋体" w:asciiTheme="majorEastAsia" w:hAnsiTheme="majorEastAsia" w:eastAsiaTheme="majorEastAsia"/>
          <w:bCs/>
          <w:color w:val="auto"/>
          <w:u w:val="single"/>
        </w:rPr>
        <w:t>2021</w:t>
      </w:r>
      <w:r>
        <w:rPr>
          <w:rFonts w:hint="eastAsia" w:cs="宋体" w:asciiTheme="majorEastAsia" w:hAnsiTheme="majorEastAsia" w:eastAsiaTheme="majorEastAsia"/>
          <w:bCs/>
          <w:color w:val="auto"/>
          <w:u w:val="single"/>
          <w:lang w:val="en-GB"/>
        </w:rPr>
        <w:t>年</w:t>
      </w:r>
      <w:r>
        <w:rPr>
          <w:rFonts w:hint="eastAsia" w:cs="宋体" w:asciiTheme="majorEastAsia" w:hAnsiTheme="majorEastAsia" w:eastAsiaTheme="majorEastAsia"/>
          <w:bCs/>
          <w:color w:val="auto"/>
          <w:u w:val="single"/>
          <w:lang w:val="en-US" w:eastAsia="zh-CN"/>
        </w:rPr>
        <w:t>12</w:t>
      </w:r>
      <w:r>
        <w:rPr>
          <w:rFonts w:hint="eastAsia" w:cs="宋体" w:asciiTheme="majorEastAsia" w:hAnsiTheme="majorEastAsia" w:eastAsiaTheme="majorEastAsia"/>
          <w:bCs/>
          <w:color w:val="auto"/>
          <w:u w:val="single"/>
          <w:lang w:val="en-GB"/>
        </w:rPr>
        <w:t>月</w:t>
      </w:r>
      <w:r>
        <w:rPr>
          <w:rFonts w:hint="eastAsia" w:cs="宋体" w:asciiTheme="majorEastAsia" w:hAnsiTheme="majorEastAsia" w:eastAsiaTheme="majorEastAsia"/>
          <w:bCs/>
          <w:color w:val="auto"/>
          <w:u w:val="single"/>
          <w:lang w:val="en-US" w:eastAsia="zh-CN"/>
        </w:rPr>
        <w:t>16</w:t>
      </w:r>
      <w:r>
        <w:rPr>
          <w:rFonts w:hint="eastAsia" w:cs="宋体" w:asciiTheme="majorEastAsia" w:hAnsiTheme="majorEastAsia" w:eastAsiaTheme="majorEastAsia"/>
          <w:bCs/>
          <w:color w:val="auto"/>
          <w:u w:val="single"/>
          <w:lang w:val="en-GB"/>
        </w:rPr>
        <w:t>日</w:t>
      </w:r>
      <w:r>
        <w:rPr>
          <w:rFonts w:hint="eastAsia" w:cs="宋体" w:asciiTheme="majorEastAsia" w:hAnsiTheme="majorEastAsia" w:eastAsiaTheme="majorEastAsia"/>
          <w:bCs/>
          <w:color w:val="auto"/>
          <w:lang w:val="en-GB"/>
        </w:rPr>
        <w:t>至</w:t>
      </w:r>
      <w:r>
        <w:rPr>
          <w:rFonts w:hint="eastAsia" w:cs="宋体" w:asciiTheme="majorEastAsia" w:hAnsiTheme="majorEastAsia" w:eastAsiaTheme="majorEastAsia"/>
          <w:bCs/>
          <w:color w:val="auto"/>
          <w:u w:val="single"/>
          <w:lang w:val="en-GB"/>
        </w:rPr>
        <w:t>2021年</w:t>
      </w:r>
      <w:r>
        <w:rPr>
          <w:rFonts w:hint="eastAsia" w:cs="宋体" w:asciiTheme="majorEastAsia" w:hAnsiTheme="majorEastAsia" w:eastAsiaTheme="majorEastAsia"/>
          <w:bCs/>
          <w:color w:val="auto"/>
          <w:u w:val="single"/>
          <w:lang w:val="en-US" w:eastAsia="zh-CN"/>
        </w:rPr>
        <w:t>12</w:t>
      </w:r>
      <w:r>
        <w:rPr>
          <w:rFonts w:hint="eastAsia" w:cs="宋体" w:asciiTheme="majorEastAsia" w:hAnsiTheme="majorEastAsia" w:eastAsiaTheme="majorEastAsia"/>
          <w:bCs/>
          <w:color w:val="auto"/>
          <w:u w:val="single"/>
          <w:lang w:val="en-GB"/>
        </w:rPr>
        <w:t>月</w:t>
      </w:r>
      <w:r>
        <w:rPr>
          <w:rFonts w:hint="eastAsia" w:cs="宋体" w:asciiTheme="majorEastAsia" w:hAnsiTheme="majorEastAsia" w:eastAsiaTheme="majorEastAsia"/>
          <w:bCs/>
          <w:color w:val="auto"/>
          <w:u w:val="single"/>
          <w:lang w:val="en-US" w:eastAsia="zh-CN"/>
        </w:rPr>
        <w:t>22</w:t>
      </w:r>
      <w:r>
        <w:rPr>
          <w:rFonts w:hint="eastAsia" w:cs="宋体" w:asciiTheme="majorEastAsia" w:hAnsiTheme="majorEastAsia" w:eastAsiaTheme="majorEastAsia"/>
          <w:bCs/>
          <w:color w:val="auto"/>
          <w:u w:val="single"/>
          <w:lang w:val="en-GB"/>
        </w:rPr>
        <w:t>日</w:t>
      </w:r>
      <w:r>
        <w:rPr>
          <w:rFonts w:hint="eastAsia" w:cs="宋体" w:asciiTheme="majorEastAsia" w:hAnsiTheme="majorEastAsia" w:eastAsiaTheme="majorEastAsia"/>
          <w:bCs/>
          <w:color w:val="auto"/>
          <w:lang w:val="en-GB"/>
        </w:rPr>
        <w:t>（上午</w:t>
      </w:r>
      <w:r>
        <w:rPr>
          <w:rFonts w:hint="eastAsia" w:cs="宋体" w:asciiTheme="majorEastAsia" w:hAnsiTheme="majorEastAsia" w:eastAsiaTheme="majorEastAsia"/>
          <w:bCs/>
          <w:color w:val="auto"/>
        </w:rPr>
        <w:t>08</w:t>
      </w:r>
      <w:r>
        <w:rPr>
          <w:rFonts w:hint="eastAsia" w:cs="宋体" w:asciiTheme="majorEastAsia" w:hAnsiTheme="majorEastAsia" w:eastAsiaTheme="majorEastAsia"/>
          <w:bCs/>
          <w:color w:val="auto"/>
          <w:lang w:val="en-GB"/>
        </w:rPr>
        <w:t>:</w:t>
      </w:r>
      <w:r>
        <w:rPr>
          <w:rFonts w:hint="eastAsia" w:cs="宋体" w:asciiTheme="majorEastAsia" w:hAnsiTheme="majorEastAsia" w:eastAsiaTheme="majorEastAsia"/>
          <w:bCs/>
          <w:color w:val="auto"/>
        </w:rPr>
        <w:t>3</w:t>
      </w:r>
      <w:r>
        <w:rPr>
          <w:rFonts w:hint="eastAsia" w:cs="宋体" w:asciiTheme="majorEastAsia" w:hAnsiTheme="majorEastAsia" w:eastAsiaTheme="majorEastAsia"/>
          <w:bCs/>
          <w:color w:val="auto"/>
          <w:lang w:val="en-GB"/>
        </w:rPr>
        <w:t>0－</w:t>
      </w:r>
      <w:r>
        <w:rPr>
          <w:rFonts w:hint="eastAsia" w:cs="宋体" w:asciiTheme="majorEastAsia" w:hAnsiTheme="majorEastAsia" w:eastAsiaTheme="majorEastAsia"/>
          <w:bCs/>
          <w:color w:val="auto"/>
          <w:lang w:val="en-US" w:eastAsia="zh-CN"/>
        </w:rPr>
        <w:t>12</w:t>
      </w:r>
      <w:r>
        <w:rPr>
          <w:rFonts w:hint="eastAsia" w:cs="宋体" w:asciiTheme="majorEastAsia" w:hAnsiTheme="majorEastAsia" w:eastAsiaTheme="majorEastAsia"/>
          <w:bCs/>
          <w:color w:val="auto"/>
          <w:lang w:val="en-GB"/>
        </w:rPr>
        <w:t>:</w:t>
      </w:r>
      <w:r>
        <w:rPr>
          <w:rFonts w:hint="eastAsia" w:cs="宋体" w:asciiTheme="majorEastAsia" w:hAnsiTheme="majorEastAsia" w:eastAsiaTheme="majorEastAsia"/>
          <w:bCs/>
          <w:color w:val="auto"/>
          <w:lang w:val="en-US" w:eastAsia="zh-CN"/>
        </w:rPr>
        <w:t>00</w:t>
      </w:r>
      <w:r>
        <w:rPr>
          <w:rFonts w:hint="eastAsia" w:cs="宋体" w:asciiTheme="majorEastAsia" w:hAnsiTheme="majorEastAsia" w:eastAsiaTheme="majorEastAsia"/>
          <w:bCs/>
          <w:color w:val="auto"/>
          <w:lang w:val="en-GB"/>
        </w:rPr>
        <w:t>，下午14:30－17:</w:t>
      </w:r>
      <w:r>
        <w:rPr>
          <w:rFonts w:hint="eastAsia" w:cs="宋体" w:asciiTheme="majorEastAsia" w:hAnsiTheme="majorEastAsia" w:eastAsiaTheme="majorEastAsia"/>
          <w:bCs/>
          <w:color w:val="auto"/>
          <w:lang w:val="en-US" w:eastAsia="zh-CN"/>
        </w:rPr>
        <w:t>3</w:t>
      </w:r>
      <w:r>
        <w:rPr>
          <w:rFonts w:hint="eastAsia" w:cs="宋体" w:asciiTheme="majorEastAsia" w:hAnsiTheme="majorEastAsia" w:eastAsiaTheme="majorEastAsia"/>
          <w:bCs/>
          <w:color w:val="auto"/>
          <w:lang w:val="en-GB"/>
        </w:rPr>
        <w:t>0，北京时间），节假日除外；</w:t>
      </w:r>
    </w:p>
    <w:p>
      <w:pPr>
        <w:spacing w:line="420" w:lineRule="exact"/>
        <w:ind w:firstLine="440" w:firstLineChars="200"/>
        <w:rPr>
          <w:rFonts w:cs="宋体" w:asciiTheme="majorEastAsia" w:hAnsiTheme="majorEastAsia" w:eastAsiaTheme="majorEastAsia"/>
          <w:bCs/>
          <w:color w:val="auto"/>
          <w:lang w:val="en-GB"/>
        </w:rPr>
      </w:pPr>
      <w:r>
        <w:rPr>
          <w:rFonts w:hint="eastAsia" w:cs="宋体" w:asciiTheme="majorEastAsia" w:hAnsiTheme="majorEastAsia" w:eastAsiaTheme="majorEastAsia"/>
          <w:bCs/>
          <w:color w:val="auto"/>
          <w:lang w:val="en-GB"/>
        </w:rPr>
        <w:t>2、地点</w:t>
      </w:r>
      <w:r>
        <w:rPr>
          <w:rFonts w:hint="eastAsia" w:cs="宋体" w:asciiTheme="majorEastAsia" w:hAnsiTheme="majorEastAsia" w:eastAsiaTheme="majorEastAsia"/>
          <w:bCs/>
          <w:color w:val="auto"/>
        </w:rPr>
        <w:t>：</w:t>
      </w:r>
      <w:r>
        <w:rPr>
          <w:rFonts w:ascii="宋体" w:hAnsi="宋体" w:eastAsia="宋体"/>
          <w:color w:val="000000"/>
          <w:sz w:val="24"/>
        </w:rPr>
        <w:t>海南省海口市龙华区椰海大道37号和风•鑫苑2栋1501室</w:t>
      </w:r>
      <w:r>
        <w:rPr>
          <w:rFonts w:hint="eastAsia" w:cs="宋体" w:asciiTheme="majorEastAsia" w:hAnsiTheme="majorEastAsia" w:eastAsiaTheme="majorEastAsia"/>
          <w:bCs/>
          <w:color w:val="auto"/>
          <w:lang w:val="en-GB"/>
        </w:rPr>
        <w:t>；</w:t>
      </w:r>
    </w:p>
    <w:p>
      <w:pPr>
        <w:spacing w:line="420" w:lineRule="exact"/>
        <w:ind w:firstLine="440" w:firstLineChars="200"/>
        <w:rPr>
          <w:rFonts w:cs="宋体" w:asciiTheme="majorEastAsia" w:hAnsiTheme="majorEastAsia" w:eastAsiaTheme="majorEastAsia"/>
          <w:bCs/>
          <w:color w:val="auto"/>
          <w:lang w:val="en-GB"/>
        </w:rPr>
      </w:pPr>
      <w:r>
        <w:rPr>
          <w:rFonts w:hint="eastAsia" w:cs="宋体" w:asciiTheme="majorEastAsia" w:hAnsiTheme="majorEastAsia" w:eastAsiaTheme="majorEastAsia"/>
          <w:bCs/>
          <w:color w:val="auto"/>
        </w:rPr>
        <w:t>3</w:t>
      </w:r>
      <w:r>
        <w:rPr>
          <w:rFonts w:hint="eastAsia" w:cs="宋体" w:asciiTheme="majorEastAsia" w:hAnsiTheme="majorEastAsia" w:eastAsiaTheme="majorEastAsia"/>
          <w:bCs/>
          <w:color w:val="auto"/>
          <w:lang w:val="en-GB"/>
        </w:rPr>
        <w:t>、售价</w:t>
      </w:r>
      <w:r>
        <w:rPr>
          <w:rFonts w:hint="eastAsia" w:cs="宋体" w:asciiTheme="majorEastAsia" w:hAnsiTheme="majorEastAsia" w:eastAsiaTheme="majorEastAsia"/>
          <w:bCs/>
          <w:color w:val="auto"/>
        </w:rPr>
        <w:t>：</w:t>
      </w:r>
      <w:r>
        <w:rPr>
          <w:rFonts w:hint="eastAsia" w:cs="宋体" w:asciiTheme="majorEastAsia" w:hAnsiTheme="majorEastAsia" w:eastAsiaTheme="majorEastAsia"/>
          <w:bCs/>
          <w:color w:val="auto"/>
          <w:lang w:val="en-GB"/>
        </w:rPr>
        <w:t>人民币500元/份（文件售后概不退）；</w:t>
      </w:r>
    </w:p>
    <w:p>
      <w:pPr>
        <w:spacing w:line="420" w:lineRule="exact"/>
        <w:ind w:firstLine="440" w:firstLineChars="200"/>
        <w:rPr>
          <w:rFonts w:cs="宋体" w:asciiTheme="majorEastAsia" w:hAnsiTheme="majorEastAsia" w:eastAsiaTheme="majorEastAsia"/>
          <w:bCs/>
          <w:color w:val="auto"/>
          <w:lang w:val="en-GB"/>
        </w:rPr>
      </w:pPr>
      <w:r>
        <w:rPr>
          <w:rFonts w:hint="eastAsia" w:cs="宋体" w:asciiTheme="majorEastAsia" w:hAnsiTheme="majorEastAsia" w:eastAsiaTheme="majorEastAsia"/>
          <w:bCs/>
          <w:color w:val="auto"/>
          <w:lang w:val="en-GB"/>
        </w:rPr>
        <w:t>4、购买磋商文件时需持提供以下资料：携带法人证明、法人授权委托书、被授权身份证、营业执照副本及</w:t>
      </w:r>
      <w:r>
        <w:rPr>
          <w:rFonts w:hint="eastAsia" w:cs="宋体" w:asciiTheme="majorEastAsia" w:hAnsiTheme="majorEastAsia" w:eastAsiaTheme="majorEastAsia"/>
          <w:bCs/>
          <w:color w:val="auto"/>
          <w:lang w:val="zh-CN"/>
        </w:rPr>
        <w:t>投标</w:t>
      </w:r>
      <w:r>
        <w:rPr>
          <w:rFonts w:hint="eastAsia" w:cs="宋体" w:asciiTheme="majorEastAsia" w:hAnsiTheme="majorEastAsia" w:eastAsiaTheme="majorEastAsia"/>
          <w:bCs/>
          <w:color w:val="auto"/>
          <w:lang w:val="en-GB"/>
        </w:rPr>
        <w:t>人资格要求的其他材料（复印件</w:t>
      </w:r>
      <w:r>
        <w:rPr>
          <w:rFonts w:hint="eastAsia" w:cs="宋体" w:asciiTheme="majorEastAsia" w:hAnsiTheme="majorEastAsia" w:eastAsiaTheme="majorEastAsia"/>
          <w:bCs/>
          <w:color w:val="auto"/>
          <w:lang w:val="en-GB" w:eastAsia="zh-CN"/>
        </w:rPr>
        <w:t>加盖公章</w:t>
      </w:r>
      <w:r>
        <w:rPr>
          <w:rFonts w:hint="eastAsia" w:cs="宋体" w:asciiTheme="majorEastAsia" w:hAnsiTheme="majorEastAsia" w:eastAsiaTheme="majorEastAsia"/>
          <w:bCs/>
          <w:color w:val="auto"/>
          <w:lang w:val="en-GB"/>
        </w:rPr>
        <w:t>）</w:t>
      </w:r>
      <w:r>
        <w:rPr>
          <w:rFonts w:hint="eastAsia" w:cs="宋体" w:asciiTheme="majorEastAsia" w:hAnsiTheme="majorEastAsia" w:eastAsiaTheme="majorEastAsia"/>
          <w:bCs/>
          <w:color w:val="auto"/>
          <w:lang w:val="en-GB" w:eastAsia="zh-CN"/>
        </w:rPr>
        <w:t>（提供原件核对）</w:t>
      </w:r>
      <w:r>
        <w:rPr>
          <w:rFonts w:hint="eastAsia" w:cs="宋体" w:asciiTheme="majorEastAsia" w:hAnsiTheme="majorEastAsia" w:eastAsiaTheme="majorEastAsia"/>
          <w:color w:val="auto"/>
        </w:rPr>
        <w:t>。</w:t>
      </w:r>
    </w:p>
    <w:p>
      <w:pPr>
        <w:autoSpaceDE w:val="0"/>
        <w:autoSpaceDN w:val="0"/>
        <w:spacing w:before="156" w:beforeLines="50" w:after="156" w:afterLines="50" w:line="420" w:lineRule="exact"/>
        <w:rPr>
          <w:rFonts w:cs="宋体" w:asciiTheme="majorEastAsia" w:hAnsiTheme="majorEastAsia" w:eastAsiaTheme="majorEastAsia"/>
          <w:b/>
          <w:bCs/>
          <w:color w:val="auto"/>
          <w:lang w:val="en-GB"/>
        </w:rPr>
      </w:pPr>
      <w:r>
        <w:rPr>
          <w:rFonts w:hint="eastAsia" w:cs="宋体" w:asciiTheme="majorEastAsia" w:hAnsiTheme="majorEastAsia" w:eastAsiaTheme="majorEastAsia"/>
          <w:b/>
          <w:bCs/>
          <w:color w:val="auto"/>
          <w:lang w:val="en-GB"/>
        </w:rPr>
        <w:t>四、响应文件递交截止时间及地点，响应文件开启时间及地点：</w:t>
      </w:r>
    </w:p>
    <w:p>
      <w:pPr>
        <w:spacing w:line="420" w:lineRule="exact"/>
        <w:ind w:firstLine="440" w:firstLineChars="200"/>
        <w:rPr>
          <w:rFonts w:cs="宋体" w:asciiTheme="majorEastAsia" w:hAnsiTheme="majorEastAsia" w:eastAsiaTheme="majorEastAsia"/>
          <w:bCs/>
          <w:color w:val="auto"/>
          <w:lang w:val="en-GB"/>
        </w:rPr>
      </w:pPr>
      <w:r>
        <w:rPr>
          <w:rFonts w:hint="eastAsia" w:cs="宋体" w:asciiTheme="majorEastAsia" w:hAnsiTheme="majorEastAsia" w:eastAsiaTheme="majorEastAsia"/>
          <w:bCs/>
          <w:color w:val="auto"/>
          <w:lang w:val="en-GB"/>
        </w:rPr>
        <w:t>1、响应文件递交截止时间：</w:t>
      </w:r>
      <w:r>
        <w:rPr>
          <w:rFonts w:hint="eastAsia" w:cs="宋体" w:asciiTheme="majorEastAsia" w:hAnsiTheme="majorEastAsia" w:eastAsiaTheme="majorEastAsia"/>
          <w:bCs/>
          <w:color w:val="auto"/>
          <w:u w:val="single"/>
          <w:lang w:val="en-GB"/>
        </w:rPr>
        <w:t>2021年</w:t>
      </w:r>
      <w:r>
        <w:rPr>
          <w:rFonts w:hint="eastAsia" w:cs="宋体" w:asciiTheme="majorEastAsia" w:hAnsiTheme="majorEastAsia" w:eastAsiaTheme="majorEastAsia"/>
          <w:bCs/>
          <w:color w:val="auto"/>
          <w:u w:val="single"/>
          <w:lang w:val="en-US" w:eastAsia="zh-CN"/>
        </w:rPr>
        <w:t>12</w:t>
      </w:r>
      <w:r>
        <w:rPr>
          <w:rFonts w:hint="eastAsia" w:cs="宋体" w:asciiTheme="majorEastAsia" w:hAnsiTheme="majorEastAsia" w:eastAsiaTheme="majorEastAsia"/>
          <w:bCs/>
          <w:color w:val="auto"/>
          <w:u w:val="single"/>
        </w:rPr>
        <w:t>月</w:t>
      </w:r>
      <w:r>
        <w:rPr>
          <w:rFonts w:hint="eastAsia" w:cs="宋体" w:asciiTheme="majorEastAsia" w:hAnsiTheme="majorEastAsia" w:eastAsiaTheme="majorEastAsia"/>
          <w:bCs/>
          <w:color w:val="auto"/>
          <w:u w:val="single"/>
          <w:lang w:val="en-US" w:eastAsia="zh-CN"/>
        </w:rPr>
        <w:t>2</w:t>
      </w:r>
      <w:bookmarkStart w:id="542" w:name="_GoBack"/>
      <w:bookmarkEnd w:id="542"/>
      <w:r>
        <w:rPr>
          <w:rFonts w:hint="eastAsia" w:cs="宋体" w:asciiTheme="majorEastAsia" w:hAnsiTheme="majorEastAsia" w:eastAsiaTheme="majorEastAsia"/>
          <w:bCs/>
          <w:color w:val="auto"/>
          <w:u w:val="single"/>
          <w:lang w:val="en-US" w:eastAsia="zh-CN"/>
        </w:rPr>
        <w:t>7</w:t>
      </w:r>
      <w:r>
        <w:rPr>
          <w:rFonts w:hint="eastAsia" w:cs="宋体" w:asciiTheme="majorEastAsia" w:hAnsiTheme="majorEastAsia" w:eastAsiaTheme="majorEastAsia"/>
          <w:bCs/>
          <w:color w:val="auto"/>
          <w:u w:val="single"/>
          <w:lang w:val="en-GB"/>
        </w:rPr>
        <w:t>日</w:t>
      </w:r>
      <w:r>
        <w:rPr>
          <w:rFonts w:hint="eastAsia" w:cs="宋体" w:asciiTheme="majorEastAsia" w:hAnsiTheme="majorEastAsia" w:eastAsiaTheme="majorEastAsia"/>
          <w:bCs/>
          <w:color w:val="auto"/>
          <w:u w:val="single"/>
          <w:lang w:val="en-US" w:eastAsia="zh-CN"/>
        </w:rPr>
        <w:t>09</w:t>
      </w:r>
      <w:r>
        <w:rPr>
          <w:rFonts w:hint="eastAsia" w:cs="宋体" w:asciiTheme="majorEastAsia" w:hAnsiTheme="majorEastAsia" w:eastAsiaTheme="majorEastAsia"/>
          <w:bCs/>
          <w:color w:val="auto"/>
          <w:u w:val="single"/>
        </w:rPr>
        <w:t>时</w:t>
      </w:r>
      <w:r>
        <w:rPr>
          <w:rFonts w:hint="eastAsia" w:cs="宋体" w:asciiTheme="majorEastAsia" w:hAnsiTheme="majorEastAsia" w:eastAsiaTheme="majorEastAsia"/>
          <w:bCs/>
          <w:color w:val="auto"/>
          <w:u w:val="single"/>
          <w:lang w:val="en-US" w:eastAsia="zh-CN"/>
        </w:rPr>
        <w:t>00</w:t>
      </w:r>
      <w:r>
        <w:rPr>
          <w:rFonts w:hint="eastAsia" w:cs="宋体" w:asciiTheme="majorEastAsia" w:hAnsiTheme="majorEastAsia" w:eastAsiaTheme="majorEastAsia"/>
          <w:bCs/>
          <w:color w:val="auto"/>
          <w:u w:val="single"/>
        </w:rPr>
        <w:t>分</w:t>
      </w:r>
      <w:r>
        <w:rPr>
          <w:rFonts w:hint="eastAsia" w:cs="宋体" w:asciiTheme="majorEastAsia" w:hAnsiTheme="majorEastAsia" w:eastAsiaTheme="majorEastAsia"/>
          <w:bCs/>
          <w:color w:val="auto"/>
        </w:rPr>
        <w:t>（北京时间）</w:t>
      </w:r>
      <w:r>
        <w:rPr>
          <w:rFonts w:hint="eastAsia" w:cs="宋体" w:asciiTheme="majorEastAsia" w:hAnsiTheme="majorEastAsia" w:eastAsiaTheme="majorEastAsia"/>
          <w:bCs/>
          <w:color w:val="auto"/>
          <w:lang w:val="en-GB"/>
        </w:rPr>
        <w:t>，逾期或不符合规定的响应文件恕不接收；</w:t>
      </w:r>
    </w:p>
    <w:p>
      <w:pPr>
        <w:spacing w:line="420" w:lineRule="exact"/>
        <w:ind w:firstLine="440" w:firstLineChars="200"/>
        <w:rPr>
          <w:rFonts w:cs="宋体" w:asciiTheme="majorEastAsia" w:hAnsiTheme="majorEastAsia" w:eastAsiaTheme="majorEastAsia"/>
          <w:bCs/>
          <w:color w:val="auto"/>
          <w:lang w:val="en-GB"/>
        </w:rPr>
      </w:pPr>
      <w:r>
        <w:rPr>
          <w:rFonts w:hint="eastAsia" w:cs="宋体" w:asciiTheme="majorEastAsia" w:hAnsiTheme="majorEastAsia" w:eastAsiaTheme="majorEastAsia"/>
          <w:bCs/>
          <w:color w:val="auto"/>
        </w:rPr>
        <w:t>2</w:t>
      </w:r>
      <w:r>
        <w:rPr>
          <w:rFonts w:hint="eastAsia" w:cs="宋体" w:asciiTheme="majorEastAsia" w:hAnsiTheme="majorEastAsia" w:eastAsiaTheme="majorEastAsia"/>
          <w:bCs/>
          <w:color w:val="auto"/>
          <w:lang w:val="en-GB"/>
        </w:rPr>
        <w:t>、响应文件递交地点：</w:t>
      </w:r>
      <w:r>
        <w:rPr>
          <w:rFonts w:hint="eastAsia" w:cs="宋体" w:asciiTheme="majorEastAsia" w:hAnsiTheme="majorEastAsia" w:eastAsiaTheme="majorEastAsia"/>
          <w:bCs/>
          <w:color w:val="auto"/>
          <w:u w:val="single"/>
          <w:lang w:val="en-GB"/>
        </w:rPr>
        <w:t>海口市海秀东路74号鸿泰大厦14层</w:t>
      </w:r>
      <w:r>
        <w:rPr>
          <w:rFonts w:hint="eastAsia" w:cs="宋体" w:asciiTheme="majorEastAsia" w:hAnsiTheme="majorEastAsia" w:eastAsiaTheme="majorEastAsia"/>
          <w:bCs/>
          <w:color w:val="auto"/>
          <w:u w:val="single"/>
          <w:lang w:val="en-GB" w:eastAsia="zh-CN"/>
        </w:rPr>
        <w:t>开</w:t>
      </w:r>
      <w:r>
        <w:rPr>
          <w:rFonts w:hint="eastAsia" w:cs="宋体" w:asciiTheme="majorEastAsia" w:hAnsiTheme="majorEastAsia" w:eastAsiaTheme="majorEastAsia"/>
          <w:bCs/>
          <w:color w:val="auto"/>
          <w:u w:val="single"/>
          <w:lang w:val="en-GB"/>
        </w:rPr>
        <w:t>标室</w:t>
      </w:r>
      <w:r>
        <w:rPr>
          <w:rFonts w:hint="eastAsia" w:cs="宋体" w:asciiTheme="majorEastAsia" w:hAnsiTheme="majorEastAsia" w:eastAsiaTheme="majorEastAsia"/>
          <w:bCs/>
          <w:color w:val="auto"/>
          <w:u w:val="single"/>
          <w:lang w:val="en-US" w:eastAsia="zh-CN"/>
        </w:rPr>
        <w:t>3</w:t>
      </w:r>
      <w:r>
        <w:rPr>
          <w:rFonts w:hint="eastAsia" w:cs="宋体" w:asciiTheme="majorEastAsia" w:hAnsiTheme="majorEastAsia" w:eastAsiaTheme="majorEastAsia"/>
          <w:bCs/>
          <w:color w:val="auto"/>
          <w:lang w:val="en-GB"/>
        </w:rPr>
        <w:t>，如有变动另行通知。</w:t>
      </w:r>
    </w:p>
    <w:p>
      <w:pPr>
        <w:autoSpaceDE w:val="0"/>
        <w:autoSpaceDN w:val="0"/>
        <w:spacing w:before="156" w:beforeLines="50" w:after="156" w:afterLines="50" w:line="420" w:lineRule="exact"/>
        <w:rPr>
          <w:rFonts w:cs="宋体" w:asciiTheme="majorEastAsia" w:hAnsiTheme="majorEastAsia" w:eastAsiaTheme="majorEastAsia"/>
          <w:b/>
          <w:bCs/>
          <w:color w:val="auto"/>
          <w:lang w:val="zh-CN"/>
        </w:rPr>
      </w:pPr>
      <w:r>
        <w:rPr>
          <w:rFonts w:hint="eastAsia" w:cs="宋体" w:asciiTheme="majorEastAsia" w:hAnsiTheme="majorEastAsia" w:eastAsiaTheme="majorEastAsia"/>
          <w:b/>
          <w:bCs/>
          <w:color w:val="auto"/>
          <w:lang w:val="zh-CN"/>
        </w:rPr>
        <w:t>五、采购信息发布媒体</w:t>
      </w:r>
    </w:p>
    <w:p>
      <w:pPr>
        <w:autoSpaceDE w:val="0"/>
        <w:autoSpaceDN w:val="0"/>
        <w:spacing w:before="156" w:beforeLines="50" w:after="156" w:afterLines="50" w:line="420" w:lineRule="exact"/>
        <w:ind w:firstLine="330" w:firstLineChars="150"/>
        <w:rPr>
          <w:rFonts w:asciiTheme="majorEastAsia" w:hAnsiTheme="majorEastAsia" w:eastAsiaTheme="majorEastAsia"/>
          <w:color w:val="auto"/>
        </w:rPr>
      </w:pPr>
      <w:r>
        <w:rPr>
          <w:rFonts w:hint="eastAsia" w:asciiTheme="majorEastAsia" w:hAnsiTheme="majorEastAsia" w:eastAsiaTheme="majorEastAsia"/>
          <w:color w:val="auto"/>
        </w:rPr>
        <w:t>本项目采购信息指定发布媒体为</w:t>
      </w:r>
      <w:r>
        <w:rPr>
          <w:rFonts w:hint="eastAsia" w:asciiTheme="majorEastAsia" w:hAnsiTheme="majorEastAsia" w:eastAsiaTheme="majorEastAsia"/>
          <w:color w:val="auto"/>
          <w:lang w:eastAsia="zh-CN"/>
        </w:rPr>
        <w:t>：</w:t>
      </w:r>
      <w:r>
        <w:rPr>
          <w:rFonts w:ascii="宋体" w:hAnsi="宋体" w:eastAsia="宋体" w:cs="宋体"/>
          <w:color w:val="auto"/>
          <w:spacing w:val="-6"/>
          <w:w w:val="98"/>
          <w:sz w:val="24"/>
          <w:szCs w:val="24"/>
        </w:rPr>
        <w:t>全国公共资源交易平台（海南省）</w:t>
      </w:r>
      <w:r>
        <w:rPr>
          <w:rFonts w:ascii="宋体" w:hAnsi="宋体" w:eastAsia="宋体" w:cs="宋体"/>
          <w:color w:val="auto"/>
          <w:spacing w:val="7"/>
          <w:sz w:val="24"/>
          <w:szCs w:val="24"/>
        </w:rPr>
        <w:t xml:space="preserve"> </w:t>
      </w:r>
      <w:r>
        <w:rPr>
          <w:rFonts w:ascii="宋体" w:hAnsi="宋体" w:eastAsia="宋体" w:cs="宋体"/>
          <w:color w:val="auto"/>
          <w:spacing w:val="-6"/>
          <w:w w:val="98"/>
          <w:sz w:val="24"/>
          <w:szCs w:val="24"/>
        </w:rPr>
        <w:t>、海南省政府采购网</w:t>
      </w:r>
      <w:r>
        <w:rPr>
          <w:rFonts w:hint="eastAsia" w:asciiTheme="majorEastAsia" w:hAnsiTheme="majorEastAsia" w:eastAsiaTheme="majorEastAsia"/>
          <w:color w:val="auto"/>
        </w:rPr>
        <w:t>。</w:t>
      </w:r>
    </w:p>
    <w:p>
      <w:pPr>
        <w:autoSpaceDE w:val="0"/>
        <w:autoSpaceDN w:val="0"/>
        <w:spacing w:before="156" w:beforeLines="50" w:after="156" w:afterLines="50" w:line="420" w:lineRule="exact"/>
        <w:rPr>
          <w:rFonts w:cs="宋体" w:asciiTheme="majorEastAsia" w:hAnsiTheme="majorEastAsia" w:eastAsiaTheme="majorEastAsia"/>
          <w:b/>
          <w:bCs/>
          <w:color w:val="auto"/>
          <w:lang w:val="zh-CN"/>
        </w:rPr>
      </w:pPr>
      <w:r>
        <w:rPr>
          <w:rFonts w:hint="eastAsia" w:cs="宋体" w:asciiTheme="majorEastAsia" w:hAnsiTheme="majorEastAsia" w:eastAsiaTheme="majorEastAsia"/>
          <w:b/>
          <w:bCs/>
          <w:color w:val="auto"/>
          <w:lang w:val="en-US" w:eastAsia="zh-CN"/>
        </w:rPr>
        <w:t>六</w:t>
      </w:r>
      <w:r>
        <w:rPr>
          <w:rFonts w:hint="eastAsia" w:cs="宋体" w:asciiTheme="majorEastAsia" w:hAnsiTheme="majorEastAsia" w:eastAsiaTheme="majorEastAsia"/>
          <w:b/>
          <w:bCs/>
          <w:color w:val="auto"/>
          <w:lang w:val="zh-CN"/>
        </w:rPr>
        <w:t>、联系方式：</w:t>
      </w:r>
    </w:p>
    <w:p>
      <w:pPr>
        <w:spacing w:line="420" w:lineRule="exact"/>
        <w:rPr>
          <w:rFonts w:hint="eastAsia" w:asciiTheme="majorEastAsia" w:hAnsiTheme="majorEastAsia" w:eastAsiaTheme="majorEastAsia"/>
          <w:color w:val="auto"/>
          <w:lang w:eastAsia="zh-CN"/>
        </w:rPr>
      </w:pPr>
      <w:r>
        <w:rPr>
          <w:rFonts w:hint="eastAsia" w:asciiTheme="majorEastAsia" w:hAnsiTheme="majorEastAsia" w:eastAsiaTheme="majorEastAsia"/>
          <w:color w:val="auto"/>
        </w:rPr>
        <w:t>1、采购人名称：临高县临高林场</w:t>
      </w:r>
    </w:p>
    <w:p>
      <w:pPr>
        <w:spacing w:line="420" w:lineRule="exact"/>
        <w:rPr>
          <w:rFonts w:hint="eastAsia" w:ascii="宋体" w:hAnsi="宋体" w:eastAsia="宋体"/>
          <w:sz w:val="24"/>
        </w:rPr>
      </w:pPr>
      <w:r>
        <w:rPr>
          <w:rFonts w:hint="eastAsia" w:asciiTheme="majorEastAsia" w:hAnsiTheme="majorEastAsia" w:eastAsiaTheme="majorEastAsia"/>
          <w:color w:val="auto"/>
        </w:rPr>
        <w:t>采购人地址：</w:t>
      </w:r>
      <w:r>
        <w:rPr>
          <w:rFonts w:hint="eastAsia" w:ascii="宋体" w:hAnsi="宋体" w:eastAsia="宋体"/>
          <w:sz w:val="24"/>
        </w:rPr>
        <w:t>临高县临城镇</w:t>
      </w:r>
    </w:p>
    <w:p>
      <w:pPr>
        <w:spacing w:line="420" w:lineRule="exact"/>
        <w:rPr>
          <w:rFonts w:asciiTheme="majorEastAsia" w:hAnsiTheme="majorEastAsia" w:eastAsiaTheme="majorEastAsia"/>
          <w:color w:val="auto"/>
        </w:rPr>
      </w:pPr>
      <w:r>
        <w:rPr>
          <w:rFonts w:hint="eastAsia" w:asciiTheme="majorEastAsia" w:hAnsiTheme="majorEastAsia" w:eastAsiaTheme="majorEastAsia"/>
          <w:color w:val="auto"/>
        </w:rPr>
        <w:t>联系人：</w:t>
      </w:r>
      <w:r>
        <w:rPr>
          <w:rFonts w:hint="eastAsia" w:cs="Tahoma" w:asciiTheme="majorEastAsia" w:hAnsiTheme="majorEastAsia" w:eastAsiaTheme="majorEastAsia"/>
          <w:color w:val="auto"/>
          <w:szCs w:val="21"/>
          <w:lang w:val="en-US" w:eastAsia="zh-CN"/>
        </w:rPr>
        <w:t>莫</w:t>
      </w:r>
      <w:r>
        <w:rPr>
          <w:rFonts w:hint="eastAsia" w:cs="Tahoma" w:asciiTheme="majorEastAsia" w:hAnsiTheme="majorEastAsia" w:eastAsiaTheme="majorEastAsia"/>
          <w:color w:val="auto"/>
          <w:szCs w:val="21"/>
        </w:rPr>
        <w:t>先生</w:t>
      </w:r>
    </w:p>
    <w:p>
      <w:pPr>
        <w:spacing w:line="420" w:lineRule="exact"/>
        <w:rPr>
          <w:rFonts w:hint="eastAsia" w:asciiTheme="majorEastAsia" w:hAnsiTheme="majorEastAsia" w:eastAsiaTheme="majorEastAsia"/>
          <w:color w:val="auto"/>
        </w:rPr>
      </w:pPr>
      <w:r>
        <w:rPr>
          <w:rFonts w:hint="eastAsia" w:asciiTheme="majorEastAsia" w:hAnsiTheme="majorEastAsia" w:eastAsiaTheme="majorEastAsia"/>
          <w:color w:val="auto"/>
        </w:rPr>
        <w:t>联系电话：0898-28276585</w:t>
      </w:r>
    </w:p>
    <w:p>
      <w:pPr>
        <w:spacing w:line="420" w:lineRule="exact"/>
        <w:rPr>
          <w:rFonts w:asciiTheme="majorEastAsia" w:hAnsiTheme="majorEastAsia" w:eastAsiaTheme="majorEastAsia"/>
          <w:color w:val="auto"/>
        </w:rPr>
      </w:pPr>
      <w:r>
        <w:rPr>
          <w:rFonts w:hint="eastAsia" w:asciiTheme="majorEastAsia" w:hAnsiTheme="majorEastAsia" w:eastAsiaTheme="majorEastAsia"/>
          <w:color w:val="auto"/>
        </w:rPr>
        <w:t>2、代理机构名称：海南中信源项目管理有限公司</w:t>
      </w:r>
    </w:p>
    <w:p>
      <w:pPr>
        <w:spacing w:line="420" w:lineRule="exact"/>
        <w:rPr>
          <w:rFonts w:hint="eastAsia" w:asciiTheme="majorEastAsia" w:hAnsiTheme="majorEastAsia" w:eastAsiaTheme="majorEastAsia"/>
          <w:color w:val="auto"/>
        </w:rPr>
      </w:pPr>
      <w:r>
        <w:rPr>
          <w:rFonts w:hint="eastAsia" w:asciiTheme="majorEastAsia" w:hAnsiTheme="majorEastAsia" w:eastAsiaTheme="majorEastAsia"/>
          <w:color w:val="auto"/>
        </w:rPr>
        <w:t>代理机构地点：海南省海口市龙华区椰海大道37号和风•鑫苑2栋1501室</w:t>
      </w:r>
    </w:p>
    <w:p>
      <w:pPr>
        <w:spacing w:line="420" w:lineRule="exact"/>
        <w:rPr>
          <w:rFonts w:asciiTheme="majorEastAsia" w:hAnsiTheme="majorEastAsia" w:eastAsiaTheme="majorEastAsia"/>
          <w:color w:val="auto"/>
        </w:rPr>
      </w:pPr>
      <w:r>
        <w:rPr>
          <w:rFonts w:hint="eastAsia" w:asciiTheme="majorEastAsia" w:hAnsiTheme="majorEastAsia" w:eastAsiaTheme="majorEastAsia"/>
          <w:color w:val="auto"/>
        </w:rPr>
        <w:t>联系人：</w:t>
      </w:r>
      <w:r>
        <w:rPr>
          <w:rFonts w:hint="eastAsia" w:asciiTheme="majorEastAsia" w:hAnsiTheme="majorEastAsia" w:eastAsiaTheme="majorEastAsia"/>
          <w:color w:val="auto"/>
          <w:lang w:eastAsia="zh-CN"/>
        </w:rPr>
        <w:t>苏</w:t>
      </w:r>
      <w:r>
        <w:rPr>
          <w:rFonts w:hint="eastAsia" w:asciiTheme="majorEastAsia" w:hAnsiTheme="majorEastAsia" w:eastAsiaTheme="majorEastAsia"/>
          <w:color w:val="auto"/>
        </w:rPr>
        <w:t>工</w:t>
      </w:r>
    </w:p>
    <w:p>
      <w:pPr>
        <w:spacing w:line="420" w:lineRule="exact"/>
        <w:rPr>
          <w:rFonts w:hint="eastAsia" w:asciiTheme="majorEastAsia" w:hAnsiTheme="majorEastAsia" w:eastAsiaTheme="majorEastAsia"/>
          <w:color w:val="auto"/>
        </w:rPr>
      </w:pPr>
      <w:r>
        <w:rPr>
          <w:rFonts w:hint="eastAsia" w:asciiTheme="majorEastAsia" w:hAnsiTheme="majorEastAsia" w:eastAsiaTheme="majorEastAsia"/>
          <w:color w:val="auto"/>
        </w:rPr>
        <w:t>联系电话：0898-65304396</w:t>
      </w:r>
    </w:p>
    <w:p>
      <w:pPr>
        <w:adjustRightInd/>
        <w:snapToGrid/>
        <w:spacing w:line="220" w:lineRule="atLeast"/>
        <w:rPr>
          <w:rFonts w:cs="Times New Roman" w:asciiTheme="majorEastAsia" w:hAnsiTheme="majorEastAsia" w:eastAsiaTheme="majorEastAsia"/>
          <w:b/>
          <w:color w:val="auto"/>
          <w:kern w:val="2"/>
          <w:sz w:val="30"/>
          <w:szCs w:val="24"/>
        </w:rPr>
      </w:pPr>
      <w:bookmarkStart w:id="1" w:name="_Toc13507835"/>
      <w:r>
        <w:rPr>
          <w:rFonts w:asciiTheme="majorEastAsia" w:hAnsiTheme="majorEastAsia" w:eastAsiaTheme="majorEastAsia"/>
          <w:color w:val="auto"/>
        </w:rPr>
        <w:br w:type="page"/>
      </w:r>
    </w:p>
    <w:p>
      <w:pPr>
        <w:pStyle w:val="13"/>
        <w:tabs>
          <w:tab w:val="left" w:pos="8360"/>
        </w:tabs>
        <w:spacing w:line="420" w:lineRule="exact"/>
        <w:ind w:firstLine="540"/>
        <w:jc w:val="center"/>
        <w:rPr>
          <w:rFonts w:hint="default" w:cs="宋体" w:asciiTheme="majorEastAsia" w:hAnsiTheme="majorEastAsia" w:eastAsiaTheme="majorEastAsia"/>
          <w:color w:val="auto"/>
          <w:sz w:val="36"/>
          <w:szCs w:val="36"/>
          <w:lang w:val="en-GB"/>
        </w:rPr>
      </w:pPr>
      <w:r>
        <w:rPr>
          <w:rFonts w:cs="宋体" w:asciiTheme="majorEastAsia" w:hAnsiTheme="majorEastAsia" w:eastAsiaTheme="majorEastAsia"/>
          <w:color w:val="auto"/>
          <w:sz w:val="36"/>
          <w:szCs w:val="36"/>
          <w:lang w:val="en-GB"/>
        </w:rPr>
        <w:t>第二章 竞争性磋商须知</w:t>
      </w:r>
      <w:bookmarkEnd w:id="1"/>
    </w:p>
    <w:p>
      <w:pPr>
        <w:pStyle w:val="24"/>
        <w:spacing w:after="0"/>
        <w:ind w:left="0" w:leftChars="0" w:firstLine="480"/>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竞争性磋商须知前附表</w:t>
      </w:r>
    </w:p>
    <w:p>
      <w:pPr>
        <w:pStyle w:val="24"/>
        <w:spacing w:after="0"/>
        <w:ind w:left="0" w:leftChars="0" w:firstLine="480"/>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本表关于采购内容的具体要求是对投标人须知的具体补充和修改，如有矛盾，应以本表为准。</w:t>
      </w:r>
    </w:p>
    <w:tbl>
      <w:tblPr>
        <w:tblStyle w:val="30"/>
        <w:tblW w:w="8163" w:type="dxa"/>
        <w:tblInd w:w="3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7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738" w:type="dxa"/>
            <w:tcBorders>
              <w:top w:val="single" w:color="auto" w:sz="12" w:space="0"/>
              <w:left w:val="single" w:color="auto" w:sz="12" w:space="0"/>
            </w:tcBorders>
            <w:vAlign w:val="center"/>
          </w:tcPr>
          <w:p>
            <w:pPr>
              <w:pStyle w:val="13"/>
              <w:jc w:val="center"/>
              <w:rPr>
                <w:rFonts w:hint="default" w:cs="宋体" w:asciiTheme="majorEastAsia" w:hAnsiTheme="majorEastAsia" w:eastAsiaTheme="majorEastAsia"/>
                <w:color w:val="auto"/>
                <w:sz w:val="22"/>
                <w:szCs w:val="22"/>
              </w:rPr>
            </w:pPr>
            <w:r>
              <w:rPr>
                <w:rFonts w:cs="宋体" w:asciiTheme="majorEastAsia" w:hAnsiTheme="majorEastAsia" w:eastAsiaTheme="majorEastAsia"/>
                <w:color w:val="auto"/>
                <w:sz w:val="22"/>
                <w:szCs w:val="22"/>
              </w:rPr>
              <w:t>序号</w:t>
            </w:r>
          </w:p>
        </w:tc>
        <w:tc>
          <w:tcPr>
            <w:tcW w:w="7425" w:type="dxa"/>
            <w:tcBorders>
              <w:top w:val="single" w:color="auto" w:sz="12" w:space="0"/>
              <w:right w:val="single" w:color="auto" w:sz="12" w:space="0"/>
            </w:tcBorders>
            <w:vAlign w:val="center"/>
          </w:tcPr>
          <w:p>
            <w:pPr>
              <w:pStyle w:val="13"/>
              <w:jc w:val="center"/>
              <w:rPr>
                <w:rFonts w:hint="default" w:cs="宋体" w:asciiTheme="majorEastAsia" w:hAnsiTheme="majorEastAsia" w:eastAsiaTheme="majorEastAsia"/>
                <w:color w:val="auto"/>
                <w:sz w:val="22"/>
                <w:szCs w:val="22"/>
              </w:rPr>
            </w:pPr>
            <w:r>
              <w:rPr>
                <w:rFonts w:cs="宋体" w:asciiTheme="majorEastAsia" w:hAnsiTheme="majorEastAsia" w:eastAsiaTheme="majorEastAsia"/>
                <w:color w:val="auto"/>
                <w:sz w:val="22"/>
                <w:szCs w:val="22"/>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8" w:type="dxa"/>
            <w:tcBorders>
              <w:top w:val="single" w:color="auto" w:sz="12" w:space="0"/>
              <w:left w:val="single" w:color="auto" w:sz="12" w:space="0"/>
            </w:tcBorders>
            <w:vAlign w:val="center"/>
          </w:tcPr>
          <w:p>
            <w:pPr>
              <w:pStyle w:val="13"/>
              <w:jc w:val="center"/>
              <w:rPr>
                <w:rFonts w:hint="default" w:cs="宋体" w:asciiTheme="majorEastAsia" w:hAnsiTheme="majorEastAsia" w:eastAsiaTheme="majorEastAsia"/>
                <w:color w:val="auto"/>
                <w:sz w:val="22"/>
                <w:szCs w:val="22"/>
              </w:rPr>
            </w:pPr>
            <w:r>
              <w:rPr>
                <w:rFonts w:cs="宋体" w:asciiTheme="majorEastAsia" w:hAnsiTheme="majorEastAsia" w:eastAsiaTheme="majorEastAsia"/>
                <w:color w:val="auto"/>
                <w:sz w:val="22"/>
                <w:szCs w:val="22"/>
              </w:rPr>
              <w:t>1</w:t>
            </w:r>
          </w:p>
        </w:tc>
        <w:tc>
          <w:tcPr>
            <w:tcW w:w="7425" w:type="dxa"/>
            <w:tcBorders>
              <w:top w:val="single" w:color="auto" w:sz="12" w:space="0"/>
              <w:right w:val="single" w:color="auto" w:sz="12" w:space="0"/>
            </w:tcBorders>
            <w:vAlign w:val="center"/>
          </w:tcPr>
          <w:p>
            <w:pPr>
              <w:spacing w:line="420" w:lineRule="exact"/>
              <w:rPr>
                <w:rFonts w:hint="eastAsia" w:asciiTheme="majorEastAsia" w:hAnsiTheme="majorEastAsia" w:eastAsiaTheme="majorEastAsia"/>
                <w:color w:val="auto"/>
                <w:lang w:eastAsia="zh-CN"/>
              </w:rPr>
            </w:pPr>
            <w:r>
              <w:rPr>
                <w:rFonts w:hint="eastAsia" w:asciiTheme="majorEastAsia" w:hAnsiTheme="majorEastAsia" w:eastAsiaTheme="majorEastAsia"/>
                <w:color w:val="auto"/>
              </w:rPr>
              <w:t>采购人名称：临高县临高林场</w:t>
            </w:r>
          </w:p>
          <w:p>
            <w:pPr>
              <w:rPr>
                <w:rFonts w:asciiTheme="majorEastAsia" w:hAnsiTheme="majorEastAsia" w:eastAsiaTheme="majorEastAsia"/>
                <w:color w:val="auto"/>
              </w:rPr>
            </w:pPr>
            <w:r>
              <w:rPr>
                <w:rFonts w:hint="eastAsia" w:asciiTheme="majorEastAsia" w:hAnsiTheme="majorEastAsia" w:eastAsiaTheme="majorEastAsia"/>
                <w:color w:val="auto"/>
              </w:rPr>
              <w:t>采购人地址：</w:t>
            </w:r>
            <w:r>
              <w:rPr>
                <w:rFonts w:hint="eastAsia" w:ascii="宋体" w:hAnsi="宋体" w:eastAsia="宋体"/>
                <w:sz w:val="24"/>
              </w:rPr>
              <w:t>临高县临城镇</w:t>
            </w:r>
          </w:p>
          <w:p>
            <w:pPr>
              <w:rPr>
                <w:rFonts w:asciiTheme="majorEastAsia" w:hAnsiTheme="majorEastAsia" w:eastAsiaTheme="majorEastAsia"/>
                <w:color w:val="auto"/>
              </w:rPr>
            </w:pPr>
            <w:r>
              <w:rPr>
                <w:rFonts w:hint="eastAsia" w:asciiTheme="majorEastAsia" w:hAnsiTheme="majorEastAsia" w:eastAsiaTheme="majorEastAsia"/>
                <w:color w:val="auto"/>
              </w:rPr>
              <w:t>联系人：</w:t>
            </w:r>
            <w:r>
              <w:rPr>
                <w:rFonts w:hint="eastAsia" w:asciiTheme="majorEastAsia" w:hAnsiTheme="majorEastAsia" w:eastAsiaTheme="majorEastAsia"/>
                <w:color w:val="auto"/>
                <w:lang w:eastAsia="zh-CN"/>
              </w:rPr>
              <w:t>莫</w:t>
            </w:r>
            <w:r>
              <w:rPr>
                <w:rFonts w:hint="eastAsia" w:cs="Tahoma" w:asciiTheme="majorEastAsia" w:hAnsiTheme="majorEastAsia" w:eastAsiaTheme="majorEastAsia"/>
                <w:color w:val="auto"/>
                <w:szCs w:val="21"/>
              </w:rPr>
              <w:t>先生</w:t>
            </w:r>
          </w:p>
          <w:p>
            <w:pPr>
              <w:rPr>
                <w:rFonts w:asciiTheme="majorEastAsia" w:hAnsiTheme="majorEastAsia" w:eastAsiaTheme="majorEastAsia"/>
                <w:color w:val="auto"/>
              </w:rPr>
            </w:pPr>
            <w:r>
              <w:rPr>
                <w:rFonts w:hint="eastAsia" w:asciiTheme="majorEastAsia" w:hAnsiTheme="majorEastAsia" w:eastAsiaTheme="majorEastAsia"/>
                <w:color w:val="auto"/>
              </w:rPr>
              <w:t>联系电话：0898-28276585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738" w:type="dxa"/>
            <w:tcBorders>
              <w:top w:val="single" w:color="auto" w:sz="12" w:space="0"/>
              <w:left w:val="single" w:color="auto" w:sz="12" w:space="0"/>
            </w:tcBorders>
            <w:vAlign w:val="center"/>
          </w:tcPr>
          <w:p>
            <w:pPr>
              <w:pStyle w:val="13"/>
              <w:jc w:val="center"/>
              <w:rPr>
                <w:rFonts w:hint="default" w:cs="宋体" w:asciiTheme="majorEastAsia" w:hAnsiTheme="majorEastAsia" w:eastAsiaTheme="majorEastAsia"/>
                <w:color w:val="auto"/>
                <w:sz w:val="22"/>
                <w:szCs w:val="22"/>
              </w:rPr>
            </w:pPr>
            <w:r>
              <w:rPr>
                <w:rFonts w:cs="宋体" w:asciiTheme="majorEastAsia" w:hAnsiTheme="majorEastAsia" w:eastAsiaTheme="majorEastAsia"/>
                <w:color w:val="auto"/>
                <w:sz w:val="22"/>
                <w:szCs w:val="22"/>
              </w:rPr>
              <w:t>2</w:t>
            </w:r>
          </w:p>
        </w:tc>
        <w:tc>
          <w:tcPr>
            <w:tcW w:w="7425" w:type="dxa"/>
            <w:tcBorders>
              <w:top w:val="single" w:color="auto" w:sz="12" w:space="0"/>
              <w:right w:val="single" w:color="auto" w:sz="12" w:space="0"/>
            </w:tcBorders>
            <w:vAlign w:val="center"/>
          </w:tcPr>
          <w:p>
            <w:pPr>
              <w:rPr>
                <w:rFonts w:asciiTheme="majorEastAsia" w:hAnsiTheme="majorEastAsia" w:eastAsiaTheme="majorEastAsia"/>
                <w:color w:val="auto"/>
              </w:rPr>
            </w:pPr>
            <w:r>
              <w:rPr>
                <w:rFonts w:hint="eastAsia" w:asciiTheme="majorEastAsia" w:hAnsiTheme="majorEastAsia" w:eastAsiaTheme="majorEastAsia"/>
                <w:color w:val="auto"/>
              </w:rPr>
              <w:t>代理机构名称：海南中信源项目管理有限公司</w:t>
            </w:r>
          </w:p>
          <w:p>
            <w:pPr>
              <w:rPr>
                <w:rFonts w:asciiTheme="majorEastAsia" w:hAnsiTheme="majorEastAsia" w:eastAsiaTheme="majorEastAsia"/>
                <w:color w:val="auto"/>
              </w:rPr>
            </w:pPr>
            <w:r>
              <w:rPr>
                <w:rFonts w:hint="eastAsia" w:asciiTheme="majorEastAsia" w:hAnsiTheme="majorEastAsia" w:eastAsiaTheme="majorEastAsia"/>
                <w:color w:val="auto"/>
              </w:rPr>
              <w:t>代理机构地点：海南省海口市龙华区椰海大道37号和风•鑫苑2栋1501室</w:t>
            </w:r>
          </w:p>
          <w:p>
            <w:pPr>
              <w:rPr>
                <w:rFonts w:asciiTheme="majorEastAsia" w:hAnsiTheme="majorEastAsia" w:eastAsiaTheme="majorEastAsia"/>
                <w:color w:val="auto"/>
              </w:rPr>
            </w:pPr>
            <w:r>
              <w:rPr>
                <w:rFonts w:hint="eastAsia" w:asciiTheme="majorEastAsia" w:hAnsiTheme="majorEastAsia" w:eastAsiaTheme="majorEastAsia"/>
                <w:color w:val="auto"/>
              </w:rPr>
              <w:t>联系人：</w:t>
            </w:r>
            <w:r>
              <w:rPr>
                <w:rFonts w:hint="eastAsia" w:asciiTheme="majorEastAsia" w:hAnsiTheme="majorEastAsia" w:eastAsiaTheme="majorEastAsia"/>
                <w:color w:val="auto"/>
                <w:lang w:eastAsia="zh-CN"/>
              </w:rPr>
              <w:t>苏</w:t>
            </w:r>
            <w:r>
              <w:rPr>
                <w:rFonts w:hint="eastAsia" w:asciiTheme="majorEastAsia" w:hAnsiTheme="majorEastAsia" w:eastAsiaTheme="majorEastAsia"/>
                <w:color w:val="auto"/>
              </w:rPr>
              <w:t>工</w:t>
            </w:r>
          </w:p>
          <w:p>
            <w:pPr>
              <w:spacing w:line="420" w:lineRule="exact"/>
              <w:rPr>
                <w:rFonts w:asciiTheme="majorEastAsia" w:hAnsiTheme="majorEastAsia" w:eastAsiaTheme="majorEastAsia"/>
                <w:color w:val="auto"/>
              </w:rPr>
            </w:pPr>
            <w:r>
              <w:rPr>
                <w:rFonts w:hint="eastAsia" w:asciiTheme="majorEastAsia" w:hAnsiTheme="majorEastAsia" w:eastAsiaTheme="majorEastAsia"/>
                <w:color w:val="auto"/>
              </w:rPr>
              <w:t>联系电话：0898-65304396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38" w:type="dxa"/>
            <w:tcBorders>
              <w:left w:val="single" w:color="auto" w:sz="12" w:space="0"/>
            </w:tcBorders>
            <w:vAlign w:val="center"/>
          </w:tcPr>
          <w:p>
            <w:pPr>
              <w:pStyle w:val="13"/>
              <w:jc w:val="center"/>
              <w:rPr>
                <w:rFonts w:hint="default" w:cs="宋体" w:asciiTheme="majorEastAsia" w:hAnsiTheme="majorEastAsia" w:eastAsiaTheme="majorEastAsia"/>
                <w:color w:val="auto"/>
                <w:sz w:val="22"/>
                <w:szCs w:val="22"/>
              </w:rPr>
            </w:pPr>
            <w:r>
              <w:rPr>
                <w:rFonts w:cs="宋体" w:asciiTheme="majorEastAsia" w:hAnsiTheme="majorEastAsia" w:eastAsiaTheme="majorEastAsia"/>
                <w:color w:val="auto"/>
                <w:sz w:val="22"/>
                <w:szCs w:val="22"/>
              </w:rPr>
              <w:t>3</w:t>
            </w:r>
          </w:p>
        </w:tc>
        <w:tc>
          <w:tcPr>
            <w:tcW w:w="7425" w:type="dxa"/>
            <w:tcBorders>
              <w:right w:val="single" w:color="auto" w:sz="12" w:space="0"/>
            </w:tcBorders>
            <w:vAlign w:val="center"/>
          </w:tcPr>
          <w:p>
            <w:pPr>
              <w:rPr>
                <w:rFonts w:cs="宋体" w:asciiTheme="majorEastAsia" w:hAnsiTheme="majorEastAsia" w:eastAsiaTheme="majorEastAsia"/>
                <w:color w:val="auto"/>
              </w:rPr>
            </w:pPr>
            <w:r>
              <w:rPr>
                <w:rFonts w:hint="eastAsia" w:cs="宋体" w:asciiTheme="majorEastAsia" w:hAnsiTheme="majorEastAsia" w:eastAsiaTheme="majorEastAsia"/>
                <w:color w:val="auto"/>
              </w:rPr>
              <w:t>投标人资格要求：</w:t>
            </w:r>
          </w:p>
          <w:p>
            <w:pPr>
              <w:autoSpaceDE w:val="0"/>
              <w:autoSpaceDN w:val="0"/>
              <w:spacing w:before="156" w:beforeLines="50" w:after="156" w:afterLines="50" w:line="420" w:lineRule="exact"/>
              <w:ind w:firstLine="440" w:firstLineChars="200"/>
              <w:rPr>
                <w:rFonts w:hint="eastAsia" w:asciiTheme="majorEastAsia" w:hAnsiTheme="majorEastAsia" w:eastAsiaTheme="majorEastAsia"/>
                <w:color w:val="auto"/>
                <w:lang w:eastAsia="zh-CN"/>
              </w:rPr>
            </w:pPr>
            <w:r>
              <w:rPr>
                <w:rFonts w:hint="eastAsia" w:asciiTheme="majorEastAsia" w:hAnsiTheme="majorEastAsia" w:eastAsiaTheme="majorEastAsia"/>
                <w:color w:val="auto"/>
              </w:rPr>
              <w:t>1、在中华人民共和国注册的、具有独立承担民事责任能力的法人（提供三证合一的营业执照复印件加盖公章，</w:t>
            </w:r>
            <w:r>
              <w:rPr>
                <w:rFonts w:hint="eastAsia" w:asciiTheme="majorEastAsia" w:hAnsiTheme="majorEastAsia" w:eastAsiaTheme="majorEastAsia"/>
                <w:color w:val="auto"/>
                <w:lang w:val="en-US" w:eastAsia="zh-CN"/>
              </w:rPr>
              <w:t>营业执照经营范围包括园林绿化工程</w:t>
            </w:r>
            <w:r>
              <w:rPr>
                <w:rFonts w:hint="eastAsia" w:asciiTheme="majorEastAsia" w:hAnsiTheme="majorEastAsia" w:eastAsiaTheme="majorEastAsia"/>
                <w:color w:val="auto"/>
              </w:rPr>
              <w:t>）</w:t>
            </w:r>
            <w:r>
              <w:rPr>
                <w:rFonts w:hint="eastAsia" w:asciiTheme="majorEastAsia" w:hAnsiTheme="majorEastAsia" w:eastAsiaTheme="majorEastAsia"/>
                <w:color w:val="auto"/>
                <w:lang w:eastAsia="zh-CN"/>
              </w:rPr>
              <w:t>；</w:t>
            </w:r>
          </w:p>
          <w:p>
            <w:pPr>
              <w:autoSpaceDE w:val="0"/>
              <w:autoSpaceDN w:val="0"/>
              <w:spacing w:before="156" w:beforeLines="50" w:after="156" w:afterLines="50" w:line="420" w:lineRule="exact"/>
              <w:ind w:firstLine="440" w:firstLineChars="200"/>
              <w:rPr>
                <w:rFonts w:hint="default" w:asciiTheme="majorEastAsia" w:hAnsiTheme="majorEastAsia" w:eastAsiaTheme="majorEastAsia"/>
                <w:color w:val="auto"/>
                <w:lang w:val="en-US" w:eastAsia="zh-CN"/>
              </w:rPr>
            </w:pPr>
            <w:r>
              <w:rPr>
                <w:rFonts w:hint="eastAsia" w:asciiTheme="majorEastAsia" w:hAnsiTheme="majorEastAsia" w:eastAsiaTheme="majorEastAsia"/>
                <w:color w:val="auto"/>
                <w:lang w:val="en-US" w:eastAsia="zh-CN"/>
              </w:rPr>
              <w:t>2、项目负责人具备园林或园林绿化相关专业中级或以上职称，且未担任其他在施建设工程项目的项目负责人；</w:t>
            </w:r>
          </w:p>
          <w:p>
            <w:pPr>
              <w:autoSpaceDE w:val="0"/>
              <w:autoSpaceDN w:val="0"/>
              <w:spacing w:before="156" w:beforeLines="50" w:after="156" w:afterLines="50" w:line="420" w:lineRule="exact"/>
              <w:ind w:firstLine="440" w:firstLineChars="200"/>
              <w:rPr>
                <w:rFonts w:hint="eastAsia" w:asciiTheme="majorEastAsia" w:hAnsiTheme="majorEastAsia" w:eastAsiaTheme="majorEastAsia"/>
                <w:color w:val="auto"/>
              </w:rPr>
            </w:pPr>
            <w:r>
              <w:rPr>
                <w:rFonts w:hint="eastAsia" w:asciiTheme="majorEastAsia" w:hAnsiTheme="majorEastAsia" w:eastAsiaTheme="majorEastAsia"/>
                <w:color w:val="auto"/>
                <w:lang w:val="en-US" w:eastAsia="zh-CN"/>
              </w:rPr>
              <w:t>3</w:t>
            </w:r>
            <w:r>
              <w:rPr>
                <w:rFonts w:hint="eastAsia" w:asciiTheme="majorEastAsia" w:hAnsiTheme="majorEastAsia" w:eastAsiaTheme="majorEastAsia"/>
                <w:color w:val="auto"/>
                <w:lang w:eastAsia="zh-CN"/>
              </w:rPr>
              <w:t>、</w:t>
            </w:r>
            <w:r>
              <w:rPr>
                <w:rFonts w:hint="eastAsia" w:asciiTheme="majorEastAsia" w:hAnsiTheme="majorEastAsia" w:eastAsiaTheme="majorEastAsia"/>
                <w:color w:val="auto"/>
              </w:rPr>
              <w:t>具有良好的商业信誉和健全的财务会计制度</w:t>
            </w:r>
            <w:r>
              <w:rPr>
                <w:rFonts w:hint="eastAsia" w:asciiTheme="majorEastAsia" w:hAnsiTheme="majorEastAsia" w:eastAsiaTheme="majorEastAsia"/>
                <w:color w:val="auto"/>
                <w:lang w:eastAsia="zh-CN"/>
              </w:rPr>
              <w:t>（</w:t>
            </w:r>
            <w:r>
              <w:rPr>
                <w:rFonts w:hint="eastAsia" w:asciiTheme="majorEastAsia" w:hAnsiTheme="majorEastAsia" w:eastAsiaTheme="majorEastAsia"/>
                <w:color w:val="auto"/>
              </w:rPr>
              <w:t>提供2020年度经审计的财务报告或2021年至今任意1个月的财务报表，财务报表应含资产负债表、利润表、现金流量表（如有）复印件加盖公章</w:t>
            </w:r>
            <w:r>
              <w:rPr>
                <w:rFonts w:hint="eastAsia" w:asciiTheme="majorEastAsia" w:hAnsiTheme="majorEastAsia" w:eastAsiaTheme="majorEastAsia"/>
                <w:color w:val="auto"/>
                <w:lang w:eastAsia="zh-CN"/>
              </w:rPr>
              <w:t>）</w:t>
            </w:r>
            <w:r>
              <w:rPr>
                <w:rFonts w:hint="eastAsia" w:asciiTheme="majorEastAsia" w:hAnsiTheme="majorEastAsia" w:eastAsiaTheme="majorEastAsia"/>
                <w:color w:val="auto"/>
              </w:rPr>
              <w:t>；</w:t>
            </w:r>
          </w:p>
          <w:p>
            <w:pPr>
              <w:autoSpaceDE w:val="0"/>
              <w:autoSpaceDN w:val="0"/>
              <w:spacing w:before="156" w:beforeLines="50" w:after="156" w:afterLines="50" w:line="420" w:lineRule="exact"/>
              <w:ind w:firstLine="440" w:firstLineChars="200"/>
              <w:rPr>
                <w:rFonts w:hint="eastAsia" w:asciiTheme="majorEastAsia" w:hAnsiTheme="majorEastAsia" w:eastAsiaTheme="majorEastAsia"/>
                <w:color w:val="auto"/>
              </w:rPr>
            </w:pPr>
            <w:r>
              <w:rPr>
                <w:rFonts w:hint="eastAsia" w:asciiTheme="majorEastAsia" w:hAnsiTheme="majorEastAsia" w:eastAsiaTheme="majorEastAsia"/>
                <w:color w:val="auto"/>
                <w:lang w:val="en-US" w:eastAsia="zh-CN"/>
              </w:rPr>
              <w:t>4</w:t>
            </w:r>
            <w:r>
              <w:rPr>
                <w:rFonts w:hint="eastAsia" w:asciiTheme="majorEastAsia" w:hAnsiTheme="majorEastAsia" w:eastAsiaTheme="majorEastAsia"/>
                <w:color w:val="auto"/>
                <w:lang w:eastAsia="zh-CN"/>
              </w:rPr>
              <w:t>、</w:t>
            </w:r>
            <w:r>
              <w:rPr>
                <w:rFonts w:hint="eastAsia" w:asciiTheme="majorEastAsia" w:hAnsiTheme="majorEastAsia" w:eastAsiaTheme="majorEastAsia"/>
                <w:color w:val="auto"/>
              </w:rPr>
              <w:t xml:space="preserve">有依法缴纳税收和社会保障资金的良好记录（提供2021年至今任意1个月的税收、社保记录凭证并加盖公章，无税收月份须提供税务部门盖章的零申报表）； </w:t>
            </w:r>
          </w:p>
          <w:p>
            <w:pPr>
              <w:autoSpaceDE w:val="0"/>
              <w:autoSpaceDN w:val="0"/>
              <w:spacing w:before="156" w:beforeLines="50" w:after="156" w:afterLines="50" w:line="420" w:lineRule="exact"/>
              <w:ind w:firstLine="440" w:firstLineChars="200"/>
              <w:rPr>
                <w:rFonts w:hint="eastAsia" w:asciiTheme="majorEastAsia" w:hAnsiTheme="majorEastAsia" w:eastAsiaTheme="majorEastAsia"/>
                <w:color w:val="auto"/>
              </w:rPr>
            </w:pPr>
            <w:r>
              <w:rPr>
                <w:rFonts w:hint="eastAsia" w:asciiTheme="majorEastAsia" w:hAnsiTheme="majorEastAsia" w:eastAsiaTheme="majorEastAsia"/>
                <w:color w:val="auto"/>
                <w:lang w:val="en-US" w:eastAsia="zh-CN"/>
              </w:rPr>
              <w:t>5、</w:t>
            </w:r>
            <w:r>
              <w:rPr>
                <w:rFonts w:hint="eastAsia" w:asciiTheme="majorEastAsia" w:hAnsiTheme="majorEastAsia" w:eastAsiaTheme="majorEastAsia"/>
                <w:color w:val="auto"/>
              </w:rPr>
              <w:t xml:space="preserve">参加政府采购活动前三年内，在经营活动中没有重大违法记录（提供投标人书面声明并加盖公章，营业执照不满三年的，按照营业执照注册年限起算）； </w:t>
            </w:r>
          </w:p>
          <w:p>
            <w:pPr>
              <w:autoSpaceDE w:val="0"/>
              <w:autoSpaceDN w:val="0"/>
              <w:spacing w:before="156" w:beforeLines="50" w:after="156" w:afterLines="50" w:line="420" w:lineRule="exact"/>
              <w:ind w:firstLine="440" w:firstLineChars="200"/>
              <w:rPr>
                <w:rFonts w:hint="eastAsia" w:asciiTheme="majorEastAsia" w:hAnsiTheme="majorEastAsia" w:eastAsiaTheme="majorEastAsia"/>
                <w:color w:val="auto"/>
              </w:rPr>
            </w:pPr>
            <w:r>
              <w:rPr>
                <w:rFonts w:hint="eastAsia" w:asciiTheme="majorEastAsia" w:hAnsiTheme="majorEastAsia" w:eastAsiaTheme="majorEastAsia"/>
                <w:color w:val="auto"/>
                <w:lang w:val="en-US" w:eastAsia="zh-CN"/>
              </w:rPr>
              <w:t>6</w:t>
            </w:r>
            <w:r>
              <w:rPr>
                <w:rFonts w:hint="eastAsia" w:asciiTheme="majorEastAsia" w:hAnsiTheme="majorEastAsia" w:eastAsiaTheme="majorEastAsia"/>
                <w:color w:val="auto"/>
                <w:lang w:eastAsia="zh-CN"/>
              </w:rPr>
              <w:t>、</w:t>
            </w:r>
            <w:r>
              <w:rPr>
                <w:rFonts w:hint="eastAsia" w:asciiTheme="majorEastAsia" w:hAnsiTheme="majorEastAsia" w:eastAsiaTheme="majorEastAsia"/>
                <w:color w:val="auto"/>
              </w:rPr>
              <w:t>具备履行合同所必需的设备和专业技术能力（提供承诺函或相关证明材料并加盖公章）；</w:t>
            </w:r>
          </w:p>
          <w:p>
            <w:pPr>
              <w:autoSpaceDE w:val="0"/>
              <w:autoSpaceDN w:val="0"/>
              <w:spacing w:before="156" w:beforeLines="50" w:after="156" w:afterLines="50" w:line="420" w:lineRule="exact"/>
              <w:ind w:firstLine="440" w:firstLineChars="200"/>
              <w:rPr>
                <w:rFonts w:hint="eastAsia" w:asciiTheme="majorEastAsia" w:hAnsiTheme="majorEastAsia" w:eastAsiaTheme="majorEastAsia"/>
                <w:color w:val="auto"/>
              </w:rPr>
            </w:pPr>
            <w:r>
              <w:rPr>
                <w:rFonts w:hint="eastAsia" w:asciiTheme="majorEastAsia" w:hAnsiTheme="majorEastAsia" w:eastAsiaTheme="majorEastAsia"/>
                <w:color w:val="auto"/>
                <w:lang w:val="en-US" w:eastAsia="zh-CN"/>
              </w:rPr>
              <w:t>7</w:t>
            </w:r>
            <w:r>
              <w:rPr>
                <w:rFonts w:hint="eastAsia" w:asciiTheme="majorEastAsia" w:hAnsiTheme="majorEastAsia" w:eastAsiaTheme="majorEastAsia"/>
                <w:color w:val="auto"/>
                <w:lang w:eastAsia="zh-CN"/>
              </w:rPr>
              <w:t>、</w:t>
            </w:r>
            <w:r>
              <w:rPr>
                <w:rFonts w:hint="eastAsia" w:asciiTheme="majorEastAsia" w:hAnsiTheme="majorEastAsia" w:eastAsiaTheme="majorEastAsia"/>
                <w:color w:val="auto"/>
              </w:rPr>
              <w:t xml:space="preserve">必须为未被列入信用中国 (https://www.creditchina.gov.cn/) “重大税收违法案件当事人名单”、中国执行信息公开网（http://zxgk.court.gov.cn/shixin/） “失信被执行人”、中国政府采购网(http://www.ccgp.gov.cn/) “政府采购严重违法失信行为记录名单”的投标人（提供查询结果截图并加盖公章）； </w:t>
            </w:r>
          </w:p>
          <w:p>
            <w:pPr>
              <w:autoSpaceDE w:val="0"/>
              <w:autoSpaceDN w:val="0"/>
              <w:spacing w:before="156" w:beforeLines="50" w:after="156" w:afterLines="50" w:line="420" w:lineRule="exact"/>
              <w:ind w:firstLine="440" w:firstLineChars="200"/>
              <w:rPr>
                <w:rFonts w:cs="宋体" w:asciiTheme="majorEastAsia" w:hAnsiTheme="majorEastAsia" w:eastAsiaTheme="majorEastAsia"/>
                <w:color w:val="auto"/>
                <w:lang w:val="en-GB"/>
              </w:rPr>
            </w:pPr>
            <w:r>
              <w:rPr>
                <w:rFonts w:hint="eastAsia" w:asciiTheme="majorEastAsia" w:hAnsiTheme="majorEastAsia" w:eastAsiaTheme="majorEastAsia"/>
                <w:color w:val="auto"/>
                <w:lang w:val="en-US" w:eastAsia="zh-CN"/>
              </w:rPr>
              <w:t>8</w:t>
            </w:r>
            <w:r>
              <w:rPr>
                <w:rFonts w:hint="eastAsia" w:asciiTheme="majorEastAsia" w:hAnsiTheme="majorEastAsia" w:eastAsiaTheme="majorEastAsia"/>
                <w:color w:val="auto"/>
                <w:lang w:eastAsia="zh-CN"/>
              </w:rPr>
              <w:t>、</w:t>
            </w:r>
            <w:r>
              <w:rPr>
                <w:rFonts w:hint="eastAsia" w:asciiTheme="majorEastAsia" w:hAnsiTheme="majorEastAsia" w:eastAsiaTheme="majorEastAsia"/>
                <w:color w:val="auto"/>
              </w:rPr>
              <w:t>购买本项目招标文件并按时提交投标保证金（提供支付保证金凭证，复印件加盖公章）</w:t>
            </w:r>
            <w:r>
              <w:rPr>
                <w:rFonts w:hint="eastAsia" w:asciiTheme="majorEastAsia" w:hAnsiTheme="majorEastAsia" w:eastAsiaTheme="majorEastAsia"/>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738" w:type="dxa"/>
            <w:tcBorders>
              <w:left w:val="single" w:color="auto" w:sz="12" w:space="0"/>
            </w:tcBorders>
            <w:vAlign w:val="center"/>
          </w:tcPr>
          <w:p>
            <w:pPr>
              <w:pStyle w:val="13"/>
              <w:jc w:val="center"/>
              <w:rPr>
                <w:rFonts w:hint="default" w:cs="宋体" w:asciiTheme="majorEastAsia" w:hAnsiTheme="majorEastAsia" w:eastAsiaTheme="majorEastAsia"/>
                <w:color w:val="auto"/>
                <w:sz w:val="22"/>
                <w:szCs w:val="22"/>
              </w:rPr>
            </w:pPr>
            <w:r>
              <w:rPr>
                <w:rFonts w:cs="宋体" w:asciiTheme="majorEastAsia" w:hAnsiTheme="majorEastAsia" w:eastAsiaTheme="majorEastAsia"/>
                <w:color w:val="auto"/>
                <w:sz w:val="22"/>
                <w:szCs w:val="22"/>
              </w:rPr>
              <w:t>4</w:t>
            </w:r>
          </w:p>
        </w:tc>
        <w:tc>
          <w:tcPr>
            <w:tcW w:w="7425" w:type="dxa"/>
            <w:tcBorders>
              <w:right w:val="single" w:color="auto" w:sz="12" w:space="0"/>
            </w:tcBorders>
          </w:tcPr>
          <w:p>
            <w:pPr>
              <w:spacing w:line="440" w:lineRule="exact"/>
              <w:rPr>
                <w:rFonts w:asciiTheme="majorEastAsia" w:hAnsiTheme="majorEastAsia" w:eastAsiaTheme="majorEastAsia"/>
                <w:color w:val="auto"/>
              </w:rPr>
            </w:pPr>
            <w:r>
              <w:rPr>
                <w:rFonts w:hint="eastAsia" w:asciiTheme="majorEastAsia" w:hAnsiTheme="majorEastAsia" w:eastAsiaTheme="majorEastAsia"/>
                <w:color w:val="auto"/>
              </w:rPr>
              <w:t>投标保证金的金额：伍仟元整（￥5000.00）。</w:t>
            </w:r>
          </w:p>
          <w:p>
            <w:pPr>
              <w:spacing w:line="440" w:lineRule="exact"/>
              <w:rPr>
                <w:rFonts w:asciiTheme="majorEastAsia" w:hAnsiTheme="majorEastAsia" w:eastAsiaTheme="majorEastAsia"/>
                <w:color w:val="auto"/>
              </w:rPr>
            </w:pPr>
            <w:r>
              <w:rPr>
                <w:rFonts w:hint="eastAsia" w:asciiTheme="majorEastAsia" w:hAnsiTheme="majorEastAsia" w:eastAsiaTheme="majorEastAsia"/>
                <w:color w:val="auto"/>
              </w:rPr>
              <w:t>递交方式：银行转账或保函</w:t>
            </w:r>
          </w:p>
          <w:p>
            <w:pPr>
              <w:spacing w:line="440" w:lineRule="exact"/>
              <w:rPr>
                <w:rFonts w:hint="eastAsia" w:ascii="宋体" w:hAnsi="宋体" w:eastAsia="宋体"/>
                <w:color w:val="000000"/>
                <w:sz w:val="24"/>
              </w:rPr>
            </w:pPr>
            <w:r>
              <w:rPr>
                <w:rFonts w:hint="eastAsia" w:asciiTheme="majorEastAsia" w:hAnsiTheme="majorEastAsia" w:eastAsiaTheme="majorEastAsia"/>
                <w:color w:val="auto"/>
              </w:rPr>
              <w:t>开户名称：海南中信源项目管理有限公司</w:t>
            </w:r>
          </w:p>
          <w:p>
            <w:pPr>
              <w:spacing w:line="440" w:lineRule="exact"/>
              <w:rPr>
                <w:rFonts w:hint="eastAsia" w:asciiTheme="majorEastAsia" w:hAnsiTheme="majorEastAsia" w:eastAsiaTheme="majorEastAsia"/>
                <w:color w:val="auto"/>
              </w:rPr>
            </w:pPr>
            <w:r>
              <w:rPr>
                <w:rFonts w:hint="eastAsia" w:asciiTheme="majorEastAsia" w:hAnsiTheme="majorEastAsia" w:eastAsiaTheme="majorEastAsia"/>
                <w:color w:val="auto"/>
              </w:rPr>
              <w:t>开户银行：中国光大银行海口蓝天支行</w:t>
            </w:r>
          </w:p>
          <w:p>
            <w:pPr>
              <w:pStyle w:val="8"/>
              <w:spacing w:line="320" w:lineRule="exact"/>
              <w:rPr>
                <w:rFonts w:hint="eastAsia" w:asciiTheme="majorEastAsia" w:hAnsiTheme="majorEastAsia" w:eastAsiaTheme="majorEastAsia"/>
                <w:color w:val="auto"/>
              </w:rPr>
            </w:pPr>
            <w:r>
              <w:rPr>
                <w:rFonts w:hint="eastAsia" w:asciiTheme="majorEastAsia" w:hAnsiTheme="majorEastAsia" w:eastAsiaTheme="majorEastAsia"/>
                <w:color w:val="auto"/>
              </w:rPr>
              <w:t>帐    号：3923 0188 0001 67445</w:t>
            </w:r>
          </w:p>
          <w:p>
            <w:pPr>
              <w:spacing w:line="440" w:lineRule="exact"/>
              <w:rPr>
                <w:rFonts w:asciiTheme="majorEastAsia" w:hAnsiTheme="majorEastAsia" w:eastAsiaTheme="majorEastAsia"/>
                <w:color w:val="auto"/>
              </w:rPr>
            </w:pPr>
            <w:r>
              <w:rPr>
                <w:rFonts w:hint="eastAsia" w:asciiTheme="majorEastAsia" w:hAnsiTheme="majorEastAsia" w:eastAsiaTheme="majorEastAsia"/>
                <w:color w:val="auto"/>
              </w:rPr>
              <w:t>截止时间：投标人最迟于投标截止时间前从公司基本帐户转入上方指定帐户（以到账时间为准）</w:t>
            </w:r>
          </w:p>
          <w:p>
            <w:pPr>
              <w:autoSpaceDE w:val="0"/>
              <w:autoSpaceDN w:val="0"/>
              <w:spacing w:line="440" w:lineRule="exact"/>
              <w:ind w:left="2200" w:hanging="2200" w:hangingChars="1000"/>
              <w:rPr>
                <w:rFonts w:cs="宋体" w:asciiTheme="majorEastAsia" w:hAnsiTheme="majorEastAsia" w:eastAsiaTheme="majorEastAsia"/>
                <w:color w:val="auto"/>
              </w:rPr>
            </w:pPr>
            <w:r>
              <w:rPr>
                <w:rFonts w:hint="eastAsia" w:asciiTheme="majorEastAsia" w:hAnsiTheme="majorEastAsia" w:eastAsiaTheme="majorEastAsia"/>
                <w:color w:val="auto"/>
              </w:rPr>
              <w:t>用途注明：         （项目名称，可简写）投标保证金。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738" w:type="dxa"/>
            <w:tcBorders>
              <w:left w:val="single" w:color="auto" w:sz="12" w:space="0"/>
            </w:tcBorders>
            <w:vAlign w:val="center"/>
          </w:tcPr>
          <w:p>
            <w:pPr>
              <w:pStyle w:val="13"/>
              <w:jc w:val="center"/>
              <w:rPr>
                <w:rFonts w:hint="default" w:cs="宋体" w:asciiTheme="majorEastAsia" w:hAnsiTheme="majorEastAsia" w:eastAsiaTheme="majorEastAsia"/>
                <w:color w:val="auto"/>
                <w:sz w:val="22"/>
                <w:szCs w:val="22"/>
              </w:rPr>
            </w:pPr>
            <w:r>
              <w:rPr>
                <w:rFonts w:cs="宋体" w:asciiTheme="majorEastAsia" w:hAnsiTheme="majorEastAsia" w:eastAsiaTheme="majorEastAsia"/>
                <w:color w:val="auto"/>
                <w:sz w:val="22"/>
                <w:szCs w:val="22"/>
              </w:rPr>
              <w:t>5</w:t>
            </w:r>
          </w:p>
        </w:tc>
        <w:tc>
          <w:tcPr>
            <w:tcW w:w="7425" w:type="dxa"/>
            <w:tcBorders>
              <w:right w:val="single" w:color="auto" w:sz="12" w:space="0"/>
            </w:tcBorders>
            <w:vAlign w:val="center"/>
          </w:tcPr>
          <w:p>
            <w:pPr>
              <w:autoSpaceDE w:val="0"/>
              <w:autoSpaceDN w:val="0"/>
              <w:spacing w:before="31" w:beforeLines="10" w:line="280" w:lineRule="exact"/>
              <w:textAlignment w:val="bottom"/>
              <w:rPr>
                <w:rFonts w:cs="宋体" w:asciiTheme="majorEastAsia" w:hAnsiTheme="majorEastAsia" w:eastAsiaTheme="majorEastAsia"/>
                <w:color w:val="auto"/>
              </w:rPr>
            </w:pPr>
            <w:r>
              <w:rPr>
                <w:rFonts w:hint="eastAsia" w:cs="宋体" w:asciiTheme="majorEastAsia" w:hAnsiTheme="majorEastAsia" w:eastAsiaTheme="majorEastAsia"/>
                <w:color w:val="auto"/>
              </w:rPr>
              <w:t>磋商有效期为从开标截止之日起计算的</w:t>
            </w:r>
            <w:r>
              <w:rPr>
                <w:rFonts w:hint="eastAsia" w:cs="宋体" w:asciiTheme="majorEastAsia" w:hAnsiTheme="majorEastAsia" w:eastAsiaTheme="majorEastAsia"/>
                <w:b/>
                <w:color w:val="auto"/>
                <w:u w:val="single"/>
              </w:rPr>
              <w:t>60天</w:t>
            </w:r>
            <w:r>
              <w:rPr>
                <w:rFonts w:hint="eastAsia" w:cs="宋体" w:asciiTheme="majorEastAsia" w:hAnsiTheme="majorEastAsia" w:eastAsiaTheme="majorEastAsia"/>
                <w:b/>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738" w:type="dxa"/>
            <w:tcBorders>
              <w:left w:val="single" w:color="auto" w:sz="12" w:space="0"/>
            </w:tcBorders>
            <w:vAlign w:val="center"/>
          </w:tcPr>
          <w:p>
            <w:pPr>
              <w:pStyle w:val="13"/>
              <w:jc w:val="center"/>
              <w:rPr>
                <w:rFonts w:hint="default" w:cs="宋体" w:asciiTheme="majorEastAsia" w:hAnsiTheme="majorEastAsia" w:eastAsiaTheme="majorEastAsia"/>
                <w:color w:val="auto"/>
                <w:sz w:val="22"/>
                <w:szCs w:val="22"/>
              </w:rPr>
            </w:pPr>
            <w:r>
              <w:rPr>
                <w:rFonts w:cs="宋体" w:asciiTheme="majorEastAsia" w:hAnsiTheme="majorEastAsia" w:eastAsiaTheme="majorEastAsia"/>
                <w:color w:val="auto"/>
                <w:sz w:val="22"/>
                <w:szCs w:val="22"/>
              </w:rPr>
              <w:t>6</w:t>
            </w:r>
          </w:p>
        </w:tc>
        <w:tc>
          <w:tcPr>
            <w:tcW w:w="7425" w:type="dxa"/>
            <w:tcBorders>
              <w:right w:val="single" w:color="auto" w:sz="12" w:space="0"/>
            </w:tcBorders>
            <w:vAlign w:val="center"/>
          </w:tcPr>
          <w:p>
            <w:pPr>
              <w:autoSpaceDE w:val="0"/>
              <w:autoSpaceDN w:val="0"/>
              <w:spacing w:before="31" w:beforeLines="10"/>
              <w:textAlignment w:val="bottom"/>
              <w:rPr>
                <w:rFonts w:cs="宋体" w:asciiTheme="majorEastAsia" w:hAnsiTheme="majorEastAsia" w:eastAsiaTheme="majorEastAsia"/>
                <w:color w:val="auto"/>
              </w:rPr>
            </w:pPr>
            <w:r>
              <w:rPr>
                <w:rFonts w:hint="eastAsia" w:cs="宋体" w:asciiTheme="majorEastAsia" w:hAnsiTheme="majorEastAsia" w:eastAsiaTheme="majorEastAsia"/>
                <w:color w:val="auto"/>
              </w:rPr>
              <w:t>响应文件分数：一正</w:t>
            </w:r>
            <w:r>
              <w:rPr>
                <w:rFonts w:hint="eastAsia" w:cs="宋体" w:asciiTheme="majorEastAsia" w:hAnsiTheme="majorEastAsia" w:eastAsiaTheme="majorEastAsia"/>
                <w:color w:val="auto"/>
                <w:lang w:eastAsia="zh-CN"/>
              </w:rPr>
              <w:t>二</w:t>
            </w:r>
            <w:r>
              <w:rPr>
                <w:rFonts w:hint="eastAsia" w:cs="宋体" w:asciiTheme="majorEastAsia" w:hAnsiTheme="majorEastAsia" w:eastAsiaTheme="majorEastAsia"/>
                <w:color w:val="auto"/>
              </w:rPr>
              <w:t>副，电子光盘或U盘一份。</w:t>
            </w:r>
          </w:p>
          <w:p>
            <w:pPr>
              <w:autoSpaceDE w:val="0"/>
              <w:autoSpaceDN w:val="0"/>
              <w:spacing w:before="31" w:beforeLines="10"/>
              <w:textAlignment w:val="bottom"/>
              <w:rPr>
                <w:rFonts w:cs="宋体" w:asciiTheme="majorEastAsia" w:hAnsiTheme="majorEastAsia" w:eastAsiaTheme="majorEastAsia"/>
                <w:color w:val="auto"/>
              </w:rPr>
            </w:pPr>
            <w:r>
              <w:rPr>
                <w:rFonts w:hint="eastAsia" w:cs="宋体" w:asciiTheme="majorEastAsia" w:hAnsiTheme="majorEastAsia" w:eastAsiaTheme="majorEastAsia"/>
                <w:color w:val="auto"/>
              </w:rPr>
              <w:t>不得采用活页装订，建议胶装。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738" w:type="dxa"/>
            <w:tcBorders>
              <w:left w:val="single" w:color="auto" w:sz="12" w:space="0"/>
            </w:tcBorders>
            <w:vAlign w:val="center"/>
          </w:tcPr>
          <w:p>
            <w:pPr>
              <w:pStyle w:val="13"/>
              <w:jc w:val="center"/>
              <w:rPr>
                <w:rFonts w:hint="default" w:cs="宋体" w:asciiTheme="majorEastAsia" w:hAnsiTheme="majorEastAsia" w:eastAsiaTheme="majorEastAsia"/>
                <w:color w:val="auto"/>
                <w:sz w:val="22"/>
                <w:szCs w:val="22"/>
              </w:rPr>
            </w:pPr>
            <w:r>
              <w:rPr>
                <w:rFonts w:cs="宋体" w:asciiTheme="majorEastAsia" w:hAnsiTheme="majorEastAsia" w:eastAsiaTheme="majorEastAsia"/>
                <w:color w:val="auto"/>
                <w:sz w:val="22"/>
                <w:szCs w:val="22"/>
              </w:rPr>
              <w:t>7</w:t>
            </w:r>
          </w:p>
        </w:tc>
        <w:tc>
          <w:tcPr>
            <w:tcW w:w="7425" w:type="dxa"/>
            <w:tcBorders>
              <w:right w:val="single" w:color="auto" w:sz="12" w:space="0"/>
            </w:tcBorders>
          </w:tcPr>
          <w:p>
            <w:pPr>
              <w:spacing w:before="156" w:beforeLines="50"/>
              <w:rPr>
                <w:rFonts w:cs="宋体" w:asciiTheme="majorEastAsia" w:hAnsiTheme="majorEastAsia" w:eastAsiaTheme="majorEastAsia"/>
                <w:color w:val="auto"/>
              </w:rPr>
            </w:pPr>
            <w:r>
              <w:rPr>
                <w:rFonts w:hint="eastAsia" w:cs="宋体" w:asciiTheme="majorEastAsia" w:hAnsiTheme="majorEastAsia" w:eastAsiaTheme="majorEastAsia"/>
                <w:color w:val="auto"/>
              </w:rPr>
              <w:t>响应文件封套或外包装上应载明的内容</w:t>
            </w:r>
          </w:p>
          <w:p>
            <w:pPr>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致：（采购单位）</w:t>
            </w:r>
          </w:p>
          <w:p>
            <w:pPr>
              <w:ind w:firstLine="440" w:firstLineChars="200"/>
              <w:rPr>
                <w:rFonts w:cs="宋体" w:asciiTheme="majorEastAsia" w:hAnsiTheme="majorEastAsia" w:eastAsiaTheme="majorEastAsia"/>
                <w:color w:val="auto"/>
                <w:u w:val="single"/>
              </w:rPr>
            </w:pPr>
            <w:r>
              <w:rPr>
                <w:rFonts w:hint="eastAsia" w:cs="宋体" w:asciiTheme="majorEastAsia" w:hAnsiTheme="majorEastAsia" w:eastAsiaTheme="majorEastAsia"/>
                <w:color w:val="auto"/>
              </w:rPr>
              <w:t>项目名称：</w:t>
            </w:r>
          </w:p>
          <w:p>
            <w:pPr>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项目编号：</w:t>
            </w:r>
          </w:p>
          <w:p>
            <w:pPr>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注明：“请勿在开标时间</w:t>
            </w:r>
            <w:r>
              <w:rPr>
                <w:rFonts w:hint="eastAsia" w:asciiTheme="majorEastAsia" w:hAnsiTheme="majorEastAsia" w:eastAsiaTheme="majorEastAsia"/>
                <w:color w:val="auto"/>
              </w:rPr>
              <w:t>2021年   月   日  时   分</w:t>
            </w:r>
            <w:r>
              <w:rPr>
                <w:rFonts w:hint="eastAsia" w:cs="宋体" w:asciiTheme="majorEastAsia" w:hAnsiTheme="majorEastAsia" w:eastAsiaTheme="majorEastAsia"/>
                <w:color w:val="auto"/>
              </w:rPr>
              <w:t>前启封”</w:t>
            </w:r>
          </w:p>
          <w:p>
            <w:pPr>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投标人名称、联系人姓名和电话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38" w:type="dxa"/>
            <w:tcBorders>
              <w:left w:val="single" w:color="auto" w:sz="12" w:space="0"/>
            </w:tcBorders>
            <w:vAlign w:val="center"/>
          </w:tcPr>
          <w:p>
            <w:pPr>
              <w:pStyle w:val="13"/>
              <w:jc w:val="center"/>
              <w:rPr>
                <w:rFonts w:hint="default" w:cs="宋体" w:asciiTheme="majorEastAsia" w:hAnsiTheme="majorEastAsia" w:eastAsiaTheme="majorEastAsia"/>
                <w:color w:val="auto"/>
                <w:sz w:val="24"/>
              </w:rPr>
            </w:pPr>
            <w:r>
              <w:rPr>
                <w:rFonts w:cs="宋体" w:asciiTheme="majorEastAsia" w:hAnsiTheme="majorEastAsia" w:eastAsiaTheme="majorEastAsia"/>
                <w:color w:val="auto"/>
                <w:sz w:val="24"/>
              </w:rPr>
              <w:t>8</w:t>
            </w:r>
          </w:p>
        </w:tc>
        <w:tc>
          <w:tcPr>
            <w:tcW w:w="7425" w:type="dxa"/>
            <w:tcBorders>
              <w:right w:val="single" w:color="auto" w:sz="12" w:space="0"/>
            </w:tcBorders>
          </w:tcPr>
          <w:p>
            <w:pPr>
              <w:spacing w:before="31" w:beforeLines="10" w:line="28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本项目不召开答疑会。</w:t>
            </w:r>
          </w:p>
        </w:tc>
      </w:tr>
    </w:tbl>
    <w:p>
      <w:pPr>
        <w:rPr>
          <w:rFonts w:asciiTheme="majorEastAsia" w:hAnsiTheme="majorEastAsia" w:eastAsiaTheme="majorEastAsia"/>
          <w:color w:val="auto"/>
        </w:rPr>
      </w:pPr>
      <w:r>
        <w:rPr>
          <w:rFonts w:asciiTheme="majorEastAsia" w:hAnsiTheme="majorEastAsia" w:eastAsiaTheme="majorEastAsia"/>
          <w:color w:val="auto"/>
        </w:rPr>
        <w:br w:type="page"/>
      </w:r>
    </w:p>
    <w:p>
      <w:pPr>
        <w:spacing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一、总则</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1. 名词解释</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1.1采购单位：</w:t>
      </w:r>
      <w:r>
        <w:rPr>
          <w:rFonts w:hint="eastAsia" w:asciiTheme="majorEastAsia" w:hAnsiTheme="majorEastAsia" w:eastAsiaTheme="majorEastAsia"/>
          <w:color w:val="auto"/>
        </w:rPr>
        <w:t>临高县临高林场</w:t>
      </w:r>
      <w:r>
        <w:rPr>
          <w:rFonts w:hint="eastAsia" w:cs="宋体" w:asciiTheme="majorEastAsia" w:hAnsiTheme="majorEastAsia" w:eastAsiaTheme="majorEastAsia"/>
          <w:color w:val="auto"/>
        </w:rPr>
        <w:t>。</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1.2采购代理机构：</w:t>
      </w:r>
      <w:r>
        <w:rPr>
          <w:rFonts w:hint="eastAsia" w:asciiTheme="majorEastAsia" w:hAnsiTheme="majorEastAsia" w:eastAsiaTheme="majorEastAsia"/>
          <w:color w:val="auto"/>
        </w:rPr>
        <w:t>海南中信源项目管理有限公司</w:t>
      </w:r>
      <w:r>
        <w:rPr>
          <w:rFonts w:hint="eastAsia" w:cs="宋体" w:asciiTheme="majorEastAsia" w:hAnsiTheme="majorEastAsia" w:eastAsiaTheme="majorEastAsia"/>
          <w:color w:val="auto"/>
        </w:rPr>
        <w:t>。</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1.3 投标人：从采购代理机构处购买竞争性磋商文件并向采购人提交竞争性磋商响应文件。</w:t>
      </w:r>
    </w:p>
    <w:p>
      <w:pPr>
        <w:spacing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2．适用范围</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2.1本竞争性磋商文件仅适用于采购人组织的本次磋商活动。</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2.2合格的投标人，详见竞争性磋商须知前附表3项要求</w:t>
      </w:r>
    </w:p>
    <w:p>
      <w:pPr>
        <w:tabs>
          <w:tab w:val="left" w:pos="4680"/>
        </w:tabs>
        <w:spacing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4．费用承担</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无论磋商过程中的结果如何，投标人均自行承担所有与参加磋商有关的全部费用。</w:t>
      </w:r>
    </w:p>
    <w:p>
      <w:pPr>
        <w:spacing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5．竞争性磋商文件的约束力</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5.1投标人一旦参加本项目磋商，即被认为接受了本竞争性磋商文件中的所有条件和规定。</w:t>
      </w:r>
    </w:p>
    <w:p>
      <w:pPr>
        <w:spacing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二、竞争性磋商文件</w:t>
      </w:r>
    </w:p>
    <w:p>
      <w:pPr>
        <w:spacing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6．竞争性磋商文件的组成</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6.l 竞争性磋商文件由六部分组成，包括：</w:t>
      </w:r>
    </w:p>
    <w:p>
      <w:pPr>
        <w:spacing w:line="420" w:lineRule="exact"/>
        <w:ind w:firstLine="880" w:firstLineChars="400"/>
        <w:rPr>
          <w:rFonts w:cs="宋体" w:asciiTheme="majorEastAsia" w:hAnsiTheme="majorEastAsia" w:eastAsiaTheme="majorEastAsia"/>
          <w:color w:val="auto"/>
        </w:rPr>
      </w:pPr>
      <w:r>
        <w:rPr>
          <w:rFonts w:hint="eastAsia" w:cs="宋体" w:asciiTheme="majorEastAsia" w:hAnsiTheme="majorEastAsia" w:eastAsiaTheme="majorEastAsia"/>
          <w:color w:val="auto"/>
        </w:rPr>
        <w:t>第一章  竞争性磋商邀请</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 xml:space="preserve">    第二章  竞争性磋商须知</w:t>
      </w:r>
    </w:p>
    <w:p>
      <w:pPr>
        <w:spacing w:line="420" w:lineRule="exact"/>
        <w:ind w:firstLine="880" w:firstLineChars="400"/>
        <w:rPr>
          <w:rFonts w:cs="宋体" w:asciiTheme="majorEastAsia" w:hAnsiTheme="majorEastAsia" w:eastAsiaTheme="majorEastAsia"/>
          <w:color w:val="auto"/>
        </w:rPr>
      </w:pPr>
      <w:r>
        <w:rPr>
          <w:rFonts w:hint="eastAsia" w:cs="宋体" w:asciiTheme="majorEastAsia" w:hAnsiTheme="majorEastAsia" w:eastAsiaTheme="majorEastAsia"/>
          <w:color w:val="auto"/>
        </w:rPr>
        <w:t>第三章  合同基本条款</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 xml:space="preserve">    第四章  </w:t>
      </w:r>
      <w:r>
        <w:rPr>
          <w:rFonts w:cs="宋体" w:asciiTheme="majorEastAsia" w:hAnsiTheme="majorEastAsia" w:eastAsiaTheme="majorEastAsia"/>
          <w:color w:val="auto"/>
        </w:rPr>
        <w:t>用户需求书</w:t>
      </w:r>
    </w:p>
    <w:p>
      <w:pPr>
        <w:widowControl w:val="0"/>
        <w:numPr>
          <w:ilvl w:val="0"/>
          <w:numId w:val="2"/>
        </w:numPr>
        <w:adjustRightInd/>
        <w:snapToGrid/>
        <w:spacing w:after="0" w:line="420" w:lineRule="exact"/>
        <w:ind w:firstLine="880" w:firstLineChars="400"/>
        <w:jc w:val="both"/>
        <w:rPr>
          <w:rFonts w:asciiTheme="majorEastAsia" w:hAnsiTheme="majorEastAsia" w:eastAsiaTheme="majorEastAsia"/>
          <w:color w:val="auto"/>
        </w:rPr>
      </w:pPr>
      <w:r>
        <w:rPr>
          <w:rFonts w:hint="eastAsia" w:cs="宋体" w:asciiTheme="majorEastAsia" w:hAnsiTheme="majorEastAsia" w:eastAsiaTheme="majorEastAsia"/>
          <w:color w:val="auto"/>
        </w:rPr>
        <w:t xml:space="preserve">  </w:t>
      </w:r>
      <w:r>
        <w:rPr>
          <w:rFonts w:hint="eastAsia" w:asciiTheme="majorEastAsia" w:hAnsiTheme="majorEastAsia" w:eastAsiaTheme="majorEastAsia"/>
          <w:color w:val="auto"/>
        </w:rPr>
        <w:t>响应文件的格式</w:t>
      </w:r>
    </w:p>
    <w:p>
      <w:pPr>
        <w:spacing w:line="420" w:lineRule="exact"/>
        <w:rPr>
          <w:rFonts w:asciiTheme="majorEastAsia" w:hAnsiTheme="majorEastAsia" w:eastAsiaTheme="majorEastAsia"/>
          <w:color w:val="auto"/>
        </w:rPr>
      </w:pPr>
      <w:r>
        <w:rPr>
          <w:rFonts w:hint="eastAsia" w:cs="宋体" w:asciiTheme="majorEastAsia" w:hAnsiTheme="majorEastAsia" w:eastAsiaTheme="majorEastAsia"/>
          <w:b/>
          <w:color w:val="auto"/>
          <w:spacing w:val="10"/>
        </w:rPr>
        <w:t xml:space="preserve">      </w:t>
      </w:r>
      <w:r>
        <w:rPr>
          <w:rFonts w:hint="eastAsia" w:cs="宋体" w:asciiTheme="majorEastAsia" w:hAnsiTheme="majorEastAsia" w:eastAsiaTheme="majorEastAsia"/>
          <w:bCs/>
          <w:color w:val="auto"/>
          <w:spacing w:val="10"/>
        </w:rPr>
        <w:t>第六章  评审办法和程序</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请仔细检查竞争性磋商文件是否齐全，如有缺漏，请立即与采购代理机构联系解决。</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6.2投标人必须详阅竞争性磋商文件的所有条款、文件及表格格式。投标人若未按竞争性磋商文件的要求和规范编制、提交竞争性磋商响应文件，将有可能导致其竞争性磋商响应文件被拒绝接受，所造成的负面后果由投标人负责。</w:t>
      </w:r>
    </w:p>
    <w:p>
      <w:pPr>
        <w:spacing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7．竞争性磋商文件的澄清</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投标人在收到竞争性磋商文件后，若有疑问需要澄清，应于递交竞争性磋商响应文件截止时间一个工作日前以书面形式（包括书面文字、传真等）向采购代理机构提出，采购代理机构将以书面形式进行澄清，澄清的内容作为竞争性磋商文件的组成部分。澄清的内容可能影响响应文件编制的，采购人、采购代理机构或者竞争性磋商小组应当在提交首次响应文件截止之日5日前，以书面形式通知所有接收竞争性磋商文件的投标人，不足5日的，应当顺延提交首次响应文件截止之日。</w:t>
      </w:r>
    </w:p>
    <w:p>
      <w:pPr>
        <w:spacing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8．竞争性磋商文件的更正或补充</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8.l 在首次递交竞争性磋商响应文件截止时间前，采购代理机构可以对已发出的竞争性磋商文件进行必要的修改，修改的内容作为竞争性磋商文件的组成部分。修改的内容可能影响响应文件编制的，采购人、采购代理机构或者竞争性磋商小组应当在提交首次响应文件截止之日5个日前，以书面形式通知所有接收竞争性磋商文件的投标人，不足5日的，应当顺延提交首次响应文件截止之日。</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8.2 当竞争性磋商文件与更正公告的内容相互矛盾时，以采购代理机构最后发出的更正公告为准。</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8.3 为使投标人有足够的时间按竞争性磋商文件的更正要求修正竞争性磋商响应文件，采购代理机构有权决定推迟竞争性磋商截止日期和开标时间，并将此变更书面通知所有购买了同一竞争性磋商文件的投标人。</w:t>
      </w:r>
    </w:p>
    <w:p>
      <w:pPr>
        <w:spacing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三、竞争性磋商响应文件</w:t>
      </w:r>
    </w:p>
    <w:p>
      <w:pPr>
        <w:spacing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9．竞争性磋商响应文件的组成</w:t>
      </w:r>
    </w:p>
    <w:p>
      <w:pPr>
        <w:pStyle w:val="13"/>
        <w:adjustRightInd w:val="0"/>
        <w:snapToGrid w:val="0"/>
        <w:spacing w:before="156" w:beforeLines="50" w:line="420" w:lineRule="exact"/>
        <w:ind w:firstLine="330" w:firstLineChars="150"/>
        <w:rPr>
          <w:rFonts w:hint="default" w:cs="宋体" w:asciiTheme="majorEastAsia" w:hAnsiTheme="majorEastAsia" w:eastAsiaTheme="majorEastAsia"/>
          <w:color w:val="auto"/>
          <w:sz w:val="22"/>
          <w:szCs w:val="22"/>
        </w:rPr>
      </w:pPr>
      <w:r>
        <w:rPr>
          <w:rFonts w:cs="宋体" w:asciiTheme="majorEastAsia" w:hAnsiTheme="majorEastAsia" w:eastAsiaTheme="majorEastAsia"/>
          <w:color w:val="auto"/>
          <w:sz w:val="22"/>
          <w:szCs w:val="22"/>
        </w:rPr>
        <w:t>9.1、竞争性磋商响应函</w:t>
      </w:r>
    </w:p>
    <w:p>
      <w:pPr>
        <w:pStyle w:val="13"/>
        <w:adjustRightInd w:val="0"/>
        <w:snapToGrid w:val="0"/>
        <w:spacing w:before="156" w:beforeLines="50" w:line="420" w:lineRule="exact"/>
        <w:ind w:firstLine="330" w:firstLineChars="150"/>
        <w:rPr>
          <w:rFonts w:hint="default" w:cs="宋体" w:asciiTheme="majorEastAsia" w:hAnsiTheme="majorEastAsia" w:eastAsiaTheme="majorEastAsia"/>
          <w:color w:val="auto"/>
          <w:sz w:val="22"/>
          <w:szCs w:val="22"/>
        </w:rPr>
      </w:pPr>
      <w:r>
        <w:rPr>
          <w:rFonts w:cs="宋体" w:asciiTheme="majorEastAsia" w:hAnsiTheme="majorEastAsia" w:eastAsiaTheme="majorEastAsia"/>
          <w:color w:val="auto"/>
          <w:sz w:val="22"/>
          <w:szCs w:val="22"/>
        </w:rPr>
        <w:t>9.2、开标一览表</w:t>
      </w:r>
    </w:p>
    <w:p>
      <w:pPr>
        <w:pStyle w:val="13"/>
        <w:adjustRightInd w:val="0"/>
        <w:snapToGrid w:val="0"/>
        <w:spacing w:before="156" w:beforeLines="50" w:line="420" w:lineRule="exact"/>
        <w:ind w:firstLine="330" w:firstLineChars="150"/>
        <w:rPr>
          <w:rFonts w:hint="default" w:cs="宋体" w:asciiTheme="majorEastAsia" w:hAnsiTheme="majorEastAsia" w:eastAsiaTheme="majorEastAsia"/>
          <w:color w:val="auto"/>
          <w:sz w:val="22"/>
          <w:szCs w:val="22"/>
        </w:rPr>
      </w:pPr>
      <w:r>
        <w:rPr>
          <w:rFonts w:cs="宋体" w:asciiTheme="majorEastAsia" w:hAnsiTheme="majorEastAsia" w:eastAsiaTheme="majorEastAsia"/>
          <w:color w:val="auto"/>
          <w:sz w:val="22"/>
          <w:szCs w:val="22"/>
        </w:rPr>
        <w:t>9.3、投标人的资格证明文件</w:t>
      </w:r>
    </w:p>
    <w:p>
      <w:pPr>
        <w:spacing w:before="156" w:beforeLines="50"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10 报价</w:t>
      </w:r>
    </w:p>
    <w:p>
      <w:pPr>
        <w:spacing w:before="156" w:beforeLines="50" w:line="420" w:lineRule="exact"/>
        <w:ind w:firstLine="330" w:firstLineChars="150"/>
        <w:rPr>
          <w:rFonts w:cs="宋体" w:asciiTheme="majorEastAsia" w:hAnsiTheme="majorEastAsia" w:eastAsiaTheme="majorEastAsia"/>
          <w:color w:val="auto"/>
        </w:rPr>
      </w:pPr>
      <w:r>
        <w:rPr>
          <w:rFonts w:hint="eastAsia" w:cs="宋体" w:asciiTheme="majorEastAsia" w:hAnsiTheme="majorEastAsia" w:eastAsiaTheme="majorEastAsia"/>
          <w:color w:val="auto"/>
        </w:rPr>
        <w:t>10.1</w:t>
      </w:r>
      <w:r>
        <w:rPr>
          <w:rFonts w:hint="eastAsia" w:cs="宋体" w:asciiTheme="majorEastAsia" w:hAnsiTheme="majorEastAsia" w:eastAsiaTheme="majorEastAsia"/>
          <w:bCs/>
          <w:color w:val="auto"/>
        </w:rPr>
        <w:t>报价货币为人民币</w:t>
      </w:r>
      <w:r>
        <w:rPr>
          <w:rFonts w:hint="eastAsia" w:cs="宋体" w:asciiTheme="majorEastAsia" w:hAnsiTheme="majorEastAsia" w:eastAsiaTheme="majorEastAsia"/>
          <w:color w:val="auto"/>
        </w:rPr>
        <w:t>。</w:t>
      </w:r>
    </w:p>
    <w:p>
      <w:pPr>
        <w:spacing w:before="156" w:beforeLines="50" w:line="420" w:lineRule="exact"/>
        <w:ind w:firstLine="330" w:firstLineChars="150"/>
        <w:rPr>
          <w:rFonts w:cs="宋体" w:asciiTheme="majorEastAsia" w:hAnsiTheme="majorEastAsia" w:eastAsiaTheme="majorEastAsia"/>
          <w:color w:val="auto"/>
        </w:rPr>
      </w:pPr>
      <w:r>
        <w:rPr>
          <w:rFonts w:hint="eastAsia" w:cs="宋体" w:asciiTheme="majorEastAsia" w:hAnsiTheme="majorEastAsia" w:eastAsiaTheme="majorEastAsia"/>
          <w:color w:val="auto"/>
        </w:rPr>
        <w:t>10.2 投标人根据竞争性磋商文件要求和范围报价。</w:t>
      </w:r>
    </w:p>
    <w:p>
      <w:pPr>
        <w:pStyle w:val="13"/>
        <w:adjustRightInd w:val="0"/>
        <w:snapToGrid w:val="0"/>
        <w:spacing w:before="156" w:beforeLines="50" w:line="420" w:lineRule="exact"/>
        <w:ind w:firstLine="330" w:firstLineChars="150"/>
        <w:jc w:val="left"/>
        <w:rPr>
          <w:rFonts w:hint="default" w:cs="宋体" w:asciiTheme="majorEastAsia" w:hAnsiTheme="majorEastAsia" w:eastAsiaTheme="majorEastAsia"/>
          <w:color w:val="auto"/>
          <w:sz w:val="22"/>
          <w:szCs w:val="22"/>
        </w:rPr>
      </w:pPr>
      <w:r>
        <w:rPr>
          <w:rFonts w:cs="宋体" w:asciiTheme="majorEastAsia" w:hAnsiTheme="majorEastAsia" w:eastAsiaTheme="majorEastAsia"/>
          <w:color w:val="auto"/>
          <w:sz w:val="22"/>
          <w:szCs w:val="22"/>
        </w:rPr>
        <w:t>10.3</w:t>
      </w:r>
      <w:r>
        <w:rPr>
          <w:rFonts w:cs="宋体" w:asciiTheme="majorEastAsia" w:hAnsiTheme="majorEastAsia" w:eastAsiaTheme="majorEastAsia"/>
          <w:color w:val="auto"/>
          <w:kern w:val="0"/>
          <w:sz w:val="22"/>
          <w:szCs w:val="22"/>
          <w:lang w:val="zh-CN"/>
        </w:rPr>
        <w:t>投标人</w:t>
      </w:r>
      <w:r>
        <w:rPr>
          <w:rFonts w:cs="宋体" w:asciiTheme="majorEastAsia" w:hAnsiTheme="majorEastAsia" w:eastAsiaTheme="majorEastAsia"/>
          <w:color w:val="auto"/>
          <w:sz w:val="22"/>
          <w:szCs w:val="22"/>
        </w:rPr>
        <w:t>的报价不得超过采购项目预算，否则该投标人按废标处理。</w:t>
      </w:r>
    </w:p>
    <w:p>
      <w:pPr>
        <w:spacing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11．磋商保证金</w:t>
      </w:r>
    </w:p>
    <w:p>
      <w:pPr>
        <w:spacing w:line="420" w:lineRule="exact"/>
        <w:rPr>
          <w:rFonts w:cs="宋体" w:asciiTheme="majorEastAsia" w:hAnsiTheme="majorEastAsia" w:eastAsiaTheme="majorEastAsia"/>
          <w:b/>
          <w:color w:val="auto"/>
        </w:rPr>
      </w:pPr>
      <w:r>
        <w:rPr>
          <w:rFonts w:hint="eastAsia" w:cs="宋体" w:asciiTheme="majorEastAsia" w:hAnsiTheme="majorEastAsia" w:eastAsiaTheme="majorEastAsia"/>
          <w:color w:val="auto"/>
        </w:rPr>
        <w:t xml:space="preserve">   11.1 磋商保证金是参加本项目投标的必要条件，</w:t>
      </w:r>
      <w:r>
        <w:rPr>
          <w:rFonts w:hint="eastAsia" w:cs="宋体" w:asciiTheme="majorEastAsia" w:hAnsiTheme="majorEastAsia" w:eastAsiaTheme="majorEastAsia"/>
          <w:b/>
          <w:color w:val="auto"/>
        </w:rPr>
        <w:t>磋商保证金金额：伍仟元整（￥5000.00）</w:t>
      </w:r>
    </w:p>
    <w:p>
      <w:pPr>
        <w:spacing w:line="420" w:lineRule="exact"/>
        <w:rPr>
          <w:rFonts w:asciiTheme="majorEastAsia" w:hAnsiTheme="majorEastAsia" w:eastAsiaTheme="majorEastAsia"/>
          <w:color w:val="auto"/>
        </w:rPr>
      </w:pPr>
      <w:r>
        <w:rPr>
          <w:rFonts w:hint="eastAsia" w:cs="宋体" w:asciiTheme="majorEastAsia" w:hAnsiTheme="majorEastAsia" w:eastAsiaTheme="majorEastAsia"/>
          <w:b/>
          <w:color w:val="auto"/>
        </w:rPr>
        <w:t xml:space="preserve">   </w:t>
      </w:r>
      <w:r>
        <w:rPr>
          <w:rFonts w:hint="eastAsia" w:cs="宋体" w:asciiTheme="majorEastAsia" w:hAnsiTheme="majorEastAsia" w:eastAsiaTheme="majorEastAsia"/>
          <w:color w:val="auto"/>
        </w:rPr>
        <w:t>11.2 磋商保证金递交形式：</w:t>
      </w:r>
      <w:r>
        <w:rPr>
          <w:rFonts w:hint="eastAsia" w:asciiTheme="majorEastAsia" w:hAnsiTheme="majorEastAsia" w:eastAsiaTheme="majorEastAsia"/>
          <w:color w:val="auto"/>
        </w:rPr>
        <w:t>磋商保证金</w:t>
      </w:r>
      <w:r>
        <w:rPr>
          <w:rFonts w:asciiTheme="majorEastAsia" w:hAnsiTheme="majorEastAsia" w:eastAsiaTheme="majorEastAsia"/>
          <w:color w:val="auto"/>
        </w:rPr>
        <w:t>汇至：</w:t>
      </w:r>
    </w:p>
    <w:p>
      <w:pPr>
        <w:spacing w:line="440" w:lineRule="exact"/>
        <w:ind w:firstLine="663" w:firstLineChars="300"/>
        <w:rPr>
          <w:rFonts w:asciiTheme="majorEastAsia" w:hAnsiTheme="majorEastAsia" w:eastAsiaTheme="majorEastAsia"/>
          <w:b/>
          <w:color w:val="auto"/>
        </w:rPr>
      </w:pPr>
      <w:r>
        <w:rPr>
          <w:rFonts w:hint="eastAsia" w:asciiTheme="majorEastAsia" w:hAnsiTheme="majorEastAsia" w:eastAsiaTheme="majorEastAsia"/>
          <w:b/>
          <w:color w:val="auto"/>
        </w:rPr>
        <w:t>开户名称：海南中信源项目管理有限公司</w:t>
      </w:r>
    </w:p>
    <w:p>
      <w:pPr>
        <w:spacing w:line="420" w:lineRule="exact"/>
        <w:ind w:firstLine="663" w:firstLineChars="300"/>
        <w:jc w:val="left"/>
        <w:rPr>
          <w:rFonts w:hint="eastAsia" w:asciiTheme="majorEastAsia" w:hAnsiTheme="majorEastAsia" w:eastAsiaTheme="majorEastAsia"/>
          <w:b/>
          <w:color w:val="auto"/>
        </w:rPr>
      </w:pPr>
      <w:r>
        <w:rPr>
          <w:rFonts w:hint="eastAsia" w:asciiTheme="majorEastAsia" w:hAnsiTheme="majorEastAsia" w:eastAsiaTheme="majorEastAsia"/>
          <w:b/>
          <w:color w:val="auto"/>
        </w:rPr>
        <w:t>开户银行：中国光大银行海口蓝天支行</w:t>
      </w:r>
    </w:p>
    <w:p>
      <w:pPr>
        <w:pStyle w:val="8"/>
        <w:spacing w:line="320" w:lineRule="exact"/>
        <w:ind w:firstLine="723" w:firstLineChars="300"/>
        <w:rPr>
          <w:rFonts w:hint="eastAsia" w:asciiTheme="majorEastAsia" w:hAnsiTheme="majorEastAsia" w:eastAsiaTheme="majorEastAsia"/>
          <w:b/>
          <w:color w:val="auto"/>
        </w:rPr>
      </w:pPr>
      <w:r>
        <w:rPr>
          <w:rFonts w:hint="eastAsia" w:asciiTheme="majorEastAsia" w:hAnsiTheme="majorEastAsia" w:eastAsiaTheme="majorEastAsia"/>
          <w:b/>
          <w:color w:val="auto"/>
        </w:rPr>
        <w:t>账  号：3923 0188 0001 67445</w:t>
      </w:r>
    </w:p>
    <w:p>
      <w:pPr>
        <w:spacing w:line="420" w:lineRule="exact"/>
        <w:ind w:firstLine="561"/>
        <w:rPr>
          <w:rFonts w:asciiTheme="majorEastAsia" w:hAnsiTheme="majorEastAsia" w:eastAsiaTheme="majorEastAsia"/>
          <w:b/>
          <w:color w:val="auto"/>
        </w:rPr>
      </w:pPr>
      <w:r>
        <w:rPr>
          <w:rFonts w:hint="eastAsia" w:asciiTheme="majorEastAsia" w:hAnsiTheme="majorEastAsia" w:eastAsiaTheme="majorEastAsia"/>
          <w:b/>
          <w:color w:val="auto"/>
        </w:rPr>
        <w:t>用途注明：</w:t>
      </w:r>
      <w:r>
        <w:rPr>
          <w:rFonts w:hint="eastAsia" w:asciiTheme="majorEastAsia" w:hAnsiTheme="majorEastAsia" w:eastAsiaTheme="majorEastAsia"/>
          <w:b/>
          <w:color w:val="auto"/>
          <w:u w:val="single"/>
        </w:rPr>
        <w:t xml:space="preserve">              （项目名称，可简写）保证金</w:t>
      </w:r>
    </w:p>
    <w:p>
      <w:pPr>
        <w:spacing w:line="420" w:lineRule="exact"/>
        <w:ind w:firstLine="332" w:firstLineChars="151"/>
        <w:rPr>
          <w:rFonts w:cs="宋体" w:asciiTheme="majorEastAsia" w:hAnsiTheme="majorEastAsia" w:eastAsiaTheme="majorEastAsia"/>
          <w:color w:val="auto"/>
        </w:rPr>
      </w:pPr>
      <w:r>
        <w:rPr>
          <w:rFonts w:hint="eastAsia" w:cs="宋体" w:asciiTheme="majorEastAsia" w:hAnsiTheme="majorEastAsia" w:eastAsiaTheme="majorEastAsia"/>
          <w:color w:val="auto"/>
        </w:rPr>
        <w:t>11.3 磋商保证金递交时间：</w:t>
      </w:r>
      <w:r>
        <w:rPr>
          <w:rFonts w:hint="eastAsia" w:asciiTheme="majorEastAsia" w:hAnsiTheme="majorEastAsia" w:eastAsiaTheme="majorEastAsia"/>
          <w:color w:val="auto"/>
        </w:rPr>
        <w:t>投标人最迟于投标截止时间前从公司基本帐户转入上方指定帐户（以到账时间为准）</w:t>
      </w:r>
      <w:r>
        <w:rPr>
          <w:rFonts w:hint="eastAsia" w:cs="宋体" w:asciiTheme="majorEastAsia" w:hAnsiTheme="majorEastAsia" w:eastAsiaTheme="majorEastAsia"/>
          <w:color w:val="auto"/>
        </w:rPr>
        <w:t>。</w:t>
      </w:r>
    </w:p>
    <w:p>
      <w:pPr>
        <w:tabs>
          <w:tab w:val="left" w:pos="6054"/>
        </w:tabs>
        <w:autoSpaceDE w:val="0"/>
        <w:autoSpaceDN w:val="0"/>
        <w:spacing w:line="420" w:lineRule="exact"/>
        <w:textAlignment w:val="bottom"/>
        <w:rPr>
          <w:rFonts w:cs="宋体" w:asciiTheme="majorEastAsia" w:hAnsiTheme="majorEastAsia" w:eastAsiaTheme="majorEastAsia"/>
          <w:color w:val="auto"/>
        </w:rPr>
      </w:pPr>
      <w:r>
        <w:rPr>
          <w:rFonts w:hint="eastAsia" w:cs="宋体" w:asciiTheme="majorEastAsia" w:hAnsiTheme="majorEastAsia" w:eastAsiaTheme="majorEastAsia"/>
          <w:color w:val="auto"/>
        </w:rPr>
        <w:t xml:space="preserve">   11.4 磋商保证金有效期：响应文件递交截止日后六十（60）天内保持有效。</w:t>
      </w:r>
    </w:p>
    <w:p>
      <w:pPr>
        <w:spacing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 xml:space="preserve">   11.5 若投标人不按规定提交磋商保证金，其竞争性磋商响应文件将被拒绝接受。</w:t>
      </w:r>
    </w:p>
    <w:p>
      <w:pPr>
        <w:spacing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 xml:space="preserve">   11.6 磋商保证金的退还</w:t>
      </w:r>
    </w:p>
    <w:p>
      <w:pPr>
        <w:spacing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 xml:space="preserve">   11.6.l 成交投标人的磋商保证金在其与采购人签订了合同后5个工作日内无息退还。</w:t>
      </w:r>
    </w:p>
    <w:p>
      <w:pPr>
        <w:spacing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 xml:space="preserve">   11.6.2 落标的投标人的磋商保证金将在采购代理机构发出成交通知书5个工作日内无息退还。</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11.7 发生下列情况之一，磋商保证金将不予退还：</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（1）投标人在磋商有效期内撤回竞争性磋商响应文件的；</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（2）成交投标人不按本章规定签订合同；</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（3）投标人提供虚假材料谋取中标、成交的；</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（4）与采购人、其它投标人恶意串通的；</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（5）向采购人或磋商小组成员行贿或者提供其他不正当利益的。</w:t>
      </w:r>
    </w:p>
    <w:p>
      <w:pPr>
        <w:spacing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12．磋商有效期</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12.l 磋商有效期为从递交响应文件截止之日起计算的</w:t>
      </w:r>
      <w:r>
        <w:rPr>
          <w:rFonts w:hint="eastAsia" w:cs="宋体" w:asciiTheme="majorEastAsia" w:hAnsiTheme="majorEastAsia" w:eastAsiaTheme="majorEastAsia"/>
          <w:b/>
          <w:color w:val="auto"/>
          <w:u w:val="single"/>
        </w:rPr>
        <w:t>60天</w:t>
      </w:r>
      <w:r>
        <w:rPr>
          <w:rFonts w:hint="eastAsia" w:cs="宋体" w:asciiTheme="majorEastAsia" w:hAnsiTheme="majorEastAsia" w:eastAsiaTheme="majorEastAsia"/>
          <w:color w:val="auto"/>
        </w:rPr>
        <w:t>，有效期短于此规定的竞争性磋商响应文件将被视为无效。</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12.2 在特殊情况下，采购人可于磋商有效期满之前，征得投标人同意延长磋商有效期，要求与答复均应以书面形式进行。投标人可以拒绝接受这一要求而放弃竞争性磋商，磋商保证金将尽快无息退还。同意这一要求的投标人，无需也不允许修改其竞争性磋商响应文件，但须相应延长磋商保证金的有效期。受磋商有效期制约的所有权利和义务均应延长至新的有效期。</w:t>
      </w:r>
    </w:p>
    <w:p>
      <w:pPr>
        <w:widowControl w:val="0"/>
        <w:numPr>
          <w:ilvl w:val="0"/>
          <w:numId w:val="3"/>
        </w:numPr>
        <w:adjustRightInd/>
        <w:snapToGrid/>
        <w:spacing w:after="0" w:line="420" w:lineRule="exact"/>
        <w:jc w:val="both"/>
        <w:rPr>
          <w:rFonts w:cs="宋体" w:asciiTheme="majorEastAsia" w:hAnsiTheme="majorEastAsia" w:eastAsiaTheme="majorEastAsia"/>
          <w:color w:val="auto"/>
        </w:rPr>
      </w:pPr>
      <w:r>
        <w:rPr>
          <w:rFonts w:hint="eastAsia" w:cs="宋体" w:asciiTheme="majorEastAsia" w:hAnsiTheme="majorEastAsia" w:eastAsiaTheme="majorEastAsia"/>
          <w:color w:val="auto"/>
        </w:rPr>
        <w:t>响应文件的数量、签署及形式</w:t>
      </w:r>
    </w:p>
    <w:p>
      <w:pPr>
        <w:pStyle w:val="13"/>
        <w:adjustRightInd w:val="0"/>
        <w:snapToGrid w:val="0"/>
        <w:spacing w:before="156" w:beforeLines="50" w:line="420" w:lineRule="exact"/>
        <w:ind w:firstLine="345" w:firstLineChars="157"/>
        <w:rPr>
          <w:rFonts w:hint="default" w:cs="宋体" w:asciiTheme="majorEastAsia" w:hAnsiTheme="majorEastAsia" w:eastAsiaTheme="majorEastAsia"/>
          <w:bCs/>
          <w:color w:val="auto"/>
          <w:sz w:val="22"/>
          <w:szCs w:val="22"/>
        </w:rPr>
      </w:pPr>
      <w:r>
        <w:rPr>
          <w:rFonts w:cs="宋体" w:asciiTheme="majorEastAsia" w:hAnsiTheme="majorEastAsia" w:eastAsiaTheme="majorEastAsia"/>
          <w:color w:val="auto"/>
          <w:sz w:val="22"/>
          <w:szCs w:val="22"/>
        </w:rPr>
        <w:t>13.1响应文件的份数：</w:t>
      </w:r>
      <w:r>
        <w:rPr>
          <w:rFonts w:hint="eastAsia" w:cs="宋体" w:asciiTheme="majorEastAsia" w:hAnsiTheme="majorEastAsia" w:eastAsiaTheme="majorEastAsia"/>
          <w:color w:val="auto"/>
          <w:sz w:val="22"/>
          <w:szCs w:val="22"/>
        </w:rPr>
        <w:t>一正</w:t>
      </w:r>
      <w:r>
        <w:rPr>
          <w:rFonts w:hint="eastAsia" w:cs="宋体" w:asciiTheme="majorEastAsia" w:hAnsiTheme="majorEastAsia" w:eastAsiaTheme="majorEastAsia"/>
          <w:color w:val="auto"/>
          <w:sz w:val="22"/>
          <w:szCs w:val="22"/>
          <w:lang w:eastAsia="zh-CN"/>
        </w:rPr>
        <w:t>二</w:t>
      </w:r>
      <w:r>
        <w:rPr>
          <w:rFonts w:hint="eastAsia" w:cs="宋体" w:asciiTheme="majorEastAsia" w:hAnsiTheme="majorEastAsia" w:eastAsiaTheme="majorEastAsia"/>
          <w:color w:val="auto"/>
          <w:sz w:val="22"/>
          <w:szCs w:val="22"/>
        </w:rPr>
        <w:t>副，电子光盘或U盘一份</w:t>
      </w:r>
      <w:r>
        <w:rPr>
          <w:rFonts w:cs="宋体" w:asciiTheme="majorEastAsia" w:hAnsiTheme="majorEastAsia" w:eastAsiaTheme="majorEastAsia"/>
          <w:color w:val="auto"/>
          <w:sz w:val="22"/>
          <w:szCs w:val="22"/>
        </w:rPr>
        <w:t>。</w:t>
      </w:r>
    </w:p>
    <w:p>
      <w:pPr>
        <w:pStyle w:val="13"/>
        <w:adjustRightInd w:val="0"/>
        <w:snapToGrid w:val="0"/>
        <w:spacing w:before="156" w:beforeLines="50" w:line="420" w:lineRule="exact"/>
        <w:ind w:firstLine="345" w:firstLineChars="157"/>
        <w:rPr>
          <w:rFonts w:hint="default" w:cs="宋体" w:asciiTheme="majorEastAsia" w:hAnsiTheme="majorEastAsia" w:eastAsiaTheme="majorEastAsia"/>
          <w:color w:val="auto"/>
          <w:sz w:val="22"/>
          <w:szCs w:val="22"/>
        </w:rPr>
      </w:pPr>
      <w:r>
        <w:rPr>
          <w:rFonts w:cs="宋体" w:asciiTheme="majorEastAsia" w:hAnsiTheme="majorEastAsia" w:eastAsiaTheme="majorEastAsia"/>
          <w:color w:val="auto"/>
          <w:sz w:val="22"/>
          <w:szCs w:val="22"/>
        </w:rPr>
        <w:t>13.2正本和副本的封面上应清楚地标记“正本”或“副本”的字样，当正本和副本有差异时，以正本为准，纸质文件和电子文件有差异，以纸质文件为准。</w:t>
      </w:r>
    </w:p>
    <w:p>
      <w:pPr>
        <w:pStyle w:val="13"/>
        <w:adjustRightInd w:val="0"/>
        <w:snapToGrid w:val="0"/>
        <w:spacing w:before="156" w:beforeLines="50" w:line="420" w:lineRule="exact"/>
        <w:ind w:firstLine="345" w:firstLineChars="157"/>
        <w:rPr>
          <w:rFonts w:hint="default" w:cs="宋体" w:asciiTheme="majorEastAsia" w:hAnsiTheme="majorEastAsia" w:eastAsiaTheme="majorEastAsia"/>
          <w:color w:val="auto"/>
          <w:sz w:val="22"/>
          <w:szCs w:val="22"/>
        </w:rPr>
      </w:pPr>
      <w:r>
        <w:rPr>
          <w:rFonts w:cs="宋体" w:asciiTheme="majorEastAsia" w:hAnsiTheme="majorEastAsia" w:eastAsiaTheme="majorEastAsia"/>
          <w:color w:val="auto"/>
          <w:sz w:val="22"/>
          <w:szCs w:val="22"/>
        </w:rPr>
        <w:t>13.3 响应文件正本和副本应按竞争性磋商文件要求签章处盖单位章和由法定代表人或其委托代理人签字。</w:t>
      </w:r>
    </w:p>
    <w:p>
      <w:pPr>
        <w:spacing w:line="420" w:lineRule="exact"/>
        <w:ind w:firstLine="345" w:firstLineChars="157"/>
        <w:rPr>
          <w:rFonts w:cs="宋体" w:asciiTheme="majorEastAsia" w:hAnsiTheme="majorEastAsia" w:eastAsiaTheme="majorEastAsia"/>
          <w:color w:val="auto"/>
        </w:rPr>
      </w:pPr>
      <w:r>
        <w:rPr>
          <w:rFonts w:asciiTheme="majorEastAsia" w:hAnsiTheme="majorEastAsia" w:eastAsiaTheme="majorEastAsia"/>
          <w:color w:val="auto"/>
        </w:rPr>
        <w:t>1</w:t>
      </w:r>
      <w:r>
        <w:rPr>
          <w:rFonts w:hint="eastAsia" w:asciiTheme="majorEastAsia" w:hAnsiTheme="majorEastAsia" w:eastAsiaTheme="majorEastAsia"/>
          <w:color w:val="auto"/>
        </w:rPr>
        <w:t>3</w:t>
      </w:r>
      <w:r>
        <w:rPr>
          <w:rFonts w:asciiTheme="majorEastAsia" w:hAnsiTheme="majorEastAsia" w:eastAsiaTheme="majorEastAsia"/>
          <w:color w:val="auto"/>
        </w:rPr>
        <w:t>.</w:t>
      </w:r>
      <w:r>
        <w:rPr>
          <w:rFonts w:hint="eastAsia" w:asciiTheme="majorEastAsia" w:hAnsiTheme="majorEastAsia" w:eastAsiaTheme="majorEastAsia"/>
          <w:color w:val="auto"/>
        </w:rPr>
        <w:t>4 竞争性磋商响应文件正本和副本须打印或复印，正本须由投标人法定代表人或经其正式授权的代表签字，副本可以采用正本复印件。</w:t>
      </w:r>
    </w:p>
    <w:p>
      <w:pPr>
        <w:pStyle w:val="13"/>
        <w:adjustRightInd w:val="0"/>
        <w:snapToGrid w:val="0"/>
        <w:spacing w:before="156" w:beforeLines="50" w:line="420" w:lineRule="exact"/>
        <w:ind w:firstLine="345" w:firstLineChars="157"/>
        <w:rPr>
          <w:rFonts w:hint="default" w:cs="宋体" w:asciiTheme="majorEastAsia" w:hAnsiTheme="majorEastAsia" w:eastAsiaTheme="majorEastAsia"/>
          <w:color w:val="auto"/>
          <w:sz w:val="22"/>
          <w:szCs w:val="22"/>
        </w:rPr>
      </w:pPr>
      <w:r>
        <w:rPr>
          <w:rFonts w:cs="宋体" w:asciiTheme="majorEastAsia" w:hAnsiTheme="majorEastAsia" w:eastAsiaTheme="majorEastAsia"/>
          <w:color w:val="auto"/>
          <w:sz w:val="22"/>
          <w:szCs w:val="22"/>
        </w:rPr>
        <w:t>13.5 在竞争性磋商过程中，应竞争性磋商小组要求而递交的补充或修改商务技术响应文件或报价文件，可打印或用不退色墨水书写，但需经法定代表人或其委托代理人签字。</w:t>
      </w:r>
    </w:p>
    <w:p>
      <w:pPr>
        <w:pStyle w:val="13"/>
        <w:adjustRightInd w:val="0"/>
        <w:snapToGrid w:val="0"/>
        <w:spacing w:before="156" w:beforeLines="50" w:line="420" w:lineRule="exact"/>
        <w:ind w:firstLine="345" w:firstLineChars="157"/>
        <w:rPr>
          <w:rFonts w:hint="default" w:cs="宋体" w:asciiTheme="majorEastAsia" w:hAnsiTheme="majorEastAsia" w:eastAsiaTheme="majorEastAsia"/>
          <w:color w:val="auto"/>
          <w:sz w:val="22"/>
          <w:szCs w:val="22"/>
        </w:rPr>
      </w:pPr>
      <w:r>
        <w:rPr>
          <w:rFonts w:cs="宋体" w:asciiTheme="majorEastAsia" w:hAnsiTheme="majorEastAsia" w:eastAsiaTheme="majorEastAsia"/>
          <w:color w:val="auto"/>
          <w:sz w:val="22"/>
          <w:szCs w:val="22"/>
        </w:rPr>
        <w:t>13.6 任何加行、涂改、增删，须有法定代表人或其委托代理人在旁边签字才有效。</w:t>
      </w:r>
    </w:p>
    <w:p>
      <w:pPr>
        <w:spacing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四、响应文件的递交</w:t>
      </w:r>
    </w:p>
    <w:p>
      <w:pPr>
        <w:spacing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14．竞争性磋商响应文件的密封及标记</w:t>
      </w:r>
    </w:p>
    <w:p>
      <w:pPr>
        <w:pStyle w:val="13"/>
        <w:adjustRightInd w:val="0"/>
        <w:snapToGrid w:val="0"/>
        <w:spacing w:before="156" w:beforeLines="50" w:line="420" w:lineRule="exact"/>
        <w:ind w:firstLine="332" w:firstLineChars="151"/>
        <w:rPr>
          <w:rFonts w:hint="default" w:cs="宋体" w:asciiTheme="majorEastAsia" w:hAnsiTheme="majorEastAsia" w:eastAsiaTheme="majorEastAsia"/>
          <w:color w:val="auto"/>
          <w:sz w:val="22"/>
          <w:szCs w:val="22"/>
        </w:rPr>
      </w:pPr>
      <w:r>
        <w:rPr>
          <w:rFonts w:cs="宋体" w:asciiTheme="majorEastAsia" w:hAnsiTheme="majorEastAsia" w:eastAsiaTheme="majorEastAsia"/>
          <w:color w:val="auto"/>
          <w:sz w:val="22"/>
          <w:szCs w:val="22"/>
        </w:rPr>
        <w:t>14.1正本一份和副本</w:t>
      </w:r>
      <w:r>
        <w:rPr>
          <w:rFonts w:hint="eastAsia" w:cs="宋体" w:asciiTheme="majorEastAsia" w:hAnsiTheme="majorEastAsia" w:eastAsiaTheme="majorEastAsia"/>
          <w:color w:val="auto"/>
          <w:sz w:val="22"/>
          <w:szCs w:val="22"/>
          <w:lang w:eastAsia="zh-CN"/>
        </w:rPr>
        <w:t>二</w:t>
      </w:r>
      <w:r>
        <w:rPr>
          <w:rFonts w:cs="宋体" w:asciiTheme="majorEastAsia" w:hAnsiTheme="majorEastAsia" w:eastAsiaTheme="majorEastAsia"/>
          <w:color w:val="auto"/>
          <w:sz w:val="22"/>
          <w:szCs w:val="22"/>
        </w:rPr>
        <w:t>份一起密封，加贴封条，并在封套的封口处盖投标人单位章。响应文件电子版与响应文件一起密封。</w:t>
      </w:r>
    </w:p>
    <w:p>
      <w:pPr>
        <w:spacing w:before="156" w:beforeLines="50" w:line="420" w:lineRule="exact"/>
        <w:ind w:firstLine="332" w:firstLineChars="151"/>
        <w:rPr>
          <w:rFonts w:cs="宋体" w:asciiTheme="majorEastAsia" w:hAnsiTheme="majorEastAsia" w:eastAsiaTheme="majorEastAsia"/>
          <w:color w:val="auto"/>
        </w:rPr>
      </w:pPr>
      <w:r>
        <w:rPr>
          <w:rFonts w:hint="eastAsia" w:cs="宋体" w:asciiTheme="majorEastAsia" w:hAnsiTheme="majorEastAsia" w:eastAsiaTheme="majorEastAsia"/>
          <w:color w:val="auto"/>
        </w:rPr>
        <w:t>14.2响应文件封套或外包装上应载明的内容</w:t>
      </w:r>
    </w:p>
    <w:p>
      <w:pPr>
        <w:spacing w:line="420" w:lineRule="exact"/>
        <w:ind w:firstLine="332" w:firstLineChars="151"/>
        <w:rPr>
          <w:rFonts w:cs="宋体" w:asciiTheme="majorEastAsia" w:hAnsiTheme="majorEastAsia" w:eastAsiaTheme="majorEastAsia"/>
          <w:color w:val="auto"/>
        </w:rPr>
      </w:pPr>
      <w:r>
        <w:rPr>
          <w:rFonts w:hint="eastAsia" w:cs="宋体" w:asciiTheme="majorEastAsia" w:hAnsiTheme="majorEastAsia" w:eastAsiaTheme="majorEastAsia"/>
          <w:color w:val="auto"/>
        </w:rPr>
        <w:t>致：（采购单位）</w:t>
      </w:r>
    </w:p>
    <w:p>
      <w:pPr>
        <w:spacing w:line="420" w:lineRule="exact"/>
        <w:ind w:firstLine="332" w:firstLineChars="151"/>
        <w:rPr>
          <w:rFonts w:cs="宋体" w:asciiTheme="majorEastAsia" w:hAnsiTheme="majorEastAsia" w:eastAsiaTheme="majorEastAsia"/>
          <w:color w:val="auto"/>
          <w:u w:val="single"/>
        </w:rPr>
      </w:pPr>
      <w:r>
        <w:rPr>
          <w:rFonts w:hint="eastAsia" w:cs="宋体" w:asciiTheme="majorEastAsia" w:hAnsiTheme="majorEastAsia" w:eastAsiaTheme="majorEastAsia"/>
          <w:color w:val="auto"/>
        </w:rPr>
        <w:t>项目名称：</w:t>
      </w:r>
    </w:p>
    <w:p>
      <w:pPr>
        <w:spacing w:line="420" w:lineRule="exact"/>
        <w:ind w:firstLine="332" w:firstLineChars="151"/>
        <w:rPr>
          <w:rFonts w:cs="宋体" w:asciiTheme="majorEastAsia" w:hAnsiTheme="majorEastAsia" w:eastAsiaTheme="majorEastAsia"/>
          <w:color w:val="auto"/>
        </w:rPr>
      </w:pPr>
      <w:r>
        <w:rPr>
          <w:rFonts w:hint="eastAsia" w:cs="宋体" w:asciiTheme="majorEastAsia" w:hAnsiTheme="majorEastAsia" w:eastAsiaTheme="majorEastAsia"/>
          <w:color w:val="auto"/>
        </w:rPr>
        <w:t>项目编号：</w:t>
      </w:r>
    </w:p>
    <w:p>
      <w:pPr>
        <w:spacing w:line="420" w:lineRule="exact"/>
        <w:ind w:firstLine="332" w:firstLineChars="151"/>
        <w:rPr>
          <w:rFonts w:cs="宋体" w:asciiTheme="majorEastAsia" w:hAnsiTheme="majorEastAsia" w:eastAsiaTheme="majorEastAsia"/>
          <w:color w:val="auto"/>
        </w:rPr>
      </w:pPr>
      <w:r>
        <w:rPr>
          <w:rFonts w:hint="eastAsia" w:cs="宋体" w:asciiTheme="majorEastAsia" w:hAnsiTheme="majorEastAsia" w:eastAsiaTheme="majorEastAsia"/>
          <w:color w:val="auto"/>
        </w:rPr>
        <w:t>注明：“请勿在开标时间</w:t>
      </w:r>
      <w:r>
        <w:rPr>
          <w:rFonts w:hint="eastAsia" w:asciiTheme="majorEastAsia" w:hAnsiTheme="majorEastAsia" w:eastAsiaTheme="majorEastAsia"/>
          <w:color w:val="auto"/>
        </w:rPr>
        <w:t>2021年   月   日   时    分</w:t>
      </w:r>
      <w:r>
        <w:rPr>
          <w:rFonts w:hint="eastAsia" w:cs="宋体" w:asciiTheme="majorEastAsia" w:hAnsiTheme="majorEastAsia" w:eastAsiaTheme="majorEastAsia"/>
          <w:color w:val="auto"/>
        </w:rPr>
        <w:t>前启封”</w:t>
      </w:r>
    </w:p>
    <w:p>
      <w:pPr>
        <w:spacing w:line="420" w:lineRule="exact"/>
        <w:ind w:firstLine="332" w:firstLineChars="151"/>
        <w:rPr>
          <w:rFonts w:cs="宋体" w:asciiTheme="majorEastAsia" w:hAnsiTheme="majorEastAsia" w:eastAsiaTheme="majorEastAsia"/>
          <w:color w:val="auto"/>
        </w:rPr>
      </w:pPr>
      <w:r>
        <w:rPr>
          <w:rFonts w:hint="eastAsia" w:cs="宋体" w:asciiTheme="majorEastAsia" w:hAnsiTheme="majorEastAsia" w:eastAsiaTheme="majorEastAsia"/>
          <w:color w:val="auto"/>
        </w:rPr>
        <w:t>投标人名称、联系人姓名和电话</w:t>
      </w:r>
    </w:p>
    <w:p>
      <w:pPr>
        <w:spacing w:line="420" w:lineRule="exact"/>
        <w:ind w:firstLine="332" w:firstLineChars="151"/>
        <w:rPr>
          <w:rFonts w:cs="宋体" w:asciiTheme="majorEastAsia" w:hAnsiTheme="majorEastAsia" w:eastAsiaTheme="majorEastAsia"/>
          <w:color w:val="auto"/>
        </w:rPr>
      </w:pPr>
      <w:r>
        <w:rPr>
          <w:rFonts w:hint="eastAsia" w:cs="宋体" w:asciiTheme="majorEastAsia" w:hAnsiTheme="majorEastAsia" w:eastAsiaTheme="majorEastAsia"/>
          <w:color w:val="auto"/>
        </w:rPr>
        <w:t>14.3 竞争性磋商响应文件未按上述规定书写标记和密封者，采购代理机构不对响应文件被错放或先期启封负责。</w:t>
      </w:r>
    </w:p>
    <w:p>
      <w:pPr>
        <w:spacing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15．响应文件递交截止时间</w:t>
      </w:r>
    </w:p>
    <w:p>
      <w:pPr>
        <w:spacing w:line="420" w:lineRule="exact"/>
        <w:ind w:firstLine="389" w:firstLineChars="177"/>
        <w:rPr>
          <w:rFonts w:cs="宋体" w:asciiTheme="majorEastAsia" w:hAnsiTheme="majorEastAsia" w:eastAsiaTheme="majorEastAsia"/>
          <w:color w:val="auto"/>
        </w:rPr>
      </w:pPr>
      <w:r>
        <w:rPr>
          <w:rFonts w:hint="eastAsia" w:cs="宋体" w:asciiTheme="majorEastAsia" w:hAnsiTheme="majorEastAsia" w:eastAsiaTheme="majorEastAsia"/>
          <w:color w:val="auto"/>
        </w:rPr>
        <w:t>15.l 投标人须在竞争性磋商响应文件递交截止时间前将竞争性磋商响应文件送达竞争性磋商文件上规定的地点。</w:t>
      </w:r>
    </w:p>
    <w:p>
      <w:pPr>
        <w:spacing w:line="420" w:lineRule="exact"/>
        <w:ind w:firstLine="389" w:firstLineChars="177"/>
        <w:rPr>
          <w:rFonts w:cs="宋体" w:asciiTheme="majorEastAsia" w:hAnsiTheme="majorEastAsia" w:eastAsiaTheme="majorEastAsia"/>
          <w:color w:val="auto"/>
        </w:rPr>
      </w:pPr>
      <w:r>
        <w:rPr>
          <w:rFonts w:hint="eastAsia" w:cs="宋体" w:asciiTheme="majorEastAsia" w:hAnsiTheme="majorEastAsia" w:eastAsiaTheme="majorEastAsia"/>
          <w:color w:val="auto"/>
        </w:rPr>
        <w:t>15.2 若采购代理机构推迟了响应文件递交截止时间，应以书面的形式通知所有投标人。在这种情况下，竞争性磋商方和投标人的权利和义务均应以新的截止时间为准。</w:t>
      </w:r>
    </w:p>
    <w:p>
      <w:pPr>
        <w:spacing w:line="420" w:lineRule="exact"/>
        <w:ind w:firstLine="389" w:firstLineChars="177"/>
        <w:rPr>
          <w:rFonts w:cs="宋体" w:asciiTheme="majorEastAsia" w:hAnsiTheme="majorEastAsia" w:eastAsiaTheme="majorEastAsia"/>
          <w:color w:val="auto"/>
        </w:rPr>
      </w:pPr>
      <w:r>
        <w:rPr>
          <w:rFonts w:hint="eastAsia" w:cs="宋体" w:asciiTheme="majorEastAsia" w:hAnsiTheme="majorEastAsia" w:eastAsiaTheme="majorEastAsia"/>
          <w:color w:val="auto"/>
        </w:rPr>
        <w:t>15.3 在竞争性磋商响应文件递交截止时间后递交的文件，采购代理机构将拒绝接受。</w:t>
      </w:r>
    </w:p>
    <w:p>
      <w:pPr>
        <w:widowControl w:val="0"/>
        <w:numPr>
          <w:ilvl w:val="0"/>
          <w:numId w:val="4"/>
        </w:numPr>
        <w:adjustRightInd/>
        <w:snapToGrid/>
        <w:spacing w:after="0" w:line="420" w:lineRule="exact"/>
        <w:jc w:val="both"/>
        <w:rPr>
          <w:rFonts w:cs="宋体" w:asciiTheme="majorEastAsia" w:hAnsiTheme="majorEastAsia" w:eastAsiaTheme="majorEastAsia"/>
          <w:color w:val="auto"/>
        </w:rPr>
      </w:pPr>
      <w:r>
        <w:rPr>
          <w:rFonts w:hint="eastAsia" w:cs="宋体" w:asciiTheme="majorEastAsia" w:hAnsiTheme="majorEastAsia" w:eastAsiaTheme="majorEastAsia"/>
          <w:color w:val="auto"/>
        </w:rPr>
        <w:t>竞争性磋商及评审</w:t>
      </w:r>
    </w:p>
    <w:p>
      <w:pPr>
        <w:spacing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16．竞争性磋商</w:t>
      </w:r>
    </w:p>
    <w:p>
      <w:pPr>
        <w:spacing w:line="420" w:lineRule="exact"/>
        <w:ind w:firstLine="358" w:firstLineChars="163"/>
        <w:rPr>
          <w:rFonts w:cs="宋体" w:asciiTheme="majorEastAsia" w:hAnsiTheme="majorEastAsia" w:eastAsiaTheme="majorEastAsia"/>
          <w:color w:val="auto"/>
        </w:rPr>
      </w:pPr>
      <w:r>
        <w:rPr>
          <w:rFonts w:hint="eastAsia" w:cs="宋体" w:asciiTheme="majorEastAsia" w:hAnsiTheme="majorEastAsia" w:eastAsiaTheme="majorEastAsia"/>
          <w:color w:val="auto"/>
        </w:rPr>
        <w:t>16.l 采购人按竞争性磋商文件第一章规定的时间和地点进行竞争性磋商，采购人代表、采购代理机构有关工作人员参加。</w:t>
      </w:r>
    </w:p>
    <w:p>
      <w:pPr>
        <w:spacing w:line="420" w:lineRule="exact"/>
        <w:ind w:firstLine="358" w:firstLineChars="163"/>
        <w:rPr>
          <w:rFonts w:cs="宋体" w:asciiTheme="majorEastAsia" w:hAnsiTheme="majorEastAsia" w:eastAsiaTheme="majorEastAsia"/>
          <w:color w:val="auto"/>
        </w:rPr>
      </w:pPr>
      <w:r>
        <w:rPr>
          <w:rFonts w:hint="eastAsia" w:cs="宋体" w:asciiTheme="majorEastAsia" w:hAnsiTheme="majorEastAsia" w:eastAsiaTheme="majorEastAsia"/>
          <w:color w:val="auto"/>
        </w:rPr>
        <w:t xml:space="preserve">16.2 </w:t>
      </w:r>
      <w:r>
        <w:rPr>
          <w:rFonts w:hint="eastAsia" w:cs="宋体" w:asciiTheme="majorEastAsia" w:hAnsiTheme="majorEastAsia" w:eastAsiaTheme="majorEastAsia"/>
          <w:b/>
          <w:color w:val="auto"/>
          <w:u w:val="single"/>
        </w:rPr>
        <w:t>投标人应委派法定代表人或其委托的授权代表参加开标活动，参加开标的代表须持本人身份证件签名报到以证明其出席</w:t>
      </w:r>
      <w:r>
        <w:rPr>
          <w:rFonts w:hint="eastAsia" w:cs="宋体" w:asciiTheme="majorEastAsia" w:hAnsiTheme="majorEastAsia" w:eastAsiaTheme="majorEastAsia"/>
          <w:color w:val="auto"/>
        </w:rPr>
        <w:t>。投标人法定代表人或其委托的授权代表不能证明其身份的，采购代理机构对竞争性磋商响应文件的处理不承担责任。</w:t>
      </w:r>
    </w:p>
    <w:p>
      <w:pPr>
        <w:spacing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17．竞争性磋商小组</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从海南省综合评标专家库中随机抽取3名相关专家组成竞争性磋商小组，其中，技术、经济等方面的专家不得少于成员总数的2/3。该竞争性磋商小组独立工作，负责评审所有竞争性磋商响应文件并确定成交侯选人。</w:t>
      </w:r>
    </w:p>
    <w:p>
      <w:pPr>
        <w:spacing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18.竞争性磋商和评审</w:t>
      </w:r>
    </w:p>
    <w:p>
      <w:pPr>
        <w:spacing w:line="420" w:lineRule="exact"/>
        <w:ind w:firstLine="440" w:firstLineChars="200"/>
        <w:rPr>
          <w:rFonts w:asciiTheme="majorEastAsia" w:hAnsiTheme="majorEastAsia" w:eastAsiaTheme="majorEastAsia"/>
          <w:color w:val="auto"/>
        </w:rPr>
      </w:pPr>
      <w:r>
        <w:rPr>
          <w:rFonts w:hint="eastAsia" w:cs="宋体" w:asciiTheme="majorEastAsia" w:hAnsiTheme="majorEastAsia" w:eastAsiaTheme="majorEastAsia"/>
          <w:color w:val="auto"/>
        </w:rPr>
        <w:t>详见竞争性磋商文件第六章“评审办法和程序”</w:t>
      </w:r>
      <w:r>
        <w:rPr>
          <w:rFonts w:hint="eastAsia" w:asciiTheme="majorEastAsia" w:hAnsiTheme="majorEastAsia" w:eastAsiaTheme="majorEastAsia"/>
          <w:color w:val="auto"/>
        </w:rPr>
        <w:t>。</w:t>
      </w:r>
    </w:p>
    <w:p>
      <w:pPr>
        <w:spacing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六、授标及签约</w:t>
      </w:r>
    </w:p>
    <w:p>
      <w:pPr>
        <w:spacing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19．定标原则</w:t>
      </w:r>
    </w:p>
    <w:p>
      <w:pPr>
        <w:spacing w:line="420" w:lineRule="exact"/>
        <w:ind w:firstLine="389" w:firstLineChars="177"/>
        <w:rPr>
          <w:rFonts w:cs="宋体" w:asciiTheme="majorEastAsia" w:hAnsiTheme="majorEastAsia" w:eastAsiaTheme="majorEastAsia"/>
          <w:color w:val="auto"/>
        </w:rPr>
      </w:pPr>
      <w:r>
        <w:rPr>
          <w:rFonts w:hint="eastAsia" w:cs="宋体" w:asciiTheme="majorEastAsia" w:hAnsiTheme="majorEastAsia" w:eastAsiaTheme="majorEastAsia"/>
          <w:color w:val="auto"/>
        </w:rPr>
        <w:t>19.1竞争性磋商小组将严格按照竞争性磋商文件的要求和条件进行评审,根据评标办法推荐出1-3名成交候选人，并标明排列顺序。采购人将根据竞争性磋商小组推荐的结果确定成交投标人。排名第一的成交候选人因不可抗力或者自身原因不能履行合同，或者本文件规定应当提交履约保证金而在规定期限未能提交的，或者是磋商小组出现评标错误，被他人质疑后证实确有其事的，采购人将把合同授予排名第二的成交候选人。排名第二的成交候选人因前款规定的同样原因不能签订合同的，采购人将把合同授予排名第三的成交候选人。</w:t>
      </w:r>
    </w:p>
    <w:p>
      <w:pPr>
        <w:spacing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20．成交通知</w:t>
      </w:r>
    </w:p>
    <w:p>
      <w:pPr>
        <w:spacing w:line="420" w:lineRule="exact"/>
        <w:ind w:firstLine="389" w:firstLineChars="177"/>
        <w:rPr>
          <w:rFonts w:cs="宋体" w:asciiTheme="majorEastAsia" w:hAnsiTheme="majorEastAsia" w:eastAsiaTheme="majorEastAsia"/>
          <w:color w:val="auto"/>
        </w:rPr>
      </w:pPr>
      <w:r>
        <w:rPr>
          <w:rFonts w:hint="eastAsia" w:cs="宋体" w:asciiTheme="majorEastAsia" w:hAnsiTheme="majorEastAsia" w:eastAsiaTheme="majorEastAsia"/>
          <w:color w:val="auto"/>
        </w:rPr>
        <w:t>20.l 成交后,采购代理机构应将成交结果通知所有的投标人，并向成交投标人发出成交通知书。</w:t>
      </w:r>
    </w:p>
    <w:p>
      <w:pPr>
        <w:spacing w:line="420" w:lineRule="exact"/>
        <w:ind w:firstLine="389" w:firstLineChars="177"/>
        <w:rPr>
          <w:rFonts w:cs="宋体" w:asciiTheme="majorEastAsia" w:hAnsiTheme="majorEastAsia" w:eastAsiaTheme="majorEastAsia"/>
          <w:color w:val="auto"/>
        </w:rPr>
      </w:pPr>
      <w:r>
        <w:rPr>
          <w:rFonts w:hint="eastAsia" w:cs="宋体" w:asciiTheme="majorEastAsia" w:hAnsiTheme="majorEastAsia" w:eastAsiaTheme="majorEastAsia"/>
          <w:color w:val="auto"/>
        </w:rPr>
        <w:t>20.2 成交投标人收到成交通知书后，须立即以书面形式回复采购代理机构，确认成交通知书已收到，并同意接受。</w:t>
      </w:r>
    </w:p>
    <w:p>
      <w:pPr>
        <w:spacing w:line="420" w:lineRule="exact"/>
        <w:ind w:firstLine="389" w:firstLineChars="177"/>
        <w:rPr>
          <w:rFonts w:cs="宋体" w:asciiTheme="majorEastAsia" w:hAnsiTheme="majorEastAsia" w:eastAsiaTheme="majorEastAsia"/>
          <w:color w:val="auto"/>
        </w:rPr>
      </w:pPr>
      <w:r>
        <w:rPr>
          <w:rFonts w:hint="eastAsia" w:cs="宋体" w:asciiTheme="majorEastAsia" w:hAnsiTheme="majorEastAsia" w:eastAsiaTheme="majorEastAsia"/>
          <w:color w:val="auto"/>
        </w:rPr>
        <w:t>20.3 成交通知书将是合同的一个组成部分。</w:t>
      </w:r>
    </w:p>
    <w:p>
      <w:pPr>
        <w:spacing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21．签订合同</w:t>
      </w:r>
    </w:p>
    <w:p>
      <w:pPr>
        <w:spacing w:line="420" w:lineRule="exact"/>
        <w:ind w:firstLine="389" w:firstLineChars="177"/>
        <w:rPr>
          <w:rFonts w:cs="宋体" w:asciiTheme="majorEastAsia" w:hAnsiTheme="majorEastAsia" w:eastAsiaTheme="majorEastAsia"/>
          <w:color w:val="auto"/>
        </w:rPr>
      </w:pPr>
      <w:r>
        <w:rPr>
          <w:rFonts w:hint="eastAsia" w:cs="宋体" w:asciiTheme="majorEastAsia" w:hAnsiTheme="majorEastAsia" w:eastAsiaTheme="majorEastAsia"/>
          <w:color w:val="auto"/>
        </w:rPr>
        <w:t>21.l 成交投标人应按成交通知书规定的时间、地点与采购人签订成交合同,否则磋商保证金将不予退还，给采购人和采购代理机构造成损失的，成交投标人还应承担赔偿责任。</w:t>
      </w:r>
    </w:p>
    <w:p>
      <w:pPr>
        <w:spacing w:line="420" w:lineRule="exact"/>
        <w:ind w:firstLine="389" w:firstLineChars="177"/>
        <w:rPr>
          <w:rFonts w:cs="宋体" w:asciiTheme="majorEastAsia" w:hAnsiTheme="majorEastAsia" w:eastAsiaTheme="majorEastAsia"/>
          <w:color w:val="auto"/>
        </w:rPr>
      </w:pPr>
      <w:r>
        <w:rPr>
          <w:rFonts w:hint="eastAsia" w:cs="宋体" w:asciiTheme="majorEastAsia" w:hAnsiTheme="majorEastAsia" w:eastAsiaTheme="majorEastAsia"/>
          <w:color w:val="auto"/>
        </w:rPr>
        <w:t>21.2 竞争性磋商文件、成交投标人的竞争性磋商响应文件及评标过程中有关澄清文件均应作为合同附件。</w:t>
      </w:r>
    </w:p>
    <w:p>
      <w:pPr>
        <w:spacing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22．采购代理服务费</w:t>
      </w:r>
    </w:p>
    <w:p>
      <w:pPr>
        <w:spacing w:line="420" w:lineRule="exact"/>
        <w:ind w:firstLine="389" w:firstLineChars="177"/>
        <w:rPr>
          <w:rFonts w:cs="宋体" w:asciiTheme="majorEastAsia" w:hAnsiTheme="majorEastAsia" w:eastAsiaTheme="majorEastAsia"/>
          <w:color w:val="auto"/>
        </w:rPr>
      </w:pPr>
      <w:r>
        <w:rPr>
          <w:rFonts w:hint="eastAsia" w:cs="宋体" w:asciiTheme="majorEastAsia" w:hAnsiTheme="majorEastAsia" w:eastAsiaTheme="majorEastAsia"/>
          <w:color w:val="auto"/>
        </w:rPr>
        <w:t>22.1采购代理服务费交纳标准：</w:t>
      </w:r>
    </w:p>
    <w:p>
      <w:pPr>
        <w:spacing w:line="420" w:lineRule="exact"/>
        <w:ind w:firstLine="389" w:firstLineChars="177"/>
        <w:rPr>
          <w:rFonts w:cs="宋体" w:asciiTheme="majorEastAsia" w:hAnsiTheme="majorEastAsia" w:eastAsiaTheme="majorEastAsia"/>
          <w:color w:val="auto"/>
        </w:rPr>
      </w:pPr>
      <w:r>
        <w:rPr>
          <w:rFonts w:hint="eastAsia" w:cs="宋体" w:asciiTheme="majorEastAsia" w:hAnsiTheme="majorEastAsia" w:eastAsiaTheme="majorEastAsia"/>
          <w:color w:val="auto"/>
        </w:rPr>
        <w:t>22.2 以成交总金额作为收费的计算基数；</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22.3 采购代理服务费按国家计委《招标代理服务收费管理暂行办法》（计价格〖2002〗1980号）规定的标准计算；</w:t>
      </w:r>
    </w:p>
    <w:p>
      <w:pPr>
        <w:spacing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23. 重新招标</w:t>
      </w:r>
    </w:p>
    <w:p>
      <w:pPr>
        <w:spacing w:line="420" w:lineRule="exact"/>
        <w:ind w:firstLine="330" w:firstLineChars="150"/>
        <w:rPr>
          <w:rFonts w:cs="宋体" w:asciiTheme="majorEastAsia" w:hAnsiTheme="majorEastAsia" w:eastAsiaTheme="majorEastAsia"/>
          <w:color w:val="auto"/>
        </w:rPr>
      </w:pPr>
      <w:r>
        <w:rPr>
          <w:rFonts w:hint="eastAsia" w:cs="宋体" w:asciiTheme="majorEastAsia" w:hAnsiTheme="majorEastAsia" w:eastAsiaTheme="majorEastAsia"/>
          <w:color w:val="auto"/>
        </w:rPr>
        <w:t>有下列情形之一的，采购人将重新招标：</w:t>
      </w:r>
    </w:p>
    <w:p>
      <w:pPr>
        <w:spacing w:line="420" w:lineRule="exact"/>
        <w:ind w:firstLine="330" w:firstLineChars="150"/>
        <w:rPr>
          <w:rFonts w:cs="宋体" w:asciiTheme="majorEastAsia" w:hAnsiTheme="majorEastAsia" w:eastAsiaTheme="majorEastAsia"/>
          <w:color w:val="auto"/>
        </w:rPr>
      </w:pPr>
      <w:r>
        <w:rPr>
          <w:rFonts w:hint="eastAsia" w:cs="宋体" w:asciiTheme="majorEastAsia" w:hAnsiTheme="majorEastAsia" w:eastAsiaTheme="majorEastAsia"/>
          <w:color w:val="auto"/>
        </w:rPr>
        <w:t>（1）经竞争性磋商小组评审后否决所有竞争性磋商响应文件的；</w:t>
      </w:r>
    </w:p>
    <w:p>
      <w:pPr>
        <w:spacing w:line="420" w:lineRule="exact"/>
        <w:ind w:firstLine="330" w:firstLineChars="150"/>
        <w:rPr>
          <w:rFonts w:cs="宋体" w:asciiTheme="majorEastAsia" w:hAnsiTheme="majorEastAsia" w:eastAsiaTheme="majorEastAsia"/>
          <w:color w:val="auto"/>
        </w:rPr>
      </w:pPr>
      <w:r>
        <w:rPr>
          <w:rFonts w:hint="eastAsia" w:cs="宋体" w:asciiTheme="majorEastAsia" w:hAnsiTheme="majorEastAsia" w:eastAsiaTheme="majorEastAsia"/>
          <w:color w:val="auto"/>
        </w:rPr>
        <w:t>（2）成交候选人均未与采购人签订合同的；</w:t>
      </w:r>
    </w:p>
    <w:p>
      <w:pPr>
        <w:spacing w:line="420" w:lineRule="exact"/>
        <w:ind w:firstLine="330" w:firstLineChars="150"/>
        <w:rPr>
          <w:rFonts w:cs="宋体" w:asciiTheme="majorEastAsia" w:hAnsiTheme="majorEastAsia" w:eastAsiaTheme="majorEastAsia"/>
          <w:color w:val="auto"/>
        </w:rPr>
      </w:pPr>
      <w:r>
        <w:rPr>
          <w:rFonts w:hint="eastAsia" w:cs="宋体" w:asciiTheme="majorEastAsia" w:hAnsiTheme="majorEastAsia" w:eastAsiaTheme="majorEastAsia"/>
          <w:color w:val="auto"/>
        </w:rPr>
        <w:t>（3）法律规定的其他情形。</w:t>
      </w:r>
    </w:p>
    <w:p>
      <w:pPr>
        <w:spacing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24.其它</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24.1本项目不召开答疑会。</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24.2对列入失信被执行人、重大税收违法案件当事人名单、政府采购严重违法失信行为记录名单及其他不符合《中华人民共和国政府采购法》第二十二条规定条件的投标人，将拒绝其参与政府采购活动。</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24.3信用信息查询的查询渠道：“ 信 用 中国 ”网站 （ www.creditchina.gov.cn ）、中国政府采购网（www.ccgp.gov.cn）。</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24.4信用信息查询的截止时点：</w:t>
      </w:r>
      <w:r>
        <w:rPr>
          <w:rFonts w:hint="eastAsia" w:cs="宋体" w:asciiTheme="majorEastAsia" w:hAnsiTheme="majorEastAsia" w:eastAsiaTheme="majorEastAsia"/>
          <w:color w:val="auto"/>
          <w:lang w:eastAsia="zh-CN"/>
        </w:rPr>
        <w:t>自本项目磋商公告之日起</w:t>
      </w:r>
      <w:r>
        <w:rPr>
          <w:rFonts w:hint="eastAsia" w:cs="宋体" w:asciiTheme="majorEastAsia" w:hAnsiTheme="majorEastAsia" w:eastAsiaTheme="majorEastAsia"/>
          <w:color w:val="auto"/>
        </w:rPr>
        <w:t>至本项目响应文件提交截止时间止。</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24.5信用信息查询记录证据留存的具体方式：查询记录的网页打印件。</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24.6信用信息的使用规则：对列入失信被执行人、重大税收违法案件当事人名单、政府采购严重违法 失信行为记录名单及其他不符合《中华人民共和国政府采购法》第二十二条规定条件的投标人，将拒绝其 参与政府采购活动。</w:t>
      </w:r>
    </w:p>
    <w:p>
      <w:pPr>
        <w:spacing w:line="420" w:lineRule="exact"/>
        <w:ind w:firstLine="440" w:firstLineChars="200"/>
        <w:rPr>
          <w:rFonts w:cs="宋体" w:asciiTheme="majorEastAsia" w:hAnsiTheme="majorEastAsia" w:eastAsiaTheme="majorEastAsia"/>
          <w:color w:val="auto"/>
        </w:rPr>
      </w:pPr>
      <w:r>
        <w:rPr>
          <w:rFonts w:hint="eastAsia" w:cs="宋体" w:asciiTheme="majorEastAsia" w:hAnsiTheme="majorEastAsia" w:eastAsiaTheme="majorEastAsia"/>
          <w:color w:val="auto"/>
        </w:rPr>
        <w:t>其他需要补充的内容：见磋商须知前附表。</w:t>
      </w:r>
    </w:p>
    <w:p>
      <w:pPr>
        <w:spacing w:line="420" w:lineRule="exact"/>
        <w:rPr>
          <w:rFonts w:cs="宋体" w:asciiTheme="majorEastAsia" w:hAnsiTheme="majorEastAsia" w:eastAsiaTheme="majorEastAsia"/>
          <w:color w:val="auto"/>
        </w:rPr>
      </w:pPr>
      <w:r>
        <w:rPr>
          <w:rFonts w:hint="eastAsia" w:cs="宋体" w:asciiTheme="majorEastAsia" w:hAnsiTheme="majorEastAsia" w:eastAsiaTheme="majorEastAsia"/>
          <w:color w:val="auto"/>
        </w:rPr>
        <w:t>25. 政策优惠条件及要求:根据财政部、工业和信息化部关于《政府采购促进中小企业发展暂行办法》的要求，以及政府关于强制采购节能产品、信息安全产品和优先采购环境标志产品的实施意见，政府采购项目的政策优惠条件及要求如下。</w:t>
      </w:r>
    </w:p>
    <w:p>
      <w:pPr>
        <w:spacing w:line="420" w:lineRule="exact"/>
        <w:ind w:firstLine="389" w:firstLineChars="177"/>
        <w:rPr>
          <w:rFonts w:cs="宋体" w:asciiTheme="majorEastAsia" w:hAnsiTheme="majorEastAsia" w:eastAsiaTheme="majorEastAsia"/>
          <w:color w:val="auto"/>
        </w:rPr>
      </w:pPr>
      <w:r>
        <w:rPr>
          <w:rFonts w:hint="eastAsia" w:cs="宋体" w:asciiTheme="majorEastAsia" w:hAnsiTheme="majorEastAsia" w:eastAsiaTheme="majorEastAsia"/>
          <w:color w:val="auto"/>
        </w:rPr>
        <w:t>25.1关于小微企业（投标人）产品参与投标</w:t>
      </w:r>
    </w:p>
    <w:p>
      <w:pPr>
        <w:spacing w:line="420" w:lineRule="exact"/>
        <w:ind w:firstLine="539" w:firstLineChars="245"/>
        <w:rPr>
          <w:rFonts w:cs="宋体" w:asciiTheme="majorEastAsia" w:hAnsiTheme="majorEastAsia" w:eastAsiaTheme="majorEastAsia"/>
          <w:color w:val="auto"/>
        </w:rPr>
      </w:pPr>
      <w:r>
        <w:rPr>
          <w:rFonts w:hint="eastAsia" w:cs="宋体" w:asciiTheme="majorEastAsia" w:hAnsiTheme="majorEastAsia" w:eastAsiaTheme="majorEastAsia"/>
          <w:color w:val="auto"/>
        </w:rPr>
        <w:t>根据财政部、工业和信息化部关于《政府采购促进中小企业发展暂行办法》的要求，对于非专门面对中小企业的项目，对小型和微型企业产品的价格给予6%的扣除，用扣除后的价格参与评审。享受政策优惠的小型、微型投标人须提供合法有效的“小型、微型企业声明函”。</w:t>
      </w:r>
    </w:p>
    <w:p>
      <w:pPr>
        <w:spacing w:line="420" w:lineRule="exact"/>
        <w:ind w:firstLine="519" w:firstLineChars="236"/>
        <w:rPr>
          <w:rFonts w:cs="宋体" w:asciiTheme="majorEastAsia" w:hAnsiTheme="majorEastAsia" w:eastAsiaTheme="majorEastAsia"/>
          <w:color w:val="auto"/>
        </w:rPr>
      </w:pPr>
      <w:r>
        <w:rPr>
          <w:rFonts w:hint="eastAsia" w:cs="宋体" w:asciiTheme="majorEastAsia" w:hAnsiTheme="majorEastAsia" w:eastAsiaTheme="majorEastAsia"/>
          <w:color w:val="auto"/>
        </w:rPr>
        <w:t>25.2 关于强制采购节能产品、信息安全产品和优先采购环境标志产品的要求</w:t>
      </w:r>
    </w:p>
    <w:p>
      <w:pPr>
        <w:spacing w:line="420" w:lineRule="exact"/>
        <w:ind w:firstLine="519" w:firstLineChars="236"/>
        <w:rPr>
          <w:rFonts w:cs="宋体" w:asciiTheme="majorEastAsia" w:hAnsiTheme="majorEastAsia" w:eastAsiaTheme="majorEastAsia"/>
          <w:color w:val="auto"/>
        </w:rPr>
      </w:pPr>
      <w:r>
        <w:rPr>
          <w:rFonts w:hint="eastAsia" w:cs="宋体" w:asciiTheme="majorEastAsia" w:hAnsiTheme="majorEastAsia" w:eastAsiaTheme="majorEastAsia"/>
          <w:color w:val="auto"/>
        </w:rPr>
        <w:t>25.2.1节能产品是指列入财政部、国家发展和改革委员会制定的《节能产品政府采购清单》(中国政府采购网（http://www.ccgp.gov.cn/）等网站发布)，且经过认定的节能产品；信息安全产品是指列入国家质检总局、财政部、认监委《信息安全产品强制性认证目录》，并获得中国国家信息安全产品认证证书的产品；环境标志产品是指列入财政部、国家环保总局制定的《环境标志产品政府采购清单》(中国政府采购网（http://www.ccgp.gov.cn/）等网站发布)，且经过认证的环境标志产品。</w:t>
      </w:r>
    </w:p>
    <w:p>
      <w:pPr>
        <w:spacing w:line="420" w:lineRule="exact"/>
        <w:ind w:firstLine="519" w:firstLineChars="236"/>
        <w:rPr>
          <w:rFonts w:cs="宋体" w:asciiTheme="majorEastAsia" w:hAnsiTheme="majorEastAsia" w:eastAsiaTheme="majorEastAsia"/>
          <w:color w:val="auto"/>
        </w:rPr>
      </w:pPr>
      <w:r>
        <w:rPr>
          <w:rFonts w:hint="eastAsia" w:cs="宋体" w:asciiTheme="majorEastAsia" w:hAnsiTheme="majorEastAsia" w:eastAsiaTheme="majorEastAsia"/>
          <w:color w:val="auto"/>
        </w:rPr>
        <w:t>25.2.2提供的产品属于信息安全产品的，投标人应当选择经国家认证的信息安全产品投标，并提供有效的中国国家信息安全产品认证证书复印件。</w:t>
      </w:r>
    </w:p>
    <w:p>
      <w:pPr>
        <w:spacing w:line="420" w:lineRule="exact"/>
        <w:ind w:firstLine="519" w:firstLineChars="236"/>
        <w:rPr>
          <w:rFonts w:cs="宋体" w:asciiTheme="majorEastAsia" w:hAnsiTheme="majorEastAsia" w:eastAsiaTheme="majorEastAsia"/>
          <w:color w:val="auto"/>
        </w:rPr>
      </w:pPr>
      <w:r>
        <w:rPr>
          <w:rFonts w:hint="eastAsia" w:cs="宋体" w:asciiTheme="majorEastAsia" w:hAnsiTheme="majorEastAsia" w:eastAsiaTheme="majorEastAsia"/>
          <w:color w:val="auto"/>
        </w:rPr>
        <w:t>25.2.3提供的产品属于政府强制采购节能产品的，投标人应当选择《节能产品政府采购清单》中的产品投标，并提供有效的节能产品认证证书复印件。</w:t>
      </w:r>
    </w:p>
    <w:p>
      <w:pPr>
        <w:pStyle w:val="67"/>
        <w:spacing w:line="420" w:lineRule="exact"/>
        <w:ind w:firstLine="519" w:firstLineChars="236"/>
        <w:rPr>
          <w:rFonts w:cs="宋体" w:asciiTheme="majorEastAsia" w:hAnsiTheme="majorEastAsia" w:eastAsiaTheme="majorEastAsia"/>
          <w:color w:val="auto"/>
          <w:sz w:val="22"/>
          <w:szCs w:val="22"/>
        </w:rPr>
      </w:pPr>
      <w:r>
        <w:rPr>
          <w:rFonts w:hint="eastAsia" w:cs="宋体" w:asciiTheme="majorEastAsia" w:hAnsiTheme="majorEastAsia" w:eastAsiaTheme="majorEastAsia"/>
          <w:color w:val="auto"/>
          <w:sz w:val="22"/>
          <w:szCs w:val="22"/>
        </w:rPr>
        <w:t>25.2.4 提供的产品属于优先采购环境标志产品的，投标人应当选择《环境标志产品政府采购清单》中的产品投标，并提供有效的环境标志产品认证证书复印件。</w:t>
      </w:r>
    </w:p>
    <w:p>
      <w:pPr>
        <w:rPr>
          <w:color w:val="auto"/>
        </w:rPr>
      </w:pPr>
      <w:bookmarkStart w:id="2" w:name="_Toc13507836"/>
    </w:p>
    <w:p>
      <w:pPr>
        <w:pStyle w:val="13"/>
        <w:tabs>
          <w:tab w:val="left" w:pos="8360"/>
        </w:tabs>
        <w:spacing w:line="420" w:lineRule="exact"/>
        <w:ind w:firstLine="540"/>
        <w:jc w:val="center"/>
        <w:rPr>
          <w:rFonts w:cs="宋体" w:asciiTheme="majorEastAsia" w:hAnsiTheme="majorEastAsia" w:eastAsiaTheme="majorEastAsia"/>
          <w:color w:val="auto"/>
          <w:sz w:val="36"/>
          <w:szCs w:val="36"/>
          <w:lang w:val="en-GB"/>
        </w:rPr>
      </w:pPr>
    </w:p>
    <w:p>
      <w:pPr>
        <w:pStyle w:val="13"/>
        <w:tabs>
          <w:tab w:val="left" w:pos="8360"/>
        </w:tabs>
        <w:spacing w:line="420" w:lineRule="exact"/>
        <w:ind w:firstLine="540"/>
        <w:jc w:val="center"/>
        <w:rPr>
          <w:rFonts w:hint="default" w:cs="宋体" w:asciiTheme="majorEastAsia" w:hAnsiTheme="majorEastAsia" w:eastAsiaTheme="majorEastAsia"/>
          <w:color w:val="auto"/>
          <w:sz w:val="36"/>
          <w:szCs w:val="36"/>
          <w:lang w:val="en-GB"/>
        </w:rPr>
      </w:pPr>
      <w:r>
        <w:rPr>
          <w:rFonts w:cs="宋体" w:asciiTheme="majorEastAsia" w:hAnsiTheme="majorEastAsia" w:eastAsiaTheme="majorEastAsia"/>
          <w:color w:val="auto"/>
          <w:sz w:val="36"/>
          <w:szCs w:val="36"/>
          <w:lang w:val="en-GB"/>
        </w:rPr>
        <w:t>第三章 采购合同</w:t>
      </w:r>
      <w:bookmarkEnd w:id="2"/>
    </w:p>
    <w:p>
      <w:pPr>
        <w:rPr>
          <w:rFonts w:asciiTheme="minorEastAsia" w:hAnsiTheme="minorEastAsia" w:eastAsiaTheme="minorEastAsia"/>
          <w:color w:val="auto"/>
          <w:sz w:val="30"/>
          <w:szCs w:val="30"/>
        </w:rPr>
      </w:pPr>
    </w:p>
    <w:p>
      <w:pPr>
        <w:spacing w:line="500" w:lineRule="exact"/>
        <w:ind w:firstLine="480" w:firstLineChars="200"/>
        <w:jc w:val="center"/>
        <w:rPr>
          <w:rFonts w:ascii="宋体" w:hAns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br w:type="page"/>
      </w:r>
      <w:r>
        <w:rPr>
          <w:rFonts w:hint="eastAsia" w:ascii="宋体" w:hAnsi="宋体"/>
          <w:b/>
          <w:color w:val="000000" w:themeColor="text1"/>
          <w:sz w:val="32"/>
          <w14:textFill>
            <w14:solidFill>
              <w14:schemeClr w14:val="tx1"/>
            </w14:solidFill>
          </w14:textFill>
        </w:rPr>
        <w:t>合同专用条款部分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480" w:firstLineChars="200"/>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（仅供参考）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480" w:firstLineChars="200"/>
        <w:jc w:val="center"/>
        <w:rPr>
          <w:rFonts w:ascii="宋体" w:hAnsi="宋体"/>
          <w:b/>
          <w:color w:val="000000" w:themeColor="text1"/>
          <w:sz w:val="24"/>
          <w14:textFill>
            <w14:solidFill>
              <w14:schemeClr w14:val="tx1"/>
            </w14:solidFill>
          </w14:textFill>
        </w:rPr>
      </w:pPr>
    </w:p>
    <w:p>
      <w:pPr>
        <w:spacing w:line="500" w:lineRule="exact"/>
        <w:ind w:firstLine="440" w:firstLineChars="200"/>
        <w:rPr>
          <w:rFonts w:ascii="宋体" w:hAnsi="宋体"/>
          <w:bCs/>
          <w:color w:val="000000" w:themeColor="text1"/>
          <w14:textFill>
            <w14:solidFill>
              <w14:schemeClr w14:val="tx1"/>
            </w14:solidFill>
          </w14:textFill>
        </w:rPr>
      </w:pPr>
      <w:bookmarkStart w:id="3" w:name="_Toc351203633"/>
      <w:r>
        <w:rPr>
          <w:rFonts w:ascii="宋体" w:hAnsi="宋体"/>
          <w:bCs/>
          <w:color w:val="000000" w:themeColor="text1"/>
          <w14:textFill>
            <w14:solidFill>
              <w14:schemeClr w14:val="tx1"/>
            </w14:solidFill>
          </w14:textFill>
        </w:rPr>
        <w:t>1</w:t>
      </w:r>
      <w:bookmarkStart w:id="4" w:name="_Toc292559361"/>
      <w:bookmarkStart w:id="5" w:name="_Toc297048342"/>
      <w:bookmarkStart w:id="6" w:name="_Toc297120456"/>
      <w:bookmarkStart w:id="7" w:name="_Toc296891196"/>
      <w:bookmarkStart w:id="8" w:name="_Toc296890984"/>
      <w:bookmarkStart w:id="9" w:name="_Toc296347155"/>
      <w:bookmarkStart w:id="10" w:name="_Toc296944495"/>
      <w:bookmarkStart w:id="11" w:name="_Toc296503156"/>
      <w:bookmarkStart w:id="12" w:name="_Toc292559866"/>
      <w:bookmarkStart w:id="13" w:name="_Toc296346657"/>
      <w:r>
        <w:rPr>
          <w:rFonts w:ascii="宋体" w:hAnsi="宋体"/>
          <w:bCs/>
          <w:color w:val="000000" w:themeColor="text1"/>
          <w14:textFill>
            <w14:solidFill>
              <w14:schemeClr w14:val="tx1"/>
            </w14:solidFill>
          </w14:textFill>
        </w:rPr>
        <w:t>. 一般约定</w:t>
      </w:r>
      <w:bookmarkEnd w:id="3"/>
    </w:p>
    <w:bookmarkEnd w:id="4"/>
    <w:bookmarkEnd w:id="5"/>
    <w:bookmarkEnd w:id="6"/>
    <w:bookmarkEnd w:id="7"/>
    <w:bookmarkEnd w:id="8"/>
    <w:bookmarkEnd w:id="9"/>
    <w:bookmarkEnd w:id="10"/>
    <w:bookmarkEnd w:id="11"/>
    <w:bookmarkEnd w:id="12"/>
    <w:bookmarkEnd w:id="13"/>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1.1 词语定义</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1.1.1合同</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1.1.1.10其他合同文件包括：</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1.1.2 合同当事人及其他相关方</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1.1.2.4监理人：</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名    称：</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资质类别和等级：</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联系电话：</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电子信箱：</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通信地址：</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1.1.2.5 设计人：</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名    称：</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资质类别和等级：</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联系电话：</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电子信箱：</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通信地址：</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1.1.3 工程和设备</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1.1.3.7 作为施工现场组成部分的其他场所包括：</w:t>
      </w:r>
      <w:r>
        <w:rPr>
          <w:rFonts w:hint="eastAsia" w:ascii="宋体" w:hAnsi="宋体"/>
          <w:color w:val="000000" w:themeColor="text1"/>
          <w:u w:val="single"/>
          <w14:textFill>
            <w14:solidFill>
              <w14:schemeClr w14:val="tx1"/>
            </w14:solidFill>
          </w14:textFill>
        </w:rPr>
        <w:t xml:space="preserve">           </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1.1.3.9 永久占地包括：</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1.1.3.10 临时占地包括：</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1.3法律 </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适用于合同的其他规范性文件：</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1.4 标准和规范</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1.4.1适用于工程的标准规范包括：</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1.4.2 发包人提供国外标准、规范的名称：</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发包人提供国外标准、规范的份数：</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发包人提供国外标准、规范的名称：</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1.4.3发包人对工程的技术标准和功能要求的特殊要求：</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1.5 合同文件的优先顺序</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合同文件组成及优先顺序为：</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1.6 图纸和承包人文件</w:t>
      </w:r>
      <w:r>
        <w:rPr>
          <w:rFonts w:ascii="宋体" w:hAnsi="宋体"/>
          <w:color w:val="000000" w:themeColor="text1"/>
          <w14:textFill>
            <w14:solidFill>
              <w14:schemeClr w14:val="tx1"/>
            </w14:solidFill>
          </w14:textFill>
        </w:rPr>
        <w:tab/>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1.6.1 图纸的提供</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发包人向承包人提供图纸的期限：</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发包人向承包人提供图纸的数量：</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发包人向承包人提供图纸的内容：</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1.6.4 承包人文件</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需要由承包人提供的文件，包括：</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承包人提供的文件的期限为：</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承包人提供的文件的数量为：</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承包人提供的文件的形式为：</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发包人</w:t>
      </w:r>
      <w:r>
        <w:rPr>
          <w:rFonts w:hint="eastAsia" w:ascii="宋体" w:hAnsi="宋体"/>
          <w:color w:val="000000" w:themeColor="text1"/>
          <w14:textFill>
            <w14:solidFill>
              <w14:schemeClr w14:val="tx1"/>
            </w14:solidFill>
          </w14:textFill>
        </w:rPr>
        <w:t>审批</w:t>
      </w:r>
      <w:r>
        <w:rPr>
          <w:rFonts w:ascii="宋体" w:hAnsi="宋体"/>
          <w:color w:val="000000" w:themeColor="text1"/>
          <w14:textFill>
            <w14:solidFill>
              <w14:schemeClr w14:val="tx1"/>
            </w14:solidFill>
          </w14:textFill>
        </w:rPr>
        <w:t>承包人文件的期限：</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1.6.5 现场图纸准备</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关于现场图纸准备的约定：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1.7 联络</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1.7.1发包人和承包人应当在</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天内将与合同有关的通知、批准、证明、证书、指示、指令、要求、请求、同意、意见、确定和决定等书面函件送达对方当事人</w:t>
      </w:r>
      <w:r>
        <w:rPr>
          <w:rFonts w:hint="eastAsia"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1.7.2 发包人接收文件的地点：</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发包人指定的接收人为：</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承包人接收文件的地点：</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承包人指定的接收人为：</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监理人接收文件的地点：</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监理人指定的接收人为：</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1.10 交通运输</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bookmarkStart w:id="14" w:name="_Toc312677986"/>
      <w:bookmarkStart w:id="15" w:name="_Toc303539100"/>
      <w:bookmarkStart w:id="16" w:name="_Toc300934943"/>
      <w:bookmarkStart w:id="17" w:name="_Toc318581155"/>
      <w:bookmarkStart w:id="18" w:name="_Toc304295521"/>
      <w:r>
        <w:rPr>
          <w:rFonts w:ascii="宋体" w:hAnsi="宋体"/>
          <w:color w:val="000000" w:themeColor="text1"/>
          <w14:textFill>
            <w14:solidFill>
              <w14:schemeClr w14:val="tx1"/>
            </w14:solidFill>
          </w14:textFill>
        </w:rPr>
        <w:t>.10.1 出入现场的权利</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关于出入现场的权利的约定：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bookmarkEnd w:id="14"/>
    <w:bookmarkEnd w:id="15"/>
    <w:bookmarkEnd w:id="16"/>
    <w:bookmarkEnd w:id="17"/>
    <w:bookmarkEnd w:id="18"/>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bookmarkStart w:id="19" w:name="_Toc304295522"/>
      <w:bookmarkStart w:id="20" w:name="_Toc300934944"/>
      <w:bookmarkStart w:id="21" w:name="_Toc312677987"/>
      <w:bookmarkStart w:id="22" w:name="_Toc318581156"/>
      <w:bookmarkStart w:id="23" w:name="_Toc303539101"/>
      <w:r>
        <w:rPr>
          <w:rFonts w:ascii="宋体" w:hAnsi="宋体"/>
          <w:color w:val="000000" w:themeColor="text1"/>
          <w14:textFill>
            <w14:solidFill>
              <w14:schemeClr w14:val="tx1"/>
            </w14:solidFill>
          </w14:textFill>
        </w:rPr>
        <w:t>.10.3 场内交通</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关于场外交通和场内交通的边界的约定：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关于发包人向承包人免费提供满足工程施工需要的场内道路和交通设施的约定：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bookmarkEnd w:id="19"/>
      <w:bookmarkEnd w:id="20"/>
      <w:bookmarkEnd w:id="21"/>
      <w:bookmarkEnd w:id="22"/>
      <w:bookmarkEnd w:id="23"/>
      <w:bookmarkStart w:id="24" w:name="_Toc318581157"/>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1.10.4超大件和超重件的运输</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运输超大件或超重件所需的道路和桥梁临时加固改造费用和其他有关费用由</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承担。</w:t>
      </w:r>
    </w:p>
    <w:bookmarkEnd w:id="24"/>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1.11 知识产权</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1.11.1关于发包人提供给承包人的图纸、发包人为实施工程自行编制或委托编制的技术规范以及反映发包人关于合同要求或其他类似性质的文件的著作权的归属：</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关于发包人提供的上述文件的使用限制的要求：</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1.11.2 关于承包人为实施工程所编制文件的著作权的归属：</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关于承包人提供的上述文件的使用限制的要求：</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1.11.4 承包人在施工过程中所采用的专利、专有技术、技术秘密的使用费的承担方式：</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1.13工程量清单错误的修正</w:t>
      </w:r>
    </w:p>
    <w:p>
      <w:pPr>
        <w:spacing w:line="500" w:lineRule="exact"/>
        <w:ind w:firstLine="44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出现工程量清单错误时，是否调整合同价格：</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允许调整合同价格的工程量偏差范围：</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bCs/>
          <w:color w:val="000000" w:themeColor="text1"/>
          <w14:textFill>
            <w14:solidFill>
              <w14:schemeClr w14:val="tx1"/>
            </w14:solidFill>
          </w14:textFill>
        </w:rPr>
      </w:pPr>
      <w:bookmarkStart w:id="25" w:name="_Toc351203634"/>
      <w:r>
        <w:rPr>
          <w:rFonts w:ascii="宋体" w:hAnsi="宋体"/>
          <w:bCs/>
          <w:color w:val="000000" w:themeColor="text1"/>
          <w14:textFill>
            <w14:solidFill>
              <w14:schemeClr w14:val="tx1"/>
            </w14:solidFill>
          </w14:textFill>
        </w:rPr>
        <w:t>2</w:t>
      </w:r>
      <w:bookmarkStart w:id="26" w:name="_Toc296346658"/>
      <w:bookmarkStart w:id="27" w:name="_Toc296890985"/>
      <w:bookmarkStart w:id="28" w:name="_Toc296944496"/>
      <w:bookmarkStart w:id="29" w:name="_Toc297120457"/>
      <w:bookmarkStart w:id="30" w:name="_Toc296503157"/>
      <w:bookmarkStart w:id="31" w:name="_Toc296891197"/>
      <w:bookmarkStart w:id="32" w:name="_Toc296347156"/>
      <w:bookmarkStart w:id="33" w:name="_Toc297048343"/>
      <w:bookmarkStart w:id="34" w:name="_Toc292559362"/>
      <w:bookmarkStart w:id="35" w:name="_Toc292559867"/>
      <w:r>
        <w:rPr>
          <w:rFonts w:ascii="宋体" w:hAnsi="宋体"/>
          <w:bCs/>
          <w:color w:val="000000" w:themeColor="text1"/>
          <w14:textFill>
            <w14:solidFill>
              <w14:schemeClr w14:val="tx1"/>
            </w14:solidFill>
          </w14:textFill>
        </w:rPr>
        <w:t>. 发包人</w:t>
      </w:r>
      <w:bookmarkEnd w:id="25"/>
    </w:p>
    <w:bookmarkEnd w:id="26"/>
    <w:bookmarkEnd w:id="27"/>
    <w:bookmarkEnd w:id="28"/>
    <w:bookmarkEnd w:id="29"/>
    <w:bookmarkEnd w:id="30"/>
    <w:bookmarkEnd w:id="31"/>
    <w:bookmarkEnd w:id="32"/>
    <w:bookmarkEnd w:id="33"/>
    <w:bookmarkEnd w:id="34"/>
    <w:bookmarkEnd w:id="35"/>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2.2 发包人代表</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发包人代表：</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姓    名：</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身份证号：</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职    务：</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联系电话：</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电子信箱：</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通信地址：</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b/>
          <w:color w:val="000000" w:themeColor="text1"/>
          <w14:textFill>
            <w14:solidFill>
              <w14:schemeClr w14:val="tx1"/>
            </w14:solidFill>
          </w14:textFill>
        </w:rPr>
      </w:pPr>
      <w:r>
        <w:rPr>
          <w:rFonts w:ascii="宋体" w:hAnsi="宋体"/>
          <w:color w:val="000000" w:themeColor="text1"/>
          <w14:textFill>
            <w14:solidFill>
              <w14:schemeClr w14:val="tx1"/>
            </w14:solidFill>
          </w14:textFill>
        </w:rPr>
        <w:t>发包人对发包人代表的授权范围如下：</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2.4 施工现场、施工条件和基础资料的提供</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2.4.1 提供施工现场</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关于发包人移交施工现场的期限要求：</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2.4.2 提供施工条件</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关于发包人应负责提供施工</w:t>
      </w:r>
      <w:r>
        <w:rPr>
          <w:rFonts w:hint="eastAsia" w:ascii="宋体" w:hAnsi="宋体"/>
          <w:color w:val="000000" w:themeColor="text1"/>
          <w14:textFill>
            <w14:solidFill>
              <w14:schemeClr w14:val="tx1"/>
            </w14:solidFill>
          </w14:textFill>
        </w:rPr>
        <w:t>所需要的条件，</w:t>
      </w:r>
      <w:r>
        <w:rPr>
          <w:rFonts w:ascii="宋体" w:hAnsi="宋体"/>
          <w:color w:val="000000" w:themeColor="text1"/>
          <w14:textFill>
            <w14:solidFill>
              <w14:schemeClr w14:val="tx1"/>
            </w14:solidFill>
          </w14:textFill>
        </w:rPr>
        <w:t>包括：</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2.5 资金来源证明及支付担保</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发包人提供资金来源证明的期限要求：</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发包人是否提供支付担保：</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发包人提供支付担保的形式：</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bCs/>
          <w:color w:val="000000" w:themeColor="text1"/>
          <w14:textFill>
            <w14:solidFill>
              <w14:schemeClr w14:val="tx1"/>
            </w14:solidFill>
          </w14:textFill>
        </w:rPr>
      </w:pPr>
      <w:bookmarkStart w:id="36" w:name="_Toc351203635"/>
      <w:r>
        <w:rPr>
          <w:rFonts w:ascii="宋体" w:hAnsi="宋体"/>
          <w:bCs/>
          <w:color w:val="000000" w:themeColor="text1"/>
          <w14:textFill>
            <w14:solidFill>
              <w14:schemeClr w14:val="tx1"/>
            </w14:solidFill>
          </w14:textFill>
        </w:rPr>
        <w:t>3</w:t>
      </w:r>
      <w:bookmarkStart w:id="37" w:name="_Toc296944497"/>
      <w:bookmarkStart w:id="38" w:name="_Toc297048344"/>
      <w:bookmarkStart w:id="39" w:name="_Toc296890986"/>
      <w:bookmarkStart w:id="40" w:name="_Toc292559363"/>
      <w:bookmarkStart w:id="41" w:name="_Toc292559868"/>
      <w:bookmarkStart w:id="42" w:name="_Toc296346659"/>
      <w:bookmarkStart w:id="43" w:name="_Toc297120458"/>
      <w:bookmarkStart w:id="44" w:name="_Toc296347157"/>
      <w:bookmarkStart w:id="45" w:name="_Toc296503158"/>
      <w:bookmarkStart w:id="46" w:name="_Toc296891198"/>
      <w:r>
        <w:rPr>
          <w:rFonts w:ascii="宋体" w:hAnsi="宋体"/>
          <w:bCs/>
          <w:color w:val="000000" w:themeColor="text1"/>
          <w14:textFill>
            <w14:solidFill>
              <w14:schemeClr w14:val="tx1"/>
            </w14:solidFill>
          </w14:textFill>
        </w:rPr>
        <w:t>. 承包人</w:t>
      </w:r>
      <w:bookmarkEnd w:id="36"/>
    </w:p>
    <w:bookmarkEnd w:id="37"/>
    <w:bookmarkEnd w:id="38"/>
    <w:bookmarkEnd w:id="39"/>
    <w:bookmarkEnd w:id="40"/>
    <w:bookmarkEnd w:id="41"/>
    <w:bookmarkEnd w:id="42"/>
    <w:bookmarkEnd w:id="43"/>
    <w:bookmarkEnd w:id="44"/>
    <w:bookmarkEnd w:id="45"/>
    <w:bookmarkEnd w:id="46"/>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3.1 承包人的一般义务</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9</w:t>
      </w:r>
      <w:r>
        <w:rPr>
          <w:rFonts w:ascii="宋体" w:hAnsi="宋体"/>
          <w:color w:val="000000" w:themeColor="text1"/>
          <w14:textFill>
            <w14:solidFill>
              <w14:schemeClr w14:val="tx1"/>
            </w14:solidFill>
          </w14:textFill>
        </w:rPr>
        <w:t>）承包人提交的竣工资料的内容：</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承包人需要提交的竣工资料套数：</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承包人提交的竣工资料的费用承担：</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承包人提交的竣工资料移交时间：</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承包人提交的竣工资料形式要求：</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10</w:t>
      </w:r>
      <w:r>
        <w:rPr>
          <w:rFonts w:ascii="宋体" w:hAnsi="宋体"/>
          <w:color w:val="000000" w:themeColor="text1"/>
          <w14:textFill>
            <w14:solidFill>
              <w14:schemeClr w14:val="tx1"/>
            </w14:solidFill>
          </w14:textFill>
        </w:rPr>
        <w:t>）承包人应履行的其他义务：</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3.2 项目经理</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3.2.1 项目经理：</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姓    名：</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身份证号：</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建造师执业资格等级：</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建造师注册证书号：</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建造师执业印章号：</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安全生产考核合格证书号：</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联系电话：</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电子信箱：</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通信地址：</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承包人对项目经理的授权范围如下：</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关于项目经理每月在施工现场的时间要求：</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承包人未提交劳动合同，以及没有为项目经理缴纳社会保险证明的违约责任：</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项目经理未经批准，擅自离开施工现场的违约责任：</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3.2.3 承包人擅自更换项目经理的违约责任：</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    3.2.4 承包人无正当理由拒绝更换项目经理的违约责任：</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3.3 承包人人员</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3.3.1 承包人提交项目管理机构及施工现场管理人员安排报告的期限：</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3.3.3 承包人无正当理由拒绝撤换主要施工管理人员的违约责任：</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3.3.4 承包人主要施工管理人员离开施工现场的批准要求：</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3.3.5承包人擅自更换主要施工管理人员的违约责任：</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承包人主要施工管理人员擅自离开施工现场的违约责任：</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w:t>
      </w:r>
      <w:bookmarkStart w:id="47" w:name="_Toc296347158"/>
      <w:bookmarkStart w:id="48" w:name="_Toc297216151"/>
      <w:bookmarkStart w:id="49" w:name="_Toc296346660"/>
      <w:bookmarkStart w:id="50" w:name="_Toc297123492"/>
      <w:bookmarkStart w:id="51" w:name="_Toc296944498"/>
      <w:bookmarkStart w:id="52" w:name="_Toc297048345"/>
      <w:bookmarkStart w:id="53" w:name="_Toc296891199"/>
      <w:bookmarkStart w:id="54" w:name="_Toc292559869"/>
      <w:bookmarkStart w:id="55" w:name="_Toc300934945"/>
      <w:bookmarkStart w:id="56" w:name="_Toc292559364"/>
      <w:bookmarkStart w:id="57" w:name="_Toc296890987"/>
      <w:bookmarkStart w:id="58" w:name="_Toc304295523"/>
      <w:bookmarkStart w:id="59" w:name="_Toc312677988"/>
      <w:bookmarkStart w:id="60" w:name="_Toc303539102"/>
      <w:bookmarkStart w:id="61" w:name="_Toc297120459"/>
      <w:bookmarkStart w:id="62" w:name="_Toc296503159"/>
      <w:r>
        <w:rPr>
          <w:rFonts w:ascii="宋体" w:hAnsi="宋体"/>
          <w:color w:val="000000" w:themeColor="text1"/>
          <w14:textFill>
            <w14:solidFill>
              <w14:schemeClr w14:val="tx1"/>
            </w14:solidFill>
          </w14:textFill>
        </w:rPr>
        <w:t>.5 分包</w:t>
      </w: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w:t>
      </w:r>
      <w:bookmarkStart w:id="63" w:name="_Toc297120460"/>
      <w:bookmarkStart w:id="64" w:name="_Toc303539103"/>
      <w:bookmarkStart w:id="65" w:name="_Toc296347159"/>
      <w:bookmarkStart w:id="66" w:name="_Toc297216152"/>
      <w:bookmarkStart w:id="67" w:name="_Toc292559870"/>
      <w:bookmarkStart w:id="68" w:name="_Toc292559365"/>
      <w:bookmarkStart w:id="69" w:name="_Toc296891200"/>
      <w:bookmarkStart w:id="70" w:name="_Toc304295524"/>
      <w:bookmarkStart w:id="71" w:name="_Toc297048346"/>
      <w:bookmarkStart w:id="72" w:name="_Toc296944499"/>
      <w:bookmarkStart w:id="73" w:name="_Toc296890988"/>
      <w:bookmarkStart w:id="74" w:name="_Toc297123493"/>
      <w:bookmarkStart w:id="75" w:name="_Toc296346661"/>
      <w:bookmarkStart w:id="76" w:name="_Toc300934946"/>
      <w:bookmarkStart w:id="77" w:name="_Toc296503160"/>
      <w:bookmarkStart w:id="78" w:name="_Toc318581158"/>
      <w:bookmarkStart w:id="79" w:name="_Toc312677989"/>
      <w:r>
        <w:rPr>
          <w:rFonts w:ascii="宋体" w:hAnsi="宋体"/>
          <w:color w:val="000000" w:themeColor="text1"/>
          <w14:textFill>
            <w14:solidFill>
              <w14:schemeClr w14:val="tx1"/>
            </w14:solidFill>
          </w14:textFill>
        </w:rPr>
        <w:t>.5.1 分包的一般约定</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禁止分包的工程包括：</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主体结构、关键性工作的范围：</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Start w:id="80" w:name="_Toc296503161"/>
      <w:bookmarkStart w:id="81" w:name="_Toc304295525"/>
      <w:bookmarkStart w:id="82" w:name="_Toc296347160"/>
      <w:bookmarkStart w:id="83" w:name="_Toc303539104"/>
      <w:bookmarkStart w:id="84" w:name="_Toc300934947"/>
      <w:bookmarkStart w:id="85" w:name="_Toc297048347"/>
      <w:bookmarkStart w:id="86" w:name="_Toc296346662"/>
      <w:bookmarkStart w:id="87" w:name="_Toc297216153"/>
      <w:bookmarkStart w:id="88" w:name="_Toc297120461"/>
      <w:bookmarkStart w:id="89" w:name="_Toc296944500"/>
      <w:bookmarkStart w:id="90" w:name="_Toc296890989"/>
      <w:bookmarkStart w:id="91" w:name="_Toc296891201"/>
      <w:bookmarkStart w:id="92" w:name="_Toc297123494"/>
    </w:p>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    3</w:t>
      </w:r>
      <w:bookmarkStart w:id="93" w:name="_Toc318581159"/>
      <w:bookmarkStart w:id="94" w:name="_Toc312677990"/>
      <w:r>
        <w:rPr>
          <w:rFonts w:ascii="宋体" w:hAnsi="宋体"/>
          <w:color w:val="000000" w:themeColor="text1"/>
          <w14:textFill>
            <w14:solidFill>
              <w14:schemeClr w14:val="tx1"/>
            </w14:solidFill>
          </w14:textFill>
        </w:rPr>
        <w:t>.5.2分包的确定</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允许分包的专业工程包括：</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其他关于分包的约定：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3.5.4 分包合同价款</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关于分包合同价款支付的约定：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bookmarkEnd w:id="93"/>
    <w:bookmarkEnd w:id="94"/>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3.6 工程照管与成品、半成品保护</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承包人负责照管工程及工程相关的材料、工程设备的起始时间：</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3.7 履约担保</w:t>
      </w:r>
    </w:p>
    <w:p>
      <w:pPr>
        <w:spacing w:line="500" w:lineRule="exact"/>
        <w:ind w:firstLine="44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承包人是否提供履约担保：</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承包人提供履约担保的形式</w:t>
      </w:r>
      <w:r>
        <w:rPr>
          <w:rFonts w:hint="eastAsia" w:ascii="宋体" w:hAnsi="宋体"/>
          <w:color w:val="000000" w:themeColor="text1"/>
          <w14:textFill>
            <w14:solidFill>
              <w14:schemeClr w14:val="tx1"/>
            </w14:solidFill>
          </w14:textFill>
        </w:rPr>
        <w:t>、金额及期限的</w:t>
      </w:r>
      <w:r>
        <w:rPr>
          <w:rFonts w:ascii="宋体" w:hAnsi="宋体"/>
          <w:color w:val="000000" w:themeColor="text1"/>
          <w14:textFill>
            <w14:solidFill>
              <w14:schemeClr w14:val="tx1"/>
            </w14:solidFill>
          </w14:textFill>
        </w:rPr>
        <w:t>：</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bCs/>
          <w:color w:val="000000" w:themeColor="text1"/>
          <w14:textFill>
            <w14:solidFill>
              <w14:schemeClr w14:val="tx1"/>
            </w14:solidFill>
          </w14:textFill>
        </w:rPr>
      </w:pPr>
      <w:bookmarkStart w:id="95" w:name="_Toc351203636"/>
      <w:r>
        <w:rPr>
          <w:rFonts w:ascii="宋体" w:hAnsi="宋体"/>
          <w:bCs/>
          <w:color w:val="000000" w:themeColor="text1"/>
          <w14:textFill>
            <w14:solidFill>
              <w14:schemeClr w14:val="tx1"/>
            </w14:solidFill>
          </w14:textFill>
        </w:rPr>
        <w:t>4</w:t>
      </w:r>
      <w:bookmarkStart w:id="96" w:name="_Toc296890990"/>
      <w:bookmarkStart w:id="97" w:name="_Toc296891202"/>
      <w:bookmarkStart w:id="98" w:name="_Toc296503162"/>
      <w:bookmarkStart w:id="99" w:name="_Toc267251413"/>
      <w:bookmarkStart w:id="100" w:name="_Toc292559366"/>
      <w:bookmarkStart w:id="101" w:name="_Toc297120462"/>
      <w:bookmarkStart w:id="102" w:name="_Toc292559871"/>
      <w:bookmarkStart w:id="103" w:name="_Toc297048348"/>
      <w:bookmarkStart w:id="104" w:name="_Toc296346663"/>
      <w:bookmarkStart w:id="105" w:name="_Toc296347161"/>
      <w:bookmarkStart w:id="106" w:name="_Toc296944501"/>
      <w:r>
        <w:rPr>
          <w:rFonts w:ascii="宋体" w:hAnsi="宋体"/>
          <w:bCs/>
          <w:color w:val="000000" w:themeColor="text1"/>
          <w14:textFill>
            <w14:solidFill>
              <w14:schemeClr w14:val="tx1"/>
            </w14:solidFill>
          </w14:textFill>
        </w:rPr>
        <w:t>. 监</w:t>
      </w:r>
      <w:bookmarkEnd w:id="96"/>
      <w:bookmarkEnd w:id="97"/>
      <w:bookmarkEnd w:id="98"/>
      <w:bookmarkEnd w:id="99"/>
      <w:bookmarkEnd w:id="100"/>
      <w:bookmarkEnd w:id="101"/>
      <w:bookmarkEnd w:id="102"/>
      <w:bookmarkEnd w:id="103"/>
      <w:bookmarkEnd w:id="104"/>
      <w:bookmarkEnd w:id="105"/>
      <w:bookmarkEnd w:id="106"/>
      <w:r>
        <w:rPr>
          <w:rFonts w:ascii="宋体" w:hAnsi="宋体"/>
          <w:bCs/>
          <w:color w:val="000000" w:themeColor="text1"/>
          <w14:textFill>
            <w14:solidFill>
              <w14:schemeClr w14:val="tx1"/>
            </w14:solidFill>
          </w14:textFill>
        </w:rPr>
        <w:t>理人</w:t>
      </w:r>
      <w:bookmarkEnd w:id="95"/>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4.1监理人的一般规定</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关于监理人的监理内容：</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关于监理人的监理权限：</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关于监理人在施工现场的办公场所、生活场所的提供和费用承担的约定：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4.2 监理人员</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总监理工程师：</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姓    名：</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职    务：</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监理工程师执业资格证书号：</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联系电话：</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电子信箱：</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通信地址：</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关于监理人的其他约定：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4.4 商定或确定</w:t>
      </w:r>
    </w:p>
    <w:p>
      <w:pPr>
        <w:spacing w:line="500" w:lineRule="exact"/>
        <w:ind w:firstLine="440" w:firstLineChars="200"/>
        <w:rPr>
          <w:rFonts w:ascii="宋体" w:hAnsi="宋体"/>
          <w:color w:val="000000" w:themeColor="text1"/>
          <w14:textFill>
            <w14:solidFill>
              <w14:schemeClr w14:val="tx1"/>
            </w14:solidFill>
          </w14:textFill>
        </w:rPr>
      </w:pPr>
      <w:bookmarkStart w:id="107" w:name="_Toc267251418"/>
      <w:r>
        <w:rPr>
          <w:rFonts w:ascii="宋体" w:hAnsi="宋体"/>
          <w:color w:val="000000" w:themeColor="text1"/>
          <w14:textFill>
            <w14:solidFill>
              <w14:schemeClr w14:val="tx1"/>
            </w14:solidFill>
          </w14:textFill>
        </w:rPr>
        <w:t>在发包人和承包人不能通过协商达成一致意见时，发包人授权监理人对以下事项进行确定：</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bCs/>
          <w:color w:val="000000" w:themeColor="text1"/>
          <w14:textFill>
            <w14:solidFill>
              <w14:schemeClr w14:val="tx1"/>
            </w14:solidFill>
          </w14:textFill>
        </w:rPr>
      </w:pPr>
      <w:bookmarkStart w:id="108" w:name="_Toc351203637"/>
      <w:r>
        <w:rPr>
          <w:rFonts w:ascii="宋体" w:hAnsi="宋体"/>
          <w:bCs/>
          <w:color w:val="000000" w:themeColor="text1"/>
          <w14:textFill>
            <w14:solidFill>
              <w14:schemeClr w14:val="tx1"/>
            </w14:solidFill>
          </w14:textFill>
        </w:rPr>
        <w:t>5</w:t>
      </w:r>
      <w:bookmarkEnd w:id="107"/>
      <w:bookmarkStart w:id="109" w:name="_Toc297048349"/>
      <w:bookmarkStart w:id="110" w:name="_Toc297120463"/>
      <w:bookmarkStart w:id="111" w:name="_Toc296503163"/>
      <w:bookmarkStart w:id="112" w:name="_Toc296944502"/>
      <w:bookmarkStart w:id="113" w:name="_Toc296346664"/>
      <w:bookmarkStart w:id="114" w:name="_Toc296890991"/>
      <w:bookmarkStart w:id="115" w:name="_Toc292559367"/>
      <w:bookmarkStart w:id="116" w:name="_Toc296347162"/>
      <w:bookmarkStart w:id="117" w:name="_Toc292559872"/>
      <w:bookmarkStart w:id="118" w:name="_Toc296891203"/>
      <w:r>
        <w:rPr>
          <w:rFonts w:ascii="宋体" w:hAnsi="宋体"/>
          <w:bCs/>
          <w:color w:val="000000" w:themeColor="text1"/>
          <w14:textFill>
            <w14:solidFill>
              <w14:schemeClr w14:val="tx1"/>
            </w14:solidFill>
          </w14:textFill>
        </w:rPr>
        <w:t>. 工程质量</w:t>
      </w:r>
      <w:bookmarkEnd w:id="108"/>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5.1 质量要求</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5</w:t>
      </w:r>
      <w:bookmarkStart w:id="119" w:name="_Toc303539106"/>
      <w:bookmarkStart w:id="120" w:name="_Toc297216155"/>
      <w:bookmarkStart w:id="121" w:name="_Toc300934949"/>
      <w:bookmarkStart w:id="122" w:name="_Toc297123496"/>
      <w:bookmarkStart w:id="123" w:name="_Toc318581164"/>
      <w:bookmarkStart w:id="124" w:name="_Toc312677997"/>
      <w:bookmarkStart w:id="125" w:name="_Toc304295527"/>
      <w:r>
        <w:rPr>
          <w:rFonts w:ascii="宋体" w:hAnsi="宋体"/>
          <w:color w:val="000000" w:themeColor="text1"/>
          <w14:textFill>
            <w14:solidFill>
              <w14:schemeClr w14:val="tx1"/>
            </w14:solidFill>
          </w14:textFill>
        </w:rPr>
        <w:t>.1.1 特殊质量标准和要求：</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关于工程奖项的约定：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5.3 隐蔽工程检查</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5.3.2承包人提前通知监理人隐蔽工程检查的期限的约定：</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监理人不能按时进行检查时，应提前</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小时提交书面延期要求。</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关于延期最长不得超过：</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小时。</w:t>
      </w:r>
    </w:p>
    <w:p>
      <w:pPr>
        <w:spacing w:line="500" w:lineRule="exact"/>
        <w:ind w:firstLine="440" w:firstLineChars="200"/>
        <w:rPr>
          <w:rFonts w:ascii="宋体" w:hAnsi="宋体"/>
          <w:bCs/>
          <w:color w:val="000000" w:themeColor="text1"/>
          <w14:textFill>
            <w14:solidFill>
              <w14:schemeClr w14:val="tx1"/>
            </w14:solidFill>
          </w14:textFill>
        </w:rPr>
      </w:pPr>
      <w:bookmarkStart w:id="126" w:name="_Toc351203638"/>
      <w:r>
        <w:rPr>
          <w:rFonts w:ascii="宋体" w:hAnsi="宋体"/>
          <w:bCs/>
          <w:color w:val="000000" w:themeColor="text1"/>
          <w14:textFill>
            <w14:solidFill>
              <w14:schemeClr w14:val="tx1"/>
            </w14:solidFill>
          </w14:textFill>
        </w:rPr>
        <w:t>6. 安全文明施工与环境保护</w:t>
      </w:r>
      <w:bookmarkEnd w:id="126"/>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6.1安全文明施工</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6.1.1 项目安全生产的达标目标及相应事项的约定：</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6.1.4 关于治安保卫的特别约定：</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关于编制施工场地治安管理计划的约定：</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6.1.5 文明施工</w:t>
      </w:r>
    </w:p>
    <w:p>
      <w:pPr>
        <w:spacing w:line="500" w:lineRule="exact"/>
        <w:ind w:firstLine="440" w:firstLineChars="200"/>
        <w:rPr>
          <w:rFonts w:ascii="宋体" w:hAns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合同当事人对文明施工的要求：</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6.1.6 关于安全文明施工费支付比例和支付期限的约定：</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bookmarkEnd w:id="119"/>
    <w:bookmarkEnd w:id="120"/>
    <w:bookmarkEnd w:id="121"/>
    <w:bookmarkEnd w:id="122"/>
    <w:bookmarkEnd w:id="123"/>
    <w:bookmarkEnd w:id="124"/>
    <w:bookmarkEnd w:id="125"/>
    <w:p>
      <w:pPr>
        <w:spacing w:line="500" w:lineRule="exact"/>
        <w:ind w:firstLine="440" w:firstLineChars="200"/>
        <w:rPr>
          <w:rFonts w:ascii="宋体" w:hAnsi="宋体"/>
          <w:bCs/>
          <w:color w:val="000000" w:themeColor="text1"/>
          <w14:textFill>
            <w14:solidFill>
              <w14:schemeClr w14:val="tx1"/>
            </w14:solidFill>
          </w14:textFill>
        </w:rPr>
      </w:pPr>
      <w:bookmarkStart w:id="127" w:name="_Toc351203639"/>
      <w:r>
        <w:rPr>
          <w:rFonts w:ascii="宋体" w:hAnsi="宋体"/>
          <w:bCs/>
          <w:color w:val="000000" w:themeColor="text1"/>
          <w14:textFill>
            <w14:solidFill>
              <w14:schemeClr w14:val="tx1"/>
            </w14:solidFill>
          </w14:textFill>
        </w:rPr>
        <w:t>7. 工期和进度</w:t>
      </w:r>
      <w:bookmarkEnd w:id="127"/>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7.1 施工组织设计</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7.1.</w:t>
      </w:r>
      <w:r>
        <w:rPr>
          <w:rFonts w:hint="eastAsia" w:ascii="宋体" w:hAnsi="宋体"/>
          <w:color w:val="000000" w:themeColor="text1"/>
          <w14:textFill>
            <w14:solidFill>
              <w14:schemeClr w14:val="tx1"/>
            </w14:solidFill>
          </w14:textFill>
        </w:rPr>
        <w:t>1 合同当事人约定的</w:t>
      </w:r>
      <w:r>
        <w:rPr>
          <w:rFonts w:ascii="宋体" w:hAnsi="宋体"/>
          <w:color w:val="000000" w:themeColor="text1"/>
          <w14:textFill>
            <w14:solidFill>
              <w14:schemeClr w14:val="tx1"/>
            </w14:solidFill>
          </w14:textFill>
        </w:rPr>
        <w:t>施工组织设计</w:t>
      </w:r>
      <w:r>
        <w:rPr>
          <w:rFonts w:hint="eastAsia" w:ascii="宋体" w:hAnsi="宋体"/>
          <w:color w:val="000000" w:themeColor="text1"/>
          <w14:textFill>
            <w14:solidFill>
              <w14:schemeClr w14:val="tx1"/>
            </w14:solidFill>
          </w14:textFill>
        </w:rPr>
        <w:t>应包括的其他内容</w:t>
      </w:r>
      <w:r>
        <w:rPr>
          <w:rFonts w:ascii="宋体" w:hAnsi="宋体"/>
          <w:color w:val="000000" w:themeColor="text1"/>
          <w14:textFill>
            <w14:solidFill>
              <w14:schemeClr w14:val="tx1"/>
            </w14:solidFill>
          </w14:textFill>
        </w:rPr>
        <w:t>：</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7.1.2 施工组织设计的提交和修改</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承包人提交详细施工组织设计的期限的约定：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发包人和监理人在收到</w:t>
      </w:r>
      <w:r>
        <w:rPr>
          <w:rFonts w:hint="eastAsia" w:ascii="宋体" w:hAnsi="宋体"/>
          <w:color w:val="000000" w:themeColor="text1"/>
          <w14:textFill>
            <w14:solidFill>
              <w14:schemeClr w14:val="tx1"/>
            </w14:solidFill>
          </w14:textFill>
        </w:rPr>
        <w:t>详细的施工组织设计</w:t>
      </w:r>
      <w:r>
        <w:rPr>
          <w:rFonts w:ascii="宋体" w:hAnsi="宋体"/>
          <w:color w:val="000000" w:themeColor="text1"/>
          <w14:textFill>
            <w14:solidFill>
              <w14:schemeClr w14:val="tx1"/>
            </w14:solidFill>
          </w14:textFill>
        </w:rPr>
        <w:t>后确认或提出修改意见的期限：</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7</w:t>
      </w:r>
      <w:bookmarkStart w:id="128" w:name="_Toc297216173"/>
      <w:bookmarkStart w:id="129" w:name="_Toc303539123"/>
      <w:bookmarkStart w:id="130" w:name="_Toc312677479"/>
      <w:bookmarkStart w:id="131" w:name="_Toc312678005"/>
      <w:bookmarkStart w:id="132" w:name="_Toc297123514"/>
      <w:bookmarkStart w:id="133" w:name="_Toc300934966"/>
      <w:bookmarkStart w:id="134" w:name="_Toc304295541"/>
      <w:r>
        <w:rPr>
          <w:rFonts w:ascii="宋体" w:hAnsi="宋体"/>
          <w:color w:val="000000" w:themeColor="text1"/>
          <w14:textFill>
            <w14:solidFill>
              <w14:schemeClr w14:val="tx1"/>
            </w14:solidFill>
          </w14:textFill>
        </w:rPr>
        <w:t>.2 施工进度计划</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7.2.2 施工进度计划的修订</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发包人和监理人在收到修订的施工进度计划后确认或提出修改意见的期限：</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7.3 开工</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7.3.1 开工准备</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关于承包人提交工程开工报审表的期限：</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关于发包人应完成的其他开工准备工作及期限：</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关于承包人应完成的其他开工准备工作及期限：</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7.3.2开工通知</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因发包人原因造成监理人未能在计划开工日期之日起</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天内发出开工通知的，承包人有权提出价格调整要求，或者解除合同。</w:t>
      </w:r>
    </w:p>
    <w:bookmarkEnd w:id="128"/>
    <w:bookmarkEnd w:id="129"/>
    <w:bookmarkEnd w:id="130"/>
    <w:bookmarkEnd w:id="131"/>
    <w:bookmarkEnd w:id="132"/>
    <w:bookmarkEnd w:id="133"/>
    <w:bookmarkEnd w:id="134"/>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7.4 测量放线</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7.4.1发包人通过监理人向承包人提供测量基准点、基准线和水准点及其书面资料的期限：</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7</w:t>
      </w:r>
      <w:bookmarkStart w:id="135" w:name="_Toc297123516"/>
      <w:bookmarkStart w:id="136" w:name="_Toc312677484"/>
      <w:bookmarkStart w:id="137" w:name="_Toc300934968"/>
      <w:bookmarkStart w:id="138" w:name="_Toc304295546"/>
      <w:bookmarkStart w:id="139" w:name="_Toc297216175"/>
      <w:bookmarkStart w:id="140" w:name="_Toc303539125"/>
      <w:bookmarkStart w:id="141" w:name="_Toc312678010"/>
      <w:r>
        <w:rPr>
          <w:rFonts w:ascii="宋体" w:hAnsi="宋体"/>
          <w:color w:val="000000" w:themeColor="text1"/>
          <w14:textFill>
            <w14:solidFill>
              <w14:schemeClr w14:val="tx1"/>
            </w14:solidFill>
          </w14:textFill>
        </w:rPr>
        <w:t>.5 工期延误</w:t>
      </w:r>
    </w:p>
    <w:bookmarkEnd w:id="135"/>
    <w:bookmarkEnd w:id="136"/>
    <w:bookmarkEnd w:id="137"/>
    <w:bookmarkEnd w:id="138"/>
    <w:bookmarkEnd w:id="139"/>
    <w:bookmarkEnd w:id="140"/>
    <w:bookmarkEnd w:id="141"/>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7.5.1 因发包人原因导致工期延误</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（7）因发包人原因导致工期延误的其他情形：</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7</w:t>
      </w:r>
      <w:bookmarkStart w:id="142" w:name="_Toc312678012"/>
      <w:bookmarkStart w:id="143" w:name="_Toc312677486"/>
      <w:bookmarkStart w:id="144" w:name="_Toc318581169"/>
      <w:bookmarkStart w:id="145" w:name="_Toc300934970"/>
      <w:bookmarkStart w:id="146" w:name="_Toc303539127"/>
      <w:bookmarkStart w:id="147" w:name="_Toc297123518"/>
      <w:bookmarkStart w:id="148" w:name="_Toc297216177"/>
      <w:bookmarkStart w:id="149" w:name="_Toc304295548"/>
      <w:r>
        <w:rPr>
          <w:rFonts w:ascii="宋体" w:hAnsi="宋体"/>
          <w:color w:val="000000" w:themeColor="text1"/>
          <w14:textFill>
            <w14:solidFill>
              <w14:schemeClr w14:val="tx1"/>
            </w14:solidFill>
          </w14:textFill>
        </w:rPr>
        <w:t>.5.2 因承包人原因导致工期延误</w:t>
      </w:r>
    </w:p>
    <w:bookmarkEnd w:id="142"/>
    <w:bookmarkEnd w:id="143"/>
    <w:bookmarkEnd w:id="144"/>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因</w:t>
      </w:r>
      <w:bookmarkStart w:id="150" w:name="_Toc312678013"/>
      <w:bookmarkStart w:id="151" w:name="_Toc312677487"/>
      <w:bookmarkStart w:id="152" w:name="_Toc318581170"/>
      <w:r>
        <w:rPr>
          <w:rFonts w:ascii="宋体" w:hAnsi="宋体"/>
          <w:color w:val="000000" w:themeColor="text1"/>
          <w14:textFill>
            <w14:solidFill>
              <w14:schemeClr w14:val="tx1"/>
            </w14:solidFill>
          </w14:textFill>
        </w:rPr>
        <w:t>承包人原因造成工期延误，逾期竣工违约金的计算方法为：</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bookmarkEnd w:id="145"/>
      <w:bookmarkEnd w:id="146"/>
      <w:bookmarkEnd w:id="147"/>
      <w:bookmarkEnd w:id="148"/>
      <w:bookmarkEnd w:id="149"/>
      <w:bookmarkEnd w:id="150"/>
      <w:bookmarkEnd w:id="151"/>
    </w:p>
    <w:bookmarkEnd w:id="152"/>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因承包人原因造成工期延误，逾</w:t>
      </w:r>
      <w:bookmarkStart w:id="153" w:name="_Toc312678014"/>
      <w:bookmarkStart w:id="154" w:name="_Toc318581171"/>
      <w:r>
        <w:rPr>
          <w:rFonts w:ascii="宋体" w:hAnsi="宋体"/>
          <w:color w:val="000000" w:themeColor="text1"/>
          <w14:textFill>
            <w14:solidFill>
              <w14:schemeClr w14:val="tx1"/>
            </w14:solidFill>
          </w14:textFill>
        </w:rPr>
        <w:t>期竣工违约金的上限：</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bookmarkEnd w:id="153"/>
    <w:bookmarkEnd w:id="154"/>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7</w:t>
      </w:r>
      <w:bookmarkStart w:id="155" w:name="_Toc300934971"/>
      <w:bookmarkStart w:id="156" w:name="_Toc312678015"/>
      <w:bookmarkStart w:id="157" w:name="_Toc297123519"/>
      <w:bookmarkStart w:id="158" w:name="_Toc303539128"/>
      <w:bookmarkStart w:id="159" w:name="_Toc297216178"/>
      <w:bookmarkStart w:id="160" w:name="_Toc304295549"/>
      <w:r>
        <w:rPr>
          <w:rFonts w:ascii="宋体" w:hAnsi="宋体"/>
          <w:color w:val="000000" w:themeColor="text1"/>
          <w14:textFill>
            <w14:solidFill>
              <w14:schemeClr w14:val="tx1"/>
            </w14:solidFill>
          </w14:textFill>
        </w:rPr>
        <w:t>.6 不</w:t>
      </w:r>
      <w:bookmarkEnd w:id="155"/>
      <w:bookmarkEnd w:id="156"/>
      <w:bookmarkEnd w:id="157"/>
      <w:bookmarkEnd w:id="158"/>
      <w:bookmarkEnd w:id="159"/>
      <w:bookmarkEnd w:id="160"/>
      <w:r>
        <w:rPr>
          <w:rFonts w:ascii="宋体" w:hAnsi="宋体"/>
          <w:color w:val="000000" w:themeColor="text1"/>
          <w14:textFill>
            <w14:solidFill>
              <w14:schemeClr w14:val="tx1"/>
            </w14:solidFill>
          </w14:textFill>
        </w:rPr>
        <w:t>利物质条件</w:t>
      </w:r>
    </w:p>
    <w:p>
      <w:pPr>
        <w:spacing w:line="500" w:lineRule="exact"/>
        <w:ind w:firstLine="440" w:firstLineChars="200"/>
        <w:rPr>
          <w:rFonts w:ascii="宋体" w:hAnsi="宋体"/>
          <w:color w:val="000000" w:themeColor="text1"/>
          <w:u w:val="single"/>
          <w14:textFill>
            <w14:solidFill>
              <w14:schemeClr w14:val="tx1"/>
            </w14:solidFill>
          </w14:textFill>
        </w:rPr>
      </w:pPr>
      <w:bookmarkStart w:id="161" w:name="_Toc300934972"/>
      <w:bookmarkStart w:id="162" w:name="_Toc297123520"/>
      <w:bookmarkStart w:id="163" w:name="_Toc304295550"/>
      <w:bookmarkStart w:id="164" w:name="_Toc303539129"/>
      <w:bookmarkStart w:id="165" w:name="_Toc318581172"/>
      <w:bookmarkStart w:id="166" w:name="_Toc312678016"/>
      <w:bookmarkStart w:id="167" w:name="_Toc297216179"/>
      <w:r>
        <w:rPr>
          <w:rFonts w:ascii="宋体" w:hAnsi="宋体"/>
          <w:color w:val="000000" w:themeColor="text1"/>
          <w14:textFill>
            <w14:solidFill>
              <w14:schemeClr w14:val="tx1"/>
            </w14:solidFill>
          </w14:textFill>
        </w:rPr>
        <w:t>不利物质条件的其他情形和有关约定：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bookmarkEnd w:id="161"/>
    <w:bookmarkEnd w:id="162"/>
    <w:bookmarkEnd w:id="163"/>
    <w:bookmarkEnd w:id="164"/>
    <w:bookmarkEnd w:id="165"/>
    <w:bookmarkEnd w:id="166"/>
    <w:bookmarkEnd w:id="167"/>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7</w:t>
      </w:r>
      <w:bookmarkStart w:id="168" w:name="_Toc297216180"/>
      <w:bookmarkStart w:id="169" w:name="_Toc297123521"/>
      <w:bookmarkStart w:id="170" w:name="_Toc303539130"/>
      <w:bookmarkStart w:id="171" w:name="_Toc300934973"/>
      <w:bookmarkStart w:id="172" w:name="_Toc304295551"/>
      <w:bookmarkStart w:id="173" w:name="_Toc312678017"/>
      <w:r>
        <w:rPr>
          <w:rFonts w:ascii="宋体" w:hAnsi="宋体"/>
          <w:color w:val="000000" w:themeColor="text1"/>
          <w14:textFill>
            <w14:solidFill>
              <w14:schemeClr w14:val="tx1"/>
            </w14:solidFill>
          </w14:textFill>
        </w:rPr>
        <w:t>.7异常恶劣的气候条件</w:t>
      </w:r>
    </w:p>
    <w:bookmarkEnd w:id="168"/>
    <w:bookmarkEnd w:id="169"/>
    <w:bookmarkEnd w:id="170"/>
    <w:bookmarkEnd w:id="171"/>
    <w:bookmarkEnd w:id="172"/>
    <w:bookmarkEnd w:id="173"/>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发包人和承包人同意以下情形视为异常恶劣的气候条件：</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7.9 提前竣工的奖励</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7.9.2提前竣工的奖励：</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bCs/>
          <w:color w:val="000000" w:themeColor="text1"/>
          <w14:textFill>
            <w14:solidFill>
              <w14:schemeClr w14:val="tx1"/>
            </w14:solidFill>
          </w14:textFill>
        </w:rPr>
      </w:pPr>
      <w:bookmarkStart w:id="174" w:name="_Toc351203640"/>
      <w:r>
        <w:rPr>
          <w:rFonts w:ascii="宋体" w:hAnsi="宋体"/>
          <w:bCs/>
          <w:color w:val="000000" w:themeColor="text1"/>
          <w14:textFill>
            <w14:solidFill>
              <w14:schemeClr w14:val="tx1"/>
            </w14:solidFill>
          </w14:textFill>
        </w:rPr>
        <w:t>8. 材料与设备</w:t>
      </w:r>
      <w:bookmarkEnd w:id="174"/>
    </w:p>
    <w:bookmarkEnd w:id="109"/>
    <w:bookmarkEnd w:id="110"/>
    <w:bookmarkEnd w:id="111"/>
    <w:bookmarkEnd w:id="112"/>
    <w:bookmarkEnd w:id="113"/>
    <w:bookmarkEnd w:id="114"/>
    <w:bookmarkEnd w:id="115"/>
    <w:bookmarkEnd w:id="116"/>
    <w:bookmarkEnd w:id="117"/>
    <w:bookmarkEnd w:id="118"/>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8</w:t>
      </w:r>
      <w:bookmarkStart w:id="175" w:name="_Toc304295556"/>
      <w:bookmarkStart w:id="176" w:name="_Toc312678019"/>
      <w:bookmarkStart w:id="177" w:name="_Toc296347166"/>
      <w:bookmarkStart w:id="178" w:name="_Toc296944506"/>
      <w:bookmarkStart w:id="179" w:name="_Toc297216186"/>
      <w:bookmarkStart w:id="180" w:name="_Toc296890995"/>
      <w:bookmarkStart w:id="181" w:name="_Toc292559877"/>
      <w:bookmarkStart w:id="182" w:name="_Toc312677493"/>
      <w:bookmarkStart w:id="183" w:name="_Toc303539136"/>
      <w:bookmarkStart w:id="184" w:name="_Toc296891207"/>
      <w:bookmarkStart w:id="185" w:name="_Toc297123527"/>
      <w:bookmarkStart w:id="186" w:name="_Toc296346668"/>
      <w:bookmarkStart w:id="187" w:name="_Toc297120467"/>
      <w:bookmarkStart w:id="188" w:name="_Toc300934979"/>
      <w:bookmarkStart w:id="189" w:name="_Toc292559372"/>
      <w:bookmarkStart w:id="190" w:name="_Toc280868654"/>
      <w:bookmarkStart w:id="191" w:name="_Toc297048353"/>
      <w:bookmarkStart w:id="192" w:name="_Toc296503167"/>
      <w:bookmarkStart w:id="193" w:name="_Toc267251424"/>
      <w:bookmarkStart w:id="194" w:name="_Toc280868656"/>
      <w:bookmarkStart w:id="195" w:name="_Toc280868655"/>
      <w:r>
        <w:rPr>
          <w:rFonts w:ascii="宋体" w:hAnsi="宋体"/>
          <w:color w:val="000000" w:themeColor="text1"/>
          <w14:textFill>
            <w14:solidFill>
              <w14:schemeClr w14:val="tx1"/>
            </w14:solidFill>
          </w14:textFill>
        </w:rPr>
        <w:t>.4材料与工程设备的保管与使用</w:t>
      </w:r>
    </w:p>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8</w:t>
      </w:r>
      <w:bookmarkStart w:id="196" w:name="_Toc292559373"/>
      <w:bookmarkStart w:id="197" w:name="_Toc292559878"/>
      <w:bookmarkStart w:id="198" w:name="_Toc312677494"/>
      <w:bookmarkStart w:id="199" w:name="_Toc296347167"/>
      <w:bookmarkStart w:id="200" w:name="_Toc303539137"/>
      <w:bookmarkStart w:id="201" w:name="_Toc296503168"/>
      <w:bookmarkStart w:id="202" w:name="_Toc312678020"/>
      <w:bookmarkStart w:id="203" w:name="_Toc297048354"/>
      <w:bookmarkStart w:id="204" w:name="_Toc297216187"/>
      <w:bookmarkStart w:id="205" w:name="_Toc304295557"/>
      <w:bookmarkStart w:id="206" w:name="_Toc318581173"/>
      <w:bookmarkStart w:id="207" w:name="_Toc297123528"/>
      <w:bookmarkStart w:id="208" w:name="_Toc296346669"/>
      <w:bookmarkStart w:id="209" w:name="_Toc296944507"/>
      <w:bookmarkStart w:id="210" w:name="_Toc300934980"/>
      <w:bookmarkStart w:id="211" w:name="_Toc296891208"/>
      <w:bookmarkStart w:id="212" w:name="_Toc296890996"/>
      <w:bookmarkStart w:id="213" w:name="_Toc297120468"/>
      <w:r>
        <w:rPr>
          <w:rFonts w:ascii="宋体" w:hAnsi="宋体"/>
          <w:color w:val="000000" w:themeColor="text1"/>
          <w14:textFill>
            <w14:solidFill>
              <w14:schemeClr w14:val="tx1"/>
            </w14:solidFill>
          </w14:textFill>
        </w:rPr>
        <w:t>.4.1发包人供应的材料设备的保管费用的承担：</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bookmarkEnd w:id="196"/>
      <w:bookmarkEnd w:id="197"/>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8.6 样品</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8.6.1</w:t>
      </w:r>
      <w:r>
        <w:rPr>
          <w:rFonts w:ascii="宋体" w:hAnsi="宋体"/>
          <w:color w:val="000000" w:themeColor="text1"/>
          <w14:textFill>
            <w14:solidFill>
              <w14:schemeClr w14:val="tx1"/>
            </w14:solidFill>
          </w14:textFill>
        </w:rPr>
        <w:tab/>
      </w:r>
      <w:r>
        <w:rPr>
          <w:rFonts w:ascii="宋体" w:hAnsi="宋体"/>
          <w:color w:val="000000" w:themeColor="text1"/>
          <w14:textFill>
            <w14:solidFill>
              <w14:schemeClr w14:val="tx1"/>
            </w14:solidFill>
          </w14:textFill>
        </w:rPr>
        <w:t>样品的报送</w:t>
      </w:r>
      <w:r>
        <w:rPr>
          <w:rFonts w:hint="eastAsia" w:ascii="宋体" w:hAnsi="宋体"/>
          <w:color w:val="000000" w:themeColor="text1"/>
          <w14:textFill>
            <w14:solidFill>
              <w14:schemeClr w14:val="tx1"/>
            </w14:solidFill>
          </w14:textFill>
        </w:rPr>
        <w:t>与封存</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需要承包人报送样品的材料或工程设备，样品的种类、名称、规格、数量要求：</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8.8 施工设备和临时设施</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8.8.1 承包人提供的施工设备和临时设施</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关于修建临时设施费用承担的约定：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Pr>
        <w:spacing w:line="500" w:lineRule="exact"/>
        <w:ind w:firstLine="440" w:firstLineChars="200"/>
        <w:rPr>
          <w:rFonts w:ascii="宋体" w:hAnsi="宋体"/>
          <w:bCs/>
          <w:color w:val="000000" w:themeColor="text1"/>
          <w14:textFill>
            <w14:solidFill>
              <w14:schemeClr w14:val="tx1"/>
            </w14:solidFill>
          </w14:textFill>
        </w:rPr>
      </w:pPr>
      <w:bookmarkStart w:id="214" w:name="_Toc351203641"/>
      <w:r>
        <w:rPr>
          <w:rFonts w:ascii="宋体" w:hAnsi="宋体"/>
          <w:bCs/>
          <w:color w:val="000000" w:themeColor="text1"/>
          <w14:textFill>
            <w14:solidFill>
              <w14:schemeClr w14:val="tx1"/>
            </w14:solidFill>
          </w14:textFill>
        </w:rPr>
        <w:t>9</w:t>
      </w:r>
      <w:bookmarkEnd w:id="193"/>
      <w:bookmarkEnd w:id="194"/>
      <w:bookmarkEnd w:id="195"/>
      <w:bookmarkStart w:id="215" w:name="_Toc312677495"/>
      <w:bookmarkStart w:id="216" w:name="_Toc300934982"/>
      <w:bookmarkStart w:id="217" w:name="_Toc303539139"/>
      <w:bookmarkStart w:id="218" w:name="_Toc297123533"/>
      <w:bookmarkStart w:id="219" w:name="_Toc297216192"/>
      <w:bookmarkStart w:id="220" w:name="_Toc312678021"/>
      <w:bookmarkStart w:id="221" w:name="_Toc304295559"/>
      <w:bookmarkStart w:id="222" w:name="_Toc297120473"/>
      <w:bookmarkStart w:id="223" w:name="_Toc292559883"/>
      <w:bookmarkStart w:id="224" w:name="_Toc296891213"/>
      <w:bookmarkStart w:id="225" w:name="_Toc296347172"/>
      <w:bookmarkStart w:id="226" w:name="_Toc267251427"/>
      <w:bookmarkStart w:id="227" w:name="_Toc297048359"/>
      <w:bookmarkStart w:id="228" w:name="_Toc296944512"/>
      <w:bookmarkStart w:id="229" w:name="_Toc296891001"/>
      <w:bookmarkStart w:id="230" w:name="_Toc296503173"/>
      <w:bookmarkStart w:id="231" w:name="_Toc296346674"/>
      <w:bookmarkStart w:id="232" w:name="_Toc292559378"/>
      <w:bookmarkStart w:id="233" w:name="_Toc267251428"/>
      <w:r>
        <w:rPr>
          <w:rFonts w:ascii="宋体" w:hAnsi="宋体"/>
          <w:bCs/>
          <w:color w:val="000000" w:themeColor="text1"/>
          <w14:textFill>
            <w14:solidFill>
              <w14:schemeClr w14:val="tx1"/>
            </w14:solidFill>
          </w14:textFill>
        </w:rPr>
        <w:t>. 试验与检验</w:t>
      </w:r>
      <w:bookmarkEnd w:id="214"/>
    </w:p>
    <w:bookmarkEnd w:id="215"/>
    <w:bookmarkEnd w:id="216"/>
    <w:bookmarkEnd w:id="217"/>
    <w:bookmarkEnd w:id="218"/>
    <w:bookmarkEnd w:id="219"/>
    <w:bookmarkEnd w:id="220"/>
    <w:bookmarkEnd w:id="221"/>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9</w:t>
      </w:r>
      <w:bookmarkStart w:id="234" w:name="_Toc300934983"/>
      <w:bookmarkStart w:id="235" w:name="_Toc312678022"/>
      <w:bookmarkStart w:id="236" w:name="_Toc304295560"/>
      <w:bookmarkStart w:id="237" w:name="_Toc312677496"/>
      <w:bookmarkStart w:id="238" w:name="_Toc297123534"/>
      <w:bookmarkStart w:id="239" w:name="_Toc297216193"/>
      <w:bookmarkStart w:id="240" w:name="_Toc303539140"/>
      <w:r>
        <w:rPr>
          <w:rFonts w:ascii="宋体" w:hAnsi="宋体"/>
          <w:color w:val="000000" w:themeColor="text1"/>
          <w14:textFill>
            <w14:solidFill>
              <w14:schemeClr w14:val="tx1"/>
            </w14:solidFill>
          </w14:textFill>
        </w:rPr>
        <w:t>.1试验设备与试验人员</w:t>
      </w:r>
    </w:p>
    <w:bookmarkEnd w:id="234"/>
    <w:bookmarkEnd w:id="235"/>
    <w:bookmarkEnd w:id="236"/>
    <w:bookmarkEnd w:id="237"/>
    <w:bookmarkEnd w:id="238"/>
    <w:bookmarkEnd w:id="239"/>
    <w:bookmarkEnd w:id="240"/>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9</w:t>
      </w:r>
      <w:bookmarkStart w:id="241" w:name="_Toc297123535"/>
      <w:bookmarkStart w:id="242" w:name="_Toc312678023"/>
      <w:bookmarkStart w:id="243" w:name="_Toc297216194"/>
      <w:bookmarkStart w:id="244" w:name="_Toc303539141"/>
      <w:bookmarkStart w:id="245" w:name="_Toc312677497"/>
      <w:bookmarkStart w:id="246" w:name="_Toc300934984"/>
      <w:bookmarkStart w:id="247" w:name="_Toc304295561"/>
      <w:bookmarkStart w:id="248" w:name="_Toc318581174"/>
      <w:r>
        <w:rPr>
          <w:rFonts w:ascii="宋体" w:hAnsi="宋体"/>
          <w:color w:val="000000" w:themeColor="text1"/>
          <w14:textFill>
            <w14:solidFill>
              <w14:schemeClr w14:val="tx1"/>
            </w14:solidFill>
          </w14:textFill>
        </w:rPr>
        <w:t>.1.2 试验设备</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施工现场需要配置的试验场所：</w:t>
      </w:r>
      <w:bookmarkEnd w:id="241"/>
      <w:bookmarkEnd w:id="242"/>
      <w:bookmarkEnd w:id="243"/>
      <w:bookmarkEnd w:id="244"/>
      <w:bookmarkEnd w:id="245"/>
      <w:bookmarkEnd w:id="246"/>
      <w:bookmarkEnd w:id="247"/>
      <w:bookmarkStart w:id="249" w:name="_Toc300934985"/>
      <w:bookmarkStart w:id="250" w:name="_Toc312678024"/>
      <w:bookmarkStart w:id="251" w:name="_Toc297123536"/>
      <w:bookmarkStart w:id="252" w:name="_Toc312677498"/>
      <w:bookmarkStart w:id="253" w:name="_Toc297216195"/>
      <w:bookmarkStart w:id="254" w:name="_Toc303539142"/>
      <w:bookmarkStart w:id="255" w:name="_Toc304295562"/>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 xml:space="preserve"> </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施工现场需要配备的试验设备：</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施工现场需要具备的其他试验条件：</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9.4 现场工艺试验</w:t>
      </w:r>
      <w:r>
        <w:rPr>
          <w:rFonts w:hint="eastAsia" w:ascii="宋体" w:hAnsi="宋体"/>
          <w:color w:val="000000" w:themeColor="text1"/>
          <w14:textFill>
            <w14:solidFill>
              <w14:schemeClr w14:val="tx1"/>
            </w14:solidFill>
          </w14:textFill>
        </w:rPr>
        <w:t xml:space="preserve"> </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现场工艺试验的有关约定：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bookmarkEnd w:id="248"/>
    <w:bookmarkEnd w:id="249"/>
    <w:bookmarkEnd w:id="250"/>
    <w:bookmarkEnd w:id="251"/>
    <w:bookmarkEnd w:id="252"/>
    <w:bookmarkEnd w:id="253"/>
    <w:bookmarkEnd w:id="254"/>
    <w:bookmarkEnd w:id="255"/>
    <w:p>
      <w:pPr>
        <w:spacing w:line="500" w:lineRule="exact"/>
        <w:ind w:firstLine="440" w:firstLineChars="200"/>
        <w:rPr>
          <w:rFonts w:ascii="宋体" w:hAnsi="宋体"/>
          <w:bCs/>
          <w:color w:val="000000" w:themeColor="text1"/>
          <w14:textFill>
            <w14:solidFill>
              <w14:schemeClr w14:val="tx1"/>
            </w14:solidFill>
          </w14:textFill>
        </w:rPr>
      </w:pPr>
      <w:bookmarkStart w:id="256" w:name="_Toc351203642"/>
      <w:r>
        <w:rPr>
          <w:rFonts w:ascii="宋体" w:hAnsi="宋体"/>
          <w:bCs/>
          <w:color w:val="000000" w:themeColor="text1"/>
          <w14:textFill>
            <w14:solidFill>
              <w14:schemeClr w14:val="tx1"/>
            </w14:solidFill>
          </w14:textFill>
        </w:rPr>
        <w:t>1</w:t>
      </w:r>
      <w:bookmarkEnd w:id="222"/>
      <w:bookmarkEnd w:id="223"/>
      <w:bookmarkEnd w:id="224"/>
      <w:bookmarkEnd w:id="225"/>
      <w:bookmarkEnd w:id="226"/>
      <w:bookmarkEnd w:id="227"/>
      <w:bookmarkEnd w:id="228"/>
      <w:bookmarkEnd w:id="229"/>
      <w:bookmarkEnd w:id="230"/>
      <w:bookmarkEnd w:id="231"/>
      <w:bookmarkEnd w:id="232"/>
      <w:bookmarkEnd w:id="233"/>
      <w:bookmarkStart w:id="257" w:name="_Toc296891021"/>
      <w:bookmarkStart w:id="258" w:name="_Toc304295566"/>
      <w:bookmarkStart w:id="259" w:name="_Toc297123540"/>
      <w:bookmarkStart w:id="260" w:name="_Toc296503193"/>
      <w:bookmarkStart w:id="261" w:name="_Toc300934989"/>
      <w:bookmarkStart w:id="262" w:name="_Toc297120493"/>
      <w:bookmarkStart w:id="263" w:name="_Toc297048379"/>
      <w:bookmarkStart w:id="264" w:name="_Toc292559903"/>
      <w:bookmarkStart w:id="265" w:name="_Toc296346694"/>
      <w:bookmarkStart w:id="266" w:name="_Toc297216199"/>
      <w:bookmarkStart w:id="267" w:name="_Toc296891233"/>
      <w:bookmarkStart w:id="268" w:name="_Toc292559398"/>
      <w:bookmarkStart w:id="269" w:name="_Toc296944532"/>
      <w:bookmarkStart w:id="270" w:name="_Toc296347192"/>
      <w:bookmarkStart w:id="271" w:name="_Toc303539146"/>
      <w:bookmarkStart w:id="272" w:name="_Toc312678025"/>
      <w:bookmarkStart w:id="273" w:name="_Toc312677499"/>
      <w:bookmarkStart w:id="274" w:name="_Toc267251440"/>
      <w:bookmarkStart w:id="275" w:name="_Toc267251439"/>
      <w:bookmarkStart w:id="276" w:name="_Toc267251435"/>
      <w:bookmarkStart w:id="277" w:name="_Toc267251437"/>
      <w:bookmarkStart w:id="278" w:name="_Toc267251441"/>
      <w:bookmarkStart w:id="279" w:name="_Toc267251433"/>
      <w:bookmarkStart w:id="280" w:name="_Toc267251442"/>
      <w:r>
        <w:rPr>
          <w:rFonts w:ascii="宋体" w:hAnsi="宋体"/>
          <w:bCs/>
          <w:color w:val="000000" w:themeColor="text1"/>
          <w14:textFill>
            <w14:solidFill>
              <w14:schemeClr w14:val="tx1"/>
            </w14:solidFill>
          </w14:textFill>
        </w:rPr>
        <w:t>0. 变更</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bookmarkEnd w:id="272"/>
    <w:bookmarkEnd w:id="273"/>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bookmarkStart w:id="281" w:name="_Toc296346695"/>
      <w:bookmarkStart w:id="282" w:name="_Toc297120494"/>
      <w:bookmarkStart w:id="283" w:name="_Toc297216200"/>
      <w:bookmarkStart w:id="284" w:name="_Toc304295567"/>
      <w:bookmarkStart w:id="285" w:name="_Toc292559399"/>
      <w:bookmarkStart w:id="286" w:name="_Toc296347193"/>
      <w:bookmarkStart w:id="287" w:name="_Toc297048380"/>
      <w:bookmarkStart w:id="288" w:name="_Toc312678026"/>
      <w:bookmarkStart w:id="289" w:name="_Toc296503194"/>
      <w:bookmarkStart w:id="290" w:name="_Toc300934990"/>
      <w:bookmarkStart w:id="291" w:name="_Toc296891022"/>
      <w:bookmarkStart w:id="292" w:name="_Toc296891234"/>
      <w:bookmarkStart w:id="293" w:name="_Toc297123541"/>
      <w:bookmarkStart w:id="294" w:name="_Toc303539147"/>
      <w:bookmarkStart w:id="295" w:name="_Toc296944533"/>
      <w:bookmarkStart w:id="296" w:name="_Toc312677500"/>
      <w:bookmarkStart w:id="297" w:name="_Toc292559904"/>
      <w:r>
        <w:rPr>
          <w:rFonts w:ascii="宋体" w:hAnsi="宋体"/>
          <w:color w:val="000000" w:themeColor="text1"/>
          <w14:textFill>
            <w14:solidFill>
              <w14:schemeClr w14:val="tx1"/>
            </w14:solidFill>
          </w14:textFill>
        </w:rPr>
        <w:t>0.1变更的范围</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关于变更的范围的约定：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10.4 变更估价</w:t>
      </w:r>
    </w:p>
    <w:p>
      <w:pPr>
        <w:spacing w:line="500" w:lineRule="exact"/>
        <w:ind w:firstLine="44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10.4.1 变更估价原则</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 xml:space="preserve">关于变更估价的约定: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Start w:id="298" w:name="_Toc292559907"/>
      <w:bookmarkStart w:id="299" w:name="_Toc303539150"/>
      <w:bookmarkStart w:id="300" w:name="_Toc296346698"/>
      <w:bookmarkStart w:id="301" w:name="_Toc292559402"/>
      <w:bookmarkStart w:id="302" w:name="_Toc296891237"/>
      <w:bookmarkStart w:id="303" w:name="_Toc297120497"/>
      <w:bookmarkStart w:id="304" w:name="_Toc296347196"/>
      <w:bookmarkStart w:id="305" w:name="_Toc297123544"/>
      <w:bookmarkStart w:id="306" w:name="_Toc296944536"/>
      <w:bookmarkStart w:id="307" w:name="_Toc297216203"/>
      <w:bookmarkStart w:id="308" w:name="_Toc300934993"/>
      <w:bookmarkStart w:id="309" w:name="_Toc296503197"/>
      <w:bookmarkStart w:id="310" w:name="_Toc297048383"/>
      <w:bookmarkStart w:id="311" w:name="_Toc296891025"/>
      <w:bookmarkStart w:id="312" w:name="_Toc312677503"/>
      <w:bookmarkStart w:id="313" w:name="_Toc304295570"/>
      <w:bookmarkStart w:id="314" w:name="_Toc312678029"/>
      <w:r>
        <w:rPr>
          <w:rFonts w:ascii="宋体" w:hAnsi="宋体"/>
          <w:color w:val="000000" w:themeColor="text1"/>
          <w14:textFill>
            <w14:solidFill>
              <w14:schemeClr w14:val="tx1"/>
            </w14:solidFill>
          </w14:textFill>
        </w:rPr>
        <w:t>0.5承</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Start w:id="315" w:name="_Toc296891031"/>
      <w:bookmarkStart w:id="316" w:name="_Toc296347202"/>
      <w:bookmarkStart w:id="317" w:name="_Toc296891243"/>
      <w:bookmarkStart w:id="318" w:name="_Toc297216204"/>
      <w:bookmarkStart w:id="319" w:name="_Toc297048389"/>
      <w:bookmarkStart w:id="320" w:name="_Toc300934994"/>
      <w:bookmarkStart w:id="321" w:name="_Toc292559913"/>
      <w:bookmarkStart w:id="322" w:name="_Toc296346704"/>
      <w:bookmarkStart w:id="323" w:name="_Toc303539151"/>
      <w:bookmarkStart w:id="324" w:name="_Toc297120503"/>
      <w:bookmarkStart w:id="325" w:name="_Toc292559408"/>
      <w:bookmarkStart w:id="326" w:name="_Toc296503203"/>
      <w:bookmarkStart w:id="327" w:name="_Toc297123545"/>
      <w:bookmarkStart w:id="328" w:name="_Toc296944542"/>
      <w:r>
        <w:rPr>
          <w:rFonts w:ascii="宋体" w:hAnsi="宋体"/>
          <w:color w:val="000000" w:themeColor="text1"/>
          <w14:textFill>
            <w14:solidFill>
              <w14:schemeClr w14:val="tx1"/>
            </w14:solidFill>
          </w14:textFill>
        </w:rPr>
        <w:t>包人的合理化建议</w:t>
      </w:r>
    </w:p>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监理人审查承包人合理化建议的期限：</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发包人审批承包人合理化建议的期限：</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承</w:t>
      </w:r>
      <w:bookmarkStart w:id="329" w:name="_Toc297216205"/>
      <w:bookmarkStart w:id="330" w:name="_Toc318581175"/>
      <w:bookmarkStart w:id="331" w:name="_Toc312678030"/>
      <w:bookmarkStart w:id="332" w:name="_Toc296891032"/>
      <w:bookmarkStart w:id="333" w:name="_Toc297120504"/>
      <w:bookmarkStart w:id="334" w:name="_Toc296347203"/>
      <w:bookmarkStart w:id="335" w:name="_Toc303539152"/>
      <w:bookmarkStart w:id="336" w:name="_Toc304295571"/>
      <w:bookmarkStart w:id="337" w:name="_Toc312677504"/>
      <w:bookmarkStart w:id="338" w:name="_Toc296944543"/>
      <w:bookmarkStart w:id="339" w:name="_Toc296503204"/>
      <w:bookmarkStart w:id="340" w:name="_Toc300934995"/>
      <w:bookmarkStart w:id="341" w:name="_Toc296346705"/>
      <w:bookmarkStart w:id="342" w:name="_Toc297048390"/>
      <w:bookmarkStart w:id="343" w:name="_Toc292559914"/>
      <w:bookmarkStart w:id="344" w:name="_Toc296891244"/>
      <w:bookmarkStart w:id="345" w:name="_Toc292559409"/>
      <w:bookmarkStart w:id="346" w:name="_Toc297123546"/>
      <w:r>
        <w:rPr>
          <w:rFonts w:ascii="宋体" w:hAnsi="宋体"/>
          <w:color w:val="000000" w:themeColor="text1"/>
          <w14:textFill>
            <w14:solidFill>
              <w14:schemeClr w14:val="tx1"/>
            </w14:solidFill>
          </w14:textFill>
        </w:rPr>
        <w:t>包人提出的合理化建议降低了合同价格或者提高了工程经济效益的奖励的方法和金额为：</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bookmarkStart w:id="347" w:name="_Toc304295574"/>
      <w:bookmarkStart w:id="348" w:name="_Toc297048385"/>
      <w:bookmarkStart w:id="349" w:name="_Toc296944538"/>
      <w:bookmarkStart w:id="350" w:name="_Toc300934997"/>
      <w:bookmarkStart w:id="351" w:name="_Toc297120499"/>
      <w:bookmarkStart w:id="352" w:name="_Toc296891027"/>
      <w:bookmarkStart w:id="353" w:name="_Toc296891239"/>
      <w:bookmarkStart w:id="354" w:name="_Toc292559404"/>
      <w:bookmarkStart w:id="355" w:name="_Toc312677507"/>
      <w:bookmarkStart w:id="356" w:name="_Toc292559909"/>
      <w:bookmarkStart w:id="357" w:name="_Toc297216207"/>
      <w:bookmarkStart w:id="358" w:name="_Toc297123548"/>
      <w:bookmarkStart w:id="359" w:name="_Toc303539154"/>
      <w:bookmarkStart w:id="360" w:name="_Toc312678033"/>
      <w:bookmarkStart w:id="361" w:name="_Toc296346700"/>
      <w:bookmarkStart w:id="362" w:name="_Toc296347198"/>
      <w:bookmarkStart w:id="363" w:name="_Toc296503199"/>
      <w:r>
        <w:rPr>
          <w:rFonts w:ascii="宋体" w:hAnsi="宋体"/>
          <w:color w:val="000000" w:themeColor="text1"/>
          <w14:textFill>
            <w14:solidFill>
              <w14:schemeClr w14:val="tx1"/>
            </w14:solidFill>
          </w14:textFill>
        </w:rPr>
        <w:t>0.7 暂估价</w:t>
      </w:r>
    </w:p>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暂</w:t>
      </w:r>
      <w:bookmarkStart w:id="364" w:name="_Toc318581176"/>
      <w:bookmarkStart w:id="365" w:name="_Toc312677508"/>
      <w:bookmarkStart w:id="366" w:name="_Toc312678034"/>
      <w:r>
        <w:rPr>
          <w:rFonts w:ascii="宋体" w:hAnsi="宋体"/>
          <w:color w:val="000000" w:themeColor="text1"/>
          <w14:textFill>
            <w14:solidFill>
              <w14:schemeClr w14:val="tx1"/>
            </w14:solidFill>
          </w14:textFill>
        </w:rPr>
        <w:t>估价材料和工程设备的明细详见附件</w:t>
      </w:r>
      <w:r>
        <w:rPr>
          <w:rFonts w:hint="eastAsia" w:ascii="宋体" w:hAnsi="宋体"/>
          <w:color w:val="000000" w:themeColor="text1"/>
          <w14:textFill>
            <w14:solidFill>
              <w14:schemeClr w14:val="tx1"/>
            </w14:solidFill>
          </w14:textFill>
        </w:rPr>
        <w:t>11：《</w:t>
      </w:r>
      <w:r>
        <w:rPr>
          <w:rFonts w:ascii="宋体" w:hAnsi="宋体"/>
          <w:color w:val="000000" w:themeColor="text1"/>
          <w14:textFill>
            <w14:solidFill>
              <w14:schemeClr w14:val="tx1"/>
            </w14:solidFill>
          </w14:textFill>
        </w:rPr>
        <w:t>暂估价一览表</w:t>
      </w:r>
      <w:r>
        <w:rPr>
          <w:rFonts w:hint="eastAsia" w:ascii="宋体" w:hAnsi="宋体"/>
          <w:color w:val="000000" w:themeColor="text1"/>
          <w14:textFill>
            <w14:solidFill>
              <w14:schemeClr w14:val="tx1"/>
            </w14:solidFill>
          </w14:textFill>
        </w:rPr>
        <w:t>》。</w:t>
      </w:r>
    </w:p>
    <w:bookmarkEnd w:id="364"/>
    <w:bookmarkEnd w:id="365"/>
    <w:bookmarkEnd w:id="366"/>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bookmarkStart w:id="367" w:name="_Toc318581177"/>
      <w:bookmarkStart w:id="368" w:name="_Toc312678035"/>
      <w:bookmarkStart w:id="369" w:name="_Toc312677509"/>
      <w:r>
        <w:rPr>
          <w:rFonts w:ascii="宋体" w:hAnsi="宋体"/>
          <w:color w:val="000000" w:themeColor="text1"/>
          <w14:textFill>
            <w14:solidFill>
              <w14:schemeClr w14:val="tx1"/>
            </w14:solidFill>
          </w14:textFill>
        </w:rPr>
        <w:t>0.7.1 依法必须招标的暂估价项目</w:t>
      </w:r>
    </w:p>
    <w:bookmarkEnd w:id="367"/>
    <w:bookmarkEnd w:id="368"/>
    <w:bookmarkEnd w:id="369"/>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对于依法必须招标的暂估价项目的确认和批准采取第</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种方式确定。</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10.7.2 不属于依法必须招标的暂估价项目</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对于不属于依法必须招标的暂估价项目的确认和批准采取第</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种方式确定。</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第3种方式：承包人直接实施的暂估价项目</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承包人直接实施的暂估价项目的约定：</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10.8 暂列金额</w:t>
      </w:r>
    </w:p>
    <w:p>
      <w:pPr>
        <w:spacing w:line="500" w:lineRule="exact"/>
        <w:ind w:firstLine="440" w:firstLineChars="200"/>
        <w:rPr>
          <w:rFonts w:ascii="宋体" w:hAns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合同当事人关于暂列金额使用的约定：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w:t>
      </w:r>
    </w:p>
    <w:p>
      <w:pPr>
        <w:spacing w:line="500" w:lineRule="exact"/>
        <w:ind w:firstLine="440" w:firstLineChars="200"/>
        <w:rPr>
          <w:rFonts w:ascii="宋体" w:hAnsi="宋体"/>
          <w:bCs/>
          <w:color w:val="000000" w:themeColor="text1"/>
          <w14:textFill>
            <w14:solidFill>
              <w14:schemeClr w14:val="tx1"/>
            </w14:solidFill>
          </w14:textFill>
        </w:rPr>
      </w:pPr>
      <w:bookmarkStart w:id="370" w:name="_Toc351203643"/>
      <w:r>
        <w:rPr>
          <w:rFonts w:ascii="宋体" w:hAnsi="宋体"/>
          <w:bCs/>
          <w:color w:val="000000" w:themeColor="text1"/>
          <w14:textFill>
            <w14:solidFill>
              <w14:schemeClr w14:val="tx1"/>
            </w14:solidFill>
          </w14:textFill>
        </w:rPr>
        <w:t>11. 价格调整</w:t>
      </w:r>
      <w:bookmarkEnd w:id="370"/>
    </w:p>
    <w:p>
      <w:pPr>
        <w:spacing w:line="500" w:lineRule="exact"/>
        <w:ind w:firstLine="440" w:firstLineChars="200"/>
        <w:rPr>
          <w:rFonts w:ascii="宋体" w:hAnsi="宋体"/>
          <w:color w:val="000000" w:themeColor="text1"/>
          <w14:textFill>
            <w14:solidFill>
              <w14:schemeClr w14:val="tx1"/>
            </w14:solidFill>
          </w14:textFill>
        </w:rPr>
      </w:pPr>
      <w:bookmarkStart w:id="371" w:name="_Toc303539157"/>
      <w:bookmarkStart w:id="372" w:name="_Toc296347200"/>
      <w:bookmarkStart w:id="373" w:name="_Toc296503201"/>
      <w:bookmarkStart w:id="374" w:name="_Toc304295577"/>
      <w:bookmarkStart w:id="375" w:name="_Toc297048387"/>
      <w:bookmarkStart w:id="376" w:name="_Toc300935000"/>
      <w:bookmarkStart w:id="377" w:name="_Toc292559406"/>
      <w:bookmarkStart w:id="378" w:name="_Toc297123550"/>
      <w:bookmarkStart w:id="379" w:name="_Toc296346702"/>
      <w:bookmarkStart w:id="380" w:name="_Toc296891241"/>
      <w:bookmarkStart w:id="381" w:name="_Toc296891029"/>
      <w:bookmarkStart w:id="382" w:name="_Toc297120501"/>
      <w:bookmarkStart w:id="383" w:name="_Toc312678039"/>
      <w:bookmarkStart w:id="384" w:name="_Toc297216209"/>
      <w:bookmarkStart w:id="385" w:name="_Toc296944540"/>
      <w:bookmarkStart w:id="386" w:name="_Toc292559911"/>
      <w:r>
        <w:rPr>
          <w:rFonts w:ascii="宋体" w:hAnsi="宋体"/>
          <w:color w:val="000000" w:themeColor="text1"/>
          <w14:textFill>
            <w14:solidFill>
              <w14:schemeClr w14:val="tx1"/>
            </w14:solidFill>
          </w14:textFill>
        </w:rPr>
        <w:t>11.1 市场价格波动引起的调整</w:t>
      </w:r>
    </w:p>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市场价格波动是否调整合同价格的约定：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因市场价格波动调整合同价格，采用以下第</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种方式对合同价格进行调整：</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第1种方式：采用价格指数</w:t>
      </w:r>
      <w:r>
        <w:rPr>
          <w:rFonts w:hint="eastAsia" w:ascii="宋体" w:hAnsi="宋体"/>
          <w:color w:val="000000" w:themeColor="text1"/>
          <w14:textFill>
            <w14:solidFill>
              <w14:schemeClr w14:val="tx1"/>
            </w14:solidFill>
          </w14:textFill>
        </w:rPr>
        <w:t>进行价格</w:t>
      </w:r>
      <w:r>
        <w:rPr>
          <w:rFonts w:ascii="宋体" w:hAnsi="宋体"/>
          <w:color w:val="000000" w:themeColor="text1"/>
          <w14:textFill>
            <w14:solidFill>
              <w14:schemeClr w14:val="tx1"/>
            </w14:solidFill>
          </w14:textFill>
        </w:rPr>
        <w:t>调整。</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关于各可调因子、定值和变值权重，以及基本价格指数及其来源的约定：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第2种方式：采用造价信息</w:t>
      </w:r>
      <w:r>
        <w:rPr>
          <w:rFonts w:hint="eastAsia" w:ascii="宋体" w:hAnsi="宋体"/>
          <w:color w:val="000000" w:themeColor="text1"/>
          <w14:textFill>
            <w14:solidFill>
              <w14:schemeClr w14:val="tx1"/>
            </w14:solidFill>
          </w14:textFill>
        </w:rPr>
        <w:t>进行价格</w:t>
      </w:r>
      <w:r>
        <w:rPr>
          <w:rFonts w:ascii="宋体" w:hAnsi="宋体"/>
          <w:color w:val="000000" w:themeColor="text1"/>
          <w14:textFill>
            <w14:solidFill>
              <w14:schemeClr w14:val="tx1"/>
            </w14:solidFill>
          </w14:textFill>
        </w:rPr>
        <w:t>调整。</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（2）关于基准价格的约定：</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专用合同条款</w:t>
      </w:r>
      <w:r>
        <w:rPr>
          <w:rFonts w:hint="eastAsia" w:ascii="宋体" w:hAnsi="宋体"/>
          <w:color w:val="000000" w:themeColor="text1"/>
          <w14:textFill>
            <w14:solidFill>
              <w14:schemeClr w14:val="tx1"/>
            </w14:solidFill>
          </w14:textFill>
        </w:rPr>
        <w:t>①</w:t>
      </w:r>
      <w:r>
        <w:rPr>
          <w:rFonts w:ascii="宋体" w:hAnsi="宋体"/>
          <w:color w:val="000000" w:themeColor="text1"/>
          <w14:textFill>
            <w14:solidFill>
              <w14:schemeClr w14:val="tx1"/>
            </w14:solidFill>
          </w14:textFill>
        </w:rPr>
        <w:t>承包人在已标价工程量清单或预算书中载明的材料单价低于基准价格的：专用合同条款合同履行期间材料单价涨幅以基准价格为基础超过</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%时，或材料单价跌幅以已标价工程量清单或预算书中载明材料单价为基础超过</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%时，其超过部分据实调整。</w:t>
      </w:r>
    </w:p>
    <w:p>
      <w:pPr>
        <w:spacing w:line="500" w:lineRule="exact"/>
        <w:ind w:firstLine="44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②</w:t>
      </w:r>
      <w:r>
        <w:rPr>
          <w:rFonts w:ascii="宋体" w:hAnsi="宋体"/>
          <w:color w:val="000000" w:themeColor="text1"/>
          <w14:textFill>
            <w14:solidFill>
              <w14:schemeClr w14:val="tx1"/>
            </w14:solidFill>
          </w14:textFill>
        </w:rPr>
        <w:t>承包人在已标价工程量清单或预算书中载明的材料单价高于基准价格的：专用合同条款合同履行期间材料单价跌幅以基准价格为基础超过</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%时，材料单价涨幅以已标价工程量清单或预算书中载明材料单价为基础超过</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%时，其超过部分据实调整。</w:t>
      </w:r>
    </w:p>
    <w:p>
      <w:pPr>
        <w:spacing w:line="500" w:lineRule="exact"/>
        <w:ind w:firstLine="44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③</w:t>
      </w:r>
      <w:r>
        <w:rPr>
          <w:rFonts w:ascii="宋体" w:hAnsi="宋体"/>
          <w:color w:val="000000" w:themeColor="text1"/>
          <w14:textFill>
            <w14:solidFill>
              <w14:schemeClr w14:val="tx1"/>
            </w14:solidFill>
          </w14:textFill>
        </w:rPr>
        <w:t>承包人在已标价工程量清单或预算书中载明的材料单价等于基准单价的：专用合同条款合同履行期间材料单价涨跌幅以基准单价为基础超过±</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%时，其超过部分据实调整。</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第3种方式：其他价格调整方式：</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bookmarkEnd w:id="274"/>
    <w:bookmarkEnd w:id="275"/>
    <w:bookmarkEnd w:id="276"/>
    <w:bookmarkEnd w:id="277"/>
    <w:bookmarkEnd w:id="278"/>
    <w:bookmarkEnd w:id="279"/>
    <w:p>
      <w:pPr>
        <w:spacing w:line="500" w:lineRule="exact"/>
        <w:ind w:firstLine="440" w:firstLineChars="200"/>
        <w:rPr>
          <w:rFonts w:ascii="宋体" w:hAnsi="宋体"/>
          <w:bCs/>
          <w:color w:val="000000" w:themeColor="text1"/>
          <w14:textFill>
            <w14:solidFill>
              <w14:schemeClr w14:val="tx1"/>
            </w14:solidFill>
          </w14:textFill>
        </w:rPr>
      </w:pPr>
      <w:bookmarkStart w:id="387" w:name="_Toc296347204"/>
      <w:bookmarkStart w:id="388" w:name="_Toc296891245"/>
      <w:bookmarkStart w:id="389" w:name="_Toc296891033"/>
      <w:bookmarkStart w:id="390" w:name="_Toc296346706"/>
      <w:bookmarkStart w:id="391" w:name="_Toc296944544"/>
      <w:bookmarkStart w:id="392" w:name="_Toc297120505"/>
      <w:bookmarkStart w:id="393" w:name="_Toc297048391"/>
      <w:bookmarkStart w:id="394" w:name="_Toc292559915"/>
      <w:bookmarkStart w:id="395" w:name="_Toc296503205"/>
      <w:bookmarkStart w:id="396" w:name="_Toc292559410"/>
      <w:bookmarkStart w:id="397" w:name="_Toc351203644"/>
      <w:bookmarkStart w:id="398" w:name="_Toc300935002"/>
      <w:bookmarkStart w:id="399" w:name="_Toc312678040"/>
      <w:bookmarkStart w:id="400" w:name="_Toc297123552"/>
      <w:bookmarkStart w:id="401" w:name="_Toc303539159"/>
      <w:bookmarkStart w:id="402" w:name="_Toc304295579"/>
      <w:bookmarkStart w:id="403" w:name="_Toc297216211"/>
      <w:r>
        <w:rPr>
          <w:rFonts w:ascii="宋体" w:hAnsi="宋体"/>
          <w:bCs/>
          <w:color w:val="000000" w:themeColor="text1"/>
          <w14:textFill>
            <w14:solidFill>
              <w14:schemeClr w14:val="tx1"/>
            </w14:solidFill>
          </w14:textFill>
        </w:rPr>
        <w:t xml:space="preserve">12. </w:t>
      </w:r>
      <w:bookmarkEnd w:id="387"/>
      <w:bookmarkEnd w:id="388"/>
      <w:bookmarkEnd w:id="389"/>
      <w:bookmarkEnd w:id="390"/>
      <w:bookmarkEnd w:id="391"/>
      <w:bookmarkEnd w:id="392"/>
      <w:bookmarkEnd w:id="393"/>
      <w:bookmarkEnd w:id="394"/>
      <w:bookmarkEnd w:id="395"/>
      <w:bookmarkEnd w:id="396"/>
      <w:r>
        <w:rPr>
          <w:rFonts w:ascii="宋体" w:hAnsi="宋体"/>
          <w:bCs/>
          <w:color w:val="000000" w:themeColor="text1"/>
          <w14:textFill>
            <w14:solidFill>
              <w14:schemeClr w14:val="tx1"/>
            </w14:solidFill>
          </w14:textFill>
        </w:rPr>
        <w:t>合同价格、计量与支付</w:t>
      </w:r>
      <w:bookmarkEnd w:id="397"/>
    </w:p>
    <w:bookmarkEnd w:id="398"/>
    <w:bookmarkEnd w:id="399"/>
    <w:bookmarkEnd w:id="400"/>
    <w:bookmarkEnd w:id="401"/>
    <w:bookmarkEnd w:id="402"/>
    <w:bookmarkEnd w:id="403"/>
    <w:p>
      <w:pPr>
        <w:spacing w:line="500" w:lineRule="exact"/>
        <w:ind w:firstLine="440" w:firstLineChars="200"/>
        <w:rPr>
          <w:rFonts w:ascii="宋体" w:hAnsi="宋体"/>
          <w:color w:val="000000" w:themeColor="text1"/>
          <w14:textFill>
            <w14:solidFill>
              <w14:schemeClr w14:val="tx1"/>
            </w14:solidFill>
          </w14:textFill>
        </w:rPr>
      </w:pPr>
      <w:bookmarkStart w:id="404" w:name="_Toc267251461"/>
      <w:bookmarkStart w:id="405" w:name="_Toc292559411"/>
      <w:bookmarkStart w:id="406" w:name="_Toc292559916"/>
      <w:bookmarkStart w:id="407" w:name="_Toc296503206"/>
      <w:bookmarkStart w:id="408" w:name="_Toc297048392"/>
      <w:bookmarkStart w:id="409" w:name="_Toc296346707"/>
      <w:bookmarkStart w:id="410" w:name="_Toc296944545"/>
      <w:bookmarkStart w:id="411" w:name="_Toc296891246"/>
      <w:bookmarkStart w:id="412" w:name="_Toc296347205"/>
      <w:bookmarkStart w:id="413" w:name="_Toc297120506"/>
      <w:bookmarkStart w:id="414" w:name="_Toc296891034"/>
      <w:bookmarkStart w:id="415" w:name="_Toc297216212"/>
      <w:bookmarkStart w:id="416" w:name="_Toc300935003"/>
      <w:bookmarkStart w:id="417" w:name="_Toc297123553"/>
      <w:bookmarkStart w:id="418" w:name="_Toc312678041"/>
      <w:bookmarkStart w:id="419" w:name="_Toc303539160"/>
      <w:bookmarkStart w:id="420" w:name="_Toc304295580"/>
      <w:r>
        <w:rPr>
          <w:rFonts w:ascii="宋体" w:hAnsi="宋体"/>
          <w:color w:val="000000" w:themeColor="text1"/>
          <w14:textFill>
            <w14:solidFill>
              <w14:schemeClr w14:val="tx1"/>
            </w14:solidFill>
          </w14:textFill>
        </w:rPr>
        <w:t>12.1 合</w:t>
      </w:r>
      <w:bookmarkEnd w:id="404"/>
      <w:bookmarkEnd w:id="405"/>
      <w:bookmarkEnd w:id="406"/>
      <w:r>
        <w:rPr>
          <w:rFonts w:ascii="宋体" w:hAnsi="宋体"/>
          <w:color w:val="000000" w:themeColor="text1"/>
          <w14:textFill>
            <w14:solidFill>
              <w14:schemeClr w14:val="tx1"/>
            </w14:solidFill>
          </w14:textFill>
        </w:rPr>
        <w:t>同价</w:t>
      </w:r>
      <w:bookmarkEnd w:id="407"/>
      <w:bookmarkEnd w:id="408"/>
      <w:bookmarkEnd w:id="409"/>
      <w:bookmarkEnd w:id="410"/>
      <w:bookmarkEnd w:id="411"/>
      <w:bookmarkEnd w:id="412"/>
      <w:bookmarkEnd w:id="413"/>
      <w:bookmarkEnd w:id="414"/>
      <w:r>
        <w:rPr>
          <w:rFonts w:ascii="宋体" w:hAnsi="宋体"/>
          <w:color w:val="000000" w:themeColor="text1"/>
          <w14:textFill>
            <w14:solidFill>
              <w14:schemeClr w14:val="tx1"/>
            </w14:solidFill>
          </w14:textFill>
        </w:rPr>
        <w:t>格形式</w:t>
      </w:r>
    </w:p>
    <w:bookmarkEnd w:id="415"/>
    <w:bookmarkEnd w:id="416"/>
    <w:bookmarkEnd w:id="417"/>
    <w:bookmarkEnd w:id="418"/>
    <w:bookmarkEnd w:id="419"/>
    <w:bookmarkEnd w:id="420"/>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1、单价合同。</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综合单价包含的风险范围：</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风险费用的计算方法：</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风险范围以外合同价格的调整方法：</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2、总价合同。</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总价包含的风险范围：</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风险费用的计算方法：</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风险范围以外合同价格的调整方法：</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3、其他价格方式：</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bookmarkStart w:id="421" w:name="_Toc297123554"/>
      <w:bookmarkStart w:id="422" w:name="_Toc304295581"/>
      <w:bookmarkStart w:id="423" w:name="_Toc312678042"/>
      <w:bookmarkStart w:id="424" w:name="_Toc303539161"/>
      <w:bookmarkStart w:id="425" w:name="_Toc300935004"/>
      <w:bookmarkStart w:id="426" w:name="_Toc297216213"/>
      <w:bookmarkStart w:id="427" w:name="_Toc296346708"/>
      <w:bookmarkStart w:id="428" w:name="_Toc296503207"/>
      <w:bookmarkStart w:id="429" w:name="_Toc296944546"/>
      <w:bookmarkStart w:id="430" w:name="_Toc297048393"/>
      <w:bookmarkStart w:id="431" w:name="_Toc292559917"/>
      <w:bookmarkStart w:id="432" w:name="_Toc296891247"/>
      <w:bookmarkStart w:id="433" w:name="_Toc297120507"/>
      <w:bookmarkStart w:id="434" w:name="_Toc292559412"/>
      <w:bookmarkStart w:id="435" w:name="_Toc296891035"/>
      <w:bookmarkStart w:id="436" w:name="_Toc296347206"/>
      <w:r>
        <w:rPr>
          <w:rFonts w:ascii="宋体" w:hAnsi="宋体"/>
          <w:color w:val="000000" w:themeColor="text1"/>
          <w14:textFill>
            <w14:solidFill>
              <w14:schemeClr w14:val="tx1"/>
            </w14:solidFill>
          </w14:textFill>
        </w:rPr>
        <w:t>12.2 预付款</w:t>
      </w:r>
    </w:p>
    <w:bookmarkEnd w:id="421"/>
    <w:bookmarkEnd w:id="422"/>
    <w:bookmarkEnd w:id="423"/>
    <w:bookmarkEnd w:id="424"/>
    <w:bookmarkEnd w:id="425"/>
    <w:bookmarkEnd w:id="426"/>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12.2.1 预付款的支付</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预付款支付比例或金额：</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预付款支付期限：</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预付款扣回的方式：</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12.2.2 预付款担保</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承包人提交预付款担保的期限：</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预付款担保的形式为：</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bookmarkEnd w:id="427"/>
    <w:bookmarkEnd w:id="428"/>
    <w:bookmarkEnd w:id="429"/>
    <w:bookmarkEnd w:id="430"/>
    <w:bookmarkEnd w:id="431"/>
    <w:bookmarkEnd w:id="432"/>
    <w:bookmarkEnd w:id="433"/>
    <w:bookmarkEnd w:id="434"/>
    <w:bookmarkEnd w:id="435"/>
    <w:bookmarkEnd w:id="436"/>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12.3 计量</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12.3.1 计量原则</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工程量计算规则：</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12.3.2 计量周期</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关于计量周期的约定：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12.3.3 单价合同的计量</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关于单价合同计量的约定：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12.3.4 总价合同的计量</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关于总价合同计量的约定：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12.3.5总价合同采用支付分解表计量支付的，是否适用第12.3.4 项</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总价合同的计量</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约定</w:t>
      </w:r>
      <w:r>
        <w:rPr>
          <w:rFonts w:hint="eastAsia" w:ascii="宋体" w:hAnsi="宋体"/>
          <w:color w:val="000000" w:themeColor="text1"/>
          <w14:textFill>
            <w14:solidFill>
              <w14:schemeClr w14:val="tx1"/>
            </w14:solidFill>
          </w14:textFill>
        </w:rPr>
        <w:t>进行计量：</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12.3.6 其他价格形式合同的计量</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其他价格形式的计量方式和程序：</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12.4 工程进度款支付</w:t>
      </w:r>
    </w:p>
    <w:p>
      <w:pPr>
        <w:spacing w:line="500" w:lineRule="exact"/>
        <w:ind w:firstLine="440" w:firstLineChars="200"/>
        <w:rPr>
          <w:rFonts w:ascii="宋体" w:hAnsi="宋体"/>
          <w:color w:val="000000" w:themeColor="text1"/>
          <w14:textFill>
            <w14:solidFill>
              <w14:schemeClr w14:val="tx1"/>
            </w14:solidFill>
          </w14:textFill>
        </w:rPr>
      </w:pPr>
      <w:bookmarkStart w:id="437" w:name="_Toc296891251"/>
      <w:bookmarkStart w:id="438" w:name="_Toc296944550"/>
      <w:bookmarkStart w:id="439" w:name="_Toc296347210"/>
      <w:bookmarkStart w:id="440" w:name="_Toc296503211"/>
      <w:bookmarkStart w:id="441" w:name="_Toc297048397"/>
      <w:bookmarkStart w:id="442" w:name="_Toc296346712"/>
      <w:bookmarkStart w:id="443" w:name="_Toc297216215"/>
      <w:bookmarkStart w:id="444" w:name="_Toc292559921"/>
      <w:bookmarkStart w:id="445" w:name="_Toc292559416"/>
      <w:bookmarkStart w:id="446" w:name="_Toc296891039"/>
      <w:bookmarkStart w:id="447" w:name="_Toc297123556"/>
      <w:bookmarkStart w:id="448" w:name="_Toc303539163"/>
      <w:bookmarkStart w:id="449" w:name="_Toc300935006"/>
      <w:bookmarkStart w:id="450" w:name="_Toc297120511"/>
      <w:r>
        <w:rPr>
          <w:rFonts w:ascii="宋体" w:hAnsi="宋体"/>
          <w:color w:val="000000" w:themeColor="text1"/>
          <w14:textFill>
            <w14:solidFill>
              <w14:schemeClr w14:val="tx1"/>
            </w14:solidFill>
          </w14:textFill>
        </w:rPr>
        <w:t>12.4.1 付款周期</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关于付款周期的约定：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12.4.2 进度付款申请单的编制</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关于进度付款申请单编制的约定：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rFonts w:ascii="宋体" w:hAnsi="宋体"/>
          <w:color w:val="000000" w:themeColor="text1"/>
          <w14:textFill>
            <w14:solidFill>
              <w14:schemeClr w14:val="tx1"/>
            </w14:solidFill>
          </w14:textFill>
        </w:rPr>
        <w:t>2.4.3 进度付款申请单的提交</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（1）单价合同进度付款申请单提交的约定</w:t>
      </w:r>
      <w:r>
        <w:rPr>
          <w:rFonts w:hint="eastAsia" w:ascii="宋体" w:hAnsi="宋体"/>
          <w:color w:val="000000" w:themeColor="text1"/>
          <w14:textFill>
            <w14:solidFill>
              <w14:schemeClr w14:val="tx1"/>
            </w14:solidFill>
          </w14:textFill>
        </w:rPr>
        <w:t>：</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（2）总价合同进度付款申请单提交的约定</w:t>
      </w:r>
      <w:r>
        <w:rPr>
          <w:rFonts w:hint="eastAsia" w:ascii="宋体" w:hAnsi="宋体"/>
          <w:color w:val="000000" w:themeColor="text1"/>
          <w14:textFill>
            <w14:solidFill>
              <w14:schemeClr w14:val="tx1"/>
            </w14:solidFill>
          </w14:textFill>
        </w:rPr>
        <w:t>：</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（3）其他价格形式合同进度付款申请单提交的约定：</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12.4.4 进度款审核和支付</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（1）监理人审查并报送发包人的期限：</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发包人完成审批并签发进度款支付证书的期限：</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（2）发包人支付进度款的期限：</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发包人逾期支付进度款的违约金的计算方式：</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12.4.6 支付分解表的编制</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2、总价合同支付分解表的编制与审批：</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3、单价合同的总价项目支付分解表的编制与审批：</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bookmarkEnd w:id="280"/>
    <w:p>
      <w:pPr>
        <w:spacing w:line="500" w:lineRule="exact"/>
        <w:ind w:firstLine="440" w:firstLineChars="200"/>
        <w:rPr>
          <w:rFonts w:ascii="宋体" w:hAnsi="宋体"/>
          <w:bCs/>
          <w:color w:val="000000" w:themeColor="text1"/>
          <w14:textFill>
            <w14:solidFill>
              <w14:schemeClr w14:val="tx1"/>
            </w14:solidFill>
          </w14:textFill>
        </w:rPr>
      </w:pPr>
      <w:bookmarkStart w:id="451" w:name="_Toc351203645"/>
      <w:bookmarkStart w:id="452" w:name="_Toc296346720"/>
      <w:bookmarkStart w:id="453" w:name="_Toc292559424"/>
      <w:bookmarkStart w:id="454" w:name="_Toc304295593"/>
      <w:bookmarkStart w:id="455" w:name="_Toc296503219"/>
      <w:bookmarkStart w:id="456" w:name="_Toc303539172"/>
      <w:bookmarkStart w:id="457" w:name="_Toc297123564"/>
      <w:bookmarkStart w:id="458" w:name="_Toc292559929"/>
      <w:bookmarkStart w:id="459" w:name="_Toc296944558"/>
      <w:bookmarkStart w:id="460" w:name="_Toc297048405"/>
      <w:bookmarkStart w:id="461" w:name="_Toc297216223"/>
      <w:bookmarkStart w:id="462" w:name="_Toc297120519"/>
      <w:bookmarkStart w:id="463" w:name="_Toc300935015"/>
      <w:bookmarkStart w:id="464" w:name="_Toc296347218"/>
      <w:bookmarkStart w:id="465" w:name="_Toc296891047"/>
      <w:bookmarkStart w:id="466" w:name="_Toc296891259"/>
      <w:bookmarkStart w:id="467" w:name="_Toc312678053"/>
      <w:r>
        <w:rPr>
          <w:rFonts w:ascii="宋体" w:hAnsi="宋体"/>
          <w:bCs/>
          <w:color w:val="000000" w:themeColor="text1"/>
          <w14:textFill>
            <w14:solidFill>
              <w14:schemeClr w14:val="tx1"/>
            </w14:solidFill>
          </w14:textFill>
        </w:rPr>
        <w:t>13.</w:t>
      </w:r>
      <w:r>
        <w:rPr>
          <w:rFonts w:hint="eastAsia" w:ascii="宋体" w:hAnsi="宋体"/>
          <w:bCs/>
          <w:color w:val="000000" w:themeColor="text1"/>
          <w14:textFill>
            <w14:solidFill>
              <w14:schemeClr w14:val="tx1"/>
            </w14:solidFill>
          </w14:textFill>
        </w:rPr>
        <w:t xml:space="preserve"> </w:t>
      </w:r>
      <w:r>
        <w:rPr>
          <w:rFonts w:ascii="宋体" w:hAnsi="宋体"/>
          <w:bCs/>
          <w:color w:val="000000" w:themeColor="text1"/>
          <w14:textFill>
            <w14:solidFill>
              <w14:schemeClr w14:val="tx1"/>
            </w14:solidFill>
          </w14:textFill>
        </w:rPr>
        <w:t>验收和工程试车</w:t>
      </w:r>
      <w:bookmarkEnd w:id="451"/>
    </w:p>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13.1 分部分项工程验收</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13.1.2监理人不能按时进行验收时，应提前</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小时提交书面延期要求。</w:t>
      </w:r>
    </w:p>
    <w:p>
      <w:pPr>
        <w:spacing w:line="500" w:lineRule="exact"/>
        <w:ind w:firstLine="440" w:firstLineChars="200"/>
        <w:rPr>
          <w:rFonts w:ascii="宋体" w:hAnsi="宋体"/>
          <w:b/>
          <w:color w:val="000000" w:themeColor="text1"/>
          <w14:textFill>
            <w14:solidFill>
              <w14:schemeClr w14:val="tx1"/>
            </w14:solidFill>
          </w14:textFill>
        </w:rPr>
      </w:pPr>
      <w:r>
        <w:rPr>
          <w:rFonts w:ascii="宋体" w:hAnsi="宋体"/>
          <w:color w:val="000000" w:themeColor="text1"/>
          <w14:textFill>
            <w14:solidFill>
              <w14:schemeClr w14:val="tx1"/>
            </w14:solidFill>
          </w14:textFill>
        </w:rPr>
        <w:t>关于延期最长不得超过：</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小时。</w:t>
      </w:r>
    </w:p>
    <w:p>
      <w:pPr>
        <w:spacing w:line="500" w:lineRule="exact"/>
        <w:ind w:firstLine="440" w:firstLineChars="200"/>
        <w:rPr>
          <w:rFonts w:ascii="宋体" w:hAnsi="宋体"/>
          <w:color w:val="000000" w:themeColor="text1"/>
          <w14:textFill>
            <w14:solidFill>
              <w14:schemeClr w14:val="tx1"/>
            </w14:solidFill>
          </w14:textFill>
        </w:rPr>
      </w:pPr>
      <w:bookmarkStart w:id="468" w:name="_Toc296944562"/>
      <w:bookmarkStart w:id="469" w:name="_Toc297048409"/>
      <w:bookmarkStart w:id="470" w:name="_Toc297120523"/>
      <w:bookmarkStart w:id="471" w:name="_Toc296346724"/>
      <w:bookmarkStart w:id="472" w:name="_Toc296503223"/>
      <w:bookmarkStart w:id="473" w:name="_Toc312678056"/>
      <w:bookmarkStart w:id="474" w:name="_Toc303539173"/>
      <w:bookmarkStart w:id="475" w:name="_Toc300935016"/>
      <w:bookmarkStart w:id="476" w:name="_Toc297123565"/>
      <w:bookmarkStart w:id="477" w:name="_Toc292559933"/>
      <w:bookmarkStart w:id="478" w:name="_Toc296347222"/>
      <w:bookmarkStart w:id="479" w:name="_Toc292559428"/>
      <w:bookmarkStart w:id="480" w:name="_Toc304295596"/>
      <w:bookmarkStart w:id="481" w:name="_Toc297216224"/>
      <w:bookmarkStart w:id="482" w:name="_Toc296891263"/>
      <w:bookmarkStart w:id="483" w:name="_Toc296891051"/>
      <w:bookmarkStart w:id="484" w:name="_Toc267251472"/>
      <w:bookmarkStart w:id="485" w:name="_Toc267251473"/>
      <w:bookmarkStart w:id="486" w:name="_Toc267251470"/>
      <w:bookmarkStart w:id="487" w:name="_Toc267251476"/>
      <w:bookmarkStart w:id="488" w:name="_Toc267251475"/>
      <w:bookmarkStart w:id="489" w:name="_Toc267251474"/>
      <w:bookmarkStart w:id="490" w:name="_Toc267251471"/>
      <w:r>
        <w:rPr>
          <w:rFonts w:ascii="宋体" w:hAnsi="宋体"/>
          <w:color w:val="000000" w:themeColor="text1"/>
          <w14:textFill>
            <w14:solidFill>
              <w14:schemeClr w14:val="tx1"/>
            </w14:solidFill>
          </w14:textFill>
        </w:rPr>
        <w:t>13.2 竣工验收</w:t>
      </w:r>
    </w:p>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Pr>
        <w:spacing w:line="500" w:lineRule="exact"/>
        <w:ind w:firstLine="440" w:firstLineChars="200"/>
        <w:rPr>
          <w:rFonts w:ascii="宋体" w:hAnsi="宋体"/>
          <w:color w:val="000000" w:themeColor="text1"/>
          <w14:textFill>
            <w14:solidFill>
              <w14:schemeClr w14:val="tx1"/>
            </w14:solidFill>
          </w14:textFill>
        </w:rPr>
      </w:pPr>
      <w:bookmarkStart w:id="491" w:name="_Toc280868704"/>
      <w:bookmarkStart w:id="492" w:name="_Toc280868705"/>
      <w:bookmarkStart w:id="493" w:name="_Toc280868706"/>
      <w:bookmarkStart w:id="494" w:name="_Toc280868707"/>
      <w:bookmarkStart w:id="495" w:name="_Toc280868708"/>
      <w:bookmarkStart w:id="496" w:name="_Toc280868709"/>
      <w:r>
        <w:rPr>
          <w:rFonts w:ascii="宋体" w:hAnsi="宋体"/>
          <w:color w:val="000000" w:themeColor="text1"/>
          <w14:textFill>
            <w14:solidFill>
              <w14:schemeClr w14:val="tx1"/>
            </w14:solidFill>
          </w14:textFill>
        </w:rPr>
        <w:t>13.2.2竣工验收程序</w:t>
      </w:r>
    </w:p>
    <w:bookmarkEnd w:id="491"/>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关于竣工验收程序的约定：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发包人不按照本项约定组织竣工验收、颁发工程接收证书的违约金的计算方法：</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bookmarkEnd w:id="492"/>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13.2.5移交、接收全部与部分工程</w:t>
      </w:r>
    </w:p>
    <w:bookmarkEnd w:id="493"/>
    <w:p>
      <w:pPr>
        <w:spacing w:line="500" w:lineRule="exact"/>
        <w:ind w:firstLine="44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承包人向发包人移交工程的期限：</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发包人未按本合同约定接收全部或部分工程的，违约金的计算方法为：</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bookmarkEnd w:id="494"/>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承包人未按时移交工程的，违约金的计算方法为：</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13.3 工程试车</w:t>
      </w:r>
    </w:p>
    <w:bookmarkEnd w:id="495"/>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13.3.1 试车程序</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工程试车内容：</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（1）单机无负荷试车费用由</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承担；</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（2）无负荷联动试车费用由</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承担。</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13.3.3 投料试车</w:t>
      </w:r>
    </w:p>
    <w:p>
      <w:pPr>
        <w:spacing w:line="500" w:lineRule="exact"/>
        <w:ind w:firstLine="440" w:firstLineChars="200"/>
        <w:rPr>
          <w:rFonts w:ascii="宋体" w:hAns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关于投料试车相关事项的约定：</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13.6 竣工退场</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13.6.1 竣工退场</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承包人完成竣工退场的期限：</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bCs/>
          <w:color w:val="000000" w:themeColor="text1"/>
          <w14:textFill>
            <w14:solidFill>
              <w14:schemeClr w14:val="tx1"/>
            </w14:solidFill>
          </w14:textFill>
        </w:rPr>
      </w:pPr>
      <w:bookmarkStart w:id="497" w:name="_Toc351203646"/>
      <w:r>
        <w:rPr>
          <w:rFonts w:ascii="宋体" w:hAnsi="宋体"/>
          <w:bCs/>
          <w:color w:val="000000" w:themeColor="text1"/>
          <w14:textFill>
            <w14:solidFill>
              <w14:schemeClr w14:val="tx1"/>
            </w14:solidFill>
          </w14:textFill>
        </w:rPr>
        <w:t>14. 竣工结算</w:t>
      </w:r>
      <w:bookmarkEnd w:id="497"/>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14.1 竣工</w:t>
      </w:r>
      <w:r>
        <w:rPr>
          <w:rFonts w:hint="eastAsia" w:ascii="宋体" w:hAnsi="宋体"/>
          <w:color w:val="000000" w:themeColor="text1"/>
          <w14:textFill>
            <w14:solidFill>
              <w14:schemeClr w14:val="tx1"/>
            </w14:solidFill>
          </w14:textFill>
        </w:rPr>
        <w:t>结算</w:t>
      </w:r>
      <w:r>
        <w:rPr>
          <w:rFonts w:ascii="宋体" w:hAnsi="宋体"/>
          <w:color w:val="000000" w:themeColor="text1"/>
          <w14:textFill>
            <w14:solidFill>
              <w14:schemeClr w14:val="tx1"/>
            </w14:solidFill>
          </w14:textFill>
        </w:rPr>
        <w:t>申请</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承包人提交竣工</w:t>
      </w:r>
      <w:r>
        <w:rPr>
          <w:rFonts w:hint="eastAsia" w:ascii="宋体" w:hAnsi="宋体"/>
          <w:color w:val="000000" w:themeColor="text1"/>
          <w14:textFill>
            <w14:solidFill>
              <w14:schemeClr w14:val="tx1"/>
            </w14:solidFill>
          </w14:textFill>
        </w:rPr>
        <w:t>结算</w:t>
      </w:r>
      <w:r>
        <w:rPr>
          <w:rFonts w:ascii="宋体" w:hAnsi="宋体"/>
          <w:color w:val="000000" w:themeColor="text1"/>
          <w14:textFill>
            <w14:solidFill>
              <w14:schemeClr w14:val="tx1"/>
            </w14:solidFill>
          </w14:textFill>
        </w:rPr>
        <w:t>申请单的期限：</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竣工</w:t>
      </w:r>
      <w:r>
        <w:rPr>
          <w:rFonts w:hint="eastAsia" w:ascii="宋体" w:hAnsi="宋体"/>
          <w:color w:val="000000" w:themeColor="text1"/>
          <w14:textFill>
            <w14:solidFill>
              <w14:schemeClr w14:val="tx1"/>
            </w14:solidFill>
          </w14:textFill>
        </w:rPr>
        <w:t>结算</w:t>
      </w:r>
      <w:r>
        <w:rPr>
          <w:rFonts w:ascii="宋体" w:hAnsi="宋体"/>
          <w:color w:val="000000" w:themeColor="text1"/>
          <w14:textFill>
            <w14:solidFill>
              <w14:schemeClr w14:val="tx1"/>
            </w14:solidFill>
          </w14:textFill>
        </w:rPr>
        <w:t>申请单应包括的内容：</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14.2 竣工结算审核</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发包人</w:t>
      </w:r>
      <w:r>
        <w:rPr>
          <w:rFonts w:hint="eastAsia" w:ascii="宋体" w:hAnsi="宋体"/>
          <w:color w:val="000000" w:themeColor="text1"/>
          <w14:textFill>
            <w14:solidFill>
              <w14:schemeClr w14:val="tx1"/>
            </w14:solidFill>
          </w14:textFill>
        </w:rPr>
        <w:t>审批</w:t>
      </w:r>
      <w:r>
        <w:rPr>
          <w:rFonts w:ascii="宋体" w:hAnsi="宋体"/>
          <w:color w:val="000000" w:themeColor="text1"/>
          <w14:textFill>
            <w14:solidFill>
              <w14:schemeClr w14:val="tx1"/>
            </w14:solidFill>
          </w14:textFill>
        </w:rPr>
        <w:t>竣工付款申请单的期限：</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发包人完成竣工付款的期限：</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关于竣工付款证书异议部分复核的方式和程序：</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14.4 最终结清</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14.4.1 最终结清申请单</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承包人提交最终结清申请单的份数：</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承包人提交最终结算申请单的期限：</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14.4.2 最终结清证书和支付</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（1）发包人完成最终结清申请单的</w:t>
      </w:r>
      <w:r>
        <w:rPr>
          <w:rFonts w:hint="eastAsia" w:ascii="宋体" w:hAnsi="宋体"/>
          <w:color w:val="000000" w:themeColor="text1"/>
          <w14:textFill>
            <w14:solidFill>
              <w14:schemeClr w14:val="tx1"/>
            </w14:solidFill>
          </w14:textFill>
        </w:rPr>
        <w:t>审批</w:t>
      </w:r>
      <w:r>
        <w:rPr>
          <w:rFonts w:ascii="宋体" w:hAnsi="宋体"/>
          <w:color w:val="000000" w:themeColor="text1"/>
          <w14:textFill>
            <w14:solidFill>
              <w14:schemeClr w14:val="tx1"/>
            </w14:solidFill>
          </w14:textFill>
        </w:rPr>
        <w:t>并颁发最终结清证书的期限：</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（2）发包人完成支付的期限：</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bookmarkEnd w:id="484"/>
    <w:bookmarkEnd w:id="485"/>
    <w:bookmarkEnd w:id="486"/>
    <w:bookmarkEnd w:id="487"/>
    <w:bookmarkEnd w:id="488"/>
    <w:bookmarkEnd w:id="489"/>
    <w:bookmarkEnd w:id="490"/>
    <w:bookmarkEnd w:id="496"/>
    <w:p>
      <w:pPr>
        <w:spacing w:line="500" w:lineRule="exact"/>
        <w:ind w:firstLine="440" w:firstLineChars="200"/>
        <w:rPr>
          <w:rFonts w:ascii="宋体" w:hAnsi="宋体"/>
          <w:bCs/>
          <w:color w:val="000000" w:themeColor="text1"/>
          <w14:textFill>
            <w14:solidFill>
              <w14:schemeClr w14:val="tx1"/>
            </w14:solidFill>
          </w14:textFill>
        </w:rPr>
      </w:pPr>
      <w:bookmarkStart w:id="498" w:name="_Toc351203647"/>
      <w:bookmarkStart w:id="499" w:name="_Toc267251483"/>
      <w:bookmarkStart w:id="500" w:name="_Toc267251484"/>
      <w:bookmarkStart w:id="501" w:name="_Toc267251482"/>
      <w:bookmarkStart w:id="502" w:name="_Toc267251485"/>
      <w:bookmarkStart w:id="503" w:name="_Toc267251488"/>
      <w:bookmarkStart w:id="504" w:name="_Toc267251489"/>
      <w:bookmarkStart w:id="505" w:name="_Toc267251490"/>
      <w:bookmarkStart w:id="506" w:name="_Toc267251486"/>
      <w:bookmarkStart w:id="507" w:name="_Toc267251491"/>
      <w:bookmarkStart w:id="508" w:name="_Toc267251492"/>
      <w:bookmarkStart w:id="509" w:name="_Toc267251502"/>
      <w:bookmarkStart w:id="510" w:name="_Toc267251503"/>
      <w:bookmarkStart w:id="511" w:name="_Toc267251497"/>
      <w:bookmarkStart w:id="512" w:name="_Toc267251501"/>
      <w:bookmarkStart w:id="513" w:name="_Toc267251496"/>
      <w:bookmarkStart w:id="514" w:name="_Toc267251494"/>
      <w:bookmarkStart w:id="515" w:name="_Toc267251499"/>
      <w:bookmarkStart w:id="516" w:name="_Toc267251493"/>
      <w:bookmarkStart w:id="517" w:name="_Toc267251495"/>
      <w:bookmarkStart w:id="518" w:name="_Toc267251498"/>
      <w:bookmarkStart w:id="519" w:name="_Toc267251504"/>
      <w:bookmarkStart w:id="520" w:name="_Toc267251506"/>
      <w:bookmarkStart w:id="521" w:name="_Toc267251507"/>
      <w:bookmarkStart w:id="522" w:name="_Toc267251508"/>
      <w:bookmarkStart w:id="523" w:name="_Toc267251513"/>
      <w:bookmarkStart w:id="524" w:name="_Toc267251511"/>
      <w:bookmarkStart w:id="525" w:name="_Toc267251509"/>
      <w:bookmarkStart w:id="526" w:name="_Toc267251514"/>
      <w:bookmarkStart w:id="527" w:name="_Toc267251510"/>
      <w:bookmarkStart w:id="528" w:name="_Toc267251515"/>
      <w:r>
        <w:rPr>
          <w:rFonts w:ascii="宋体" w:hAnsi="宋体"/>
          <w:bCs/>
          <w:color w:val="000000" w:themeColor="text1"/>
          <w14:textFill>
            <w14:solidFill>
              <w14:schemeClr w14:val="tx1"/>
            </w14:solidFill>
          </w14:textFill>
        </w:rPr>
        <w:t>15. 缺陷责任期与保修</w:t>
      </w:r>
      <w:bookmarkEnd w:id="498"/>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15.2缺陷责任期</w:t>
      </w:r>
      <w:bookmarkEnd w:id="499"/>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缺陷责任期的具体期限：</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15.3 质量保证金</w:t>
      </w:r>
    </w:p>
    <w:p>
      <w:pPr>
        <w:spacing w:line="500" w:lineRule="exact"/>
        <w:ind w:firstLine="44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关于是否扣留质量保证金的约定：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在工程项目竣工前，承包人按专用合同条款第3.7条提供履约担保的，发包人不得同时预留工程质量保证金。</w:t>
      </w:r>
    </w:p>
    <w:p>
      <w:pPr>
        <w:spacing w:line="500" w:lineRule="exact"/>
        <w:ind w:firstLine="440" w:firstLineChars="200"/>
        <w:rPr>
          <w:rFonts w:ascii="宋体" w:hAnsi="宋体"/>
          <w:color w:val="000000" w:themeColor="text1"/>
          <w14:textFill>
            <w14:solidFill>
              <w14:schemeClr w14:val="tx1"/>
            </w14:solidFill>
          </w14:textFill>
        </w:rPr>
      </w:pP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15.3.1 </w:t>
      </w:r>
      <w:r>
        <w:rPr>
          <w:rFonts w:hint="eastAsia" w:ascii="宋体" w:hAnsi="宋体"/>
          <w:color w:val="000000" w:themeColor="text1"/>
          <w14:textFill>
            <w14:solidFill>
              <w14:schemeClr w14:val="tx1"/>
            </w14:solidFill>
          </w14:textFill>
        </w:rPr>
        <w:t>承包人提供</w:t>
      </w:r>
      <w:r>
        <w:rPr>
          <w:rFonts w:ascii="宋体" w:hAnsi="宋体"/>
          <w:color w:val="000000" w:themeColor="text1"/>
          <w14:textFill>
            <w14:solidFill>
              <w14:schemeClr w14:val="tx1"/>
            </w14:solidFill>
          </w14:textFill>
        </w:rPr>
        <w:t>质量保证金的</w:t>
      </w:r>
      <w:r>
        <w:rPr>
          <w:rFonts w:hint="eastAsia" w:ascii="宋体" w:hAnsi="宋体"/>
          <w:color w:val="000000" w:themeColor="text1"/>
          <w14:textFill>
            <w14:solidFill>
              <w14:schemeClr w14:val="tx1"/>
            </w14:solidFill>
          </w14:textFill>
        </w:rPr>
        <w:t>方</w:t>
      </w:r>
      <w:r>
        <w:rPr>
          <w:rFonts w:ascii="宋体" w:hAnsi="宋体"/>
          <w:color w:val="000000" w:themeColor="text1"/>
          <w14:textFill>
            <w14:solidFill>
              <w14:schemeClr w14:val="tx1"/>
            </w14:solidFill>
          </w14:textFill>
        </w:rPr>
        <w:t>式</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质量保证金采用以下第</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种方式：</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（1）质量保证金保函，保证金额为：</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%的工程款；</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（3）其他</w:t>
      </w:r>
      <w:r>
        <w:rPr>
          <w:rFonts w:hint="eastAsia" w:ascii="宋体" w:hAnsi="宋体"/>
          <w:color w:val="000000" w:themeColor="text1"/>
          <w14:textFill>
            <w14:solidFill>
              <w14:schemeClr w14:val="tx1"/>
            </w14:solidFill>
          </w14:textFill>
        </w:rPr>
        <w:t>方</w:t>
      </w:r>
      <w:r>
        <w:rPr>
          <w:rFonts w:ascii="宋体" w:hAnsi="宋体"/>
          <w:color w:val="000000" w:themeColor="text1"/>
          <w14:textFill>
            <w14:solidFill>
              <w14:schemeClr w14:val="tx1"/>
            </w14:solidFill>
          </w14:textFill>
        </w:rPr>
        <w:t>式:</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15.3.2 质量保证金的扣留 </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质量保证金的扣留采取以下第</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种方式：</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（1）在支付工程进度款时逐次扣留，在此情形下，质量保证金的计算基数不包括预付款的支付、扣回以及价格调整的金额；</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（2）工程竣工结算时一次性扣留质量保证金；</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（3）其他扣留方式:</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关于质量保证金的补充约定：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bookmarkEnd w:id="500"/>
    <w:bookmarkEnd w:id="501"/>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15.4保修</w:t>
      </w:r>
    </w:p>
    <w:bookmarkEnd w:id="502"/>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15.4.1 保修责任</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工程保修期为：</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15.4.3 修复通知</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承包人收到保修通知并到达工程现场的合理时间：</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bookmarkEnd w:id="503"/>
    <w:bookmarkEnd w:id="504"/>
    <w:bookmarkEnd w:id="505"/>
    <w:bookmarkEnd w:id="506"/>
    <w:p>
      <w:pPr>
        <w:spacing w:line="500" w:lineRule="exact"/>
        <w:ind w:firstLine="440" w:firstLineChars="200"/>
        <w:rPr>
          <w:rFonts w:ascii="宋体" w:hAnsi="宋体"/>
          <w:bCs/>
          <w:color w:val="000000" w:themeColor="text1"/>
          <w14:textFill>
            <w14:solidFill>
              <w14:schemeClr w14:val="tx1"/>
            </w14:solidFill>
          </w14:textFill>
        </w:rPr>
      </w:pPr>
      <w:bookmarkStart w:id="529" w:name="_Toc351203648"/>
      <w:bookmarkStart w:id="530" w:name="_Toc280868717"/>
      <w:bookmarkStart w:id="531" w:name="_Toc280868718"/>
      <w:r>
        <w:rPr>
          <w:rFonts w:ascii="宋体" w:hAnsi="宋体"/>
          <w:bCs/>
          <w:color w:val="000000" w:themeColor="text1"/>
          <w14:textFill>
            <w14:solidFill>
              <w14:schemeClr w14:val="tx1"/>
            </w14:solidFill>
          </w14:textFill>
        </w:rPr>
        <w:t>16. 违约</w:t>
      </w:r>
      <w:bookmarkEnd w:id="529"/>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16.1 发包人违约</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16.1.1发包人违约的情形</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发包人违约的其他情形：</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    16.1.2 发包人违约的责任</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发包人违约责任的承担方式和计算方法：</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（1）因发包人原因未能在计划开工日期前7天内下达开工通知的违约责任：</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（2）因发包人原因未能按合同约定支付合同价款的违约责任：</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（3）发包人违反第10.1款</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变更的范围</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第（2）项约定，自行实施被取消的工作或转由他人实施的违约责任：</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（4）发包人提供的材料、工程设备的规格、数量或质量不符合合同约定，或因发包人原因导致交货日期延误或交货地点变更等情况的违约责任：</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（5）因发包人违反合同约定造成暂停施工的违约责任：</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（6）发包人无正当理由没有在约定期限内发出复工指示，导致承包人无法复工的违约责任：</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（7）</w:t>
      </w:r>
      <w:r>
        <w:rPr>
          <w:rFonts w:hint="eastAsia" w:ascii="宋体" w:hAnsi="宋体"/>
          <w:color w:val="000000" w:themeColor="text1"/>
          <w14:textFill>
            <w14:solidFill>
              <w14:schemeClr w14:val="tx1"/>
            </w14:solidFill>
          </w14:textFill>
        </w:rPr>
        <w:t>其他：</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16.1.3 因发包人违约解除合同</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承包人按16.1.1项</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发包人违约的情形</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约定暂停施工满</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天后发包人仍不纠正其违约行为并致使合同目的不能实现的，承包人有权解除合同。</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16.2 承包人违约</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16.2.1 承包人违约的情形</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承包人违约的其他情形：</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16.2.2承包人违约的责任</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承包人违约责任的承担方式和计算方法：</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16.2.3 因承包人违约解除合同</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关于承包人违约解除合同的特别约定：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发包人</w:t>
      </w:r>
      <w:r>
        <w:rPr>
          <w:rFonts w:hint="eastAsia" w:ascii="宋体" w:hAnsi="宋体"/>
          <w:color w:val="000000" w:themeColor="text1"/>
          <w14:textFill>
            <w14:solidFill>
              <w14:schemeClr w14:val="tx1"/>
            </w14:solidFill>
          </w14:textFill>
        </w:rPr>
        <w:t>继续</w:t>
      </w:r>
      <w:r>
        <w:rPr>
          <w:rFonts w:ascii="宋体" w:hAnsi="宋体"/>
          <w:color w:val="000000" w:themeColor="text1"/>
          <w14:textFill>
            <w14:solidFill>
              <w14:schemeClr w14:val="tx1"/>
            </w14:solidFill>
          </w14:textFill>
        </w:rPr>
        <w:t>使用承包人在施工现场的材料、设备、临时工程、承包人文件和由承包人或以其名义编制的其他文件</w:t>
      </w:r>
      <w:r>
        <w:rPr>
          <w:rFonts w:hint="eastAsia" w:ascii="宋体" w:hAnsi="宋体"/>
          <w:color w:val="000000" w:themeColor="text1"/>
          <w14:textFill>
            <w14:solidFill>
              <w14:schemeClr w14:val="tx1"/>
            </w14:solidFill>
          </w14:textFill>
        </w:rPr>
        <w:t>的费用承担方式</w:t>
      </w:r>
      <w:r>
        <w:rPr>
          <w:rFonts w:ascii="宋体" w:hAnsi="宋体"/>
          <w:color w:val="000000" w:themeColor="text1"/>
          <w14:textFill>
            <w14:solidFill>
              <w14:schemeClr w14:val="tx1"/>
            </w14:solidFill>
          </w14:textFill>
        </w:rPr>
        <w:t>：</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w:t>
      </w:r>
    </w:p>
    <w:p>
      <w:pPr>
        <w:spacing w:line="500" w:lineRule="exact"/>
        <w:ind w:firstLine="440" w:firstLineChars="200"/>
        <w:rPr>
          <w:rFonts w:ascii="宋体" w:hAnsi="宋体"/>
          <w:bCs/>
          <w:color w:val="000000" w:themeColor="text1"/>
          <w14:textFill>
            <w14:solidFill>
              <w14:schemeClr w14:val="tx1"/>
            </w14:solidFill>
          </w14:textFill>
        </w:rPr>
      </w:pPr>
      <w:bookmarkStart w:id="532" w:name="_Toc351203649"/>
      <w:r>
        <w:rPr>
          <w:rFonts w:ascii="宋体" w:hAnsi="宋体"/>
          <w:bCs/>
          <w:color w:val="000000" w:themeColor="text1"/>
          <w14:textFill>
            <w14:solidFill>
              <w14:schemeClr w14:val="tx1"/>
            </w14:solidFill>
          </w14:textFill>
        </w:rPr>
        <w:t>17. 不可抗力</w:t>
      </w:r>
      <w:bookmarkEnd w:id="532"/>
      <w:r>
        <w:rPr>
          <w:rFonts w:ascii="宋体" w:hAnsi="宋体"/>
          <w:bCs/>
          <w:color w:val="000000" w:themeColor="text1"/>
          <w14:textFill>
            <w14:solidFill>
              <w14:schemeClr w14:val="tx1"/>
            </w14:solidFill>
          </w14:textFill>
        </w:rPr>
        <w:t xml:space="preserve"> </w:t>
      </w:r>
      <w:bookmarkEnd w:id="530"/>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17.1 不可抗力的确认</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 xml:space="preserve">除通用合同条款约定的不可抗力事件之外，视为不可抗力的其他情形：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17.4 因不可抗力解除合同</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合同解除后，发包人应在商定或确定发包人应支付款项后</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天内完成款项的支付。</w:t>
      </w:r>
    </w:p>
    <w:p>
      <w:pPr>
        <w:spacing w:line="500" w:lineRule="exact"/>
        <w:ind w:firstLine="440" w:firstLineChars="200"/>
        <w:rPr>
          <w:rFonts w:ascii="宋体" w:hAnsi="宋体"/>
          <w:bCs/>
          <w:color w:val="000000" w:themeColor="text1"/>
          <w14:textFill>
            <w14:solidFill>
              <w14:schemeClr w14:val="tx1"/>
            </w14:solidFill>
          </w14:textFill>
        </w:rPr>
      </w:pPr>
      <w:bookmarkStart w:id="533" w:name="_Toc351203650"/>
      <w:r>
        <w:rPr>
          <w:rFonts w:ascii="宋体" w:hAnsi="宋体"/>
          <w:bCs/>
          <w:color w:val="000000" w:themeColor="text1"/>
          <w14:textFill>
            <w14:solidFill>
              <w14:schemeClr w14:val="tx1"/>
            </w14:solidFill>
          </w14:textFill>
        </w:rPr>
        <w:t>18. 保险</w:t>
      </w:r>
      <w:bookmarkEnd w:id="533"/>
    </w:p>
    <w:bookmarkEnd w:id="531"/>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18.1 工程保险</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关于工程保险的特别约定：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18.3 其他保险</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关于其他保险的约定：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承包人是否应为其施工设备等办理财产保险：</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18.7 通知义务</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关于变更保险合同时的通知义务的约定：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bookmarkEnd w:id="507"/>
    <w:bookmarkEnd w:id="508"/>
    <w:bookmarkEnd w:id="509"/>
    <w:bookmarkEnd w:id="510"/>
    <w:bookmarkEnd w:id="511"/>
    <w:bookmarkEnd w:id="512"/>
    <w:bookmarkEnd w:id="513"/>
    <w:bookmarkEnd w:id="514"/>
    <w:bookmarkEnd w:id="515"/>
    <w:bookmarkEnd w:id="516"/>
    <w:bookmarkEnd w:id="517"/>
    <w:bookmarkEnd w:id="518"/>
    <w:p>
      <w:pPr>
        <w:spacing w:line="500" w:lineRule="exact"/>
        <w:ind w:firstLine="440" w:firstLineChars="200"/>
        <w:rPr>
          <w:rFonts w:ascii="宋体" w:hAnsi="宋体"/>
          <w:bCs/>
          <w:color w:val="000000" w:themeColor="text1"/>
          <w14:textFill>
            <w14:solidFill>
              <w14:schemeClr w14:val="tx1"/>
            </w14:solidFill>
          </w14:textFill>
        </w:rPr>
      </w:pPr>
      <w:bookmarkStart w:id="534" w:name="_Toc351203651"/>
      <w:r>
        <w:rPr>
          <w:rFonts w:ascii="宋体" w:hAnsi="宋体"/>
          <w:bCs/>
          <w:color w:val="000000" w:themeColor="text1"/>
          <w14:textFill>
            <w14:solidFill>
              <w14:schemeClr w14:val="tx1"/>
            </w14:solidFill>
          </w14:textFill>
        </w:rPr>
        <w:t>20. 争议解决</w:t>
      </w:r>
      <w:bookmarkEnd w:id="534"/>
    </w:p>
    <w:bookmarkEnd w:id="519"/>
    <w:bookmarkEnd w:id="520"/>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20.3 争</w:t>
      </w:r>
      <w:bookmarkEnd w:id="521"/>
      <w:r>
        <w:rPr>
          <w:rFonts w:ascii="宋体" w:hAnsi="宋体"/>
          <w:color w:val="000000" w:themeColor="text1"/>
          <w14:textFill>
            <w14:solidFill>
              <w14:schemeClr w14:val="tx1"/>
            </w14:solidFill>
          </w14:textFill>
        </w:rPr>
        <w:t>议评审</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合同当事人是否同意将工程争议提交争议评审小组决</w:t>
      </w:r>
      <w:r>
        <w:rPr>
          <w:rFonts w:hint="eastAsia" w:ascii="宋体" w:hAnsi="宋体"/>
          <w:color w:val="000000" w:themeColor="text1"/>
          <w14:textFill>
            <w14:solidFill>
              <w14:schemeClr w14:val="tx1"/>
            </w14:solidFill>
          </w14:textFill>
        </w:rPr>
        <w:t>定：</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20.3.1 争议评审小组的确定</w:t>
      </w:r>
    </w:p>
    <w:p>
      <w:pPr>
        <w:spacing w:line="500" w:lineRule="exact"/>
        <w:ind w:firstLine="44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争议评审小组成员的确定：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选定争议评审员的期限：</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争议评审小组成员的报酬承担方式：</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其他事项的约定：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20.3.2 争议评审小组的决定</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合同当事人关于本项的约定：</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20.4仲裁或诉讼</w:t>
      </w:r>
      <w:bookmarkEnd w:id="522"/>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因合同及合同有关事项发生的争议，按下列第</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种方式</w:t>
      </w:r>
      <w:r>
        <w:rPr>
          <w:rFonts w:hint="eastAsia" w:ascii="宋体" w:hAnsi="宋体"/>
          <w:color w:val="000000" w:themeColor="text1"/>
          <w14:textFill>
            <w14:solidFill>
              <w14:schemeClr w14:val="tx1"/>
            </w14:solidFill>
          </w14:textFill>
        </w:rPr>
        <w:t>解</w:t>
      </w:r>
      <w:r>
        <w:rPr>
          <w:rFonts w:ascii="宋体" w:hAnsi="宋体"/>
          <w:color w:val="000000" w:themeColor="text1"/>
          <w14:textFill>
            <w14:solidFill>
              <w14:schemeClr w14:val="tx1"/>
            </w14:solidFill>
          </w14:textFill>
        </w:rPr>
        <w:t>决：</w:t>
      </w:r>
    </w:p>
    <w:p>
      <w:pPr>
        <w:spacing w:line="500" w:lineRule="exact"/>
        <w:ind w:firstLine="44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（1）向</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仲裁委员会申请仲裁；</w:t>
      </w:r>
    </w:p>
    <w:p>
      <w:pPr>
        <w:spacing w:line="500" w:lineRule="exact"/>
        <w:ind w:firstLine="440" w:firstLineChars="200"/>
        <w:rPr>
          <w:rFonts w:ascii="宋体" w:hAnsi="宋体"/>
          <w:color w:val="000000" w:themeColor="text1"/>
          <w:sz w:val="24"/>
          <w:u w:val="single"/>
          <w14:textFill>
            <w14:solidFill>
              <w14:schemeClr w14:val="tx1"/>
            </w14:solidFill>
          </w14:textFill>
        </w:rPr>
      </w:pPr>
      <w:r>
        <w:rPr>
          <w:rFonts w:ascii="宋体" w:hAnsi="宋体"/>
          <w:color w:val="000000" w:themeColor="text1"/>
          <w14:textFill>
            <w14:solidFill>
              <w14:schemeClr w14:val="tx1"/>
            </w14:solidFill>
          </w14:textFill>
        </w:rPr>
        <w:t>（2）向</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人民法院起诉。</w:t>
      </w:r>
      <w:bookmarkEnd w:id="523"/>
      <w:bookmarkEnd w:id="524"/>
      <w:bookmarkEnd w:id="525"/>
      <w:bookmarkEnd w:id="526"/>
      <w:bookmarkEnd w:id="527"/>
      <w:bookmarkEnd w:id="528"/>
    </w:p>
    <w:p>
      <w:pPr>
        <w:spacing w:line="500" w:lineRule="exact"/>
        <w:ind w:firstLine="480" w:firstLineChars="200"/>
        <w:rPr>
          <w:rFonts w:ascii="宋体" w:hAnsi="宋体"/>
          <w:color w:val="000000" w:themeColor="text1"/>
          <w:sz w:val="24"/>
          <w:u w:val="single"/>
          <w14:textFill>
            <w14:solidFill>
              <w14:schemeClr w14:val="tx1"/>
            </w14:solidFill>
          </w14:textFill>
        </w:rPr>
      </w:pPr>
    </w:p>
    <w:p>
      <w:pPr>
        <w:jc w:val="center"/>
        <w:rPr>
          <w:rFonts w:asciiTheme="minorEastAsia" w:hAnsiTheme="minorEastAsia" w:eastAsiaTheme="minorEastAsia"/>
          <w:color w:val="auto"/>
          <w:sz w:val="30"/>
          <w:szCs w:val="30"/>
        </w:rPr>
      </w:pPr>
    </w:p>
    <w:p>
      <w:pPr>
        <w:rPr>
          <w:rFonts w:asciiTheme="minorEastAsia" w:hAnsiTheme="minorEastAsia" w:eastAsiaTheme="minorEastAsia"/>
          <w:b/>
          <w:color w:val="auto"/>
          <w:sz w:val="30"/>
          <w:szCs w:val="30"/>
        </w:rPr>
        <w:sectPr>
          <w:footerReference r:id="rId10" w:type="even"/>
          <w:pgSz w:w="11906" w:h="16838"/>
          <w:pgMar w:top="1701" w:right="1701" w:bottom="1701" w:left="1701" w:header="851" w:footer="992" w:gutter="0"/>
          <w:cols w:space="720" w:num="1"/>
          <w:docGrid w:type="lines" w:linePitch="312" w:charSpace="0"/>
        </w:sectPr>
      </w:pPr>
    </w:p>
    <w:p>
      <w:pPr>
        <w:pStyle w:val="13"/>
        <w:tabs>
          <w:tab w:val="left" w:pos="8360"/>
        </w:tabs>
        <w:spacing w:line="420" w:lineRule="exact"/>
        <w:jc w:val="center"/>
        <w:rPr>
          <w:rFonts w:cs="宋体" w:asciiTheme="majorEastAsia" w:hAnsiTheme="majorEastAsia" w:eastAsiaTheme="majorEastAsia"/>
          <w:color w:val="auto"/>
          <w:sz w:val="36"/>
          <w:szCs w:val="36"/>
          <w:lang w:val="en-GB"/>
        </w:rPr>
      </w:pPr>
      <w:bookmarkStart w:id="535" w:name="_Toc13507839"/>
      <w:r>
        <w:rPr>
          <w:rFonts w:cs="宋体" w:asciiTheme="majorEastAsia" w:hAnsiTheme="majorEastAsia" w:eastAsiaTheme="majorEastAsia"/>
          <w:color w:val="auto"/>
          <w:sz w:val="36"/>
          <w:szCs w:val="36"/>
          <w:lang w:val="en-GB"/>
        </w:rPr>
        <w:t xml:space="preserve">第四章 </w:t>
      </w:r>
      <w:bookmarkEnd w:id="535"/>
      <w:r>
        <w:rPr>
          <w:rFonts w:cs="宋体" w:asciiTheme="majorEastAsia" w:hAnsiTheme="majorEastAsia" w:eastAsiaTheme="majorEastAsia"/>
          <w:color w:val="auto"/>
          <w:sz w:val="36"/>
          <w:szCs w:val="36"/>
          <w:lang w:val="en-GB"/>
        </w:rPr>
        <w:t>用户需求</w:t>
      </w:r>
    </w:p>
    <w:p>
      <w:pPr>
        <w:pStyle w:val="13"/>
        <w:tabs>
          <w:tab w:val="left" w:pos="8360"/>
        </w:tabs>
        <w:spacing w:line="420" w:lineRule="exact"/>
        <w:jc w:val="center"/>
        <w:rPr>
          <w:rFonts w:hint="default" w:cs="宋体" w:asciiTheme="majorEastAsia" w:hAnsiTheme="majorEastAsia" w:eastAsiaTheme="majorEastAsia"/>
          <w:color w:val="auto"/>
          <w:sz w:val="36"/>
          <w:szCs w:val="36"/>
          <w:lang w:val="en-GB"/>
        </w:rPr>
      </w:pPr>
    </w:p>
    <w:p>
      <w:pPr>
        <w:jc w:val="center"/>
        <w:rPr>
          <w:rFonts w:hint="default" w:asciiTheme="majorEastAsia" w:hAnsiTheme="majorEastAsia" w:eastAsiaTheme="majorEastAsia"/>
          <w:color w:val="auto"/>
          <w:sz w:val="28"/>
          <w:szCs w:val="28"/>
          <w:lang w:val="en-US" w:eastAsia="zh-CN"/>
        </w:rPr>
      </w:pPr>
      <w:r>
        <w:rPr>
          <w:rFonts w:hint="eastAsia"/>
          <w:b/>
          <w:sz w:val="30"/>
          <w:szCs w:val="30"/>
          <w:lang w:val="en-US" w:eastAsia="zh-CN"/>
        </w:rPr>
        <w:t>详见工程量清单</w:t>
      </w:r>
    </w:p>
    <w:p>
      <w:pPr>
        <w:pStyle w:val="13"/>
        <w:tabs>
          <w:tab w:val="left" w:pos="8360"/>
        </w:tabs>
        <w:spacing w:line="420" w:lineRule="exact"/>
        <w:rPr>
          <w:rFonts w:hint="default" w:cs="宋体" w:asciiTheme="majorEastAsia" w:hAnsiTheme="majorEastAsia" w:eastAsiaTheme="majorEastAsia"/>
          <w:color w:val="auto"/>
          <w:sz w:val="36"/>
          <w:szCs w:val="36"/>
          <w:lang w:val="en-GB"/>
        </w:rPr>
      </w:pPr>
    </w:p>
    <w:p>
      <w:pPr>
        <w:jc w:val="center"/>
        <w:rPr>
          <w:rFonts w:hint="eastAsia"/>
          <w:b/>
          <w:sz w:val="24"/>
          <w:szCs w:val="24"/>
        </w:rPr>
      </w:pPr>
      <w:r>
        <w:rPr>
          <w:rFonts w:hint="eastAsia"/>
          <w:b/>
          <w:sz w:val="24"/>
          <w:szCs w:val="24"/>
        </w:rPr>
        <w:t>编制说明</w:t>
      </w:r>
    </w:p>
    <w:p>
      <w:pPr>
        <w:keepNext w:val="0"/>
        <w:keepLines w:val="0"/>
        <w:pageBreakBefore w:val="0"/>
        <w:widowControl w:val="0"/>
        <w:kinsoku/>
        <w:wordWrap/>
        <w:overflowPunct/>
        <w:topLinePunct w:val="0"/>
        <w:autoSpaceDE/>
        <w:autoSpaceDN/>
        <w:bidi w:val="0"/>
        <w:adjustRightInd/>
        <w:snapToGrid/>
        <w:spacing w:before="156" w:beforeLines="50" w:line="700" w:lineRule="exact"/>
        <w:textAlignment w:val="auto"/>
        <w:rPr>
          <w:rFonts w:hint="eastAsia" w:ascii="宋体" w:hAnsi="宋体"/>
          <w:sz w:val="24"/>
          <w:szCs w:val="24"/>
        </w:rPr>
      </w:pPr>
      <w:r>
        <w:rPr>
          <w:rFonts w:hint="eastAsia" w:ascii="宋体" w:hAnsi="宋体"/>
          <w:sz w:val="24"/>
          <w:szCs w:val="24"/>
        </w:rPr>
        <w:t>一、工程概况</w:t>
      </w:r>
    </w:p>
    <w:p>
      <w:pPr>
        <w:keepNext w:val="0"/>
        <w:keepLines w:val="0"/>
        <w:pageBreakBefore w:val="0"/>
        <w:widowControl w:val="0"/>
        <w:kinsoku/>
        <w:wordWrap/>
        <w:overflowPunct/>
        <w:topLinePunct w:val="0"/>
        <w:autoSpaceDE/>
        <w:autoSpaceDN/>
        <w:bidi w:val="0"/>
        <w:adjustRightInd/>
        <w:snapToGrid/>
        <w:spacing w:before="156" w:beforeLines="50" w:line="700" w:lineRule="exact"/>
        <w:textAlignment w:val="auto"/>
        <w:rPr>
          <w:rFonts w:hint="eastAsia" w:ascii="宋体" w:hAnsi="宋体"/>
          <w:sz w:val="24"/>
          <w:szCs w:val="24"/>
        </w:rPr>
      </w:pPr>
      <w:r>
        <w:rPr>
          <w:rFonts w:hint="eastAsia" w:ascii="宋体" w:hAnsi="宋体"/>
          <w:sz w:val="24"/>
          <w:szCs w:val="24"/>
        </w:rPr>
        <w:t>1、工程名称：临高县皇桐镇古银瀑布绿化项目</w:t>
      </w:r>
    </w:p>
    <w:p>
      <w:pPr>
        <w:keepNext w:val="0"/>
        <w:keepLines w:val="0"/>
        <w:pageBreakBefore w:val="0"/>
        <w:widowControl w:val="0"/>
        <w:kinsoku/>
        <w:wordWrap/>
        <w:overflowPunct/>
        <w:topLinePunct w:val="0"/>
        <w:autoSpaceDE/>
        <w:autoSpaceDN/>
        <w:bidi w:val="0"/>
        <w:adjustRightInd/>
        <w:snapToGrid/>
        <w:spacing w:before="156" w:beforeLines="50" w:line="700" w:lineRule="exact"/>
        <w:textAlignment w:val="auto"/>
        <w:rPr>
          <w:rFonts w:hint="eastAsia" w:ascii="宋体" w:hAnsi="宋体" w:eastAsia="宋体"/>
          <w:sz w:val="24"/>
          <w:szCs w:val="24"/>
          <w:lang w:eastAsia="zh-CN"/>
        </w:rPr>
      </w:pPr>
      <w:r>
        <w:rPr>
          <w:rFonts w:hint="eastAsia" w:ascii="宋体" w:hAnsi="宋体"/>
          <w:sz w:val="24"/>
          <w:szCs w:val="24"/>
        </w:rPr>
        <w:t>2、建设地点：</w:t>
      </w:r>
      <w:r>
        <w:rPr>
          <w:rFonts w:hint="eastAsia" w:ascii="宋体" w:hAnsi="宋体"/>
          <w:sz w:val="24"/>
          <w:szCs w:val="24"/>
          <w:lang w:eastAsia="zh-CN"/>
        </w:rPr>
        <w:t>海南省临高县皇桐镇</w:t>
      </w:r>
    </w:p>
    <w:p>
      <w:pPr>
        <w:keepNext w:val="0"/>
        <w:keepLines w:val="0"/>
        <w:pageBreakBefore w:val="0"/>
        <w:widowControl w:val="0"/>
        <w:kinsoku/>
        <w:wordWrap/>
        <w:overflowPunct/>
        <w:topLinePunct w:val="0"/>
        <w:autoSpaceDE/>
        <w:autoSpaceDN/>
        <w:bidi w:val="0"/>
        <w:adjustRightInd/>
        <w:snapToGrid/>
        <w:spacing w:before="156" w:beforeLines="50" w:line="700" w:lineRule="exact"/>
        <w:textAlignment w:val="auto"/>
        <w:rPr>
          <w:rFonts w:hint="eastAsia" w:ascii="宋体" w:hAnsi="宋体" w:eastAsia="宋体"/>
          <w:sz w:val="24"/>
          <w:szCs w:val="24"/>
          <w:lang w:eastAsia="zh-CN"/>
        </w:rPr>
      </w:pPr>
      <w:r>
        <w:rPr>
          <w:rFonts w:hint="eastAsia" w:ascii="宋体" w:hAnsi="宋体"/>
          <w:sz w:val="24"/>
          <w:szCs w:val="24"/>
        </w:rPr>
        <w:t>3、建设单位：</w:t>
      </w:r>
      <w:r>
        <w:rPr>
          <w:rFonts w:hint="eastAsia" w:ascii="宋体" w:hAnsi="宋体"/>
          <w:sz w:val="24"/>
          <w:szCs w:val="24"/>
          <w:lang w:eastAsia="zh-CN"/>
        </w:rPr>
        <w:t>临高县临高林场</w:t>
      </w:r>
    </w:p>
    <w:p>
      <w:pPr>
        <w:keepNext w:val="0"/>
        <w:keepLines w:val="0"/>
        <w:pageBreakBefore w:val="0"/>
        <w:widowControl w:val="0"/>
        <w:kinsoku/>
        <w:wordWrap/>
        <w:overflowPunct/>
        <w:topLinePunct w:val="0"/>
        <w:autoSpaceDE/>
        <w:autoSpaceDN/>
        <w:bidi w:val="0"/>
        <w:adjustRightInd/>
        <w:snapToGrid/>
        <w:spacing w:before="156" w:beforeLines="50" w:line="700" w:lineRule="exact"/>
        <w:textAlignment w:val="auto"/>
        <w:rPr>
          <w:rFonts w:hint="eastAsia" w:ascii="宋体" w:hAnsi="宋体"/>
          <w:sz w:val="24"/>
          <w:szCs w:val="24"/>
        </w:rPr>
      </w:pPr>
      <w:r>
        <w:rPr>
          <w:rFonts w:hint="eastAsia" w:ascii="宋体" w:hAnsi="宋体"/>
          <w:sz w:val="24"/>
          <w:szCs w:val="24"/>
        </w:rPr>
        <w:t>4、建设内容：清表、回填</w:t>
      </w:r>
      <w:r>
        <w:rPr>
          <w:rFonts w:hint="eastAsia" w:ascii="宋体" w:hAnsi="宋体"/>
          <w:sz w:val="24"/>
          <w:szCs w:val="24"/>
          <w:lang w:eastAsia="zh-CN"/>
        </w:rPr>
        <w:t>、砍伐棕榈树、乔木种植、灌木种植、草本花卉、地被种植、标识警示牌、三叉路口指示牌、广告牌等。</w:t>
      </w:r>
    </w:p>
    <w:p>
      <w:pPr>
        <w:keepNext w:val="0"/>
        <w:keepLines w:val="0"/>
        <w:pageBreakBefore w:val="0"/>
        <w:widowControl w:val="0"/>
        <w:kinsoku/>
        <w:wordWrap/>
        <w:overflowPunct/>
        <w:topLinePunct w:val="0"/>
        <w:autoSpaceDE/>
        <w:autoSpaceDN/>
        <w:bidi w:val="0"/>
        <w:adjustRightInd/>
        <w:snapToGrid/>
        <w:spacing w:before="156" w:beforeLines="50" w:line="700" w:lineRule="exact"/>
        <w:textAlignment w:val="auto"/>
        <w:rPr>
          <w:rFonts w:hint="eastAsia" w:ascii="宋体" w:hAnsi="宋体"/>
          <w:sz w:val="24"/>
          <w:szCs w:val="24"/>
        </w:rPr>
      </w:pPr>
      <w:r>
        <w:rPr>
          <w:rFonts w:hint="eastAsia" w:ascii="宋体" w:hAnsi="宋体"/>
          <w:sz w:val="24"/>
          <w:szCs w:val="24"/>
        </w:rPr>
        <w:t>二、编制依据</w:t>
      </w:r>
    </w:p>
    <w:p>
      <w:pPr>
        <w:keepNext w:val="0"/>
        <w:keepLines w:val="0"/>
        <w:pageBreakBefore w:val="0"/>
        <w:widowControl w:val="0"/>
        <w:kinsoku/>
        <w:wordWrap/>
        <w:overflowPunct/>
        <w:topLinePunct w:val="0"/>
        <w:autoSpaceDE/>
        <w:autoSpaceDN/>
        <w:bidi w:val="0"/>
        <w:adjustRightInd/>
        <w:snapToGrid/>
        <w:spacing w:before="156" w:beforeLines="50" w:line="700" w:lineRule="exact"/>
        <w:textAlignment w:val="auto"/>
        <w:rPr>
          <w:rFonts w:hint="eastAsia" w:ascii="宋体" w:hAnsi="宋体"/>
          <w:sz w:val="24"/>
          <w:szCs w:val="24"/>
        </w:rPr>
      </w:pPr>
      <w:r>
        <w:rPr>
          <w:rFonts w:hint="eastAsia" w:ascii="宋体" w:hAnsi="宋体" w:eastAsia="宋体" w:cs="Times New Roman"/>
          <w:sz w:val="28"/>
          <w:szCs w:val="28"/>
        </w:rPr>
        <w:t>1、海南省住房和城乡建设厅颁发的201</w:t>
      </w:r>
      <w:r>
        <w:rPr>
          <w:rFonts w:hint="eastAsia" w:ascii="宋体" w:hAnsi="宋体" w:eastAsia="宋体" w:cs="Times New Roman"/>
          <w:sz w:val="28"/>
          <w:szCs w:val="28"/>
          <w:lang w:val="en-US" w:eastAsia="zh-CN"/>
        </w:rPr>
        <w:t>9</w:t>
      </w:r>
      <w:r>
        <w:rPr>
          <w:rFonts w:hint="eastAsia" w:ascii="宋体" w:hAnsi="宋体" w:eastAsia="宋体" w:cs="Times New Roman"/>
          <w:sz w:val="28"/>
          <w:szCs w:val="28"/>
        </w:rPr>
        <w:t>年《海南省园林绿化工程综合定额》、2017年《海南省市政工程综合定额》《海南</w:t>
      </w:r>
      <w:r>
        <w:rPr>
          <w:rFonts w:hint="eastAsia" w:ascii="宋体" w:hAnsi="宋体"/>
          <w:sz w:val="28"/>
          <w:szCs w:val="28"/>
        </w:rPr>
        <w:t>省住房与城乡建设</w:t>
      </w:r>
      <w:r>
        <w:rPr>
          <w:rFonts w:hint="eastAsia" w:ascii="宋体" w:hAnsi="宋体"/>
          <w:sz w:val="24"/>
          <w:szCs w:val="24"/>
        </w:rPr>
        <w:t>厅关于调整建筑工人人工单价的通知》（琼建定【20</w:t>
      </w:r>
      <w:r>
        <w:rPr>
          <w:rFonts w:hint="eastAsia" w:ascii="宋体" w:hAnsi="宋体"/>
          <w:sz w:val="24"/>
          <w:szCs w:val="24"/>
          <w:lang w:val="en-US" w:eastAsia="zh-CN"/>
        </w:rPr>
        <w:t>21</w:t>
      </w:r>
      <w:r>
        <w:rPr>
          <w:rFonts w:hint="eastAsia" w:ascii="宋体" w:hAnsi="宋体"/>
          <w:sz w:val="24"/>
          <w:szCs w:val="24"/>
        </w:rPr>
        <w:t>】2号）；</w:t>
      </w:r>
    </w:p>
    <w:p>
      <w:pPr>
        <w:keepNext w:val="0"/>
        <w:keepLines w:val="0"/>
        <w:pageBreakBefore w:val="0"/>
        <w:widowControl w:val="0"/>
        <w:kinsoku/>
        <w:wordWrap/>
        <w:overflowPunct/>
        <w:topLinePunct w:val="0"/>
        <w:autoSpaceDE/>
        <w:autoSpaceDN/>
        <w:bidi w:val="0"/>
        <w:adjustRightInd/>
        <w:snapToGrid/>
        <w:spacing w:before="156" w:beforeLines="50" w:line="700" w:lineRule="exact"/>
        <w:textAlignment w:val="auto"/>
        <w:rPr>
          <w:rFonts w:hint="eastAsia" w:ascii="宋体" w:hAnsi="宋体"/>
          <w:sz w:val="24"/>
          <w:szCs w:val="24"/>
        </w:rPr>
      </w:pPr>
      <w:r>
        <w:rPr>
          <w:rFonts w:hint="eastAsia" w:ascii="宋体" w:hAnsi="宋体"/>
          <w:sz w:val="24"/>
          <w:szCs w:val="24"/>
        </w:rPr>
        <w:t>三、取费标准说明</w:t>
      </w:r>
    </w:p>
    <w:p>
      <w:pPr>
        <w:keepNext w:val="0"/>
        <w:keepLines w:val="0"/>
        <w:pageBreakBefore w:val="0"/>
        <w:widowControl w:val="0"/>
        <w:kinsoku/>
        <w:wordWrap/>
        <w:overflowPunct/>
        <w:topLinePunct w:val="0"/>
        <w:autoSpaceDE/>
        <w:autoSpaceDN/>
        <w:bidi w:val="0"/>
        <w:adjustRightInd/>
        <w:snapToGrid/>
        <w:spacing w:before="156" w:beforeLines="50" w:line="700" w:lineRule="exact"/>
        <w:textAlignment w:val="auto"/>
        <w:rPr>
          <w:rFonts w:hint="eastAsia" w:ascii="宋体" w:hAnsi="宋体"/>
          <w:sz w:val="24"/>
          <w:szCs w:val="24"/>
        </w:rPr>
      </w:pPr>
      <w:r>
        <w:rPr>
          <w:rFonts w:hint="eastAsia" w:ascii="宋体" w:hAnsi="宋体"/>
          <w:sz w:val="24"/>
          <w:szCs w:val="24"/>
        </w:rPr>
        <w:t>1、201</w:t>
      </w:r>
      <w:r>
        <w:rPr>
          <w:rFonts w:hint="eastAsia" w:ascii="宋体" w:hAnsi="宋体"/>
          <w:sz w:val="24"/>
          <w:szCs w:val="24"/>
          <w:lang w:val="en-US" w:eastAsia="zh-CN"/>
        </w:rPr>
        <w:t>9</w:t>
      </w:r>
      <w:r>
        <w:rPr>
          <w:rFonts w:hint="eastAsia" w:ascii="宋体" w:hAnsi="宋体"/>
          <w:sz w:val="24"/>
          <w:szCs w:val="24"/>
        </w:rPr>
        <w:t>年《海南省园林绿化工程综合定额》、2017年《海南省市政工程综合定额》及相关规定执行；</w:t>
      </w:r>
    </w:p>
    <w:p>
      <w:pPr>
        <w:keepNext w:val="0"/>
        <w:keepLines w:val="0"/>
        <w:pageBreakBefore w:val="0"/>
        <w:widowControl w:val="0"/>
        <w:kinsoku/>
        <w:wordWrap/>
        <w:overflowPunct/>
        <w:topLinePunct w:val="0"/>
        <w:autoSpaceDE/>
        <w:autoSpaceDN/>
        <w:bidi w:val="0"/>
        <w:adjustRightInd/>
        <w:snapToGrid/>
        <w:spacing w:before="156" w:beforeLines="50" w:line="700" w:lineRule="exact"/>
        <w:textAlignment w:val="auto"/>
        <w:rPr>
          <w:rFonts w:hint="eastAsia" w:ascii="宋体" w:hAnsi="宋体"/>
          <w:sz w:val="21"/>
          <w:szCs w:val="21"/>
        </w:rPr>
      </w:pPr>
      <w:r>
        <w:rPr>
          <w:rFonts w:hint="eastAsia" w:ascii="宋体" w:hAnsi="宋体"/>
          <w:sz w:val="21"/>
          <w:szCs w:val="21"/>
        </w:rPr>
        <w:t>四、编制范围</w:t>
      </w:r>
    </w:p>
    <w:p>
      <w:pPr>
        <w:keepNext w:val="0"/>
        <w:keepLines w:val="0"/>
        <w:pageBreakBefore w:val="0"/>
        <w:widowControl w:val="0"/>
        <w:kinsoku/>
        <w:wordWrap/>
        <w:overflowPunct/>
        <w:topLinePunct w:val="0"/>
        <w:autoSpaceDE/>
        <w:autoSpaceDN/>
        <w:bidi w:val="0"/>
        <w:adjustRightInd/>
        <w:snapToGrid/>
        <w:spacing w:before="156" w:beforeLines="50" w:line="700" w:lineRule="exact"/>
        <w:textAlignment w:val="auto"/>
        <w:rPr>
          <w:rFonts w:hint="eastAsia" w:ascii="宋体" w:hAnsi="宋体"/>
          <w:sz w:val="21"/>
          <w:szCs w:val="21"/>
        </w:rPr>
      </w:pPr>
      <w:r>
        <w:rPr>
          <w:rFonts w:hint="eastAsia" w:ascii="宋体" w:hAnsi="宋体"/>
          <w:sz w:val="21"/>
          <w:szCs w:val="21"/>
        </w:rPr>
        <w:t>1、本工程预算范围包含：清表、回填</w:t>
      </w:r>
      <w:r>
        <w:rPr>
          <w:rFonts w:hint="eastAsia" w:ascii="宋体" w:hAnsi="宋体"/>
          <w:sz w:val="21"/>
          <w:szCs w:val="21"/>
          <w:lang w:eastAsia="zh-CN"/>
        </w:rPr>
        <w:t>、砍伐棕榈树、乔木种植、灌木种植、草本花卉、地被种植、标识警示牌、三叉路口指示牌、广告牌等</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before="156" w:beforeLines="50" w:line="700" w:lineRule="exact"/>
        <w:textAlignment w:val="auto"/>
        <w:rPr>
          <w:rFonts w:hint="eastAsia" w:ascii="宋体" w:hAnsi="宋体"/>
          <w:sz w:val="21"/>
          <w:szCs w:val="21"/>
        </w:rPr>
      </w:pPr>
      <w:r>
        <w:rPr>
          <w:rFonts w:hint="eastAsia" w:ascii="宋体" w:hAnsi="宋体"/>
          <w:sz w:val="21"/>
          <w:szCs w:val="21"/>
        </w:rPr>
        <w:t>五、计算说明</w:t>
      </w:r>
    </w:p>
    <w:p>
      <w:pPr>
        <w:keepNext w:val="0"/>
        <w:keepLines w:val="0"/>
        <w:pageBreakBefore w:val="0"/>
        <w:widowControl w:val="0"/>
        <w:kinsoku/>
        <w:wordWrap/>
        <w:overflowPunct/>
        <w:topLinePunct w:val="0"/>
        <w:autoSpaceDE/>
        <w:autoSpaceDN/>
        <w:bidi w:val="0"/>
        <w:adjustRightInd/>
        <w:snapToGrid/>
        <w:spacing w:before="156" w:beforeLines="50" w:line="700" w:lineRule="exact"/>
        <w:textAlignment w:val="auto"/>
        <w:rPr>
          <w:rFonts w:hint="eastAsia" w:ascii="宋体" w:hAnsi="宋体"/>
          <w:sz w:val="21"/>
          <w:szCs w:val="21"/>
        </w:rPr>
      </w:pPr>
      <w:r>
        <w:rPr>
          <w:rFonts w:hint="eastAsia" w:ascii="宋体" w:hAnsi="宋体"/>
          <w:sz w:val="21"/>
          <w:szCs w:val="21"/>
        </w:rPr>
        <w:t>（一）本工程计算说明</w:t>
      </w:r>
    </w:p>
    <w:p>
      <w:pPr>
        <w:keepNext w:val="0"/>
        <w:keepLines w:val="0"/>
        <w:pageBreakBefore w:val="0"/>
        <w:widowControl w:val="0"/>
        <w:kinsoku/>
        <w:wordWrap/>
        <w:overflowPunct/>
        <w:topLinePunct w:val="0"/>
        <w:autoSpaceDE/>
        <w:autoSpaceDN/>
        <w:bidi w:val="0"/>
        <w:adjustRightInd/>
        <w:snapToGrid/>
        <w:spacing w:before="156" w:beforeLines="50" w:line="700" w:lineRule="exact"/>
        <w:textAlignment w:val="auto"/>
        <w:rPr>
          <w:rFonts w:hint="eastAsia" w:ascii="宋体" w:hAnsi="宋体"/>
          <w:sz w:val="21"/>
          <w:szCs w:val="21"/>
        </w:rPr>
      </w:pPr>
      <w:r>
        <w:rPr>
          <w:rFonts w:hint="eastAsia" w:ascii="宋体" w:hAnsi="宋体"/>
          <w:sz w:val="21"/>
          <w:szCs w:val="21"/>
        </w:rPr>
        <w:t>1、本工程按</w:t>
      </w:r>
      <w:r>
        <w:rPr>
          <w:rFonts w:hint="eastAsia" w:ascii="宋体" w:hAnsi="宋体"/>
          <w:sz w:val="21"/>
          <w:szCs w:val="21"/>
          <w:lang w:eastAsia="zh-CN"/>
        </w:rPr>
        <w:t>施工图纸计量</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before="156" w:beforeLines="50" w:line="700" w:lineRule="exact"/>
        <w:textAlignment w:val="auto"/>
        <w:rPr>
          <w:rFonts w:hint="eastAsia" w:ascii="宋体" w:hAnsi="宋体"/>
          <w:sz w:val="21"/>
          <w:szCs w:val="21"/>
        </w:rPr>
      </w:pPr>
      <w:r>
        <w:rPr>
          <w:rFonts w:hint="eastAsia" w:ascii="宋体" w:hAnsi="宋体"/>
          <w:sz w:val="21"/>
          <w:szCs w:val="21"/>
        </w:rPr>
        <w:t>（二）、材料价格说明</w:t>
      </w:r>
    </w:p>
    <w:p>
      <w:pPr>
        <w:keepNext w:val="0"/>
        <w:keepLines w:val="0"/>
        <w:pageBreakBefore w:val="0"/>
        <w:widowControl w:val="0"/>
        <w:kinsoku/>
        <w:wordWrap/>
        <w:overflowPunct/>
        <w:topLinePunct w:val="0"/>
        <w:autoSpaceDE/>
        <w:autoSpaceDN/>
        <w:bidi w:val="0"/>
        <w:adjustRightInd/>
        <w:snapToGrid/>
        <w:spacing w:before="156" w:beforeLines="50" w:line="700" w:lineRule="exact"/>
        <w:textAlignment w:val="auto"/>
        <w:rPr>
          <w:rFonts w:hint="eastAsia" w:ascii="宋体" w:hAnsi="宋体"/>
          <w:sz w:val="21"/>
          <w:szCs w:val="21"/>
        </w:rPr>
      </w:pPr>
      <w:r>
        <w:rPr>
          <w:rFonts w:hint="eastAsia" w:ascii="宋体" w:hAnsi="宋体"/>
          <w:sz w:val="21"/>
          <w:szCs w:val="21"/>
        </w:rPr>
        <w:t>1、相关设备及材料价格参照《海南工程造价信息》（202</w:t>
      </w:r>
      <w:r>
        <w:rPr>
          <w:rFonts w:hint="eastAsia" w:ascii="宋体" w:hAnsi="宋体"/>
          <w:sz w:val="21"/>
          <w:szCs w:val="21"/>
          <w:lang w:val="en-US" w:eastAsia="zh-CN"/>
        </w:rPr>
        <w:t>1</w:t>
      </w:r>
      <w:r>
        <w:rPr>
          <w:rFonts w:hint="eastAsia" w:ascii="宋体" w:hAnsi="宋体"/>
          <w:sz w:val="21"/>
          <w:szCs w:val="21"/>
        </w:rPr>
        <w:t>年第</w:t>
      </w:r>
      <w:r>
        <w:rPr>
          <w:rFonts w:hint="eastAsia" w:ascii="宋体" w:hAnsi="宋体"/>
          <w:sz w:val="21"/>
          <w:szCs w:val="21"/>
          <w:lang w:val="en-US" w:eastAsia="zh-CN"/>
        </w:rPr>
        <w:t>9</w:t>
      </w:r>
      <w:r>
        <w:rPr>
          <w:rFonts w:hint="eastAsia" w:ascii="宋体" w:hAnsi="宋体"/>
          <w:sz w:val="21"/>
          <w:szCs w:val="21"/>
        </w:rPr>
        <w:t>月份）</w:t>
      </w:r>
      <w:r>
        <w:rPr>
          <w:rFonts w:hint="eastAsia" w:ascii="宋体" w:hAnsi="宋体"/>
          <w:sz w:val="21"/>
          <w:szCs w:val="21"/>
          <w:lang w:eastAsia="zh-CN"/>
        </w:rPr>
        <w:t>临高</w:t>
      </w:r>
      <w:r>
        <w:rPr>
          <w:rFonts w:hint="eastAsia" w:ascii="宋体" w:hAnsi="宋体"/>
          <w:sz w:val="21"/>
          <w:szCs w:val="21"/>
        </w:rPr>
        <w:t>地区信息价以及市场设备材料价格信息综合取定。</w:t>
      </w:r>
    </w:p>
    <w:p>
      <w:pPr>
        <w:keepNext w:val="0"/>
        <w:keepLines w:val="0"/>
        <w:pageBreakBefore w:val="0"/>
        <w:widowControl w:val="0"/>
        <w:kinsoku/>
        <w:wordWrap/>
        <w:overflowPunct/>
        <w:topLinePunct w:val="0"/>
        <w:autoSpaceDE/>
        <w:autoSpaceDN/>
        <w:bidi w:val="0"/>
        <w:adjustRightInd/>
        <w:snapToGrid/>
        <w:spacing w:before="156" w:beforeLines="50" w:line="700" w:lineRule="exact"/>
        <w:textAlignment w:val="auto"/>
        <w:rPr>
          <w:rFonts w:hint="eastAsia" w:ascii="宋体" w:hAnsi="宋体"/>
          <w:sz w:val="21"/>
          <w:szCs w:val="21"/>
        </w:rPr>
      </w:pPr>
      <w:r>
        <w:rPr>
          <w:rFonts w:hint="eastAsia" w:ascii="宋体" w:hAnsi="宋体"/>
          <w:sz w:val="21"/>
          <w:szCs w:val="21"/>
        </w:rPr>
        <w:t>（三）人工、机械价格说明</w:t>
      </w:r>
    </w:p>
    <w:p>
      <w:pPr>
        <w:keepNext w:val="0"/>
        <w:keepLines w:val="0"/>
        <w:pageBreakBefore w:val="0"/>
        <w:widowControl w:val="0"/>
        <w:kinsoku/>
        <w:wordWrap/>
        <w:overflowPunct/>
        <w:topLinePunct w:val="0"/>
        <w:autoSpaceDE/>
        <w:autoSpaceDN/>
        <w:bidi w:val="0"/>
        <w:adjustRightInd/>
        <w:snapToGrid/>
        <w:spacing w:before="156" w:beforeLines="50" w:line="700" w:lineRule="exact"/>
        <w:textAlignment w:val="auto"/>
        <w:rPr>
          <w:rFonts w:hint="eastAsia" w:ascii="宋体" w:hAnsi="宋体"/>
          <w:sz w:val="21"/>
          <w:szCs w:val="21"/>
        </w:rPr>
      </w:pPr>
      <w:r>
        <w:rPr>
          <w:rFonts w:hint="eastAsia" w:ascii="宋体" w:hAnsi="宋体"/>
          <w:sz w:val="21"/>
          <w:szCs w:val="21"/>
        </w:rPr>
        <w:t>1、本工程预算人工单价按《海南省住房与城乡建设厅关于调整建筑工人人工单价的通知》（琼建定【20</w:t>
      </w:r>
      <w:r>
        <w:rPr>
          <w:rFonts w:hint="eastAsia" w:ascii="宋体" w:hAnsi="宋体"/>
          <w:sz w:val="21"/>
          <w:szCs w:val="21"/>
          <w:lang w:val="en-US" w:eastAsia="zh-CN"/>
        </w:rPr>
        <w:t>21</w:t>
      </w:r>
      <w:r>
        <w:rPr>
          <w:rFonts w:hint="eastAsia" w:ascii="宋体" w:hAnsi="宋体"/>
          <w:sz w:val="21"/>
          <w:szCs w:val="21"/>
        </w:rPr>
        <w:t>】2号）规定，人工单价执行琼建规〔2021〕2号文件，2018年1月1日及之后颁布定额计价的建筑工程，人工单价按135元/工日计算，2017版定额之前的人工单价按</w:t>
      </w:r>
      <w:r>
        <w:rPr>
          <w:rFonts w:hint="eastAsia" w:ascii="宋体" w:hAnsi="宋体"/>
          <w:sz w:val="21"/>
          <w:szCs w:val="21"/>
          <w:lang w:val="en-US" w:eastAsia="zh-CN"/>
        </w:rPr>
        <w:t>104</w:t>
      </w:r>
      <w:r>
        <w:rPr>
          <w:rFonts w:hint="eastAsia" w:ascii="宋体" w:hAnsi="宋体"/>
          <w:sz w:val="21"/>
          <w:szCs w:val="21"/>
        </w:rPr>
        <w:t>元计取，海南省装饰装修工程综合定额(2015)人工单价乘以1.27计算。</w:t>
      </w:r>
    </w:p>
    <w:p>
      <w:pPr>
        <w:keepNext w:val="0"/>
        <w:keepLines w:val="0"/>
        <w:pageBreakBefore w:val="0"/>
        <w:widowControl w:val="0"/>
        <w:kinsoku/>
        <w:wordWrap/>
        <w:overflowPunct/>
        <w:topLinePunct w:val="0"/>
        <w:autoSpaceDE/>
        <w:autoSpaceDN/>
        <w:bidi w:val="0"/>
        <w:adjustRightInd/>
        <w:snapToGrid/>
        <w:spacing w:before="156" w:beforeLines="50" w:line="700" w:lineRule="exact"/>
        <w:textAlignment w:val="auto"/>
        <w:rPr>
          <w:rFonts w:hint="eastAsia" w:ascii="宋体" w:hAnsi="宋体"/>
          <w:sz w:val="21"/>
          <w:szCs w:val="21"/>
        </w:rPr>
      </w:pPr>
      <w:r>
        <w:rPr>
          <w:rFonts w:hint="eastAsia" w:ascii="宋体" w:hAnsi="宋体"/>
          <w:sz w:val="21"/>
          <w:szCs w:val="21"/>
        </w:rPr>
        <w:t>（</w:t>
      </w:r>
      <w:r>
        <w:rPr>
          <w:rFonts w:hint="eastAsia" w:ascii="宋体" w:hAnsi="宋体"/>
          <w:sz w:val="21"/>
          <w:szCs w:val="21"/>
          <w:lang w:eastAsia="zh-CN"/>
        </w:rPr>
        <w:t>四</w:t>
      </w:r>
      <w:r>
        <w:rPr>
          <w:rFonts w:hint="eastAsia" w:ascii="宋体" w:hAnsi="宋体"/>
          <w:sz w:val="21"/>
          <w:szCs w:val="21"/>
        </w:rPr>
        <w:t>）措施项目费说明</w:t>
      </w:r>
    </w:p>
    <w:p>
      <w:pPr>
        <w:keepNext w:val="0"/>
        <w:keepLines w:val="0"/>
        <w:pageBreakBefore w:val="0"/>
        <w:widowControl w:val="0"/>
        <w:kinsoku/>
        <w:wordWrap/>
        <w:overflowPunct/>
        <w:topLinePunct w:val="0"/>
        <w:autoSpaceDE/>
        <w:autoSpaceDN/>
        <w:bidi w:val="0"/>
        <w:adjustRightInd/>
        <w:snapToGrid/>
        <w:spacing w:before="156" w:beforeLines="50" w:line="700" w:lineRule="exact"/>
        <w:textAlignment w:val="auto"/>
        <w:rPr>
          <w:rFonts w:hint="eastAsia" w:ascii="宋体" w:hAnsi="宋体"/>
          <w:sz w:val="21"/>
          <w:szCs w:val="21"/>
        </w:rPr>
      </w:pPr>
      <w:r>
        <w:rPr>
          <w:rFonts w:hint="eastAsia" w:ascii="宋体" w:hAnsi="宋体"/>
          <w:sz w:val="21"/>
          <w:szCs w:val="21"/>
        </w:rPr>
        <w:t>1、措施项目费按《建筑工程安全防护、文明施工措施费用及使用管理规定》（琼建监【2018】48号）、201</w:t>
      </w:r>
      <w:r>
        <w:rPr>
          <w:rFonts w:hint="eastAsia" w:ascii="宋体" w:hAnsi="宋体"/>
          <w:sz w:val="21"/>
          <w:szCs w:val="21"/>
          <w:lang w:val="en-US" w:eastAsia="zh-CN"/>
        </w:rPr>
        <w:t>9</w:t>
      </w:r>
      <w:r>
        <w:rPr>
          <w:rFonts w:hint="eastAsia" w:ascii="宋体" w:hAnsi="宋体"/>
          <w:sz w:val="21"/>
          <w:szCs w:val="21"/>
        </w:rPr>
        <w:t>年《海南省园林绿化工程综合定额》、2017年《海南省市政工程综合定额》的有关规定执行，赶工费、二次搬运费未计入；</w:t>
      </w:r>
    </w:p>
    <w:p>
      <w:pPr>
        <w:keepNext w:val="0"/>
        <w:keepLines w:val="0"/>
        <w:pageBreakBefore w:val="0"/>
        <w:widowControl w:val="0"/>
        <w:kinsoku/>
        <w:wordWrap/>
        <w:overflowPunct/>
        <w:topLinePunct w:val="0"/>
        <w:autoSpaceDE/>
        <w:autoSpaceDN/>
        <w:bidi w:val="0"/>
        <w:adjustRightInd/>
        <w:snapToGrid/>
        <w:spacing w:before="156" w:beforeLines="50" w:line="700" w:lineRule="exact"/>
        <w:textAlignment w:val="auto"/>
        <w:rPr>
          <w:rFonts w:hint="eastAsia" w:ascii="宋体" w:hAnsi="宋体"/>
          <w:sz w:val="21"/>
          <w:szCs w:val="21"/>
        </w:rPr>
      </w:pPr>
      <w:r>
        <w:rPr>
          <w:rFonts w:hint="eastAsia" w:ascii="宋体" w:hAnsi="宋体"/>
          <w:sz w:val="21"/>
          <w:szCs w:val="21"/>
        </w:rPr>
        <w:t>（</w:t>
      </w:r>
      <w:r>
        <w:rPr>
          <w:rFonts w:hint="eastAsia" w:ascii="宋体" w:hAnsi="宋体"/>
          <w:sz w:val="21"/>
          <w:szCs w:val="21"/>
          <w:lang w:eastAsia="zh-CN"/>
        </w:rPr>
        <w:t>五</w:t>
      </w:r>
      <w:r>
        <w:rPr>
          <w:rFonts w:hint="eastAsia" w:ascii="宋体" w:hAnsi="宋体"/>
          <w:sz w:val="21"/>
          <w:szCs w:val="21"/>
        </w:rPr>
        <w:t>）其他说明</w:t>
      </w:r>
    </w:p>
    <w:p>
      <w:pPr>
        <w:keepNext w:val="0"/>
        <w:keepLines w:val="0"/>
        <w:pageBreakBefore w:val="0"/>
        <w:widowControl w:val="0"/>
        <w:kinsoku/>
        <w:wordWrap/>
        <w:overflowPunct/>
        <w:topLinePunct w:val="0"/>
        <w:autoSpaceDE/>
        <w:autoSpaceDN/>
        <w:bidi w:val="0"/>
        <w:adjustRightInd/>
        <w:snapToGrid/>
        <w:spacing w:before="156" w:beforeLines="50" w:line="700" w:lineRule="exact"/>
        <w:textAlignment w:val="auto"/>
        <w:rPr>
          <w:rFonts w:hint="eastAsia" w:ascii="宋体" w:hAnsi="宋体"/>
          <w:sz w:val="21"/>
          <w:szCs w:val="21"/>
        </w:rPr>
      </w:pPr>
      <w:bookmarkStart w:id="536" w:name="OLE_LINK4"/>
      <w:r>
        <w:rPr>
          <w:rFonts w:hint="eastAsia" w:ascii="宋体" w:hAnsi="宋体"/>
          <w:sz w:val="21"/>
          <w:szCs w:val="21"/>
          <w:lang w:val="en-US" w:eastAsia="zh-CN"/>
        </w:rPr>
        <w:t>1、</w:t>
      </w:r>
      <w:r>
        <w:rPr>
          <w:rFonts w:hint="eastAsia" w:ascii="宋体" w:hAnsi="宋体"/>
          <w:sz w:val="21"/>
          <w:szCs w:val="21"/>
        </w:rPr>
        <w:t>均按图纸说明及一般做法考虑。</w:t>
      </w:r>
    </w:p>
    <w:p>
      <w:pPr>
        <w:keepNext w:val="0"/>
        <w:keepLines w:val="0"/>
        <w:pageBreakBefore w:val="0"/>
        <w:widowControl w:val="0"/>
        <w:kinsoku/>
        <w:wordWrap/>
        <w:overflowPunct/>
        <w:topLinePunct w:val="0"/>
        <w:autoSpaceDE/>
        <w:autoSpaceDN/>
        <w:bidi w:val="0"/>
        <w:adjustRightInd/>
        <w:snapToGrid/>
        <w:spacing w:before="156" w:beforeLines="50" w:line="700" w:lineRule="exact"/>
        <w:textAlignment w:val="auto"/>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图纸设计说明不完善的，根据常规做法计算的说明或根据委托方要求所做的调整。</w:t>
      </w:r>
      <w:bookmarkEnd w:id="536"/>
    </w:p>
    <w:p>
      <w:pPr>
        <w:keepNext w:val="0"/>
        <w:keepLines w:val="0"/>
        <w:pageBreakBefore w:val="0"/>
        <w:widowControl w:val="0"/>
        <w:kinsoku/>
        <w:wordWrap/>
        <w:overflowPunct/>
        <w:topLinePunct w:val="0"/>
        <w:autoSpaceDE/>
        <w:autoSpaceDN/>
        <w:bidi w:val="0"/>
        <w:adjustRightInd/>
        <w:snapToGrid/>
        <w:spacing w:before="156" w:beforeLines="50" w:line="700" w:lineRule="exact"/>
        <w:textAlignment w:val="auto"/>
        <w:rPr>
          <w:rFonts w:hint="eastAsia" w:ascii="宋体" w:hAnsi="宋体"/>
          <w:sz w:val="21"/>
          <w:szCs w:val="21"/>
        </w:rPr>
      </w:pPr>
      <w:r>
        <w:rPr>
          <w:rFonts w:hint="eastAsia" w:ascii="宋体" w:hAnsi="宋体"/>
          <w:sz w:val="21"/>
          <w:szCs w:val="21"/>
        </w:rPr>
        <w:t>（六）规费及税金说明</w:t>
      </w:r>
    </w:p>
    <w:p>
      <w:pPr>
        <w:keepNext w:val="0"/>
        <w:keepLines w:val="0"/>
        <w:pageBreakBefore w:val="0"/>
        <w:widowControl w:val="0"/>
        <w:kinsoku/>
        <w:wordWrap/>
        <w:overflowPunct/>
        <w:topLinePunct w:val="0"/>
        <w:autoSpaceDE/>
        <w:autoSpaceDN/>
        <w:bidi w:val="0"/>
        <w:adjustRightInd/>
        <w:snapToGrid/>
        <w:spacing w:before="156" w:beforeLines="50" w:line="700" w:lineRule="exact"/>
        <w:textAlignment w:val="auto"/>
        <w:rPr>
          <w:rFonts w:hint="eastAsia" w:ascii="宋体" w:hAnsi="宋体"/>
          <w:sz w:val="21"/>
          <w:szCs w:val="21"/>
        </w:rPr>
      </w:pPr>
      <w:r>
        <w:rPr>
          <w:rFonts w:hint="eastAsia" w:ascii="宋体" w:hAnsi="宋体"/>
          <w:sz w:val="21"/>
          <w:szCs w:val="21"/>
        </w:rPr>
        <w:t>1、规费按有关规定计算了工伤保险费、危险作业意外伤害保险费，费率计算均为人工费的23.5%，建筑垃圾处置费未计入；</w:t>
      </w:r>
    </w:p>
    <w:p>
      <w:pPr>
        <w:pStyle w:val="13"/>
        <w:tabs>
          <w:tab w:val="left" w:pos="8360"/>
        </w:tabs>
        <w:spacing w:line="420" w:lineRule="exact"/>
        <w:rPr>
          <w:rFonts w:hint="eastAsia" w:ascii="宋体" w:hAnsi="宋体"/>
          <w:sz w:val="28"/>
          <w:szCs w:val="28"/>
        </w:rPr>
      </w:pPr>
      <w:r>
        <w:rPr>
          <w:rFonts w:hint="eastAsia" w:ascii="宋体" w:hAnsi="宋体"/>
          <w:sz w:val="28"/>
          <w:szCs w:val="28"/>
        </w:rPr>
        <w:t>2、税金根据《关于调整海南省建设工程增值税税率的通知》（琼建定【2019】100号）规定，2019年4月1号之后新建或在建的建设工程的增值税税率由10%调整为9%，本工程税率按9%计算。</w:t>
      </w:r>
    </w:p>
    <w:p>
      <w:pPr>
        <w:pStyle w:val="13"/>
        <w:tabs>
          <w:tab w:val="left" w:pos="8360"/>
        </w:tabs>
        <w:spacing w:line="420" w:lineRule="exact"/>
        <w:rPr>
          <w:rFonts w:hint="eastAsia" w:ascii="宋体" w:hAnsi="宋体"/>
          <w:sz w:val="28"/>
          <w:szCs w:val="28"/>
        </w:rPr>
      </w:pPr>
    </w:p>
    <w:p>
      <w:pPr>
        <w:pStyle w:val="13"/>
        <w:tabs>
          <w:tab w:val="left" w:pos="8360"/>
        </w:tabs>
        <w:spacing w:line="420" w:lineRule="exact"/>
        <w:rPr>
          <w:rFonts w:hint="eastAsia" w:ascii="宋体" w:hAnsi="宋体"/>
          <w:sz w:val="28"/>
          <w:szCs w:val="28"/>
        </w:rPr>
      </w:pPr>
    </w:p>
    <w:p>
      <w:pPr>
        <w:pStyle w:val="13"/>
        <w:tabs>
          <w:tab w:val="left" w:pos="8360"/>
        </w:tabs>
        <w:spacing w:line="420" w:lineRule="exact"/>
        <w:rPr>
          <w:rFonts w:hint="eastAsia" w:ascii="宋体" w:hAnsi="宋体"/>
          <w:sz w:val="28"/>
          <w:szCs w:val="28"/>
        </w:rPr>
      </w:pPr>
    </w:p>
    <w:p>
      <w:pPr>
        <w:pStyle w:val="13"/>
        <w:tabs>
          <w:tab w:val="left" w:pos="8360"/>
        </w:tabs>
        <w:spacing w:line="420" w:lineRule="exact"/>
        <w:rPr>
          <w:rFonts w:hint="eastAsia" w:ascii="宋体" w:hAnsi="宋体"/>
          <w:sz w:val="28"/>
          <w:szCs w:val="28"/>
        </w:rPr>
      </w:pPr>
    </w:p>
    <w:p>
      <w:pPr>
        <w:pStyle w:val="13"/>
        <w:tabs>
          <w:tab w:val="left" w:pos="8360"/>
        </w:tabs>
        <w:spacing w:line="420" w:lineRule="exact"/>
        <w:rPr>
          <w:rFonts w:hint="eastAsia" w:ascii="宋体" w:hAnsi="宋体"/>
          <w:sz w:val="28"/>
          <w:szCs w:val="28"/>
        </w:rPr>
      </w:pPr>
    </w:p>
    <w:p>
      <w:pPr>
        <w:pStyle w:val="13"/>
        <w:tabs>
          <w:tab w:val="left" w:pos="8360"/>
        </w:tabs>
        <w:spacing w:line="420" w:lineRule="exact"/>
        <w:rPr>
          <w:rFonts w:hint="default" w:ascii="宋体" w:hAnsi="宋体"/>
          <w:sz w:val="28"/>
          <w:szCs w:val="28"/>
          <w:lang w:val="en-GB"/>
        </w:rPr>
      </w:pPr>
    </w:p>
    <w:p>
      <w:pPr>
        <w:pStyle w:val="13"/>
        <w:tabs>
          <w:tab w:val="left" w:pos="8360"/>
        </w:tabs>
        <w:spacing w:line="420" w:lineRule="exact"/>
        <w:rPr>
          <w:rFonts w:hint="default" w:cs="宋体" w:asciiTheme="majorEastAsia" w:hAnsiTheme="majorEastAsia" w:eastAsiaTheme="majorEastAsia"/>
          <w:color w:val="auto"/>
          <w:sz w:val="36"/>
          <w:szCs w:val="36"/>
          <w:lang w:val="en-GB"/>
        </w:rPr>
      </w:pPr>
    </w:p>
    <w:tbl>
      <w:tblPr>
        <w:tblStyle w:val="30"/>
        <w:tblW w:w="104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40"/>
        <w:gridCol w:w="1416"/>
        <w:gridCol w:w="1454"/>
        <w:gridCol w:w="1829"/>
        <w:gridCol w:w="345"/>
        <w:gridCol w:w="540"/>
        <w:gridCol w:w="825"/>
        <w:gridCol w:w="569"/>
        <w:gridCol w:w="584"/>
        <w:gridCol w:w="1154"/>
        <w:gridCol w:w="11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23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工程名称：临高县皇桐镇古银瀑布绿化项目</w:t>
            </w:r>
          </w:p>
        </w:tc>
        <w:tc>
          <w:tcPr>
            <w:tcW w:w="228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895"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41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145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217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项目特征描述</w:t>
            </w:r>
          </w:p>
        </w:tc>
        <w:tc>
          <w:tcPr>
            <w:tcW w:w="54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82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c>
          <w:tcPr>
            <w:tcW w:w="3465"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41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45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7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2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综合单价</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整个项目</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清表、回填、砍伐棕榈树</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050101008001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清理</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1.清表土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2.机械清理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3.厚度：±30cm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4.宽度：1.5m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5.部位：沿入口处两侧</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2137</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050101001001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砍伐乔木</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1.树地径:40cm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2.运距：暂考虑3km</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060212025001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回填土</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1.土质要求:一、二类土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2.密实度要求:97≧</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3.夯填（碾压）:2~3遍</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930.6</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乔木种植</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050102001001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栽植乔木-凤凰木B</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1.种类:凤凰木B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2.胸径或干径:φ=18-20cm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3.株高、冠径:h350-400cm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4.养护期:3个月</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050102001002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栽植乔木-花旗木</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1.种类:花旗木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2.胸径或干径:φ=18-20cm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3.株高、冠径:h350-400cm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4.养护期:3个月</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050102001003</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栽植乔木-大叶紫薇</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1.种类:大叶紫薇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2.胸径或干径:φ=12-15cm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3.株高、冠径:h300-350cm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4.养护期:3个月</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050102001004</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栽植乔木-洋紫荆</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1.种类:洋紫荆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2.胸径或干径:φ=15-20cm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3.株高、冠径:h300-350cm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4.养护期:3个月</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5"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050102001005</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栽植乔木-狐尾椰子</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1.种类:狐尾椰子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2.胸径或干径:地径20-22cm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3.株高、冠径:</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100"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15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23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c>
          <w:tcPr>
            <w:tcW w:w="2280"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89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23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（清-表4）</w:t>
            </w:r>
          </w:p>
        </w:tc>
        <w:tc>
          <w:tcPr>
            <w:tcW w:w="2280"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89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23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工程名称：临高县皇桐镇古银瀑布绿化项目</w:t>
            </w:r>
          </w:p>
        </w:tc>
        <w:tc>
          <w:tcPr>
            <w:tcW w:w="228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895"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2 页  共 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41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145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217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项目特征描述</w:t>
            </w:r>
          </w:p>
        </w:tc>
        <w:tc>
          <w:tcPr>
            <w:tcW w:w="54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82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c>
          <w:tcPr>
            <w:tcW w:w="3465"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41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45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7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2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综合单价</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h300-350cm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4.养护期:3个月</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050102001006</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栽植乔木-雨树</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1.种类:雨树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2.胸径或干径:φ=18-20cm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3.株高、冠径:h350-400cm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4.养护期:3个月</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050102001007</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栽植乔木-红花木棉</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1.种类:红花木棉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2.胸径或干径:φ=18-20cm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3.株高、冠径:h350-400cm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4.养护期:3个月</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灌木种植</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050102002001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栽植灌木-白鸡蛋花A</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1.种类:白鸡蛋花A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2.根盘直径:φ=6-8cm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3.冠丛高:h200-300cm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4.养护期:3个月</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050102002002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栽植灌木-非洲茉莉球</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1.种类:非洲茉莉球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2.冠丛高:h120cm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3.养护期:3个月</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050102002003</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栽植灌木-金钱榕</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1.种类:金钱榕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2.冠丛高:h150-180cm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3.养护期:3个月</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050102002004</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栽植灌木-苏铁</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1.种类:苏铁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2.冠丛高:H=80-100cm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3.养护期:3个月</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050102002005</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栽植灌木-九里香球</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1.种类:九里香球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2.冠丛高:h120cm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3.养护期:3个月</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草本花卉、地被种植</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050101010001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整理绿化用地</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1.整理绿化种植地</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1540</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060212025002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种植土</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1.土质要求:外购专用种植土</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693</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5"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050102008001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栽植花卉-蜘蛛兰</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1.花卉种类:蜘蛛兰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2.株高或蓬径:h20-30cm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3.单位面积株数:49株/m2</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100"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15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23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c>
          <w:tcPr>
            <w:tcW w:w="2280"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89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23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（清-表4）</w:t>
            </w:r>
          </w:p>
        </w:tc>
        <w:tc>
          <w:tcPr>
            <w:tcW w:w="2280"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89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23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2280"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89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23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工程名称：临高县皇桐镇古银瀑布绿化项目</w:t>
            </w:r>
          </w:p>
        </w:tc>
        <w:tc>
          <w:tcPr>
            <w:tcW w:w="228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895"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3 页  共 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41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145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217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项目特征描述</w:t>
            </w:r>
          </w:p>
        </w:tc>
        <w:tc>
          <w:tcPr>
            <w:tcW w:w="54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82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c>
          <w:tcPr>
            <w:tcW w:w="3465"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41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45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7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2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综合单价</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4.养护期:3个月</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050102008002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栽植花卉-小叶龙船</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1.花卉种类:小叶龙船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2.株高或蓬径:h20-30cm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3.单位面积株数:49株/m2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4.养护期:3个月</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050102008003</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栽植花卉-大叶龙船花</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1.花卉种类:大叶龙船花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2.株高或蓬径:h30-40cm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3.单位面积株数:25株/m2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4.养护期:3个月</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050102008004</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栽植花卉-黄金榕</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1.花卉种类:黄金榕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2.株高或蓬径:h20-30cm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3.单位面积株数:36株/m2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4.养护期:3个月</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050102008005</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栽植花卉-海南黄金榕</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1.花卉种类:海南黄金榕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2.株高或蓬径:h20-30cm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3.单位面积株数:36株/m2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4.养护期:3个月</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050102008006</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栽植花卉-变叶木</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1.花卉种类:变叶木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2.株高或蓬径:h30-40cm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3.单位面积株数:36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4.养护期:3个月</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050102008007</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栽植花卉-红背桂</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1.花卉种类:蜘蛛兰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2.株高或蓬径:h30-40cm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3.单位面积株数:36株/m2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4.养护期:3个月</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050102012001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铺种草-大叶油草</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1.草皮种类:大叶油草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2.养护期:3</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691</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标识警示牌、三叉路口指示牌</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010101003001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挖沟槽土方</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1.土壤类别:一、二类土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2.挖土深度:80cm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3.开挖方式：人工开</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0.32</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100"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15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23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c>
          <w:tcPr>
            <w:tcW w:w="2280"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89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23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（清-表4）</w:t>
            </w:r>
          </w:p>
        </w:tc>
        <w:tc>
          <w:tcPr>
            <w:tcW w:w="2280"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89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23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工程名称：临高县皇桐镇古银瀑布绿化项目</w:t>
            </w:r>
          </w:p>
        </w:tc>
        <w:tc>
          <w:tcPr>
            <w:tcW w:w="228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895"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4 页  共 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41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145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217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项目特征描述</w:t>
            </w:r>
          </w:p>
        </w:tc>
        <w:tc>
          <w:tcPr>
            <w:tcW w:w="54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82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c>
          <w:tcPr>
            <w:tcW w:w="3465"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41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45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7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2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综合单价</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挖</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010501003001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独立基础</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1.混凝土种类:预拌混凝土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2.混凝土强度等级:C30</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0.24</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020906014001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硬木材面(原木)抛光打蜡三遍</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1.硬木材面(原木)抛光打蜡三遍</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010702001001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木柱</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1.圆木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2.规格尺寸：以施工图为准</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0.49</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020112001001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木板刻字</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1.30厚木板刻字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2.内容及规格：以施工图为准</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050307009001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标志牌</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1.指示牌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2.规格：以施工图为准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3.位置：三岔路口或各出入口处</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广告牌</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010101003002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挖沟槽土方</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1.土壤类别:一、二类土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2.挖土深度:65cm</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080101010001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原土碾压、夯实</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1.密实度:97≧</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060212025003</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回填土</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1.土质要求:一、二类土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2.密实度要求:97≧</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5.46</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010404001001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垫层</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1.碎石水泥垫层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2.厚度：15cm</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0.36</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010501003002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独立基础</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1.混凝土种类:预拌混凝土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2.混凝土强度等级:C20</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0.64</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041102002001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基础模板</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1.现浇混凝土模板</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010515001001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现浇构件钢筋</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1.钢筋种类、规格:HPB300、</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0.159</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010603003001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钢管柱</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1.钢管柱、方管制作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2.材质、规格：以施工图纸为准</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1.859</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010605001001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不锈钢板制作、安装</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1.不锈钢板制作、安装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2.材质、规格：以施工图纸为准</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措施项目</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021005001001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大型机械设备进出场及安拆</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1.场外运输 履带式挖掘机 1m3以内</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台次</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100"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15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23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c>
          <w:tcPr>
            <w:tcW w:w="2280"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89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23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（清-表4）</w:t>
            </w:r>
          </w:p>
        </w:tc>
        <w:tc>
          <w:tcPr>
            <w:tcW w:w="2280"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89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23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工程名称：临高县皇桐镇古银瀑布绿化项目</w:t>
            </w:r>
          </w:p>
        </w:tc>
        <w:tc>
          <w:tcPr>
            <w:tcW w:w="228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895"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5 页  共 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100" w:type="dxa"/>
            <w:gridSpan w:val="9"/>
            <w:tcBorders>
              <w:top w:val="single" w:color="000000" w:sz="8"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1155" w:type="dxa"/>
            <w:tcBorders>
              <w:top w:val="single" w:color="000000" w:sz="8"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8"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23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c>
          <w:tcPr>
            <w:tcW w:w="2280"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89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nil"/>
              <w:left w:val="nil"/>
              <w:bottom w:val="nil"/>
              <w:right w:val="nil"/>
            </w:tcBorders>
            <w:shd w:val="clear" w:color="auto" w:fill="auto"/>
            <w:noWrap/>
            <w:vAlign w:val="bottom"/>
          </w:tcPr>
          <w:p>
            <w:pPr>
              <w:rPr>
                <w:rFonts w:hint="eastAsia"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bl>
    <w:p>
      <w:pPr>
        <w:pStyle w:val="13"/>
        <w:tabs>
          <w:tab w:val="left" w:pos="8360"/>
        </w:tabs>
        <w:spacing w:line="420" w:lineRule="exact"/>
        <w:rPr>
          <w:rFonts w:hint="default" w:cs="宋体" w:asciiTheme="majorEastAsia" w:hAnsiTheme="majorEastAsia" w:eastAsiaTheme="majorEastAsia"/>
          <w:color w:val="auto"/>
          <w:sz w:val="36"/>
          <w:szCs w:val="36"/>
          <w:lang w:val="en-GB"/>
        </w:rPr>
      </w:pPr>
    </w:p>
    <w:p>
      <w:pPr>
        <w:pStyle w:val="13"/>
        <w:tabs>
          <w:tab w:val="left" w:pos="8360"/>
        </w:tabs>
        <w:spacing w:line="420" w:lineRule="exact"/>
        <w:rPr>
          <w:rFonts w:hint="default" w:cs="宋体" w:asciiTheme="majorEastAsia" w:hAnsiTheme="majorEastAsia" w:eastAsiaTheme="majorEastAsia"/>
          <w:color w:val="auto"/>
          <w:sz w:val="36"/>
          <w:szCs w:val="36"/>
          <w:lang w:val="en-GB"/>
        </w:rPr>
      </w:pPr>
    </w:p>
    <w:p>
      <w:pPr>
        <w:pStyle w:val="13"/>
        <w:tabs>
          <w:tab w:val="left" w:pos="8360"/>
        </w:tabs>
        <w:spacing w:line="420" w:lineRule="exact"/>
        <w:rPr>
          <w:rFonts w:hint="default" w:cs="宋体" w:asciiTheme="majorEastAsia" w:hAnsiTheme="majorEastAsia" w:eastAsiaTheme="majorEastAsia"/>
          <w:color w:val="auto"/>
          <w:sz w:val="36"/>
          <w:szCs w:val="36"/>
          <w:lang w:val="en-GB"/>
        </w:rPr>
      </w:pPr>
    </w:p>
    <w:p>
      <w:pPr>
        <w:pStyle w:val="13"/>
        <w:tabs>
          <w:tab w:val="left" w:pos="8360"/>
        </w:tabs>
        <w:spacing w:line="420" w:lineRule="exact"/>
        <w:rPr>
          <w:rFonts w:hint="default" w:cs="宋体" w:asciiTheme="majorEastAsia" w:hAnsiTheme="majorEastAsia" w:eastAsiaTheme="majorEastAsia"/>
          <w:color w:val="auto"/>
          <w:sz w:val="36"/>
          <w:szCs w:val="36"/>
          <w:lang w:val="en-GB"/>
        </w:rPr>
      </w:pPr>
    </w:p>
    <w:tbl>
      <w:tblPr>
        <w:tblStyle w:val="30"/>
        <w:tblW w:w="104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45"/>
        <w:gridCol w:w="1342"/>
        <w:gridCol w:w="1308"/>
        <w:gridCol w:w="610"/>
        <w:gridCol w:w="1610"/>
        <w:gridCol w:w="716"/>
        <w:gridCol w:w="222"/>
        <w:gridCol w:w="700"/>
        <w:gridCol w:w="611"/>
        <w:gridCol w:w="329"/>
        <w:gridCol w:w="1146"/>
        <w:gridCol w:w="10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10410" w:type="dxa"/>
            <w:gridSpan w:val="12"/>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总价措施项目清单与计价表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3420"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工程名称：临高县皇桐镇古银瀑布绿化项目</w:t>
            </w:r>
          </w:p>
        </w:tc>
        <w:tc>
          <w:tcPr>
            <w:tcW w:w="310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1320"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单位：元   </w:t>
            </w:r>
          </w:p>
        </w:tc>
        <w:tc>
          <w:tcPr>
            <w:tcW w:w="2565"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750"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35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93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62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66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91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94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15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调整后金额</w:t>
            </w:r>
          </w:p>
        </w:tc>
        <w:tc>
          <w:tcPr>
            <w:tcW w:w="1080"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安全文明施工与环境保护基本费</w:t>
            </w: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1千万元以内部分</w:t>
            </w: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综合价含主设(1千万元以内部分)</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1～5千万元以内部分</w:t>
            </w: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综合价含主设(1~5千万元以内部分)</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0.87</w:t>
            </w: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5千万元～1亿元以内部分</w:t>
            </w: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综合价含主设(5千万元~1亿元以内部分)</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0.58</w:t>
            </w: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1亿元以上部分</w:t>
            </w: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综合价含主设(1亿元以上部分)</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0.29</w:t>
            </w: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安全文明施工与环境保护费(浮动部分)</w:t>
            </w: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安全防护、文明施工基本费</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建施安责险</w:t>
            </w: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不含建施安责险费*0.001</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临时设施费</w:t>
            </w: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w:t>
            </w: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1千万元以内部分</w:t>
            </w: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综合价含主设(1千万元以内部分)</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w:t>
            </w: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1～5千万元以内部分</w:t>
            </w: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综合价含主设(1~5千万元以内部分)</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0.618</w:t>
            </w: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w:t>
            </w: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5千万元～1亿元以内部分</w:t>
            </w: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综合价含主设(5千万元~1亿元以内部分)</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0.412</w:t>
            </w: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1亿元以上部分</w:t>
            </w: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综合价含主设(1亿元以上部分)</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0.206</w:t>
            </w: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5"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夜间施工增加费</w:t>
            </w: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分部分项人工费+单价措施项目人工费-人工价差+分部分项机上人工费+单价措施机上人工费-机上人工价差</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w:t>
            </w: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5" w:hRule="atLeast"/>
        </w:trPr>
        <w:tc>
          <w:tcPr>
            <w:tcW w:w="750"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35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93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雨季施工增加费</w:t>
            </w:r>
          </w:p>
        </w:tc>
        <w:tc>
          <w:tcPr>
            <w:tcW w:w="162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分部分项人工费+单价措施项目人工费-人工价差+分部分项机上人工费+单价措施机上人工费-机上人工价差</w:t>
            </w:r>
          </w:p>
        </w:tc>
        <w:tc>
          <w:tcPr>
            <w:tcW w:w="66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0.54</w:t>
            </w:r>
          </w:p>
        </w:tc>
        <w:tc>
          <w:tcPr>
            <w:tcW w:w="91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4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410" w:type="dxa"/>
            <w:gridSpan w:val="12"/>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编制人（造价人员）：                                   复核人（造价工程师）：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注：1  “项目名称”可根据海南省现行的计价定额设置。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2  按施工方案计算的措施费，若无“计算基础”和“费率”的数值，也可只填 “金额”数值，但应在备注栏说明施工方案出处或计算方法。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420" w:type="dxa"/>
            <w:gridSpan w:val="3"/>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（清-表5）</w:t>
            </w:r>
          </w:p>
        </w:tc>
        <w:tc>
          <w:tcPr>
            <w:tcW w:w="3105"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320" w:type="dxa"/>
            <w:gridSpan w:val="2"/>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56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10410" w:type="dxa"/>
            <w:gridSpan w:val="12"/>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总价措施项目清单与计价表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3420"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工程名称：临高县皇桐镇古银瀑布绿化项目</w:t>
            </w:r>
          </w:p>
        </w:tc>
        <w:tc>
          <w:tcPr>
            <w:tcW w:w="310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1320"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单位：元   </w:t>
            </w:r>
          </w:p>
        </w:tc>
        <w:tc>
          <w:tcPr>
            <w:tcW w:w="2565"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2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750"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35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93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62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66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91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94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15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调整后金额</w:t>
            </w:r>
          </w:p>
        </w:tc>
        <w:tc>
          <w:tcPr>
            <w:tcW w:w="1080"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视频监控费</w:t>
            </w: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315" w:type="dxa"/>
            <w:gridSpan w:val="6"/>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91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4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410" w:type="dxa"/>
            <w:gridSpan w:val="12"/>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编制人（造价人员）：                                   复核人（造价工程师）：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注：1  “项目名称”可根据海南省现行的计价定额设置。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2  按施工方案计算的措施费，若无“计算基础”和“费率”的数值，也可只填 “金额”数值，但应在备注栏说明施工方案出处或计算方法。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nil"/>
              <w:left w:val="nil"/>
              <w:bottom w:val="nil"/>
              <w:right w:val="nil"/>
            </w:tcBorders>
            <w:shd w:val="clear" w:color="auto" w:fill="auto"/>
            <w:noWrap/>
            <w:vAlign w:val="bottom"/>
          </w:tcPr>
          <w:p>
            <w:pPr>
              <w:rPr>
                <w:rFonts w:hint="eastAsia"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bl>
    <w:p>
      <w:pPr>
        <w:pStyle w:val="13"/>
        <w:tabs>
          <w:tab w:val="left" w:pos="8360"/>
        </w:tabs>
        <w:spacing w:line="420" w:lineRule="exact"/>
        <w:rPr>
          <w:rFonts w:hint="default" w:cs="宋体" w:asciiTheme="majorEastAsia" w:hAnsiTheme="majorEastAsia" w:eastAsiaTheme="majorEastAsia"/>
          <w:color w:val="auto"/>
          <w:sz w:val="36"/>
          <w:szCs w:val="36"/>
          <w:lang w:val="en-GB"/>
        </w:rPr>
      </w:pPr>
    </w:p>
    <w:tbl>
      <w:tblPr>
        <w:tblStyle w:val="30"/>
        <w:tblW w:w="104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95"/>
        <w:gridCol w:w="3855"/>
        <w:gridCol w:w="120"/>
        <w:gridCol w:w="1935"/>
        <w:gridCol w:w="780"/>
        <w:gridCol w:w="735"/>
        <w:gridCol w:w="1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10410" w:type="dxa"/>
            <w:gridSpan w:val="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其他项目清单与计价汇总表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4950"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工程名称：临高县皇桐镇古银瀑布绿化项目</w:t>
            </w:r>
          </w:p>
        </w:tc>
        <w:tc>
          <w:tcPr>
            <w:tcW w:w="2835"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625"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09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397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93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c>
          <w:tcPr>
            <w:tcW w:w="151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结算金额（元）</w:t>
            </w:r>
          </w:p>
        </w:tc>
        <w:tc>
          <w:tcPr>
            <w:tcW w:w="1890"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暂列金额</w:t>
            </w: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材料暂估价</w:t>
            </w: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专业工程暂估价</w:t>
            </w: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计日工</w:t>
            </w: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总承包服务费</w:t>
            </w: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5070" w:type="dxa"/>
            <w:gridSpan w:val="3"/>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193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1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9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bl>
    <w:p>
      <w:pPr>
        <w:pStyle w:val="13"/>
        <w:tabs>
          <w:tab w:val="left" w:pos="8360"/>
        </w:tabs>
        <w:spacing w:line="420" w:lineRule="exact"/>
        <w:rPr>
          <w:rFonts w:hint="default" w:cs="宋体" w:asciiTheme="majorEastAsia" w:hAnsiTheme="majorEastAsia" w:eastAsiaTheme="majorEastAsia"/>
          <w:color w:val="auto"/>
          <w:sz w:val="36"/>
          <w:szCs w:val="36"/>
          <w:lang w:val="en-GB"/>
        </w:rPr>
      </w:pPr>
    </w:p>
    <w:p>
      <w:pPr>
        <w:pStyle w:val="13"/>
        <w:tabs>
          <w:tab w:val="left" w:pos="8360"/>
        </w:tabs>
        <w:spacing w:line="420" w:lineRule="exact"/>
        <w:rPr>
          <w:rFonts w:hint="default" w:cs="宋体" w:asciiTheme="majorEastAsia" w:hAnsiTheme="majorEastAsia" w:eastAsiaTheme="majorEastAsia"/>
          <w:color w:val="auto"/>
          <w:sz w:val="36"/>
          <w:szCs w:val="36"/>
          <w:lang w:val="en-GB"/>
        </w:rPr>
      </w:pPr>
    </w:p>
    <w:p>
      <w:pPr>
        <w:pStyle w:val="13"/>
        <w:tabs>
          <w:tab w:val="left" w:pos="8360"/>
        </w:tabs>
        <w:spacing w:line="420" w:lineRule="exact"/>
        <w:rPr>
          <w:rFonts w:hint="default" w:cs="宋体" w:asciiTheme="majorEastAsia" w:hAnsiTheme="majorEastAsia" w:eastAsiaTheme="majorEastAsia"/>
          <w:color w:val="auto"/>
          <w:sz w:val="36"/>
          <w:szCs w:val="36"/>
          <w:lang w:val="en-GB"/>
        </w:rPr>
      </w:pPr>
    </w:p>
    <w:tbl>
      <w:tblPr>
        <w:tblStyle w:val="30"/>
        <w:tblW w:w="98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59"/>
        <w:gridCol w:w="901"/>
        <w:gridCol w:w="222"/>
        <w:gridCol w:w="931"/>
        <w:gridCol w:w="2999"/>
        <w:gridCol w:w="2517"/>
        <w:gridCol w:w="765"/>
        <w:gridCol w:w="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9870" w:type="dxa"/>
            <w:gridSpan w:val="8"/>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规费、税金项目计价表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3750"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工程名称：临高县皇桐镇古银瀑布绿化项目</w:t>
            </w:r>
          </w:p>
        </w:tc>
        <w:tc>
          <w:tcPr>
            <w:tcW w:w="2835" w:type="dxa"/>
            <w:gridSpan w:val="2"/>
            <w:tcBorders>
              <w:top w:val="nil"/>
              <w:left w:val="nil"/>
              <w:bottom w:val="nil"/>
              <w:right w:val="nil"/>
            </w:tcBorders>
            <w:shd w:val="clear" w:color="FFFFFF"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3285"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320"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222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23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148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计算基数</w:t>
            </w:r>
          </w:p>
        </w:tc>
        <w:tc>
          <w:tcPr>
            <w:tcW w:w="145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计算费率(%)</w:t>
            </w:r>
          </w:p>
        </w:tc>
        <w:tc>
          <w:tcPr>
            <w:tcW w:w="1155"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3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规费</w:t>
            </w:r>
          </w:p>
        </w:tc>
        <w:tc>
          <w:tcPr>
            <w:tcW w:w="22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其中：垃圾处置费+其中：社保费</w:t>
            </w: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D1 + D2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3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其中：垃圾处置费</w:t>
            </w:r>
          </w:p>
        </w:tc>
        <w:tc>
          <w:tcPr>
            <w:tcW w:w="22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13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其中：社保费</w:t>
            </w:r>
          </w:p>
        </w:tc>
        <w:tc>
          <w:tcPr>
            <w:tcW w:w="22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(分部分项定额人工费+单价措施定额人工费+分部分项定额机上人工费+单价措施定额机上人工费)*0.7</w:t>
            </w: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(FBFX_DERGF+DJCS_DERGF+FBFX_DEJSRGF+DJCS_DEJSRGF)*0.7</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3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税金</w:t>
            </w:r>
          </w:p>
        </w:tc>
        <w:tc>
          <w:tcPr>
            <w:tcW w:w="22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分部分项工程费+措施项目费+其他项目费+规费</w:t>
            </w: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775" w:type="dxa"/>
            <w:gridSpan w:val="4"/>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48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5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750" w:type="dxa"/>
            <w:gridSpan w:val="3"/>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编制人（造价人员）：</w:t>
            </w:r>
          </w:p>
        </w:tc>
        <w:tc>
          <w:tcPr>
            <w:tcW w:w="6120" w:type="dxa"/>
            <w:gridSpan w:val="5"/>
            <w:tcBorders>
              <w:top w:val="nil"/>
              <w:left w:val="nil"/>
              <w:bottom w:val="nil"/>
              <w:right w:val="nil"/>
            </w:tcBorders>
            <w:shd w:val="clear" w:color="FFFFFF"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复核人（造价工程师）：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870" w:type="dxa"/>
            <w:gridSpan w:val="8"/>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注：“项目名称”可根据海南省现行的计价定额设置。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nil"/>
              <w:left w:val="nil"/>
              <w:bottom w:val="nil"/>
              <w:right w:val="nil"/>
            </w:tcBorders>
            <w:shd w:val="clear" w:color="auto" w:fill="auto"/>
            <w:noWrap/>
            <w:vAlign w:val="bottom"/>
          </w:tcPr>
          <w:p>
            <w:pPr>
              <w:rPr>
                <w:rFonts w:hint="eastAsia"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bl>
    <w:p>
      <w:pPr>
        <w:pStyle w:val="13"/>
        <w:tabs>
          <w:tab w:val="left" w:pos="8360"/>
        </w:tabs>
        <w:spacing w:line="420" w:lineRule="exact"/>
        <w:rPr>
          <w:rFonts w:hint="default" w:cs="宋体" w:asciiTheme="majorEastAsia" w:hAnsiTheme="majorEastAsia" w:eastAsiaTheme="majorEastAsia"/>
          <w:color w:val="auto"/>
          <w:sz w:val="36"/>
          <w:szCs w:val="36"/>
          <w:lang w:val="en-GB"/>
        </w:rPr>
      </w:pPr>
    </w:p>
    <w:p>
      <w:pPr>
        <w:pStyle w:val="13"/>
        <w:tabs>
          <w:tab w:val="left" w:pos="8360"/>
        </w:tabs>
        <w:spacing w:line="420" w:lineRule="exact"/>
        <w:rPr>
          <w:rFonts w:hint="default" w:cs="宋体" w:asciiTheme="majorEastAsia" w:hAnsiTheme="majorEastAsia" w:eastAsiaTheme="majorEastAsia"/>
          <w:color w:val="auto"/>
          <w:sz w:val="36"/>
          <w:szCs w:val="36"/>
          <w:lang w:val="en-GB"/>
        </w:rPr>
      </w:pPr>
    </w:p>
    <w:p>
      <w:pPr>
        <w:pStyle w:val="13"/>
        <w:tabs>
          <w:tab w:val="left" w:pos="8360"/>
        </w:tabs>
        <w:spacing w:line="420" w:lineRule="exact"/>
        <w:rPr>
          <w:rFonts w:hint="default" w:cs="宋体" w:asciiTheme="majorEastAsia" w:hAnsiTheme="majorEastAsia" w:eastAsiaTheme="majorEastAsia"/>
          <w:color w:val="auto"/>
          <w:sz w:val="36"/>
          <w:szCs w:val="36"/>
          <w:lang w:val="en-GB"/>
        </w:rPr>
      </w:pPr>
    </w:p>
    <w:p>
      <w:pPr>
        <w:pStyle w:val="13"/>
        <w:tabs>
          <w:tab w:val="left" w:pos="8360"/>
        </w:tabs>
        <w:spacing w:line="420" w:lineRule="exact"/>
        <w:rPr>
          <w:rFonts w:hint="default" w:cs="宋体" w:asciiTheme="majorEastAsia" w:hAnsiTheme="majorEastAsia" w:eastAsiaTheme="majorEastAsia"/>
          <w:color w:val="auto"/>
          <w:sz w:val="36"/>
          <w:szCs w:val="36"/>
          <w:lang w:val="en-GB"/>
        </w:rPr>
      </w:pPr>
    </w:p>
    <w:p>
      <w:pPr>
        <w:pStyle w:val="13"/>
        <w:tabs>
          <w:tab w:val="left" w:pos="8360"/>
        </w:tabs>
        <w:spacing w:line="420" w:lineRule="exact"/>
        <w:rPr>
          <w:rFonts w:hint="default" w:cs="宋体" w:asciiTheme="majorEastAsia" w:hAnsiTheme="majorEastAsia" w:eastAsiaTheme="majorEastAsia"/>
          <w:color w:val="auto"/>
          <w:sz w:val="36"/>
          <w:szCs w:val="36"/>
          <w:lang w:val="en-GB"/>
        </w:rPr>
      </w:pPr>
    </w:p>
    <w:p>
      <w:pPr>
        <w:pStyle w:val="13"/>
        <w:tabs>
          <w:tab w:val="left" w:pos="8360"/>
        </w:tabs>
        <w:spacing w:line="420" w:lineRule="exact"/>
        <w:rPr>
          <w:rFonts w:hint="default" w:cs="宋体" w:asciiTheme="majorEastAsia" w:hAnsiTheme="majorEastAsia" w:eastAsiaTheme="majorEastAsia"/>
          <w:color w:val="auto"/>
          <w:sz w:val="36"/>
          <w:szCs w:val="36"/>
          <w:lang w:val="en-GB"/>
        </w:rPr>
      </w:pPr>
    </w:p>
    <w:p>
      <w:pPr>
        <w:pStyle w:val="13"/>
        <w:tabs>
          <w:tab w:val="left" w:pos="8360"/>
        </w:tabs>
        <w:spacing w:line="420" w:lineRule="exact"/>
        <w:rPr>
          <w:rFonts w:hint="default" w:cs="宋体" w:asciiTheme="majorEastAsia" w:hAnsiTheme="majorEastAsia" w:eastAsiaTheme="majorEastAsia"/>
          <w:color w:val="auto"/>
          <w:sz w:val="36"/>
          <w:szCs w:val="36"/>
          <w:lang w:val="en-GB"/>
        </w:rPr>
      </w:pPr>
    </w:p>
    <w:p>
      <w:pPr>
        <w:pStyle w:val="13"/>
        <w:tabs>
          <w:tab w:val="left" w:pos="8360"/>
        </w:tabs>
        <w:spacing w:line="420" w:lineRule="exact"/>
        <w:ind w:firstLine="2880" w:firstLineChars="800"/>
        <w:jc w:val="both"/>
        <w:rPr>
          <w:rFonts w:hint="eastAsia" w:cs="宋体" w:asciiTheme="majorEastAsia" w:hAnsiTheme="majorEastAsia" w:eastAsiaTheme="majorEastAsia"/>
          <w:color w:val="auto"/>
          <w:sz w:val="36"/>
          <w:szCs w:val="36"/>
          <w:lang w:val="en-GB" w:eastAsia="zh-CN"/>
        </w:rPr>
      </w:pPr>
      <w:r>
        <w:rPr>
          <w:rFonts w:hint="eastAsia" w:cs="宋体" w:asciiTheme="majorEastAsia" w:hAnsiTheme="majorEastAsia" w:eastAsiaTheme="majorEastAsia"/>
          <w:color w:val="auto"/>
          <w:sz w:val="36"/>
          <w:szCs w:val="36"/>
          <w:lang w:val="en-GB" w:eastAsia="zh-CN"/>
        </w:rPr>
        <w:t>图纸（另附）</w:t>
      </w:r>
    </w:p>
    <w:p>
      <w:pPr>
        <w:pStyle w:val="13"/>
        <w:tabs>
          <w:tab w:val="left" w:pos="8360"/>
        </w:tabs>
        <w:spacing w:line="420" w:lineRule="exact"/>
        <w:rPr>
          <w:rFonts w:hint="default" w:cs="宋体" w:asciiTheme="majorEastAsia" w:hAnsiTheme="majorEastAsia" w:eastAsiaTheme="majorEastAsia"/>
          <w:color w:val="auto"/>
          <w:sz w:val="36"/>
          <w:szCs w:val="36"/>
          <w:lang w:val="en-GB"/>
        </w:rPr>
      </w:pPr>
    </w:p>
    <w:p>
      <w:pPr>
        <w:pStyle w:val="13"/>
        <w:tabs>
          <w:tab w:val="left" w:pos="8360"/>
        </w:tabs>
        <w:spacing w:line="420" w:lineRule="exact"/>
        <w:rPr>
          <w:rFonts w:hint="default" w:cs="宋体" w:asciiTheme="majorEastAsia" w:hAnsiTheme="majorEastAsia" w:eastAsiaTheme="majorEastAsia"/>
          <w:color w:val="auto"/>
          <w:sz w:val="36"/>
          <w:szCs w:val="36"/>
          <w:lang w:val="en-GB"/>
        </w:rPr>
      </w:pPr>
    </w:p>
    <w:p>
      <w:pPr>
        <w:pStyle w:val="13"/>
        <w:tabs>
          <w:tab w:val="left" w:pos="8360"/>
        </w:tabs>
        <w:spacing w:line="420" w:lineRule="exact"/>
        <w:rPr>
          <w:rFonts w:hint="default" w:cs="宋体" w:asciiTheme="majorEastAsia" w:hAnsiTheme="majorEastAsia" w:eastAsiaTheme="majorEastAsia"/>
          <w:color w:val="auto"/>
          <w:sz w:val="36"/>
          <w:szCs w:val="36"/>
          <w:lang w:val="en-GB"/>
        </w:rPr>
      </w:pPr>
    </w:p>
    <w:p>
      <w:pPr>
        <w:pStyle w:val="13"/>
        <w:tabs>
          <w:tab w:val="left" w:pos="8360"/>
        </w:tabs>
        <w:spacing w:line="420" w:lineRule="exact"/>
        <w:rPr>
          <w:rFonts w:hint="default" w:cs="宋体" w:asciiTheme="majorEastAsia" w:hAnsiTheme="majorEastAsia" w:eastAsiaTheme="majorEastAsia"/>
          <w:color w:val="auto"/>
          <w:sz w:val="36"/>
          <w:szCs w:val="36"/>
          <w:lang w:val="en-GB"/>
        </w:rPr>
      </w:pPr>
    </w:p>
    <w:p>
      <w:pPr>
        <w:pStyle w:val="13"/>
        <w:tabs>
          <w:tab w:val="left" w:pos="8360"/>
        </w:tabs>
        <w:spacing w:line="420" w:lineRule="exact"/>
        <w:rPr>
          <w:rFonts w:hint="default" w:cs="宋体" w:asciiTheme="majorEastAsia" w:hAnsiTheme="majorEastAsia" w:eastAsiaTheme="majorEastAsia"/>
          <w:color w:val="auto"/>
          <w:sz w:val="36"/>
          <w:szCs w:val="36"/>
          <w:lang w:val="en-GB"/>
        </w:rPr>
      </w:pPr>
    </w:p>
    <w:p>
      <w:pPr>
        <w:pStyle w:val="13"/>
        <w:tabs>
          <w:tab w:val="left" w:pos="8360"/>
        </w:tabs>
        <w:spacing w:line="420" w:lineRule="exact"/>
        <w:rPr>
          <w:rFonts w:hint="default" w:cs="宋体" w:asciiTheme="majorEastAsia" w:hAnsiTheme="majorEastAsia" w:eastAsiaTheme="majorEastAsia"/>
          <w:color w:val="auto"/>
          <w:sz w:val="36"/>
          <w:szCs w:val="36"/>
          <w:lang w:val="en-GB"/>
        </w:rPr>
      </w:pPr>
    </w:p>
    <w:p>
      <w:pPr>
        <w:pStyle w:val="13"/>
        <w:tabs>
          <w:tab w:val="left" w:pos="8360"/>
        </w:tabs>
        <w:spacing w:line="420" w:lineRule="exact"/>
        <w:rPr>
          <w:rFonts w:hint="default" w:cs="宋体" w:asciiTheme="majorEastAsia" w:hAnsiTheme="majorEastAsia" w:eastAsiaTheme="majorEastAsia"/>
          <w:color w:val="auto"/>
          <w:sz w:val="36"/>
          <w:szCs w:val="36"/>
          <w:lang w:val="en-GB"/>
        </w:rPr>
      </w:pPr>
    </w:p>
    <w:p>
      <w:pPr>
        <w:pStyle w:val="13"/>
        <w:tabs>
          <w:tab w:val="left" w:pos="8360"/>
        </w:tabs>
        <w:spacing w:line="420" w:lineRule="exact"/>
        <w:rPr>
          <w:rFonts w:hint="default" w:cs="宋体" w:asciiTheme="majorEastAsia" w:hAnsiTheme="majorEastAsia" w:eastAsiaTheme="majorEastAsia"/>
          <w:color w:val="auto"/>
          <w:sz w:val="36"/>
          <w:szCs w:val="36"/>
          <w:lang w:val="en-GB"/>
        </w:rPr>
      </w:pPr>
    </w:p>
    <w:p>
      <w:pPr>
        <w:pStyle w:val="13"/>
        <w:tabs>
          <w:tab w:val="left" w:pos="8360"/>
        </w:tabs>
        <w:spacing w:line="420" w:lineRule="exact"/>
        <w:rPr>
          <w:rFonts w:hint="default" w:cs="宋体" w:asciiTheme="majorEastAsia" w:hAnsiTheme="majorEastAsia" w:eastAsiaTheme="majorEastAsia"/>
          <w:color w:val="auto"/>
          <w:sz w:val="36"/>
          <w:szCs w:val="36"/>
          <w:lang w:val="en-GB"/>
        </w:rPr>
      </w:pPr>
    </w:p>
    <w:p>
      <w:pPr>
        <w:pStyle w:val="13"/>
        <w:tabs>
          <w:tab w:val="left" w:pos="8360"/>
        </w:tabs>
        <w:spacing w:line="420" w:lineRule="exact"/>
        <w:rPr>
          <w:rFonts w:hint="default" w:cs="宋体" w:asciiTheme="majorEastAsia" w:hAnsiTheme="majorEastAsia" w:eastAsiaTheme="majorEastAsia"/>
          <w:color w:val="auto"/>
          <w:sz w:val="36"/>
          <w:szCs w:val="36"/>
          <w:lang w:val="en-GB"/>
        </w:rPr>
      </w:pPr>
    </w:p>
    <w:p>
      <w:pPr>
        <w:pStyle w:val="13"/>
        <w:tabs>
          <w:tab w:val="left" w:pos="8360"/>
        </w:tabs>
        <w:spacing w:line="420" w:lineRule="exact"/>
        <w:rPr>
          <w:rFonts w:hint="default" w:cs="宋体" w:asciiTheme="majorEastAsia" w:hAnsiTheme="majorEastAsia" w:eastAsiaTheme="majorEastAsia"/>
          <w:color w:val="auto"/>
          <w:sz w:val="36"/>
          <w:szCs w:val="36"/>
          <w:lang w:val="en-GB"/>
        </w:rPr>
      </w:pPr>
    </w:p>
    <w:p>
      <w:pPr>
        <w:pStyle w:val="13"/>
        <w:tabs>
          <w:tab w:val="left" w:pos="8360"/>
        </w:tabs>
        <w:spacing w:line="420" w:lineRule="exact"/>
        <w:rPr>
          <w:rFonts w:hint="default" w:cs="宋体" w:asciiTheme="majorEastAsia" w:hAnsiTheme="majorEastAsia" w:eastAsiaTheme="majorEastAsia"/>
          <w:color w:val="auto"/>
          <w:sz w:val="36"/>
          <w:szCs w:val="36"/>
          <w:lang w:val="en-GB"/>
        </w:rPr>
      </w:pPr>
    </w:p>
    <w:p>
      <w:pPr>
        <w:pStyle w:val="13"/>
        <w:tabs>
          <w:tab w:val="left" w:pos="8360"/>
        </w:tabs>
        <w:spacing w:line="420" w:lineRule="exact"/>
        <w:rPr>
          <w:rFonts w:hint="default" w:cs="宋体" w:asciiTheme="majorEastAsia" w:hAnsiTheme="majorEastAsia" w:eastAsiaTheme="majorEastAsia"/>
          <w:color w:val="auto"/>
          <w:sz w:val="36"/>
          <w:szCs w:val="36"/>
          <w:lang w:val="en-GB"/>
        </w:rPr>
      </w:pPr>
    </w:p>
    <w:p>
      <w:pPr>
        <w:pStyle w:val="13"/>
        <w:tabs>
          <w:tab w:val="left" w:pos="8360"/>
        </w:tabs>
        <w:spacing w:line="420" w:lineRule="exact"/>
        <w:rPr>
          <w:rFonts w:hint="default" w:cs="宋体" w:asciiTheme="majorEastAsia" w:hAnsiTheme="majorEastAsia" w:eastAsiaTheme="majorEastAsia"/>
          <w:color w:val="auto"/>
          <w:sz w:val="36"/>
          <w:szCs w:val="36"/>
          <w:lang w:val="en-GB"/>
        </w:rPr>
      </w:pPr>
    </w:p>
    <w:p>
      <w:pPr>
        <w:pStyle w:val="13"/>
        <w:tabs>
          <w:tab w:val="left" w:pos="8360"/>
        </w:tabs>
        <w:spacing w:line="420" w:lineRule="exact"/>
        <w:rPr>
          <w:rFonts w:hint="default" w:cs="宋体" w:asciiTheme="majorEastAsia" w:hAnsiTheme="majorEastAsia" w:eastAsiaTheme="majorEastAsia"/>
          <w:color w:val="auto"/>
          <w:sz w:val="36"/>
          <w:szCs w:val="36"/>
          <w:lang w:val="en-GB"/>
        </w:rPr>
      </w:pPr>
    </w:p>
    <w:p>
      <w:pPr>
        <w:pStyle w:val="13"/>
        <w:tabs>
          <w:tab w:val="left" w:pos="8360"/>
        </w:tabs>
        <w:spacing w:line="420" w:lineRule="exact"/>
        <w:rPr>
          <w:rFonts w:hint="default" w:cs="宋体" w:asciiTheme="majorEastAsia" w:hAnsiTheme="majorEastAsia" w:eastAsiaTheme="majorEastAsia"/>
          <w:color w:val="auto"/>
          <w:sz w:val="36"/>
          <w:szCs w:val="36"/>
          <w:lang w:val="en-GB"/>
        </w:rPr>
      </w:pPr>
    </w:p>
    <w:p>
      <w:pPr>
        <w:pStyle w:val="13"/>
        <w:tabs>
          <w:tab w:val="left" w:pos="8360"/>
        </w:tabs>
        <w:spacing w:line="420" w:lineRule="exact"/>
        <w:jc w:val="center"/>
        <w:rPr>
          <w:rFonts w:hint="default" w:cs="宋体" w:asciiTheme="majorEastAsia" w:hAnsiTheme="majorEastAsia" w:eastAsiaTheme="majorEastAsia"/>
          <w:color w:val="auto"/>
          <w:sz w:val="36"/>
          <w:szCs w:val="36"/>
          <w:lang w:val="en-GB"/>
        </w:rPr>
      </w:pPr>
      <w:bookmarkStart w:id="537" w:name="_Toc332494216"/>
      <w:bookmarkStart w:id="538" w:name="_Toc13507840"/>
      <w:r>
        <w:rPr>
          <w:rFonts w:cs="宋体" w:asciiTheme="majorEastAsia" w:hAnsiTheme="majorEastAsia" w:eastAsiaTheme="majorEastAsia"/>
          <w:color w:val="auto"/>
          <w:sz w:val="36"/>
          <w:szCs w:val="36"/>
          <w:lang w:val="en-GB"/>
        </w:rPr>
        <w:t>第五章</w:t>
      </w:r>
      <w:bookmarkEnd w:id="537"/>
      <w:r>
        <w:rPr>
          <w:rFonts w:cs="宋体" w:asciiTheme="majorEastAsia" w:hAnsiTheme="majorEastAsia" w:eastAsiaTheme="majorEastAsia"/>
          <w:color w:val="auto"/>
          <w:sz w:val="36"/>
          <w:szCs w:val="36"/>
          <w:lang w:val="en-GB"/>
        </w:rPr>
        <w:t xml:space="preserve"> 响应文件的格式</w:t>
      </w:r>
      <w:bookmarkEnd w:id="538"/>
    </w:p>
    <w:p>
      <w:pPr>
        <w:pStyle w:val="13"/>
        <w:spacing w:line="400" w:lineRule="atLeast"/>
        <w:jc w:val="center"/>
        <w:rPr>
          <w:rFonts w:hint="default" w:asciiTheme="majorEastAsia" w:hAnsiTheme="majorEastAsia" w:eastAsiaTheme="majorEastAsia"/>
          <w:bCs/>
          <w:color w:val="auto"/>
          <w:sz w:val="80"/>
          <w:szCs w:val="80"/>
        </w:rPr>
      </w:pPr>
      <w:bookmarkStart w:id="539" w:name="_Toc332494217"/>
    </w:p>
    <w:p>
      <w:pPr>
        <w:pStyle w:val="13"/>
        <w:spacing w:line="400" w:lineRule="atLeast"/>
        <w:jc w:val="center"/>
        <w:rPr>
          <w:rFonts w:hint="default" w:asciiTheme="majorEastAsia" w:hAnsiTheme="majorEastAsia" w:eastAsiaTheme="majorEastAsia"/>
          <w:bCs/>
          <w:color w:val="auto"/>
          <w:sz w:val="80"/>
          <w:szCs w:val="80"/>
        </w:rPr>
      </w:pPr>
    </w:p>
    <w:p>
      <w:pPr>
        <w:pStyle w:val="13"/>
        <w:spacing w:line="400" w:lineRule="atLeast"/>
        <w:jc w:val="center"/>
        <w:rPr>
          <w:rFonts w:hint="default" w:asciiTheme="majorEastAsia" w:hAnsiTheme="majorEastAsia" w:eastAsiaTheme="majorEastAsia"/>
          <w:bCs/>
          <w:color w:val="auto"/>
          <w:sz w:val="80"/>
          <w:szCs w:val="80"/>
        </w:rPr>
      </w:pPr>
    </w:p>
    <w:p>
      <w:pPr>
        <w:pStyle w:val="13"/>
        <w:spacing w:line="400" w:lineRule="atLeast"/>
        <w:jc w:val="center"/>
        <w:rPr>
          <w:rFonts w:hint="default" w:asciiTheme="majorEastAsia" w:hAnsiTheme="majorEastAsia" w:eastAsiaTheme="majorEastAsia"/>
          <w:bCs/>
          <w:color w:val="auto"/>
          <w:sz w:val="80"/>
          <w:szCs w:val="80"/>
        </w:rPr>
      </w:pPr>
    </w:p>
    <w:p>
      <w:pPr>
        <w:pStyle w:val="13"/>
        <w:spacing w:line="400" w:lineRule="atLeast"/>
        <w:jc w:val="center"/>
        <w:rPr>
          <w:rFonts w:hint="default" w:asciiTheme="majorEastAsia" w:hAnsiTheme="majorEastAsia" w:eastAsiaTheme="majorEastAsia"/>
          <w:bCs/>
          <w:color w:val="auto"/>
          <w:sz w:val="80"/>
          <w:szCs w:val="80"/>
        </w:rPr>
      </w:pPr>
    </w:p>
    <w:p>
      <w:pPr>
        <w:pStyle w:val="13"/>
        <w:spacing w:line="400" w:lineRule="atLeast"/>
        <w:jc w:val="center"/>
        <w:rPr>
          <w:rFonts w:hint="default" w:asciiTheme="majorEastAsia" w:hAnsiTheme="majorEastAsia" w:eastAsiaTheme="majorEastAsia"/>
          <w:bCs/>
          <w:color w:val="auto"/>
          <w:sz w:val="80"/>
          <w:szCs w:val="80"/>
        </w:rPr>
      </w:pPr>
    </w:p>
    <w:p>
      <w:pPr>
        <w:pStyle w:val="13"/>
        <w:spacing w:line="400" w:lineRule="atLeast"/>
        <w:jc w:val="center"/>
        <w:rPr>
          <w:rFonts w:asciiTheme="majorEastAsia" w:hAnsiTheme="majorEastAsia" w:eastAsiaTheme="majorEastAsia"/>
          <w:bCs/>
          <w:color w:val="auto"/>
          <w:sz w:val="80"/>
          <w:szCs w:val="80"/>
        </w:rPr>
      </w:pPr>
    </w:p>
    <w:p>
      <w:pPr>
        <w:pStyle w:val="13"/>
        <w:spacing w:line="400" w:lineRule="atLeast"/>
        <w:jc w:val="center"/>
        <w:rPr>
          <w:rFonts w:hint="default" w:asciiTheme="majorEastAsia" w:hAnsiTheme="majorEastAsia" w:eastAsiaTheme="majorEastAsia"/>
          <w:bCs/>
          <w:color w:val="auto"/>
          <w:sz w:val="80"/>
          <w:szCs w:val="80"/>
        </w:rPr>
      </w:pPr>
      <w:r>
        <w:rPr>
          <w:rFonts w:asciiTheme="majorEastAsia" w:hAnsiTheme="majorEastAsia" w:eastAsiaTheme="majorEastAsia"/>
          <w:bCs/>
          <w:color w:val="auto"/>
          <w:sz w:val="80"/>
          <w:szCs w:val="80"/>
        </w:rPr>
        <w:t>竞争性磋商响应文件</w:t>
      </w:r>
    </w:p>
    <w:p>
      <w:pPr>
        <w:jc w:val="center"/>
        <w:rPr>
          <w:rFonts w:asciiTheme="majorEastAsia" w:hAnsiTheme="majorEastAsia" w:eastAsiaTheme="majorEastAsia"/>
          <w:b/>
          <w:bCs/>
          <w:color w:val="auto"/>
        </w:rPr>
      </w:pPr>
      <w:r>
        <w:rPr>
          <w:rFonts w:hint="eastAsia" w:asciiTheme="majorEastAsia" w:hAnsiTheme="majorEastAsia" w:eastAsiaTheme="majorEastAsia"/>
          <w:b/>
          <w:bCs/>
          <w:color w:val="auto"/>
        </w:rPr>
        <w:t xml:space="preserve"> </w:t>
      </w:r>
    </w:p>
    <w:p>
      <w:pPr>
        <w:jc w:val="center"/>
        <w:rPr>
          <w:rFonts w:asciiTheme="majorEastAsia" w:hAnsiTheme="majorEastAsia" w:eastAsiaTheme="majorEastAsia"/>
          <w:b/>
          <w:bCs/>
          <w:color w:val="auto"/>
        </w:rPr>
      </w:pPr>
    </w:p>
    <w:p>
      <w:pPr>
        <w:rPr>
          <w:rFonts w:asciiTheme="majorEastAsia" w:hAnsiTheme="majorEastAsia" w:eastAsiaTheme="majorEastAsia"/>
          <w:color w:val="auto"/>
        </w:rPr>
      </w:pPr>
    </w:p>
    <w:p>
      <w:pPr>
        <w:rPr>
          <w:rFonts w:asciiTheme="majorEastAsia" w:hAnsiTheme="majorEastAsia" w:eastAsiaTheme="majorEastAsia"/>
          <w:color w:val="auto"/>
        </w:rPr>
      </w:pPr>
    </w:p>
    <w:p>
      <w:pPr>
        <w:spacing w:before="315" w:beforeLines="100"/>
        <w:rPr>
          <w:rFonts w:asciiTheme="majorEastAsia" w:hAnsiTheme="majorEastAsia" w:eastAsiaTheme="majorEastAsia"/>
          <w:b/>
          <w:color w:val="auto"/>
          <w:sz w:val="32"/>
          <w:szCs w:val="32"/>
        </w:rPr>
      </w:pPr>
      <w:r>
        <w:rPr>
          <w:rFonts w:hint="eastAsia" w:asciiTheme="majorEastAsia" w:hAnsiTheme="majorEastAsia" w:eastAsiaTheme="majorEastAsia"/>
          <w:b/>
          <w:color w:val="auto"/>
          <w:sz w:val="32"/>
          <w:szCs w:val="32"/>
        </w:rPr>
        <w:t>项目名称：</w:t>
      </w:r>
      <w:r>
        <w:rPr>
          <w:rFonts w:asciiTheme="majorEastAsia" w:hAnsiTheme="majorEastAsia" w:eastAsiaTheme="majorEastAsia"/>
          <w:b/>
          <w:color w:val="auto"/>
          <w:sz w:val="32"/>
          <w:szCs w:val="32"/>
        </w:rPr>
        <w:t xml:space="preserve"> </w:t>
      </w:r>
    </w:p>
    <w:p>
      <w:pPr>
        <w:spacing w:before="315" w:beforeLines="100"/>
        <w:rPr>
          <w:rFonts w:asciiTheme="majorEastAsia" w:hAnsiTheme="majorEastAsia" w:eastAsiaTheme="majorEastAsia"/>
          <w:b/>
          <w:color w:val="auto"/>
          <w:sz w:val="32"/>
          <w:szCs w:val="32"/>
        </w:rPr>
      </w:pPr>
      <w:r>
        <w:rPr>
          <w:rFonts w:hint="eastAsia" w:asciiTheme="majorEastAsia" w:hAnsiTheme="majorEastAsia" w:eastAsiaTheme="majorEastAsia"/>
          <w:b/>
          <w:color w:val="auto"/>
          <w:sz w:val="32"/>
          <w:szCs w:val="32"/>
        </w:rPr>
        <w:t>项目编号：</w:t>
      </w:r>
    </w:p>
    <w:p>
      <w:pPr>
        <w:spacing w:before="315" w:beforeLines="100"/>
        <w:rPr>
          <w:rFonts w:asciiTheme="majorEastAsia" w:hAnsiTheme="majorEastAsia" w:eastAsiaTheme="majorEastAsia"/>
          <w:b/>
          <w:color w:val="auto"/>
          <w:sz w:val="32"/>
          <w:szCs w:val="32"/>
        </w:rPr>
      </w:pPr>
    </w:p>
    <w:p>
      <w:pPr>
        <w:spacing w:before="315" w:beforeLines="100"/>
        <w:jc w:val="center"/>
        <w:rPr>
          <w:rFonts w:asciiTheme="majorEastAsia" w:hAnsiTheme="majorEastAsia" w:eastAsiaTheme="majorEastAsia"/>
          <w:b/>
          <w:color w:val="auto"/>
          <w:sz w:val="32"/>
          <w:szCs w:val="32"/>
        </w:rPr>
      </w:pPr>
    </w:p>
    <w:p>
      <w:pPr>
        <w:spacing w:before="315" w:beforeLines="100"/>
        <w:ind w:firstLine="1430" w:firstLineChars="445"/>
        <w:rPr>
          <w:rFonts w:asciiTheme="majorEastAsia" w:hAnsiTheme="majorEastAsia" w:eastAsiaTheme="majorEastAsia"/>
          <w:b/>
          <w:color w:val="auto"/>
          <w:sz w:val="32"/>
          <w:szCs w:val="32"/>
          <w:u w:val="single"/>
        </w:rPr>
      </w:pPr>
      <w:r>
        <w:rPr>
          <w:rFonts w:hint="eastAsia" w:asciiTheme="majorEastAsia" w:hAnsiTheme="majorEastAsia" w:eastAsiaTheme="majorEastAsia"/>
          <w:b/>
          <w:color w:val="auto"/>
          <w:sz w:val="32"/>
          <w:szCs w:val="32"/>
        </w:rPr>
        <w:t xml:space="preserve">投标人名称（加盖单位公章）：________________  </w:t>
      </w:r>
      <w:r>
        <w:rPr>
          <w:rFonts w:hint="eastAsia" w:asciiTheme="majorEastAsia" w:hAnsiTheme="majorEastAsia" w:eastAsiaTheme="majorEastAsia"/>
          <w:b/>
          <w:color w:val="auto"/>
          <w:sz w:val="32"/>
          <w:szCs w:val="32"/>
          <w:u w:val="single"/>
        </w:rPr>
        <w:t xml:space="preserve"> </w:t>
      </w:r>
    </w:p>
    <w:p>
      <w:pPr>
        <w:spacing w:before="315" w:beforeLines="100"/>
        <w:ind w:firstLine="1430" w:firstLineChars="445"/>
        <w:rPr>
          <w:rFonts w:asciiTheme="majorEastAsia" w:hAnsiTheme="majorEastAsia" w:eastAsiaTheme="majorEastAsia"/>
          <w:b/>
          <w:color w:val="auto"/>
          <w:sz w:val="32"/>
          <w:szCs w:val="32"/>
          <w:u w:val="single"/>
        </w:rPr>
      </w:pPr>
    </w:p>
    <w:p>
      <w:pPr>
        <w:spacing w:before="315" w:beforeLines="100"/>
        <w:ind w:firstLine="2715" w:firstLineChars="845"/>
        <w:rPr>
          <w:rFonts w:asciiTheme="majorEastAsia" w:hAnsiTheme="majorEastAsia" w:eastAsiaTheme="majorEastAsia"/>
          <w:b/>
          <w:color w:val="auto"/>
          <w:sz w:val="32"/>
          <w:szCs w:val="32"/>
        </w:rPr>
      </w:pPr>
      <w:r>
        <w:rPr>
          <w:rFonts w:hint="eastAsia" w:asciiTheme="majorEastAsia" w:hAnsiTheme="majorEastAsia" w:eastAsiaTheme="majorEastAsia"/>
          <w:b/>
          <w:color w:val="auto"/>
          <w:sz w:val="32"/>
          <w:szCs w:val="32"/>
        </w:rPr>
        <w:t>日期：年   月  日</w:t>
      </w:r>
    </w:p>
    <w:p>
      <w:pPr>
        <w:spacing w:before="315" w:beforeLines="100"/>
        <w:ind w:firstLine="1430" w:firstLineChars="445"/>
        <w:rPr>
          <w:rFonts w:asciiTheme="majorEastAsia" w:hAnsiTheme="majorEastAsia" w:eastAsiaTheme="majorEastAsia"/>
          <w:b/>
          <w:color w:val="auto"/>
          <w:sz w:val="32"/>
          <w:szCs w:val="32"/>
          <w:u w:val="single"/>
        </w:rPr>
      </w:pPr>
    </w:p>
    <w:p>
      <w:pPr>
        <w:spacing w:before="315" w:beforeLines="100"/>
        <w:ind w:firstLine="1430" w:firstLineChars="445"/>
        <w:rPr>
          <w:rFonts w:asciiTheme="majorEastAsia" w:hAnsiTheme="majorEastAsia" w:eastAsiaTheme="majorEastAsia"/>
          <w:b/>
          <w:color w:val="auto"/>
          <w:sz w:val="32"/>
          <w:szCs w:val="32"/>
          <w:u w:val="single"/>
        </w:rPr>
      </w:pPr>
    </w:p>
    <w:p>
      <w:pPr>
        <w:spacing w:before="315" w:beforeLines="100"/>
        <w:ind w:firstLine="1430" w:firstLineChars="445"/>
        <w:rPr>
          <w:rFonts w:asciiTheme="majorEastAsia" w:hAnsiTheme="majorEastAsia" w:eastAsiaTheme="majorEastAsia"/>
          <w:b/>
          <w:color w:val="auto"/>
          <w:sz w:val="32"/>
          <w:szCs w:val="32"/>
          <w:u w:val="single"/>
        </w:rPr>
      </w:pPr>
    </w:p>
    <w:p>
      <w:pPr>
        <w:spacing w:before="315" w:beforeLines="100"/>
        <w:ind w:firstLine="1430" w:firstLineChars="445"/>
        <w:rPr>
          <w:rFonts w:asciiTheme="majorEastAsia" w:hAnsiTheme="majorEastAsia" w:eastAsiaTheme="majorEastAsia"/>
          <w:b/>
          <w:color w:val="auto"/>
          <w:sz w:val="32"/>
          <w:szCs w:val="32"/>
          <w:u w:val="single"/>
        </w:rPr>
      </w:pPr>
    </w:p>
    <w:p>
      <w:pPr>
        <w:spacing w:before="315" w:beforeLines="100"/>
        <w:rPr>
          <w:rFonts w:asciiTheme="majorEastAsia" w:hAnsiTheme="majorEastAsia" w:eastAsiaTheme="majorEastAsia"/>
          <w:b/>
          <w:color w:val="auto"/>
          <w:sz w:val="32"/>
          <w:szCs w:val="32"/>
          <w:u w:val="single"/>
        </w:rPr>
      </w:pPr>
    </w:p>
    <w:p>
      <w:pPr>
        <w:spacing w:before="315" w:beforeLines="100"/>
        <w:ind w:firstLine="1430" w:firstLineChars="445"/>
        <w:rPr>
          <w:rFonts w:asciiTheme="majorEastAsia" w:hAnsiTheme="majorEastAsia" w:eastAsiaTheme="majorEastAsia"/>
          <w:b/>
          <w:color w:val="auto"/>
          <w:sz w:val="32"/>
          <w:szCs w:val="32"/>
          <w:u w:val="single"/>
        </w:rPr>
      </w:pPr>
    </w:p>
    <w:p>
      <w:pPr>
        <w:jc w:val="center"/>
        <w:rPr>
          <w:rFonts w:asciiTheme="majorEastAsia" w:hAnsiTheme="majorEastAsia" w:eastAsiaTheme="majorEastAsia"/>
          <w:color w:val="auto"/>
          <w:sz w:val="44"/>
          <w:szCs w:val="44"/>
        </w:rPr>
      </w:pPr>
      <w:r>
        <w:rPr>
          <w:rFonts w:hint="eastAsia" w:asciiTheme="majorEastAsia" w:hAnsiTheme="majorEastAsia" w:eastAsiaTheme="majorEastAsia"/>
          <w:color w:val="auto"/>
          <w:sz w:val="44"/>
          <w:szCs w:val="44"/>
        </w:rPr>
        <w:t>目录</w:t>
      </w:r>
    </w:p>
    <w:p>
      <w:pPr>
        <w:rPr>
          <w:rFonts w:asciiTheme="majorEastAsia" w:hAnsiTheme="majorEastAsia" w:eastAsiaTheme="majorEastAsia"/>
          <w:color w:val="auto"/>
        </w:rPr>
      </w:pPr>
    </w:p>
    <w:p>
      <w:pPr>
        <w:rPr>
          <w:rFonts w:asciiTheme="majorEastAsia" w:hAnsiTheme="majorEastAsia" w:eastAsiaTheme="majorEastAsia"/>
          <w:color w:val="auto"/>
        </w:rPr>
      </w:pPr>
      <w:r>
        <w:rPr>
          <w:rFonts w:hint="eastAsia" w:asciiTheme="majorEastAsia" w:hAnsiTheme="majorEastAsia" w:eastAsiaTheme="majorEastAsia"/>
          <w:color w:val="auto"/>
        </w:rPr>
        <w:t>1、竞争性磋商响应函</w:t>
      </w:r>
    </w:p>
    <w:p>
      <w:pPr>
        <w:rPr>
          <w:rFonts w:asciiTheme="majorEastAsia" w:hAnsiTheme="majorEastAsia" w:eastAsiaTheme="majorEastAsia"/>
          <w:color w:val="auto"/>
        </w:rPr>
      </w:pPr>
      <w:r>
        <w:rPr>
          <w:rFonts w:asciiTheme="majorEastAsia" w:hAnsiTheme="majorEastAsia" w:eastAsiaTheme="majorEastAsia"/>
          <w:color w:val="auto"/>
        </w:rPr>
        <w:t>2</w:t>
      </w:r>
      <w:r>
        <w:rPr>
          <w:rFonts w:hint="eastAsia" w:asciiTheme="majorEastAsia" w:hAnsiTheme="majorEastAsia" w:eastAsiaTheme="majorEastAsia"/>
          <w:color w:val="auto"/>
        </w:rPr>
        <w:t>、</w:t>
      </w:r>
      <w:r>
        <w:rPr>
          <w:rFonts w:asciiTheme="majorEastAsia" w:hAnsiTheme="majorEastAsia" w:eastAsiaTheme="majorEastAsia"/>
          <w:color w:val="auto"/>
        </w:rPr>
        <w:t>开标一览表</w:t>
      </w:r>
    </w:p>
    <w:p>
      <w:pPr>
        <w:rPr>
          <w:rFonts w:cs="宋体" w:asciiTheme="majorEastAsia" w:hAnsiTheme="majorEastAsia" w:eastAsiaTheme="majorEastAsia"/>
          <w:bCs/>
          <w:color w:val="auto"/>
        </w:rPr>
      </w:pPr>
      <w:r>
        <w:rPr>
          <w:rFonts w:hint="eastAsia" w:cs="宋体" w:asciiTheme="majorEastAsia" w:hAnsiTheme="majorEastAsia" w:eastAsiaTheme="majorEastAsia"/>
          <w:bCs/>
          <w:color w:val="auto"/>
        </w:rPr>
        <w:t>3、投标人的资格证明文件</w:t>
      </w:r>
    </w:p>
    <w:p>
      <w:pPr>
        <w:rPr>
          <w:rFonts w:cs="宋体" w:asciiTheme="majorEastAsia" w:hAnsiTheme="majorEastAsia" w:eastAsiaTheme="majorEastAsia"/>
          <w:bCs/>
          <w:color w:val="auto"/>
        </w:rPr>
      </w:pPr>
      <w:r>
        <w:rPr>
          <w:rFonts w:hint="eastAsia" w:cs="宋体" w:asciiTheme="majorEastAsia" w:hAnsiTheme="majorEastAsia" w:eastAsiaTheme="majorEastAsia"/>
          <w:bCs/>
          <w:color w:val="auto"/>
        </w:rPr>
        <w:t>4、其他材料</w:t>
      </w:r>
    </w:p>
    <w:p>
      <w:pPr>
        <w:spacing w:before="315" w:beforeLines="100"/>
        <w:jc w:val="center"/>
        <w:rPr>
          <w:rFonts w:asciiTheme="majorEastAsia" w:hAnsiTheme="majorEastAsia" w:eastAsiaTheme="majorEastAsia"/>
          <w:b/>
          <w:color w:val="auto"/>
          <w:sz w:val="30"/>
          <w:szCs w:val="30"/>
          <w:u w:val="single"/>
        </w:rPr>
      </w:pPr>
      <w:r>
        <w:rPr>
          <w:rFonts w:asciiTheme="majorEastAsia" w:hAnsiTheme="majorEastAsia" w:eastAsiaTheme="majorEastAsia"/>
          <w:color w:val="auto"/>
          <w:sz w:val="36"/>
        </w:rPr>
        <w:br w:type="page"/>
      </w:r>
      <w:r>
        <w:rPr>
          <w:rFonts w:hint="eastAsia" w:asciiTheme="majorEastAsia" w:hAnsiTheme="majorEastAsia" w:eastAsiaTheme="majorEastAsia"/>
          <w:color w:val="auto"/>
          <w:sz w:val="30"/>
          <w:szCs w:val="30"/>
        </w:rPr>
        <w:t>1、竞争性磋商响应函</w:t>
      </w:r>
      <w:bookmarkEnd w:id="539"/>
    </w:p>
    <w:p>
      <w:pPr>
        <w:spacing w:line="400" w:lineRule="exact"/>
        <w:ind w:firstLine="540"/>
        <w:rPr>
          <w:rFonts w:asciiTheme="majorEastAsia" w:hAnsiTheme="majorEastAsia" w:eastAsiaTheme="majorEastAsia"/>
          <w:color w:val="auto"/>
        </w:rPr>
      </w:pPr>
      <w:r>
        <w:rPr>
          <w:rFonts w:hint="eastAsia" w:asciiTheme="majorEastAsia" w:hAnsiTheme="majorEastAsia" w:eastAsiaTheme="majorEastAsia"/>
          <w:color w:val="auto"/>
        </w:rPr>
        <w:t>致 ：（采购单位）</w:t>
      </w:r>
    </w:p>
    <w:p>
      <w:pPr>
        <w:spacing w:line="400" w:lineRule="exact"/>
        <w:ind w:firstLine="540"/>
        <w:rPr>
          <w:rFonts w:asciiTheme="majorEastAsia" w:hAnsiTheme="majorEastAsia" w:eastAsiaTheme="majorEastAsia"/>
          <w:color w:val="auto"/>
          <w:kern w:val="2"/>
        </w:rPr>
      </w:pPr>
      <w:r>
        <w:rPr>
          <w:rFonts w:hint="eastAsia" w:asciiTheme="majorEastAsia" w:hAnsiTheme="majorEastAsia" w:eastAsiaTheme="majorEastAsia"/>
          <w:color w:val="auto"/>
          <w:u w:val="none"/>
        </w:rPr>
        <w:t xml:space="preserve"> _______________________</w:t>
      </w:r>
      <w:r>
        <w:rPr>
          <w:rFonts w:hint="eastAsia" w:asciiTheme="majorEastAsia" w:hAnsiTheme="majorEastAsia" w:eastAsiaTheme="majorEastAsia"/>
          <w:color w:val="auto"/>
        </w:rPr>
        <w:t>(投标人单位全称)授权___________________ (全权代表姓名)为全权代表，参加贵方组织的招标有关活动，并对</w:t>
      </w:r>
      <w:r>
        <w:rPr>
          <w:rFonts w:hint="eastAsia" w:ascii="宋体" w:hAnsi="宋体" w:eastAsia="宋体"/>
          <w:sz w:val="24"/>
          <w:u w:val="single"/>
        </w:rPr>
        <w:t>临高县皇桐镇古银瀑布绿化项目</w:t>
      </w:r>
      <w:r>
        <w:rPr>
          <w:rFonts w:hint="eastAsia" w:asciiTheme="majorEastAsia" w:hAnsiTheme="majorEastAsia" w:eastAsiaTheme="majorEastAsia"/>
          <w:color w:val="auto"/>
        </w:rPr>
        <w:t>进行磋商。为此，我方声明如下：</w:t>
      </w:r>
    </w:p>
    <w:p>
      <w:pPr>
        <w:spacing w:line="400" w:lineRule="exact"/>
        <w:ind w:firstLine="540"/>
        <w:rPr>
          <w:rFonts w:asciiTheme="majorEastAsia" w:hAnsiTheme="majorEastAsia" w:eastAsiaTheme="majorEastAsia"/>
          <w:color w:val="auto"/>
        </w:rPr>
      </w:pPr>
      <w:r>
        <w:rPr>
          <w:rFonts w:hint="eastAsia" w:asciiTheme="majorEastAsia" w:hAnsiTheme="majorEastAsia" w:eastAsiaTheme="majorEastAsia"/>
          <w:color w:val="auto"/>
        </w:rPr>
        <w:t>1.同意并接受竞争性磋商文件的各项要求，遵守竞争性磋商文件中的各项规定，按竞争性磋商文件的要求提供报价。</w:t>
      </w:r>
    </w:p>
    <w:p>
      <w:pPr>
        <w:spacing w:line="400" w:lineRule="exact"/>
        <w:ind w:firstLine="540"/>
        <w:rPr>
          <w:rFonts w:asciiTheme="majorEastAsia" w:hAnsiTheme="majorEastAsia" w:eastAsiaTheme="majorEastAsia"/>
          <w:color w:val="auto"/>
        </w:rPr>
      </w:pPr>
      <w:r>
        <w:rPr>
          <w:rFonts w:hint="eastAsia" w:asciiTheme="majorEastAsia" w:hAnsiTheme="majorEastAsia" w:eastAsiaTheme="majorEastAsia"/>
          <w:color w:val="auto"/>
        </w:rPr>
        <w:t>2.磋商有效期为递交响应文件截止之日起</w:t>
      </w:r>
      <w:r>
        <w:rPr>
          <w:rFonts w:hint="eastAsia" w:asciiTheme="majorEastAsia" w:hAnsiTheme="majorEastAsia" w:eastAsiaTheme="majorEastAsia"/>
          <w:color w:val="auto"/>
          <w:u w:val="single"/>
        </w:rPr>
        <w:t>60天</w:t>
      </w:r>
      <w:r>
        <w:rPr>
          <w:rFonts w:hint="eastAsia" w:asciiTheme="majorEastAsia" w:hAnsiTheme="majorEastAsia" w:eastAsiaTheme="majorEastAsia"/>
          <w:color w:val="auto"/>
        </w:rPr>
        <w:t>，成交投标人磋商有效期延至合同签订之日。</w:t>
      </w:r>
    </w:p>
    <w:p>
      <w:pPr>
        <w:spacing w:line="400" w:lineRule="exact"/>
        <w:ind w:firstLine="540"/>
        <w:rPr>
          <w:rFonts w:asciiTheme="majorEastAsia" w:hAnsiTheme="majorEastAsia" w:eastAsiaTheme="majorEastAsia"/>
          <w:color w:val="auto"/>
          <w:u w:val="single"/>
        </w:rPr>
      </w:pPr>
      <w:r>
        <w:rPr>
          <w:rFonts w:hint="eastAsia" w:asciiTheme="majorEastAsia" w:hAnsiTheme="majorEastAsia" w:eastAsiaTheme="majorEastAsia"/>
          <w:color w:val="auto"/>
        </w:rPr>
        <w:t>3. 服务期：</w:t>
      </w:r>
    </w:p>
    <w:p>
      <w:pPr>
        <w:spacing w:line="400" w:lineRule="exact"/>
        <w:ind w:firstLine="540"/>
        <w:rPr>
          <w:rFonts w:asciiTheme="majorEastAsia" w:hAnsiTheme="majorEastAsia" w:eastAsiaTheme="majorEastAsia"/>
          <w:color w:val="auto"/>
        </w:rPr>
      </w:pPr>
      <w:r>
        <w:rPr>
          <w:rFonts w:hint="eastAsia" w:asciiTheme="majorEastAsia" w:hAnsiTheme="majorEastAsia" w:eastAsiaTheme="majorEastAsia"/>
          <w:color w:val="auto"/>
        </w:rPr>
        <w:t xml:space="preserve"> 4.我方已经详细地阅读了全部竞争性磋商文件及其附件，包括澄清及参考文件(如果有的话)。我方已完全清晰理解竞争性磋商文件的要求，不存在任何含糊不清和误解之处，同意放弃对这些文件所提出的异议和质疑的权利。</w:t>
      </w:r>
    </w:p>
    <w:p>
      <w:pPr>
        <w:spacing w:line="400" w:lineRule="exact"/>
        <w:ind w:firstLine="540"/>
        <w:rPr>
          <w:rFonts w:asciiTheme="majorEastAsia" w:hAnsiTheme="majorEastAsia" w:eastAsiaTheme="majorEastAsia"/>
          <w:color w:val="auto"/>
        </w:rPr>
      </w:pPr>
      <w:r>
        <w:rPr>
          <w:rFonts w:hint="eastAsia" w:asciiTheme="majorEastAsia" w:hAnsiTheme="majorEastAsia" w:eastAsiaTheme="majorEastAsia"/>
          <w:color w:val="auto"/>
        </w:rPr>
        <w:t>5.我方已毫无保留地向贵方提供一切所需的证明材料。</w:t>
      </w:r>
    </w:p>
    <w:p>
      <w:pPr>
        <w:spacing w:line="400" w:lineRule="exact"/>
        <w:ind w:firstLine="540"/>
        <w:rPr>
          <w:rFonts w:asciiTheme="majorEastAsia" w:hAnsiTheme="majorEastAsia" w:eastAsiaTheme="majorEastAsia"/>
          <w:color w:val="auto"/>
        </w:rPr>
      </w:pPr>
      <w:r>
        <w:rPr>
          <w:rFonts w:hint="eastAsia" w:asciiTheme="majorEastAsia" w:hAnsiTheme="majorEastAsia" w:eastAsiaTheme="majorEastAsia"/>
          <w:color w:val="auto"/>
        </w:rPr>
        <w:t>6.我方承诺在本次竞争性磋商响应中提供的一切文件，无论是原件还是复印件均为真实和准确的，绝无任何虚假、伪造和夸大的成份，否则，愿承担相应的后果和法律责任。</w:t>
      </w:r>
    </w:p>
    <w:p>
      <w:pPr>
        <w:spacing w:line="400" w:lineRule="exact"/>
        <w:ind w:firstLine="540"/>
        <w:rPr>
          <w:rFonts w:asciiTheme="majorEastAsia" w:hAnsiTheme="majorEastAsia" w:eastAsiaTheme="majorEastAsia"/>
          <w:color w:val="auto"/>
        </w:rPr>
      </w:pPr>
      <w:r>
        <w:rPr>
          <w:rFonts w:hint="eastAsia" w:asciiTheme="majorEastAsia" w:hAnsiTheme="majorEastAsia" w:eastAsiaTheme="majorEastAsia"/>
          <w:color w:val="auto"/>
        </w:rPr>
        <w:t>7.我方完全服从和尊重评委会所作的评定结果，同时清楚理解到报价最低并非意味着必定获得成交资格。</w:t>
      </w:r>
    </w:p>
    <w:p>
      <w:pPr>
        <w:spacing w:line="400" w:lineRule="exact"/>
        <w:ind w:firstLine="540"/>
        <w:rPr>
          <w:rFonts w:asciiTheme="majorEastAsia" w:hAnsiTheme="majorEastAsia" w:eastAsiaTheme="majorEastAsia"/>
          <w:color w:val="auto"/>
        </w:rPr>
      </w:pPr>
      <w:r>
        <w:rPr>
          <w:rFonts w:hint="eastAsia" w:asciiTheme="majorEastAsia" w:hAnsiTheme="majorEastAsia" w:eastAsiaTheme="majorEastAsia"/>
          <w:color w:val="auto"/>
        </w:rPr>
        <w:t>8. 如果我方投标被接受，则至合同履行完成和质量保证期满为止，本投标书保持有效。</w:t>
      </w:r>
    </w:p>
    <w:p>
      <w:pPr>
        <w:autoSpaceDE w:val="0"/>
        <w:autoSpaceDN w:val="0"/>
        <w:spacing w:line="400" w:lineRule="exact"/>
        <w:ind w:right="246"/>
        <w:rPr>
          <w:rFonts w:asciiTheme="majorEastAsia" w:hAnsiTheme="majorEastAsia" w:eastAsiaTheme="majorEastAsia"/>
          <w:color w:val="auto"/>
        </w:rPr>
      </w:pPr>
      <w:r>
        <w:rPr>
          <w:rFonts w:hint="eastAsia" w:asciiTheme="majorEastAsia" w:hAnsiTheme="majorEastAsia" w:eastAsiaTheme="majorEastAsia"/>
          <w:color w:val="auto"/>
        </w:rPr>
        <w:t xml:space="preserve">投标人名称(签章)： </w:t>
      </w:r>
      <w:r>
        <w:rPr>
          <w:rFonts w:hint="eastAsia" w:asciiTheme="majorEastAsia" w:hAnsiTheme="majorEastAsia" w:eastAsiaTheme="majorEastAsia"/>
          <w:color w:val="auto"/>
          <w:u w:val="single"/>
        </w:rPr>
        <w:t xml:space="preserve">                 </w:t>
      </w:r>
    </w:p>
    <w:p>
      <w:pPr>
        <w:spacing w:line="400" w:lineRule="exact"/>
        <w:rPr>
          <w:rFonts w:asciiTheme="majorEastAsia" w:hAnsiTheme="majorEastAsia" w:eastAsiaTheme="majorEastAsia"/>
          <w:color w:val="auto"/>
          <w:u w:val="single"/>
        </w:rPr>
      </w:pPr>
      <w:r>
        <w:rPr>
          <w:rFonts w:hint="eastAsia" w:asciiTheme="majorEastAsia" w:hAnsiTheme="majorEastAsia" w:eastAsiaTheme="majorEastAsia"/>
          <w:color w:val="auto"/>
        </w:rPr>
        <w:t>投标人（法定代表人授权代表）代表签字：</w:t>
      </w:r>
      <w:r>
        <w:rPr>
          <w:rFonts w:hint="eastAsia" w:asciiTheme="majorEastAsia" w:hAnsiTheme="majorEastAsia" w:eastAsiaTheme="majorEastAsia"/>
          <w:color w:val="auto"/>
          <w:u w:val="single"/>
        </w:rPr>
        <w:t xml:space="preserve">             </w:t>
      </w:r>
    </w:p>
    <w:p>
      <w:pPr>
        <w:spacing w:line="400" w:lineRule="exact"/>
        <w:rPr>
          <w:rFonts w:asciiTheme="majorEastAsia" w:hAnsiTheme="majorEastAsia" w:eastAsiaTheme="majorEastAsia"/>
          <w:color w:val="auto"/>
          <w:u w:val="single"/>
        </w:rPr>
      </w:pPr>
      <w:r>
        <w:rPr>
          <w:rFonts w:hint="eastAsia" w:asciiTheme="majorEastAsia" w:hAnsiTheme="majorEastAsia" w:eastAsiaTheme="majorEastAsia"/>
          <w:color w:val="auto"/>
        </w:rPr>
        <w:t>地址：</w:t>
      </w:r>
      <w:r>
        <w:rPr>
          <w:rFonts w:hint="eastAsia" w:asciiTheme="majorEastAsia" w:hAnsiTheme="majorEastAsia" w:eastAsiaTheme="majorEastAsia"/>
          <w:color w:val="auto"/>
          <w:u w:val="single"/>
        </w:rPr>
        <w:t xml:space="preserve">                               </w:t>
      </w:r>
      <w:r>
        <w:rPr>
          <w:rFonts w:hint="eastAsia" w:asciiTheme="majorEastAsia" w:hAnsiTheme="majorEastAsia" w:eastAsiaTheme="majorEastAsia"/>
          <w:color w:val="auto"/>
        </w:rPr>
        <w:t xml:space="preserve">    </w:t>
      </w:r>
    </w:p>
    <w:p>
      <w:pPr>
        <w:autoSpaceDE w:val="0"/>
        <w:autoSpaceDN w:val="0"/>
        <w:spacing w:line="400" w:lineRule="exact"/>
        <w:ind w:right="246"/>
        <w:rPr>
          <w:rFonts w:asciiTheme="majorEastAsia" w:hAnsiTheme="majorEastAsia" w:eastAsiaTheme="majorEastAsia"/>
          <w:color w:val="auto"/>
          <w:u w:val="single"/>
        </w:rPr>
      </w:pPr>
      <w:r>
        <w:rPr>
          <w:rFonts w:hint="eastAsia" w:asciiTheme="majorEastAsia" w:hAnsiTheme="majorEastAsia" w:eastAsiaTheme="majorEastAsia"/>
          <w:color w:val="auto"/>
        </w:rPr>
        <w:t>传真：</w:t>
      </w:r>
      <w:r>
        <w:rPr>
          <w:rFonts w:hint="eastAsia" w:asciiTheme="majorEastAsia" w:hAnsiTheme="majorEastAsia" w:eastAsiaTheme="majorEastAsia"/>
          <w:color w:val="auto"/>
          <w:u w:val="single"/>
        </w:rPr>
        <w:t xml:space="preserve">                               </w:t>
      </w:r>
    </w:p>
    <w:p>
      <w:pPr>
        <w:autoSpaceDE w:val="0"/>
        <w:autoSpaceDN w:val="0"/>
        <w:spacing w:line="400" w:lineRule="exact"/>
        <w:ind w:right="33"/>
        <w:rPr>
          <w:rFonts w:asciiTheme="majorEastAsia" w:hAnsiTheme="majorEastAsia" w:eastAsiaTheme="majorEastAsia"/>
          <w:color w:val="auto"/>
        </w:rPr>
      </w:pPr>
      <w:r>
        <w:rPr>
          <w:rFonts w:hint="eastAsia" w:asciiTheme="majorEastAsia" w:hAnsiTheme="majorEastAsia" w:eastAsiaTheme="majorEastAsia"/>
          <w:color w:val="auto"/>
        </w:rPr>
        <w:t>电话：</w:t>
      </w:r>
    </w:p>
    <w:p>
      <w:pPr>
        <w:autoSpaceDE w:val="0"/>
        <w:autoSpaceDN w:val="0"/>
        <w:spacing w:line="400" w:lineRule="exact"/>
        <w:ind w:right="33"/>
        <w:rPr>
          <w:rFonts w:asciiTheme="majorEastAsia" w:hAnsiTheme="majorEastAsia" w:eastAsiaTheme="majorEastAsia"/>
          <w:color w:val="auto"/>
          <w:u w:val="single"/>
        </w:rPr>
      </w:pPr>
      <w:r>
        <w:rPr>
          <w:rFonts w:hint="eastAsia" w:asciiTheme="majorEastAsia" w:hAnsiTheme="majorEastAsia" w:eastAsiaTheme="majorEastAsia"/>
          <w:color w:val="auto"/>
        </w:rPr>
        <w:t>日期：</w:t>
      </w:r>
    </w:p>
    <w:p>
      <w:pPr>
        <w:spacing w:before="315" w:beforeLines="100"/>
        <w:jc w:val="center"/>
        <w:rPr>
          <w:rFonts w:asciiTheme="majorEastAsia" w:hAnsiTheme="majorEastAsia" w:eastAsiaTheme="majorEastAsia"/>
          <w:color w:val="auto"/>
          <w:sz w:val="30"/>
          <w:szCs w:val="30"/>
        </w:rPr>
      </w:pPr>
      <w:bookmarkStart w:id="540" w:name="_Toc317442052"/>
      <w:r>
        <w:rPr>
          <w:rFonts w:hint="eastAsia" w:asciiTheme="majorEastAsia" w:hAnsiTheme="majorEastAsia" w:eastAsiaTheme="majorEastAsia"/>
          <w:color w:val="auto"/>
          <w:sz w:val="30"/>
          <w:szCs w:val="30"/>
        </w:rPr>
        <w:t>2、</w:t>
      </w:r>
      <w:r>
        <w:rPr>
          <w:rFonts w:asciiTheme="majorEastAsia" w:hAnsiTheme="majorEastAsia" w:eastAsiaTheme="majorEastAsia"/>
          <w:color w:val="auto"/>
          <w:sz w:val="30"/>
          <w:szCs w:val="30"/>
        </w:rPr>
        <w:t>开标一览表</w:t>
      </w:r>
    </w:p>
    <w:p>
      <w:pPr>
        <w:rPr>
          <w:rFonts w:asciiTheme="majorEastAsia" w:hAnsiTheme="majorEastAsia" w:eastAsiaTheme="majorEastAsia"/>
          <w:color w:val="auto"/>
          <w:sz w:val="21"/>
          <w:szCs w:val="21"/>
        </w:rPr>
      </w:pPr>
      <w:r>
        <w:rPr>
          <w:rFonts w:asciiTheme="majorEastAsia" w:hAnsiTheme="majorEastAsia" w:eastAsiaTheme="majorEastAsia"/>
          <w:color w:val="auto"/>
          <w:sz w:val="21"/>
          <w:szCs w:val="21"/>
        </w:rPr>
        <w:t xml:space="preserve">                         </w:t>
      </w:r>
    </w:p>
    <w:p>
      <w:pPr>
        <w:rPr>
          <w:rFonts w:asciiTheme="majorEastAsia" w:hAnsiTheme="majorEastAsia" w:eastAsiaTheme="majorEastAsia"/>
          <w:color w:val="auto"/>
          <w:sz w:val="21"/>
          <w:szCs w:val="21"/>
        </w:rPr>
      </w:pPr>
    </w:p>
    <w:p>
      <w:pPr>
        <w:rPr>
          <w:rFonts w:asciiTheme="majorEastAsia" w:hAnsiTheme="majorEastAsia" w:eastAsiaTheme="majorEastAsia"/>
          <w:color w:val="auto"/>
        </w:rPr>
      </w:pPr>
      <w:r>
        <w:rPr>
          <w:rFonts w:hint="eastAsia" w:asciiTheme="majorEastAsia" w:hAnsiTheme="majorEastAsia" w:eastAsiaTheme="majorEastAsia"/>
          <w:color w:val="auto"/>
          <w:spacing w:val="28"/>
        </w:rPr>
        <w:t>项目编号</w:t>
      </w:r>
      <w:r>
        <w:rPr>
          <w:rFonts w:asciiTheme="majorEastAsia" w:hAnsiTheme="majorEastAsia" w:eastAsiaTheme="majorEastAsia"/>
          <w:color w:val="auto"/>
        </w:rPr>
        <w:t>：________________________</w:t>
      </w:r>
      <w:bookmarkEnd w:id="540"/>
      <w:r>
        <w:rPr>
          <w:rFonts w:hint="eastAsia" w:asciiTheme="majorEastAsia" w:hAnsiTheme="majorEastAsia" w:eastAsiaTheme="majorEastAsia"/>
          <w:color w:val="auto"/>
        </w:rPr>
        <w:t xml:space="preserve">      </w:t>
      </w:r>
    </w:p>
    <w:p>
      <w:pPr>
        <w:rPr>
          <w:rFonts w:cs="宋体" w:asciiTheme="majorEastAsia" w:hAnsiTheme="majorEastAsia" w:eastAsiaTheme="majorEastAsia"/>
          <w:color w:val="auto"/>
          <w:u w:val="single"/>
        </w:rPr>
      </w:pPr>
      <w:r>
        <w:rPr>
          <w:rFonts w:hint="eastAsia" w:cs="宋体" w:asciiTheme="majorEastAsia" w:hAnsiTheme="majorEastAsia" w:eastAsiaTheme="majorEastAsia"/>
          <w:color w:val="auto"/>
        </w:rPr>
        <w:t xml:space="preserve">                                   </w:t>
      </w:r>
    </w:p>
    <w:tbl>
      <w:tblPr>
        <w:tblStyle w:val="30"/>
        <w:tblW w:w="0" w:type="auto"/>
        <w:jc w:val="center"/>
        <w:tblLayout w:type="fixed"/>
        <w:tblCellMar>
          <w:top w:w="0" w:type="dxa"/>
          <w:left w:w="108" w:type="dxa"/>
          <w:bottom w:w="0" w:type="dxa"/>
          <w:right w:w="108" w:type="dxa"/>
        </w:tblCellMar>
      </w:tblPr>
      <w:tblGrid>
        <w:gridCol w:w="2549"/>
        <w:gridCol w:w="6330"/>
      </w:tblGrid>
      <w:tr>
        <w:tblPrEx>
          <w:tblCellMar>
            <w:top w:w="0" w:type="dxa"/>
            <w:left w:w="108" w:type="dxa"/>
            <w:bottom w:w="0" w:type="dxa"/>
            <w:right w:w="108" w:type="dxa"/>
          </w:tblCellMar>
        </w:tblPrEx>
        <w:trPr>
          <w:trHeight w:val="894" w:hRule="atLeast"/>
          <w:jc w:val="center"/>
        </w:trPr>
        <w:tc>
          <w:tcPr>
            <w:tcW w:w="2549"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napToGrid w:val="0"/>
                <w:color w:val="auto"/>
              </w:rPr>
            </w:pPr>
            <w:r>
              <w:rPr>
                <w:rFonts w:hint="eastAsia" w:cs="宋体" w:asciiTheme="majorEastAsia" w:hAnsiTheme="majorEastAsia" w:eastAsiaTheme="majorEastAsia"/>
                <w:snapToGrid w:val="0"/>
                <w:color w:val="auto"/>
              </w:rPr>
              <w:t>项目名称</w:t>
            </w:r>
          </w:p>
        </w:tc>
        <w:tc>
          <w:tcPr>
            <w:tcW w:w="6330" w:type="dxa"/>
            <w:tcBorders>
              <w:top w:val="single" w:color="auto" w:sz="4" w:space="0"/>
              <w:left w:val="single" w:color="auto" w:sz="4" w:space="0"/>
              <w:bottom w:val="single" w:color="auto" w:sz="4" w:space="0"/>
              <w:right w:val="single" w:color="auto" w:sz="4" w:space="0"/>
            </w:tcBorders>
            <w:vAlign w:val="center"/>
          </w:tcPr>
          <w:p>
            <w:pPr>
              <w:ind w:firstLine="440" w:firstLineChars="200"/>
              <w:rPr>
                <w:rFonts w:cs="宋体" w:asciiTheme="majorEastAsia" w:hAnsiTheme="majorEastAsia" w:eastAsiaTheme="majorEastAsia"/>
                <w:snapToGrid w:val="0"/>
                <w:color w:val="auto"/>
              </w:rPr>
            </w:pPr>
          </w:p>
        </w:tc>
      </w:tr>
      <w:tr>
        <w:tblPrEx>
          <w:tblCellMar>
            <w:top w:w="0" w:type="dxa"/>
            <w:left w:w="108" w:type="dxa"/>
            <w:bottom w:w="0" w:type="dxa"/>
            <w:right w:w="108" w:type="dxa"/>
          </w:tblCellMar>
        </w:tblPrEx>
        <w:trPr>
          <w:trHeight w:val="886" w:hRule="atLeast"/>
          <w:jc w:val="center"/>
        </w:trPr>
        <w:tc>
          <w:tcPr>
            <w:tcW w:w="2549"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napToGrid w:val="0"/>
                <w:color w:val="auto"/>
              </w:rPr>
            </w:pPr>
            <w:r>
              <w:rPr>
                <w:rFonts w:hint="eastAsia" w:cs="宋体" w:asciiTheme="majorEastAsia" w:hAnsiTheme="majorEastAsia" w:eastAsiaTheme="majorEastAsia"/>
                <w:snapToGrid w:val="0"/>
                <w:color w:val="auto"/>
              </w:rPr>
              <w:t>报价总计</w:t>
            </w:r>
          </w:p>
        </w:tc>
        <w:tc>
          <w:tcPr>
            <w:tcW w:w="6330"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napToGrid w:val="0"/>
                <w:color w:val="auto"/>
              </w:rPr>
            </w:pPr>
            <w:r>
              <w:rPr>
                <w:rFonts w:hint="eastAsia" w:cs="宋体" w:asciiTheme="majorEastAsia" w:hAnsiTheme="majorEastAsia" w:eastAsiaTheme="majorEastAsia"/>
                <w:snapToGrid w:val="0"/>
                <w:color w:val="auto"/>
              </w:rPr>
              <w:t>（小写）</w:t>
            </w:r>
            <w:r>
              <w:rPr>
                <w:rFonts w:hint="eastAsia" w:cs="宋体" w:asciiTheme="majorEastAsia" w:hAnsiTheme="majorEastAsia" w:eastAsiaTheme="majorEastAsia"/>
                <w:snapToGrid w:val="0"/>
                <w:color w:val="auto"/>
                <w:u w:val="single"/>
              </w:rPr>
              <w:t xml:space="preserve"> </w:t>
            </w:r>
          </w:p>
          <w:p>
            <w:pPr>
              <w:rPr>
                <w:rFonts w:cs="宋体" w:asciiTheme="majorEastAsia" w:hAnsiTheme="majorEastAsia" w:eastAsiaTheme="majorEastAsia"/>
                <w:snapToGrid w:val="0"/>
                <w:color w:val="auto"/>
              </w:rPr>
            </w:pPr>
            <w:r>
              <w:rPr>
                <w:rFonts w:hint="eastAsia" w:cs="宋体" w:asciiTheme="majorEastAsia" w:hAnsiTheme="majorEastAsia" w:eastAsiaTheme="majorEastAsia"/>
                <w:snapToGrid w:val="0"/>
                <w:color w:val="auto"/>
              </w:rPr>
              <w:t>（大写）</w:t>
            </w:r>
            <w:r>
              <w:rPr>
                <w:rFonts w:hint="eastAsia" w:cs="宋体" w:asciiTheme="majorEastAsia" w:hAnsiTheme="majorEastAsia" w:eastAsiaTheme="majorEastAsia"/>
                <w:snapToGrid w:val="0"/>
                <w:color w:val="auto"/>
                <w:u w:val="single"/>
              </w:rPr>
              <w:t xml:space="preserve"> </w:t>
            </w:r>
          </w:p>
        </w:tc>
      </w:tr>
      <w:tr>
        <w:tblPrEx>
          <w:tblCellMar>
            <w:top w:w="0" w:type="dxa"/>
            <w:left w:w="108" w:type="dxa"/>
            <w:bottom w:w="0" w:type="dxa"/>
            <w:right w:w="108" w:type="dxa"/>
          </w:tblCellMar>
        </w:tblPrEx>
        <w:trPr>
          <w:trHeight w:val="616" w:hRule="atLeast"/>
          <w:jc w:val="center"/>
        </w:trPr>
        <w:tc>
          <w:tcPr>
            <w:tcW w:w="2549"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napToGrid w:val="0"/>
                <w:color w:val="auto"/>
              </w:rPr>
            </w:pPr>
            <w:r>
              <w:rPr>
                <w:rFonts w:cs="宋体" w:asciiTheme="majorEastAsia" w:hAnsiTheme="majorEastAsia" w:eastAsiaTheme="majorEastAsia"/>
                <w:snapToGrid w:val="0"/>
                <w:color w:val="auto"/>
              </w:rPr>
              <w:t>项目负责人</w:t>
            </w:r>
            <w:r>
              <w:rPr>
                <w:rFonts w:hint="eastAsia" w:cs="宋体" w:asciiTheme="majorEastAsia" w:hAnsiTheme="majorEastAsia" w:eastAsiaTheme="majorEastAsia"/>
                <w:snapToGrid w:val="0"/>
                <w:color w:val="auto"/>
              </w:rPr>
              <w:t xml:space="preserve"> </w:t>
            </w:r>
          </w:p>
        </w:tc>
        <w:tc>
          <w:tcPr>
            <w:tcW w:w="6330"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napToGrid w:val="0"/>
                <w:color w:val="auto"/>
              </w:rPr>
            </w:pPr>
            <w:r>
              <w:rPr>
                <w:rFonts w:hint="eastAsia" w:cs="宋体" w:asciiTheme="majorEastAsia" w:hAnsiTheme="majorEastAsia" w:eastAsiaTheme="majorEastAsia"/>
                <w:snapToGrid w:val="0"/>
                <w:color w:val="auto"/>
              </w:rPr>
              <w:t xml:space="preserve"> </w:t>
            </w:r>
          </w:p>
        </w:tc>
      </w:tr>
      <w:tr>
        <w:tblPrEx>
          <w:tblCellMar>
            <w:top w:w="0" w:type="dxa"/>
            <w:left w:w="108" w:type="dxa"/>
            <w:bottom w:w="0" w:type="dxa"/>
            <w:right w:w="108" w:type="dxa"/>
          </w:tblCellMar>
        </w:tblPrEx>
        <w:trPr>
          <w:trHeight w:val="616" w:hRule="atLeast"/>
          <w:jc w:val="center"/>
        </w:trPr>
        <w:tc>
          <w:tcPr>
            <w:tcW w:w="2549"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napToGrid w:val="0"/>
                <w:color w:val="auto"/>
              </w:rPr>
            </w:pPr>
            <w:r>
              <w:rPr>
                <w:rFonts w:hint="eastAsia" w:cs="宋体" w:asciiTheme="majorEastAsia" w:hAnsiTheme="majorEastAsia" w:eastAsiaTheme="majorEastAsia"/>
                <w:snapToGrid w:val="0"/>
                <w:color w:val="auto"/>
                <w:lang w:val="en-US" w:eastAsia="zh-CN"/>
              </w:rPr>
              <w:t>工期</w:t>
            </w:r>
          </w:p>
        </w:tc>
        <w:tc>
          <w:tcPr>
            <w:tcW w:w="6330"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napToGrid w:val="0"/>
                <w:color w:val="auto"/>
              </w:rPr>
            </w:pPr>
          </w:p>
        </w:tc>
      </w:tr>
      <w:tr>
        <w:tblPrEx>
          <w:tblCellMar>
            <w:top w:w="0" w:type="dxa"/>
            <w:left w:w="108" w:type="dxa"/>
            <w:bottom w:w="0" w:type="dxa"/>
            <w:right w:w="108" w:type="dxa"/>
          </w:tblCellMar>
        </w:tblPrEx>
        <w:trPr>
          <w:trHeight w:val="616" w:hRule="atLeast"/>
          <w:jc w:val="center"/>
        </w:trPr>
        <w:tc>
          <w:tcPr>
            <w:tcW w:w="2549"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napToGrid w:val="0"/>
                <w:color w:val="auto"/>
              </w:rPr>
            </w:pPr>
            <w:r>
              <w:rPr>
                <w:rFonts w:hint="eastAsia" w:cs="宋体" w:asciiTheme="majorEastAsia" w:hAnsiTheme="majorEastAsia" w:eastAsiaTheme="majorEastAsia"/>
                <w:snapToGrid w:val="0"/>
                <w:color w:val="auto"/>
              </w:rPr>
              <w:t>保证金</w:t>
            </w:r>
          </w:p>
        </w:tc>
        <w:tc>
          <w:tcPr>
            <w:tcW w:w="6330"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napToGrid w:val="0"/>
                <w:color w:val="auto"/>
              </w:rPr>
            </w:pPr>
          </w:p>
        </w:tc>
      </w:tr>
    </w:tbl>
    <w:p>
      <w:pPr>
        <w:rPr>
          <w:rFonts w:cs="宋体" w:asciiTheme="majorEastAsia" w:hAnsiTheme="majorEastAsia" w:eastAsiaTheme="majorEastAsia"/>
          <w:b/>
          <w:color w:val="auto"/>
        </w:rPr>
      </w:pPr>
    </w:p>
    <w:p>
      <w:pPr>
        <w:ind w:left="-92" w:leftChars="-42"/>
        <w:rPr>
          <w:rFonts w:cs="宋体" w:asciiTheme="majorEastAsia" w:hAnsiTheme="majorEastAsia" w:eastAsiaTheme="majorEastAsia"/>
          <w:color w:val="auto"/>
        </w:rPr>
      </w:pPr>
    </w:p>
    <w:p>
      <w:pPr>
        <w:ind w:left="-92" w:leftChars="-42"/>
        <w:rPr>
          <w:rFonts w:cs="宋体" w:asciiTheme="majorEastAsia" w:hAnsiTheme="majorEastAsia" w:eastAsiaTheme="majorEastAsia"/>
          <w:color w:val="auto"/>
        </w:rPr>
      </w:pPr>
    </w:p>
    <w:p>
      <w:pPr>
        <w:ind w:left="-92" w:leftChars="-42"/>
        <w:rPr>
          <w:rFonts w:cs="宋体" w:asciiTheme="majorEastAsia" w:hAnsiTheme="majorEastAsia" w:eastAsiaTheme="majorEastAsia"/>
          <w:color w:val="auto"/>
        </w:rPr>
      </w:pPr>
    </w:p>
    <w:p>
      <w:pPr>
        <w:rPr>
          <w:rFonts w:cs="宋体" w:asciiTheme="majorEastAsia" w:hAnsiTheme="majorEastAsia" w:eastAsiaTheme="majorEastAsia"/>
          <w:color w:val="auto"/>
          <w:u w:val="single"/>
        </w:rPr>
      </w:pPr>
      <w:r>
        <w:rPr>
          <w:rFonts w:hint="eastAsia" w:cs="宋体" w:asciiTheme="majorEastAsia" w:hAnsiTheme="majorEastAsia" w:eastAsiaTheme="majorEastAsia"/>
          <w:color w:val="auto"/>
        </w:rPr>
        <w:t>投标人（公章）：</w:t>
      </w:r>
    </w:p>
    <w:p>
      <w:pPr>
        <w:rPr>
          <w:rFonts w:cs="宋体" w:asciiTheme="majorEastAsia" w:hAnsiTheme="majorEastAsia" w:eastAsiaTheme="majorEastAsia"/>
          <w:color w:val="auto"/>
        </w:rPr>
      </w:pPr>
      <w:r>
        <w:rPr>
          <w:rFonts w:hint="eastAsia" w:cs="宋体" w:asciiTheme="majorEastAsia" w:hAnsiTheme="majorEastAsia" w:eastAsiaTheme="majorEastAsia"/>
          <w:color w:val="auto"/>
        </w:rPr>
        <w:t>法定代表人或其授权代表签字：</w:t>
      </w:r>
      <w:r>
        <w:rPr>
          <w:rFonts w:hint="eastAsia" w:cs="宋体" w:asciiTheme="majorEastAsia" w:hAnsiTheme="majorEastAsia" w:eastAsiaTheme="majorEastAsia"/>
          <w:color w:val="auto"/>
          <w:u w:val="single"/>
        </w:rPr>
        <w:t xml:space="preserve">             </w:t>
      </w:r>
    </w:p>
    <w:p>
      <w:pPr>
        <w:rPr>
          <w:rFonts w:cs="宋体" w:asciiTheme="majorEastAsia" w:hAnsiTheme="majorEastAsia" w:eastAsiaTheme="majorEastAsia"/>
          <w:color w:val="auto"/>
        </w:rPr>
        <w:sectPr>
          <w:footerReference r:id="rId11" w:type="default"/>
          <w:pgSz w:w="11906" w:h="16838"/>
          <w:pgMar w:top="1440" w:right="1531" w:bottom="1440" w:left="1531" w:header="851" w:footer="992" w:gutter="0"/>
          <w:cols w:space="720" w:num="1"/>
          <w:docGrid w:type="lines" w:linePitch="315" w:charSpace="0"/>
        </w:sectPr>
      </w:pPr>
      <w:r>
        <w:rPr>
          <w:rFonts w:hint="eastAsia" w:cs="宋体" w:asciiTheme="majorEastAsia" w:hAnsiTheme="majorEastAsia" w:eastAsiaTheme="majorEastAsia"/>
          <w:color w:val="auto"/>
        </w:rPr>
        <w:t>日期：</w:t>
      </w:r>
      <w:r>
        <w:rPr>
          <w:rFonts w:hint="eastAsia" w:cs="宋体" w:asciiTheme="majorEastAsia" w:hAnsiTheme="majorEastAsia" w:eastAsiaTheme="majorEastAsia"/>
          <w:color w:val="auto"/>
          <w:u w:val="single"/>
        </w:rPr>
        <w:t xml:space="preserve">        </w:t>
      </w:r>
      <w:r>
        <w:rPr>
          <w:rFonts w:hint="eastAsia" w:cs="宋体" w:asciiTheme="majorEastAsia" w:hAnsiTheme="majorEastAsia" w:eastAsiaTheme="majorEastAsia"/>
          <w:color w:val="auto"/>
        </w:rPr>
        <w:t>年</w:t>
      </w:r>
      <w:r>
        <w:rPr>
          <w:rFonts w:hint="eastAsia" w:cs="宋体" w:asciiTheme="majorEastAsia" w:hAnsiTheme="majorEastAsia" w:eastAsiaTheme="majorEastAsia"/>
          <w:color w:val="auto"/>
          <w:u w:val="single"/>
        </w:rPr>
        <w:t xml:space="preserve">    </w:t>
      </w:r>
      <w:r>
        <w:rPr>
          <w:rFonts w:hint="eastAsia" w:cs="宋体" w:asciiTheme="majorEastAsia" w:hAnsiTheme="majorEastAsia" w:eastAsiaTheme="majorEastAsia"/>
          <w:color w:val="auto"/>
        </w:rPr>
        <w:t xml:space="preserve"> 月</w:t>
      </w:r>
      <w:r>
        <w:rPr>
          <w:rFonts w:hint="eastAsia" w:cs="宋体" w:asciiTheme="majorEastAsia" w:hAnsiTheme="majorEastAsia" w:eastAsiaTheme="majorEastAsia"/>
          <w:color w:val="auto"/>
          <w:u w:val="single"/>
        </w:rPr>
        <w:t xml:space="preserve">     </w:t>
      </w:r>
      <w:r>
        <w:rPr>
          <w:rFonts w:hint="eastAsia" w:cs="宋体" w:asciiTheme="majorEastAsia" w:hAnsiTheme="majorEastAsia" w:eastAsiaTheme="majorEastAsia"/>
          <w:color w:val="auto"/>
        </w:rPr>
        <w:t>日</w:t>
      </w:r>
    </w:p>
    <w:p>
      <w:pPr>
        <w:rPr>
          <w:rFonts w:cs="宋体" w:asciiTheme="majorEastAsia" w:hAnsiTheme="majorEastAsia" w:eastAsiaTheme="majorEastAsia"/>
          <w:b/>
          <w:color w:val="auto"/>
          <w:sz w:val="21"/>
          <w:szCs w:val="21"/>
        </w:rPr>
      </w:pPr>
    </w:p>
    <w:p>
      <w:pPr>
        <w:spacing w:before="315" w:beforeLines="100"/>
        <w:jc w:val="center"/>
        <w:rPr>
          <w:rFonts w:asciiTheme="majorEastAsia" w:hAnsiTheme="majorEastAsia" w:eastAsiaTheme="majorEastAsia"/>
          <w:color w:val="auto"/>
          <w:sz w:val="30"/>
          <w:szCs w:val="30"/>
        </w:rPr>
      </w:pPr>
      <w:r>
        <w:rPr>
          <w:rFonts w:hint="eastAsia" w:asciiTheme="majorEastAsia" w:hAnsiTheme="majorEastAsia" w:eastAsiaTheme="majorEastAsia"/>
          <w:color w:val="auto"/>
          <w:sz w:val="30"/>
          <w:szCs w:val="30"/>
        </w:rPr>
        <w:t>3、投标人资格证明文件</w:t>
      </w:r>
    </w:p>
    <w:p>
      <w:pPr>
        <w:spacing w:line="400" w:lineRule="exact"/>
        <w:rPr>
          <w:rFonts w:asciiTheme="majorEastAsia" w:hAnsiTheme="majorEastAsia" w:eastAsiaTheme="majorEastAsia"/>
          <w:color w:val="auto"/>
          <w:sz w:val="21"/>
          <w:szCs w:val="21"/>
        </w:rPr>
      </w:pPr>
    </w:p>
    <w:p>
      <w:pPr>
        <w:spacing w:line="420" w:lineRule="exact"/>
        <w:jc w:val="center"/>
        <w:rPr>
          <w:rFonts w:asciiTheme="majorEastAsia" w:hAnsiTheme="majorEastAsia" w:eastAsiaTheme="majorEastAsia"/>
          <w:color w:val="auto"/>
        </w:rPr>
      </w:pPr>
      <w:r>
        <w:rPr>
          <w:rFonts w:hint="eastAsia" w:asciiTheme="majorEastAsia" w:hAnsiTheme="majorEastAsia" w:eastAsiaTheme="majorEastAsia"/>
          <w:color w:val="auto"/>
        </w:rPr>
        <w:t>附件1</w:t>
      </w:r>
      <w:r>
        <w:rPr>
          <w:rFonts w:asciiTheme="majorEastAsia" w:hAnsiTheme="majorEastAsia" w:eastAsiaTheme="majorEastAsia"/>
          <w:color w:val="auto"/>
        </w:rPr>
        <w:t xml:space="preserve"> </w:t>
      </w:r>
      <w:r>
        <w:rPr>
          <w:rFonts w:hint="eastAsia" w:asciiTheme="majorEastAsia" w:hAnsiTheme="majorEastAsia" w:eastAsiaTheme="majorEastAsia"/>
          <w:color w:val="auto"/>
        </w:rPr>
        <w:t>、法定代表人身份证明</w:t>
      </w:r>
    </w:p>
    <w:p>
      <w:pPr>
        <w:spacing w:line="420" w:lineRule="exact"/>
        <w:ind w:firstLine="561"/>
        <w:rPr>
          <w:rFonts w:asciiTheme="majorEastAsia" w:hAnsiTheme="majorEastAsia" w:eastAsiaTheme="majorEastAsia"/>
          <w:color w:val="auto"/>
        </w:rPr>
      </w:pPr>
      <w:r>
        <w:rPr>
          <w:rFonts w:hint="eastAsia" w:asciiTheme="majorEastAsia" w:hAnsiTheme="majorEastAsia" w:eastAsiaTheme="majorEastAsia"/>
          <w:color w:val="auto"/>
        </w:rPr>
        <w:t>投标人名称：</w:t>
      </w:r>
      <w:r>
        <w:rPr>
          <w:rFonts w:hint="eastAsia" w:asciiTheme="majorEastAsia" w:hAnsiTheme="majorEastAsia" w:eastAsiaTheme="majorEastAsia"/>
          <w:color w:val="auto"/>
          <w:u w:val="single"/>
        </w:rPr>
        <w:t xml:space="preserve">            </w:t>
      </w:r>
      <w:r>
        <w:rPr>
          <w:rFonts w:hint="eastAsia" w:asciiTheme="majorEastAsia" w:hAnsiTheme="majorEastAsia" w:eastAsiaTheme="majorEastAsia"/>
          <w:color w:val="auto"/>
        </w:rPr>
        <w:t xml:space="preserve">                            </w:t>
      </w:r>
    </w:p>
    <w:p>
      <w:pPr>
        <w:spacing w:line="420" w:lineRule="exact"/>
        <w:ind w:firstLine="561"/>
        <w:rPr>
          <w:rFonts w:asciiTheme="majorEastAsia" w:hAnsiTheme="majorEastAsia" w:eastAsiaTheme="majorEastAsia"/>
          <w:color w:val="auto"/>
        </w:rPr>
      </w:pPr>
      <w:r>
        <w:rPr>
          <w:rFonts w:hint="eastAsia" w:asciiTheme="majorEastAsia" w:hAnsiTheme="majorEastAsia" w:eastAsiaTheme="majorEastAsia"/>
          <w:color w:val="auto"/>
        </w:rPr>
        <w:t>单位性质：</w:t>
      </w:r>
      <w:r>
        <w:rPr>
          <w:rFonts w:hint="eastAsia" w:asciiTheme="majorEastAsia" w:hAnsiTheme="majorEastAsia" w:eastAsiaTheme="majorEastAsia"/>
          <w:color w:val="auto"/>
          <w:u w:val="single"/>
        </w:rPr>
        <w:t xml:space="preserve">            </w:t>
      </w:r>
      <w:r>
        <w:rPr>
          <w:rFonts w:hint="eastAsia" w:asciiTheme="majorEastAsia" w:hAnsiTheme="majorEastAsia" w:eastAsiaTheme="majorEastAsia"/>
          <w:color w:val="auto"/>
        </w:rPr>
        <w:t xml:space="preserve">                               </w:t>
      </w:r>
    </w:p>
    <w:p>
      <w:pPr>
        <w:spacing w:line="420" w:lineRule="exact"/>
        <w:ind w:firstLine="561"/>
        <w:rPr>
          <w:rFonts w:asciiTheme="majorEastAsia" w:hAnsiTheme="majorEastAsia" w:eastAsiaTheme="majorEastAsia"/>
          <w:color w:val="auto"/>
        </w:rPr>
      </w:pPr>
      <w:r>
        <w:rPr>
          <w:rFonts w:hint="eastAsia" w:asciiTheme="majorEastAsia" w:hAnsiTheme="majorEastAsia" w:eastAsiaTheme="majorEastAsia"/>
          <w:color w:val="auto"/>
        </w:rPr>
        <w:t>地址：</w:t>
      </w:r>
      <w:r>
        <w:rPr>
          <w:rFonts w:hint="eastAsia" w:asciiTheme="majorEastAsia" w:hAnsiTheme="majorEastAsia" w:eastAsiaTheme="majorEastAsia"/>
          <w:color w:val="auto"/>
          <w:u w:val="single"/>
        </w:rPr>
        <w:t xml:space="preserve">            </w:t>
      </w:r>
      <w:r>
        <w:rPr>
          <w:rFonts w:hint="eastAsia" w:asciiTheme="majorEastAsia" w:hAnsiTheme="majorEastAsia" w:eastAsiaTheme="majorEastAsia"/>
          <w:color w:val="auto"/>
        </w:rPr>
        <w:t xml:space="preserve">                                   </w:t>
      </w:r>
    </w:p>
    <w:p>
      <w:pPr>
        <w:spacing w:line="420" w:lineRule="exact"/>
        <w:ind w:firstLine="561"/>
        <w:rPr>
          <w:rFonts w:asciiTheme="majorEastAsia" w:hAnsiTheme="majorEastAsia" w:eastAsiaTheme="majorEastAsia"/>
          <w:color w:val="auto"/>
        </w:rPr>
      </w:pPr>
      <w:r>
        <w:rPr>
          <w:rFonts w:hint="eastAsia" w:asciiTheme="majorEastAsia" w:hAnsiTheme="majorEastAsia" w:eastAsiaTheme="majorEastAsia"/>
          <w:color w:val="auto"/>
        </w:rPr>
        <w:t>成立时间：</w:t>
      </w:r>
      <w:r>
        <w:rPr>
          <w:rFonts w:hint="eastAsia" w:asciiTheme="majorEastAsia" w:hAnsiTheme="majorEastAsia" w:eastAsiaTheme="majorEastAsia"/>
          <w:color w:val="auto"/>
          <w:u w:val="single"/>
        </w:rPr>
        <w:t xml:space="preserve">    </w:t>
      </w:r>
      <w:r>
        <w:rPr>
          <w:rFonts w:hint="eastAsia" w:asciiTheme="majorEastAsia" w:hAnsiTheme="majorEastAsia" w:eastAsiaTheme="majorEastAsia"/>
          <w:color w:val="auto"/>
        </w:rPr>
        <w:t xml:space="preserve"> 年</w:t>
      </w:r>
      <w:r>
        <w:rPr>
          <w:rFonts w:hint="eastAsia" w:asciiTheme="majorEastAsia" w:hAnsiTheme="majorEastAsia" w:eastAsiaTheme="majorEastAsia"/>
          <w:color w:val="auto"/>
          <w:u w:val="single"/>
        </w:rPr>
        <w:t xml:space="preserve">     </w:t>
      </w:r>
      <w:r>
        <w:rPr>
          <w:rFonts w:hint="eastAsia" w:asciiTheme="majorEastAsia" w:hAnsiTheme="majorEastAsia" w:eastAsiaTheme="majorEastAsia"/>
          <w:color w:val="auto"/>
        </w:rPr>
        <w:t>月</w:t>
      </w:r>
      <w:r>
        <w:rPr>
          <w:rFonts w:hint="eastAsia" w:asciiTheme="majorEastAsia" w:hAnsiTheme="majorEastAsia" w:eastAsiaTheme="majorEastAsia"/>
          <w:color w:val="auto"/>
          <w:u w:val="single"/>
        </w:rPr>
        <w:t xml:space="preserve">    </w:t>
      </w:r>
      <w:r>
        <w:rPr>
          <w:rFonts w:hint="eastAsia" w:asciiTheme="majorEastAsia" w:hAnsiTheme="majorEastAsia" w:eastAsiaTheme="majorEastAsia"/>
          <w:color w:val="auto"/>
        </w:rPr>
        <w:t>日</w:t>
      </w:r>
    </w:p>
    <w:p>
      <w:pPr>
        <w:spacing w:line="420" w:lineRule="exact"/>
        <w:ind w:firstLine="561"/>
        <w:rPr>
          <w:rFonts w:asciiTheme="majorEastAsia" w:hAnsiTheme="majorEastAsia" w:eastAsiaTheme="majorEastAsia"/>
          <w:color w:val="auto"/>
        </w:rPr>
      </w:pPr>
      <w:r>
        <w:rPr>
          <w:rFonts w:hint="eastAsia" w:asciiTheme="majorEastAsia" w:hAnsiTheme="majorEastAsia" w:eastAsiaTheme="majorEastAsia"/>
          <w:color w:val="auto"/>
        </w:rPr>
        <w:t>经营期限：</w:t>
      </w:r>
      <w:r>
        <w:rPr>
          <w:rFonts w:hint="eastAsia" w:asciiTheme="majorEastAsia" w:hAnsiTheme="majorEastAsia" w:eastAsiaTheme="majorEastAsia"/>
          <w:color w:val="auto"/>
          <w:u w:val="single"/>
        </w:rPr>
        <w:t xml:space="preserve">            </w:t>
      </w:r>
      <w:r>
        <w:rPr>
          <w:rFonts w:hint="eastAsia" w:asciiTheme="majorEastAsia" w:hAnsiTheme="majorEastAsia" w:eastAsiaTheme="majorEastAsia"/>
          <w:color w:val="auto"/>
        </w:rPr>
        <w:t xml:space="preserve">                               </w:t>
      </w:r>
    </w:p>
    <w:p>
      <w:pPr>
        <w:spacing w:line="420" w:lineRule="exact"/>
        <w:ind w:firstLine="561"/>
        <w:rPr>
          <w:rFonts w:asciiTheme="majorEastAsia" w:hAnsiTheme="majorEastAsia" w:eastAsiaTheme="majorEastAsia"/>
          <w:color w:val="auto"/>
        </w:rPr>
      </w:pPr>
      <w:r>
        <w:rPr>
          <w:rFonts w:hint="eastAsia" w:asciiTheme="majorEastAsia" w:hAnsiTheme="majorEastAsia" w:eastAsiaTheme="majorEastAsia"/>
          <w:color w:val="auto"/>
        </w:rPr>
        <w:t>姓名：</w:t>
      </w:r>
      <w:r>
        <w:rPr>
          <w:rFonts w:hint="eastAsia" w:asciiTheme="majorEastAsia" w:hAnsiTheme="majorEastAsia" w:eastAsiaTheme="majorEastAsia"/>
          <w:color w:val="auto"/>
          <w:u w:val="single"/>
        </w:rPr>
        <w:t xml:space="preserve">      </w:t>
      </w:r>
      <w:r>
        <w:rPr>
          <w:rFonts w:hint="eastAsia" w:asciiTheme="majorEastAsia" w:hAnsiTheme="majorEastAsia" w:eastAsiaTheme="majorEastAsia"/>
          <w:color w:val="auto"/>
        </w:rPr>
        <w:t>性别：</w:t>
      </w:r>
      <w:r>
        <w:rPr>
          <w:rFonts w:hint="eastAsia" w:asciiTheme="majorEastAsia" w:hAnsiTheme="majorEastAsia" w:eastAsiaTheme="majorEastAsia"/>
          <w:color w:val="auto"/>
          <w:u w:val="single"/>
        </w:rPr>
        <w:t xml:space="preserve">      </w:t>
      </w:r>
      <w:r>
        <w:rPr>
          <w:rFonts w:hint="eastAsia" w:asciiTheme="majorEastAsia" w:hAnsiTheme="majorEastAsia" w:eastAsiaTheme="majorEastAsia"/>
          <w:color w:val="auto"/>
        </w:rPr>
        <w:t>年龄：</w:t>
      </w:r>
      <w:r>
        <w:rPr>
          <w:rFonts w:hint="eastAsia" w:asciiTheme="majorEastAsia" w:hAnsiTheme="majorEastAsia" w:eastAsiaTheme="majorEastAsia"/>
          <w:color w:val="auto"/>
          <w:u w:val="single"/>
        </w:rPr>
        <w:t xml:space="preserve">        </w:t>
      </w:r>
      <w:r>
        <w:rPr>
          <w:rFonts w:hint="eastAsia" w:asciiTheme="majorEastAsia" w:hAnsiTheme="majorEastAsia" w:eastAsiaTheme="majorEastAsia"/>
          <w:color w:val="auto"/>
        </w:rPr>
        <w:t xml:space="preserve">  职务：</w:t>
      </w:r>
      <w:r>
        <w:rPr>
          <w:rFonts w:hint="eastAsia" w:asciiTheme="majorEastAsia" w:hAnsiTheme="majorEastAsia" w:eastAsiaTheme="majorEastAsia"/>
          <w:color w:val="auto"/>
          <w:u w:val="single"/>
        </w:rPr>
        <w:t xml:space="preserve">            </w:t>
      </w:r>
      <w:r>
        <w:rPr>
          <w:rFonts w:hint="eastAsia" w:asciiTheme="majorEastAsia" w:hAnsiTheme="majorEastAsia" w:eastAsiaTheme="majorEastAsia"/>
          <w:color w:val="auto"/>
        </w:rPr>
        <w:t xml:space="preserve">        </w:t>
      </w:r>
    </w:p>
    <w:p>
      <w:pPr>
        <w:spacing w:line="420" w:lineRule="exact"/>
        <w:ind w:firstLine="561"/>
        <w:rPr>
          <w:rFonts w:asciiTheme="majorEastAsia" w:hAnsiTheme="majorEastAsia" w:eastAsiaTheme="majorEastAsia"/>
          <w:color w:val="auto"/>
        </w:rPr>
      </w:pPr>
      <w:r>
        <w:rPr>
          <w:rFonts w:hint="eastAsia" w:asciiTheme="majorEastAsia" w:hAnsiTheme="majorEastAsia" w:eastAsiaTheme="majorEastAsia"/>
          <w:color w:val="auto"/>
        </w:rPr>
        <w:t>系</w:t>
      </w:r>
      <w:r>
        <w:rPr>
          <w:rFonts w:hint="eastAsia" w:asciiTheme="majorEastAsia" w:hAnsiTheme="majorEastAsia" w:eastAsiaTheme="majorEastAsia"/>
          <w:color w:val="auto"/>
          <w:u w:val="single"/>
        </w:rPr>
        <w:t xml:space="preserve">            </w:t>
      </w:r>
      <w:r>
        <w:rPr>
          <w:rFonts w:hint="eastAsia" w:asciiTheme="majorEastAsia" w:hAnsiTheme="majorEastAsia" w:eastAsiaTheme="majorEastAsia"/>
          <w:color w:val="auto"/>
        </w:rPr>
        <w:t>（投标人名称）的法定代表人。</w:t>
      </w:r>
    </w:p>
    <w:p>
      <w:pPr>
        <w:spacing w:line="420" w:lineRule="exact"/>
        <w:ind w:firstLine="561"/>
        <w:rPr>
          <w:rFonts w:asciiTheme="majorEastAsia" w:hAnsiTheme="majorEastAsia" w:eastAsiaTheme="majorEastAsia"/>
          <w:color w:val="auto"/>
        </w:rPr>
      </w:pPr>
      <w:r>
        <w:rPr>
          <w:rFonts w:hint="eastAsia" w:asciiTheme="majorEastAsia" w:hAnsiTheme="majorEastAsia" w:eastAsiaTheme="majorEastAsia"/>
          <w:color w:val="auto"/>
        </w:rPr>
        <w:t>特此证明。</w:t>
      </w:r>
    </w:p>
    <w:p>
      <w:pPr>
        <w:spacing w:line="420" w:lineRule="exact"/>
        <w:ind w:firstLine="561"/>
        <w:rPr>
          <w:rFonts w:asciiTheme="majorEastAsia" w:hAnsiTheme="majorEastAsia" w:eastAsiaTheme="majorEastAsia"/>
          <w:color w:val="auto"/>
        </w:rPr>
      </w:pPr>
    </w:p>
    <w:p>
      <w:pPr>
        <w:spacing w:line="420" w:lineRule="exact"/>
        <w:ind w:firstLine="561"/>
        <w:rPr>
          <w:rFonts w:asciiTheme="majorEastAsia" w:hAnsiTheme="majorEastAsia" w:eastAsiaTheme="majorEastAsia"/>
          <w:color w:val="auto"/>
        </w:rPr>
      </w:pPr>
      <w:r>
        <w:rPr>
          <w:rFonts w:hint="eastAsia" w:asciiTheme="majorEastAsia" w:hAnsiTheme="majorEastAsia" w:eastAsiaTheme="majorEastAsia"/>
          <w:color w:val="auto"/>
        </w:rPr>
        <w:t>附：法定代表人身份证复印件。</w:t>
      </w:r>
    </w:p>
    <w:p>
      <w:pPr>
        <w:spacing w:line="420" w:lineRule="exact"/>
        <w:ind w:firstLine="561"/>
        <w:rPr>
          <w:rFonts w:asciiTheme="majorEastAsia" w:hAnsiTheme="majorEastAsia" w:eastAsiaTheme="majorEastAsia"/>
          <w:color w:val="auto"/>
        </w:rPr>
      </w:pPr>
      <w:r>
        <w:rPr>
          <w:rFonts w:hint="eastAsia" w:asciiTheme="majorEastAsia" w:hAnsiTheme="majorEastAsia" w:eastAsiaTheme="majorEastAsia"/>
          <w:color w:val="auto"/>
        </w:rPr>
        <w:t xml:space="preserve">                        </w:t>
      </w:r>
    </w:p>
    <w:p>
      <w:pPr>
        <w:spacing w:line="420" w:lineRule="exact"/>
        <w:ind w:firstLine="561"/>
        <w:rPr>
          <w:rFonts w:asciiTheme="majorEastAsia" w:hAnsiTheme="majorEastAsia" w:eastAsiaTheme="majorEastAsia"/>
          <w:color w:val="auto"/>
        </w:rPr>
      </w:pPr>
    </w:p>
    <w:p>
      <w:pPr>
        <w:spacing w:line="420" w:lineRule="exact"/>
        <w:ind w:firstLine="389" w:firstLineChars="177"/>
        <w:jc w:val="right"/>
        <w:rPr>
          <w:rFonts w:asciiTheme="majorEastAsia" w:hAnsiTheme="majorEastAsia" w:eastAsiaTheme="majorEastAsia"/>
          <w:color w:val="auto"/>
        </w:rPr>
      </w:pPr>
      <w:r>
        <w:rPr>
          <w:rFonts w:hint="eastAsia" w:asciiTheme="majorEastAsia" w:hAnsiTheme="majorEastAsia" w:eastAsiaTheme="majorEastAsia"/>
          <w:color w:val="auto"/>
        </w:rPr>
        <w:t>投标人</w:t>
      </w:r>
      <w:r>
        <w:rPr>
          <w:rFonts w:asciiTheme="majorEastAsia" w:hAnsiTheme="majorEastAsia" w:eastAsiaTheme="majorEastAsia"/>
          <w:color w:val="auto"/>
        </w:rPr>
        <w:t>：</w:t>
      </w:r>
      <w:r>
        <w:rPr>
          <w:rFonts w:asciiTheme="majorEastAsia" w:hAnsiTheme="majorEastAsia" w:eastAsiaTheme="majorEastAsia"/>
          <w:color w:val="auto"/>
          <w:u w:val="single"/>
        </w:rPr>
        <w:t xml:space="preserve">                      </w:t>
      </w:r>
      <w:r>
        <w:rPr>
          <w:rFonts w:asciiTheme="majorEastAsia" w:hAnsiTheme="majorEastAsia" w:eastAsiaTheme="majorEastAsia"/>
          <w:color w:val="auto"/>
        </w:rPr>
        <w:t>（盖单位章）</w:t>
      </w:r>
    </w:p>
    <w:p>
      <w:pPr>
        <w:spacing w:line="420" w:lineRule="exact"/>
        <w:ind w:firstLine="561"/>
        <w:jc w:val="right"/>
        <w:rPr>
          <w:rFonts w:asciiTheme="majorEastAsia" w:hAnsiTheme="majorEastAsia" w:eastAsiaTheme="majorEastAsia"/>
          <w:color w:val="auto"/>
        </w:rPr>
      </w:pPr>
    </w:p>
    <w:p>
      <w:pPr>
        <w:spacing w:line="420" w:lineRule="exact"/>
        <w:ind w:firstLine="389" w:firstLineChars="177"/>
        <w:rPr>
          <w:rFonts w:asciiTheme="majorEastAsia" w:hAnsiTheme="majorEastAsia" w:eastAsiaTheme="majorEastAsia"/>
          <w:color w:val="auto"/>
        </w:rPr>
      </w:pPr>
      <w:r>
        <w:rPr>
          <w:rFonts w:hint="eastAsia" w:asciiTheme="majorEastAsia" w:hAnsiTheme="majorEastAsia" w:eastAsiaTheme="majorEastAsia"/>
          <w:color w:val="auto"/>
        </w:rPr>
        <w:t xml:space="preserve">                                       日期：</w:t>
      </w:r>
      <w:r>
        <w:rPr>
          <w:rFonts w:hint="eastAsia" w:asciiTheme="majorEastAsia" w:hAnsiTheme="majorEastAsia" w:eastAsiaTheme="majorEastAsia"/>
          <w:color w:val="auto"/>
          <w:u w:val="single"/>
        </w:rPr>
        <w:t xml:space="preserve">          </w:t>
      </w:r>
      <w:r>
        <w:rPr>
          <w:rFonts w:hint="eastAsia" w:asciiTheme="majorEastAsia" w:hAnsiTheme="majorEastAsia" w:eastAsiaTheme="majorEastAsia"/>
          <w:color w:val="auto"/>
        </w:rPr>
        <w:t>年</w:t>
      </w:r>
      <w:r>
        <w:rPr>
          <w:rFonts w:hint="eastAsia" w:asciiTheme="majorEastAsia" w:hAnsiTheme="majorEastAsia" w:eastAsiaTheme="majorEastAsia"/>
          <w:color w:val="auto"/>
          <w:u w:val="single"/>
        </w:rPr>
        <w:t xml:space="preserve">     </w:t>
      </w:r>
      <w:r>
        <w:rPr>
          <w:rFonts w:hint="eastAsia" w:asciiTheme="majorEastAsia" w:hAnsiTheme="majorEastAsia" w:eastAsiaTheme="majorEastAsia"/>
          <w:color w:val="auto"/>
        </w:rPr>
        <w:t xml:space="preserve">月 </w:t>
      </w:r>
      <w:r>
        <w:rPr>
          <w:rFonts w:hint="eastAsia" w:asciiTheme="majorEastAsia" w:hAnsiTheme="majorEastAsia" w:eastAsiaTheme="majorEastAsia"/>
          <w:color w:val="auto"/>
          <w:u w:val="single"/>
        </w:rPr>
        <w:t xml:space="preserve">     </w:t>
      </w:r>
      <w:r>
        <w:rPr>
          <w:rFonts w:hint="eastAsia" w:asciiTheme="majorEastAsia" w:hAnsiTheme="majorEastAsia" w:eastAsiaTheme="majorEastAsia"/>
          <w:color w:val="auto"/>
        </w:rPr>
        <w:t>日</w:t>
      </w:r>
    </w:p>
    <w:p>
      <w:pPr>
        <w:spacing w:line="420" w:lineRule="exact"/>
        <w:jc w:val="right"/>
        <w:rPr>
          <w:rFonts w:asciiTheme="majorEastAsia" w:hAnsiTheme="majorEastAsia" w:eastAsiaTheme="majorEastAsia"/>
          <w:color w:val="auto"/>
        </w:rPr>
      </w:pPr>
    </w:p>
    <w:p>
      <w:pPr>
        <w:spacing w:line="420" w:lineRule="exact"/>
        <w:jc w:val="right"/>
        <w:rPr>
          <w:rFonts w:asciiTheme="majorEastAsia" w:hAnsiTheme="majorEastAsia" w:eastAsiaTheme="majorEastAsia"/>
          <w:color w:val="auto"/>
        </w:rPr>
      </w:pPr>
    </w:p>
    <w:p>
      <w:pPr>
        <w:spacing w:line="420" w:lineRule="exact"/>
        <w:jc w:val="right"/>
        <w:rPr>
          <w:rFonts w:asciiTheme="majorEastAsia" w:hAnsiTheme="majorEastAsia" w:eastAsiaTheme="majorEastAsia"/>
          <w:color w:val="auto"/>
        </w:rPr>
      </w:pPr>
    </w:p>
    <w:p>
      <w:pPr>
        <w:spacing w:line="420" w:lineRule="exact"/>
        <w:jc w:val="center"/>
        <w:rPr>
          <w:rFonts w:asciiTheme="majorEastAsia" w:hAnsiTheme="majorEastAsia" w:eastAsiaTheme="majorEastAsia"/>
          <w:b/>
          <w:color w:val="auto"/>
        </w:rPr>
      </w:pPr>
      <w:r>
        <w:rPr>
          <w:rFonts w:asciiTheme="majorEastAsia" w:hAnsiTheme="majorEastAsia" w:eastAsiaTheme="majorEastAsia"/>
          <w:color w:val="auto"/>
        </w:rPr>
        <w:t>法</w:t>
      </w:r>
      <w:r>
        <w:rPr>
          <w:rFonts w:hint="eastAsia" w:asciiTheme="majorEastAsia" w:hAnsiTheme="majorEastAsia" w:eastAsiaTheme="majorEastAsia"/>
          <w:color w:val="auto"/>
        </w:rPr>
        <w:t>定代表</w:t>
      </w:r>
      <w:r>
        <w:rPr>
          <w:rFonts w:asciiTheme="majorEastAsia" w:hAnsiTheme="majorEastAsia" w:eastAsiaTheme="majorEastAsia"/>
          <w:color w:val="auto"/>
        </w:rPr>
        <w:t>人授权委托书</w:t>
      </w:r>
    </w:p>
    <w:p>
      <w:pPr>
        <w:spacing w:line="420" w:lineRule="exact"/>
        <w:ind w:firstLine="440" w:firstLineChars="200"/>
        <w:rPr>
          <w:rFonts w:asciiTheme="majorEastAsia" w:hAnsiTheme="majorEastAsia" w:eastAsiaTheme="majorEastAsia"/>
          <w:color w:val="auto"/>
        </w:rPr>
      </w:pPr>
    </w:p>
    <w:p>
      <w:pPr>
        <w:spacing w:line="420" w:lineRule="exact"/>
        <w:ind w:firstLine="440" w:firstLineChars="200"/>
        <w:rPr>
          <w:rFonts w:asciiTheme="majorEastAsia" w:hAnsiTheme="majorEastAsia" w:eastAsiaTheme="majorEastAsia"/>
          <w:color w:val="auto"/>
        </w:rPr>
      </w:pPr>
      <w:r>
        <w:rPr>
          <w:rFonts w:asciiTheme="majorEastAsia" w:hAnsiTheme="majorEastAsia" w:eastAsiaTheme="majorEastAsia"/>
          <w:color w:val="auto"/>
        </w:rPr>
        <w:t>本授权委托书声明：注册于____________________（地址）的_________________（授权单位名称），法人代表为____________（法人代表姓名、职务）。现授权委托________________（被授权人的姓名）为本单位的合法代理人，并将以本单位名义参加</w:t>
      </w:r>
      <w:r>
        <w:rPr>
          <w:rFonts w:hint="eastAsia" w:cs="宋体" w:asciiTheme="majorEastAsia" w:hAnsiTheme="majorEastAsia" w:eastAsiaTheme="majorEastAsia"/>
          <w:color w:val="auto"/>
        </w:rPr>
        <w:t>（招标代理公司）</w:t>
      </w:r>
      <w:r>
        <w:rPr>
          <w:rFonts w:asciiTheme="majorEastAsia" w:hAnsiTheme="majorEastAsia" w:eastAsiaTheme="majorEastAsia"/>
          <w:color w:val="auto"/>
        </w:rPr>
        <w:t>组织的____________________（采购编号）招标投标活动。代理人（被授权人）在本项目投标活动中所签署的一切文件和处理的一切有关事宜，我单位均予承认。</w:t>
      </w:r>
    </w:p>
    <w:p>
      <w:pPr>
        <w:spacing w:line="420" w:lineRule="exact"/>
        <w:ind w:firstLine="440" w:firstLineChars="200"/>
        <w:rPr>
          <w:rFonts w:asciiTheme="majorEastAsia" w:hAnsiTheme="majorEastAsia" w:eastAsiaTheme="majorEastAsia"/>
          <w:color w:val="auto"/>
        </w:rPr>
      </w:pPr>
      <w:r>
        <w:rPr>
          <w:rFonts w:asciiTheme="majorEastAsia" w:hAnsiTheme="majorEastAsia" w:eastAsiaTheme="majorEastAsia"/>
          <w:color w:val="auto"/>
        </w:rPr>
        <w:t>代理人无转委权，特此委托。</w:t>
      </w:r>
    </w:p>
    <w:p>
      <w:pPr>
        <w:spacing w:line="420" w:lineRule="exact"/>
        <w:ind w:firstLine="440" w:firstLineChars="200"/>
        <w:rPr>
          <w:rFonts w:asciiTheme="majorEastAsia" w:hAnsiTheme="majorEastAsia" w:eastAsiaTheme="majorEastAsia"/>
          <w:color w:val="auto"/>
        </w:rPr>
      </w:pPr>
      <w:r>
        <w:rPr>
          <w:rFonts w:hint="eastAsia" w:asciiTheme="majorEastAsia" w:hAnsiTheme="majorEastAsia" w:eastAsiaTheme="majorEastAsia"/>
          <w:color w:val="auto"/>
        </w:rPr>
        <w:t>附：</w:t>
      </w:r>
      <w:r>
        <w:rPr>
          <w:rFonts w:asciiTheme="majorEastAsia" w:hAnsiTheme="majorEastAsia" w:eastAsiaTheme="majorEastAsia"/>
          <w:color w:val="auto"/>
        </w:rPr>
        <w:t>代理人（被授权人）</w:t>
      </w:r>
      <w:r>
        <w:rPr>
          <w:rFonts w:hint="eastAsia" w:asciiTheme="majorEastAsia" w:hAnsiTheme="majorEastAsia" w:eastAsiaTheme="majorEastAsia"/>
          <w:color w:val="auto"/>
        </w:rPr>
        <w:t>身份证复印件</w:t>
      </w:r>
    </w:p>
    <w:p>
      <w:pPr>
        <w:spacing w:line="420" w:lineRule="exact"/>
        <w:rPr>
          <w:rFonts w:asciiTheme="majorEastAsia" w:hAnsiTheme="majorEastAsia" w:eastAsiaTheme="majorEastAsia"/>
          <w:color w:val="auto"/>
        </w:rPr>
      </w:pPr>
    </w:p>
    <w:p>
      <w:pPr>
        <w:spacing w:line="420" w:lineRule="exact"/>
        <w:ind w:firstLine="480"/>
        <w:rPr>
          <w:rFonts w:asciiTheme="majorEastAsia" w:hAnsiTheme="majorEastAsia" w:eastAsiaTheme="majorEastAsia"/>
          <w:color w:val="auto"/>
        </w:rPr>
      </w:pPr>
      <w:r>
        <w:rPr>
          <w:rFonts w:asciiTheme="majorEastAsia" w:hAnsiTheme="majorEastAsia" w:eastAsiaTheme="majorEastAsia"/>
          <w:color w:val="auto"/>
        </w:rPr>
        <w:t>代理人（被授权人）情况：</w:t>
      </w:r>
    </w:p>
    <w:p>
      <w:pPr>
        <w:spacing w:line="420" w:lineRule="exact"/>
        <w:ind w:firstLine="480"/>
        <w:rPr>
          <w:rFonts w:asciiTheme="majorEastAsia" w:hAnsiTheme="majorEastAsia" w:eastAsiaTheme="majorEastAsia"/>
          <w:color w:val="auto"/>
        </w:rPr>
      </w:pPr>
      <w:r>
        <w:rPr>
          <w:rFonts w:asciiTheme="majorEastAsia" w:hAnsiTheme="majorEastAsia" w:eastAsiaTheme="majorEastAsia"/>
          <w:color w:val="auto"/>
        </w:rPr>
        <w:t>姓名___________________性别______年龄___________职务_______________</w:t>
      </w:r>
    </w:p>
    <w:p>
      <w:pPr>
        <w:spacing w:line="420" w:lineRule="exact"/>
        <w:ind w:firstLine="480"/>
        <w:rPr>
          <w:rFonts w:asciiTheme="majorEastAsia" w:hAnsiTheme="majorEastAsia" w:eastAsiaTheme="majorEastAsia"/>
          <w:color w:val="auto"/>
        </w:rPr>
      </w:pPr>
      <w:r>
        <w:rPr>
          <w:rFonts w:asciiTheme="majorEastAsia" w:hAnsiTheme="majorEastAsia" w:eastAsiaTheme="majorEastAsia"/>
          <w:color w:val="auto"/>
        </w:rPr>
        <w:t>联系地址________________</w:t>
      </w:r>
    </w:p>
    <w:p>
      <w:pPr>
        <w:spacing w:line="420" w:lineRule="exact"/>
        <w:ind w:firstLine="480"/>
        <w:rPr>
          <w:rFonts w:asciiTheme="majorEastAsia" w:hAnsiTheme="majorEastAsia" w:eastAsiaTheme="majorEastAsia"/>
          <w:color w:val="auto"/>
        </w:rPr>
      </w:pPr>
      <w:r>
        <w:rPr>
          <w:rFonts w:asciiTheme="majorEastAsia" w:hAnsiTheme="majorEastAsia" w:eastAsiaTheme="majorEastAsia"/>
          <w:color w:val="auto"/>
        </w:rPr>
        <w:t>邮编___________________电话___________________传真_________________</w:t>
      </w:r>
    </w:p>
    <w:p>
      <w:pPr>
        <w:spacing w:line="420" w:lineRule="exact"/>
        <w:ind w:firstLine="480"/>
        <w:rPr>
          <w:rFonts w:asciiTheme="majorEastAsia" w:hAnsiTheme="majorEastAsia" w:eastAsiaTheme="majorEastAsia"/>
          <w:color w:val="auto"/>
        </w:rPr>
      </w:pPr>
      <w:r>
        <w:rPr>
          <w:rFonts w:asciiTheme="majorEastAsia" w:hAnsiTheme="majorEastAsia" w:eastAsiaTheme="majorEastAsia"/>
          <w:color w:val="auto"/>
        </w:rPr>
        <w:t>身份证________________________</w:t>
      </w:r>
    </w:p>
    <w:p>
      <w:pPr>
        <w:spacing w:line="420" w:lineRule="exact"/>
        <w:ind w:firstLine="480"/>
        <w:rPr>
          <w:rFonts w:asciiTheme="majorEastAsia" w:hAnsiTheme="majorEastAsia" w:eastAsiaTheme="majorEastAsia"/>
          <w:color w:val="auto"/>
        </w:rPr>
      </w:pPr>
    </w:p>
    <w:p>
      <w:pPr>
        <w:spacing w:line="420" w:lineRule="exact"/>
        <w:ind w:firstLine="480"/>
        <w:rPr>
          <w:rFonts w:asciiTheme="majorEastAsia" w:hAnsiTheme="majorEastAsia" w:eastAsiaTheme="majorEastAsia"/>
          <w:color w:val="auto"/>
        </w:rPr>
      </w:pPr>
      <w:r>
        <w:rPr>
          <w:rFonts w:asciiTheme="majorEastAsia" w:hAnsiTheme="majorEastAsia" w:eastAsiaTheme="majorEastAsia"/>
          <w:color w:val="auto"/>
        </w:rPr>
        <w:t>投标人（公章）：</w:t>
      </w:r>
    </w:p>
    <w:p>
      <w:pPr>
        <w:spacing w:line="420" w:lineRule="exact"/>
        <w:ind w:firstLine="480"/>
        <w:rPr>
          <w:rFonts w:asciiTheme="majorEastAsia" w:hAnsiTheme="majorEastAsia" w:eastAsiaTheme="majorEastAsia"/>
          <w:color w:val="auto"/>
        </w:rPr>
      </w:pPr>
      <w:r>
        <w:rPr>
          <w:rFonts w:asciiTheme="majorEastAsia" w:hAnsiTheme="majorEastAsia" w:eastAsiaTheme="majorEastAsia"/>
          <w:color w:val="auto"/>
        </w:rPr>
        <w:t>法定代表人签字：____________</w:t>
      </w:r>
      <w:r>
        <w:rPr>
          <w:rFonts w:asciiTheme="majorEastAsia" w:hAnsiTheme="majorEastAsia" w:eastAsiaTheme="majorEastAsia"/>
          <w:color w:val="auto"/>
          <w:u w:val="single"/>
        </w:rPr>
        <w:t>__</w:t>
      </w:r>
      <w:r>
        <w:rPr>
          <w:rFonts w:hint="eastAsia" w:asciiTheme="majorEastAsia" w:hAnsiTheme="majorEastAsia" w:eastAsiaTheme="majorEastAsia"/>
          <w:color w:val="auto"/>
          <w:u w:val="single"/>
        </w:rPr>
        <w:t xml:space="preserve">         </w:t>
      </w:r>
      <w:r>
        <w:rPr>
          <w:rFonts w:asciiTheme="majorEastAsia" w:hAnsiTheme="majorEastAsia" w:eastAsiaTheme="majorEastAsia"/>
          <w:color w:val="auto"/>
        </w:rPr>
        <w:t>____</w:t>
      </w:r>
    </w:p>
    <w:p>
      <w:pPr>
        <w:spacing w:line="420" w:lineRule="exact"/>
        <w:ind w:firstLine="480"/>
        <w:rPr>
          <w:rFonts w:asciiTheme="majorEastAsia" w:hAnsiTheme="majorEastAsia" w:eastAsiaTheme="majorEastAsia"/>
          <w:color w:val="auto"/>
        </w:rPr>
      </w:pPr>
      <w:r>
        <w:rPr>
          <w:rFonts w:asciiTheme="majorEastAsia" w:hAnsiTheme="majorEastAsia" w:eastAsiaTheme="majorEastAsia"/>
          <w:color w:val="auto"/>
        </w:rPr>
        <w:t>授权日期：_______________________</w:t>
      </w:r>
      <w:r>
        <w:rPr>
          <w:rFonts w:hint="eastAsia" w:asciiTheme="majorEastAsia" w:hAnsiTheme="majorEastAsia" w:eastAsiaTheme="majorEastAsia"/>
          <w:color w:val="auto"/>
          <w:u w:val="single"/>
        </w:rPr>
        <w:t xml:space="preserve">      </w:t>
      </w:r>
      <w:r>
        <w:rPr>
          <w:rFonts w:asciiTheme="majorEastAsia" w:hAnsiTheme="majorEastAsia" w:eastAsiaTheme="majorEastAsia"/>
          <w:color w:val="auto"/>
        </w:rPr>
        <w:t>____</w:t>
      </w:r>
    </w:p>
    <w:p>
      <w:pPr>
        <w:spacing w:line="420" w:lineRule="exact"/>
        <w:ind w:firstLine="480"/>
        <w:rPr>
          <w:rFonts w:asciiTheme="majorEastAsia" w:hAnsiTheme="majorEastAsia" w:eastAsiaTheme="majorEastAsia"/>
          <w:color w:val="auto"/>
          <w:u w:val="single"/>
        </w:rPr>
      </w:pPr>
      <w:r>
        <w:rPr>
          <w:rFonts w:asciiTheme="majorEastAsia" w:hAnsiTheme="majorEastAsia" w:eastAsiaTheme="majorEastAsia"/>
          <w:color w:val="auto"/>
        </w:rPr>
        <w:t>代理人（被授权人）（签字）：</w:t>
      </w:r>
      <w:r>
        <w:rPr>
          <w:rFonts w:hint="eastAsia" w:asciiTheme="majorEastAsia" w:hAnsiTheme="majorEastAsia" w:eastAsiaTheme="majorEastAsia"/>
          <w:color w:val="auto"/>
          <w:u w:val="single"/>
        </w:rPr>
        <w:t xml:space="preserve">     </w:t>
      </w:r>
    </w:p>
    <w:p>
      <w:pPr>
        <w:spacing w:line="420" w:lineRule="exact"/>
        <w:rPr>
          <w:rFonts w:asciiTheme="majorEastAsia" w:hAnsiTheme="majorEastAsia" w:eastAsiaTheme="majorEastAsia"/>
          <w:b/>
          <w:color w:val="auto"/>
        </w:rPr>
      </w:pPr>
      <w:r>
        <w:rPr>
          <w:rFonts w:hint="eastAsia" w:asciiTheme="majorEastAsia" w:hAnsiTheme="majorEastAsia" w:eastAsiaTheme="majorEastAsia"/>
          <w:color w:val="auto"/>
          <w:u w:val="single"/>
        </w:rPr>
        <w:t xml:space="preserve">            </w:t>
      </w:r>
    </w:p>
    <w:p>
      <w:pPr>
        <w:autoSpaceDE w:val="0"/>
        <w:autoSpaceDN w:val="0"/>
        <w:spacing w:before="156" w:beforeLines="50" w:after="156" w:afterLines="50" w:line="420" w:lineRule="exact"/>
        <w:ind w:firstLine="440" w:firstLineChars="200"/>
        <w:rPr>
          <w:rFonts w:asciiTheme="majorEastAsia" w:hAnsiTheme="majorEastAsia" w:eastAsiaTheme="majorEastAsia"/>
          <w:color w:val="auto"/>
        </w:rPr>
      </w:pPr>
      <w:r>
        <w:rPr>
          <w:rFonts w:hint="eastAsia" w:asciiTheme="majorEastAsia" w:hAnsiTheme="majorEastAsia" w:eastAsiaTheme="majorEastAsia"/>
          <w:color w:val="auto"/>
        </w:rPr>
        <w:t>注：竞争性磋商响应文件由</w:t>
      </w:r>
      <w:r>
        <w:rPr>
          <w:rFonts w:asciiTheme="majorEastAsia" w:hAnsiTheme="majorEastAsia" w:eastAsiaTheme="majorEastAsia"/>
          <w:color w:val="auto"/>
        </w:rPr>
        <w:t>代理人（被授权人）</w:t>
      </w:r>
      <w:r>
        <w:rPr>
          <w:rFonts w:hint="eastAsia" w:asciiTheme="majorEastAsia" w:hAnsiTheme="majorEastAsia" w:eastAsiaTheme="majorEastAsia"/>
          <w:color w:val="auto"/>
        </w:rPr>
        <w:t>签署的，须同时提供法定代表人身份证明和法定代表人授权委托书。</w:t>
      </w:r>
      <w:r>
        <w:rPr>
          <w:rFonts w:asciiTheme="majorEastAsia" w:hAnsiTheme="majorEastAsia" w:eastAsiaTheme="majorEastAsia"/>
          <w:color w:val="auto"/>
        </w:rPr>
        <w:br w:type="page"/>
      </w:r>
      <w:r>
        <w:rPr>
          <w:rFonts w:hint="eastAsia" w:asciiTheme="majorEastAsia" w:hAnsiTheme="majorEastAsia" w:eastAsiaTheme="majorEastAsia"/>
          <w:color w:val="auto"/>
        </w:rPr>
        <w:t xml:space="preserve">    附件2、在中华人民共和国注册的、具有独立承担民事责任能力的法人（提供三证合一的营业执照复印件加盖公章，</w:t>
      </w:r>
      <w:r>
        <w:rPr>
          <w:rFonts w:hint="eastAsia" w:asciiTheme="majorEastAsia" w:hAnsiTheme="majorEastAsia" w:eastAsiaTheme="majorEastAsia"/>
          <w:color w:val="auto"/>
          <w:lang w:val="en-US" w:eastAsia="zh-CN"/>
        </w:rPr>
        <w:t>营业执照经营范围包括园林绿化工程</w:t>
      </w:r>
      <w:r>
        <w:rPr>
          <w:rFonts w:hint="eastAsia" w:asciiTheme="majorEastAsia" w:hAnsiTheme="majorEastAsia" w:eastAsiaTheme="majorEastAsia"/>
          <w:color w:val="auto"/>
        </w:rPr>
        <w:t>）</w:t>
      </w:r>
      <w:r>
        <w:rPr>
          <w:rFonts w:hint="eastAsia" w:asciiTheme="majorEastAsia" w:hAnsiTheme="majorEastAsia" w:eastAsiaTheme="majorEastAsia"/>
          <w:color w:val="auto"/>
          <w:lang w:eastAsia="zh-CN"/>
        </w:rPr>
        <w:t>；</w:t>
      </w:r>
    </w:p>
    <w:p>
      <w:pPr>
        <w:autoSpaceDE w:val="0"/>
        <w:autoSpaceDN w:val="0"/>
        <w:spacing w:before="156" w:beforeLines="50" w:after="156" w:afterLines="50" w:line="420" w:lineRule="exact"/>
        <w:ind w:firstLine="440" w:firstLineChars="200"/>
        <w:rPr>
          <w:rFonts w:hint="default" w:asciiTheme="majorEastAsia" w:hAnsiTheme="majorEastAsia" w:eastAsiaTheme="majorEastAsia"/>
          <w:color w:val="auto"/>
          <w:lang w:val="en-US" w:eastAsia="zh-CN"/>
        </w:rPr>
      </w:pPr>
      <w:r>
        <w:rPr>
          <w:rFonts w:hint="eastAsia" w:asciiTheme="majorEastAsia" w:hAnsiTheme="majorEastAsia" w:eastAsiaTheme="majorEastAsia"/>
          <w:color w:val="auto"/>
        </w:rPr>
        <w:t>附件3、</w:t>
      </w:r>
      <w:r>
        <w:rPr>
          <w:rFonts w:hint="eastAsia" w:asciiTheme="majorEastAsia" w:hAnsiTheme="majorEastAsia" w:eastAsiaTheme="majorEastAsia"/>
          <w:color w:val="auto"/>
          <w:lang w:val="en-US" w:eastAsia="zh-CN"/>
        </w:rPr>
        <w:t>项目负责人具备园林或园林绿化相关专业中级或以上职称，且未担任其他在施建设工程项目的项目负责人；</w:t>
      </w:r>
    </w:p>
    <w:p>
      <w:pPr>
        <w:autoSpaceDE w:val="0"/>
        <w:autoSpaceDN w:val="0"/>
        <w:spacing w:before="156" w:beforeLines="50" w:after="156" w:afterLines="50" w:line="420" w:lineRule="exact"/>
        <w:ind w:firstLine="440" w:firstLineChars="200"/>
        <w:rPr>
          <w:rFonts w:hint="eastAsia" w:asciiTheme="majorEastAsia" w:hAnsiTheme="majorEastAsia" w:eastAsiaTheme="majorEastAsia"/>
          <w:color w:val="auto"/>
        </w:rPr>
      </w:pPr>
      <w:r>
        <w:rPr>
          <w:rFonts w:hint="eastAsia" w:asciiTheme="majorEastAsia" w:hAnsiTheme="majorEastAsia" w:eastAsiaTheme="majorEastAsia"/>
          <w:color w:val="auto"/>
        </w:rPr>
        <w:t>附件4、具有良好的商业信誉和健全的财务会计制度</w:t>
      </w:r>
      <w:r>
        <w:rPr>
          <w:rFonts w:hint="eastAsia" w:asciiTheme="majorEastAsia" w:hAnsiTheme="majorEastAsia" w:eastAsiaTheme="majorEastAsia"/>
          <w:color w:val="auto"/>
          <w:lang w:eastAsia="zh-CN"/>
        </w:rPr>
        <w:t>（</w:t>
      </w:r>
      <w:r>
        <w:rPr>
          <w:rFonts w:hint="eastAsia" w:asciiTheme="majorEastAsia" w:hAnsiTheme="majorEastAsia" w:eastAsiaTheme="majorEastAsia"/>
          <w:color w:val="auto"/>
        </w:rPr>
        <w:t>提供2020年度经审计的财务报告或2021年至今任意1个月的财务报表，财务报表应含资产负债表、利润表、现金流量表（如有）复印件加盖公章</w:t>
      </w:r>
      <w:r>
        <w:rPr>
          <w:rFonts w:hint="eastAsia" w:asciiTheme="majorEastAsia" w:hAnsiTheme="majorEastAsia" w:eastAsiaTheme="majorEastAsia"/>
          <w:color w:val="auto"/>
          <w:lang w:eastAsia="zh-CN"/>
        </w:rPr>
        <w:t>）</w:t>
      </w:r>
      <w:r>
        <w:rPr>
          <w:rFonts w:hint="eastAsia" w:asciiTheme="majorEastAsia" w:hAnsiTheme="majorEastAsia" w:eastAsiaTheme="majorEastAsia"/>
          <w:color w:val="auto"/>
        </w:rPr>
        <w:t>；</w:t>
      </w:r>
    </w:p>
    <w:p>
      <w:pPr>
        <w:autoSpaceDE w:val="0"/>
        <w:autoSpaceDN w:val="0"/>
        <w:spacing w:before="156" w:beforeLines="50" w:after="156" w:afterLines="50" w:line="420" w:lineRule="exact"/>
        <w:ind w:firstLine="440" w:firstLineChars="200"/>
        <w:rPr>
          <w:rFonts w:hint="eastAsia" w:asciiTheme="majorEastAsia" w:hAnsiTheme="majorEastAsia" w:eastAsiaTheme="majorEastAsia"/>
          <w:color w:val="auto"/>
        </w:rPr>
      </w:pPr>
      <w:r>
        <w:rPr>
          <w:rFonts w:hint="eastAsia" w:asciiTheme="majorEastAsia" w:hAnsiTheme="majorEastAsia" w:eastAsiaTheme="majorEastAsia"/>
          <w:color w:val="auto"/>
        </w:rPr>
        <w:t xml:space="preserve">附件5、有依法缴纳税收和社会保障资金的良好记录（提供2021年至今任意1个月的税收、社保记录凭证并加盖公章，无税收月份须提供税务部门盖章的零申报表）； </w:t>
      </w:r>
    </w:p>
    <w:p>
      <w:pPr>
        <w:autoSpaceDE w:val="0"/>
        <w:autoSpaceDN w:val="0"/>
        <w:spacing w:before="156" w:beforeLines="50" w:after="156" w:afterLines="50" w:line="420" w:lineRule="exact"/>
        <w:ind w:firstLine="440" w:firstLineChars="200"/>
        <w:rPr>
          <w:rFonts w:hint="eastAsia" w:asciiTheme="majorEastAsia" w:hAnsiTheme="majorEastAsia" w:eastAsiaTheme="majorEastAsia"/>
          <w:color w:val="auto"/>
        </w:rPr>
      </w:pPr>
      <w:r>
        <w:rPr>
          <w:rFonts w:hint="eastAsia" w:asciiTheme="majorEastAsia" w:hAnsiTheme="majorEastAsia" w:eastAsiaTheme="majorEastAsia"/>
          <w:color w:val="auto"/>
        </w:rPr>
        <w:t xml:space="preserve">附件6、参加政府采购活动前三年内，在经营活动中没有重大违法记录（提供投标人书面声明并加盖公章，营业执照不满三年的，按照营业执照注册年限起算）； </w:t>
      </w:r>
    </w:p>
    <w:p>
      <w:pPr>
        <w:autoSpaceDE w:val="0"/>
        <w:autoSpaceDN w:val="0"/>
        <w:spacing w:before="156" w:beforeLines="50" w:after="156" w:afterLines="50" w:line="420" w:lineRule="exact"/>
        <w:ind w:firstLine="440" w:firstLineChars="200"/>
        <w:rPr>
          <w:rFonts w:hint="eastAsia" w:asciiTheme="majorEastAsia" w:hAnsiTheme="majorEastAsia" w:eastAsiaTheme="majorEastAsia"/>
          <w:color w:val="auto"/>
        </w:rPr>
      </w:pPr>
      <w:r>
        <w:rPr>
          <w:rFonts w:hint="eastAsia" w:asciiTheme="majorEastAsia" w:hAnsiTheme="majorEastAsia" w:eastAsiaTheme="majorEastAsia"/>
          <w:color w:val="auto"/>
        </w:rPr>
        <w:t>附件7、具备履行合同所必需的设备和专业技术能力（提供承诺函或相关证明材料并加盖公章）；</w:t>
      </w:r>
    </w:p>
    <w:p>
      <w:pPr>
        <w:autoSpaceDE w:val="0"/>
        <w:autoSpaceDN w:val="0"/>
        <w:spacing w:before="156" w:beforeLines="50" w:after="156" w:afterLines="50" w:line="420" w:lineRule="exact"/>
        <w:ind w:firstLine="440" w:firstLineChars="200"/>
        <w:rPr>
          <w:rFonts w:hint="eastAsia" w:asciiTheme="majorEastAsia" w:hAnsiTheme="majorEastAsia" w:eastAsiaTheme="majorEastAsia"/>
          <w:color w:val="auto"/>
        </w:rPr>
      </w:pPr>
      <w:r>
        <w:rPr>
          <w:rFonts w:hint="eastAsia" w:asciiTheme="majorEastAsia" w:hAnsiTheme="majorEastAsia" w:eastAsiaTheme="majorEastAsia"/>
          <w:color w:val="auto"/>
        </w:rPr>
        <w:t xml:space="preserve">附件8、必须为未被列入信用中国 (https://www.creditchina.gov.cn/) “重大税收违法案件当事人名单”、中国执行信息公开网（http://zxgk.court.gov.cn/shixin/） “失信被执行人”、中国政府采购网(http://www.ccgp.gov.cn/) “政府采购严重违法失信行为记录名单”的投标人（提供查询结果截图并加盖公章）； </w:t>
      </w:r>
    </w:p>
    <w:p>
      <w:pPr>
        <w:autoSpaceDE w:val="0"/>
        <w:autoSpaceDN w:val="0"/>
        <w:spacing w:before="156" w:beforeLines="50" w:after="156" w:afterLines="50" w:line="420" w:lineRule="exact"/>
        <w:ind w:firstLine="440" w:firstLineChars="200"/>
        <w:rPr>
          <w:rFonts w:hint="eastAsia" w:asciiTheme="majorEastAsia" w:hAnsiTheme="majorEastAsia" w:eastAsiaTheme="majorEastAsia"/>
          <w:color w:val="auto"/>
          <w:lang w:eastAsia="zh-CN"/>
        </w:rPr>
      </w:pPr>
      <w:r>
        <w:rPr>
          <w:rFonts w:hint="eastAsia" w:asciiTheme="majorEastAsia" w:hAnsiTheme="majorEastAsia" w:eastAsiaTheme="majorEastAsia"/>
          <w:color w:val="auto"/>
        </w:rPr>
        <w:t>附件9、购买本项目招标文件并按时提交投标保证金（提供支付保证金凭证，复印件加盖公章）</w:t>
      </w:r>
      <w:r>
        <w:rPr>
          <w:rFonts w:hint="eastAsia" w:asciiTheme="majorEastAsia" w:hAnsiTheme="majorEastAsia" w:eastAsiaTheme="majorEastAsia"/>
          <w:color w:val="auto"/>
          <w:lang w:eastAsia="zh-CN"/>
        </w:rPr>
        <w:t>。</w:t>
      </w:r>
    </w:p>
    <w:p>
      <w:pPr>
        <w:spacing w:before="315" w:beforeLines="100"/>
        <w:jc w:val="center"/>
        <w:rPr>
          <w:rFonts w:asciiTheme="majorEastAsia" w:hAnsiTheme="majorEastAsia" w:eastAsiaTheme="majorEastAsia"/>
          <w:color w:val="auto"/>
          <w:sz w:val="30"/>
          <w:szCs w:val="30"/>
        </w:rPr>
      </w:pPr>
    </w:p>
    <w:p>
      <w:pPr>
        <w:autoSpaceDE w:val="0"/>
        <w:autoSpaceDN w:val="0"/>
        <w:spacing w:before="157" w:beforeLines="50" w:after="157" w:afterLines="50" w:line="420" w:lineRule="exact"/>
        <w:ind w:firstLine="389" w:firstLineChars="177"/>
        <w:rPr>
          <w:rFonts w:asciiTheme="majorEastAsia" w:hAnsiTheme="majorEastAsia" w:eastAsiaTheme="majorEastAsia"/>
          <w:color w:val="auto"/>
        </w:rPr>
      </w:pPr>
    </w:p>
    <w:p>
      <w:pPr>
        <w:autoSpaceDE w:val="0"/>
        <w:autoSpaceDN w:val="0"/>
        <w:spacing w:before="157" w:beforeLines="50" w:after="157" w:afterLines="50" w:line="420" w:lineRule="exact"/>
        <w:ind w:firstLine="389" w:firstLineChars="177"/>
        <w:rPr>
          <w:rFonts w:asciiTheme="majorEastAsia" w:hAnsiTheme="majorEastAsia" w:eastAsiaTheme="majorEastAsia"/>
          <w:color w:val="auto"/>
        </w:rPr>
      </w:pPr>
    </w:p>
    <w:p>
      <w:pPr>
        <w:autoSpaceDE w:val="0"/>
        <w:autoSpaceDN w:val="0"/>
        <w:spacing w:before="157" w:beforeLines="50" w:after="157" w:afterLines="50" w:line="420" w:lineRule="exact"/>
        <w:ind w:firstLine="389" w:firstLineChars="177"/>
        <w:rPr>
          <w:rFonts w:asciiTheme="majorEastAsia" w:hAnsiTheme="majorEastAsia" w:eastAsiaTheme="majorEastAsia"/>
          <w:color w:val="auto"/>
        </w:rPr>
      </w:pPr>
    </w:p>
    <w:p>
      <w:pPr>
        <w:spacing w:before="315" w:beforeLines="100"/>
        <w:jc w:val="center"/>
        <w:rPr>
          <w:rFonts w:hint="eastAsia" w:asciiTheme="majorEastAsia" w:hAnsiTheme="majorEastAsia" w:eastAsiaTheme="majorEastAsia"/>
          <w:color w:val="auto"/>
          <w:sz w:val="30"/>
          <w:szCs w:val="30"/>
        </w:rPr>
      </w:pPr>
    </w:p>
    <w:p>
      <w:pPr>
        <w:spacing w:before="315" w:beforeLines="100"/>
        <w:jc w:val="center"/>
        <w:rPr>
          <w:rFonts w:hint="eastAsia" w:asciiTheme="majorEastAsia" w:hAnsiTheme="majorEastAsia" w:eastAsiaTheme="majorEastAsia"/>
          <w:color w:val="auto"/>
          <w:sz w:val="30"/>
          <w:szCs w:val="30"/>
        </w:rPr>
      </w:pPr>
    </w:p>
    <w:p>
      <w:pPr>
        <w:spacing w:before="315" w:beforeLines="100"/>
        <w:jc w:val="center"/>
        <w:rPr>
          <w:rFonts w:asciiTheme="majorEastAsia" w:hAnsiTheme="majorEastAsia" w:eastAsiaTheme="majorEastAsia"/>
          <w:color w:val="auto"/>
          <w:sz w:val="30"/>
          <w:szCs w:val="30"/>
        </w:rPr>
      </w:pPr>
      <w:r>
        <w:rPr>
          <w:rFonts w:hint="eastAsia" w:asciiTheme="majorEastAsia" w:hAnsiTheme="majorEastAsia" w:eastAsiaTheme="majorEastAsia"/>
          <w:color w:val="auto"/>
          <w:sz w:val="30"/>
          <w:szCs w:val="30"/>
        </w:rPr>
        <w:t>4、其他资料</w:t>
      </w:r>
    </w:p>
    <w:p>
      <w:pPr>
        <w:pStyle w:val="66"/>
        <w:spacing w:line="420" w:lineRule="exact"/>
        <w:rPr>
          <w:rFonts w:asciiTheme="majorEastAsia" w:hAnsiTheme="majorEastAsia" w:eastAsiaTheme="majorEastAsia"/>
          <w:color w:val="auto"/>
          <w:sz w:val="22"/>
          <w:szCs w:val="22"/>
        </w:rPr>
      </w:pPr>
    </w:p>
    <w:p>
      <w:pPr>
        <w:pStyle w:val="66"/>
        <w:spacing w:line="420" w:lineRule="exact"/>
        <w:rPr>
          <w:rFonts w:asciiTheme="majorEastAsia" w:hAnsiTheme="majorEastAsia" w:eastAsiaTheme="majorEastAsia"/>
          <w:color w:val="auto"/>
          <w:sz w:val="22"/>
          <w:szCs w:val="22"/>
        </w:rPr>
      </w:pPr>
      <w:r>
        <w:rPr>
          <w:rFonts w:hint="eastAsia" w:asciiTheme="majorEastAsia" w:hAnsiTheme="majorEastAsia" w:eastAsiaTheme="majorEastAsia"/>
          <w:color w:val="auto"/>
          <w:sz w:val="22"/>
          <w:szCs w:val="22"/>
        </w:rPr>
        <w:t>（</w:t>
      </w:r>
      <w:r>
        <w:rPr>
          <w:rFonts w:hint="eastAsia" w:asciiTheme="majorEastAsia" w:hAnsiTheme="majorEastAsia" w:eastAsiaTheme="majorEastAsia"/>
          <w:color w:val="auto"/>
          <w:sz w:val="22"/>
          <w:szCs w:val="22"/>
          <w:lang w:val="en-US" w:eastAsia="zh-CN"/>
        </w:rPr>
        <w:t>1</w:t>
      </w:r>
      <w:r>
        <w:rPr>
          <w:rFonts w:hint="eastAsia" w:asciiTheme="majorEastAsia" w:hAnsiTheme="majorEastAsia" w:eastAsiaTheme="majorEastAsia"/>
          <w:color w:val="auto"/>
          <w:sz w:val="22"/>
          <w:szCs w:val="22"/>
        </w:rPr>
        <w:t>）</w:t>
      </w:r>
      <w:r>
        <w:rPr>
          <w:rFonts w:hint="eastAsia" w:asciiTheme="majorEastAsia" w:hAnsiTheme="majorEastAsia" w:eastAsiaTheme="majorEastAsia"/>
          <w:color w:val="auto"/>
          <w:sz w:val="22"/>
          <w:szCs w:val="22"/>
          <w:lang w:val="en-US" w:eastAsia="zh-CN"/>
        </w:rPr>
        <w:t>项目人员</w:t>
      </w:r>
      <w:r>
        <w:rPr>
          <w:rFonts w:hint="eastAsia" w:asciiTheme="majorEastAsia" w:hAnsiTheme="majorEastAsia" w:eastAsiaTheme="majorEastAsia"/>
          <w:color w:val="auto"/>
          <w:sz w:val="22"/>
          <w:szCs w:val="22"/>
        </w:rPr>
        <w:t>（格式自拟）</w:t>
      </w:r>
    </w:p>
    <w:p>
      <w:pPr>
        <w:pStyle w:val="66"/>
        <w:spacing w:line="420" w:lineRule="exact"/>
        <w:rPr>
          <w:rFonts w:asciiTheme="majorEastAsia" w:hAnsiTheme="majorEastAsia" w:eastAsiaTheme="majorEastAsia"/>
          <w:color w:val="auto"/>
          <w:sz w:val="22"/>
          <w:szCs w:val="22"/>
        </w:rPr>
      </w:pPr>
      <w:r>
        <w:rPr>
          <w:rFonts w:hint="eastAsia" w:asciiTheme="majorEastAsia" w:hAnsiTheme="majorEastAsia" w:eastAsiaTheme="majorEastAsia"/>
          <w:color w:val="auto"/>
          <w:sz w:val="22"/>
          <w:szCs w:val="22"/>
        </w:rPr>
        <w:t>（</w:t>
      </w:r>
      <w:r>
        <w:rPr>
          <w:rFonts w:hint="eastAsia" w:asciiTheme="majorEastAsia" w:hAnsiTheme="majorEastAsia" w:eastAsiaTheme="majorEastAsia"/>
          <w:color w:val="auto"/>
          <w:sz w:val="22"/>
          <w:szCs w:val="22"/>
          <w:lang w:val="en-US" w:eastAsia="zh-CN"/>
        </w:rPr>
        <w:t>2</w:t>
      </w:r>
      <w:r>
        <w:rPr>
          <w:rFonts w:hint="eastAsia" w:asciiTheme="majorEastAsia" w:hAnsiTheme="majorEastAsia" w:eastAsiaTheme="majorEastAsia"/>
          <w:color w:val="auto"/>
          <w:sz w:val="22"/>
          <w:szCs w:val="22"/>
        </w:rPr>
        <w:t>）</w:t>
      </w:r>
      <w:r>
        <w:rPr>
          <w:rFonts w:hint="eastAsia" w:asciiTheme="majorEastAsia" w:hAnsiTheme="majorEastAsia" w:eastAsiaTheme="majorEastAsia"/>
          <w:color w:val="auto"/>
          <w:sz w:val="22"/>
          <w:szCs w:val="22"/>
          <w:lang w:val="en-US" w:eastAsia="zh-CN"/>
        </w:rPr>
        <w:t>施工组织设计</w:t>
      </w:r>
      <w:r>
        <w:rPr>
          <w:rFonts w:hint="eastAsia" w:asciiTheme="majorEastAsia" w:hAnsiTheme="majorEastAsia" w:eastAsiaTheme="majorEastAsia"/>
          <w:color w:val="auto"/>
          <w:sz w:val="22"/>
          <w:szCs w:val="22"/>
        </w:rPr>
        <w:t>（格式自拟）</w:t>
      </w:r>
    </w:p>
    <w:p>
      <w:pPr>
        <w:pStyle w:val="66"/>
        <w:spacing w:line="420" w:lineRule="exact"/>
        <w:rPr>
          <w:rFonts w:asciiTheme="majorEastAsia" w:hAnsiTheme="majorEastAsia" w:eastAsiaTheme="majorEastAsia"/>
          <w:color w:val="auto"/>
          <w:sz w:val="22"/>
          <w:szCs w:val="22"/>
        </w:rPr>
      </w:pPr>
      <w:r>
        <w:rPr>
          <w:rFonts w:hint="eastAsia" w:asciiTheme="majorEastAsia" w:hAnsiTheme="majorEastAsia" w:eastAsiaTheme="majorEastAsia"/>
          <w:color w:val="auto"/>
          <w:sz w:val="22"/>
          <w:szCs w:val="22"/>
        </w:rPr>
        <w:t>（</w:t>
      </w:r>
      <w:r>
        <w:rPr>
          <w:rFonts w:hint="eastAsia" w:asciiTheme="majorEastAsia" w:hAnsiTheme="majorEastAsia" w:eastAsiaTheme="majorEastAsia"/>
          <w:color w:val="auto"/>
          <w:sz w:val="22"/>
          <w:szCs w:val="22"/>
          <w:lang w:val="en-US" w:eastAsia="zh-CN"/>
        </w:rPr>
        <w:t>3</w:t>
      </w:r>
      <w:r>
        <w:rPr>
          <w:rFonts w:hint="eastAsia" w:asciiTheme="majorEastAsia" w:hAnsiTheme="majorEastAsia" w:eastAsiaTheme="majorEastAsia"/>
          <w:color w:val="auto"/>
          <w:sz w:val="22"/>
          <w:szCs w:val="22"/>
        </w:rPr>
        <w:t>）其他（格式自拟）</w:t>
      </w:r>
    </w:p>
    <w:p>
      <w:pPr>
        <w:spacing w:line="420" w:lineRule="exact"/>
        <w:rPr>
          <w:rFonts w:cs="宋体" w:asciiTheme="majorEastAsia" w:hAnsiTheme="majorEastAsia" w:eastAsiaTheme="majorEastAsia"/>
          <w:color w:val="auto"/>
          <w:spacing w:val="8"/>
          <w:u w:val="single"/>
        </w:rPr>
      </w:pPr>
      <w:r>
        <w:rPr>
          <w:rFonts w:cs="宋体" w:asciiTheme="majorEastAsia" w:hAnsiTheme="majorEastAsia" w:eastAsiaTheme="majorEastAsia"/>
          <w:color w:val="auto"/>
          <w:spacing w:val="8"/>
          <w:u w:val="single"/>
        </w:rPr>
        <w:t xml:space="preserve"> </w:t>
      </w:r>
    </w:p>
    <w:p>
      <w:pPr>
        <w:autoSpaceDE w:val="0"/>
        <w:autoSpaceDN w:val="0"/>
        <w:spacing w:line="460" w:lineRule="exact"/>
        <w:rPr>
          <w:rFonts w:cs="宋体" w:asciiTheme="majorEastAsia" w:hAnsiTheme="majorEastAsia" w:eastAsiaTheme="majorEastAsia"/>
          <w:color w:val="auto"/>
          <w:spacing w:val="8"/>
          <w:u w:val="single"/>
        </w:rPr>
      </w:pPr>
      <w:r>
        <w:rPr>
          <w:rFonts w:cs="宋体" w:asciiTheme="majorEastAsia" w:hAnsiTheme="majorEastAsia" w:eastAsiaTheme="majorEastAsia"/>
          <w:color w:val="auto"/>
          <w:spacing w:val="8"/>
          <w:u w:val="single"/>
        </w:rPr>
        <w:br w:type="page"/>
      </w:r>
    </w:p>
    <w:p>
      <w:pPr>
        <w:pStyle w:val="13"/>
        <w:tabs>
          <w:tab w:val="left" w:pos="8360"/>
        </w:tabs>
        <w:spacing w:line="420" w:lineRule="exact"/>
        <w:ind w:firstLine="540"/>
        <w:jc w:val="center"/>
        <w:rPr>
          <w:rFonts w:hint="default" w:cs="宋体" w:asciiTheme="majorEastAsia" w:hAnsiTheme="majorEastAsia" w:eastAsiaTheme="majorEastAsia"/>
          <w:color w:val="auto"/>
          <w:sz w:val="36"/>
          <w:szCs w:val="36"/>
          <w:lang w:val="en-GB"/>
        </w:rPr>
      </w:pPr>
      <w:bookmarkStart w:id="541" w:name="_Toc22569944"/>
      <w:r>
        <w:rPr>
          <w:rFonts w:cs="宋体" w:asciiTheme="majorEastAsia" w:hAnsiTheme="majorEastAsia" w:eastAsiaTheme="majorEastAsia"/>
          <w:color w:val="auto"/>
          <w:sz w:val="36"/>
          <w:szCs w:val="36"/>
          <w:lang w:val="en-GB"/>
        </w:rPr>
        <w:t>第六章  评审办法和程序</w:t>
      </w:r>
      <w:bookmarkEnd w:id="541"/>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一、评审办法</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1、评标办法采用综合评分法。</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2、综合评分法评标步骤：先进行初步评审，再进行技术、商务的详细评审。只有通过初步</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评审的供应商才能进入详细的评审。</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二、初步评审</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1. 竞争性磋商小组根据“初步评审表”对响应文件的资格性和符合性进行评审，只有对</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“初步评审表”（附表1）所列各项作出实质性响应的响应文件才能通过初步评审。对是否</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实质性响应竞争性磋商文件的要求有争议的响应文件内容，磋商小组将以记名方式表决，得</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票超过半数的供应商有资格进入下一阶段的评审，否则将被淘汰。有以下情况的将不能通过</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初步评审：</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（1）供应商未能满足供应商资格要求的；</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 xml:space="preserve">（2）供应商未提交法人授权委托书的； </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（3）供应商未按竞争性磋商文件要求的金额提交投标保证金的；</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（4）磋商有效期不足的；</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（5）交货期或工期不满要求的；</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（6）响应文件未按竞争性磋商文件规定要求填写投标内容及签名盖章的；</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（7）响应报价不是固定价或者响应报价不是唯一的；</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（8）不符合竞争性磋商文件规定的其它条件。</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2．判断响应文件的响应与否只根据响应文件本身，而不寻求外部证据。</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3. 磋商小组在初审中，对算术错误的修正原则如下:</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（1）开标一览表内容与响应文件中明细表内容不一致的，以开标一览表为准</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（2）响应文件的大写金额和小写金额不一致的，以大写金额为准；</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（3）总价金额与按单价汇总金额不一致的，以单价金额计算结果为准；</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（4）单价金额小数点有明显错位的，以总价为准并修改单价。</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（5）若供应商不同意以上修正，响应文件将视为无效。</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三、详细评审</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1.磋商小组根据评审办法对通过初步评审的响应文件进行详细评审，并进行技术和商务的评</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审打分。</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2.技术、商务评分：具体评审的内容详见（附表2）；</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3.磋商报价分统一采用低价优先法计算，将通过初步评审的所有供应商的磋商报价，即满足</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竞争</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性磋商文件要求且价格最低的最后磋商报价为基准价，其磋商报价分为满分。其他供应商的</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磋商</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报价分统一按照下列公式计算：</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磋商报价分=(基准价／最后磋商报价)×价格权值×100</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4.技术、商务及价格权重分配</w:t>
      </w:r>
    </w:p>
    <w:tbl>
      <w:tblPr>
        <w:tblStyle w:val="30"/>
        <w:tblpPr w:leftFromText="180" w:rightFromText="180" w:vertAnchor="text" w:horzAnchor="page" w:tblpX="2002" w:tblpY="51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7"/>
        <w:gridCol w:w="3610"/>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2407" w:type="dxa"/>
            <w:vAlign w:val="center"/>
          </w:tcPr>
          <w:p>
            <w:pPr>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评估因素</w:t>
            </w:r>
          </w:p>
        </w:tc>
        <w:tc>
          <w:tcPr>
            <w:tcW w:w="3610" w:type="dxa"/>
            <w:vAlign w:val="center"/>
          </w:tcPr>
          <w:p>
            <w:pPr>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技术、商务</w:t>
            </w:r>
          </w:p>
        </w:tc>
        <w:tc>
          <w:tcPr>
            <w:tcW w:w="1683" w:type="dxa"/>
            <w:vAlign w:val="center"/>
          </w:tcPr>
          <w:p>
            <w:pPr>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2407" w:type="dxa"/>
            <w:vAlign w:val="center"/>
          </w:tcPr>
          <w:p>
            <w:pPr>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权重</w:t>
            </w:r>
          </w:p>
        </w:tc>
        <w:tc>
          <w:tcPr>
            <w:tcW w:w="3610" w:type="dxa"/>
            <w:vAlign w:val="center"/>
          </w:tcPr>
          <w:p>
            <w:pPr>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lang w:val="en-US" w:eastAsia="zh-CN"/>
              </w:rPr>
              <w:t>70</w:t>
            </w:r>
            <w:r>
              <w:rPr>
                <w:rFonts w:hint="eastAsia" w:cs="宋体" w:asciiTheme="minorEastAsia" w:hAnsiTheme="minorEastAsia" w:eastAsiaTheme="minorEastAsia"/>
                <w:color w:val="auto"/>
              </w:rPr>
              <w:t>%</w:t>
            </w:r>
          </w:p>
        </w:tc>
        <w:tc>
          <w:tcPr>
            <w:tcW w:w="1683" w:type="dxa"/>
            <w:vAlign w:val="center"/>
          </w:tcPr>
          <w:p>
            <w:pPr>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lang w:val="en-US" w:eastAsia="zh-CN"/>
              </w:rPr>
              <w:t>30</w:t>
            </w:r>
            <w:r>
              <w:rPr>
                <w:rFonts w:hint="eastAsia" w:cs="宋体" w:asciiTheme="minorEastAsia" w:hAnsiTheme="minorEastAsia" w:eastAsiaTheme="minorEastAsia"/>
                <w:color w:val="auto"/>
              </w:rPr>
              <w:t>%</w:t>
            </w:r>
          </w:p>
        </w:tc>
      </w:tr>
    </w:tbl>
    <w:p>
      <w:pPr>
        <w:ind w:left="880" w:hanging="880" w:hangingChars="400"/>
        <w:jc w:val="center"/>
        <w:rPr>
          <w:rFonts w:cs="宋体" w:asciiTheme="minorEastAsia" w:hAnsiTheme="minorEastAsia" w:eastAsiaTheme="minorEastAsia"/>
          <w:color w:val="auto"/>
        </w:rPr>
      </w:pPr>
    </w:p>
    <w:p>
      <w:pPr>
        <w:ind w:left="880" w:hanging="880" w:hangingChars="400"/>
        <w:jc w:val="center"/>
        <w:rPr>
          <w:rFonts w:cs="宋体" w:asciiTheme="minorEastAsia" w:hAnsiTheme="minorEastAsia" w:eastAsiaTheme="minorEastAsia"/>
          <w:color w:val="auto"/>
        </w:rPr>
      </w:pPr>
    </w:p>
    <w:p>
      <w:pPr>
        <w:ind w:left="880" w:hanging="880" w:hangingChars="400"/>
        <w:jc w:val="center"/>
        <w:rPr>
          <w:rFonts w:cs="宋体" w:asciiTheme="minorEastAsia" w:hAnsiTheme="minorEastAsia" w:eastAsiaTheme="minorEastAsia"/>
          <w:color w:val="auto"/>
        </w:rPr>
      </w:pPr>
    </w:p>
    <w:p>
      <w:pPr>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 xml:space="preserve">   </w:t>
      </w:r>
    </w:p>
    <w:p>
      <w:pPr>
        <w:ind w:left="880" w:hanging="880" w:hangingChars="400"/>
        <w:jc w:val="center"/>
        <w:rPr>
          <w:rFonts w:cs="宋体" w:asciiTheme="minorEastAsia" w:hAnsiTheme="minorEastAsia" w:eastAsiaTheme="minorEastAsia"/>
          <w:color w:val="auto"/>
        </w:rPr>
      </w:pPr>
    </w:p>
    <w:p>
      <w:pPr>
        <w:ind w:left="880" w:hanging="880" w:hangingChars="400"/>
        <w:jc w:val="center"/>
        <w:rPr>
          <w:rFonts w:cs="宋体" w:asciiTheme="minorEastAsia" w:hAnsiTheme="minorEastAsia" w:eastAsiaTheme="minorEastAsia"/>
          <w:color w:val="auto"/>
        </w:rPr>
      </w:pPr>
    </w:p>
    <w:p>
      <w:pPr>
        <w:ind w:left="880" w:hanging="880" w:hangingChars="400"/>
        <w:jc w:val="center"/>
        <w:rPr>
          <w:rFonts w:cs="宋体" w:asciiTheme="minorEastAsia" w:hAnsiTheme="minorEastAsia" w:eastAsiaTheme="minorEastAsia"/>
          <w:color w:val="auto"/>
        </w:rPr>
      </w:pP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5. 综合评分及其统计：按照评标程序、评分标准以及分值分配的规定，磋商小组成员分别</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就各个供应商的技术、商务状况，其对竞争性磋商文件要求的响应情况进行评议和比较，评</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出各供应商的得分，得分与磋商报价分相加得出综合得分。综合得分最高的供应商为第一中</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标候选供应商，综合得分次高的供应商为第二中标候选供应商，以此类推。综合得分相同的，</w:t>
      </w:r>
    </w:p>
    <w:p>
      <w:pPr>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按最后磋商报价由低到高顺序排列。综合得分和最后磋商报价均相同的，按技术指标由优至</w:t>
      </w:r>
    </w:p>
    <w:p>
      <w:pPr>
        <w:spacing w:line="420" w:lineRule="exact"/>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劣顺序排列。</w:t>
      </w:r>
      <w:r>
        <w:rPr>
          <w:rFonts w:hint="eastAsia" w:cs="宋体" w:asciiTheme="majorEastAsia" w:hAnsiTheme="majorEastAsia" w:eastAsiaTheme="majorEastAsia"/>
          <w:color w:val="auto"/>
          <w:sz w:val="21"/>
          <w:szCs w:val="21"/>
        </w:rPr>
        <w:br w:type="page"/>
      </w:r>
      <w:r>
        <w:rPr>
          <w:rFonts w:hint="eastAsia" w:cs="宋体" w:asciiTheme="minorEastAsia" w:hAnsiTheme="minorEastAsia" w:eastAsiaTheme="minorEastAsia"/>
          <w:color w:val="auto"/>
        </w:rPr>
        <w:t xml:space="preserve">附表1                </w:t>
      </w:r>
    </w:p>
    <w:p>
      <w:pPr>
        <w:spacing w:line="420" w:lineRule="exact"/>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初步审查表</w:t>
      </w:r>
    </w:p>
    <w:p>
      <w:pPr>
        <w:spacing w:line="420" w:lineRule="exact"/>
        <w:ind w:left="880" w:hanging="880" w:hangingChars="400"/>
        <w:jc w:val="center"/>
        <w:rPr>
          <w:rFonts w:cs="宋体" w:asciiTheme="minorEastAsia" w:hAnsiTheme="minorEastAsia" w:eastAsiaTheme="minorEastAsia"/>
          <w:color w:val="auto"/>
        </w:rPr>
      </w:pPr>
    </w:p>
    <w:tbl>
      <w:tblPr>
        <w:tblStyle w:val="30"/>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036"/>
        <w:gridCol w:w="3149"/>
        <w:gridCol w:w="45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48" w:hRule="atLeast"/>
          <w:jc w:val="center"/>
        </w:trPr>
        <w:tc>
          <w:tcPr>
            <w:tcW w:w="1036" w:type="dxa"/>
            <w:vAlign w:val="center"/>
          </w:tcPr>
          <w:p>
            <w:pPr>
              <w:spacing w:line="420" w:lineRule="exact"/>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序号</w:t>
            </w:r>
          </w:p>
        </w:tc>
        <w:tc>
          <w:tcPr>
            <w:tcW w:w="3149" w:type="dxa"/>
            <w:vAlign w:val="center"/>
          </w:tcPr>
          <w:p>
            <w:pPr>
              <w:spacing w:line="420" w:lineRule="exact"/>
              <w:ind w:left="880" w:hanging="880" w:hangingChars="400"/>
              <w:jc w:val="center"/>
              <w:rPr>
                <w:rFonts w:cs="宋体" w:asciiTheme="minorEastAsia" w:hAnsiTheme="minorEastAsia" w:eastAsiaTheme="minorEastAsia"/>
                <w:color w:val="auto"/>
              </w:rPr>
            </w:pPr>
            <w:r>
              <w:rPr>
                <w:rFonts w:cs="宋体" w:asciiTheme="minorEastAsia" w:hAnsiTheme="minorEastAsia" w:eastAsiaTheme="minorEastAsia"/>
                <w:color w:val="auto"/>
              </w:rPr>
              <w:t>评审因素</w:t>
            </w:r>
          </w:p>
        </w:tc>
        <w:tc>
          <w:tcPr>
            <w:tcW w:w="4520" w:type="dxa"/>
            <w:vAlign w:val="center"/>
          </w:tcPr>
          <w:p>
            <w:pPr>
              <w:spacing w:line="420" w:lineRule="exact"/>
              <w:ind w:left="880" w:hanging="880" w:hangingChars="400"/>
              <w:jc w:val="center"/>
              <w:rPr>
                <w:rFonts w:cs="宋体" w:asciiTheme="minorEastAsia" w:hAnsiTheme="minorEastAsia" w:eastAsiaTheme="minorEastAsia"/>
                <w:color w:val="auto"/>
              </w:rPr>
            </w:pPr>
            <w:r>
              <w:rPr>
                <w:rFonts w:cs="宋体" w:asciiTheme="minorEastAsia" w:hAnsiTheme="minorEastAsia" w:eastAsiaTheme="minorEastAsia"/>
                <w:color w:val="auto"/>
              </w:rPr>
              <w:t>评审标准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544" w:hRule="atLeast"/>
          <w:jc w:val="center"/>
        </w:trPr>
        <w:tc>
          <w:tcPr>
            <w:tcW w:w="1036" w:type="dxa"/>
            <w:vAlign w:val="center"/>
          </w:tcPr>
          <w:p>
            <w:pPr>
              <w:spacing w:line="420" w:lineRule="exact"/>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1</w:t>
            </w:r>
          </w:p>
        </w:tc>
        <w:tc>
          <w:tcPr>
            <w:tcW w:w="3149" w:type="dxa"/>
            <w:vAlign w:val="center"/>
          </w:tcPr>
          <w:p>
            <w:pPr>
              <w:spacing w:line="420" w:lineRule="exact"/>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磋商响应函</w:t>
            </w:r>
          </w:p>
        </w:tc>
        <w:tc>
          <w:tcPr>
            <w:tcW w:w="4520" w:type="dxa"/>
            <w:vAlign w:val="center"/>
          </w:tcPr>
          <w:p>
            <w:pPr>
              <w:spacing w:line="420" w:lineRule="exact"/>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符合磋商文件要求，且磋商有效期为递交响应文件之日起60天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544" w:hRule="atLeast"/>
          <w:jc w:val="center"/>
        </w:trPr>
        <w:tc>
          <w:tcPr>
            <w:tcW w:w="1036" w:type="dxa"/>
            <w:vAlign w:val="center"/>
          </w:tcPr>
          <w:p>
            <w:pPr>
              <w:spacing w:line="420" w:lineRule="exact"/>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2</w:t>
            </w:r>
          </w:p>
        </w:tc>
        <w:tc>
          <w:tcPr>
            <w:tcW w:w="3149" w:type="dxa"/>
            <w:vAlign w:val="center"/>
          </w:tcPr>
          <w:p>
            <w:pPr>
              <w:spacing w:line="420" w:lineRule="exact"/>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法定代表人身份证明书</w:t>
            </w:r>
          </w:p>
        </w:tc>
        <w:tc>
          <w:tcPr>
            <w:tcW w:w="4520" w:type="dxa"/>
            <w:vAlign w:val="center"/>
          </w:tcPr>
          <w:p>
            <w:pPr>
              <w:spacing w:line="420" w:lineRule="exact"/>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合法有效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396" w:hRule="atLeast"/>
          <w:jc w:val="center"/>
        </w:trPr>
        <w:tc>
          <w:tcPr>
            <w:tcW w:w="1036" w:type="dxa"/>
            <w:vAlign w:val="center"/>
          </w:tcPr>
          <w:p>
            <w:pPr>
              <w:spacing w:line="420" w:lineRule="exact"/>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3</w:t>
            </w:r>
          </w:p>
        </w:tc>
        <w:tc>
          <w:tcPr>
            <w:tcW w:w="3149" w:type="dxa"/>
            <w:vAlign w:val="center"/>
          </w:tcPr>
          <w:p>
            <w:pPr>
              <w:spacing w:line="420" w:lineRule="exact"/>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法定代表人授权委托书</w:t>
            </w:r>
          </w:p>
        </w:tc>
        <w:tc>
          <w:tcPr>
            <w:tcW w:w="4520" w:type="dxa"/>
            <w:vAlign w:val="center"/>
          </w:tcPr>
          <w:p>
            <w:pPr>
              <w:spacing w:line="420" w:lineRule="exact"/>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合法有效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396" w:hRule="atLeast"/>
          <w:jc w:val="center"/>
        </w:trPr>
        <w:tc>
          <w:tcPr>
            <w:tcW w:w="1036" w:type="dxa"/>
            <w:vAlign w:val="center"/>
          </w:tcPr>
          <w:p>
            <w:pPr>
              <w:spacing w:line="420" w:lineRule="exact"/>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4</w:t>
            </w:r>
          </w:p>
        </w:tc>
        <w:tc>
          <w:tcPr>
            <w:tcW w:w="3149" w:type="dxa"/>
            <w:vAlign w:val="center"/>
          </w:tcPr>
          <w:p>
            <w:pPr>
              <w:spacing w:line="420" w:lineRule="exact"/>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磋商保证金</w:t>
            </w:r>
          </w:p>
        </w:tc>
        <w:tc>
          <w:tcPr>
            <w:tcW w:w="4520" w:type="dxa"/>
            <w:vAlign w:val="center"/>
          </w:tcPr>
          <w:p>
            <w:pPr>
              <w:spacing w:line="420" w:lineRule="exact"/>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1、提供银行转账回单复印件或</w:t>
            </w:r>
            <w:r>
              <w:rPr>
                <w:rFonts w:hint="eastAsia" w:asciiTheme="majorEastAsia" w:hAnsiTheme="majorEastAsia" w:eastAsiaTheme="majorEastAsia"/>
                <w:color w:val="auto"/>
              </w:rPr>
              <w:t>保函复印件</w:t>
            </w:r>
          </w:p>
          <w:p>
            <w:pPr>
              <w:spacing w:line="420" w:lineRule="exact"/>
              <w:ind w:left="880" w:leftChars="100" w:hanging="660" w:hangingChars="300"/>
              <w:jc w:val="both"/>
              <w:rPr>
                <w:rFonts w:cs="宋体" w:asciiTheme="minorEastAsia" w:hAnsiTheme="minorEastAsia" w:eastAsiaTheme="minorEastAsia"/>
                <w:color w:val="auto"/>
              </w:rPr>
            </w:pPr>
            <w:r>
              <w:rPr>
                <w:rFonts w:hint="eastAsia" w:cs="宋体" w:asciiTheme="minorEastAsia" w:hAnsiTheme="minorEastAsia" w:eastAsiaTheme="minorEastAsia"/>
                <w:color w:val="auto"/>
              </w:rPr>
              <w:t>2、足额、按时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396" w:hRule="atLeast"/>
          <w:jc w:val="center"/>
        </w:trPr>
        <w:tc>
          <w:tcPr>
            <w:tcW w:w="1036" w:type="dxa"/>
            <w:vAlign w:val="center"/>
          </w:tcPr>
          <w:p>
            <w:pPr>
              <w:spacing w:line="420" w:lineRule="exact"/>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5</w:t>
            </w:r>
          </w:p>
        </w:tc>
        <w:tc>
          <w:tcPr>
            <w:tcW w:w="3149" w:type="dxa"/>
            <w:vAlign w:val="center"/>
          </w:tcPr>
          <w:p>
            <w:pPr>
              <w:spacing w:line="420" w:lineRule="exact"/>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供应商资格要求</w:t>
            </w:r>
          </w:p>
        </w:tc>
        <w:tc>
          <w:tcPr>
            <w:tcW w:w="4520" w:type="dxa"/>
            <w:vAlign w:val="center"/>
          </w:tcPr>
          <w:p>
            <w:pPr>
              <w:spacing w:line="420" w:lineRule="exact"/>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符合竞争性磋商须知前附表3项要求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396" w:hRule="atLeast"/>
          <w:jc w:val="center"/>
        </w:trPr>
        <w:tc>
          <w:tcPr>
            <w:tcW w:w="1036" w:type="dxa"/>
            <w:vAlign w:val="center"/>
          </w:tcPr>
          <w:p>
            <w:pPr>
              <w:spacing w:line="420" w:lineRule="exact"/>
              <w:ind w:left="880" w:hanging="880" w:hangingChars="400"/>
              <w:jc w:val="center"/>
              <w:rPr>
                <w:rFonts w:hint="eastAsia" w:cs="宋体" w:asciiTheme="minorEastAsia" w:hAnsiTheme="minorEastAsia" w:eastAsiaTheme="minorEastAsia"/>
                <w:color w:val="auto"/>
                <w:lang w:val="en-US" w:eastAsia="zh-CN"/>
              </w:rPr>
            </w:pPr>
            <w:r>
              <w:rPr>
                <w:rFonts w:hint="eastAsia" w:cs="宋体" w:asciiTheme="minorEastAsia" w:hAnsiTheme="minorEastAsia" w:eastAsiaTheme="minorEastAsia"/>
                <w:color w:val="auto"/>
                <w:lang w:val="en-US" w:eastAsia="zh-CN"/>
              </w:rPr>
              <w:t>6</w:t>
            </w:r>
          </w:p>
        </w:tc>
        <w:tc>
          <w:tcPr>
            <w:tcW w:w="3149" w:type="dxa"/>
            <w:vAlign w:val="center"/>
          </w:tcPr>
          <w:p>
            <w:pPr>
              <w:spacing w:line="420" w:lineRule="exact"/>
              <w:ind w:left="880" w:hanging="880" w:hangingChars="400"/>
              <w:jc w:val="center"/>
              <w:rPr>
                <w:rFonts w:hint="eastAsia" w:cs="宋体" w:asciiTheme="minorEastAsia" w:hAnsiTheme="minorEastAsia" w:eastAsiaTheme="minorEastAsia"/>
                <w:color w:val="auto"/>
                <w:lang w:val="en-US" w:eastAsia="zh-CN"/>
              </w:rPr>
            </w:pPr>
            <w:r>
              <w:rPr>
                <w:rFonts w:hint="eastAsia" w:cs="宋体" w:asciiTheme="minorEastAsia" w:hAnsiTheme="minorEastAsia" w:eastAsiaTheme="minorEastAsia"/>
                <w:color w:val="auto"/>
                <w:lang w:val="en-US" w:eastAsia="zh-CN"/>
              </w:rPr>
              <w:t>工期</w:t>
            </w:r>
          </w:p>
        </w:tc>
        <w:tc>
          <w:tcPr>
            <w:tcW w:w="4520" w:type="dxa"/>
            <w:vAlign w:val="center"/>
          </w:tcPr>
          <w:p>
            <w:pPr>
              <w:spacing w:line="420" w:lineRule="exact"/>
              <w:ind w:left="880" w:hanging="880" w:hangingChars="400"/>
              <w:jc w:val="center"/>
              <w:rPr>
                <w:rFonts w:hint="eastAsia" w:cs="宋体" w:asciiTheme="minorEastAsia" w:hAnsiTheme="minorEastAsia" w:eastAsiaTheme="minorEastAsia"/>
                <w:color w:val="auto"/>
              </w:rPr>
            </w:pPr>
            <w:r>
              <w:rPr>
                <w:rFonts w:hint="eastAsia" w:cs="宋体" w:asciiTheme="minorEastAsia" w:hAnsiTheme="minorEastAsia" w:eastAsiaTheme="minorEastAsia"/>
                <w:color w:val="auto"/>
              </w:rPr>
              <w:t>符合磋商文件要求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396" w:hRule="atLeast"/>
          <w:jc w:val="center"/>
        </w:trPr>
        <w:tc>
          <w:tcPr>
            <w:tcW w:w="1036" w:type="dxa"/>
            <w:vAlign w:val="center"/>
          </w:tcPr>
          <w:p>
            <w:pPr>
              <w:spacing w:line="420" w:lineRule="exact"/>
              <w:ind w:left="880" w:hanging="880" w:hangingChars="400"/>
              <w:jc w:val="center"/>
              <w:rPr>
                <w:rFonts w:hint="eastAsia" w:cs="宋体" w:asciiTheme="minorEastAsia" w:hAnsiTheme="minorEastAsia" w:eastAsiaTheme="minorEastAsia"/>
                <w:color w:val="auto"/>
                <w:lang w:eastAsia="zh-CN"/>
              </w:rPr>
            </w:pPr>
            <w:r>
              <w:rPr>
                <w:rFonts w:hint="eastAsia" w:cs="宋体" w:asciiTheme="minorEastAsia" w:hAnsiTheme="minorEastAsia" w:eastAsiaTheme="minorEastAsia"/>
                <w:color w:val="auto"/>
                <w:lang w:val="en-US" w:eastAsia="zh-CN"/>
              </w:rPr>
              <w:t>7</w:t>
            </w:r>
          </w:p>
        </w:tc>
        <w:tc>
          <w:tcPr>
            <w:tcW w:w="3149" w:type="dxa"/>
            <w:vAlign w:val="center"/>
          </w:tcPr>
          <w:p>
            <w:pPr>
              <w:spacing w:line="420" w:lineRule="exact"/>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 xml:space="preserve">报价 </w:t>
            </w:r>
          </w:p>
        </w:tc>
        <w:tc>
          <w:tcPr>
            <w:tcW w:w="4520" w:type="dxa"/>
            <w:vAlign w:val="center"/>
          </w:tcPr>
          <w:p>
            <w:pPr>
              <w:spacing w:line="420" w:lineRule="exact"/>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唯一且不超预算</w:t>
            </w:r>
          </w:p>
        </w:tc>
      </w:tr>
    </w:tbl>
    <w:p>
      <w:pPr>
        <w:spacing w:line="420" w:lineRule="exact"/>
        <w:rPr>
          <w:rFonts w:cs="宋体" w:asciiTheme="minorEastAsia" w:hAnsiTheme="minorEastAsia" w:eastAsiaTheme="minorEastAsia"/>
          <w:color w:val="auto"/>
        </w:rPr>
      </w:pPr>
    </w:p>
    <w:p>
      <w:pPr>
        <w:spacing w:line="420" w:lineRule="exact"/>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1、表中只需填写“√/通过”或“×/不通过”。</w:t>
      </w:r>
    </w:p>
    <w:p>
      <w:pPr>
        <w:spacing w:line="420" w:lineRule="exact"/>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2、在结论中按“一项否决”的原则，只有全部是√/通过的，填写“合格”；只要其中有一项是</w:t>
      </w:r>
    </w:p>
    <w:p>
      <w:pPr>
        <w:spacing w:line="420" w:lineRule="exact"/>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×/不通过的，填写“不合格”。</w:t>
      </w:r>
    </w:p>
    <w:p>
      <w:pPr>
        <w:spacing w:line="420" w:lineRule="exact"/>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3、结论是合格的，才能通过初步评审。</w:t>
      </w:r>
    </w:p>
    <w:p>
      <w:pPr>
        <w:spacing w:line="420" w:lineRule="exact"/>
        <w:ind w:left="880" w:hanging="880" w:hangingChars="400"/>
        <w:rPr>
          <w:rFonts w:cs="宋体" w:asciiTheme="minorEastAsia" w:hAnsiTheme="minorEastAsia" w:eastAsiaTheme="minorEastAsia"/>
          <w:color w:val="auto"/>
        </w:rPr>
      </w:pPr>
      <w:r>
        <w:rPr>
          <w:rFonts w:cs="宋体" w:asciiTheme="minorEastAsia" w:hAnsiTheme="minorEastAsia" w:eastAsiaTheme="minorEastAsia"/>
          <w:color w:val="auto"/>
        </w:rPr>
        <w:br w:type="page"/>
      </w:r>
      <w:r>
        <w:rPr>
          <w:rFonts w:hint="eastAsia" w:cs="宋体" w:asciiTheme="minorEastAsia" w:hAnsiTheme="minorEastAsia" w:eastAsiaTheme="minorEastAsia"/>
          <w:color w:val="auto"/>
        </w:rPr>
        <w:t xml:space="preserve">附表2  </w:t>
      </w:r>
    </w:p>
    <w:p>
      <w:pPr>
        <w:spacing w:line="420" w:lineRule="exact"/>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评标标准和方法</w:t>
      </w:r>
    </w:p>
    <w:tbl>
      <w:tblPr>
        <w:tblStyle w:val="30"/>
        <w:tblW w:w="96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48"/>
        <w:gridCol w:w="7025"/>
        <w:gridCol w:w="8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1748" w:type="dxa"/>
            <w:vAlign w:val="center"/>
          </w:tcPr>
          <w:p>
            <w:pPr>
              <w:spacing w:line="420" w:lineRule="exact"/>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评分内容</w:t>
            </w:r>
          </w:p>
        </w:tc>
        <w:tc>
          <w:tcPr>
            <w:tcW w:w="7025" w:type="dxa"/>
            <w:vAlign w:val="center"/>
          </w:tcPr>
          <w:p>
            <w:pPr>
              <w:spacing w:line="420" w:lineRule="exact"/>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评分标准</w:t>
            </w:r>
          </w:p>
        </w:tc>
        <w:tc>
          <w:tcPr>
            <w:tcW w:w="851" w:type="dxa"/>
            <w:tcBorders>
              <w:bottom w:val="single" w:color="auto" w:sz="4" w:space="0"/>
            </w:tcBorders>
            <w:vAlign w:val="center"/>
          </w:tcPr>
          <w:p>
            <w:pPr>
              <w:spacing w:line="420" w:lineRule="exact"/>
              <w:rPr>
                <w:rFonts w:cs="宋体" w:asciiTheme="minorEastAsia" w:hAnsiTheme="minorEastAsia" w:eastAsiaTheme="minorEastAsia"/>
                <w:color w:val="auto"/>
              </w:rPr>
            </w:pPr>
            <w:r>
              <w:rPr>
                <w:rFonts w:hint="eastAsia" w:cs="宋体" w:asciiTheme="minorEastAsia" w:hAnsiTheme="minorEastAsia" w:eastAsiaTheme="minorEastAsia"/>
                <w:color w:val="auto"/>
              </w:rPr>
              <w:t>满分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772" w:hRule="atLeast"/>
          <w:jc w:val="center"/>
        </w:trPr>
        <w:tc>
          <w:tcPr>
            <w:tcW w:w="1748" w:type="dxa"/>
            <w:vAlign w:val="center"/>
          </w:tcPr>
          <w:p>
            <w:pPr>
              <w:spacing w:line="420" w:lineRule="exact"/>
              <w:ind w:left="880" w:hanging="880" w:hangingChars="400"/>
              <w:jc w:val="center"/>
              <w:rPr>
                <w:rFonts w:hint="default" w:cs="宋体" w:asciiTheme="minorEastAsia" w:hAnsiTheme="minorEastAsia" w:eastAsiaTheme="minorEastAsia"/>
                <w:color w:val="auto"/>
                <w:lang w:val="en-US" w:eastAsia="zh-CN"/>
              </w:rPr>
            </w:pPr>
            <w:r>
              <w:rPr>
                <w:rFonts w:cs="宋体" w:asciiTheme="minorEastAsia" w:hAnsiTheme="minorEastAsia" w:eastAsiaTheme="minorEastAsia"/>
                <w:color w:val="auto"/>
              </w:rPr>
              <w:t>项目</w:t>
            </w:r>
            <w:r>
              <w:rPr>
                <w:rFonts w:hint="eastAsia" w:cs="宋体" w:asciiTheme="minorEastAsia" w:hAnsiTheme="minorEastAsia" w:eastAsiaTheme="minorEastAsia"/>
                <w:color w:val="auto"/>
                <w:lang w:val="en-US" w:eastAsia="zh-CN"/>
              </w:rPr>
              <w:t>管理人员</w:t>
            </w:r>
          </w:p>
        </w:tc>
        <w:tc>
          <w:tcPr>
            <w:tcW w:w="7025" w:type="dxa"/>
          </w:tcPr>
          <w:p>
            <w:pPr>
              <w:numPr>
                <w:ilvl w:val="0"/>
                <w:numId w:val="0"/>
              </w:numPr>
              <w:spacing w:line="420" w:lineRule="exact"/>
              <w:ind w:leftChars="0" w:firstLine="440" w:firstLineChars="200"/>
              <w:rPr>
                <w:rFonts w:hint="eastAsia" w:cs="宋体" w:asciiTheme="minorEastAsia" w:hAnsiTheme="minorEastAsia" w:eastAsiaTheme="minorEastAsia"/>
                <w:color w:val="auto"/>
                <w:lang w:val="en-US" w:eastAsia="zh-CN"/>
              </w:rPr>
            </w:pPr>
            <w:r>
              <w:rPr>
                <w:rFonts w:hint="eastAsia" w:cs="宋体" w:asciiTheme="minorEastAsia" w:hAnsiTheme="minorEastAsia" w:eastAsiaTheme="minorEastAsia"/>
                <w:color w:val="auto"/>
                <w:lang w:val="en-US" w:eastAsia="zh-CN"/>
              </w:rPr>
              <w:t>1、项目负责人具备园林或园林绿化相关专业中级或以上职称的得10分。</w:t>
            </w:r>
          </w:p>
          <w:p>
            <w:pPr>
              <w:numPr>
                <w:ilvl w:val="0"/>
                <w:numId w:val="0"/>
              </w:numPr>
              <w:spacing w:line="420" w:lineRule="exact"/>
              <w:ind w:leftChars="0" w:firstLine="440" w:firstLineChars="200"/>
              <w:rPr>
                <w:rFonts w:hint="default" w:cs="宋体" w:asciiTheme="minorEastAsia" w:hAnsiTheme="minorEastAsia" w:eastAsiaTheme="minorEastAsia"/>
                <w:color w:val="auto"/>
                <w:lang w:val="en-US" w:eastAsia="zh-CN"/>
              </w:rPr>
            </w:pPr>
            <w:r>
              <w:rPr>
                <w:rFonts w:hint="eastAsia" w:cs="宋体" w:asciiTheme="minorEastAsia" w:hAnsiTheme="minorEastAsia" w:eastAsiaTheme="minorEastAsia"/>
                <w:color w:val="auto"/>
                <w:lang w:val="en-US" w:eastAsia="zh-CN"/>
              </w:rPr>
              <w:t>证明材料：提供职称证盖章复印件。</w:t>
            </w:r>
          </w:p>
          <w:p>
            <w:pPr>
              <w:spacing w:line="420" w:lineRule="exact"/>
              <w:ind w:firstLine="440" w:firstLineChars="200"/>
              <w:rPr>
                <w:rFonts w:hint="eastAsia" w:cs="宋体" w:asciiTheme="minorEastAsia" w:hAnsiTheme="minorEastAsia" w:eastAsiaTheme="minorEastAsia"/>
                <w:color w:val="auto"/>
                <w:lang w:val="en-US" w:eastAsia="zh-CN"/>
              </w:rPr>
            </w:pPr>
            <w:r>
              <w:rPr>
                <w:rFonts w:hint="eastAsia" w:cs="宋体" w:asciiTheme="minorEastAsia" w:hAnsiTheme="minorEastAsia" w:eastAsiaTheme="minorEastAsia"/>
                <w:color w:val="auto"/>
                <w:lang w:val="en-US" w:eastAsia="zh-CN"/>
              </w:rPr>
              <w:t>2、其他人员：配备技术负责人1人（中级或以上职称）、施工员 1 人、安全员 1 人（安全员岗位证或安考C证）、资料员 1 人，人员配备齐全得10分。</w:t>
            </w:r>
          </w:p>
          <w:p>
            <w:pPr>
              <w:spacing w:line="420" w:lineRule="exact"/>
              <w:ind w:firstLine="440" w:firstLineChars="200"/>
              <w:rPr>
                <w:rFonts w:hint="default" w:cs="宋体" w:asciiTheme="minorEastAsia" w:hAnsiTheme="minorEastAsia" w:eastAsiaTheme="minorEastAsia"/>
                <w:color w:val="auto"/>
                <w:lang w:val="en-US" w:eastAsia="zh-CN"/>
              </w:rPr>
            </w:pPr>
            <w:r>
              <w:rPr>
                <w:rFonts w:hint="eastAsia" w:cs="宋体" w:asciiTheme="minorEastAsia" w:hAnsiTheme="minorEastAsia" w:eastAsiaTheme="minorEastAsia"/>
                <w:color w:val="auto"/>
                <w:lang w:val="en-US" w:eastAsia="zh-CN"/>
              </w:rPr>
              <w:t>证明材料：技术负责人提供职称证盖章复印件；安全员岗位证或安考C证盖章复印件；其他岗位人员提供岗位证盖章复印件。</w:t>
            </w:r>
          </w:p>
        </w:tc>
        <w:tc>
          <w:tcPr>
            <w:tcW w:w="851" w:type="dxa"/>
            <w:tcBorders>
              <w:bottom w:val="single" w:color="auto" w:sz="4" w:space="0"/>
            </w:tcBorders>
            <w:vAlign w:val="center"/>
          </w:tcPr>
          <w:p>
            <w:pPr>
              <w:spacing w:line="420" w:lineRule="exact"/>
              <w:ind w:left="880" w:hanging="880" w:hangingChars="400"/>
              <w:jc w:val="center"/>
              <w:rPr>
                <w:rFonts w:hint="default" w:cs="宋体" w:asciiTheme="minorEastAsia" w:hAnsiTheme="minorEastAsia" w:eastAsiaTheme="minorEastAsia"/>
                <w:color w:val="auto"/>
                <w:lang w:val="en-US" w:eastAsia="zh-CN"/>
              </w:rPr>
            </w:pPr>
            <w:r>
              <w:rPr>
                <w:rFonts w:hint="eastAsia" w:cs="宋体" w:asciiTheme="minorEastAsia" w:hAnsiTheme="minorEastAsia" w:eastAsiaTheme="minorEastAsia"/>
                <w:color w:val="auto"/>
                <w:lang w:val="en-US" w:eastAsia="zh-CN"/>
              </w:rPr>
              <w:t>20分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90" w:hRule="atLeast"/>
          <w:jc w:val="center"/>
        </w:trPr>
        <w:tc>
          <w:tcPr>
            <w:tcW w:w="1748" w:type="dxa"/>
            <w:vAlign w:val="center"/>
          </w:tcPr>
          <w:p>
            <w:pPr>
              <w:spacing w:line="420" w:lineRule="exact"/>
              <w:ind w:left="880" w:hanging="880" w:hangingChars="400"/>
              <w:jc w:val="center"/>
              <w:rPr>
                <w:rFonts w:hint="default" w:cs="宋体" w:asciiTheme="minorEastAsia" w:hAnsiTheme="minorEastAsia" w:eastAsiaTheme="minorEastAsia"/>
                <w:color w:val="auto"/>
                <w:lang w:val="en-US" w:eastAsia="zh-CN"/>
              </w:rPr>
            </w:pPr>
            <w:r>
              <w:rPr>
                <w:rFonts w:hint="eastAsia" w:cs="宋体" w:asciiTheme="minorEastAsia" w:hAnsiTheme="minorEastAsia" w:eastAsiaTheme="minorEastAsia"/>
                <w:color w:val="auto"/>
                <w:lang w:val="en-US" w:eastAsia="zh-CN"/>
              </w:rPr>
              <w:t>施工组织设计</w:t>
            </w:r>
          </w:p>
        </w:tc>
        <w:tc>
          <w:tcPr>
            <w:tcW w:w="7025" w:type="dxa"/>
          </w:tcPr>
          <w:p>
            <w:pPr>
              <w:numPr>
                <w:ilvl w:val="0"/>
                <w:numId w:val="5"/>
              </w:numPr>
              <w:spacing w:line="420" w:lineRule="exact"/>
              <w:jc w:val="both"/>
              <w:rPr>
                <w:rFonts w:hint="eastAsia" w:cs="宋体" w:asciiTheme="minorEastAsia" w:hAnsiTheme="minorEastAsia" w:eastAsiaTheme="minorEastAsia"/>
                <w:color w:val="auto"/>
                <w:lang w:val="en-US" w:eastAsia="zh-CN"/>
              </w:rPr>
            </w:pPr>
            <w:r>
              <w:rPr>
                <w:rFonts w:hint="eastAsia" w:cs="宋体" w:asciiTheme="minorEastAsia" w:hAnsiTheme="minorEastAsia" w:eastAsiaTheme="minorEastAsia"/>
                <w:color w:val="auto"/>
                <w:lang w:val="en-US" w:eastAsia="zh-CN"/>
              </w:rPr>
              <w:t>主要施工方案（20分）：含工程特点、施工重点与难点，对施工难点有先进和合理的建议；优：20分-16分；良：15.9分-12分；一般11.9分-8分；差：7.9-0分。</w:t>
            </w:r>
          </w:p>
          <w:p>
            <w:pPr>
              <w:numPr>
                <w:ilvl w:val="0"/>
                <w:numId w:val="5"/>
              </w:numPr>
              <w:spacing w:line="420" w:lineRule="exact"/>
              <w:ind w:left="0" w:leftChars="0" w:firstLine="0" w:firstLineChars="0"/>
              <w:jc w:val="both"/>
              <w:rPr>
                <w:rFonts w:hint="eastAsia" w:cs="宋体" w:asciiTheme="minorEastAsia" w:hAnsiTheme="minorEastAsia" w:eastAsiaTheme="minorEastAsia"/>
                <w:color w:val="auto"/>
                <w:lang w:val="en-US" w:eastAsia="zh-CN"/>
              </w:rPr>
            </w:pPr>
            <w:r>
              <w:rPr>
                <w:rFonts w:hint="eastAsia" w:cs="宋体" w:asciiTheme="minorEastAsia" w:hAnsiTheme="minorEastAsia" w:eastAsiaTheme="minorEastAsia"/>
                <w:color w:val="auto"/>
                <w:lang w:val="en-US" w:eastAsia="zh-CN"/>
              </w:rPr>
              <w:t>质量管理体系与措施（10分）：组织机构形式合理，有完善的指挥系统、质量监控系统、联络协调系统，对项目提出先进、可行、具体的保证措施；优：10分-8分；良：7.9分-6分；一般5.9分-4分；差：3.9-0分。</w:t>
            </w:r>
          </w:p>
          <w:p>
            <w:pPr>
              <w:numPr>
                <w:ilvl w:val="0"/>
                <w:numId w:val="5"/>
              </w:numPr>
              <w:spacing w:line="420" w:lineRule="exact"/>
              <w:ind w:left="0" w:leftChars="0" w:firstLine="0" w:firstLineChars="0"/>
              <w:jc w:val="both"/>
              <w:rPr>
                <w:rFonts w:hint="eastAsia" w:cs="宋体" w:asciiTheme="minorEastAsia" w:hAnsiTheme="minorEastAsia" w:eastAsiaTheme="minorEastAsia"/>
                <w:color w:val="auto"/>
                <w:lang w:val="en-US" w:eastAsia="zh-CN"/>
              </w:rPr>
            </w:pPr>
            <w:r>
              <w:rPr>
                <w:rFonts w:hint="eastAsia" w:cs="宋体" w:asciiTheme="minorEastAsia" w:hAnsiTheme="minorEastAsia" w:eastAsiaTheme="minorEastAsia"/>
                <w:color w:val="auto"/>
                <w:lang w:val="en-US" w:eastAsia="zh-CN"/>
              </w:rPr>
              <w:t>安全管理体系与措施（10分）：建立施工安全生产保障体系，施工安全生产目标、现场管理人员安全生产职责明确；优：10分-8分；良：7.9分-6分；一般5.9分-4分；差：3.9-0分。</w:t>
            </w:r>
          </w:p>
          <w:p>
            <w:pPr>
              <w:numPr>
                <w:ilvl w:val="0"/>
                <w:numId w:val="0"/>
              </w:numPr>
              <w:spacing w:line="420" w:lineRule="exact"/>
              <w:ind w:leftChars="0"/>
              <w:jc w:val="both"/>
              <w:rPr>
                <w:rFonts w:hint="eastAsia" w:cs="宋体" w:asciiTheme="minorEastAsia" w:hAnsiTheme="minorEastAsia" w:eastAsiaTheme="minorEastAsia"/>
                <w:color w:val="auto"/>
                <w:lang w:val="en-US" w:eastAsia="zh-CN"/>
              </w:rPr>
            </w:pPr>
            <w:r>
              <w:rPr>
                <w:rFonts w:hint="eastAsia" w:cs="宋体" w:asciiTheme="minorEastAsia" w:hAnsiTheme="minorEastAsia" w:eastAsiaTheme="minorEastAsia"/>
                <w:color w:val="auto"/>
                <w:lang w:val="en-US" w:eastAsia="zh-CN"/>
              </w:rPr>
              <w:t>4、文明施工、环境保护管理体系（10分）：针对项目实际情况，有先进、具体、完整、可行的措施，采用规范准确、清晰；优：10分-8分；良：7.9分-6分；一般5.9分-4分；差：3.9-0分。</w:t>
            </w:r>
          </w:p>
        </w:tc>
        <w:tc>
          <w:tcPr>
            <w:tcW w:w="851" w:type="dxa"/>
            <w:tcBorders>
              <w:bottom w:val="single" w:color="auto" w:sz="4" w:space="0"/>
            </w:tcBorders>
            <w:vAlign w:val="center"/>
          </w:tcPr>
          <w:p>
            <w:pPr>
              <w:spacing w:line="420" w:lineRule="exact"/>
              <w:ind w:left="880" w:hanging="880" w:hangingChars="400"/>
              <w:jc w:val="center"/>
              <w:rPr>
                <w:rFonts w:hint="default" w:cs="宋体" w:asciiTheme="minorEastAsia" w:hAnsiTheme="minorEastAsia" w:eastAsiaTheme="minorEastAsia"/>
                <w:color w:val="auto"/>
                <w:lang w:val="en-US" w:eastAsia="zh-CN"/>
              </w:rPr>
            </w:pPr>
            <w:r>
              <w:rPr>
                <w:rFonts w:hint="eastAsia" w:cs="宋体" w:asciiTheme="minorEastAsia" w:hAnsiTheme="minorEastAsia" w:eastAsiaTheme="minorEastAsia"/>
                <w:color w:val="auto"/>
                <w:lang w:val="en-US" w:eastAsia="zh-CN"/>
              </w:rPr>
              <w:t>50分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727" w:hRule="atLeast"/>
          <w:jc w:val="center"/>
        </w:trPr>
        <w:tc>
          <w:tcPr>
            <w:tcW w:w="1748" w:type="dxa"/>
            <w:vAlign w:val="center"/>
          </w:tcPr>
          <w:p>
            <w:pPr>
              <w:spacing w:line="420" w:lineRule="exact"/>
              <w:ind w:left="880" w:hanging="880" w:hangingChars="400"/>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价格</w:t>
            </w:r>
          </w:p>
          <w:p>
            <w:pPr>
              <w:spacing w:line="420" w:lineRule="exact"/>
              <w:ind w:left="880" w:hanging="880" w:hangingChars="400"/>
              <w:jc w:val="center"/>
              <w:rPr>
                <w:rFonts w:hint="eastAsia" w:cs="宋体" w:asciiTheme="minorEastAsia" w:hAnsiTheme="minorEastAsia" w:eastAsiaTheme="minorEastAsia"/>
                <w:color w:val="auto"/>
              </w:rPr>
            </w:pPr>
          </w:p>
        </w:tc>
        <w:tc>
          <w:tcPr>
            <w:tcW w:w="7025" w:type="dxa"/>
          </w:tcPr>
          <w:p>
            <w:pPr>
              <w:spacing w:line="420" w:lineRule="exact"/>
              <w:rPr>
                <w:rFonts w:cs="宋体" w:asciiTheme="minorEastAsia" w:hAnsiTheme="minorEastAsia" w:eastAsiaTheme="minorEastAsia"/>
                <w:color w:val="auto"/>
              </w:rPr>
            </w:pPr>
            <w:r>
              <w:rPr>
                <w:rFonts w:hint="eastAsia" w:cs="宋体" w:asciiTheme="minorEastAsia" w:hAnsiTheme="minorEastAsia" w:eastAsiaTheme="minorEastAsia"/>
                <w:color w:val="auto"/>
              </w:rPr>
              <w:t>报价得分的计算方法：根据财政部《关于加强政府采购货</w:t>
            </w:r>
          </w:p>
          <w:p>
            <w:pPr>
              <w:spacing w:line="420" w:lineRule="exact"/>
              <w:rPr>
                <w:rFonts w:cs="宋体" w:asciiTheme="minorEastAsia" w:hAnsiTheme="minorEastAsia" w:eastAsiaTheme="minorEastAsia"/>
                <w:color w:val="auto"/>
              </w:rPr>
            </w:pPr>
            <w:r>
              <w:rPr>
                <w:rFonts w:hint="eastAsia" w:cs="宋体" w:asciiTheme="minorEastAsia" w:hAnsiTheme="minorEastAsia" w:eastAsiaTheme="minorEastAsia"/>
                <w:color w:val="auto"/>
              </w:rPr>
              <w:t>物和服务项目价格评审管理的通知》，综合评分法中的价格分统一采用低价优先法计算，即满足招标文件要求且投标价格最低的投标报价为评标基准价,其价格分为满分。其他投标人的价格分统一按照下列公式计算:</w:t>
            </w:r>
          </w:p>
          <w:p>
            <w:pPr>
              <w:spacing w:line="420" w:lineRule="exact"/>
              <w:ind w:left="880" w:hanging="880" w:hangingChars="400"/>
              <w:rPr>
                <w:rFonts w:cs="宋体" w:asciiTheme="minorEastAsia" w:hAnsiTheme="minorEastAsia" w:eastAsiaTheme="minorEastAsia"/>
                <w:color w:val="auto"/>
              </w:rPr>
            </w:pPr>
            <w:r>
              <w:rPr>
                <w:rFonts w:hint="eastAsia" w:cs="宋体" w:asciiTheme="minorEastAsia" w:hAnsiTheme="minorEastAsia" w:eastAsiaTheme="minorEastAsia"/>
                <w:color w:val="auto"/>
              </w:rPr>
              <w:t>价格分=（评标基准价/投标报价）×</w:t>
            </w:r>
            <w:r>
              <w:rPr>
                <w:rFonts w:hint="eastAsia" w:cs="宋体" w:asciiTheme="minorEastAsia" w:hAnsiTheme="minorEastAsia" w:eastAsiaTheme="minorEastAsia"/>
                <w:color w:val="auto"/>
                <w:lang w:val="en-US" w:eastAsia="zh-CN"/>
              </w:rPr>
              <w:t>30</w:t>
            </w:r>
            <w:r>
              <w:rPr>
                <w:rFonts w:hint="eastAsia" w:cs="宋体" w:asciiTheme="minorEastAsia" w:hAnsiTheme="minorEastAsia" w:eastAsiaTheme="minorEastAsia"/>
                <w:color w:val="auto"/>
              </w:rPr>
              <w:t>%×100</w:t>
            </w:r>
          </w:p>
          <w:p>
            <w:pPr>
              <w:spacing w:line="420" w:lineRule="exact"/>
              <w:ind w:left="880" w:leftChars="200" w:hanging="440" w:hangingChars="200"/>
              <w:rPr>
                <w:rFonts w:cs="宋体" w:asciiTheme="minorEastAsia" w:hAnsiTheme="minorEastAsia" w:eastAsiaTheme="minorEastAsia"/>
                <w:color w:val="auto"/>
              </w:rPr>
            </w:pPr>
            <w:r>
              <w:rPr>
                <w:rFonts w:hint="eastAsia" w:cs="宋体" w:asciiTheme="minorEastAsia" w:hAnsiTheme="minorEastAsia" w:eastAsiaTheme="minorEastAsia"/>
                <w:color w:val="auto"/>
              </w:rPr>
              <w:t>投标人的投标报价超过采购人设定的最高限价，将作为无</w:t>
            </w:r>
          </w:p>
          <w:p>
            <w:pPr>
              <w:spacing w:line="420" w:lineRule="exact"/>
              <w:ind w:firstLine="440" w:firstLineChars="200"/>
              <w:jc w:val="both"/>
              <w:rPr>
                <w:rFonts w:hint="eastAsia" w:cs="宋体" w:asciiTheme="minorEastAsia" w:hAnsiTheme="minorEastAsia" w:eastAsiaTheme="minorEastAsia"/>
                <w:color w:val="auto"/>
                <w:lang w:val="en-US" w:eastAsia="zh-CN"/>
              </w:rPr>
            </w:pPr>
            <w:r>
              <w:rPr>
                <w:rFonts w:hint="eastAsia" w:cs="宋体" w:asciiTheme="minorEastAsia" w:hAnsiTheme="minorEastAsia" w:eastAsiaTheme="minorEastAsia"/>
                <w:color w:val="auto"/>
              </w:rPr>
              <w:t>效标，价格是评标的重要因素之一，但最低报价不是中标的唯一依据。若评标专家一致认为某一投标人的报价为恶意报价的，其价格分按零分处理。</w:t>
            </w:r>
          </w:p>
        </w:tc>
        <w:tc>
          <w:tcPr>
            <w:tcW w:w="851" w:type="dxa"/>
            <w:tcBorders>
              <w:bottom w:val="single" w:color="auto" w:sz="4" w:space="0"/>
            </w:tcBorders>
            <w:vAlign w:val="center"/>
          </w:tcPr>
          <w:p>
            <w:pPr>
              <w:spacing w:line="420" w:lineRule="exact"/>
              <w:ind w:left="880" w:hanging="880" w:hangingChars="400"/>
              <w:jc w:val="center"/>
              <w:rPr>
                <w:rFonts w:hint="default" w:cs="宋体" w:asciiTheme="minorEastAsia" w:hAnsiTheme="minorEastAsia" w:eastAsiaTheme="minorEastAsia"/>
                <w:color w:val="auto"/>
                <w:lang w:val="en-US" w:eastAsia="zh-CN"/>
              </w:rPr>
            </w:pPr>
            <w:r>
              <w:rPr>
                <w:rFonts w:hint="eastAsia" w:cs="宋体" w:asciiTheme="minorEastAsia" w:hAnsiTheme="minorEastAsia" w:eastAsiaTheme="minorEastAsia"/>
                <w:color w:val="auto"/>
                <w:lang w:val="en-US" w:eastAsia="zh-CN"/>
              </w:rPr>
              <w:t>30分</w:t>
            </w:r>
          </w:p>
        </w:tc>
      </w:tr>
    </w:tbl>
    <w:p>
      <w:pPr>
        <w:spacing w:line="420" w:lineRule="exact"/>
        <w:jc w:val="both"/>
        <w:rPr>
          <w:rFonts w:asciiTheme="majorEastAsia" w:hAnsiTheme="majorEastAsia" w:eastAsiaTheme="majorEastAsia"/>
          <w:b/>
          <w:color w:val="auto"/>
        </w:rPr>
      </w:pPr>
    </w:p>
    <w:p>
      <w:pPr>
        <w:spacing w:line="420" w:lineRule="exact"/>
        <w:jc w:val="center"/>
        <w:rPr>
          <w:rFonts w:hint="eastAsia" w:asciiTheme="majorEastAsia" w:hAnsiTheme="majorEastAsia" w:eastAsiaTheme="majorEastAsia"/>
          <w:b/>
          <w:color w:val="auto"/>
        </w:rPr>
      </w:pPr>
    </w:p>
    <w:p>
      <w:pPr>
        <w:spacing w:line="420" w:lineRule="exact"/>
        <w:jc w:val="center"/>
        <w:rPr>
          <w:rFonts w:hint="eastAsia" w:asciiTheme="majorEastAsia" w:hAnsiTheme="majorEastAsia" w:eastAsiaTheme="majorEastAsia"/>
          <w:b/>
          <w:color w:val="auto"/>
        </w:rPr>
      </w:pPr>
    </w:p>
    <w:p>
      <w:pPr>
        <w:spacing w:line="420" w:lineRule="exact"/>
        <w:jc w:val="center"/>
        <w:rPr>
          <w:rFonts w:hint="eastAsia" w:asciiTheme="majorEastAsia" w:hAnsiTheme="majorEastAsia" w:eastAsiaTheme="majorEastAsia"/>
          <w:b/>
          <w:color w:val="auto"/>
        </w:rPr>
      </w:pPr>
    </w:p>
    <w:p>
      <w:pPr>
        <w:spacing w:line="420" w:lineRule="exact"/>
        <w:jc w:val="center"/>
        <w:rPr>
          <w:rFonts w:hint="eastAsia" w:asciiTheme="majorEastAsia" w:hAnsiTheme="majorEastAsia" w:eastAsiaTheme="majorEastAsia"/>
          <w:b/>
          <w:color w:val="auto"/>
        </w:rPr>
      </w:pPr>
    </w:p>
    <w:p>
      <w:pPr>
        <w:spacing w:line="420" w:lineRule="exact"/>
        <w:jc w:val="center"/>
        <w:rPr>
          <w:rFonts w:hint="eastAsia" w:asciiTheme="majorEastAsia" w:hAnsiTheme="majorEastAsia" w:eastAsiaTheme="majorEastAsia"/>
          <w:b/>
          <w:color w:val="auto"/>
        </w:rPr>
      </w:pPr>
    </w:p>
    <w:p>
      <w:pPr>
        <w:spacing w:line="420" w:lineRule="exact"/>
        <w:jc w:val="center"/>
        <w:rPr>
          <w:rFonts w:hint="eastAsia" w:asciiTheme="majorEastAsia" w:hAnsiTheme="majorEastAsia" w:eastAsiaTheme="majorEastAsia"/>
          <w:b/>
          <w:color w:val="auto"/>
        </w:rPr>
      </w:pPr>
    </w:p>
    <w:p>
      <w:pPr>
        <w:spacing w:line="420" w:lineRule="exact"/>
        <w:jc w:val="center"/>
        <w:rPr>
          <w:rFonts w:hint="eastAsia" w:asciiTheme="majorEastAsia" w:hAnsiTheme="majorEastAsia" w:eastAsiaTheme="majorEastAsia"/>
          <w:b/>
          <w:color w:val="auto"/>
        </w:rPr>
      </w:pPr>
    </w:p>
    <w:p>
      <w:pPr>
        <w:spacing w:line="420" w:lineRule="exact"/>
        <w:jc w:val="center"/>
        <w:rPr>
          <w:rFonts w:hint="eastAsia" w:asciiTheme="majorEastAsia" w:hAnsiTheme="majorEastAsia" w:eastAsiaTheme="majorEastAsia"/>
          <w:b/>
          <w:color w:val="auto"/>
        </w:rPr>
      </w:pPr>
    </w:p>
    <w:p>
      <w:pPr>
        <w:spacing w:line="420" w:lineRule="exact"/>
        <w:jc w:val="center"/>
        <w:rPr>
          <w:rFonts w:hint="eastAsia" w:asciiTheme="majorEastAsia" w:hAnsiTheme="majorEastAsia" w:eastAsiaTheme="majorEastAsia"/>
          <w:b/>
          <w:color w:val="auto"/>
        </w:rPr>
      </w:pPr>
    </w:p>
    <w:p>
      <w:pPr>
        <w:spacing w:line="420" w:lineRule="exact"/>
        <w:jc w:val="center"/>
        <w:rPr>
          <w:rFonts w:hint="eastAsia" w:asciiTheme="majorEastAsia" w:hAnsiTheme="majorEastAsia" w:eastAsiaTheme="majorEastAsia"/>
          <w:b/>
          <w:color w:val="auto"/>
        </w:rPr>
      </w:pPr>
    </w:p>
    <w:p>
      <w:pPr>
        <w:spacing w:line="420" w:lineRule="exact"/>
        <w:jc w:val="center"/>
        <w:rPr>
          <w:rFonts w:hint="eastAsia" w:asciiTheme="majorEastAsia" w:hAnsiTheme="majorEastAsia" w:eastAsiaTheme="majorEastAsia"/>
          <w:b/>
          <w:color w:val="auto"/>
        </w:rPr>
      </w:pPr>
    </w:p>
    <w:p>
      <w:pPr>
        <w:spacing w:line="420" w:lineRule="exact"/>
        <w:jc w:val="center"/>
        <w:rPr>
          <w:rFonts w:hint="eastAsia" w:asciiTheme="majorEastAsia" w:hAnsiTheme="majorEastAsia" w:eastAsiaTheme="majorEastAsia"/>
          <w:b/>
          <w:color w:val="auto"/>
        </w:rPr>
      </w:pPr>
    </w:p>
    <w:p>
      <w:pPr>
        <w:spacing w:line="420" w:lineRule="exact"/>
        <w:jc w:val="center"/>
        <w:rPr>
          <w:rFonts w:hint="eastAsia" w:asciiTheme="majorEastAsia" w:hAnsiTheme="majorEastAsia" w:eastAsiaTheme="majorEastAsia"/>
          <w:b/>
          <w:color w:val="auto"/>
          <w:sz w:val="30"/>
          <w:szCs w:val="30"/>
        </w:rPr>
      </w:pPr>
    </w:p>
    <w:p>
      <w:pPr>
        <w:spacing w:line="420" w:lineRule="exact"/>
        <w:jc w:val="center"/>
        <w:rPr>
          <w:rFonts w:asciiTheme="majorEastAsia" w:hAnsiTheme="majorEastAsia" w:eastAsiaTheme="majorEastAsia"/>
          <w:bCs/>
          <w:color w:val="auto"/>
          <w:sz w:val="30"/>
          <w:szCs w:val="30"/>
        </w:rPr>
      </w:pPr>
      <w:r>
        <w:rPr>
          <w:rFonts w:hint="eastAsia" w:asciiTheme="majorEastAsia" w:hAnsiTheme="majorEastAsia" w:eastAsiaTheme="majorEastAsia"/>
          <w:b/>
          <w:color w:val="auto"/>
          <w:sz w:val="30"/>
          <w:szCs w:val="30"/>
        </w:rPr>
        <w:t>最后磋商报价</w:t>
      </w:r>
    </w:p>
    <w:p>
      <w:pPr>
        <w:pStyle w:val="28"/>
        <w:tabs>
          <w:tab w:val="left" w:pos="3315"/>
        </w:tabs>
        <w:spacing w:before="0" w:beforeAutospacing="0" w:after="0" w:afterAutospacing="0" w:line="360" w:lineRule="auto"/>
        <w:ind w:left="-942" w:leftChars="-428" w:firstLine="107" w:firstLineChars="49"/>
        <w:rPr>
          <w:rFonts w:asciiTheme="majorEastAsia" w:hAnsiTheme="majorEastAsia" w:eastAsiaTheme="majorEastAsia"/>
          <w:color w:val="auto"/>
          <w:sz w:val="22"/>
          <w:szCs w:val="22"/>
        </w:rPr>
      </w:pPr>
      <w:r>
        <w:rPr>
          <w:rFonts w:hint="eastAsia" w:asciiTheme="majorEastAsia" w:hAnsiTheme="majorEastAsia" w:eastAsiaTheme="majorEastAsia"/>
          <w:color w:val="auto"/>
          <w:sz w:val="22"/>
          <w:szCs w:val="22"/>
        </w:rPr>
        <w:t xml:space="preserve">                                                </w:t>
      </w:r>
      <w:r>
        <w:rPr>
          <w:rFonts w:hint="eastAsia" w:asciiTheme="majorEastAsia" w:hAnsiTheme="majorEastAsia" w:eastAsiaTheme="majorEastAsia"/>
          <w:b/>
          <w:bCs/>
          <w:color w:val="auto"/>
          <w:sz w:val="22"/>
          <w:szCs w:val="22"/>
        </w:rPr>
        <w:t xml:space="preserve">日期：2021年    月  </w:t>
      </w:r>
      <w:r>
        <w:rPr>
          <w:rFonts w:hint="eastAsia" w:asciiTheme="majorEastAsia" w:hAnsiTheme="majorEastAsia" w:eastAsiaTheme="majorEastAsia"/>
          <w:b/>
          <w:bCs/>
          <w:color w:val="auto"/>
          <w:sz w:val="22"/>
          <w:szCs w:val="22"/>
          <w:lang w:val="en-US" w:eastAsia="zh-CN"/>
        </w:rPr>
        <w:t xml:space="preserve"> </w:t>
      </w:r>
      <w:r>
        <w:rPr>
          <w:rFonts w:hint="eastAsia" w:asciiTheme="majorEastAsia" w:hAnsiTheme="majorEastAsia" w:eastAsiaTheme="majorEastAsia"/>
          <w:b/>
          <w:bCs/>
          <w:color w:val="auto"/>
          <w:sz w:val="22"/>
          <w:szCs w:val="22"/>
        </w:rPr>
        <w:t xml:space="preserve"> 日</w:t>
      </w:r>
    </w:p>
    <w:p>
      <w:pPr>
        <w:rPr>
          <w:rFonts w:asciiTheme="majorEastAsia" w:hAnsiTheme="majorEastAsia" w:eastAsiaTheme="majorEastAsia"/>
          <w:color w:val="auto"/>
        </w:rPr>
      </w:pPr>
    </w:p>
    <w:tbl>
      <w:tblPr>
        <w:tblStyle w:val="30"/>
        <w:tblW w:w="907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trPr>
        <w:tc>
          <w:tcPr>
            <w:tcW w:w="2410" w:type="dxa"/>
            <w:tcBorders>
              <w:top w:val="single" w:color="auto" w:sz="4" w:space="0"/>
              <w:left w:val="single" w:color="auto" w:sz="4" w:space="0"/>
              <w:bottom w:val="single" w:color="auto" w:sz="4" w:space="0"/>
              <w:right w:val="single" w:color="auto" w:sz="4" w:space="0"/>
            </w:tcBorders>
            <w:vAlign w:val="center"/>
          </w:tcPr>
          <w:p>
            <w:pPr>
              <w:ind w:left="880" w:hanging="880" w:hangingChars="400"/>
              <w:jc w:val="center"/>
              <w:rPr>
                <w:rFonts w:cs="宋体" w:asciiTheme="majorEastAsia" w:hAnsiTheme="majorEastAsia" w:eastAsiaTheme="majorEastAsia"/>
                <w:color w:val="auto"/>
              </w:rPr>
            </w:pPr>
            <w:r>
              <w:rPr>
                <w:rFonts w:hint="eastAsia" w:cs="宋体" w:asciiTheme="majorEastAsia" w:hAnsiTheme="majorEastAsia" w:eastAsiaTheme="majorEastAsia"/>
                <w:color w:val="auto"/>
              </w:rPr>
              <w:t>项目名称</w:t>
            </w:r>
          </w:p>
        </w:tc>
        <w:tc>
          <w:tcPr>
            <w:tcW w:w="6665" w:type="dxa"/>
            <w:tcBorders>
              <w:top w:val="single" w:color="auto" w:sz="4" w:space="0"/>
              <w:left w:val="single" w:color="auto" w:sz="4" w:space="0"/>
              <w:bottom w:val="single" w:color="auto" w:sz="4" w:space="0"/>
              <w:right w:val="single" w:color="auto" w:sz="4" w:space="0"/>
            </w:tcBorders>
            <w:vAlign w:val="center"/>
          </w:tcPr>
          <w:p>
            <w:pPr>
              <w:spacing w:line="360" w:lineRule="exact"/>
              <w:ind w:left="1100" w:hanging="1200" w:hangingChars="500"/>
              <w:rPr>
                <w:rFonts w:cs="宋体" w:asciiTheme="majorEastAsia" w:hAnsiTheme="majorEastAsia" w:eastAsiaTheme="majorEastAsia"/>
                <w:bCs/>
                <w:color w:val="auto"/>
                <w:kern w:val="32"/>
              </w:rPr>
            </w:pPr>
            <w:r>
              <w:rPr>
                <w:rFonts w:hint="eastAsia" w:ascii="宋体" w:hAnsi="宋体" w:eastAsia="宋体"/>
                <w:sz w:val="24"/>
                <w:u w:val="none"/>
              </w:rPr>
              <w:t>临高县皇桐镇古银瀑布绿化项目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auto"/>
              </w:rPr>
            </w:pPr>
            <w:r>
              <w:rPr>
                <w:rFonts w:hint="eastAsia" w:cs="宋体" w:asciiTheme="majorEastAsia" w:hAnsiTheme="majorEastAsia" w:eastAsiaTheme="majorEastAsia"/>
                <w:color w:val="auto"/>
              </w:rPr>
              <w:t>项目编号</w:t>
            </w:r>
          </w:p>
        </w:tc>
        <w:tc>
          <w:tcPr>
            <w:tcW w:w="6665" w:type="dxa"/>
            <w:tcBorders>
              <w:top w:val="single" w:color="auto" w:sz="4" w:space="0"/>
              <w:left w:val="single" w:color="auto" w:sz="4" w:space="0"/>
              <w:bottom w:val="single" w:color="auto" w:sz="4" w:space="0"/>
              <w:right w:val="single" w:color="auto" w:sz="4" w:space="0"/>
            </w:tcBorders>
            <w:vAlign w:val="center"/>
          </w:tcPr>
          <w:p>
            <w:pPr>
              <w:pStyle w:val="13"/>
              <w:tabs>
                <w:tab w:val="left" w:pos="8360"/>
              </w:tabs>
              <w:spacing w:line="420" w:lineRule="exact"/>
              <w:ind w:firstLine="540"/>
              <w:jc w:val="left"/>
              <w:rPr>
                <w:rFonts w:hint="default" w:cs="宋体" w:asciiTheme="majorEastAsia" w:hAnsiTheme="majorEastAsia" w:eastAsiaTheme="majorEastAsia"/>
                <w:color w:val="auto"/>
                <w:sz w:val="22"/>
                <w:szCs w:val="22"/>
                <w:lang w:val="en-US" w:eastAsia="zh-CN"/>
              </w:rPr>
            </w:pPr>
            <w:r>
              <w:rPr>
                <w:rFonts w:hint="eastAsia" w:cs="宋体" w:asciiTheme="majorEastAsia" w:hAnsiTheme="majorEastAsia" w:eastAsiaTheme="majorEastAsia"/>
                <w:color w:val="auto"/>
                <w:sz w:val="22"/>
                <w:szCs w:val="22"/>
                <w:lang w:val="en-US" w:eastAsia="zh-CN"/>
              </w:rPr>
              <w:t>HNZXY2021-098</w:t>
            </w:r>
          </w:p>
          <w:p>
            <w:pPr>
              <w:rPr>
                <w:rFonts w:cs="宋体" w:asciiTheme="majorEastAsia" w:hAnsiTheme="majorEastAsia" w:eastAsiaTheme="majorEastAsia"/>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trPr>
        <w:tc>
          <w:tcPr>
            <w:tcW w:w="2410" w:type="dxa"/>
            <w:tcBorders>
              <w:top w:val="single" w:color="auto" w:sz="4" w:space="0"/>
              <w:left w:val="single" w:color="auto" w:sz="4" w:space="0"/>
              <w:bottom w:val="single" w:color="auto" w:sz="4" w:space="0"/>
              <w:right w:val="single" w:color="auto" w:sz="4" w:space="0"/>
            </w:tcBorders>
            <w:vAlign w:val="center"/>
          </w:tcPr>
          <w:p>
            <w:pPr>
              <w:ind w:left="-262" w:leftChars="-119" w:firstLine="228" w:firstLineChars="104"/>
              <w:jc w:val="center"/>
              <w:rPr>
                <w:rFonts w:cs="宋体" w:asciiTheme="majorEastAsia" w:hAnsiTheme="majorEastAsia" w:eastAsiaTheme="majorEastAsia"/>
                <w:color w:val="auto"/>
              </w:rPr>
            </w:pPr>
            <w:r>
              <w:rPr>
                <w:rFonts w:hint="eastAsia" w:cs="宋体" w:asciiTheme="majorEastAsia" w:hAnsiTheme="majorEastAsia" w:eastAsiaTheme="majorEastAsia"/>
                <w:color w:val="auto"/>
              </w:rPr>
              <w:t>投标人名称（盖章）：</w:t>
            </w:r>
          </w:p>
        </w:tc>
        <w:tc>
          <w:tcPr>
            <w:tcW w:w="666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auto"/>
              </w:rPr>
            </w:pPr>
            <w:r>
              <w:rPr>
                <w:rFonts w:hint="eastAsia" w:cs="宋体" w:asciiTheme="majorEastAsia" w:hAnsiTheme="majorEastAsia" w:eastAsiaTheme="majorEastAsia"/>
                <w:color w:val="auto"/>
              </w:rPr>
              <w:t>报价</w:t>
            </w:r>
          </w:p>
          <w:p>
            <w:pPr>
              <w:jc w:val="center"/>
              <w:rPr>
                <w:rFonts w:cs="宋体" w:asciiTheme="majorEastAsia" w:hAnsiTheme="majorEastAsia" w:eastAsiaTheme="majorEastAsia"/>
                <w:color w:val="auto"/>
              </w:rPr>
            </w:pPr>
            <w:r>
              <w:rPr>
                <w:rFonts w:hint="eastAsia" w:cs="宋体" w:asciiTheme="majorEastAsia" w:hAnsiTheme="majorEastAsia" w:eastAsiaTheme="majorEastAsia"/>
                <w:color w:val="auto"/>
              </w:rPr>
              <w:t>（单位：元）</w:t>
            </w:r>
          </w:p>
        </w:tc>
        <w:tc>
          <w:tcPr>
            <w:tcW w:w="6665"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color w:val="auto"/>
              </w:rPr>
            </w:pPr>
            <w:r>
              <w:rPr>
                <w:rFonts w:hint="eastAsia" w:cs="宋体" w:asciiTheme="majorEastAsia" w:hAnsiTheme="majorEastAsia" w:eastAsiaTheme="majorEastAsia"/>
                <w:color w:val="auto"/>
              </w:rPr>
              <w:t xml:space="preserve"> 大写：</w:t>
            </w:r>
          </w:p>
          <w:p>
            <w:pPr>
              <w:ind w:firstLine="107" w:firstLineChars="49"/>
              <w:rPr>
                <w:rFonts w:cs="宋体" w:asciiTheme="majorEastAsia" w:hAnsiTheme="majorEastAsia" w:eastAsiaTheme="majorEastAsia"/>
                <w:bCs/>
                <w:color w:val="auto"/>
              </w:rPr>
            </w:pPr>
            <w:r>
              <w:rPr>
                <w:rFonts w:hint="eastAsia" w:cs="宋体" w:asciiTheme="majorEastAsia" w:hAnsiTheme="majorEastAsia" w:eastAsiaTheme="majorEastAsia"/>
                <w:color w:val="auto"/>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auto"/>
              </w:rPr>
            </w:pPr>
            <w:r>
              <w:rPr>
                <w:rFonts w:hint="eastAsia" w:asciiTheme="majorEastAsia" w:hAnsiTheme="majorEastAsia" w:eastAsiaTheme="majorEastAsia"/>
                <w:color w:val="auto"/>
              </w:rPr>
              <w:t>法定代表人或授权代理人签字</w:t>
            </w:r>
          </w:p>
        </w:tc>
        <w:tc>
          <w:tcPr>
            <w:tcW w:w="666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olor w:val="auto"/>
              </w:rPr>
            </w:pPr>
            <w:r>
              <w:rPr>
                <w:rFonts w:hint="eastAsia" w:asciiTheme="majorEastAsia" w:hAnsiTheme="majorEastAsia" w:eastAsiaTheme="majorEastAsia"/>
                <w:color w:val="auto"/>
              </w:rPr>
              <w:t>备注</w:t>
            </w:r>
          </w:p>
        </w:tc>
        <w:tc>
          <w:tcPr>
            <w:tcW w:w="666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auto"/>
              </w:rPr>
            </w:pPr>
          </w:p>
        </w:tc>
      </w:tr>
    </w:tbl>
    <w:p>
      <w:pPr>
        <w:autoSpaceDE w:val="0"/>
        <w:autoSpaceDN w:val="0"/>
        <w:spacing w:line="460" w:lineRule="exact"/>
        <w:rPr>
          <w:rFonts w:cs="宋体" w:asciiTheme="majorEastAsia" w:hAnsiTheme="majorEastAsia" w:eastAsiaTheme="majorEastAsia"/>
          <w:color w:val="auto"/>
          <w:spacing w:val="8"/>
          <w:u w:val="single"/>
        </w:rPr>
      </w:pPr>
    </w:p>
    <w:p>
      <w:pPr>
        <w:autoSpaceDE w:val="0"/>
        <w:autoSpaceDN w:val="0"/>
        <w:spacing w:line="460" w:lineRule="exact"/>
        <w:rPr>
          <w:rFonts w:cs="宋体" w:asciiTheme="majorEastAsia" w:hAnsiTheme="majorEastAsia" w:eastAsiaTheme="majorEastAsia"/>
          <w:color w:val="auto"/>
          <w:spacing w:val="8"/>
          <w:u w:val="single"/>
        </w:rPr>
      </w:pPr>
    </w:p>
    <w:p>
      <w:pPr>
        <w:spacing w:line="420" w:lineRule="exact"/>
        <w:ind w:left="880" w:hanging="880" w:hangingChars="400"/>
        <w:jc w:val="center"/>
        <w:rPr>
          <w:rFonts w:cs="宋体" w:asciiTheme="minorEastAsia" w:hAnsiTheme="minorEastAsia" w:eastAsiaTheme="minorEastAsia"/>
          <w:color w:val="auto"/>
        </w:rPr>
      </w:pPr>
    </w:p>
    <w:sectPr>
      <w:pgSz w:w="11906" w:h="16838"/>
      <w:pgMar w:top="1440" w:right="1531" w:bottom="1440" w:left="1531" w:header="850" w:footer="992" w:gutter="0"/>
      <w:cols w:space="720" w:num="1"/>
      <w:docGrid w:type="lines" w:linePitch="31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0</w:t>
                    </w:r>
                    <w:r>
                      <w:fldChar w:fldCharType="end"/>
                    </w:r>
                  </w:p>
                </w:txbxContent>
              </v:textbox>
            </v:shape>
          </w:pict>
        </mc:Fallback>
      </mc:AlternateContent>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rPr>
                              <w:color w:val="FFFFFF" w:themeColor="background1"/>
                              <w14:textFill>
                                <w14:solidFill>
                                  <w14:schemeClr w14:val="bg1"/>
                                </w14:solidFill>
                              </w14:textFill>
                            </w:rPr>
                            <w:fldChar w:fldCharType="begin"/>
                          </w:r>
                          <w:r>
                            <w:rPr>
                              <w:color w:val="FFFFFF" w:themeColor="background1"/>
                              <w14:textFill>
                                <w14:solidFill>
                                  <w14:schemeClr w14:val="bg1"/>
                                </w14:solidFill>
                              </w14:textFill>
                            </w:rPr>
                            <w:instrText xml:space="preserve"> PAGE  \* MERGEFORMAT </w:instrText>
                          </w:r>
                          <w:r>
                            <w:rPr>
                              <w:color w:val="FFFFFF" w:themeColor="background1"/>
                              <w14:textFill>
                                <w14:solidFill>
                                  <w14:schemeClr w14:val="bg1"/>
                                </w14:solidFill>
                              </w14:textFill>
                            </w:rPr>
                            <w:fldChar w:fldCharType="separate"/>
                          </w:r>
                          <w:r>
                            <w:rPr>
                              <w:color w:val="FFFFFF" w:themeColor="background1"/>
                              <w14:textFill>
                                <w14:solidFill>
                                  <w14:schemeClr w14:val="bg1"/>
                                </w14:solidFill>
                              </w14:textFill>
                            </w:rPr>
                            <w:t>0</w:t>
                          </w:r>
                          <w:r>
                            <w:rPr>
                              <w:color w:val="FFFFFF" w:themeColor="background1"/>
                              <w14:textFill>
                                <w14:solidFill>
                                  <w14:schemeClr w14:val="bg1"/>
                                </w14:solidFill>
                              </w14:textFill>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8"/>
                    </w:pPr>
                    <w:r>
                      <w:rPr>
                        <w:color w:val="FFFFFF" w:themeColor="background1"/>
                        <w14:textFill>
                          <w14:solidFill>
                            <w14:schemeClr w14:val="bg1"/>
                          </w14:solidFill>
                        </w14:textFill>
                      </w:rPr>
                      <w:fldChar w:fldCharType="begin"/>
                    </w:r>
                    <w:r>
                      <w:rPr>
                        <w:color w:val="FFFFFF" w:themeColor="background1"/>
                        <w14:textFill>
                          <w14:solidFill>
                            <w14:schemeClr w14:val="bg1"/>
                          </w14:solidFill>
                        </w14:textFill>
                      </w:rPr>
                      <w:instrText xml:space="preserve"> PAGE  \* MERGEFORMAT </w:instrText>
                    </w:r>
                    <w:r>
                      <w:rPr>
                        <w:color w:val="FFFFFF" w:themeColor="background1"/>
                        <w14:textFill>
                          <w14:solidFill>
                            <w14:schemeClr w14:val="bg1"/>
                          </w14:solidFill>
                        </w14:textFill>
                      </w:rPr>
                      <w:fldChar w:fldCharType="separate"/>
                    </w:r>
                    <w:r>
                      <w:rPr>
                        <w:color w:val="FFFFFF" w:themeColor="background1"/>
                        <w14:textFill>
                          <w14:solidFill>
                            <w14:schemeClr w14:val="bg1"/>
                          </w14:solidFill>
                        </w14:textFill>
                      </w:rPr>
                      <w:t>0</w:t>
                    </w:r>
                    <w:r>
                      <w:rPr>
                        <w:color w:val="FFFFFF" w:themeColor="background1"/>
                        <w14:textFill>
                          <w14:solidFill>
                            <w14:schemeClr w14:val="bg1"/>
                          </w14:solidFill>
                        </w14:textFill>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2</w:t>
                    </w:r>
                    <w:r>
                      <w:fldChar w:fldCharType="end"/>
                    </w:r>
                  </w:p>
                </w:txbxContent>
              </v:textbox>
            </v:shape>
          </w:pict>
        </mc:Fallback>
      </mc:AlternateContent>
    </w:r>
  </w:p>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34"/>
      </w:rPr>
    </w:pPr>
    <w:r>
      <w:fldChar w:fldCharType="begin"/>
    </w:r>
    <w:r>
      <w:rPr>
        <w:rStyle w:val="34"/>
      </w:rPr>
      <w:instrText xml:space="preserve">PAGE  </w:instrText>
    </w:r>
    <w:r>
      <w:fldChar w:fldCharType="end"/>
    </w:r>
  </w:p>
  <w:p>
    <w:pPr>
      <w:pStyle w:val="1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17</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25095" cy="264795"/>
              <wp:effectExtent l="0" t="0" r="0" b="0"/>
              <wp:wrapNone/>
              <wp:docPr id="2" name="文本框 7"/>
              <wp:cNvGraphicFramePr/>
              <a:graphic xmlns:a="http://schemas.openxmlformats.org/drawingml/2006/main">
                <a:graphicData uri="http://schemas.microsoft.com/office/word/2010/wordprocessingShape">
                  <wps:wsp>
                    <wps:cNvSpPr txBox="1">
                      <a:spLocks noChangeArrowheads="1"/>
                    </wps:cNvSpPr>
                    <wps:spPr bwMode="auto">
                      <a:xfrm>
                        <a:off x="0" y="0"/>
                        <a:ext cx="125095" cy="264795"/>
                      </a:xfrm>
                      <a:prstGeom prst="rect">
                        <a:avLst/>
                      </a:prstGeom>
                      <a:noFill/>
                      <a:ln>
                        <a:noFill/>
                      </a:ln>
                    </wps:spPr>
                    <wps:txbx>
                      <w:txbxContent>
                        <w:p>
                          <w:pPr>
                            <w:pStyle w:val="18"/>
                            <w:jc w:val="center"/>
                          </w:pPr>
                        </w:p>
                      </w:txbxContent>
                    </wps:txbx>
                    <wps:bodyPr rot="0" vert="horz" wrap="none" lIns="0" tIns="0" rIns="0" bIns="0" anchor="t" anchorCtr="0" upright="1">
                      <a:spAutoFit/>
                    </wps:bodyPr>
                  </wps:wsp>
                </a:graphicData>
              </a:graphic>
            </wp:anchor>
          </w:drawing>
        </mc:Choice>
        <mc:Fallback>
          <w:pict>
            <v:shape id="文本框 7" o:spid="_x0000_s1026" o:spt="202" type="#_x0000_t202" style="position:absolute;left:0pt;margin-top:0pt;height:20.85pt;width:9.85pt;mso-position-horizontal:center;mso-position-horizontal-relative:margin;mso-wrap-style:none;z-index:251659264;mso-width-relative:page;mso-height-relative:page;" filled="f" stroked="f" coordsize="21600,21600" o:gfxdata="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l7yGfRAAAAAwEAAA8AAAAAAAAAAQAgAAAAIgAAAGRycy9k&#10;b3ducmV2LnhtbFBLAQIUABQAAAAIAIdO4kBaXcLICQIAAAIEAAAOAAAAAAAAAAEAIAAAACABAABk&#10;cnMvZTJvRG9jLnhtbFBLBQYAAAAABgAGAFkBAACbBQAAAAA=&#10;">
              <v:fill on="f" focussize="0,0"/>
              <v:stroke on="f"/>
              <v:imagedata o:title=""/>
              <o:lock v:ext="edit" aspectratio="f"/>
              <v:textbox inset="0mm,0mm,0mm,0mm" style="mso-fit-shape-to-text:t;">
                <w:txbxContent>
                  <w:p>
                    <w:pPr>
                      <w:pStyle w:val="18"/>
                      <w:jc w:val="center"/>
                    </w:pPr>
                  </w:p>
                </w:txbxContent>
              </v:textbox>
            </v:shape>
          </w:pict>
        </mc:Fallback>
      </mc:AlternateContent>
    </w:r>
  </w:p>
  <w:p>
    <w:pPr>
      <w:pStyle w:val="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singleLevel"/>
    <w:tmpl w:val="00000007"/>
    <w:lvl w:ilvl="0" w:tentative="0">
      <w:start w:val="13"/>
      <w:numFmt w:val="decimal"/>
      <w:suff w:val="nothing"/>
      <w:lvlText w:val="%1．"/>
      <w:lvlJc w:val="left"/>
    </w:lvl>
  </w:abstractNum>
  <w:abstractNum w:abstractNumId="1">
    <w:nsid w:val="00000008"/>
    <w:multiLevelType w:val="singleLevel"/>
    <w:tmpl w:val="00000008"/>
    <w:lvl w:ilvl="0" w:tentative="0">
      <w:start w:val="5"/>
      <w:numFmt w:val="chineseCounting"/>
      <w:suff w:val="nothing"/>
      <w:lvlText w:val="%1、"/>
      <w:lvlJc w:val="left"/>
    </w:lvl>
  </w:abstractNum>
  <w:abstractNum w:abstractNumId="2">
    <w:nsid w:val="1F7D3287"/>
    <w:multiLevelType w:val="multilevel"/>
    <w:tmpl w:val="1F7D3287"/>
    <w:lvl w:ilvl="0" w:tentative="0">
      <w:start w:val="1"/>
      <w:numFmt w:val="decimal"/>
      <w:lvlText w:val="第%1章"/>
      <w:lvlJc w:val="left"/>
      <w:pPr>
        <w:tabs>
          <w:tab w:val="left" w:pos="425"/>
        </w:tabs>
        <w:ind w:left="0" w:firstLine="0"/>
      </w:pPr>
      <w:rPr>
        <w:rFonts w:hint="eastAsia"/>
        <w:b w:val="0"/>
        <w:bCs w:val="0"/>
        <w:i w:val="0"/>
        <w:iCs w:val="0"/>
        <w:caps w:val="0"/>
        <w:smallCaps w:val="0"/>
        <w:strike w:val="0"/>
        <w:dstrike w:val="0"/>
        <w:vanish w:val="0"/>
        <w:color w:val="000000"/>
        <w:spacing w:val="0"/>
        <w:position w:val="0"/>
        <w:sz w:val="44"/>
        <w:u w:val="none"/>
        <w:vertAlign w:val="baseline"/>
        <w14:shadow w14:blurRad="0" w14:dist="0" w14:dir="0" w14:sx="0" w14:sy="0" w14:kx="0" w14:ky="0" w14:algn="none">
          <w14:srgbClr w14:val="000000"/>
        </w14:shadow>
      </w:rPr>
    </w:lvl>
    <w:lvl w:ilvl="1" w:tentative="0">
      <w:start w:val="1"/>
      <w:numFmt w:val="decimal"/>
      <w:isLgl/>
      <w:lvlText w:val="%1.%2"/>
      <w:lvlJc w:val="left"/>
      <w:pPr>
        <w:tabs>
          <w:tab w:val="left" w:pos="425"/>
        </w:tabs>
        <w:ind w:left="0" w:firstLine="0"/>
      </w:pPr>
      <w:rPr>
        <w:rFonts w:hint="eastAsia"/>
        <w:b w:val="0"/>
        <w:i w:val="0"/>
        <w:color w:val="000000"/>
      </w:rPr>
    </w:lvl>
    <w:lvl w:ilvl="2" w:tentative="0">
      <w:start w:val="1"/>
      <w:numFmt w:val="decimal"/>
      <w:pStyle w:val="4"/>
      <w:isLgl/>
      <w:lvlText w:val="%1.%2.%3"/>
      <w:lvlJc w:val="left"/>
      <w:pPr>
        <w:tabs>
          <w:tab w:val="left" w:pos="425"/>
        </w:tabs>
        <w:ind w:left="0" w:firstLine="0"/>
      </w:pPr>
      <w:rPr>
        <w:rFonts w:hint="eastAsia"/>
      </w:rPr>
    </w:lvl>
    <w:lvl w:ilvl="3" w:tentative="0">
      <w:start w:val="1"/>
      <w:numFmt w:val="decimal"/>
      <w:isLgl/>
      <w:lvlText w:val="%1.%2.%3.%4"/>
      <w:lvlJc w:val="left"/>
      <w:pPr>
        <w:tabs>
          <w:tab w:val="left" w:pos="425"/>
        </w:tabs>
        <w:ind w:left="0" w:firstLine="0"/>
      </w:pPr>
      <w:rPr>
        <w:rFonts w:hint="eastAsia"/>
      </w:rPr>
    </w:lvl>
    <w:lvl w:ilvl="4" w:tentative="0">
      <w:start w:val="1"/>
      <w:numFmt w:val="decimal"/>
      <w:isLgl/>
      <w:lvlText w:val="%1.%2.%3.%4.%5"/>
      <w:lvlJc w:val="left"/>
      <w:pPr>
        <w:tabs>
          <w:tab w:val="left" w:pos="425"/>
        </w:tabs>
        <w:ind w:left="0" w:firstLine="0"/>
      </w:pPr>
      <w:rPr>
        <w:rFonts w:hint="eastAsia"/>
        <w:b/>
      </w:rPr>
    </w:lvl>
    <w:lvl w:ilvl="5" w:tentative="0">
      <w:start w:val="1"/>
      <w:numFmt w:val="decimal"/>
      <w:isLgl/>
      <w:lvlText w:val="%1.%2.%3.%4.%5.%6"/>
      <w:lvlJc w:val="left"/>
      <w:pPr>
        <w:tabs>
          <w:tab w:val="left" w:pos="425"/>
        </w:tabs>
        <w:ind w:left="0" w:firstLine="0"/>
      </w:pPr>
      <w:rPr>
        <w:rFonts w:hint="eastAsia"/>
      </w:rPr>
    </w:lvl>
    <w:lvl w:ilvl="6" w:tentative="0">
      <w:start w:val="1"/>
      <w:numFmt w:val="decimal"/>
      <w:isLgl/>
      <w:lvlText w:val="%1.%2.%3.%4.%5.%6.%7"/>
      <w:lvlJc w:val="left"/>
      <w:pPr>
        <w:tabs>
          <w:tab w:val="left" w:pos="425"/>
        </w:tabs>
        <w:ind w:left="0" w:firstLine="0"/>
      </w:pPr>
      <w:rPr>
        <w:rFonts w:hint="eastAsia"/>
      </w:rPr>
    </w:lvl>
    <w:lvl w:ilvl="7" w:tentative="0">
      <w:start w:val="1"/>
      <w:numFmt w:val="decimal"/>
      <w:isLgl/>
      <w:lvlText w:val="%1.%2.%3.%4.%5.%6.%7.%8"/>
      <w:lvlJc w:val="left"/>
      <w:pPr>
        <w:tabs>
          <w:tab w:val="left" w:pos="425"/>
        </w:tabs>
        <w:ind w:left="0" w:firstLine="0"/>
      </w:pPr>
      <w:rPr>
        <w:rFonts w:hint="eastAsia"/>
      </w:rPr>
    </w:lvl>
    <w:lvl w:ilvl="8" w:tentative="0">
      <w:start w:val="1"/>
      <w:numFmt w:val="decimal"/>
      <w:isLgl/>
      <w:lvlText w:val="%1.%2.%3.%4.%5.%6.%7.%8.%9"/>
      <w:lvlJc w:val="left"/>
      <w:pPr>
        <w:tabs>
          <w:tab w:val="left" w:pos="425"/>
        </w:tabs>
        <w:ind w:left="0" w:firstLine="0"/>
      </w:pPr>
      <w:rPr>
        <w:rFonts w:hint="eastAsia"/>
      </w:rPr>
    </w:lvl>
  </w:abstractNum>
  <w:abstractNum w:abstractNumId="3">
    <w:nsid w:val="287220B7"/>
    <w:multiLevelType w:val="singleLevel"/>
    <w:tmpl w:val="287220B7"/>
    <w:lvl w:ilvl="0" w:tentative="0">
      <w:start w:val="1"/>
      <w:numFmt w:val="decimal"/>
      <w:suff w:val="nothing"/>
      <w:lvlText w:val="%1、"/>
      <w:lvlJc w:val="left"/>
    </w:lvl>
  </w:abstractNum>
  <w:abstractNum w:abstractNumId="4">
    <w:nsid w:val="532B0D44"/>
    <w:multiLevelType w:val="singleLevel"/>
    <w:tmpl w:val="532B0D44"/>
    <w:lvl w:ilvl="0" w:tentative="0">
      <w:start w:val="5"/>
      <w:numFmt w:val="chineseCounting"/>
      <w:suff w:val="space"/>
      <w:lvlText w:val="第%1章"/>
      <w:lvlJc w:val="left"/>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69FD"/>
    <w:rsid w:val="0005291C"/>
    <w:rsid w:val="000C4E9C"/>
    <w:rsid w:val="000D2A98"/>
    <w:rsid w:val="000D61A5"/>
    <w:rsid w:val="000D71A7"/>
    <w:rsid w:val="000E026C"/>
    <w:rsid w:val="00110F4B"/>
    <w:rsid w:val="00112BB3"/>
    <w:rsid w:val="00116619"/>
    <w:rsid w:val="00144F0D"/>
    <w:rsid w:val="00150367"/>
    <w:rsid w:val="00173084"/>
    <w:rsid w:val="001B49E9"/>
    <w:rsid w:val="001B6587"/>
    <w:rsid w:val="001C00E9"/>
    <w:rsid w:val="002006DC"/>
    <w:rsid w:val="00203099"/>
    <w:rsid w:val="00204872"/>
    <w:rsid w:val="0022299F"/>
    <w:rsid w:val="00231824"/>
    <w:rsid w:val="00243EC7"/>
    <w:rsid w:val="00250E2A"/>
    <w:rsid w:val="002564CC"/>
    <w:rsid w:val="00260ABB"/>
    <w:rsid w:val="00262EC0"/>
    <w:rsid w:val="00283509"/>
    <w:rsid w:val="0029070A"/>
    <w:rsid w:val="00290EC7"/>
    <w:rsid w:val="002F6497"/>
    <w:rsid w:val="003026CE"/>
    <w:rsid w:val="003072A3"/>
    <w:rsid w:val="00323B43"/>
    <w:rsid w:val="0032492F"/>
    <w:rsid w:val="00327B32"/>
    <w:rsid w:val="0033558E"/>
    <w:rsid w:val="00351D71"/>
    <w:rsid w:val="00353C00"/>
    <w:rsid w:val="003760CE"/>
    <w:rsid w:val="0038039C"/>
    <w:rsid w:val="00397A26"/>
    <w:rsid w:val="003A1D35"/>
    <w:rsid w:val="003A2FB9"/>
    <w:rsid w:val="003B2793"/>
    <w:rsid w:val="003C3295"/>
    <w:rsid w:val="003D37D8"/>
    <w:rsid w:val="003F385E"/>
    <w:rsid w:val="00403300"/>
    <w:rsid w:val="00416757"/>
    <w:rsid w:val="0042051D"/>
    <w:rsid w:val="00426133"/>
    <w:rsid w:val="004358AB"/>
    <w:rsid w:val="00442C8D"/>
    <w:rsid w:val="0045669E"/>
    <w:rsid w:val="00457945"/>
    <w:rsid w:val="00465B80"/>
    <w:rsid w:val="004961AB"/>
    <w:rsid w:val="004A1107"/>
    <w:rsid w:val="004A5789"/>
    <w:rsid w:val="004A67B0"/>
    <w:rsid w:val="004A79FA"/>
    <w:rsid w:val="004B1A46"/>
    <w:rsid w:val="004D1C1F"/>
    <w:rsid w:val="004D49EA"/>
    <w:rsid w:val="004D6EF1"/>
    <w:rsid w:val="00507B8C"/>
    <w:rsid w:val="00507C54"/>
    <w:rsid w:val="00517C32"/>
    <w:rsid w:val="00523F1C"/>
    <w:rsid w:val="005539D8"/>
    <w:rsid w:val="005775B6"/>
    <w:rsid w:val="005A5A7E"/>
    <w:rsid w:val="005A7C5D"/>
    <w:rsid w:val="005C38E1"/>
    <w:rsid w:val="005C4C33"/>
    <w:rsid w:val="00600876"/>
    <w:rsid w:val="00653D1F"/>
    <w:rsid w:val="00662ED5"/>
    <w:rsid w:val="00670CAA"/>
    <w:rsid w:val="00690908"/>
    <w:rsid w:val="006A1E39"/>
    <w:rsid w:val="006F29DE"/>
    <w:rsid w:val="00714257"/>
    <w:rsid w:val="00722415"/>
    <w:rsid w:val="00781E79"/>
    <w:rsid w:val="00794559"/>
    <w:rsid w:val="007C38B4"/>
    <w:rsid w:val="007E59A2"/>
    <w:rsid w:val="007E59AD"/>
    <w:rsid w:val="008029B5"/>
    <w:rsid w:val="00804D36"/>
    <w:rsid w:val="00810DE5"/>
    <w:rsid w:val="008470C8"/>
    <w:rsid w:val="00857665"/>
    <w:rsid w:val="008971BF"/>
    <w:rsid w:val="008A0A05"/>
    <w:rsid w:val="008B7726"/>
    <w:rsid w:val="009061EE"/>
    <w:rsid w:val="0091677F"/>
    <w:rsid w:val="009428DA"/>
    <w:rsid w:val="00993D95"/>
    <w:rsid w:val="009A70E2"/>
    <w:rsid w:val="009B293B"/>
    <w:rsid w:val="009D1CFA"/>
    <w:rsid w:val="009D4514"/>
    <w:rsid w:val="00A17D85"/>
    <w:rsid w:val="00A42BC7"/>
    <w:rsid w:val="00A478ED"/>
    <w:rsid w:val="00A71E03"/>
    <w:rsid w:val="00A75F4A"/>
    <w:rsid w:val="00A86B12"/>
    <w:rsid w:val="00A87B34"/>
    <w:rsid w:val="00AA2065"/>
    <w:rsid w:val="00AA7401"/>
    <w:rsid w:val="00AB2791"/>
    <w:rsid w:val="00AC6073"/>
    <w:rsid w:val="00AD247A"/>
    <w:rsid w:val="00B13ABF"/>
    <w:rsid w:val="00B647F5"/>
    <w:rsid w:val="00BB66DC"/>
    <w:rsid w:val="00BD787B"/>
    <w:rsid w:val="00BE49C4"/>
    <w:rsid w:val="00BF5AF8"/>
    <w:rsid w:val="00C0397D"/>
    <w:rsid w:val="00C07B9F"/>
    <w:rsid w:val="00C2188A"/>
    <w:rsid w:val="00C37F27"/>
    <w:rsid w:val="00C6406C"/>
    <w:rsid w:val="00CE5ABD"/>
    <w:rsid w:val="00CF2D5C"/>
    <w:rsid w:val="00D31D50"/>
    <w:rsid w:val="00D57E86"/>
    <w:rsid w:val="00DB386C"/>
    <w:rsid w:val="00DB3CF5"/>
    <w:rsid w:val="00DE43F1"/>
    <w:rsid w:val="00DF4CD9"/>
    <w:rsid w:val="00DF5CCF"/>
    <w:rsid w:val="00E10DFD"/>
    <w:rsid w:val="00E15EED"/>
    <w:rsid w:val="00E168D1"/>
    <w:rsid w:val="00E2700A"/>
    <w:rsid w:val="00E5530C"/>
    <w:rsid w:val="00E562EE"/>
    <w:rsid w:val="00E8167B"/>
    <w:rsid w:val="00E86620"/>
    <w:rsid w:val="00EA5D33"/>
    <w:rsid w:val="00ED1D04"/>
    <w:rsid w:val="00ED4408"/>
    <w:rsid w:val="00EF3684"/>
    <w:rsid w:val="00F1775C"/>
    <w:rsid w:val="00F17D99"/>
    <w:rsid w:val="00F5240E"/>
    <w:rsid w:val="00F73699"/>
    <w:rsid w:val="00F76D78"/>
    <w:rsid w:val="00F90713"/>
    <w:rsid w:val="00F9528D"/>
    <w:rsid w:val="00FA5B71"/>
    <w:rsid w:val="00FD0C1E"/>
    <w:rsid w:val="00FD45EB"/>
    <w:rsid w:val="00FE6563"/>
    <w:rsid w:val="0BD97FDE"/>
    <w:rsid w:val="18820E4B"/>
    <w:rsid w:val="1E7D7642"/>
    <w:rsid w:val="28716506"/>
    <w:rsid w:val="2929612F"/>
    <w:rsid w:val="2A5813A7"/>
    <w:rsid w:val="2E8D4481"/>
    <w:rsid w:val="30BA5F73"/>
    <w:rsid w:val="32B85535"/>
    <w:rsid w:val="37555A58"/>
    <w:rsid w:val="3A8E36A4"/>
    <w:rsid w:val="3C827B85"/>
    <w:rsid w:val="41AB3530"/>
    <w:rsid w:val="4A146F0A"/>
    <w:rsid w:val="4A4E54B9"/>
    <w:rsid w:val="4C78252D"/>
    <w:rsid w:val="51AF4194"/>
    <w:rsid w:val="58CB4DB4"/>
    <w:rsid w:val="59A557B3"/>
    <w:rsid w:val="5AA420AA"/>
    <w:rsid w:val="5E325808"/>
    <w:rsid w:val="68A948C3"/>
    <w:rsid w:val="695616E5"/>
    <w:rsid w:val="69D01B9A"/>
    <w:rsid w:val="6E5F4E6B"/>
    <w:rsid w:val="727222C9"/>
    <w:rsid w:val="78245F62"/>
    <w:rsid w:val="79D95AF4"/>
    <w:rsid w:val="7AB91427"/>
    <w:rsid w:val="7C1E1B9C"/>
    <w:rsid w:val="7CBC7BEA"/>
    <w:rsid w:val="7FCE7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41"/>
    <w:qFormat/>
    <w:uiPriority w:val="0"/>
    <w:pPr>
      <w:keepNext/>
      <w:widowControl w:val="0"/>
      <w:adjustRightInd/>
      <w:snapToGrid/>
      <w:spacing w:after="0" w:line="360" w:lineRule="auto"/>
      <w:jc w:val="center"/>
      <w:outlineLvl w:val="0"/>
    </w:pPr>
    <w:rPr>
      <w:rFonts w:ascii="Times New Roman" w:hAnsi="Times New Roman" w:eastAsia="宋体" w:cs="Times New Roman"/>
      <w:b/>
      <w:color w:val="000000"/>
      <w:kern w:val="2"/>
      <w:sz w:val="30"/>
      <w:szCs w:val="24"/>
    </w:rPr>
  </w:style>
  <w:style w:type="paragraph" w:styleId="3">
    <w:name w:val="heading 2"/>
    <w:basedOn w:val="1"/>
    <w:next w:val="1"/>
    <w:link w:val="42"/>
    <w:qFormat/>
    <w:uiPriority w:val="0"/>
    <w:pPr>
      <w:keepNext/>
      <w:keepLines/>
      <w:widowControl w:val="0"/>
      <w:adjustRightInd/>
      <w:snapToGrid/>
      <w:spacing w:before="260" w:after="260" w:line="415" w:lineRule="auto"/>
      <w:jc w:val="center"/>
      <w:outlineLvl w:val="1"/>
    </w:pPr>
    <w:rPr>
      <w:rFonts w:ascii="Arial" w:hAnsi="Arial" w:eastAsia="黑体" w:cs="Times New Roman"/>
      <w:b/>
      <w:bCs/>
      <w:kern w:val="2"/>
      <w:sz w:val="32"/>
      <w:szCs w:val="32"/>
    </w:rPr>
  </w:style>
  <w:style w:type="paragraph" w:styleId="4">
    <w:name w:val="heading 3"/>
    <w:basedOn w:val="1"/>
    <w:next w:val="1"/>
    <w:link w:val="43"/>
    <w:qFormat/>
    <w:uiPriority w:val="0"/>
    <w:pPr>
      <w:keepNext/>
      <w:keepLines/>
      <w:widowControl w:val="0"/>
      <w:numPr>
        <w:ilvl w:val="2"/>
        <w:numId w:val="1"/>
      </w:numPr>
      <w:tabs>
        <w:tab w:val="left" w:pos="560"/>
        <w:tab w:val="clear" w:pos="425"/>
      </w:tabs>
      <w:adjustRightInd/>
      <w:snapToGrid/>
      <w:spacing w:before="240" w:after="120"/>
      <w:jc w:val="both"/>
      <w:outlineLvl w:val="2"/>
    </w:pPr>
    <w:rPr>
      <w:rFonts w:ascii="Times New Roman" w:hAnsi="Times New Roman" w:eastAsia="黑体" w:cs="Times New Roman"/>
      <w:bCs/>
      <w:sz w:val="32"/>
      <w:szCs w:val="32"/>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0"/>
    <w:pPr>
      <w:widowControl w:val="0"/>
      <w:adjustRightInd/>
      <w:snapToGrid/>
      <w:spacing w:after="0" w:line="360" w:lineRule="auto"/>
      <w:ind w:left="1260"/>
    </w:pPr>
    <w:rPr>
      <w:rFonts w:ascii="Calibri" w:hAnsi="Calibri" w:eastAsia="宋体" w:cs="Calibri"/>
      <w:kern w:val="2"/>
      <w:sz w:val="18"/>
      <w:szCs w:val="18"/>
    </w:rPr>
  </w:style>
  <w:style w:type="paragraph" w:styleId="6">
    <w:name w:val="Normal Indent"/>
    <w:basedOn w:val="1"/>
    <w:qFormat/>
    <w:uiPriority w:val="0"/>
    <w:pPr>
      <w:widowControl w:val="0"/>
      <w:autoSpaceDE w:val="0"/>
      <w:autoSpaceDN w:val="0"/>
      <w:snapToGrid/>
      <w:spacing w:after="0" w:line="360" w:lineRule="auto"/>
      <w:ind w:firstLine="420"/>
    </w:pPr>
    <w:rPr>
      <w:rFonts w:ascii="宋体" w:hAnsi="Times New Roman" w:eastAsia="宋体" w:cs="Times New Roman"/>
      <w:kern w:val="2"/>
      <w:sz w:val="24"/>
      <w:szCs w:val="24"/>
    </w:rPr>
  </w:style>
  <w:style w:type="paragraph" w:styleId="7">
    <w:name w:val="annotation text"/>
    <w:basedOn w:val="1"/>
    <w:link w:val="52"/>
    <w:unhideWhenUsed/>
    <w:qFormat/>
    <w:uiPriority w:val="0"/>
  </w:style>
  <w:style w:type="paragraph" w:styleId="8">
    <w:name w:val="Body Text"/>
    <w:basedOn w:val="1"/>
    <w:link w:val="55"/>
    <w:qFormat/>
    <w:uiPriority w:val="0"/>
    <w:pPr>
      <w:widowControl w:val="0"/>
      <w:adjustRightInd/>
      <w:snapToGrid/>
      <w:spacing w:after="120" w:line="360" w:lineRule="auto"/>
      <w:jc w:val="both"/>
    </w:pPr>
    <w:rPr>
      <w:rFonts w:ascii="Times New Roman" w:hAnsi="Times New Roman" w:eastAsia="宋体" w:cs="Times New Roman"/>
      <w:kern w:val="2"/>
      <w:sz w:val="24"/>
      <w:szCs w:val="24"/>
    </w:rPr>
  </w:style>
  <w:style w:type="paragraph" w:styleId="9">
    <w:name w:val="Body Text Indent"/>
    <w:basedOn w:val="1"/>
    <w:link w:val="77"/>
    <w:qFormat/>
    <w:uiPriority w:val="0"/>
    <w:pPr>
      <w:widowControl w:val="0"/>
      <w:adjustRightInd/>
      <w:snapToGrid/>
      <w:spacing w:after="120" w:line="360" w:lineRule="auto"/>
      <w:ind w:left="420" w:leftChars="200"/>
      <w:jc w:val="both"/>
    </w:pPr>
    <w:rPr>
      <w:rFonts w:ascii="Times New Roman" w:hAnsi="Times New Roman" w:eastAsia="宋体" w:cs="Times New Roman"/>
      <w:kern w:val="2"/>
      <w:sz w:val="24"/>
      <w:szCs w:val="24"/>
    </w:rPr>
  </w:style>
  <w:style w:type="paragraph" w:styleId="10">
    <w:name w:val="Block Text"/>
    <w:basedOn w:val="1"/>
    <w:qFormat/>
    <w:uiPriority w:val="0"/>
    <w:pPr>
      <w:widowControl w:val="0"/>
      <w:adjustRightInd/>
      <w:snapToGrid/>
      <w:spacing w:after="0" w:line="280" w:lineRule="exact"/>
      <w:ind w:left="179" w:leftChars="56" w:right="38" w:rightChars="12"/>
      <w:jc w:val="both"/>
    </w:pPr>
    <w:rPr>
      <w:rFonts w:ascii="Times New Roman" w:hAnsi="Times New Roman" w:eastAsia="仿宋_GB2312" w:cs="Times New Roman"/>
      <w:color w:val="000000"/>
      <w:kern w:val="2"/>
      <w:sz w:val="24"/>
      <w:szCs w:val="24"/>
    </w:rPr>
  </w:style>
  <w:style w:type="paragraph" w:styleId="11">
    <w:name w:val="toc 5"/>
    <w:basedOn w:val="1"/>
    <w:next w:val="1"/>
    <w:qFormat/>
    <w:uiPriority w:val="0"/>
    <w:pPr>
      <w:widowControl w:val="0"/>
      <w:adjustRightInd/>
      <w:snapToGrid/>
      <w:spacing w:after="0" w:line="360" w:lineRule="auto"/>
      <w:ind w:left="840"/>
    </w:pPr>
    <w:rPr>
      <w:rFonts w:ascii="Calibri" w:hAnsi="Calibri" w:eastAsia="宋体" w:cs="Calibri"/>
      <w:kern w:val="2"/>
      <w:sz w:val="18"/>
      <w:szCs w:val="18"/>
    </w:rPr>
  </w:style>
  <w:style w:type="paragraph" w:styleId="12">
    <w:name w:val="toc 3"/>
    <w:basedOn w:val="1"/>
    <w:next w:val="1"/>
    <w:unhideWhenUsed/>
    <w:qFormat/>
    <w:uiPriority w:val="39"/>
    <w:pPr>
      <w:widowControl w:val="0"/>
      <w:adjustRightInd/>
      <w:snapToGrid/>
      <w:spacing w:after="0" w:line="360" w:lineRule="auto"/>
      <w:ind w:left="420"/>
    </w:pPr>
    <w:rPr>
      <w:rFonts w:ascii="Calibri" w:hAnsi="Calibri" w:eastAsia="宋体" w:cs="Calibri"/>
      <w:i/>
      <w:iCs/>
      <w:kern w:val="2"/>
      <w:sz w:val="20"/>
      <w:szCs w:val="20"/>
    </w:rPr>
  </w:style>
  <w:style w:type="paragraph" w:styleId="13">
    <w:name w:val="Plain Text"/>
    <w:basedOn w:val="1"/>
    <w:link w:val="56"/>
    <w:qFormat/>
    <w:uiPriority w:val="0"/>
    <w:pPr>
      <w:widowControl w:val="0"/>
      <w:adjustRightInd/>
      <w:snapToGrid/>
      <w:spacing w:after="0" w:line="360" w:lineRule="auto"/>
      <w:jc w:val="both"/>
    </w:pPr>
    <w:rPr>
      <w:rFonts w:hint="eastAsia" w:ascii="Times New Roman" w:hAnsi="Courier New" w:eastAsia="宋体" w:cs="Times New Roman"/>
      <w:kern w:val="2"/>
      <w:sz w:val="21"/>
      <w:szCs w:val="24"/>
    </w:rPr>
  </w:style>
  <w:style w:type="paragraph" w:styleId="14">
    <w:name w:val="toc 8"/>
    <w:basedOn w:val="1"/>
    <w:next w:val="1"/>
    <w:qFormat/>
    <w:uiPriority w:val="0"/>
    <w:pPr>
      <w:widowControl w:val="0"/>
      <w:adjustRightInd/>
      <w:snapToGrid/>
      <w:spacing w:after="0" w:line="360" w:lineRule="auto"/>
      <w:ind w:left="1470"/>
    </w:pPr>
    <w:rPr>
      <w:rFonts w:ascii="Calibri" w:hAnsi="Calibri" w:eastAsia="宋体" w:cs="Calibri"/>
      <w:kern w:val="2"/>
      <w:sz w:val="18"/>
      <w:szCs w:val="18"/>
    </w:rPr>
  </w:style>
  <w:style w:type="paragraph" w:styleId="15">
    <w:name w:val="Date"/>
    <w:basedOn w:val="1"/>
    <w:next w:val="1"/>
    <w:link w:val="57"/>
    <w:qFormat/>
    <w:uiPriority w:val="0"/>
    <w:pPr>
      <w:widowControl w:val="0"/>
      <w:adjustRightInd/>
      <w:snapToGrid/>
      <w:spacing w:after="0" w:line="360" w:lineRule="auto"/>
      <w:jc w:val="both"/>
    </w:pPr>
    <w:rPr>
      <w:rFonts w:ascii="宋体" w:hAnsi="Times New Roman" w:eastAsia="宋体" w:cs="Times New Roman"/>
      <w:kern w:val="2"/>
      <w:sz w:val="24"/>
      <w:szCs w:val="20"/>
    </w:rPr>
  </w:style>
  <w:style w:type="paragraph" w:styleId="16">
    <w:name w:val="Body Text Indent 2"/>
    <w:basedOn w:val="1"/>
    <w:link w:val="58"/>
    <w:qFormat/>
    <w:uiPriority w:val="0"/>
    <w:pPr>
      <w:widowControl w:val="0"/>
      <w:adjustRightInd/>
      <w:snapToGrid/>
      <w:spacing w:after="0" w:line="400" w:lineRule="atLeast"/>
      <w:ind w:firstLine="540"/>
      <w:jc w:val="both"/>
    </w:pPr>
    <w:rPr>
      <w:rFonts w:ascii="宋体" w:hAnsi="Times New Roman" w:eastAsia="宋体" w:cs="Times New Roman"/>
      <w:color w:val="000000"/>
      <w:kern w:val="2"/>
      <w:sz w:val="24"/>
      <w:szCs w:val="24"/>
    </w:rPr>
  </w:style>
  <w:style w:type="paragraph" w:styleId="17">
    <w:name w:val="Balloon Text"/>
    <w:basedOn w:val="1"/>
    <w:link w:val="51"/>
    <w:qFormat/>
    <w:uiPriority w:val="0"/>
    <w:pPr>
      <w:widowControl w:val="0"/>
      <w:adjustRightInd/>
      <w:snapToGrid/>
      <w:spacing w:after="0" w:line="360" w:lineRule="auto"/>
      <w:jc w:val="both"/>
    </w:pPr>
    <w:rPr>
      <w:rFonts w:asciiTheme="minorHAnsi" w:hAnsiTheme="minorHAnsi"/>
      <w:kern w:val="2"/>
      <w:sz w:val="18"/>
      <w:szCs w:val="18"/>
    </w:rPr>
  </w:style>
  <w:style w:type="paragraph" w:styleId="18">
    <w:name w:val="footer"/>
    <w:basedOn w:val="1"/>
    <w:link w:val="40"/>
    <w:unhideWhenUsed/>
    <w:qFormat/>
    <w:uiPriority w:val="0"/>
    <w:pPr>
      <w:tabs>
        <w:tab w:val="center" w:pos="4153"/>
        <w:tab w:val="right" w:pos="8306"/>
      </w:tabs>
    </w:pPr>
    <w:rPr>
      <w:sz w:val="18"/>
      <w:szCs w:val="18"/>
    </w:rPr>
  </w:style>
  <w:style w:type="paragraph" w:styleId="19">
    <w:name w:val="header"/>
    <w:basedOn w:val="1"/>
    <w:link w:val="39"/>
    <w:unhideWhenUsed/>
    <w:qFormat/>
    <w:uiPriority w:val="0"/>
    <w:pPr>
      <w:pBdr>
        <w:bottom w:val="single" w:color="auto" w:sz="6" w:space="1"/>
      </w:pBdr>
      <w:tabs>
        <w:tab w:val="center" w:pos="4153"/>
        <w:tab w:val="right" w:pos="8306"/>
      </w:tabs>
      <w:jc w:val="center"/>
    </w:pPr>
    <w:rPr>
      <w:sz w:val="18"/>
      <w:szCs w:val="18"/>
    </w:rPr>
  </w:style>
  <w:style w:type="paragraph" w:styleId="20">
    <w:name w:val="toc 1"/>
    <w:basedOn w:val="1"/>
    <w:next w:val="1"/>
    <w:qFormat/>
    <w:uiPriority w:val="39"/>
    <w:pPr>
      <w:widowControl w:val="0"/>
      <w:adjustRightInd/>
      <w:snapToGrid/>
      <w:spacing w:before="120" w:after="120" w:line="360" w:lineRule="auto"/>
    </w:pPr>
    <w:rPr>
      <w:rFonts w:ascii="Calibri" w:hAnsi="Calibri" w:eastAsia="宋体" w:cs="Calibri"/>
      <w:b/>
      <w:bCs/>
      <w:caps/>
      <w:kern w:val="2"/>
      <w:sz w:val="20"/>
      <w:szCs w:val="20"/>
    </w:rPr>
  </w:style>
  <w:style w:type="paragraph" w:styleId="21">
    <w:name w:val="toc 4"/>
    <w:basedOn w:val="1"/>
    <w:next w:val="1"/>
    <w:qFormat/>
    <w:uiPriority w:val="0"/>
    <w:pPr>
      <w:widowControl w:val="0"/>
      <w:adjustRightInd/>
      <w:snapToGrid/>
      <w:spacing w:after="0" w:line="360" w:lineRule="auto"/>
      <w:ind w:left="630"/>
    </w:pPr>
    <w:rPr>
      <w:rFonts w:ascii="Calibri" w:hAnsi="Calibri" w:eastAsia="宋体" w:cs="Calibri"/>
      <w:kern w:val="2"/>
      <w:sz w:val="18"/>
      <w:szCs w:val="18"/>
    </w:rPr>
  </w:style>
  <w:style w:type="paragraph" w:styleId="22">
    <w:name w:val="Subtitle"/>
    <w:basedOn w:val="1"/>
    <w:next w:val="1"/>
    <w:link w:val="71"/>
    <w:qFormat/>
    <w:uiPriority w:val="0"/>
    <w:pPr>
      <w:widowControl w:val="0"/>
      <w:adjustRightInd/>
      <w:snapToGrid/>
      <w:spacing w:after="0" w:line="360" w:lineRule="auto"/>
      <w:outlineLvl w:val="1"/>
    </w:pPr>
    <w:rPr>
      <w:rFonts w:ascii="Cambria" w:hAnsi="Cambria" w:eastAsia="宋体" w:cs="Times New Roman"/>
      <w:b/>
      <w:bCs/>
      <w:kern w:val="28"/>
      <w:sz w:val="24"/>
      <w:szCs w:val="32"/>
    </w:rPr>
  </w:style>
  <w:style w:type="paragraph" w:styleId="23">
    <w:name w:val="toc 6"/>
    <w:basedOn w:val="1"/>
    <w:next w:val="1"/>
    <w:qFormat/>
    <w:uiPriority w:val="0"/>
    <w:pPr>
      <w:widowControl w:val="0"/>
      <w:adjustRightInd/>
      <w:snapToGrid/>
      <w:spacing w:after="0" w:line="360" w:lineRule="auto"/>
      <w:ind w:left="1050"/>
    </w:pPr>
    <w:rPr>
      <w:rFonts w:ascii="Calibri" w:hAnsi="Calibri" w:eastAsia="宋体" w:cs="Calibri"/>
      <w:kern w:val="2"/>
      <w:sz w:val="18"/>
      <w:szCs w:val="18"/>
    </w:rPr>
  </w:style>
  <w:style w:type="paragraph" w:styleId="24">
    <w:name w:val="Body Text Indent 3"/>
    <w:basedOn w:val="1"/>
    <w:link w:val="61"/>
    <w:qFormat/>
    <w:uiPriority w:val="0"/>
    <w:pPr>
      <w:widowControl w:val="0"/>
      <w:adjustRightInd/>
      <w:snapToGrid/>
      <w:spacing w:after="120" w:line="360" w:lineRule="auto"/>
      <w:ind w:left="420" w:leftChars="200"/>
      <w:jc w:val="both"/>
    </w:pPr>
    <w:rPr>
      <w:rFonts w:ascii="Times New Roman" w:hAnsi="Times New Roman" w:eastAsia="宋体" w:cs="Times New Roman"/>
      <w:kern w:val="2"/>
      <w:sz w:val="16"/>
      <w:szCs w:val="16"/>
    </w:rPr>
  </w:style>
  <w:style w:type="paragraph" w:styleId="25">
    <w:name w:val="toc 2"/>
    <w:basedOn w:val="1"/>
    <w:next w:val="1"/>
    <w:unhideWhenUsed/>
    <w:qFormat/>
    <w:uiPriority w:val="39"/>
    <w:pPr>
      <w:widowControl w:val="0"/>
      <w:adjustRightInd/>
      <w:snapToGrid/>
      <w:spacing w:after="0" w:line="360" w:lineRule="auto"/>
      <w:ind w:left="210"/>
    </w:pPr>
    <w:rPr>
      <w:rFonts w:ascii="Calibri" w:hAnsi="Calibri" w:eastAsia="宋体" w:cs="Calibri"/>
      <w:smallCaps/>
      <w:kern w:val="2"/>
      <w:sz w:val="20"/>
      <w:szCs w:val="20"/>
    </w:rPr>
  </w:style>
  <w:style w:type="paragraph" w:styleId="26">
    <w:name w:val="toc 9"/>
    <w:basedOn w:val="1"/>
    <w:next w:val="1"/>
    <w:qFormat/>
    <w:uiPriority w:val="0"/>
    <w:pPr>
      <w:widowControl w:val="0"/>
      <w:adjustRightInd/>
      <w:snapToGrid/>
      <w:spacing w:after="0" w:line="360" w:lineRule="auto"/>
      <w:ind w:left="1680"/>
    </w:pPr>
    <w:rPr>
      <w:rFonts w:ascii="Calibri" w:hAnsi="Calibri" w:eastAsia="宋体" w:cs="Calibri"/>
      <w:kern w:val="2"/>
      <w:sz w:val="18"/>
      <w:szCs w:val="18"/>
    </w:rPr>
  </w:style>
  <w:style w:type="paragraph" w:styleId="27">
    <w:name w:val="HTML Preformatted"/>
    <w:link w:val="62"/>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宋体" w:hAnsi="宋体" w:eastAsia="宋体" w:cs="宋体"/>
      <w:sz w:val="24"/>
      <w:szCs w:val="20"/>
      <w:lang w:val="en-US" w:eastAsia="zh-CN" w:bidi="ar-SA"/>
    </w:rPr>
  </w:style>
  <w:style w:type="paragraph" w:styleId="28">
    <w:name w:val="Normal (Web)"/>
    <w:basedOn w:val="1"/>
    <w:unhideWhenUsed/>
    <w:qFormat/>
    <w:uiPriority w:val="0"/>
    <w:pPr>
      <w:adjustRightInd/>
      <w:snapToGrid/>
      <w:spacing w:before="100" w:beforeAutospacing="1" w:after="100" w:afterAutospacing="1"/>
    </w:pPr>
    <w:rPr>
      <w:rFonts w:ascii="宋体" w:hAnsi="宋体" w:eastAsia="宋体" w:cs="宋体"/>
      <w:sz w:val="24"/>
      <w:szCs w:val="24"/>
    </w:rPr>
  </w:style>
  <w:style w:type="paragraph" w:styleId="29">
    <w:name w:val="annotation subject"/>
    <w:basedOn w:val="7"/>
    <w:next w:val="7"/>
    <w:link w:val="45"/>
    <w:qFormat/>
    <w:uiPriority w:val="0"/>
    <w:pPr>
      <w:widowControl w:val="0"/>
      <w:adjustRightInd/>
      <w:snapToGrid/>
      <w:spacing w:after="0" w:line="360" w:lineRule="auto"/>
    </w:pPr>
    <w:rPr>
      <w:rFonts w:asciiTheme="minorHAnsi" w:hAnsiTheme="minorHAnsi"/>
      <w:b/>
      <w:bCs/>
      <w:kern w:val="2"/>
      <w:sz w:val="21"/>
      <w:szCs w:val="24"/>
    </w:rPr>
  </w:style>
  <w:style w:type="table" w:styleId="31">
    <w:name w:val="Table Grid"/>
    <w:basedOn w:val="30"/>
    <w:qFormat/>
    <w:uiPriority w:val="59"/>
    <w:pPr>
      <w:spacing w:after="0" w:line="240" w:lineRule="auto"/>
    </w:pPr>
    <w:rPr>
      <w:rFonts w:ascii="Calibri" w:hAnsi="Calibri" w:eastAsia="宋体" w:cs="Times New Roman"/>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Strong"/>
    <w:qFormat/>
    <w:uiPriority w:val="0"/>
    <w:rPr>
      <w:b/>
      <w:bCs/>
    </w:rPr>
  </w:style>
  <w:style w:type="character" w:styleId="34">
    <w:name w:val="page number"/>
    <w:qFormat/>
    <w:uiPriority w:val="0"/>
    <w:rPr>
      <w:rFonts w:hint="default" w:ascii="Times New Roman"/>
    </w:rPr>
  </w:style>
  <w:style w:type="character" w:styleId="35">
    <w:name w:val="FollowedHyperlink"/>
    <w:basedOn w:val="32"/>
    <w:semiHidden/>
    <w:unhideWhenUsed/>
    <w:qFormat/>
    <w:uiPriority w:val="99"/>
    <w:rPr>
      <w:color w:val="333333"/>
      <w:sz w:val="21"/>
      <w:szCs w:val="21"/>
      <w:u w:val="none"/>
    </w:rPr>
  </w:style>
  <w:style w:type="character" w:styleId="36">
    <w:name w:val="Emphasis"/>
    <w:basedOn w:val="32"/>
    <w:qFormat/>
    <w:uiPriority w:val="20"/>
  </w:style>
  <w:style w:type="character" w:styleId="37">
    <w:name w:val="Hyperlink"/>
    <w:qFormat/>
    <w:uiPriority w:val="99"/>
    <w:rPr>
      <w:color w:val="0000FF"/>
      <w:u w:val="single"/>
    </w:rPr>
  </w:style>
  <w:style w:type="character" w:styleId="38">
    <w:name w:val="annotation reference"/>
    <w:qFormat/>
    <w:uiPriority w:val="99"/>
    <w:rPr>
      <w:sz w:val="21"/>
      <w:szCs w:val="21"/>
    </w:rPr>
  </w:style>
  <w:style w:type="character" w:customStyle="1" w:styleId="39">
    <w:name w:val="页眉 Char"/>
    <w:basedOn w:val="32"/>
    <w:link w:val="19"/>
    <w:semiHidden/>
    <w:qFormat/>
    <w:uiPriority w:val="99"/>
    <w:rPr>
      <w:rFonts w:ascii="Tahoma" w:hAnsi="Tahoma"/>
      <w:sz w:val="18"/>
      <w:szCs w:val="18"/>
    </w:rPr>
  </w:style>
  <w:style w:type="character" w:customStyle="1" w:styleId="40">
    <w:name w:val="页脚 Char"/>
    <w:basedOn w:val="32"/>
    <w:link w:val="18"/>
    <w:qFormat/>
    <w:uiPriority w:val="0"/>
    <w:rPr>
      <w:rFonts w:ascii="Tahoma" w:hAnsi="Tahoma"/>
      <w:sz w:val="18"/>
      <w:szCs w:val="18"/>
    </w:rPr>
  </w:style>
  <w:style w:type="character" w:customStyle="1" w:styleId="41">
    <w:name w:val="标题 1 Char"/>
    <w:basedOn w:val="32"/>
    <w:link w:val="2"/>
    <w:qFormat/>
    <w:uiPriority w:val="0"/>
    <w:rPr>
      <w:rFonts w:ascii="Times New Roman" w:hAnsi="Times New Roman" w:eastAsia="宋体" w:cs="Times New Roman"/>
      <w:b/>
      <w:color w:val="000000"/>
      <w:kern w:val="2"/>
      <w:sz w:val="30"/>
      <w:szCs w:val="24"/>
    </w:rPr>
  </w:style>
  <w:style w:type="character" w:customStyle="1" w:styleId="42">
    <w:name w:val="标题 2 Char"/>
    <w:basedOn w:val="32"/>
    <w:link w:val="3"/>
    <w:qFormat/>
    <w:uiPriority w:val="0"/>
    <w:rPr>
      <w:rFonts w:ascii="Arial" w:hAnsi="Arial" w:eastAsia="黑体" w:cs="Times New Roman"/>
      <w:b/>
      <w:bCs/>
      <w:kern w:val="2"/>
      <w:sz w:val="32"/>
      <w:szCs w:val="32"/>
    </w:rPr>
  </w:style>
  <w:style w:type="character" w:customStyle="1" w:styleId="43">
    <w:name w:val="标题 3 Char"/>
    <w:basedOn w:val="32"/>
    <w:link w:val="4"/>
    <w:qFormat/>
    <w:uiPriority w:val="0"/>
    <w:rPr>
      <w:rFonts w:ascii="Times New Roman" w:hAnsi="Times New Roman" w:eastAsia="黑体" w:cs="Times New Roman"/>
      <w:bCs/>
      <w:sz w:val="32"/>
      <w:szCs w:val="32"/>
    </w:rPr>
  </w:style>
  <w:style w:type="character" w:customStyle="1" w:styleId="44">
    <w:name w:val="widgetbtn"/>
    <w:basedOn w:val="32"/>
    <w:qFormat/>
    <w:uiPriority w:val="0"/>
  </w:style>
  <w:style w:type="character" w:customStyle="1" w:styleId="45">
    <w:name w:val="批注主题 Char"/>
    <w:link w:val="29"/>
    <w:qFormat/>
    <w:uiPriority w:val="0"/>
    <w:rPr>
      <w:b/>
      <w:bCs/>
      <w:kern w:val="2"/>
      <w:sz w:val="21"/>
      <w:szCs w:val="24"/>
    </w:rPr>
  </w:style>
  <w:style w:type="character" w:customStyle="1" w:styleId="46">
    <w:name w:val="bord"/>
    <w:basedOn w:val="32"/>
    <w:qFormat/>
    <w:uiPriority w:val="0"/>
  </w:style>
  <w:style w:type="character" w:customStyle="1" w:styleId="47">
    <w:name w:val="cdropleft"/>
    <w:basedOn w:val="32"/>
    <w:qFormat/>
    <w:uiPriority w:val="0"/>
  </w:style>
  <w:style w:type="character" w:customStyle="1" w:styleId="48">
    <w:name w:val="user"/>
    <w:qFormat/>
    <w:uiPriority w:val="0"/>
    <w:rPr>
      <w:b/>
    </w:rPr>
  </w:style>
  <w:style w:type="character" w:customStyle="1" w:styleId="49">
    <w:name w:val="批注文字 Char"/>
    <w:qFormat/>
    <w:uiPriority w:val="0"/>
    <w:rPr>
      <w:kern w:val="2"/>
      <w:sz w:val="21"/>
      <w:szCs w:val="24"/>
    </w:rPr>
  </w:style>
  <w:style w:type="character" w:customStyle="1" w:styleId="50">
    <w:name w:val="cdropright"/>
    <w:basedOn w:val="32"/>
    <w:qFormat/>
    <w:uiPriority w:val="0"/>
  </w:style>
  <w:style w:type="character" w:customStyle="1" w:styleId="51">
    <w:name w:val="批注框文本 Char"/>
    <w:link w:val="17"/>
    <w:qFormat/>
    <w:uiPriority w:val="0"/>
    <w:rPr>
      <w:kern w:val="2"/>
      <w:sz w:val="18"/>
      <w:szCs w:val="18"/>
    </w:rPr>
  </w:style>
  <w:style w:type="character" w:customStyle="1" w:styleId="52">
    <w:name w:val="批注文字 Char1"/>
    <w:basedOn w:val="32"/>
    <w:link w:val="7"/>
    <w:semiHidden/>
    <w:qFormat/>
    <w:uiPriority w:val="99"/>
    <w:rPr>
      <w:rFonts w:ascii="Tahoma" w:hAnsi="Tahoma"/>
    </w:rPr>
  </w:style>
  <w:style w:type="character" w:customStyle="1" w:styleId="53">
    <w:name w:val="批注主题 Char1"/>
    <w:basedOn w:val="52"/>
    <w:semiHidden/>
    <w:qFormat/>
    <w:uiPriority w:val="99"/>
    <w:rPr>
      <w:rFonts w:ascii="Tahoma" w:hAnsi="Tahoma"/>
      <w:b/>
      <w:bCs/>
    </w:rPr>
  </w:style>
  <w:style w:type="paragraph" w:customStyle="1" w:styleId="54">
    <w:name w:val="reader-word-layer reader-word-s6-7"/>
    <w:basedOn w:val="1"/>
    <w:qFormat/>
    <w:uiPriority w:val="0"/>
    <w:pPr>
      <w:adjustRightInd/>
      <w:snapToGrid/>
      <w:spacing w:before="100" w:beforeAutospacing="1" w:after="100" w:afterAutospacing="1" w:line="360" w:lineRule="auto"/>
    </w:pPr>
    <w:rPr>
      <w:rFonts w:ascii="宋体" w:hAnsi="宋体" w:eastAsia="宋体" w:cs="宋体"/>
      <w:sz w:val="24"/>
      <w:szCs w:val="24"/>
    </w:rPr>
  </w:style>
  <w:style w:type="character" w:customStyle="1" w:styleId="55">
    <w:name w:val="正文文本 Char"/>
    <w:basedOn w:val="32"/>
    <w:link w:val="8"/>
    <w:qFormat/>
    <w:uiPriority w:val="99"/>
    <w:rPr>
      <w:rFonts w:ascii="Times New Roman" w:hAnsi="Times New Roman" w:eastAsia="宋体" w:cs="Times New Roman"/>
      <w:kern w:val="2"/>
      <w:sz w:val="24"/>
      <w:szCs w:val="24"/>
    </w:rPr>
  </w:style>
  <w:style w:type="character" w:customStyle="1" w:styleId="56">
    <w:name w:val="纯文本 Char"/>
    <w:basedOn w:val="32"/>
    <w:link w:val="13"/>
    <w:qFormat/>
    <w:uiPriority w:val="0"/>
    <w:rPr>
      <w:rFonts w:ascii="Times New Roman" w:hAnsi="Courier New" w:eastAsia="宋体" w:cs="Times New Roman"/>
      <w:kern w:val="2"/>
      <w:sz w:val="21"/>
      <w:szCs w:val="24"/>
    </w:rPr>
  </w:style>
  <w:style w:type="character" w:customStyle="1" w:styleId="57">
    <w:name w:val="日期 Char"/>
    <w:basedOn w:val="32"/>
    <w:link w:val="15"/>
    <w:qFormat/>
    <w:uiPriority w:val="0"/>
    <w:rPr>
      <w:rFonts w:ascii="宋体" w:hAnsi="Times New Roman" w:eastAsia="宋体" w:cs="Times New Roman"/>
      <w:kern w:val="2"/>
      <w:sz w:val="24"/>
      <w:szCs w:val="20"/>
    </w:rPr>
  </w:style>
  <w:style w:type="character" w:customStyle="1" w:styleId="58">
    <w:name w:val="正文文本缩进 2 Char"/>
    <w:basedOn w:val="32"/>
    <w:link w:val="16"/>
    <w:qFormat/>
    <w:uiPriority w:val="0"/>
    <w:rPr>
      <w:rFonts w:ascii="宋体" w:hAnsi="Times New Roman" w:eastAsia="宋体" w:cs="Times New Roman"/>
      <w:color w:val="000000"/>
      <w:kern w:val="2"/>
      <w:sz w:val="24"/>
      <w:szCs w:val="24"/>
    </w:rPr>
  </w:style>
  <w:style w:type="character" w:customStyle="1" w:styleId="59">
    <w:name w:val="批注框文本 Char1"/>
    <w:basedOn w:val="32"/>
    <w:semiHidden/>
    <w:qFormat/>
    <w:uiPriority w:val="99"/>
    <w:rPr>
      <w:rFonts w:ascii="Tahoma" w:hAnsi="Tahoma"/>
      <w:sz w:val="18"/>
      <w:szCs w:val="18"/>
    </w:rPr>
  </w:style>
  <w:style w:type="paragraph" w:customStyle="1" w:styleId="60">
    <w:name w:val="默认段落字体 Para Char Char Char Char Char Char Char Char Char Char Char Char Char"/>
    <w:basedOn w:val="1"/>
    <w:qFormat/>
    <w:uiPriority w:val="0"/>
    <w:pPr>
      <w:widowControl w:val="0"/>
      <w:adjustRightInd/>
      <w:snapToGrid/>
      <w:spacing w:after="0" w:line="360" w:lineRule="auto"/>
      <w:jc w:val="both"/>
    </w:pPr>
    <w:rPr>
      <w:rFonts w:ascii="Times New Roman" w:hAnsi="Times New Roman" w:eastAsia="宋体" w:cs="Times New Roman"/>
      <w:kern w:val="2"/>
      <w:sz w:val="24"/>
      <w:szCs w:val="24"/>
    </w:rPr>
  </w:style>
  <w:style w:type="character" w:customStyle="1" w:styleId="61">
    <w:name w:val="正文文本缩进 3 Char"/>
    <w:basedOn w:val="32"/>
    <w:link w:val="24"/>
    <w:qFormat/>
    <w:uiPriority w:val="0"/>
    <w:rPr>
      <w:rFonts w:ascii="Times New Roman" w:hAnsi="Times New Roman" w:eastAsia="宋体" w:cs="Times New Roman"/>
      <w:kern w:val="2"/>
      <w:sz w:val="16"/>
      <w:szCs w:val="16"/>
    </w:rPr>
  </w:style>
  <w:style w:type="character" w:customStyle="1" w:styleId="62">
    <w:name w:val="HTML 预设格式 Char"/>
    <w:basedOn w:val="32"/>
    <w:link w:val="27"/>
    <w:qFormat/>
    <w:uiPriority w:val="0"/>
    <w:rPr>
      <w:rFonts w:ascii="宋体" w:hAnsi="宋体" w:eastAsia="宋体" w:cs="宋体"/>
      <w:sz w:val="24"/>
      <w:szCs w:val="20"/>
    </w:rPr>
  </w:style>
  <w:style w:type="paragraph" w:customStyle="1" w:styleId="63">
    <w:name w:val="纯文本1"/>
    <w:basedOn w:val="1"/>
    <w:qFormat/>
    <w:uiPriority w:val="0"/>
    <w:pPr>
      <w:widowControl w:val="0"/>
      <w:adjustRightInd/>
      <w:snapToGrid/>
      <w:spacing w:after="0" w:line="360" w:lineRule="auto"/>
      <w:jc w:val="both"/>
    </w:pPr>
    <w:rPr>
      <w:rFonts w:hint="eastAsia" w:ascii="Times New Roman" w:hAnsi="Courier New" w:eastAsia="宋体" w:cs="Times New Roman"/>
      <w:kern w:val="2"/>
      <w:sz w:val="21"/>
      <w:szCs w:val="24"/>
    </w:rPr>
  </w:style>
  <w:style w:type="paragraph" w:customStyle="1" w:styleId="64">
    <w:name w:val="msonormalcxspmiddle"/>
    <w:basedOn w:val="1"/>
    <w:qFormat/>
    <w:uiPriority w:val="0"/>
    <w:pPr>
      <w:adjustRightInd/>
      <w:snapToGrid/>
      <w:spacing w:before="280" w:after="280" w:line="360" w:lineRule="auto"/>
    </w:pPr>
    <w:rPr>
      <w:rFonts w:ascii="宋体" w:hAnsi="宋体" w:eastAsia="宋体" w:cs="宋体"/>
      <w:kern w:val="1"/>
      <w:sz w:val="24"/>
      <w:szCs w:val="24"/>
      <w:lang w:eastAsia="ar-SA"/>
    </w:rPr>
  </w:style>
  <w:style w:type="paragraph" w:customStyle="1" w:styleId="65">
    <w:name w:val="reader-word-layer reader-word-s6-1"/>
    <w:basedOn w:val="1"/>
    <w:qFormat/>
    <w:uiPriority w:val="0"/>
    <w:pPr>
      <w:adjustRightInd/>
      <w:snapToGrid/>
      <w:spacing w:before="100" w:beforeAutospacing="1" w:after="100" w:afterAutospacing="1" w:line="360" w:lineRule="auto"/>
    </w:pPr>
    <w:rPr>
      <w:rFonts w:ascii="宋体" w:hAnsi="宋体" w:eastAsia="宋体" w:cs="宋体"/>
      <w:sz w:val="24"/>
      <w:szCs w:val="24"/>
    </w:rPr>
  </w:style>
  <w:style w:type="paragraph" w:customStyle="1" w:styleId="66">
    <w:name w:val="正文-1"/>
    <w:basedOn w:val="1"/>
    <w:qFormat/>
    <w:uiPriority w:val="0"/>
    <w:pPr>
      <w:widowControl w:val="0"/>
      <w:adjustRightInd/>
      <w:snapToGrid/>
      <w:spacing w:after="0" w:line="360" w:lineRule="auto"/>
    </w:pPr>
    <w:rPr>
      <w:rFonts w:ascii="宋体" w:hAnsi="宋体" w:eastAsia="宋体" w:cs="Times New Roman"/>
      <w:kern w:val="2"/>
      <w:sz w:val="28"/>
      <w:szCs w:val="24"/>
    </w:rPr>
  </w:style>
  <w:style w:type="paragraph" w:customStyle="1" w:styleId="67">
    <w:name w:val="Char Char Char Char Char Char Char"/>
    <w:basedOn w:val="1"/>
    <w:qFormat/>
    <w:uiPriority w:val="0"/>
    <w:pPr>
      <w:widowControl w:val="0"/>
      <w:adjustRightInd/>
      <w:snapToGrid/>
      <w:spacing w:after="0" w:line="360" w:lineRule="auto"/>
      <w:jc w:val="both"/>
    </w:pPr>
    <w:rPr>
      <w:rFonts w:ascii="Times New Roman" w:hAnsi="Times New Roman" w:eastAsia="宋体" w:cs="Times New Roman"/>
      <w:kern w:val="2"/>
      <w:sz w:val="24"/>
      <w:szCs w:val="24"/>
    </w:rPr>
  </w:style>
  <w:style w:type="paragraph" w:customStyle="1" w:styleId="68">
    <w:name w:val="msobodytextcxsplast"/>
    <w:basedOn w:val="1"/>
    <w:qFormat/>
    <w:uiPriority w:val="0"/>
    <w:pPr>
      <w:adjustRightInd/>
      <w:snapToGrid/>
      <w:spacing w:before="280" w:after="280" w:line="360" w:lineRule="auto"/>
      <w:jc w:val="both"/>
    </w:pPr>
    <w:rPr>
      <w:rFonts w:ascii="宋体" w:hAnsi="宋体" w:eastAsia="宋体" w:cs="Times New Roman"/>
      <w:kern w:val="2"/>
      <w:sz w:val="18"/>
      <w:szCs w:val="24"/>
      <w:lang w:eastAsia="ar-SA"/>
    </w:rPr>
  </w:style>
  <w:style w:type="paragraph" w:customStyle="1" w:styleId="69">
    <w:name w:val="标题 2（网御星云）"/>
    <w:basedOn w:val="3"/>
    <w:next w:val="1"/>
    <w:qFormat/>
    <w:uiPriority w:val="0"/>
    <w:pPr>
      <w:spacing w:line="413" w:lineRule="auto"/>
      <w:ind w:left="794" w:hanging="794"/>
      <w:jc w:val="left"/>
    </w:pPr>
    <w:rPr>
      <w:bCs w:val="0"/>
    </w:rPr>
  </w:style>
  <w:style w:type="paragraph" w:customStyle="1" w:styleId="70">
    <w:name w:val="TOC Heading"/>
    <w:basedOn w:val="2"/>
    <w:next w:val="1"/>
    <w:semiHidden/>
    <w:unhideWhenUsed/>
    <w:qFormat/>
    <w:uiPriority w:val="39"/>
    <w:pPr>
      <w:keepLines/>
      <w:widowControl/>
      <w:spacing w:before="480" w:line="276" w:lineRule="auto"/>
      <w:jc w:val="left"/>
      <w:outlineLvl w:val="9"/>
    </w:pPr>
    <w:rPr>
      <w:rFonts w:ascii="Cambria" w:hAnsi="Cambria"/>
      <w:b w:val="0"/>
      <w:bCs/>
      <w:color w:val="365F91"/>
      <w:kern w:val="0"/>
      <w:sz w:val="28"/>
      <w:szCs w:val="28"/>
    </w:rPr>
  </w:style>
  <w:style w:type="character" w:customStyle="1" w:styleId="71">
    <w:name w:val="副标题 Char"/>
    <w:basedOn w:val="32"/>
    <w:link w:val="22"/>
    <w:qFormat/>
    <w:uiPriority w:val="0"/>
    <w:rPr>
      <w:rFonts w:ascii="Cambria" w:hAnsi="Cambria" w:eastAsia="宋体" w:cs="Times New Roman"/>
      <w:b/>
      <w:bCs/>
      <w:kern w:val="28"/>
      <w:sz w:val="24"/>
      <w:szCs w:val="32"/>
    </w:rPr>
  </w:style>
  <w:style w:type="paragraph" w:customStyle="1" w:styleId="72">
    <w:name w:val="Char Char9"/>
    <w:basedOn w:val="1"/>
    <w:qFormat/>
    <w:uiPriority w:val="0"/>
    <w:pPr>
      <w:widowControl w:val="0"/>
      <w:adjustRightInd/>
      <w:snapToGrid/>
      <w:spacing w:after="0"/>
      <w:jc w:val="both"/>
    </w:pPr>
    <w:rPr>
      <w:rFonts w:eastAsia="宋体" w:cs="Times New Roman"/>
      <w:kern w:val="2"/>
      <w:sz w:val="24"/>
      <w:szCs w:val="24"/>
      <w:u w:val="single"/>
    </w:rPr>
  </w:style>
  <w:style w:type="paragraph" w:customStyle="1" w:styleId="73">
    <w:name w:val="列出段落1"/>
    <w:basedOn w:val="1"/>
    <w:qFormat/>
    <w:uiPriority w:val="0"/>
    <w:pPr>
      <w:adjustRightInd/>
      <w:snapToGrid/>
      <w:spacing w:after="0"/>
      <w:ind w:firstLine="200" w:firstLineChars="200"/>
    </w:pPr>
    <w:rPr>
      <w:rFonts w:ascii="Calibri" w:hAnsi="Calibri" w:eastAsia="宋体" w:cs="Times New Roman"/>
      <w:sz w:val="21"/>
      <w:szCs w:val="20"/>
    </w:rPr>
  </w:style>
  <w:style w:type="paragraph" w:customStyle="1" w:styleId="74">
    <w:name w:val="样式"/>
    <w:qFormat/>
    <w:uiPriority w:val="0"/>
    <w:pPr>
      <w:widowControl w:val="0"/>
      <w:autoSpaceDE w:val="0"/>
      <w:autoSpaceDN w:val="0"/>
      <w:adjustRightInd w:val="0"/>
      <w:spacing w:after="0" w:line="240" w:lineRule="auto"/>
    </w:pPr>
    <w:rPr>
      <w:rFonts w:ascii="宋体" w:hAnsi="宋体" w:eastAsia="宋体" w:cs="宋体"/>
      <w:sz w:val="24"/>
      <w:szCs w:val="24"/>
      <w:lang w:val="en-US" w:eastAsia="zh-CN" w:bidi="ar-SA"/>
    </w:rPr>
  </w:style>
  <w:style w:type="paragraph" w:customStyle="1" w:styleId="75">
    <w:name w:val="Revision"/>
    <w:hidden/>
    <w:unhideWhenUsed/>
    <w:qFormat/>
    <w:uiPriority w:val="99"/>
    <w:pPr>
      <w:spacing w:after="0" w:line="240" w:lineRule="auto"/>
    </w:pPr>
    <w:rPr>
      <w:rFonts w:ascii="Times New Roman" w:hAnsi="Times New Roman" w:eastAsia="宋体" w:cs="Times New Roman"/>
      <w:kern w:val="2"/>
      <w:sz w:val="24"/>
      <w:szCs w:val="24"/>
      <w:lang w:val="en-US" w:eastAsia="zh-CN" w:bidi="ar-SA"/>
    </w:rPr>
  </w:style>
  <w:style w:type="paragraph" w:customStyle="1" w:styleId="76">
    <w:name w:val="样式 首行缩进:  2 字符"/>
    <w:basedOn w:val="1"/>
    <w:qFormat/>
    <w:uiPriority w:val="0"/>
    <w:pPr>
      <w:widowControl w:val="0"/>
      <w:adjustRightInd/>
      <w:snapToGrid/>
      <w:spacing w:after="0" w:line="400" w:lineRule="exact"/>
      <w:ind w:firstLine="200" w:firstLineChars="200"/>
      <w:jc w:val="both"/>
    </w:pPr>
    <w:rPr>
      <w:rFonts w:ascii="Times New Roman" w:hAnsi="Times New Roman" w:eastAsia="宋体" w:cs="宋体"/>
      <w:kern w:val="2"/>
      <w:sz w:val="24"/>
      <w:szCs w:val="24"/>
    </w:rPr>
  </w:style>
  <w:style w:type="character" w:customStyle="1" w:styleId="77">
    <w:name w:val="正文文本缩进 Char"/>
    <w:basedOn w:val="32"/>
    <w:link w:val="9"/>
    <w:qFormat/>
    <w:uiPriority w:val="0"/>
    <w:rPr>
      <w:rFonts w:ascii="Times New Roman" w:hAnsi="Times New Roman" w:eastAsia="宋体" w:cs="Times New Roman"/>
      <w:kern w:val="2"/>
      <w:sz w:val="24"/>
      <w:szCs w:val="24"/>
    </w:rPr>
  </w:style>
  <w:style w:type="paragraph" w:customStyle="1" w:styleId="78">
    <w:name w:val="p0"/>
    <w:basedOn w:val="1"/>
    <w:qFormat/>
    <w:uiPriority w:val="0"/>
    <w:pPr>
      <w:adjustRightInd/>
      <w:snapToGrid/>
      <w:spacing w:after="0" w:line="360" w:lineRule="auto"/>
      <w:jc w:val="both"/>
    </w:pPr>
    <w:rPr>
      <w:rFonts w:ascii="宋体" w:hAnsi="宋体" w:eastAsia="宋体" w:cs="宋体"/>
      <w:sz w:val="24"/>
      <w:szCs w:val="21"/>
    </w:rPr>
  </w:style>
  <w:style w:type="character" w:customStyle="1" w:styleId="79">
    <w:name w:val="纯文本 字符"/>
    <w:qFormat/>
    <w:uiPriority w:val="0"/>
    <w:rPr>
      <w:rFonts w:hAnsi="Courier New"/>
      <w:kern w:val="2"/>
      <w:sz w:val="21"/>
      <w:szCs w:val="24"/>
    </w:rPr>
  </w:style>
  <w:style w:type="character" w:customStyle="1" w:styleId="80">
    <w:name w:val="time"/>
    <w:basedOn w:val="32"/>
    <w:qFormat/>
    <w:uiPriority w:val="0"/>
  </w:style>
  <w:style w:type="character" w:customStyle="1" w:styleId="81">
    <w:name w:val="time1"/>
    <w:basedOn w:val="32"/>
    <w:qFormat/>
    <w:uiPriority w:val="0"/>
  </w:style>
  <w:style w:type="character" w:customStyle="1" w:styleId="82">
    <w:name w:val="english"/>
    <w:basedOn w:val="32"/>
    <w:qFormat/>
    <w:uiPriority w:val="0"/>
    <w:rPr>
      <w:rFonts w:ascii="微软雅黑" w:hAnsi="微软雅黑" w:eastAsia="微软雅黑" w:cs="微软雅黑"/>
      <w:i/>
      <w:iCs/>
      <w:caps/>
      <w:color w:val="9E9E9E"/>
      <w:sz w:val="21"/>
      <w:szCs w:val="21"/>
    </w:rPr>
  </w:style>
  <w:style w:type="character" w:customStyle="1" w:styleId="83">
    <w:name w:val="english1"/>
    <w:basedOn w:val="32"/>
    <w:qFormat/>
    <w:uiPriority w:val="0"/>
    <w:rPr>
      <w:rFonts w:hint="eastAsia" w:ascii="微软雅黑" w:hAnsi="微软雅黑" w:eastAsia="微软雅黑" w:cs="微软雅黑"/>
      <w:color w:val="000000"/>
      <w:sz w:val="12"/>
      <w:szCs w:val="12"/>
    </w:rPr>
  </w:style>
  <w:style w:type="character" w:customStyle="1" w:styleId="84">
    <w:name w:val="english2"/>
    <w:basedOn w:val="32"/>
    <w:qFormat/>
    <w:uiPriority w:val="0"/>
    <w:rPr>
      <w:rFonts w:hint="eastAsia" w:ascii="微软雅黑" w:hAnsi="微软雅黑" w:eastAsia="微软雅黑" w:cs="微软雅黑"/>
      <w:i/>
      <w:iCs/>
      <w:caps/>
      <w:color w:val="9E9E9E"/>
      <w:sz w:val="21"/>
      <w:szCs w:val="21"/>
    </w:rPr>
  </w:style>
  <w:style w:type="character" w:customStyle="1" w:styleId="85">
    <w:name w:val="time2"/>
    <w:basedOn w:val="32"/>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33</Pages>
  <Words>10816</Words>
  <Characters>12043</Characters>
  <Lines>117</Lines>
  <Paragraphs>32</Paragraphs>
  <TotalTime>28</TotalTime>
  <ScaleCrop>false</ScaleCrop>
  <LinksUpToDate>false</LinksUpToDate>
  <CharactersWithSpaces>12982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2021-04-01T04:23:00Z</dcterms:created>
  <dc:creator>Administrator</dc:creator>
  <cp:lastModifiedBy>Administrator</cp:lastModifiedBy>
  <dcterms:modified xsi:type="dcterms:W3CDTF">2021-12-15T08:05:21Z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3A1855EDF09E4574AE208C5AEFD5C3EA</vt:lpwstr>
  </property>
</Properties>
</file>