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b/>
          <w:bCs/>
          <w:sz w:val="32"/>
          <w:szCs w:val="32"/>
        </w:rPr>
      </w:pPr>
      <w:r>
        <w:rPr>
          <w:rFonts w:hint="eastAsia" w:ascii="宋体" w:hAnsi="宋体" w:eastAsia="宋体" w:cs="仿宋"/>
          <w:b/>
          <w:bCs/>
          <w:sz w:val="32"/>
          <w:szCs w:val="32"/>
        </w:rPr>
        <w:t>一、项目来源</w:t>
      </w:r>
    </w:p>
    <w:p>
      <w:pPr>
        <w:spacing w:line="360" w:lineRule="auto"/>
        <w:ind w:firstLine="480" w:firstLineChars="200"/>
        <w:rPr>
          <w:rFonts w:ascii="宋体" w:hAnsi="宋体" w:eastAsia="宋体"/>
          <w:sz w:val="24"/>
          <w:szCs w:val="24"/>
        </w:rPr>
      </w:pPr>
      <w:r>
        <w:rPr>
          <w:rFonts w:hint="eastAsia" w:ascii="宋体" w:hAnsi="宋体" w:eastAsia="宋体" w:cs="仿宋"/>
          <w:sz w:val="24"/>
          <w:szCs w:val="24"/>
        </w:rPr>
        <w:t>为深入贯彻2018年10月10日习近平总书记在中央财经委员会第三次会议上关于提高自然灾害防治能力的重要讲话精神，</w:t>
      </w:r>
      <w:r>
        <w:rPr>
          <w:rFonts w:hint="eastAsia" w:ascii="宋体" w:hAnsi="宋体" w:eastAsia="宋体"/>
          <w:sz w:val="24"/>
          <w:szCs w:val="24"/>
        </w:rPr>
        <w:t>按照国务院办公厅关于开展《第一次全国自然灾害综合风险普查〉的通知》（国办发〔</w:t>
      </w:r>
      <w:r>
        <w:rPr>
          <w:rFonts w:ascii="宋体" w:hAnsi="宋体" w:eastAsia="宋体"/>
          <w:sz w:val="24"/>
          <w:szCs w:val="24"/>
        </w:rPr>
        <w:t>2020</w:t>
      </w:r>
      <w:r>
        <w:rPr>
          <w:rFonts w:hint="eastAsia" w:ascii="宋体" w:hAnsi="宋体" w:eastAsia="宋体"/>
          <w:sz w:val="24"/>
          <w:szCs w:val="24"/>
        </w:rPr>
        <w:t>〕</w:t>
      </w:r>
      <w:r>
        <w:rPr>
          <w:rFonts w:ascii="宋体" w:hAnsi="宋体" w:eastAsia="宋体"/>
          <w:sz w:val="24"/>
          <w:szCs w:val="24"/>
        </w:rPr>
        <w:t>12</w:t>
      </w:r>
      <w:r>
        <w:rPr>
          <w:rFonts w:hint="eastAsia" w:ascii="宋体" w:hAnsi="宋体" w:eastAsia="宋体"/>
          <w:sz w:val="24"/>
          <w:szCs w:val="24"/>
        </w:rPr>
        <w:t>号）、</w:t>
      </w:r>
      <w:r>
        <w:rPr>
          <w:rFonts w:hint="eastAsia" w:ascii="宋体" w:hAnsi="宋体" w:eastAsia="宋体" w:cs="仿宋"/>
          <w:sz w:val="24"/>
          <w:szCs w:val="24"/>
        </w:rPr>
        <w:t>海南省人民政府办公厅关于开展《海南省第一次全国自然灾害综合风险普查》（琼府办函发〔2020〕212号）的通知和《海南省第一次自然灾害综合风险普查总体方案》等要求，屯昌县自然资源和规划局开展“屯昌县地质灾害风险普查”项目。</w:t>
      </w:r>
    </w:p>
    <w:p>
      <w:pPr>
        <w:spacing w:line="360" w:lineRule="auto"/>
        <w:rPr>
          <w:rFonts w:hint="eastAsia" w:ascii="宋体" w:hAnsi="宋体" w:eastAsia="宋体" w:cs="仿宋"/>
          <w:b/>
          <w:bCs/>
          <w:sz w:val="32"/>
          <w:szCs w:val="32"/>
        </w:rPr>
      </w:pPr>
      <w:bookmarkStart w:id="0" w:name="_Toc13257"/>
      <w:r>
        <w:rPr>
          <w:rFonts w:hint="eastAsia" w:ascii="宋体" w:hAnsi="宋体" w:eastAsia="宋体" w:cs="仿宋"/>
          <w:b/>
          <w:bCs/>
          <w:sz w:val="32"/>
          <w:szCs w:val="32"/>
          <w:lang w:eastAsia="zh-CN"/>
        </w:rPr>
        <w:t>二</w:t>
      </w:r>
      <w:r>
        <w:rPr>
          <w:rFonts w:hint="eastAsia" w:ascii="宋体" w:hAnsi="宋体" w:eastAsia="宋体" w:cs="仿宋"/>
          <w:b/>
          <w:bCs/>
          <w:sz w:val="32"/>
          <w:szCs w:val="32"/>
        </w:rPr>
        <w:t>、服务内容：</w:t>
      </w:r>
      <w:bookmarkEnd w:id="0"/>
    </w:p>
    <w:p>
      <w:pPr>
        <w:pStyle w:val="6"/>
        <w:spacing w:line="360" w:lineRule="auto"/>
        <w:ind w:firstLine="482" w:firstLineChars="200"/>
        <w:jc w:val="both"/>
        <w:rPr>
          <w:b/>
          <w:bCs/>
          <w:sz w:val="24"/>
          <w:szCs w:val="24"/>
        </w:rPr>
      </w:pPr>
      <w:bookmarkStart w:id="1" w:name="_Toc11953"/>
      <w:r>
        <w:rPr>
          <w:rFonts w:hint="eastAsia"/>
          <w:b/>
          <w:bCs/>
          <w:sz w:val="24"/>
          <w:szCs w:val="24"/>
        </w:rPr>
        <w:t>（</w:t>
      </w:r>
      <w:r>
        <w:rPr>
          <w:rFonts w:hint="eastAsia"/>
          <w:b/>
          <w:bCs/>
          <w:sz w:val="24"/>
          <w:szCs w:val="24"/>
          <w:lang w:eastAsia="zh-CN"/>
        </w:rPr>
        <w:t>一</w:t>
      </w:r>
      <w:r>
        <w:rPr>
          <w:rFonts w:hint="eastAsia"/>
          <w:b/>
          <w:bCs/>
          <w:sz w:val="24"/>
          <w:szCs w:val="24"/>
        </w:rPr>
        <w:t>）工作区域</w:t>
      </w:r>
      <w:bookmarkEnd w:id="1"/>
    </w:p>
    <w:p>
      <w:pPr>
        <w:pStyle w:val="6"/>
        <w:spacing w:line="360" w:lineRule="auto"/>
        <w:ind w:firstLine="480" w:firstLineChars="200"/>
        <w:jc w:val="both"/>
        <w:rPr>
          <w:sz w:val="24"/>
          <w:szCs w:val="24"/>
        </w:rPr>
      </w:pPr>
      <w:r>
        <w:rPr>
          <w:rFonts w:hint="eastAsia"/>
          <w:sz w:val="24"/>
          <w:szCs w:val="24"/>
        </w:rPr>
        <w:t>屯昌县辖区</w:t>
      </w:r>
    </w:p>
    <w:p>
      <w:pPr>
        <w:pStyle w:val="6"/>
        <w:spacing w:line="360" w:lineRule="auto"/>
        <w:ind w:firstLine="482" w:firstLineChars="200"/>
        <w:jc w:val="both"/>
        <w:rPr>
          <w:b/>
          <w:bCs/>
          <w:sz w:val="24"/>
          <w:szCs w:val="24"/>
        </w:rPr>
      </w:pPr>
      <w:bookmarkStart w:id="2" w:name="_Toc18620"/>
      <w:r>
        <w:rPr>
          <w:rFonts w:hint="eastAsia"/>
          <w:b/>
          <w:bCs/>
          <w:sz w:val="24"/>
          <w:szCs w:val="24"/>
        </w:rPr>
        <w:t>（</w:t>
      </w:r>
      <w:r>
        <w:rPr>
          <w:rFonts w:hint="eastAsia"/>
          <w:b/>
          <w:bCs/>
          <w:sz w:val="24"/>
          <w:szCs w:val="24"/>
          <w:lang w:eastAsia="zh-CN"/>
        </w:rPr>
        <w:t>二</w:t>
      </w:r>
      <w:r>
        <w:rPr>
          <w:rFonts w:hint="eastAsia"/>
          <w:b/>
          <w:bCs/>
          <w:sz w:val="24"/>
          <w:szCs w:val="24"/>
        </w:rPr>
        <w:t>）主要任务</w:t>
      </w:r>
      <w:bookmarkEnd w:id="2"/>
    </w:p>
    <w:p>
      <w:pPr>
        <w:pStyle w:val="6"/>
        <w:spacing w:line="360" w:lineRule="auto"/>
        <w:ind w:firstLine="480" w:firstLineChars="200"/>
        <w:jc w:val="both"/>
        <w:rPr>
          <w:sz w:val="24"/>
          <w:szCs w:val="24"/>
        </w:rPr>
      </w:pPr>
      <w:r>
        <w:rPr>
          <w:rFonts w:hint="eastAsia"/>
          <w:sz w:val="24"/>
          <w:szCs w:val="24"/>
        </w:rPr>
        <w:t>开展地质灾害风险要素全面调查、重点隐患调查与评估，查明区域抗灾能力，建立全市地质灾害风险数据库，开展地质灾害风险评估，编制1:5万地质灾害系列风险图，重要隐患区段1:1万地质灾害风险区划和灾害防治区划图。</w:t>
      </w:r>
    </w:p>
    <w:p>
      <w:pPr>
        <w:pStyle w:val="6"/>
        <w:spacing w:line="360" w:lineRule="auto"/>
        <w:ind w:firstLine="480" w:firstLineChars="200"/>
        <w:jc w:val="both"/>
        <w:rPr>
          <w:sz w:val="24"/>
          <w:szCs w:val="24"/>
        </w:rPr>
      </w:pPr>
      <w:r>
        <w:rPr>
          <w:rFonts w:hint="eastAsia"/>
          <w:sz w:val="24"/>
          <w:szCs w:val="24"/>
        </w:rPr>
        <w:t>1.全面掌握风险要素信息。在全面梳理汇总运用全省1:5万、市县1:1万地质灾害详查、城区、产业园区和建设项目地质灾害区域评估等既往调查成果和现有地质灾害隐患数据的基础上，在重要隐患区段适当综合运用遥感识别和无人机等新技术新手段，开展地质灾害与孕灾地质条件、承灾体调查，圈定重要疑似隐患点、变形区后，再进行现场核查；对各类易发区和受威胁严重、人口聚集区分别开展1:5万和1:1万补充调查（在重要隐患区段，必要时加以物探、钻探、山地工程作为辅助手段。），主要查明地质灾害隐患的稳定性和风险，以及因切坡建房引发地质灾害问题现状，形成切坡建房问题基础台账。</w:t>
      </w:r>
    </w:p>
    <w:p>
      <w:pPr>
        <w:pStyle w:val="6"/>
        <w:spacing w:line="360" w:lineRule="auto"/>
        <w:ind w:firstLine="480" w:firstLineChars="200"/>
        <w:jc w:val="both"/>
        <w:rPr>
          <w:sz w:val="24"/>
          <w:szCs w:val="24"/>
        </w:rPr>
      </w:pPr>
      <w:r>
        <w:rPr>
          <w:rFonts w:hint="eastAsia"/>
          <w:sz w:val="24"/>
          <w:szCs w:val="24"/>
        </w:rPr>
        <w:t>2.充分考虑地质灾害危险性和承载体类型、易损性等信息，采用定性与定量相结合的方法进行地质灾害易发性、危险性、风险评价和区划，对区划边界、风险等级、隐患疑似点等进行复核，总结调查区地质灾害发育分布规律，分析地质灾害成灾模式；编制地质灾害风险调查评价相关图件，提出地质灾害风险管控对策建议，为防灾减灾、国土空间规划和用途管制等提供基础依据。</w:t>
      </w:r>
    </w:p>
    <w:p>
      <w:pPr>
        <w:pStyle w:val="6"/>
        <w:spacing w:line="360" w:lineRule="auto"/>
        <w:ind w:firstLine="480" w:firstLineChars="200"/>
        <w:jc w:val="both"/>
        <w:rPr>
          <w:sz w:val="24"/>
          <w:szCs w:val="24"/>
        </w:rPr>
      </w:pPr>
      <w:r>
        <w:rPr>
          <w:rFonts w:hint="eastAsia"/>
          <w:sz w:val="24"/>
          <w:szCs w:val="24"/>
        </w:rPr>
        <w:t>3.依托全国地质灾害信息系统，建设分布式网络基础设施，健全完善地质灾害数据库，集成相关领域地质灾害调查成果，实现全市地质灾害数据库动态更新。</w:t>
      </w:r>
    </w:p>
    <w:p>
      <w:r>
        <w:rPr>
          <w:rFonts w:hint="eastAsia"/>
          <w:sz w:val="24"/>
          <w:szCs w:val="24"/>
        </w:rPr>
        <w:t>4.包括但不限于《海南省地质灾害风险普查工作方案》、《屯昌县地质灾害风险普查工作方案》有利于屯昌县地质灾害风险普查工作的合理任务。</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3">
      <wne:acd wne:acdName="acd1"/>
    </wne:keymap>
    <wne:keymap wne:kcmPrimary="0434">
      <wne:acd wne:acdName="acd2"/>
    </wne:keymap>
  </wne:keymaps>
  <wne:acds>
    <wne:acd wne:argValue="AQAAAAEA" wne:acdName="acd0" wne:fciIndexBasedOn="0065"/>
    <wne:acd wne:argValue="AQAAAAMA" wne:acdName="acd1" wne:fciIndexBasedOn="0065"/>
    <wne:acd wne:argValue="AQAAAAQ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7FF7D"/>
    <w:multiLevelType w:val="multilevel"/>
    <w:tmpl w:val="8477FF7D"/>
    <w:lvl w:ilvl="0" w:tentative="0">
      <w:start w:val="1"/>
      <w:numFmt w:val="decimal"/>
      <w:lvlText w:val="第%1章"/>
      <w:lvlJc w:val="left"/>
      <w:rPr>
        <w:rFonts w:hint="eastAsia"/>
        <w:b w:val="0"/>
        <w:bCs w:val="0"/>
        <w:i w:val="0"/>
        <w:iCs w:val="0"/>
        <w:caps w:val="0"/>
        <w:smallCaps w:val="0"/>
        <w:strike w:val="0"/>
        <w:dstrike w:val="0"/>
        <w:vanish w:val="0"/>
        <w:color w:val="000000"/>
        <w:spacing w:val="0"/>
        <w:position w:val="0"/>
        <w:sz w:val="44"/>
        <w:u w:val="none"/>
        <w:vertAlign w:val="baseline"/>
        <w14:shadow w14:blurRad="0" w14:dist="0" w14:dir="0" w14:sx="0" w14:sy="0" w14:kx="0" w14:ky="0" w14:algn="none">
          <w14:srgbClr w14:val="000000"/>
        </w14:shadow>
      </w:rPr>
    </w:lvl>
    <w:lvl w:ilvl="1" w:tentative="0">
      <w:start w:val="1"/>
      <w:numFmt w:val="decimal"/>
      <w:isLgl/>
      <w:lvlText w:val="%1.%2"/>
      <w:lvlJc w:val="left"/>
      <w:pPr>
        <w:tabs>
          <w:tab w:val="left" w:pos="985"/>
        </w:tabs>
        <w:ind w:left="560" w:firstLine="0"/>
      </w:pPr>
      <w:rPr>
        <w:rFonts w:hint="eastAsia"/>
        <w:b w:val="0"/>
        <w:i w:val="0"/>
        <w:color w:val="000000"/>
      </w:rPr>
    </w:lvl>
    <w:lvl w:ilvl="2" w:tentative="0">
      <w:start w:val="1"/>
      <w:numFmt w:val="decimal"/>
      <w:isLgl/>
      <w:lvlText w:val="%1.%2.%3"/>
      <w:lvlJc w:val="left"/>
      <w:pPr>
        <w:tabs>
          <w:tab w:val="left" w:pos="425"/>
        </w:tabs>
        <w:ind w:left="0" w:firstLine="0"/>
      </w:pPr>
      <w:rPr>
        <w:rFonts w:hint="eastAsia"/>
      </w:rPr>
    </w:lvl>
    <w:lvl w:ilvl="3" w:tentative="0">
      <w:start w:val="1"/>
      <w:numFmt w:val="decimal"/>
      <w:pStyle w:val="5"/>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76288"/>
    <w:rsid w:val="1C7B493C"/>
    <w:rsid w:val="294F5EFC"/>
    <w:rsid w:val="34C57785"/>
    <w:rsid w:val="360E4CB1"/>
    <w:rsid w:val="436F2D6A"/>
    <w:rsid w:val="442F0F76"/>
    <w:rsid w:val="56DE02BD"/>
    <w:rsid w:val="5AE27609"/>
    <w:rsid w:val="66137F42"/>
    <w:rsid w:val="684277E8"/>
    <w:rsid w:val="6DD878DB"/>
    <w:rsid w:val="72D0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jc w:val="center"/>
      <w:outlineLvl w:val="0"/>
    </w:pPr>
    <w:rPr>
      <w:rFonts w:ascii="宋体" w:hAnsi="宋体"/>
      <w:b/>
      <w:bCs/>
      <w:kern w:val="44"/>
      <w:sz w:val="36"/>
      <w:szCs w:val="36"/>
      <w:lang w:eastAsia="en-US"/>
    </w:rPr>
  </w:style>
  <w:style w:type="paragraph" w:styleId="2">
    <w:name w:val="heading 2"/>
    <w:basedOn w:val="1"/>
    <w:next w:val="1"/>
    <w:link w:val="10"/>
    <w:semiHidden/>
    <w:unhideWhenUsed/>
    <w:qFormat/>
    <w:uiPriority w:val="0"/>
    <w:pPr>
      <w:keepNext/>
      <w:keepLines/>
      <w:spacing w:before="50" w:beforeLines="50"/>
      <w:outlineLvl w:val="1"/>
    </w:pPr>
    <w:rPr>
      <w:rFonts w:ascii="Cambria" w:hAnsi="Cambria"/>
      <w:b/>
      <w:bCs/>
      <w:sz w:val="28"/>
      <w:szCs w:val="32"/>
      <w:lang w:eastAsia="en-US"/>
    </w:rPr>
  </w:style>
  <w:style w:type="paragraph" w:styleId="4">
    <w:name w:val="heading 3"/>
    <w:basedOn w:val="1"/>
    <w:next w:val="1"/>
    <w:link w:val="11"/>
    <w:semiHidden/>
    <w:unhideWhenUsed/>
    <w:qFormat/>
    <w:uiPriority w:val="0"/>
    <w:pPr>
      <w:keepNext/>
      <w:keepLines/>
      <w:spacing w:line="360" w:lineRule="auto"/>
      <w:outlineLvl w:val="2"/>
    </w:pPr>
    <w:rPr>
      <w:rFonts w:ascii="宋体" w:hAnsi="宋体" w:cs="宋体"/>
      <w:b/>
      <w:lang w:eastAsia="en-US"/>
    </w:rPr>
  </w:style>
  <w:style w:type="paragraph" w:styleId="5">
    <w:name w:val="heading 4"/>
    <w:basedOn w:val="1"/>
    <w:next w:val="1"/>
    <w:semiHidden/>
    <w:unhideWhenUsed/>
    <w:qFormat/>
    <w:uiPriority w:val="0"/>
    <w:pPr>
      <w:keepNext/>
      <w:keepLines/>
      <w:numPr>
        <w:ilvl w:val="3"/>
        <w:numId w:val="1"/>
      </w:numPr>
      <w:tabs>
        <w:tab w:val="left" w:pos="560"/>
      </w:tabs>
      <w:outlineLvl w:val="3"/>
    </w:pPr>
    <w:rPr>
      <w:rFonts w:ascii="宋体" w:hAnsi="宋体" w:cs="宋体"/>
      <w:b/>
      <w:bC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next w:val="1"/>
    <w:qFormat/>
    <w:uiPriority w:val="0"/>
    <w:pPr>
      <w:spacing w:after="120"/>
    </w:pPr>
  </w:style>
  <w:style w:type="character" w:customStyle="1" w:styleId="9">
    <w:name w:val="标题 1 字符"/>
    <w:link w:val="3"/>
    <w:qFormat/>
    <w:uiPriority w:val="0"/>
    <w:rPr>
      <w:rFonts w:ascii="宋体" w:hAnsi="宋体" w:eastAsia="宋体"/>
      <w:b/>
      <w:bCs/>
      <w:kern w:val="44"/>
      <w:sz w:val="36"/>
      <w:szCs w:val="36"/>
      <w:lang w:eastAsia="en-US"/>
    </w:rPr>
  </w:style>
  <w:style w:type="character" w:customStyle="1" w:styleId="10">
    <w:name w:val="标题 2 字符"/>
    <w:link w:val="2"/>
    <w:qFormat/>
    <w:uiPriority w:val="9"/>
    <w:rPr>
      <w:rFonts w:ascii="Cambria" w:hAnsi="Cambria" w:eastAsia="仿宋"/>
      <w:b/>
      <w:bCs/>
      <w:kern w:val="2"/>
      <w:sz w:val="28"/>
      <w:szCs w:val="32"/>
      <w:lang w:eastAsia="en-US"/>
    </w:rPr>
  </w:style>
  <w:style w:type="character" w:customStyle="1" w:styleId="11">
    <w:name w:val="标题 3 字符"/>
    <w:link w:val="4"/>
    <w:qFormat/>
    <w:uiPriority w:val="9"/>
    <w:rPr>
      <w:rFonts w:ascii="宋体" w:hAnsi="宋体" w:eastAsia="宋体" w:cs="宋体"/>
      <w:b/>
      <w:kern w:val="2"/>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2021-10-15T07:13:00Z</dcterms:created>
  <dc:creator>Administrator</dc:creator>
  <cp:lastModifiedBy>...</cp:lastModifiedBy>
  <dcterms:modified xsi:type="dcterms:W3CDTF">2021-12-02T02:17:41Z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4FBF3399399F4AFDA068C8B066A0F94E</vt:lpwstr>
  </property>
</Properties>
</file>