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cs="宋体"/>
          <w:b/>
          <w:sz w:val="24"/>
        </w:rPr>
      </w:pPr>
      <w:bookmarkStart w:id="0" w:name="_Toc9577"/>
      <w:r>
        <w:rPr>
          <w:rFonts w:hint="eastAsia" w:ascii="宋体" w:hAnsi="宋体" w:cs="宋体"/>
          <w:b/>
          <w:sz w:val="48"/>
          <w:szCs w:val="48"/>
        </w:rPr>
        <w:t>第三部分  采购需求</w:t>
      </w:r>
      <w:bookmarkEnd w:id="0"/>
    </w:p>
    <w:p>
      <w:pPr>
        <w:spacing w:line="360" w:lineRule="auto"/>
        <w:rPr>
          <w:rFonts w:ascii="宋体" w:hAnsi="宋体" w:cs="宋体"/>
          <w:b/>
          <w:bCs/>
          <w:sz w:val="28"/>
          <w:szCs w:val="28"/>
        </w:rPr>
      </w:pPr>
      <w:bookmarkStart w:id="1" w:name="_Toc11080"/>
    </w:p>
    <w:bookmarkEnd w:id="1"/>
    <w:p>
      <w:pPr>
        <w:pStyle w:val="9"/>
        <w:spacing w:line="360" w:lineRule="auto"/>
        <w:ind w:firstLine="480" w:firstLineChars="200"/>
        <w:rPr>
          <w:sz w:val="24"/>
          <w:szCs w:val="24"/>
        </w:rPr>
      </w:pPr>
      <w:r>
        <w:rPr>
          <w:rFonts w:hint="eastAsia"/>
          <w:sz w:val="24"/>
          <w:szCs w:val="24"/>
        </w:rPr>
        <w:t>增强法治宣传教育实效性，保障广大市民依法行使权利，依法维护正当利益，依法履行义务，积极引导社会公众尊法学法守法用法，提高法治意识，增强法治观念。</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第一条  服务范围及群体</w:t>
      </w:r>
    </w:p>
    <w:p>
      <w:pPr>
        <w:pStyle w:val="5"/>
        <w:widowControl w:val="0"/>
        <w:spacing w:line="360" w:lineRule="auto"/>
        <w:ind w:right="215"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服务范围为海南省三亚市吉阳区吉阳大社区、榆亚大社区、卓达大社区、落笔大社区等4个公共法律服务站（社区矫正工作站）及其所覆盖的xx个社区、村委会。服务群体为三亚市吉阳区</w:t>
      </w:r>
      <w:r>
        <w:rPr>
          <w:rFonts w:hint="eastAsia" w:ascii="宋体" w:hAnsi="宋体" w:cs="宋体"/>
          <w:color w:val="222222"/>
          <w:sz w:val="24"/>
          <w:shd w:val="clear" w:color="auto" w:fill="FFFFFF"/>
        </w:rPr>
        <w:t>机关、学校、社区、乡村、企业、单位等公众及吉阳辖区社区矫正对象</w:t>
      </w:r>
      <w:r>
        <w:rPr>
          <w:rFonts w:hint="eastAsia" w:ascii="宋体" w:hAnsi="宋体" w:cs="宋体"/>
          <w:color w:val="000000" w:themeColor="text1"/>
          <w:sz w:val="24"/>
          <w14:textFill>
            <w14:solidFill>
              <w14:schemeClr w14:val="tx1"/>
            </w14:solidFill>
          </w14:textFill>
        </w:rPr>
        <w:t>。</w:t>
      </w:r>
    </w:p>
    <w:p>
      <w:pPr>
        <w:spacing w:line="360" w:lineRule="auto"/>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第二条  服务目标</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(一)通过深入持久地开展普法宣传工作，进一步健全普法宣传教育机制，增强法治宣传教育实效性，保障广大市民依法行使权利，依法维护正当利益，依法履行义务，</w:t>
      </w:r>
      <w:r>
        <w:rPr>
          <w:rFonts w:hint="eastAsia" w:ascii="宋体" w:hAnsi="宋体" w:cs="宋体"/>
          <w:color w:val="000000"/>
          <w:sz w:val="24"/>
          <w:shd w:val="clear" w:color="auto" w:fill="FFFFFF"/>
        </w:rPr>
        <w:t>积极引导社会公众尊法学法守法用法，提高法治意识，增强法治观念</w:t>
      </w:r>
      <w:r>
        <w:rPr>
          <w:rFonts w:hint="eastAsia" w:ascii="宋体" w:hAnsi="宋体" w:cs="宋体"/>
          <w:color w:val="000000" w:themeColor="text1"/>
          <w:sz w:val="24"/>
          <w14:textFill>
            <w14:solidFill>
              <w14:schemeClr w14:val="tx1"/>
            </w14:solidFill>
          </w14:textFill>
        </w:rPr>
        <w:t>，形成守法光荣、违法可耻的社会氛围。</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(二)及时掌握辖区社区矫正对象的思想动态，做好帮扶教育，规范对社区矫正对象的管理。</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第三条  服务内容及标准</w:t>
      </w:r>
    </w:p>
    <w:p>
      <w:pPr>
        <w:spacing w:line="360" w:lineRule="auto"/>
        <w:ind w:firstLine="278" w:firstLineChars="11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（一）社区矫正业务</w:t>
      </w:r>
    </w:p>
    <w:p>
      <w:pPr>
        <w:spacing w:line="360" w:lineRule="auto"/>
        <w:ind w:firstLine="491"/>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1、组织各村社区专门调解员对辖区内社区矫正对象每月至少走访一次，了解　本辖区内社区矫正对象思想、工作、生活等情况，配合做好教育帮扶等工作。</w:t>
      </w:r>
    </w:p>
    <w:p>
      <w:pPr>
        <w:spacing w:line="360" w:lineRule="auto"/>
        <w:ind w:firstLine="491"/>
        <w:rPr>
          <w:rFonts w:ascii="宋体" w:hAnsi="宋体" w:cs="宋体"/>
          <w:sz w:val="24"/>
        </w:rPr>
      </w:pPr>
      <w:r>
        <w:rPr>
          <w:rFonts w:hint="eastAsia" w:ascii="宋体" w:hAnsi="宋体" w:cs="宋体"/>
          <w:sz w:val="24"/>
        </w:rPr>
        <w:t>2、完成吉阳区社区矫正局构布置的其它相关工作。</w:t>
      </w:r>
    </w:p>
    <w:p>
      <w:pPr>
        <w:spacing w:line="360" w:lineRule="auto"/>
        <w:rPr>
          <w:rFonts w:ascii="宋体" w:hAnsi="宋体" w:cs="宋体"/>
          <w:sz w:val="24"/>
        </w:rPr>
      </w:pPr>
      <w:r>
        <w:rPr>
          <w:rFonts w:hint="eastAsia" w:ascii="宋体" w:hAnsi="宋体" w:cs="宋体"/>
          <w:sz w:val="24"/>
        </w:rPr>
        <w:t>　（二）公共法律宣传业务</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突出宪法宣传。在吉阳辖区组织开展“尊崇宪法、学习宪法、遵守宪法、维护宪法、运用宪法”主题宣传教育活动，推动宪法进企业、进农村、进机关、进校园、进社区、进军营、进网络、进万家，推动宪法精神深入人心。</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2、开展“美好生活●民法典相伴”主题宣传活动。加大民法典宣传力度，推动民法典学习宣传进机关、进单位、进学校、进企业、进公共场所、进媒体、进网络。</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3、开展“我为自贸港建设学法懂法宣法”主题普法活动。协调政府法律顾问和驻村法律顾问围绕海南自由贸易港建设目标任务，大力宣传海南自由贸易港法及相关法律法规 、规章，为海南自由贸易港建设营造良好的法治环境。</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4、聚焦维护社会和谐稳定开展普法宣传。围绕乡村振兴、常态化开展扫黑除恶、新一轮禁毒三年大会战、生态环境保护等加强普法宣传。</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5、围绕常态化疫情防控开展普法。强化对疫情防控相关法律法规的普法宣传，为常态化疫情防控和经济社会发展营造良好法治环境。</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6、加强对青少年法治宣传教育。加强对未成年保护法的普法宣传，进一步抓好法制教育进行校园活动。</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7、充分利用各类时间节点开展普法。利用各类时间节点，分时段明确宣传重点，加强道路交通、保障农民工工资、消费者权益、电信网络诈骗等方面法律法规的普法宣传。</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8、扎实开展“智慧普法”。深化“互联网+法治宣传”行动，以“法治吉阳”微信公众号、抖音号、今日头条为平台，线上线下普及法律知识、传播法治精神，不断提高法治宣传教育实效。</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9、协助吉阳区司法局完成其它法律宣传事项。</w:t>
      </w:r>
    </w:p>
    <w:p>
      <w:pPr>
        <w:spacing w:line="360" w:lineRule="auto"/>
        <w:ind w:firstLine="480" w:firstLineChars="200"/>
        <w:rPr>
          <w:rStyle w:val="10"/>
          <w:rFonts w:ascii="宋体" w:hAnsi="宋体" w:cs="宋体"/>
          <w:bCs w:val="0"/>
          <w:szCs w:val="24"/>
        </w:rPr>
      </w:pPr>
      <w:r>
        <w:rPr>
          <w:rFonts w:hint="eastAsia" w:ascii="宋体" w:hAnsi="宋体" w:cs="宋体"/>
          <w:color w:val="000000" w:themeColor="text1"/>
          <w:sz w:val="24"/>
          <w14:textFill>
            <w14:solidFill>
              <w14:schemeClr w14:val="tx1"/>
            </w14:solidFill>
          </w14:textFill>
        </w:rPr>
        <w:t>详细内容见附表：《</w:t>
      </w:r>
      <w:r>
        <w:rPr>
          <w:rStyle w:val="10"/>
          <w:rFonts w:hint="eastAsia" w:ascii="宋体" w:hAnsi="宋体" w:cs="宋体"/>
          <w:bCs w:val="0"/>
          <w:szCs w:val="24"/>
        </w:rPr>
        <w:t>项目服务指标计划量化表》</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第四条  服务的金额、时间及期限</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本项目服务期限三年，合同一年一签。本年度合同有效期从 2021年x月x日起至2022年x月x日止，共计12个月，本年度项目服务费用按照中标金额为人民币xx元整（小写：￥xx元），合同价包含但不限于以下用:劳务费、交通费、场地费、税金(全额含税发票)、雇员费用以及项实施过程中其它应预见和不可预见费用等完成本采购项目、达到甲方目的的一切费用及企业利润。</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乙方须考虑本项目在实施期间的一切可能产生的费用。在项目实施过程中如项目工作范围发生变更，由乙方和甲方双方协商解决;其余情况下，投标总价均不予调整，甲方将不再另行支付与本项目相关的任何费用(另有约定的除外)。</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第五条  项目经费及付款方式</w:t>
      </w:r>
    </w:p>
    <w:p>
      <w:pPr>
        <w:widowControl/>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根据双方签订和政府采购合同约定执行</w:t>
      </w:r>
    </w:p>
    <w:p>
      <w:pPr>
        <w:pStyle w:val="5"/>
        <w:widowControl w:val="0"/>
        <w:spacing w:after="0"/>
        <w:jc w:val="both"/>
        <w:rPr>
          <w:rFonts w:ascii="宋体" w:hAnsi="宋体" w:cs="宋体"/>
          <w:sz w:val="24"/>
        </w:rPr>
      </w:pPr>
      <w:r>
        <w:rPr>
          <w:rStyle w:val="11"/>
          <w:rFonts w:ascii="宋体" w:hAnsi="宋体"/>
          <w:b/>
          <w:bCs/>
          <w:color w:val="000000"/>
          <w:kern w:val="0"/>
          <w:sz w:val="24"/>
        </w:rPr>
        <w:br w:type="page"/>
      </w:r>
      <w:bookmarkStart w:id="2" w:name="_GoBack"/>
      <w:r>
        <w:rPr>
          <w:rStyle w:val="11"/>
          <w:rFonts w:hint="eastAsia" w:ascii="宋体" w:hAnsi="宋体" w:cs="宋体"/>
          <w:b/>
          <w:bCs/>
          <w:color w:val="000000"/>
          <w:kern w:val="0"/>
          <w:sz w:val="24"/>
        </w:rPr>
        <w:t>附件一：</w:t>
      </w:r>
      <w:r>
        <w:rPr>
          <w:rStyle w:val="10"/>
          <w:rFonts w:hint="eastAsia" w:ascii="宋体" w:hAnsi="宋体" w:cs="宋体"/>
          <w:b/>
          <w:szCs w:val="24"/>
        </w:rPr>
        <w:t>项目服务指标计划量化表</w:t>
      </w:r>
    </w:p>
    <w:tbl>
      <w:tblPr>
        <w:tblStyle w:val="7"/>
        <w:tblW w:w="9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242"/>
        <w:gridCol w:w="4672"/>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443" w:type="dxa"/>
            <w:vAlign w:val="center"/>
          </w:tcPr>
          <w:p>
            <w:pPr>
              <w:jc w:val="center"/>
              <w:rPr>
                <w:rFonts w:ascii="宋体" w:hAnsi="宋体" w:cs="宋体"/>
                <w:color w:val="000000"/>
                <w:szCs w:val="21"/>
              </w:rPr>
            </w:pPr>
            <w:r>
              <w:rPr>
                <w:rFonts w:hint="eastAsia" w:ascii="宋体" w:hAnsi="宋体" w:cs="宋体"/>
                <w:color w:val="000000"/>
                <w:szCs w:val="21"/>
              </w:rPr>
              <w:t>序号</w:t>
            </w:r>
          </w:p>
        </w:tc>
        <w:tc>
          <w:tcPr>
            <w:tcW w:w="1242" w:type="dxa"/>
            <w:vAlign w:val="center"/>
          </w:tcPr>
          <w:p>
            <w:pPr>
              <w:jc w:val="center"/>
              <w:rPr>
                <w:rFonts w:ascii="宋体" w:hAnsi="宋体" w:cs="宋体"/>
                <w:color w:val="000000"/>
                <w:szCs w:val="21"/>
              </w:rPr>
            </w:pPr>
            <w:r>
              <w:rPr>
                <w:rFonts w:hint="eastAsia" w:ascii="宋体" w:hAnsi="宋体" w:cs="宋体"/>
                <w:color w:val="000000"/>
                <w:szCs w:val="21"/>
              </w:rPr>
              <w:t>服务项目</w:t>
            </w:r>
          </w:p>
        </w:tc>
        <w:tc>
          <w:tcPr>
            <w:tcW w:w="4672" w:type="dxa"/>
            <w:vAlign w:val="center"/>
          </w:tcPr>
          <w:p>
            <w:pPr>
              <w:jc w:val="center"/>
              <w:rPr>
                <w:rFonts w:ascii="宋体" w:hAnsi="宋体" w:cs="宋体"/>
                <w:color w:val="000000"/>
                <w:szCs w:val="21"/>
              </w:rPr>
            </w:pPr>
            <w:r>
              <w:rPr>
                <w:rFonts w:hint="eastAsia" w:ascii="宋体" w:hAnsi="宋体" w:cs="宋体"/>
                <w:color w:val="000000"/>
                <w:szCs w:val="21"/>
              </w:rPr>
              <w:t>服务内容及目标</w:t>
            </w:r>
          </w:p>
        </w:tc>
        <w:tc>
          <w:tcPr>
            <w:tcW w:w="3330" w:type="dxa"/>
            <w:vAlign w:val="center"/>
          </w:tcPr>
          <w:p>
            <w:pPr>
              <w:jc w:val="center"/>
              <w:rPr>
                <w:rFonts w:ascii="宋体" w:hAnsi="宋体" w:cs="宋体"/>
                <w:color w:val="000000"/>
                <w:szCs w:val="21"/>
              </w:rPr>
            </w:pPr>
            <w:r>
              <w:rPr>
                <w:rFonts w:hint="eastAsia" w:ascii="宋体" w:hAnsi="宋体" w:cs="宋体"/>
                <w:color w:val="000000"/>
                <w:szCs w:val="21"/>
              </w:rPr>
              <w:t>指标量化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3" w:type="dxa"/>
            <w:vAlign w:val="center"/>
          </w:tcPr>
          <w:p>
            <w:pPr>
              <w:jc w:val="center"/>
              <w:rPr>
                <w:rFonts w:ascii="宋体" w:hAnsi="宋体" w:cs="宋体"/>
                <w:color w:val="000000"/>
                <w:szCs w:val="21"/>
              </w:rPr>
            </w:pPr>
            <w:r>
              <w:rPr>
                <w:rFonts w:hint="eastAsia" w:ascii="宋体" w:hAnsi="宋体" w:cs="宋体"/>
                <w:color w:val="000000"/>
                <w:szCs w:val="21"/>
              </w:rPr>
              <w:t>１</w:t>
            </w:r>
          </w:p>
        </w:tc>
        <w:tc>
          <w:tcPr>
            <w:tcW w:w="1242"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社区矫正</w:t>
            </w:r>
          </w:p>
        </w:tc>
        <w:tc>
          <w:tcPr>
            <w:tcW w:w="4672" w:type="dxa"/>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组织各村社区专门调解员对辖区内社区矫正对象每月至少走访一次，了解本辖区内社区矫正对象思想、工作、生活等情况，配合做好教育帮扶等工作。</w:t>
            </w:r>
          </w:p>
        </w:tc>
        <w:tc>
          <w:tcPr>
            <w:tcW w:w="3330" w:type="dxa"/>
          </w:tcPr>
          <w:p>
            <w:pPr>
              <w:rPr>
                <w:rFonts w:ascii="宋体" w:hAnsi="宋体" w:cs="宋体"/>
                <w:color w:val="000000"/>
                <w:szCs w:val="21"/>
              </w:rPr>
            </w:pPr>
            <w:r>
              <w:rPr>
                <w:rFonts w:hint="eastAsia" w:ascii="宋体" w:hAnsi="宋体" w:cs="宋体"/>
                <w:color w:val="000000"/>
                <w:szCs w:val="21"/>
              </w:rPr>
              <w:t>按照辖区社区矫正对象人数，组织、督促专门调解员开展走访，每月按时收集相关资料。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443" w:type="dxa"/>
            <w:vAlign w:val="center"/>
          </w:tcPr>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２</w:t>
            </w:r>
          </w:p>
        </w:tc>
        <w:tc>
          <w:tcPr>
            <w:tcW w:w="1242" w:type="dxa"/>
            <w:vAlign w:val="center"/>
          </w:tcPr>
          <w:p>
            <w:pPr>
              <w:jc w:val="center"/>
              <w:rPr>
                <w:rFonts w:ascii="宋体" w:hAnsi="宋体" w:cs="宋体"/>
                <w:color w:val="0000FF"/>
                <w:szCs w:val="21"/>
              </w:rPr>
            </w:pPr>
            <w:r>
              <w:rPr>
                <w:rFonts w:hint="eastAsia" w:ascii="宋体" w:hAnsi="宋体" w:cs="宋体"/>
                <w:color w:val="000000" w:themeColor="text1"/>
                <w:szCs w:val="21"/>
                <w14:textFill>
                  <w14:solidFill>
                    <w14:schemeClr w14:val="tx1"/>
                  </w14:solidFill>
                </w14:textFill>
              </w:rPr>
              <w:t>宪法宣传</w:t>
            </w:r>
          </w:p>
        </w:tc>
        <w:tc>
          <w:tcPr>
            <w:tcW w:w="4672" w:type="dxa"/>
          </w:tcPr>
          <w:p>
            <w:pP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在吉阳辖区组织开展“尊崇宪法、学习宪法、遵守宪法、维护宪法、运用宪法”主题宣传教育活动，推动宪法进企业、进农村、进机关、进校园、进社区、进军营、进网络、进万家，推动宪法精神深入人心。</w:t>
            </w:r>
          </w:p>
        </w:tc>
        <w:tc>
          <w:tcPr>
            <w:tcW w:w="3330" w:type="dxa"/>
          </w:tcPr>
          <w:p>
            <w:pPr>
              <w:rPr>
                <w:rFonts w:ascii="宋体" w:hAnsi="宋体" w:cs="宋体"/>
                <w:color w:val="000000"/>
                <w:szCs w:val="21"/>
              </w:rPr>
            </w:pPr>
            <w:r>
              <w:rPr>
                <w:rFonts w:hint="eastAsia" w:ascii="宋体" w:hAnsi="宋体" w:cs="宋体"/>
                <w:color w:val="000000"/>
                <w:szCs w:val="21"/>
              </w:rPr>
              <w:t>在“12.４”宪法宣传日和宪法宣传周，至少要开展５场宪法宣传活动，其中大型的１场，中小型的４个大社区各１场。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jc w:val="center"/>
        </w:trPr>
        <w:tc>
          <w:tcPr>
            <w:tcW w:w="443" w:type="dxa"/>
            <w:vAlign w:val="center"/>
          </w:tcPr>
          <w:p>
            <w:pPr>
              <w:jc w:val="cente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３</w:t>
            </w:r>
          </w:p>
        </w:tc>
        <w:tc>
          <w:tcPr>
            <w:tcW w:w="1242" w:type="dxa"/>
            <w:vAlign w:val="center"/>
          </w:tcPr>
          <w:p>
            <w:pPr>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开展“美好生活●民法典相伴”主题宣传活动</w:t>
            </w:r>
          </w:p>
        </w:tc>
        <w:tc>
          <w:tcPr>
            <w:tcW w:w="4672" w:type="dxa"/>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加大民法典宣传力度，推动民法典学习宣传进机关、进单位、进学校、进企业、进公共场所、进媒体、进网络。</w:t>
            </w:r>
          </w:p>
          <w:p>
            <w:pPr>
              <w:rPr>
                <w:rFonts w:ascii="宋体" w:hAnsi="宋体" w:cs="宋体"/>
                <w:color w:val="000000"/>
                <w:szCs w:val="21"/>
              </w:rPr>
            </w:pPr>
          </w:p>
        </w:tc>
        <w:tc>
          <w:tcPr>
            <w:tcW w:w="3330" w:type="dxa"/>
          </w:tcPr>
          <w:p>
            <w:pPr>
              <w:rPr>
                <w:rFonts w:ascii="宋体" w:hAnsi="宋体" w:cs="宋体"/>
                <w:color w:val="000000"/>
                <w:szCs w:val="21"/>
              </w:rPr>
            </w:pPr>
            <w:r>
              <w:rPr>
                <w:rFonts w:hint="eastAsia" w:ascii="宋体" w:hAnsi="宋体" w:cs="宋体"/>
                <w:color w:val="000000"/>
                <w:szCs w:val="21"/>
              </w:rPr>
              <w:t>全年至少开展10场民法</w:t>
            </w:r>
            <w:r>
              <w:rPr>
                <w:rFonts w:hint="eastAsia" w:ascii="宋体" w:hAnsi="宋体" w:cs="宋体"/>
                <w:color w:val="000000" w:themeColor="text1"/>
                <w:szCs w:val="21"/>
                <w14:textFill>
                  <w14:solidFill>
                    <w14:schemeClr w14:val="tx1"/>
                  </w14:solidFill>
                </w14:textFill>
              </w:rPr>
              <w:t>典宣传活动，分布在各个大社区学校、机关、企业和公共场所等。其中大型宣传活动１场，中小型活动9场。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jc w:val="center"/>
        </w:trPr>
        <w:tc>
          <w:tcPr>
            <w:tcW w:w="443" w:type="dxa"/>
            <w:vAlign w:val="center"/>
          </w:tcPr>
          <w:p>
            <w:pPr>
              <w:jc w:val="center"/>
              <w:rPr>
                <w:rFonts w:ascii="宋体" w:hAnsi="宋体" w:cs="宋体"/>
                <w:color w:val="000000"/>
                <w:szCs w:val="21"/>
              </w:rPr>
            </w:pPr>
            <w:r>
              <w:rPr>
                <w:rFonts w:hint="eastAsia" w:ascii="宋体" w:hAnsi="宋体" w:cs="宋体"/>
                <w:color w:val="000000"/>
                <w:szCs w:val="21"/>
              </w:rPr>
              <w:t>４</w:t>
            </w:r>
          </w:p>
        </w:tc>
        <w:tc>
          <w:tcPr>
            <w:tcW w:w="1242" w:type="dxa"/>
            <w:vAlign w:val="center"/>
          </w:tcPr>
          <w:p>
            <w:pPr>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开展“我为自贸港建设学法懂法宣法”主题普法活动。</w:t>
            </w:r>
          </w:p>
        </w:tc>
        <w:tc>
          <w:tcPr>
            <w:tcW w:w="4672" w:type="dxa"/>
          </w:tcPr>
          <w:p>
            <w:pP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协调驻村法律顾问和驻村法律顾问围绕海南自由贸易港建设目标任务，大力宣传海南自由贸易港法及相关法律法规 、规章，为海南自由贸易港建设营造良好的法治环境。</w:t>
            </w:r>
          </w:p>
        </w:tc>
        <w:tc>
          <w:tcPr>
            <w:tcW w:w="3330" w:type="dxa"/>
          </w:tcPr>
          <w:p>
            <w:pPr>
              <w:rPr>
                <w:rFonts w:ascii="宋体" w:hAnsi="宋体" w:cs="宋体"/>
                <w:color w:val="000000"/>
                <w:szCs w:val="21"/>
              </w:rPr>
            </w:pPr>
            <w:r>
              <w:rPr>
                <w:rFonts w:hint="eastAsia" w:ascii="宋体" w:hAnsi="宋体" w:cs="宋体"/>
                <w:color w:val="000000"/>
                <w:szCs w:val="21"/>
              </w:rPr>
              <w:t>全年至少开展10场与自贸港法相关法律法规宣传活动。其中大型活动至少１场，</w:t>
            </w:r>
            <w:r>
              <w:rPr>
                <w:rFonts w:hint="eastAsia" w:ascii="宋体" w:hAnsi="宋体" w:cs="宋体"/>
                <w:color w:val="000000" w:themeColor="text1"/>
                <w:szCs w:val="21"/>
                <w14:textFill>
                  <w14:solidFill>
                    <w14:schemeClr w14:val="tx1"/>
                  </w14:solidFill>
                </w14:textFill>
              </w:rPr>
              <w:t>中小型活动9场。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443" w:type="dxa"/>
            <w:vAlign w:val="center"/>
          </w:tcPr>
          <w:p>
            <w:pPr>
              <w:jc w:val="center"/>
              <w:rPr>
                <w:rFonts w:ascii="宋体" w:hAnsi="宋体" w:cs="宋体"/>
                <w:color w:val="000000"/>
                <w:szCs w:val="21"/>
              </w:rPr>
            </w:pPr>
            <w:r>
              <w:rPr>
                <w:rFonts w:hint="eastAsia" w:ascii="宋体" w:hAnsi="宋体" w:cs="宋体"/>
                <w:color w:val="000000"/>
                <w:szCs w:val="21"/>
              </w:rPr>
              <w:t>５</w:t>
            </w:r>
          </w:p>
        </w:tc>
        <w:tc>
          <w:tcPr>
            <w:tcW w:w="1242" w:type="dxa"/>
            <w:vAlign w:val="center"/>
          </w:tcPr>
          <w:p>
            <w:pPr>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聚焦维护社会和谐稳定开展普法宣传。</w:t>
            </w:r>
          </w:p>
        </w:tc>
        <w:tc>
          <w:tcPr>
            <w:tcW w:w="4672" w:type="dxa"/>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围绕乡村振兴、常态化开展扫黑除恶、新一轮禁毒三年大会战、生态环境保护等加强普法宣传。</w:t>
            </w:r>
          </w:p>
          <w:p>
            <w:pPr>
              <w:jc w:val="left"/>
              <w:rPr>
                <w:rFonts w:ascii="宋体" w:hAnsi="宋体" w:cs="宋体"/>
                <w:color w:val="000000"/>
                <w:szCs w:val="21"/>
              </w:rPr>
            </w:pPr>
          </w:p>
        </w:tc>
        <w:tc>
          <w:tcPr>
            <w:tcW w:w="3330" w:type="dxa"/>
          </w:tcPr>
          <w:p>
            <w:pPr>
              <w:jc w:val="left"/>
              <w:rPr>
                <w:rFonts w:ascii="宋体" w:hAnsi="宋体" w:cs="宋体"/>
                <w:color w:val="000000"/>
                <w:szCs w:val="21"/>
              </w:rPr>
            </w:pPr>
            <w:r>
              <w:rPr>
                <w:rFonts w:hint="eastAsia" w:ascii="宋体" w:hAnsi="宋体" w:cs="宋体"/>
                <w:color w:val="000000"/>
                <w:szCs w:val="21"/>
              </w:rPr>
              <w:t>扫黑除恶、禁毒宣传活动至少10场，6.26禁毒宣传大型活动至少1场。针对扫黑险恶和禁毒不同主题至少开展9场中小型活动。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443" w:type="dxa"/>
            <w:vAlign w:val="center"/>
          </w:tcPr>
          <w:p>
            <w:pPr>
              <w:jc w:val="center"/>
              <w:rPr>
                <w:rFonts w:ascii="宋体" w:hAnsi="宋体" w:cs="宋体"/>
                <w:color w:val="000000"/>
                <w:szCs w:val="21"/>
              </w:rPr>
            </w:pPr>
            <w:r>
              <w:rPr>
                <w:rFonts w:hint="eastAsia" w:ascii="宋体" w:hAnsi="宋体" w:cs="宋体"/>
                <w:color w:val="000000"/>
                <w:szCs w:val="21"/>
              </w:rPr>
              <w:t>６</w:t>
            </w:r>
          </w:p>
        </w:tc>
        <w:tc>
          <w:tcPr>
            <w:tcW w:w="1242" w:type="dxa"/>
            <w:vAlign w:val="center"/>
          </w:tcPr>
          <w:p>
            <w:pPr>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围绕常态化疫情防控开展普法。</w:t>
            </w:r>
          </w:p>
        </w:tc>
        <w:tc>
          <w:tcPr>
            <w:tcW w:w="4672" w:type="dxa"/>
          </w:tcPr>
          <w:p>
            <w:pPr>
              <w:jc w:val="left"/>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围绕常态化疫情防控开展普法。强化对疫情防控相关法律法规的普法宣传，为常态化疫情防控和经济社会发展营造良好法治环境。</w:t>
            </w:r>
          </w:p>
        </w:tc>
        <w:tc>
          <w:tcPr>
            <w:tcW w:w="3330" w:type="dxa"/>
          </w:tcPr>
          <w:p>
            <w:pPr>
              <w:pStyle w:val="4"/>
              <w:rPr>
                <w:rFonts w:ascii="宋体" w:hAnsi="宋体" w:cs="宋体"/>
                <w:color w:val="000000"/>
                <w:szCs w:val="21"/>
              </w:rPr>
            </w:pPr>
            <w:r>
              <w:rPr>
                <w:rFonts w:hint="eastAsia" w:ascii="宋体" w:hAnsi="宋体" w:cs="宋体"/>
                <w:color w:val="000000"/>
                <w:szCs w:val="21"/>
              </w:rPr>
              <w:t>根据疫情情况，组织在吉阳辖区各个留观点、公共场所等开展至少５场宣传活动。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43" w:type="dxa"/>
            <w:vAlign w:val="center"/>
          </w:tcPr>
          <w:p>
            <w:pPr>
              <w:jc w:val="center"/>
              <w:rPr>
                <w:rFonts w:ascii="宋体" w:hAnsi="宋体" w:cs="宋体"/>
                <w:color w:val="000000"/>
                <w:szCs w:val="21"/>
              </w:rPr>
            </w:pPr>
            <w:r>
              <w:rPr>
                <w:rFonts w:hint="eastAsia" w:ascii="宋体" w:hAnsi="宋体" w:cs="宋体"/>
                <w:color w:val="000000"/>
                <w:szCs w:val="21"/>
              </w:rPr>
              <w:t>７</w:t>
            </w:r>
          </w:p>
        </w:tc>
        <w:tc>
          <w:tcPr>
            <w:tcW w:w="1242" w:type="dxa"/>
            <w:vAlign w:val="center"/>
          </w:tcPr>
          <w:p>
            <w:pPr>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加强对青少年法治宣传教育。</w:t>
            </w:r>
          </w:p>
        </w:tc>
        <w:tc>
          <w:tcPr>
            <w:tcW w:w="4672" w:type="dxa"/>
          </w:tcPr>
          <w:p>
            <w:pPr>
              <w:jc w:val="left"/>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加强对青少年法治宣传教育。加强对未成年保护法的普法宣传，进一步抓好法制教育进行校园活动。</w:t>
            </w:r>
          </w:p>
        </w:tc>
        <w:tc>
          <w:tcPr>
            <w:tcW w:w="3330" w:type="dxa"/>
          </w:tcPr>
          <w:p>
            <w:pPr>
              <w:jc w:val="left"/>
              <w:rPr>
                <w:rFonts w:ascii="宋体" w:hAnsi="宋体" w:cs="宋体"/>
                <w:color w:val="000000"/>
                <w:szCs w:val="21"/>
              </w:rPr>
            </w:pPr>
            <w:r>
              <w:rPr>
                <w:rFonts w:hint="eastAsia" w:ascii="宋体" w:hAnsi="宋体" w:cs="宋体"/>
                <w:color w:val="000000"/>
                <w:szCs w:val="21"/>
              </w:rPr>
              <w:t>结合吉阳中小学校的情况，组织在校园内外开展不少于20场对未成年人保护的普法宣传教育。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443" w:type="dxa"/>
            <w:vAlign w:val="center"/>
          </w:tcPr>
          <w:p>
            <w:pPr>
              <w:jc w:val="center"/>
              <w:rPr>
                <w:rFonts w:ascii="宋体" w:hAnsi="宋体" w:cs="宋体"/>
                <w:color w:val="000000"/>
                <w:szCs w:val="21"/>
              </w:rPr>
            </w:pPr>
            <w:r>
              <w:rPr>
                <w:rFonts w:hint="eastAsia" w:ascii="宋体" w:hAnsi="宋体" w:cs="宋体"/>
                <w:color w:val="000000"/>
                <w:szCs w:val="21"/>
              </w:rPr>
              <w:t>８</w:t>
            </w:r>
          </w:p>
        </w:tc>
        <w:tc>
          <w:tcPr>
            <w:tcW w:w="1242" w:type="dxa"/>
            <w:vAlign w:val="center"/>
          </w:tcPr>
          <w:p>
            <w:pPr>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充分利用各类时间节点开展普法。</w:t>
            </w:r>
          </w:p>
        </w:tc>
        <w:tc>
          <w:tcPr>
            <w:tcW w:w="4672" w:type="dxa"/>
          </w:tcPr>
          <w:p>
            <w:pPr>
              <w:jc w:val="left"/>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利用各类时间节点，分时段明确宣传重点，加强道路交通、保障农民工工资、消费者权益、电信网络诈骗等方面法律法规的普法宣传。</w:t>
            </w:r>
          </w:p>
        </w:tc>
        <w:tc>
          <w:tcPr>
            <w:tcW w:w="3330" w:type="dxa"/>
          </w:tcPr>
          <w:p>
            <w:pPr>
              <w:jc w:val="left"/>
              <w:rPr>
                <w:rFonts w:ascii="宋体" w:hAnsi="宋体" w:cs="宋体"/>
                <w:color w:val="000000"/>
                <w:szCs w:val="21"/>
              </w:rPr>
            </w:pPr>
            <w:r>
              <w:rPr>
                <w:rFonts w:hint="eastAsia" w:ascii="宋体" w:hAnsi="宋体" w:cs="宋体"/>
                <w:color w:val="000000"/>
                <w:szCs w:val="21"/>
              </w:rPr>
              <w:t>根据《2021年吉阳区重要时间节点普法工作安排》，协调相关职能部门至少开展40场以上宣传活动。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443" w:type="dxa"/>
            <w:vAlign w:val="center"/>
          </w:tcPr>
          <w:p>
            <w:pPr>
              <w:jc w:val="center"/>
              <w:rPr>
                <w:rFonts w:ascii="宋体" w:hAnsi="宋体" w:cs="宋体"/>
                <w:color w:val="000000"/>
                <w:szCs w:val="21"/>
              </w:rPr>
            </w:pPr>
            <w:r>
              <w:rPr>
                <w:rFonts w:hint="eastAsia" w:ascii="宋体" w:hAnsi="宋体" w:cs="宋体"/>
                <w:color w:val="000000"/>
                <w:szCs w:val="21"/>
              </w:rPr>
              <w:t>９</w:t>
            </w:r>
          </w:p>
        </w:tc>
        <w:tc>
          <w:tcPr>
            <w:tcW w:w="1242" w:type="dxa"/>
            <w:vAlign w:val="center"/>
          </w:tcPr>
          <w:p>
            <w:pPr>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扎实开展“智慧普法”。</w:t>
            </w:r>
          </w:p>
        </w:tc>
        <w:tc>
          <w:tcPr>
            <w:tcW w:w="4672" w:type="dxa"/>
          </w:tcPr>
          <w:p>
            <w:pPr>
              <w:jc w:val="left"/>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深化“互联网+法治宣传”行动，以“法治吉阳”微信公众号、抖音号、今日头条为平台，线上线下普及法律知识、传播法治精神，不断提高法治宣传教育实效。</w:t>
            </w:r>
          </w:p>
        </w:tc>
        <w:tc>
          <w:tcPr>
            <w:tcW w:w="3330" w:type="dxa"/>
          </w:tcPr>
          <w:p>
            <w:pPr>
              <w:autoSpaceDE w:val="0"/>
              <w:autoSpaceDN w:val="0"/>
              <w:adjustRightInd w:val="0"/>
              <w:snapToGrid w:val="0"/>
              <w:jc w:val="left"/>
              <w:rPr>
                <w:rFonts w:ascii="宋体" w:hAnsi="宋体" w:cs="宋体"/>
                <w:color w:val="000000"/>
                <w:szCs w:val="21"/>
              </w:rPr>
            </w:pPr>
            <w:r>
              <w:rPr>
                <w:rFonts w:hint="eastAsia" w:ascii="宋体" w:hAnsi="宋体" w:cs="宋体"/>
                <w:color w:val="000000"/>
                <w:szCs w:val="21"/>
              </w:rPr>
              <w:t>至少提供100篇美篇文章、100个小视频在</w:t>
            </w:r>
            <w:r>
              <w:rPr>
                <w:rFonts w:hint="eastAsia" w:ascii="宋体" w:hAnsi="宋体" w:cs="宋体"/>
                <w:color w:val="000000" w:themeColor="text1"/>
                <w:szCs w:val="21"/>
                <w14:textFill>
                  <w14:solidFill>
                    <w14:schemeClr w14:val="tx1"/>
                  </w14:solidFill>
                </w14:textFill>
              </w:rPr>
              <w:t>“法治吉阳”微信公众号、抖音号、今日头条平台上发布。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43" w:type="dxa"/>
            <w:vMerge w:val="restart"/>
            <w:vAlign w:val="center"/>
          </w:tcPr>
          <w:p>
            <w:pPr>
              <w:jc w:val="center"/>
              <w:rPr>
                <w:rFonts w:ascii="宋体" w:hAnsi="宋体" w:cs="宋体"/>
                <w:color w:val="000000"/>
                <w:szCs w:val="21"/>
              </w:rPr>
            </w:pPr>
            <w:r>
              <w:rPr>
                <w:rFonts w:hint="eastAsia" w:ascii="宋体" w:hAnsi="宋体" w:cs="宋体"/>
                <w:color w:val="000000"/>
                <w:szCs w:val="21"/>
              </w:rPr>
              <w:t>10</w:t>
            </w:r>
          </w:p>
        </w:tc>
        <w:tc>
          <w:tcPr>
            <w:tcW w:w="1242" w:type="dxa"/>
            <w:vMerge w:val="restart"/>
            <w:vAlign w:val="center"/>
          </w:tcPr>
          <w:p>
            <w:pPr>
              <w:keepNext/>
              <w:keepLines/>
              <w:jc w:val="center"/>
              <w:rPr>
                <w:rFonts w:ascii="宋体" w:hAnsi="宋体" w:cs="宋体"/>
                <w:color w:val="000000"/>
                <w:szCs w:val="21"/>
              </w:rPr>
            </w:pPr>
            <w:r>
              <w:rPr>
                <w:rFonts w:hint="eastAsia" w:ascii="宋体" w:hAnsi="宋体" w:cs="宋体"/>
                <w:color w:val="000000"/>
                <w:szCs w:val="21"/>
              </w:rPr>
              <w:t>服务信息管理</w:t>
            </w:r>
          </w:p>
        </w:tc>
        <w:tc>
          <w:tcPr>
            <w:tcW w:w="4672" w:type="dxa"/>
          </w:tcPr>
          <w:p>
            <w:pPr>
              <w:keepNext/>
              <w:keepLines/>
              <w:jc w:val="left"/>
              <w:rPr>
                <w:rFonts w:ascii="宋体" w:hAnsi="宋体" w:cs="宋体"/>
                <w:color w:val="000000"/>
                <w:szCs w:val="21"/>
              </w:rPr>
            </w:pPr>
            <w:r>
              <w:rPr>
                <w:rFonts w:hint="eastAsia" w:ascii="宋体" w:hAnsi="宋体" w:cs="宋体"/>
                <w:szCs w:val="21"/>
              </w:rPr>
              <w:t>撰写项目月总结，向购买方、机构汇报项目实施进度、成效</w:t>
            </w:r>
            <w:r>
              <w:rPr>
                <w:rFonts w:hint="eastAsia" w:ascii="宋体" w:hAnsi="宋体" w:cs="宋体"/>
                <w:color w:val="000000"/>
                <w:szCs w:val="21"/>
              </w:rPr>
              <w:t>。</w:t>
            </w:r>
          </w:p>
        </w:tc>
        <w:tc>
          <w:tcPr>
            <w:tcW w:w="3330" w:type="dxa"/>
          </w:tcPr>
          <w:p>
            <w:pPr>
              <w:keepNext/>
              <w:keepLines/>
              <w:jc w:val="left"/>
              <w:rPr>
                <w:rFonts w:ascii="宋体" w:hAnsi="宋体" w:cs="宋体"/>
                <w:color w:val="000000"/>
                <w:szCs w:val="21"/>
              </w:rPr>
            </w:pPr>
            <w:r>
              <w:rPr>
                <w:rFonts w:hint="eastAsia" w:ascii="宋体" w:hAnsi="宋体" w:cs="宋体"/>
                <w:color w:val="000000"/>
                <w:szCs w:val="21"/>
              </w:rPr>
              <w:t>12份。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43" w:type="dxa"/>
            <w:vMerge w:val="continue"/>
            <w:vAlign w:val="center"/>
          </w:tcPr>
          <w:p>
            <w:pPr>
              <w:jc w:val="center"/>
              <w:rPr>
                <w:rFonts w:ascii="宋体" w:hAnsi="宋体" w:cs="宋体"/>
                <w:color w:val="000000"/>
                <w:szCs w:val="21"/>
              </w:rPr>
            </w:pPr>
          </w:p>
        </w:tc>
        <w:tc>
          <w:tcPr>
            <w:tcW w:w="1242" w:type="dxa"/>
            <w:vMerge w:val="continue"/>
            <w:vAlign w:val="center"/>
          </w:tcPr>
          <w:p>
            <w:pPr>
              <w:keepNext/>
              <w:keepLines/>
              <w:jc w:val="center"/>
              <w:rPr>
                <w:rFonts w:ascii="宋体" w:hAnsi="宋体" w:cs="宋体"/>
                <w:color w:val="000000"/>
                <w:szCs w:val="21"/>
              </w:rPr>
            </w:pPr>
          </w:p>
        </w:tc>
        <w:tc>
          <w:tcPr>
            <w:tcW w:w="4672" w:type="dxa"/>
          </w:tcPr>
          <w:p>
            <w:pPr>
              <w:keepNext/>
              <w:keepLines/>
              <w:jc w:val="left"/>
              <w:rPr>
                <w:rFonts w:ascii="宋体" w:hAnsi="宋体" w:cs="宋体"/>
                <w:szCs w:val="21"/>
              </w:rPr>
            </w:pPr>
            <w:r>
              <w:rPr>
                <w:rFonts w:hint="eastAsia" w:ascii="宋体" w:hAnsi="宋体" w:cs="宋体"/>
                <w:szCs w:val="21"/>
              </w:rPr>
              <w:t>中期、末期评估，接受购买方、第三方评估，对项目进行总结</w:t>
            </w:r>
          </w:p>
        </w:tc>
        <w:tc>
          <w:tcPr>
            <w:tcW w:w="3330" w:type="dxa"/>
          </w:tcPr>
          <w:p>
            <w:pPr>
              <w:keepNext/>
              <w:keepLines/>
              <w:jc w:val="left"/>
              <w:rPr>
                <w:rFonts w:ascii="宋体" w:hAnsi="宋体" w:cs="宋体"/>
                <w:color w:val="000000"/>
                <w:szCs w:val="21"/>
              </w:rPr>
            </w:pPr>
            <w:r>
              <w:rPr>
                <w:rFonts w:hint="eastAsia" w:ascii="宋体" w:hAnsi="宋体" w:cs="宋体"/>
                <w:color w:val="000000"/>
                <w:szCs w:val="21"/>
              </w:rPr>
              <w:t>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43" w:type="dxa"/>
            <w:vAlign w:val="center"/>
          </w:tcPr>
          <w:p>
            <w:pPr>
              <w:jc w:val="center"/>
              <w:rPr>
                <w:rFonts w:ascii="宋体" w:hAnsi="宋体" w:cs="宋体"/>
                <w:color w:val="000000"/>
                <w:szCs w:val="21"/>
              </w:rPr>
            </w:pPr>
            <w:r>
              <w:rPr>
                <w:rFonts w:hint="eastAsia" w:ascii="宋体" w:hAnsi="宋体" w:cs="宋体"/>
                <w:color w:val="000000"/>
                <w:szCs w:val="21"/>
              </w:rPr>
              <w:t>11</w:t>
            </w:r>
          </w:p>
        </w:tc>
        <w:tc>
          <w:tcPr>
            <w:tcW w:w="1242" w:type="dxa"/>
            <w:vAlign w:val="center"/>
          </w:tcPr>
          <w:p>
            <w:pPr>
              <w:jc w:val="center"/>
              <w:rPr>
                <w:rFonts w:ascii="宋体" w:hAnsi="宋体" w:cs="宋体"/>
                <w:color w:val="000000"/>
                <w:szCs w:val="21"/>
              </w:rPr>
            </w:pPr>
            <w:r>
              <w:rPr>
                <w:rFonts w:hint="eastAsia" w:ascii="宋体" w:hAnsi="宋体" w:cs="宋体"/>
                <w:color w:val="000000"/>
                <w:szCs w:val="21"/>
              </w:rPr>
              <w:t>媒体报道</w:t>
            </w:r>
          </w:p>
        </w:tc>
        <w:tc>
          <w:tcPr>
            <w:tcW w:w="4672" w:type="dxa"/>
          </w:tcPr>
          <w:p>
            <w:pPr>
              <w:jc w:val="left"/>
              <w:rPr>
                <w:rFonts w:ascii="宋体" w:hAnsi="宋体" w:cs="宋体"/>
                <w:color w:val="000000"/>
                <w:szCs w:val="21"/>
              </w:rPr>
            </w:pPr>
            <w:r>
              <w:rPr>
                <w:rFonts w:hint="eastAsia" w:ascii="宋体" w:hAnsi="宋体" w:cs="宋体"/>
                <w:color w:val="000000"/>
                <w:szCs w:val="21"/>
              </w:rPr>
              <w:t>提升宣传范围和效果，借助网络媒体、社交网站等平台，探索应用短视频、融媒体、微直播等新兴形式，开展形式多样的网上法治宣传教育。</w:t>
            </w:r>
          </w:p>
        </w:tc>
        <w:tc>
          <w:tcPr>
            <w:tcW w:w="3330" w:type="dxa"/>
          </w:tcPr>
          <w:p>
            <w:pPr>
              <w:jc w:val="left"/>
              <w:rPr>
                <w:rFonts w:ascii="宋体" w:hAnsi="宋体" w:cs="宋体"/>
                <w:color w:val="000000"/>
                <w:szCs w:val="21"/>
              </w:rPr>
            </w:pPr>
            <w:r>
              <w:rPr>
                <w:rFonts w:hint="eastAsia" w:ascii="宋体" w:hAnsi="宋体" w:cs="宋体"/>
                <w:color w:val="000000"/>
                <w:szCs w:val="21"/>
              </w:rPr>
              <w:t>服务内容被各级媒体进行宣传报道至少50次，其中省级媒体4次，市级媒体10次，以及其他媒体报道。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43" w:type="dxa"/>
            <w:vAlign w:val="center"/>
          </w:tcPr>
          <w:p>
            <w:pPr>
              <w:jc w:val="center"/>
              <w:rPr>
                <w:rFonts w:ascii="宋体" w:hAnsi="宋体" w:cs="宋体"/>
                <w:color w:val="000000"/>
                <w:szCs w:val="21"/>
              </w:rPr>
            </w:pPr>
            <w:r>
              <w:rPr>
                <w:rFonts w:hint="eastAsia" w:ascii="宋体" w:hAnsi="宋体" w:cs="宋体"/>
                <w:color w:val="000000"/>
                <w:szCs w:val="21"/>
              </w:rPr>
              <w:t>12</w:t>
            </w:r>
          </w:p>
        </w:tc>
        <w:tc>
          <w:tcPr>
            <w:tcW w:w="1242" w:type="dxa"/>
            <w:vAlign w:val="center"/>
          </w:tcPr>
          <w:p>
            <w:pPr>
              <w:jc w:val="center"/>
              <w:rPr>
                <w:rFonts w:ascii="宋体" w:hAnsi="宋体" w:cs="宋体"/>
                <w:color w:val="000000"/>
                <w:szCs w:val="21"/>
              </w:rPr>
            </w:pPr>
            <w:r>
              <w:rPr>
                <w:rFonts w:hint="eastAsia" w:ascii="宋体" w:hAnsi="宋体" w:cs="宋体"/>
                <w:color w:val="000000"/>
                <w:szCs w:val="21"/>
              </w:rPr>
              <w:t>服务宣传手册</w:t>
            </w:r>
          </w:p>
        </w:tc>
        <w:tc>
          <w:tcPr>
            <w:tcW w:w="4672" w:type="dxa"/>
          </w:tcPr>
          <w:p>
            <w:pPr>
              <w:jc w:val="left"/>
              <w:rPr>
                <w:rFonts w:ascii="宋体" w:hAnsi="宋体" w:cs="宋体"/>
                <w:color w:val="000000"/>
                <w:szCs w:val="21"/>
              </w:rPr>
            </w:pPr>
            <w:r>
              <w:rPr>
                <w:rFonts w:hint="eastAsia" w:ascii="宋体" w:hAnsi="宋体" w:cs="宋体"/>
                <w:color w:val="000000"/>
                <w:szCs w:val="21"/>
              </w:rPr>
              <w:t>总结服务，制定项目宣传手册</w:t>
            </w:r>
          </w:p>
        </w:tc>
        <w:tc>
          <w:tcPr>
            <w:tcW w:w="3330" w:type="dxa"/>
          </w:tcPr>
          <w:p>
            <w:pPr>
              <w:jc w:val="left"/>
              <w:rPr>
                <w:rFonts w:ascii="宋体" w:hAnsi="宋体" w:cs="宋体"/>
                <w:color w:val="000000"/>
                <w:szCs w:val="21"/>
              </w:rPr>
            </w:pPr>
            <w:r>
              <w:rPr>
                <w:rFonts w:hint="eastAsia" w:ascii="宋体" w:hAnsi="宋体" w:cs="宋体"/>
                <w:color w:val="000000"/>
                <w:szCs w:val="21"/>
              </w:rPr>
              <w:t>至少1册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43" w:type="dxa"/>
            <w:vAlign w:val="center"/>
          </w:tcPr>
          <w:p>
            <w:pPr>
              <w:jc w:val="center"/>
              <w:rPr>
                <w:rFonts w:ascii="宋体" w:hAnsi="宋体" w:cs="宋体"/>
                <w:color w:val="000000"/>
                <w:szCs w:val="21"/>
              </w:rPr>
            </w:pPr>
            <w:r>
              <w:rPr>
                <w:rFonts w:hint="eastAsia" w:ascii="宋体" w:hAnsi="宋体" w:cs="宋体"/>
                <w:color w:val="000000"/>
                <w:szCs w:val="21"/>
              </w:rPr>
              <w:t>13</w:t>
            </w:r>
          </w:p>
        </w:tc>
        <w:tc>
          <w:tcPr>
            <w:tcW w:w="1242"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其它事项</w:t>
            </w:r>
          </w:p>
          <w:p>
            <w:pPr>
              <w:jc w:val="center"/>
              <w:rPr>
                <w:rFonts w:ascii="宋体" w:hAnsi="宋体" w:cs="宋体"/>
                <w:color w:val="000000"/>
                <w:szCs w:val="21"/>
              </w:rPr>
            </w:pPr>
          </w:p>
        </w:tc>
        <w:tc>
          <w:tcPr>
            <w:tcW w:w="4672" w:type="dxa"/>
          </w:tcPr>
          <w:p>
            <w:pPr>
              <w:jc w:val="left"/>
              <w:rPr>
                <w:rFonts w:ascii="宋体" w:hAnsi="宋体" w:cs="宋体"/>
                <w:color w:val="000000"/>
                <w:szCs w:val="21"/>
              </w:rPr>
            </w:pPr>
            <w:r>
              <w:rPr>
                <w:rFonts w:hint="eastAsia" w:ascii="宋体" w:hAnsi="宋体" w:cs="宋体"/>
                <w:color w:val="000000"/>
                <w:szCs w:val="21"/>
              </w:rPr>
              <w:t>协助吉阳区司法局完成其它社区矫正和法治宣传工作任务。</w:t>
            </w:r>
          </w:p>
        </w:tc>
        <w:tc>
          <w:tcPr>
            <w:tcW w:w="3330" w:type="dxa"/>
          </w:tcPr>
          <w:p>
            <w:pPr>
              <w:jc w:val="left"/>
              <w:rPr>
                <w:rFonts w:ascii="宋体" w:hAnsi="宋体" w:cs="宋体"/>
                <w:color w:val="000000"/>
                <w:szCs w:val="21"/>
              </w:rPr>
            </w:pPr>
            <w:r>
              <w:rPr>
                <w:rFonts w:hint="eastAsia" w:ascii="宋体" w:hAnsi="宋体" w:cs="宋体"/>
                <w:color w:val="000000"/>
                <w:szCs w:val="21"/>
              </w:rPr>
              <w:t>根据实际需要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9687" w:type="dxa"/>
            <w:gridSpan w:val="4"/>
          </w:tcPr>
          <w:p>
            <w:pPr>
              <w:tabs>
                <w:tab w:val="left" w:pos="7365"/>
              </w:tabs>
              <w:rPr>
                <w:rFonts w:ascii="宋体" w:hAnsi="宋体" w:cs="宋体"/>
                <w:color w:val="000000"/>
                <w:szCs w:val="21"/>
              </w:rPr>
            </w:pPr>
            <w:r>
              <w:rPr>
                <w:rFonts w:hint="eastAsia" w:ascii="宋体" w:hAnsi="宋体" w:cs="宋体"/>
                <w:color w:val="000000"/>
                <w:szCs w:val="21"/>
              </w:rPr>
              <w:t>注：</w:t>
            </w:r>
            <w:r>
              <w:rPr>
                <w:rFonts w:hint="eastAsia" w:ascii="宋体" w:hAnsi="宋体" w:cs="宋体"/>
                <w:szCs w:val="21"/>
              </w:rPr>
              <w:t>1.活动内容社工与司法局共同商讨制定活动主题，协调沟通相关单位，社工负责根据活动主题进行策划和实施；2.大型活动：服务人次≥500人次；中型活动：服务人次≥200人次；小型活动≥50人次；3、</w:t>
            </w:r>
            <w:r>
              <w:rPr>
                <w:rFonts w:hint="eastAsia" w:ascii="宋体" w:hAnsi="宋体" w:cs="宋体"/>
                <w:color w:val="000000"/>
                <w:szCs w:val="21"/>
              </w:rPr>
              <w:t>评估方法以审阅材料、面谈观察、抽查等方式为主，审阅材料中如涉及到面访家访、宣传活动、媒体报道等需有现场照片以及文字说明。</w:t>
            </w:r>
          </w:p>
        </w:tc>
      </w:tr>
    </w:tbl>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3"/>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865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link w:val="10"/>
    <w:qFormat/>
    <w:uiPriority w:val="9"/>
    <w:pPr>
      <w:numPr>
        <w:ilvl w:val="1"/>
        <w:numId w:val="1"/>
      </w:numPr>
      <w:spacing w:line="360" w:lineRule="auto"/>
      <w:outlineLvl w:val="3"/>
    </w:pPr>
    <w:rPr>
      <w:rFonts w:ascii="Arial" w:hAnsi="Arial"/>
      <w:bCs/>
      <w:sz w:val="24"/>
      <w:szCs w:val="28"/>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99"/>
    <w:rPr>
      <w:rFonts w:ascii="Calibri" w:hAnsi="Calibri" w:eastAsia="宋体" w:cs="Times New Roman"/>
      <w:kern w:val="2"/>
      <w:sz w:val="21"/>
      <w:szCs w:val="22"/>
      <w:lang w:val="en-US" w:eastAsia="zh-CN" w:bidi="ar-SA"/>
    </w:rPr>
  </w:style>
  <w:style w:type="paragraph" w:styleId="4">
    <w:name w:val="annotation text"/>
    <w:basedOn w:val="1"/>
    <w:unhideWhenUsed/>
    <w:qFormat/>
    <w:uiPriority w:val="99"/>
    <w:pPr>
      <w:jc w:val="left"/>
    </w:pPr>
  </w:style>
  <w:style w:type="paragraph" w:styleId="5">
    <w:name w:val="Body Text"/>
    <w:basedOn w:val="1"/>
    <w:qFormat/>
    <w:uiPriority w:val="0"/>
    <w:pPr>
      <w:widowControl/>
      <w:spacing w:after="120"/>
      <w:jc w:val="left"/>
    </w:pPr>
    <w:rPr>
      <w:kern w:val="0"/>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9">
    <w:name w:val="p0"/>
    <w:basedOn w:val="1"/>
    <w:qFormat/>
    <w:uiPriority w:val="0"/>
    <w:pPr>
      <w:widowControl/>
    </w:pPr>
    <w:rPr>
      <w:kern w:val="0"/>
      <w:szCs w:val="21"/>
    </w:rPr>
  </w:style>
  <w:style w:type="character" w:customStyle="1" w:styleId="10">
    <w:name w:val="标题 4 Char"/>
    <w:basedOn w:val="8"/>
    <w:link w:val="3"/>
    <w:qFormat/>
    <w:uiPriority w:val="0"/>
    <w:rPr>
      <w:rFonts w:ascii="Arial" w:hAnsi="Arial"/>
      <w:bCs/>
      <w:sz w:val="24"/>
      <w:szCs w:val="28"/>
    </w:rPr>
  </w:style>
  <w:style w:type="character" w:customStyle="1" w:styleId="11">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2021-12-01T08:14:14Z</dcterms:created>
  <dc:creator>Administrator</dc:creator>
  <cp:lastModifiedBy>WPS_399317481</cp:lastModifiedBy>
  <dcterms:modified xsi:type="dcterms:W3CDTF">2021-12-01T08:15:02Z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86F87B39940449C6B2F80FE36F7858F2</vt:lpwstr>
  </property>
</Properties>
</file>