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Style w:val="13"/>
          <w:rFonts w:ascii="宋体" w:hAnsi="宋体" w:cs="宋体"/>
          <w:b/>
          <w:bCs/>
          <w:kern w:val="44"/>
          <w:sz w:val="44"/>
          <w:szCs w:val="44"/>
        </w:rPr>
      </w:pPr>
      <w:r>
        <w:rPr>
          <w:rStyle w:val="13"/>
          <w:rFonts w:hint="eastAsia" w:ascii="宋体" w:hAnsi="宋体" w:eastAsia="宋体" w:cs="宋体"/>
          <w:b/>
          <w:bCs/>
          <w:kern w:val="44"/>
          <w:sz w:val="44"/>
          <w:szCs w:val="44"/>
          <w:lang w:val="en-US" w:eastAsia="zh-CN"/>
        </w:rPr>
        <w:t>采购</w:t>
      </w:r>
      <w:r>
        <w:rPr>
          <w:rStyle w:val="13"/>
          <w:rFonts w:hint="eastAsia" w:ascii="宋体" w:hAnsi="宋体" w:cs="宋体"/>
          <w:b/>
          <w:bCs/>
          <w:kern w:val="44"/>
          <w:sz w:val="44"/>
          <w:szCs w:val="44"/>
        </w:rPr>
        <w:t>需求</w:t>
      </w:r>
    </w:p>
    <w:p>
      <w:pPr>
        <w:spacing w:before="156" w:line="560" w:lineRule="exact"/>
        <w:ind w:right="57"/>
        <w:rPr>
          <w:rStyle w:val="14"/>
          <w:rFonts w:ascii="宋体" w:hAnsi="宋体" w:cs="宋体"/>
          <w:sz w:val="28"/>
          <w:szCs w:val="28"/>
        </w:rPr>
      </w:pPr>
      <w:r>
        <w:rPr>
          <w:rStyle w:val="14"/>
          <w:rFonts w:hint="eastAsia" w:ascii="宋体" w:hAnsi="宋体" w:cs="宋体"/>
          <w:sz w:val="28"/>
          <w:szCs w:val="28"/>
        </w:rPr>
        <w:t>一、项目概况</w:t>
      </w:r>
    </w:p>
    <w:p>
      <w:pPr>
        <w:numPr>
          <w:ilvl w:val="0"/>
          <w:numId w:val="0"/>
        </w:numPr>
        <w:spacing w:line="460" w:lineRule="exact"/>
        <w:rPr>
          <w:rStyle w:val="13"/>
          <w:rFonts w:ascii="宋体" w:hAnsi="宋体" w:cs="宋体"/>
          <w:sz w:val="24"/>
        </w:rPr>
      </w:pPr>
      <w:r>
        <w:rPr>
          <w:rStyle w:val="13"/>
          <w:rFonts w:hint="eastAsia" w:ascii="宋体" w:hAnsi="宋体" w:cs="宋体"/>
          <w:sz w:val="24"/>
          <w:lang w:val="en-US" w:eastAsia="zh-CN"/>
        </w:rPr>
        <w:t>1.</w:t>
      </w:r>
      <w:r>
        <w:rPr>
          <w:rStyle w:val="13"/>
          <w:rFonts w:hint="eastAsia" w:ascii="宋体" w:hAnsi="宋体" w:cs="宋体"/>
          <w:sz w:val="24"/>
        </w:rPr>
        <w:t>项目名称：202</w:t>
      </w:r>
      <w:r>
        <w:rPr>
          <w:rStyle w:val="13"/>
          <w:rFonts w:hint="eastAsia" w:ascii="宋体" w:hAnsi="宋体" w:cs="宋体"/>
          <w:sz w:val="24"/>
          <w:lang w:val="en-US" w:eastAsia="zh-CN"/>
        </w:rPr>
        <w:t>1</w:t>
      </w:r>
      <w:r>
        <w:rPr>
          <w:rStyle w:val="13"/>
          <w:rFonts w:hint="eastAsia" w:ascii="宋体" w:hAnsi="宋体" w:cs="宋体"/>
          <w:sz w:val="24"/>
        </w:rPr>
        <w:t>年屯昌县病媒生物防制服务工作项目采购</w:t>
      </w:r>
    </w:p>
    <w:p>
      <w:pPr>
        <w:numPr>
          <w:ilvl w:val="0"/>
          <w:numId w:val="0"/>
        </w:numPr>
        <w:spacing w:line="460" w:lineRule="exact"/>
        <w:rPr>
          <w:rStyle w:val="13"/>
          <w:rFonts w:hint="default" w:ascii="宋体" w:hAnsi="宋体" w:eastAsia="宋体" w:cs="宋体"/>
          <w:sz w:val="24"/>
          <w:lang w:val="en-US" w:eastAsia="zh-CN"/>
        </w:rPr>
      </w:pPr>
      <w:r>
        <w:rPr>
          <w:rStyle w:val="13"/>
          <w:rFonts w:hint="eastAsia" w:ascii="宋体" w:hAnsi="宋体" w:cs="宋体"/>
          <w:sz w:val="24"/>
          <w:lang w:val="en-US" w:eastAsia="zh-CN"/>
        </w:rPr>
        <w:t>2.</w:t>
      </w:r>
      <w:r>
        <w:rPr>
          <w:rStyle w:val="13"/>
          <w:rFonts w:hint="eastAsia" w:ascii="宋体" w:hAnsi="宋体" w:cs="宋体"/>
          <w:sz w:val="24"/>
          <w:lang w:eastAsia="zh-CN"/>
        </w:rPr>
        <w:t>分包情况</w:t>
      </w:r>
      <w:r>
        <w:rPr>
          <w:rStyle w:val="13"/>
          <w:rFonts w:hint="eastAsia" w:ascii="宋体" w:hAnsi="宋体" w:cs="宋体"/>
          <w:sz w:val="24"/>
        </w:rPr>
        <w:t>：</w:t>
      </w:r>
      <w:r>
        <w:rPr>
          <w:rStyle w:val="13"/>
          <w:rFonts w:hint="eastAsia" w:ascii="宋体" w:hAnsi="宋体" w:cs="宋体"/>
          <w:sz w:val="24"/>
          <w:lang w:eastAsia="zh-CN"/>
        </w:rPr>
        <w:t>本项目分为</w:t>
      </w:r>
      <w:r>
        <w:rPr>
          <w:rStyle w:val="13"/>
          <w:rFonts w:hint="eastAsia" w:ascii="宋体" w:hAnsi="宋体" w:cs="宋体"/>
          <w:sz w:val="24"/>
          <w:lang w:val="en-US" w:eastAsia="zh-CN"/>
        </w:rPr>
        <w:t>3个包，分别是A包；B包；C包</w:t>
      </w:r>
    </w:p>
    <w:p>
      <w:pPr>
        <w:numPr>
          <w:ilvl w:val="0"/>
          <w:numId w:val="0"/>
        </w:numPr>
        <w:spacing w:line="460" w:lineRule="exact"/>
        <w:rPr>
          <w:rStyle w:val="13"/>
          <w:rFonts w:hint="default" w:ascii="宋体" w:hAnsi="宋体" w:cs="宋体"/>
          <w:sz w:val="24"/>
          <w:lang w:val="en-US" w:eastAsia="zh-CN"/>
        </w:rPr>
      </w:pPr>
      <w:r>
        <w:rPr>
          <w:rStyle w:val="13"/>
          <w:rFonts w:hint="eastAsia" w:hAnsi="宋体" w:cs="宋体"/>
          <w:sz w:val="24"/>
          <w:lang w:val="en-US" w:eastAsia="zh-CN"/>
        </w:rPr>
        <w:t>3.采购预算：190万元，其中A包114万元；B包38万元；C包38万元；</w:t>
      </w:r>
    </w:p>
    <w:p>
      <w:pPr>
        <w:numPr>
          <w:ilvl w:val="0"/>
          <w:numId w:val="0"/>
        </w:numPr>
        <w:spacing w:line="460" w:lineRule="exac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宋体" w:hAnsi="宋体" w:cs="宋体"/>
          <w:sz w:val="24"/>
          <w:lang w:val="en-US" w:eastAsia="zh-CN"/>
        </w:rPr>
        <w:t>4.</w:t>
      </w:r>
      <w:r>
        <w:rPr>
          <w:rStyle w:val="13"/>
          <w:rFonts w:hint="eastAsia" w:ascii="宋体" w:hAnsi="宋体" w:cs="宋体"/>
          <w:sz w:val="24"/>
        </w:rPr>
        <w:t>服务期限：</w:t>
      </w:r>
      <w:r>
        <w:rPr>
          <w:rStyle w:val="13"/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合同签订之日起计壹年</w:t>
      </w:r>
    </w:p>
    <w:p>
      <w:pPr>
        <w:numPr>
          <w:ilvl w:val="0"/>
          <w:numId w:val="0"/>
        </w:numPr>
        <w:spacing w:line="460" w:lineRule="exact"/>
        <w:rPr>
          <w:rStyle w:val="13"/>
          <w:rFonts w:ascii="宋体" w:hAnsi="宋体" w:cs="宋体"/>
          <w:sz w:val="24"/>
        </w:rPr>
      </w:pPr>
      <w:r>
        <w:rPr>
          <w:rStyle w:val="13"/>
          <w:rFonts w:hint="eastAsia" w:ascii="宋体" w:hAnsi="宋体" w:cs="宋体"/>
          <w:sz w:val="24"/>
          <w:lang w:val="en-US" w:eastAsia="zh-CN"/>
        </w:rPr>
        <w:t>5.</w:t>
      </w:r>
      <w:r>
        <w:rPr>
          <w:rStyle w:val="13"/>
          <w:rFonts w:hint="eastAsia" w:ascii="宋体" w:hAnsi="宋体" w:cs="宋体"/>
          <w:sz w:val="24"/>
        </w:rPr>
        <w:t>服务地点: 采购人指定地点</w:t>
      </w:r>
    </w:p>
    <w:p>
      <w:pPr>
        <w:numPr>
          <w:ilvl w:val="0"/>
          <w:numId w:val="0"/>
        </w:numPr>
        <w:spacing w:line="460" w:lineRule="exact"/>
        <w:rPr>
          <w:rFonts w:hint="eastAsia" w:eastAsia="宋体"/>
          <w:lang w:val="en-US" w:eastAsia="zh-CN"/>
        </w:rPr>
      </w:pPr>
      <w:r>
        <w:rPr>
          <w:rStyle w:val="13"/>
          <w:rFonts w:hint="eastAsia" w:ascii="宋体" w:hAnsi="宋体" w:cs="宋体"/>
          <w:sz w:val="24"/>
          <w:lang w:val="en-US" w:eastAsia="zh-CN"/>
        </w:rPr>
        <w:t>6.</w:t>
      </w:r>
      <w:r>
        <w:rPr>
          <w:rStyle w:val="13"/>
          <w:rFonts w:hint="eastAsia" w:ascii="宋体" w:hAnsi="宋体" w:cs="宋体"/>
          <w:sz w:val="24"/>
        </w:rPr>
        <w:t>付款方式: 根据采购双方商订的结算方式付款。</w:t>
      </w:r>
    </w:p>
    <w:p>
      <w:pPr>
        <w:spacing w:beforeLines="50" w:line="460" w:lineRule="exact"/>
        <w:ind w:right="57"/>
        <w:rPr>
          <w:rStyle w:val="14"/>
          <w:rFonts w:ascii="宋体" w:hAnsi="宋体" w:cs="宋体"/>
          <w:sz w:val="28"/>
          <w:szCs w:val="28"/>
        </w:rPr>
      </w:pPr>
      <w:r>
        <w:rPr>
          <w:rStyle w:val="14"/>
          <w:rFonts w:hint="eastAsia" w:ascii="宋体" w:hAnsi="宋体" w:cs="宋体"/>
          <w:sz w:val="28"/>
          <w:szCs w:val="28"/>
        </w:rPr>
        <w:t>二、服务内容</w:t>
      </w:r>
    </w:p>
    <w:p>
      <w:pPr>
        <w:spacing w:beforeLines="20" w:line="460" w:lineRule="exact"/>
        <w:ind w:right="57"/>
        <w:rPr>
          <w:rStyle w:val="13"/>
          <w:rFonts w:ascii="宋体" w:hAnsi="宋体" w:cs="宋体"/>
          <w:b/>
          <w:bCs/>
          <w:sz w:val="24"/>
        </w:rPr>
      </w:pPr>
      <w:r>
        <w:rPr>
          <w:rStyle w:val="13"/>
          <w:rFonts w:hint="eastAsia" w:ascii="宋体" w:hAnsi="宋体" w:cs="宋体"/>
          <w:b/>
          <w:bCs/>
          <w:sz w:val="24"/>
        </w:rPr>
        <w:t>1、项目采购服务范围:</w:t>
      </w:r>
    </w:p>
    <w:p>
      <w:pPr>
        <w:pStyle w:val="2"/>
        <w:spacing w:beforeLines="20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1)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A包</w:t>
      </w:r>
      <w:r>
        <w:rPr>
          <w:rStyle w:val="13"/>
          <w:rFonts w:hint="eastAsia" w:ascii="宋体" w:hAnsi="宋体" w:cs="宋体"/>
          <w:b/>
          <w:bCs/>
          <w:sz w:val="24"/>
          <w:szCs w:val="24"/>
        </w:rPr>
        <w:t>服务范围</w:t>
      </w:r>
    </w:p>
    <w:p>
      <w:pPr>
        <w:widowControl w:val="0"/>
        <w:spacing w:line="460" w:lineRule="exac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屯昌县县城建成区管辖范围内的病媒生物消杀工作。对河道、公园、游园、广场、道路两侧、城 中（郊）村、城乡结合部、单位、小区、居民楼院、市场、公厕、垃圾中转站、垃圾箱、雨污水井、废品收购站、拆迁场地等公共区域“四害”防制设施建设、设置和消杀工作，以及县委县政府指定的其它病媒生物防制活动（包括要求承担防制知识宣传、培训、行业消杀指导和公益性服务等）。</w:t>
      </w:r>
    </w:p>
    <w:p>
      <w:pPr>
        <w:pStyle w:val="2"/>
        <w:spacing w:beforeLines="20" w:line="460" w:lineRule="exact"/>
        <w:ind w:firstLine="0" w:firstLineChars="0"/>
        <w:rPr>
          <w:rStyle w:val="13"/>
          <w:rFonts w:ascii="宋体" w:hAnsi="宋体" w:cs="宋体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2)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B包</w:t>
      </w:r>
      <w:r>
        <w:rPr>
          <w:rStyle w:val="13"/>
          <w:rFonts w:hint="eastAsia" w:ascii="宋体" w:hAnsi="宋体" w:cs="宋体"/>
          <w:b/>
          <w:bCs/>
          <w:sz w:val="24"/>
          <w:szCs w:val="24"/>
        </w:rPr>
        <w:t>服务范围</w:t>
      </w:r>
    </w:p>
    <w:p>
      <w:pPr>
        <w:widowControl w:val="0"/>
        <w:spacing w:line="46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坡心镇、南吕镇、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乌坡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枫木镇等四镇镇墟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建成区（含城乡结合部）管辖范围内的病媒生物消杀工作。对河道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公园、游园、广场、道路两侧、城中（郊）村、城乡结合部、单位、小区、居民楼院、市场、公厕、垃圾中转站、垃圾箱、雨污水井、废品收购站、拆迁场地等公共区域“四害”防制设施建设、设置和消杀工作，以及县委县政府指定的其它病媒生物防制活动（包括要求承担防制知识宣传、培训、行业消杀指导和公益性服务等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beforeLines="20" w:line="460" w:lineRule="exact"/>
        <w:ind w:firstLine="0" w:firstLineChars="0"/>
        <w:rPr>
          <w:rStyle w:val="13"/>
          <w:rFonts w:ascii="宋体" w:hAnsi="宋体" w:cs="宋体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包</w:t>
      </w:r>
      <w:r>
        <w:rPr>
          <w:rStyle w:val="13"/>
          <w:rFonts w:hint="eastAsia" w:ascii="宋体" w:hAnsi="宋体" w:cs="宋体"/>
          <w:b/>
          <w:bCs/>
          <w:sz w:val="24"/>
          <w:szCs w:val="24"/>
        </w:rPr>
        <w:t>服务范围</w:t>
      </w:r>
    </w:p>
    <w:p>
      <w:pPr>
        <w:widowControl w:val="0"/>
        <w:spacing w:line="460" w:lineRule="exact"/>
        <w:ind w:firstLine="480" w:firstLineChars="200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南坤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镇、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西昌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新兴镇等三镇镇墟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建成区（含城乡结合部）管辖范围内的病媒生物消杀工作。对河道、公园、游园、广场、道路两侧、城中（郊）村、城乡结合部、单位、小区、居民楼院、市场、公厕、垃圾中转站、垃圾箱、雨污水井、废品收购站、拆迁场地等公共区域“四害”防制设施建设、设置和消杀工作，以及县委县政府指定的其它病媒生物防制活动（包括要求承担防制知识宣传、培训、行业消杀指导和公益性服务等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beforeLines="20" w:line="460" w:lineRule="exact"/>
        <w:ind w:right="57"/>
        <w:rPr>
          <w:rStyle w:val="13"/>
          <w:rFonts w:ascii="宋体" w:hAnsi="宋体" w:cs="宋体"/>
          <w:b/>
          <w:bCs/>
          <w:sz w:val="24"/>
        </w:rPr>
      </w:pPr>
      <w:r>
        <w:rPr>
          <w:rStyle w:val="13"/>
          <w:rFonts w:hint="eastAsia" w:ascii="宋体" w:hAnsi="宋体" w:cs="宋体"/>
          <w:b/>
          <w:bCs/>
          <w:sz w:val="24"/>
        </w:rPr>
        <w:t>达标标准：</w:t>
      </w:r>
    </w:p>
    <w:p>
      <w:pPr>
        <w:widowControl w:val="0"/>
        <w:spacing w:line="460" w:lineRule="exact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</w:rPr>
        <w:t>保证县城建成区管辖范围内的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城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区(A包)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或 坡心镇、南吕镇、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乌坡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枫木镇镇墟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建成区（含城乡结合部）管辖范围内(B包)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或南坤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镇、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西昌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新兴镇（C包）镇墟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建成区（含城乡结合部）管辖范围内病媒生物消杀工作通过第三方验收机构验收，并顺利通过省级病媒生物防制达标工作验收，除“四害”标准达到国家病媒生物防控 C 级及以上标准，在合同有效期内开展病媒生物防制达标巩固工作。</w:t>
      </w:r>
    </w:p>
    <w:p>
      <w:pPr>
        <w:widowControl w:val="0"/>
        <w:spacing w:beforeLines="20" w:line="460" w:lineRule="exact"/>
        <w:rPr>
          <w:rStyle w:val="13"/>
          <w:rFonts w:asciiTheme="minorEastAsia" w:hAnsiTheme="minorEastAsia" w:eastAsia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3、 质量要求：</w:t>
      </w:r>
    </w:p>
    <w:p>
      <w:pPr>
        <w:widowControl w:val="0"/>
        <w:spacing w:beforeLines="20" w:line="460" w:lineRule="exact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符合国家制定的行业合格标准及采购人的需求</w:t>
      </w:r>
    </w:p>
    <w:p>
      <w:pPr>
        <w:spacing w:beforeLines="50" w:line="460" w:lineRule="exact"/>
        <w:ind w:right="57"/>
        <w:rPr>
          <w:rStyle w:val="14"/>
          <w:rFonts w:asciiTheme="minorEastAsia" w:hAnsiTheme="minorEastAsia" w:eastAsiaTheme="minorEastAsia" w:cstheme="minorEastAsia"/>
          <w:sz w:val="28"/>
          <w:szCs w:val="28"/>
        </w:rPr>
      </w:pPr>
      <w:r>
        <w:rPr>
          <w:rStyle w:val="14"/>
          <w:rFonts w:hint="eastAsia" w:asciiTheme="minorEastAsia" w:hAnsiTheme="minorEastAsia" w:eastAsiaTheme="minorEastAsia" w:cstheme="minorEastAsia"/>
          <w:sz w:val="28"/>
          <w:szCs w:val="28"/>
        </w:rPr>
        <w:t>三、消杀标准</w:t>
      </w:r>
    </w:p>
    <w:p>
      <w:pPr>
        <w:widowControl w:val="0"/>
        <w:spacing w:beforeLines="20" w:line="460" w:lineRule="exact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(一)灭蚊标准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1、居民住宅、单位内部外环境各种存水容器和积水中,蚊幼虫及蛹的阳性率不超过3%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2、用500毫升收集勺采集城区内大中型水体中的蚊幼虫或蛹阳性率不超过3%，阳性勺内幼虫或蛹的平均数不超过5只。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3、特殊场所白天人诱蚊30分钟，平均每人次诱获成蚊数不超过1只。</w:t>
      </w:r>
    </w:p>
    <w:p>
      <w:pPr>
        <w:widowControl w:val="0"/>
        <w:spacing w:beforeLines="20" w:line="460" w:lineRule="exact"/>
        <w:ind w:left="361" w:hanging="361" w:hangingChars="150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(二)灭蝇标准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1、重点场所有蝇房间不超过1%,其它场所不超过3%,平均每阳性房间不超过3只;重点单位防蝇设施不合格房间不超过5%，加工、销售直接入口食品的场所不得有蝇。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2、蝇类孳生地得到有效治理，幼虫和蛹的检出率不超过3%。</w:t>
      </w:r>
    </w:p>
    <w:p>
      <w:pPr>
        <w:widowControl w:val="0"/>
        <w:spacing w:beforeLines="20" w:line="460" w:lineRule="exact"/>
        <w:ind w:left="361" w:hanging="361" w:hangingChars="150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(三)灭蟑螂标准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1、室内有蟑螂成虫或若虫阳性房间不超过3%，平均每间房大蠊不超过5只，小蠊不超过10只。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2、有活蟑螂卵鞘房间不超过2%，平均每间房不超过4只。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3、有蟑螂粪便、蜕皮等蟑迹的房间不超过5%。</w:t>
      </w:r>
    </w:p>
    <w:p>
      <w:pPr>
        <w:widowControl w:val="0"/>
        <w:spacing w:beforeLines="20" w:line="460" w:lineRule="exact"/>
        <w:ind w:left="361" w:hanging="361" w:hangingChars="150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(四)灭摇蚊标准</w:t>
      </w:r>
    </w:p>
    <w:p>
      <w:pPr>
        <w:widowControl w:val="0"/>
        <w:spacing w:beforeLines="20" w:line="460" w:lineRule="exact"/>
        <w:ind w:left="399" w:leftChars="133" w:hanging="120" w:hangingChars="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防制区域内，同一地点防制后24小时和72小时摇蚊密度分别下降85%和80%，密度计算方法是=摇蚊数/10挥网。</w:t>
      </w:r>
    </w:p>
    <w:p>
      <w:pPr>
        <w:widowControl w:val="0"/>
        <w:spacing w:beforeLines="20" w:line="460" w:lineRule="exact"/>
        <w:ind w:left="361" w:hanging="361" w:hangingChars="150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(五)灭鼠标准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1、15平方米标准房间布放20×20厘米滑石粉两块,一夜后阳性粉块不超过3%;有鼠洞、鼠粪、鼠咬痕等鼠迹的房间不超过2%;重点单位防鼠设施不合格处不超过5%</w:t>
      </w:r>
    </w:p>
    <w:p>
      <w:pPr>
        <w:widowControl w:val="0"/>
        <w:spacing w:beforeLines="20" w:line="460" w:lineRule="exact"/>
        <w:ind w:left="360" w:hanging="360" w:hangingChars="1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2、不同类型的外环境累计2000米，鼠迹不超过5处。</w:t>
      </w:r>
    </w:p>
    <w:p>
      <w:pPr>
        <w:widowControl w:val="0"/>
        <w:spacing w:beforeLines="50" w:line="460" w:lineRule="exact"/>
        <w:ind w:left="422" w:hanging="422" w:hangingChars="15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四、药品要求：</w:t>
      </w:r>
    </w:p>
    <w:p>
      <w:pPr>
        <w:pStyle w:val="17"/>
        <w:widowControl w:val="0"/>
        <w:numPr>
          <w:ilvl w:val="0"/>
          <w:numId w:val="3"/>
        </w:numPr>
        <w:spacing w:beforeLines="20" w:line="460" w:lineRule="exact"/>
        <w:ind w:firstLineChars="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使用安全、有效的除四害药品，杜绝污染环境，确保人畜安全，符合绿色环保的有关要求。</w:t>
      </w:r>
    </w:p>
    <w:p>
      <w:pPr>
        <w:pStyle w:val="17"/>
        <w:widowControl w:val="0"/>
        <w:numPr>
          <w:ilvl w:val="0"/>
          <w:numId w:val="3"/>
        </w:numPr>
        <w:spacing w:beforeLines="20" w:line="460" w:lineRule="exact"/>
        <w:ind w:firstLineChars="0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</w:rPr>
        <w:t>所使用的药品需符合国家有关规定，且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须提供药品的三证(农药生产许可证或药品生产批准证书、农药标准、农药登记证)、检验报告书的复印件并加盖生产厂商公章，原件备查。</w:t>
      </w:r>
    </w:p>
    <w:p>
      <w:pPr>
        <w:pStyle w:val="17"/>
        <w:widowControl w:val="0"/>
        <w:numPr>
          <w:ilvl w:val="0"/>
          <w:numId w:val="3"/>
        </w:numPr>
        <w:spacing w:beforeLines="20" w:line="460" w:lineRule="exact"/>
        <w:ind w:firstLineChars="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如由代理商提供农药生产许可证或药品生产批准证书（证书内容须包含本次采购主要产品）、农药标准和农药登记证复印件的, 须加盖生产企业公章；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3">
      <wne:acd wne:acdName="acd1"/>
    </wne:keymap>
    <wne:keymap wne:kcmPrimary="0434">
      <wne:acd wne:acdName="acd2"/>
    </wne:keymap>
  </wne:keymaps>
  <wne:acds>
    <wne:acd wne:argValue="AQAAAAEA" wne:acdName="acd0" wne:fciIndexBasedOn="0065"/>
    <wne:acd wne:argValue="AQAAAAMA" wne:acdName="acd1" wne:fciIndexBasedOn="0065"/>
    <wne:acd wne:argValue="AQAAAAQA" wne:acdName="acd2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77FF7D"/>
    <w:multiLevelType w:val="multilevel"/>
    <w:tmpl w:val="8477FF7D"/>
    <w:lvl w:ilvl="0" w:tentative="0">
      <w:start w:val="1"/>
      <w:numFmt w:val="decimal"/>
      <w:lvlText w:val="第%1章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4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isLgl/>
      <w:lvlText w:val="%1.%2"/>
      <w:lvlJc w:val="left"/>
      <w:pPr>
        <w:tabs>
          <w:tab w:val="left" w:pos="985"/>
        </w:tabs>
        <w:ind w:left="560" w:firstLine="0"/>
      </w:pPr>
      <w:rPr>
        <w:rFonts w:hint="eastAsia"/>
        <w:b w:val="0"/>
        <w:i w:val="0"/>
        <w:color w:val="000000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425"/>
        </w:tabs>
        <w:ind w:left="0" w:firstLine="0"/>
      </w:pPr>
      <w:rPr>
        <w:rFonts w:hint="eastAsia"/>
        <w:b w:val="0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425"/>
        </w:tabs>
        <w:ind w:left="0" w:firstLine="0"/>
      </w:pPr>
      <w:rPr>
        <w:rFonts w:hint="eastAsia"/>
      </w:rPr>
    </w:lvl>
  </w:abstractNum>
  <w:abstractNum w:abstractNumId="1">
    <w:nsid w:val="0855605C"/>
    <w:multiLevelType w:val="multilevel"/>
    <w:tmpl w:val="0855605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51FF14"/>
    <w:multiLevelType w:val="singleLevel"/>
    <w:tmpl w:val="2F51FF14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6288"/>
    <w:rsid w:val="1C7B493C"/>
    <w:rsid w:val="294F5EFC"/>
    <w:rsid w:val="34C57785"/>
    <w:rsid w:val="360E4CB1"/>
    <w:rsid w:val="436F2D6A"/>
    <w:rsid w:val="442F0F76"/>
    <w:rsid w:val="4FF26C17"/>
    <w:rsid w:val="54000D96"/>
    <w:rsid w:val="56DE02BD"/>
    <w:rsid w:val="66137F42"/>
    <w:rsid w:val="684277E8"/>
    <w:rsid w:val="6DD878DB"/>
    <w:rsid w:val="72D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jc w:val="center"/>
      <w:outlineLvl w:val="0"/>
    </w:pPr>
    <w:rPr>
      <w:rFonts w:ascii="宋体" w:hAnsi="宋体"/>
      <w:b/>
      <w:bCs/>
      <w:kern w:val="44"/>
      <w:sz w:val="36"/>
      <w:szCs w:val="36"/>
      <w:lang w:eastAsia="en-US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" w:beforeLines="50"/>
      <w:outlineLvl w:val="1"/>
    </w:pPr>
    <w:rPr>
      <w:rFonts w:ascii="Cambria" w:hAnsi="Cambria"/>
      <w:b/>
      <w:bCs/>
      <w:sz w:val="28"/>
      <w:szCs w:val="32"/>
      <w:lang w:eastAsia="en-US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宋体" w:hAnsi="宋体" w:cs="宋体"/>
      <w:b/>
      <w:lang w:eastAsia="en-US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tabs>
        <w:tab w:val="left" w:pos="560"/>
      </w:tabs>
      <w:outlineLvl w:val="3"/>
    </w:pPr>
    <w:rPr>
      <w:rFonts w:ascii="宋体" w:hAnsi="宋体" w:cs="宋体"/>
      <w:b/>
      <w:bCs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标题 1 字符"/>
    <w:link w:val="3"/>
    <w:qFormat/>
    <w:uiPriority w:val="0"/>
    <w:rPr>
      <w:rFonts w:ascii="宋体" w:hAnsi="宋体" w:eastAsia="宋体"/>
      <w:b/>
      <w:bCs/>
      <w:kern w:val="44"/>
      <w:sz w:val="36"/>
      <w:szCs w:val="36"/>
      <w:lang w:eastAsia="en-US"/>
    </w:rPr>
  </w:style>
  <w:style w:type="character" w:customStyle="1" w:styleId="10">
    <w:name w:val="标题 2 字符"/>
    <w:link w:val="4"/>
    <w:qFormat/>
    <w:uiPriority w:val="9"/>
    <w:rPr>
      <w:rFonts w:ascii="Cambria" w:hAnsi="Cambria" w:eastAsia="仿宋"/>
      <w:b/>
      <w:bCs/>
      <w:kern w:val="2"/>
      <w:sz w:val="28"/>
      <w:szCs w:val="32"/>
      <w:lang w:eastAsia="en-US"/>
    </w:rPr>
  </w:style>
  <w:style w:type="character" w:customStyle="1" w:styleId="11">
    <w:name w:val="标题 3 字符"/>
    <w:link w:val="5"/>
    <w:qFormat/>
    <w:uiPriority w:val="9"/>
    <w:rPr>
      <w:rFonts w:ascii="宋体" w:hAnsi="宋体" w:eastAsia="宋体" w:cs="宋体"/>
      <w:b/>
      <w:kern w:val="2"/>
      <w:sz w:val="24"/>
      <w:szCs w:val="24"/>
      <w:lang w:eastAsia="en-US"/>
    </w:rPr>
  </w:style>
  <w:style w:type="paragraph" w:customStyle="1" w:styleId="12">
    <w:name w:val="BodyText"/>
    <w:basedOn w:val="1"/>
    <w:qFormat/>
    <w:uiPriority w:val="0"/>
    <w:pPr>
      <w:spacing w:after="120"/>
    </w:pPr>
    <w:rPr>
      <w:rFonts w:ascii="Times New Roman" w:hAnsi="Times New Roman" w:eastAsia="Times New Roman"/>
    </w:rPr>
  </w:style>
  <w:style w:type="character" w:customStyle="1" w:styleId="13">
    <w:name w:val="NormalCharacter"/>
    <w:qFormat/>
    <w:uiPriority w:val="0"/>
    <w:rPr>
      <w:rFonts w:ascii="Times New Roman" w:hAnsi="Times New Roman" w:eastAsia="宋体"/>
    </w:rPr>
  </w:style>
  <w:style w:type="character" w:customStyle="1" w:styleId="14">
    <w:name w:val="UserStyle_20"/>
    <w:basedOn w:val="13"/>
    <w:link w:val="15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5">
    <w:name w:val="Heading1"/>
    <w:basedOn w:val="1"/>
    <w:next w:val="16"/>
    <w:link w:val="14"/>
    <w:qFormat/>
    <w:uiPriority w:val="0"/>
    <w:pPr>
      <w:keepNext/>
      <w:keepLines/>
      <w:spacing w:before="340" w:after="330" w:line="576" w:lineRule="auto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6">
    <w:name w:val="Heading2"/>
    <w:basedOn w:val="1"/>
    <w:next w:val="1"/>
    <w:qFormat/>
    <w:uiPriority w:val="0"/>
    <w:pPr>
      <w:keepNext/>
      <w:keepLines/>
      <w:spacing w:before="260" w:after="260" w:line="412" w:lineRule="auto"/>
    </w:pPr>
    <w:rPr>
      <w:rFonts w:ascii="Arial" w:hAnsi="Arial" w:eastAsia="黑体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2021-10-15T07:13:00Z</dcterms:created>
  <dc:creator>Administrator</dc:creator>
  <cp:lastModifiedBy>Sunlight</cp:lastModifiedBy>
  <dcterms:modified xsi:type="dcterms:W3CDTF">2021-11-12T12:45:39Z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4FBF3399399F4AFDA068C8B066A0F94E</vt:lpwstr>
  </property>
</Properties>
</file>