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30"/>
        </w:tabs>
        <w:spacing w:line="360" w:lineRule="auto"/>
        <w:jc w:val="center"/>
        <w:textAlignment w:val="bottom"/>
        <w:rPr>
          <w:rFonts w:ascii="仿宋" w:hAnsi="仿宋" w:eastAsia="仿宋" w:cs="仿宋"/>
          <w:b/>
          <w:color w:val="000000" w:themeColor="text1"/>
          <w:kern w:val="0"/>
          <w:sz w:val="84"/>
          <w:szCs w:val="84"/>
          <w:highlight w:val="none"/>
        </w:rPr>
      </w:pPr>
      <w:r>
        <w:rPr>
          <w:rFonts w:hint="eastAsia" w:ascii="仿宋" w:hAnsi="仿宋" w:eastAsia="仿宋" w:cs="仿宋"/>
          <w:b/>
          <w:color w:val="000000" w:themeColor="text1"/>
          <w:kern w:val="0"/>
          <w:sz w:val="84"/>
          <w:szCs w:val="84"/>
          <w:highlight w:val="none"/>
        </w:rPr>
        <w:t>水库大坝检测机器人研制项目</w:t>
      </w:r>
    </w:p>
    <w:p>
      <w:pPr>
        <w:widowControl/>
        <w:spacing w:line="360" w:lineRule="auto"/>
        <w:jc w:val="left"/>
        <w:rPr>
          <w:rFonts w:ascii="仿宋" w:hAnsi="仿宋" w:eastAsia="仿宋" w:cs="仿宋"/>
          <w:b/>
          <w:bCs/>
          <w:color w:val="000000" w:themeColor="text1"/>
          <w:kern w:val="0"/>
          <w:sz w:val="24"/>
          <w:highlight w:val="none"/>
        </w:rPr>
      </w:pPr>
    </w:p>
    <w:p>
      <w:pPr>
        <w:pStyle w:val="27"/>
        <w:rPr>
          <w:color w:val="000000" w:themeColor="text1"/>
          <w:highlight w:val="none"/>
          <w:lang w:eastAsia="zh-CN"/>
        </w:rPr>
      </w:pP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kern w:val="0"/>
          <w:sz w:val="24"/>
          <w:highlight w:val="none"/>
        </w:rPr>
      </w:pPr>
      <w:r>
        <w:rPr>
          <w:rFonts w:ascii="仿宋" w:hAnsi="仿宋" w:eastAsia="仿宋" w:cs="仿宋"/>
          <w:b/>
          <w:bCs/>
          <w:color w:val="000000" w:themeColor="text1"/>
          <w:kern w:val="0"/>
          <w:sz w:val="24"/>
          <w:highlight w:val="none"/>
        </w:rPr>
        <w:t> </w:t>
      </w:r>
    </w:p>
    <w:p>
      <w:pPr>
        <w:widowControl/>
        <w:spacing w:line="360" w:lineRule="auto"/>
        <w:jc w:val="center"/>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kern w:val="0"/>
          <w:sz w:val="84"/>
          <w:szCs w:val="84"/>
          <w:highlight w:val="none"/>
        </w:rPr>
        <w:t>竞争性磋商文件</w:t>
      </w:r>
    </w:p>
    <w:p>
      <w:pPr>
        <w:widowControl/>
        <w:spacing w:line="360" w:lineRule="auto"/>
        <w:jc w:val="left"/>
        <w:rPr>
          <w:rFonts w:ascii="仿宋" w:hAnsi="仿宋" w:eastAsia="仿宋" w:cs="仿宋"/>
          <w:b/>
          <w:bCs/>
          <w:color w:val="000000" w:themeColor="text1"/>
          <w:kern w:val="0"/>
          <w:sz w:val="24"/>
          <w:highlight w:val="none"/>
        </w:rPr>
      </w:pPr>
      <w:r>
        <w:rPr>
          <w:rFonts w:ascii="仿宋" w:hAnsi="仿宋" w:eastAsia="仿宋" w:cs="仿宋"/>
          <w:b/>
          <w:bCs/>
          <w:color w:val="000000" w:themeColor="text1"/>
          <w:kern w:val="0"/>
          <w:sz w:val="24"/>
          <w:highlight w:val="none"/>
        </w:rPr>
        <w:t> </w:t>
      </w:r>
    </w:p>
    <w:p>
      <w:pPr>
        <w:pStyle w:val="27"/>
        <w:rPr>
          <w:color w:val="000000" w:themeColor="text1"/>
          <w:highlight w:val="none"/>
          <w:lang w:eastAsia="zh-CN"/>
        </w:rPr>
      </w:pPr>
    </w:p>
    <w:p>
      <w:pPr>
        <w:widowControl/>
        <w:spacing w:line="360" w:lineRule="auto"/>
        <w:jc w:val="left"/>
        <w:rPr>
          <w:rFonts w:ascii="仿宋" w:hAnsi="仿宋" w:eastAsia="仿宋" w:cs="仿宋"/>
          <w:b/>
          <w:bCs/>
          <w:color w:val="000000" w:themeColor="text1"/>
          <w:kern w:val="0"/>
          <w:sz w:val="24"/>
          <w:highlight w:val="none"/>
        </w:rPr>
      </w:pPr>
    </w:p>
    <w:p>
      <w:pPr>
        <w:widowControl/>
        <w:spacing w:line="360" w:lineRule="auto"/>
        <w:jc w:val="left"/>
        <w:rPr>
          <w:rFonts w:ascii="仿宋" w:hAnsi="仿宋" w:eastAsia="仿宋" w:cs="仿宋"/>
          <w:b/>
          <w:bCs/>
          <w:color w:val="000000" w:themeColor="text1"/>
          <w:kern w:val="0"/>
          <w:sz w:val="24"/>
          <w:highlight w:val="none"/>
        </w:rPr>
      </w:pPr>
    </w:p>
    <w:p>
      <w:pPr>
        <w:widowControl/>
        <w:spacing w:line="360" w:lineRule="auto"/>
        <w:jc w:val="left"/>
        <w:rPr>
          <w:rFonts w:ascii="仿宋" w:hAnsi="仿宋" w:eastAsia="仿宋" w:cs="仿宋"/>
          <w:b/>
          <w:bCs/>
          <w:color w:val="000000" w:themeColor="text1"/>
          <w:kern w:val="0"/>
          <w:sz w:val="24"/>
          <w:highlight w:val="none"/>
        </w:rPr>
      </w:pPr>
    </w:p>
    <w:p>
      <w:pPr>
        <w:spacing w:line="360" w:lineRule="auto"/>
        <w:rPr>
          <w:color w:val="000000" w:themeColor="text1"/>
          <w:sz w:val="32"/>
          <w:szCs w:val="36"/>
          <w:highlight w:val="none"/>
        </w:rPr>
      </w:pPr>
      <w:r>
        <w:rPr>
          <w:rFonts w:hint="eastAsia"/>
          <w:color w:val="000000" w:themeColor="text1"/>
          <w:sz w:val="32"/>
          <w:szCs w:val="36"/>
          <w:highlight w:val="none"/>
        </w:rPr>
        <w:t>采购人：琼中黎族苗族自治县科学技术和工业信息服务中心</w:t>
      </w:r>
    </w:p>
    <w:p>
      <w:pPr>
        <w:spacing w:line="360" w:lineRule="auto"/>
        <w:rPr>
          <w:color w:val="000000" w:themeColor="text1"/>
          <w:sz w:val="32"/>
          <w:szCs w:val="36"/>
          <w:highlight w:val="none"/>
        </w:rPr>
      </w:pPr>
      <w:r>
        <w:rPr>
          <w:rFonts w:hint="eastAsia"/>
          <w:color w:val="000000" w:themeColor="text1"/>
          <w:sz w:val="32"/>
          <w:szCs w:val="36"/>
          <w:highlight w:val="none"/>
        </w:rPr>
        <w:t>项目编号：ZZHQ-HN-2021-68</w:t>
      </w:r>
    </w:p>
    <w:p>
      <w:pPr>
        <w:spacing w:line="360" w:lineRule="auto"/>
        <w:rPr>
          <w:color w:val="000000" w:themeColor="text1"/>
          <w:sz w:val="32"/>
          <w:szCs w:val="36"/>
          <w:highlight w:val="none"/>
        </w:rPr>
      </w:pPr>
      <w:r>
        <w:rPr>
          <w:rFonts w:hint="eastAsia"/>
          <w:color w:val="000000" w:themeColor="text1"/>
          <w:sz w:val="32"/>
          <w:szCs w:val="36"/>
          <w:highlight w:val="none"/>
        </w:rPr>
        <w:t>代理机构：中咨环球（北京）工程咨询有限公司</w:t>
      </w:r>
      <w:r>
        <w:rPr>
          <w:color w:val="000000" w:themeColor="text1"/>
          <w:sz w:val="32"/>
          <w:szCs w:val="36"/>
          <w:highlight w:val="none"/>
        </w:rPr>
        <w:t>      </w:t>
      </w:r>
    </w:p>
    <w:p>
      <w:pPr>
        <w:spacing w:line="360" w:lineRule="auto"/>
        <w:rPr>
          <w:color w:val="000000" w:themeColor="text1"/>
          <w:sz w:val="32"/>
          <w:szCs w:val="36"/>
          <w:highlight w:val="none"/>
        </w:rPr>
      </w:pPr>
      <w:r>
        <w:rPr>
          <w:color w:val="000000" w:themeColor="text1"/>
          <w:sz w:val="32"/>
          <w:szCs w:val="36"/>
          <w:highlight w:val="none"/>
        </w:rPr>
        <w:t> </w:t>
      </w:r>
    </w:p>
    <w:p>
      <w:pPr>
        <w:spacing w:line="360" w:lineRule="auto"/>
        <w:jc w:val="center"/>
        <w:rPr>
          <w:color w:val="000000" w:themeColor="text1"/>
          <w:sz w:val="32"/>
          <w:szCs w:val="36"/>
          <w:highlight w:val="none"/>
        </w:rPr>
        <w:sectPr>
          <w:headerReference r:id="rId4" w:type="first"/>
          <w:headerReference r:id="rId3" w:type="default"/>
          <w:pgSz w:w="11849" w:h="16781"/>
          <w:pgMar w:top="1134" w:right="1134" w:bottom="1134" w:left="1531" w:header="720" w:footer="720" w:gutter="0"/>
          <w:pgNumType w:fmt="numberInDash"/>
          <w:cols w:space="0" w:num="1"/>
        </w:sectPr>
      </w:pPr>
      <w:r>
        <w:rPr>
          <w:color w:val="000000" w:themeColor="text1"/>
          <w:sz w:val="32"/>
          <w:szCs w:val="36"/>
          <w:highlight w:val="none"/>
        </w:rPr>
        <w:t>2021</w:t>
      </w:r>
      <w:r>
        <w:rPr>
          <w:rFonts w:hint="eastAsia"/>
          <w:color w:val="000000" w:themeColor="text1"/>
          <w:sz w:val="32"/>
          <w:szCs w:val="36"/>
          <w:highlight w:val="none"/>
        </w:rPr>
        <w:t>年10月</w:t>
      </w:r>
    </w:p>
    <w:p>
      <w:pPr>
        <w:pStyle w:val="57"/>
        <w:spacing w:before="0" w:line="360" w:lineRule="auto"/>
        <w:jc w:val="center"/>
        <w:rPr>
          <w:rFonts w:ascii="仿宋" w:hAnsi="仿宋" w:eastAsia="仿宋" w:cs="仿宋"/>
          <w:b/>
          <w:bCs/>
          <w:color w:val="000000" w:themeColor="text1"/>
          <w:sz w:val="48"/>
          <w:highlight w:val="none"/>
          <w:lang w:val="zh-CN"/>
        </w:rPr>
      </w:pPr>
      <w:bookmarkStart w:id="0" w:name="_Toc9808"/>
      <w:bookmarkStart w:id="1" w:name="_Toc19243"/>
      <w:r>
        <w:rPr>
          <w:rFonts w:hint="eastAsia" w:ascii="仿宋" w:hAnsi="仿宋" w:eastAsia="仿宋" w:cs="仿宋"/>
          <w:b/>
          <w:bCs/>
          <w:color w:val="000000" w:themeColor="text1"/>
          <w:sz w:val="48"/>
          <w:highlight w:val="none"/>
          <w:lang w:val="zh-CN"/>
        </w:rPr>
        <w:t>目录</w:t>
      </w:r>
      <w:bookmarkEnd w:id="0"/>
      <w:bookmarkEnd w:id="1"/>
    </w:p>
    <w:p>
      <w:pPr>
        <w:pStyle w:val="20"/>
        <w:tabs>
          <w:tab w:val="right" w:leader="dot" w:pos="8868"/>
        </w:tabs>
        <w:spacing w:before="0" w:after="0" w:line="360" w:lineRule="auto"/>
        <w:rPr>
          <w:rFonts w:ascii="仿宋" w:hAnsi="仿宋" w:eastAsia="仿宋" w:cs="仿宋"/>
          <w:color w:val="000000" w:themeColor="text1"/>
          <w:sz w:val="28"/>
          <w:szCs w:val="28"/>
          <w:highlight w:val="none"/>
        </w:rPr>
      </w:pPr>
      <w:r>
        <w:rPr>
          <w:rFonts w:ascii="仿宋" w:hAnsi="仿宋" w:eastAsia="仿宋" w:cs="仿宋"/>
          <w:b w:val="0"/>
          <w:bCs w:val="0"/>
          <w:color w:val="000000" w:themeColor="text1"/>
          <w:sz w:val="28"/>
          <w:szCs w:val="28"/>
          <w:highlight w:val="none"/>
        </w:rPr>
        <w:fldChar w:fldCharType="begin"/>
      </w:r>
      <w:r>
        <w:rPr>
          <w:rFonts w:ascii="仿宋" w:hAnsi="仿宋" w:eastAsia="仿宋" w:cs="仿宋"/>
          <w:b w:val="0"/>
          <w:bCs w:val="0"/>
          <w:color w:val="000000" w:themeColor="text1"/>
          <w:sz w:val="28"/>
          <w:szCs w:val="28"/>
          <w:highlight w:val="none"/>
        </w:rPr>
        <w:instrText xml:space="preserve"> TOC \o "1-3" \h \z \u </w:instrText>
      </w:r>
      <w:r>
        <w:rPr>
          <w:rFonts w:ascii="仿宋" w:hAnsi="仿宋" w:eastAsia="仿宋" w:cs="仿宋"/>
          <w:b w:val="0"/>
          <w:bCs w:val="0"/>
          <w:color w:val="000000" w:themeColor="text1"/>
          <w:sz w:val="28"/>
          <w:szCs w:val="28"/>
          <w:highlight w:val="none"/>
        </w:rPr>
        <w:fldChar w:fldCharType="separate"/>
      </w:r>
      <w:r>
        <w:rPr>
          <w:color w:val="000000" w:themeColor="text1"/>
          <w:highlight w:val="none"/>
        </w:rPr>
        <w:fldChar w:fldCharType="begin"/>
      </w:r>
      <w:r>
        <w:rPr>
          <w:color w:val="000000" w:themeColor="text1"/>
          <w:highlight w:val="none"/>
        </w:rPr>
        <w:instrText xml:space="preserve"> HYPERLINK \l "_Toc30597"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第一章磋商公告</w:t>
      </w:r>
      <w:r>
        <w:rPr>
          <w:rFonts w:ascii="仿宋" w:hAnsi="仿宋" w:eastAsia="仿宋" w:cs="仿宋"/>
          <w:color w:val="000000" w:themeColor="text1"/>
          <w:sz w:val="28"/>
          <w:szCs w:val="28"/>
          <w:highlight w:val="none"/>
        </w:rPr>
        <w:tab/>
      </w:r>
      <w:r>
        <w:rPr>
          <w:rFonts w:ascii="仿宋" w:hAnsi="仿宋" w:eastAsia="仿宋" w:cs="仿宋"/>
          <w:color w:val="000000" w:themeColor="text1"/>
          <w:sz w:val="28"/>
          <w:szCs w:val="28"/>
          <w:highlight w:val="none"/>
        </w:rPr>
        <w:fldChar w:fldCharType="begin"/>
      </w:r>
      <w:r>
        <w:rPr>
          <w:rFonts w:ascii="仿宋" w:hAnsi="仿宋" w:eastAsia="仿宋" w:cs="仿宋"/>
          <w:color w:val="000000" w:themeColor="text1"/>
          <w:sz w:val="28"/>
          <w:szCs w:val="28"/>
          <w:highlight w:val="none"/>
        </w:rPr>
        <w:instrText xml:space="preserve"> PAGEREF _Toc30597 \h </w:instrText>
      </w:r>
      <w:r>
        <w:rPr>
          <w:rFonts w:ascii="仿宋" w:hAnsi="仿宋" w:eastAsia="仿宋" w:cs="仿宋"/>
          <w:color w:val="000000" w:themeColor="text1"/>
          <w:sz w:val="28"/>
          <w:szCs w:val="28"/>
          <w:highlight w:val="none"/>
        </w:rPr>
        <w:fldChar w:fldCharType="separate"/>
      </w:r>
      <w:r>
        <w:rPr>
          <w:rFonts w:ascii="仿宋" w:hAnsi="仿宋" w:eastAsia="仿宋" w:cs="仿宋"/>
          <w:color w:val="000000" w:themeColor="text1"/>
          <w:sz w:val="28"/>
          <w:szCs w:val="28"/>
          <w:highlight w:val="none"/>
        </w:rPr>
        <w:t>- 1 -</w:t>
      </w:r>
      <w:r>
        <w:rPr>
          <w:rFonts w:ascii="仿宋" w:hAnsi="仿宋" w:eastAsia="仿宋" w:cs="仿宋"/>
          <w:color w:val="000000" w:themeColor="text1"/>
          <w:sz w:val="28"/>
          <w:szCs w:val="28"/>
          <w:highlight w:val="none"/>
        </w:rPr>
        <w:fldChar w:fldCharType="end"/>
      </w:r>
      <w:r>
        <w:rPr>
          <w:rFonts w:ascii="仿宋" w:hAnsi="仿宋" w:eastAsia="仿宋" w:cs="仿宋"/>
          <w:color w:val="000000" w:themeColor="text1"/>
          <w:sz w:val="28"/>
          <w:szCs w:val="28"/>
          <w:highlight w:val="none"/>
        </w:rPr>
        <w:fldChar w:fldCharType="end"/>
      </w:r>
    </w:p>
    <w:p>
      <w:pPr>
        <w:pStyle w:val="20"/>
        <w:tabs>
          <w:tab w:val="right" w:leader="dot" w:pos="8868"/>
        </w:tabs>
        <w:spacing w:before="0" w:after="0" w:line="360" w:lineRule="auto"/>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"_Toc21767"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第二章供应商须知</w:t>
      </w:r>
      <w:r>
        <w:rPr>
          <w:rFonts w:ascii="仿宋" w:hAnsi="仿宋" w:eastAsia="仿宋" w:cs="仿宋"/>
          <w:color w:val="000000" w:themeColor="text1"/>
          <w:sz w:val="28"/>
          <w:szCs w:val="28"/>
          <w:highlight w:val="none"/>
        </w:rPr>
        <w:tab/>
      </w:r>
      <w:r>
        <w:rPr>
          <w:rFonts w:ascii="仿宋" w:hAnsi="仿宋" w:eastAsia="仿宋" w:cs="仿宋"/>
          <w:color w:val="000000" w:themeColor="text1"/>
          <w:sz w:val="28"/>
          <w:szCs w:val="28"/>
          <w:highlight w:val="none"/>
        </w:rPr>
        <w:fldChar w:fldCharType="begin"/>
      </w:r>
      <w:r>
        <w:rPr>
          <w:rFonts w:ascii="仿宋" w:hAnsi="仿宋" w:eastAsia="仿宋" w:cs="仿宋"/>
          <w:color w:val="000000" w:themeColor="text1"/>
          <w:sz w:val="28"/>
          <w:szCs w:val="28"/>
          <w:highlight w:val="none"/>
        </w:rPr>
        <w:instrText xml:space="preserve"> PAGEREF _Toc21767 \h </w:instrText>
      </w:r>
      <w:r>
        <w:rPr>
          <w:rFonts w:ascii="仿宋" w:hAnsi="仿宋" w:eastAsia="仿宋" w:cs="仿宋"/>
          <w:color w:val="000000" w:themeColor="text1"/>
          <w:sz w:val="28"/>
          <w:szCs w:val="28"/>
          <w:highlight w:val="none"/>
        </w:rPr>
        <w:fldChar w:fldCharType="separate"/>
      </w:r>
      <w:r>
        <w:rPr>
          <w:rFonts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rPr>
        <w:t>4</w:t>
      </w:r>
      <w:r>
        <w:rPr>
          <w:rFonts w:ascii="仿宋" w:hAnsi="仿宋" w:eastAsia="仿宋" w:cs="仿宋"/>
          <w:color w:val="000000" w:themeColor="text1"/>
          <w:sz w:val="28"/>
          <w:szCs w:val="28"/>
          <w:highlight w:val="none"/>
        </w:rPr>
        <w:t xml:space="preserve"> -</w:t>
      </w:r>
      <w:r>
        <w:rPr>
          <w:rFonts w:ascii="仿宋" w:hAnsi="仿宋" w:eastAsia="仿宋" w:cs="仿宋"/>
          <w:color w:val="000000" w:themeColor="text1"/>
          <w:sz w:val="28"/>
          <w:szCs w:val="28"/>
          <w:highlight w:val="none"/>
        </w:rPr>
        <w:fldChar w:fldCharType="end"/>
      </w:r>
      <w:r>
        <w:rPr>
          <w:rFonts w:ascii="仿宋" w:hAnsi="仿宋" w:eastAsia="仿宋" w:cs="仿宋"/>
          <w:color w:val="000000" w:themeColor="text1"/>
          <w:sz w:val="28"/>
          <w:szCs w:val="28"/>
          <w:highlight w:val="none"/>
        </w:rPr>
        <w:fldChar w:fldCharType="end"/>
      </w:r>
    </w:p>
    <w:p>
      <w:pPr>
        <w:pStyle w:val="20"/>
        <w:tabs>
          <w:tab w:val="right" w:leader="dot" w:pos="8868"/>
        </w:tabs>
        <w:spacing w:before="0" w:after="0" w:line="360" w:lineRule="auto"/>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"_Toc29635"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第三章用户需求书</w:t>
      </w:r>
      <w:r>
        <w:rPr>
          <w:rFonts w:ascii="仿宋" w:hAnsi="仿宋" w:eastAsia="仿宋" w:cs="仿宋"/>
          <w:color w:val="000000" w:themeColor="text1"/>
          <w:sz w:val="28"/>
          <w:szCs w:val="28"/>
          <w:highlight w:val="none"/>
        </w:rPr>
        <w:tab/>
      </w:r>
      <w:r>
        <w:rPr>
          <w:rFonts w:ascii="仿宋" w:hAnsi="仿宋" w:eastAsia="仿宋" w:cs="仿宋"/>
          <w:color w:val="000000" w:themeColor="text1"/>
          <w:sz w:val="28"/>
          <w:szCs w:val="28"/>
          <w:highlight w:val="none"/>
        </w:rPr>
        <w:fldChar w:fldCharType="begin"/>
      </w:r>
      <w:r>
        <w:rPr>
          <w:rFonts w:ascii="仿宋" w:hAnsi="仿宋" w:eastAsia="仿宋" w:cs="仿宋"/>
          <w:color w:val="000000" w:themeColor="text1"/>
          <w:sz w:val="28"/>
          <w:szCs w:val="28"/>
          <w:highlight w:val="none"/>
        </w:rPr>
        <w:instrText xml:space="preserve"> PAGEREF _Toc29635 \h </w:instrText>
      </w:r>
      <w:r>
        <w:rPr>
          <w:rFonts w:ascii="仿宋" w:hAnsi="仿宋" w:eastAsia="仿宋" w:cs="仿宋"/>
          <w:color w:val="000000" w:themeColor="text1"/>
          <w:sz w:val="28"/>
          <w:szCs w:val="28"/>
          <w:highlight w:val="none"/>
        </w:rPr>
        <w:fldChar w:fldCharType="separate"/>
      </w:r>
      <w:r>
        <w:rPr>
          <w:rFonts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rPr>
        <w:t>18</w:t>
      </w:r>
      <w:r>
        <w:rPr>
          <w:rFonts w:ascii="仿宋" w:hAnsi="仿宋" w:eastAsia="仿宋" w:cs="仿宋"/>
          <w:color w:val="000000" w:themeColor="text1"/>
          <w:sz w:val="28"/>
          <w:szCs w:val="28"/>
          <w:highlight w:val="none"/>
        </w:rPr>
        <w:t xml:space="preserve"> -</w:t>
      </w:r>
      <w:r>
        <w:rPr>
          <w:rFonts w:ascii="仿宋" w:hAnsi="仿宋" w:eastAsia="仿宋" w:cs="仿宋"/>
          <w:color w:val="000000" w:themeColor="text1"/>
          <w:sz w:val="28"/>
          <w:szCs w:val="28"/>
          <w:highlight w:val="none"/>
        </w:rPr>
        <w:fldChar w:fldCharType="end"/>
      </w:r>
      <w:r>
        <w:rPr>
          <w:rFonts w:ascii="仿宋" w:hAnsi="仿宋" w:eastAsia="仿宋" w:cs="仿宋"/>
          <w:color w:val="000000" w:themeColor="text1"/>
          <w:sz w:val="28"/>
          <w:szCs w:val="28"/>
          <w:highlight w:val="none"/>
        </w:rPr>
        <w:fldChar w:fldCharType="end"/>
      </w:r>
    </w:p>
    <w:p>
      <w:pPr>
        <w:pStyle w:val="20"/>
        <w:tabs>
          <w:tab w:val="right" w:leader="dot" w:pos="8868"/>
        </w:tabs>
        <w:spacing w:before="0" w:after="0" w:line="360" w:lineRule="auto"/>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"_Toc21962"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第四章 政府采购合同范本（参考）</w:t>
      </w:r>
      <w:r>
        <w:rPr>
          <w:rFonts w:ascii="仿宋" w:hAnsi="仿宋" w:eastAsia="仿宋" w:cs="仿宋"/>
          <w:color w:val="000000" w:themeColor="text1"/>
          <w:sz w:val="28"/>
          <w:szCs w:val="28"/>
          <w:highlight w:val="none"/>
        </w:rPr>
        <w:tab/>
      </w:r>
      <w:r>
        <w:rPr>
          <w:rFonts w:ascii="仿宋" w:hAnsi="仿宋" w:eastAsia="仿宋" w:cs="仿宋"/>
          <w:color w:val="000000" w:themeColor="text1"/>
          <w:sz w:val="28"/>
          <w:szCs w:val="28"/>
          <w:highlight w:val="none"/>
        </w:rPr>
        <w:fldChar w:fldCharType="begin"/>
      </w:r>
      <w:r>
        <w:rPr>
          <w:rFonts w:ascii="仿宋" w:hAnsi="仿宋" w:eastAsia="仿宋" w:cs="仿宋"/>
          <w:color w:val="000000" w:themeColor="text1"/>
          <w:sz w:val="28"/>
          <w:szCs w:val="28"/>
          <w:highlight w:val="none"/>
        </w:rPr>
        <w:instrText xml:space="preserve"> PAGEREF _Toc21962 \h </w:instrText>
      </w:r>
      <w:r>
        <w:rPr>
          <w:rFonts w:ascii="仿宋" w:hAnsi="仿宋" w:eastAsia="仿宋" w:cs="仿宋"/>
          <w:color w:val="000000" w:themeColor="text1"/>
          <w:sz w:val="28"/>
          <w:szCs w:val="28"/>
          <w:highlight w:val="none"/>
        </w:rPr>
        <w:fldChar w:fldCharType="separate"/>
      </w:r>
      <w:r>
        <w:rPr>
          <w:rFonts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rPr>
        <w:t>37</w:t>
      </w:r>
      <w:r>
        <w:rPr>
          <w:rFonts w:ascii="仿宋" w:hAnsi="仿宋" w:eastAsia="仿宋" w:cs="仿宋"/>
          <w:color w:val="000000" w:themeColor="text1"/>
          <w:sz w:val="28"/>
          <w:szCs w:val="28"/>
          <w:highlight w:val="none"/>
        </w:rPr>
        <w:t xml:space="preserve"> -</w:t>
      </w:r>
      <w:r>
        <w:rPr>
          <w:rFonts w:ascii="仿宋" w:hAnsi="仿宋" w:eastAsia="仿宋" w:cs="仿宋"/>
          <w:color w:val="000000" w:themeColor="text1"/>
          <w:sz w:val="28"/>
          <w:szCs w:val="28"/>
          <w:highlight w:val="none"/>
        </w:rPr>
        <w:fldChar w:fldCharType="end"/>
      </w:r>
      <w:r>
        <w:rPr>
          <w:rFonts w:ascii="仿宋" w:hAnsi="仿宋" w:eastAsia="仿宋" w:cs="仿宋"/>
          <w:color w:val="000000" w:themeColor="text1"/>
          <w:sz w:val="28"/>
          <w:szCs w:val="28"/>
          <w:highlight w:val="none"/>
        </w:rPr>
        <w:fldChar w:fldCharType="end"/>
      </w:r>
    </w:p>
    <w:p>
      <w:pPr>
        <w:pStyle w:val="20"/>
        <w:tabs>
          <w:tab w:val="right" w:leader="dot" w:pos="8868"/>
        </w:tabs>
        <w:spacing w:before="0" w:after="0" w:line="360" w:lineRule="auto"/>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"_Toc13223"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第五章响应文件内容和格式</w:t>
      </w:r>
      <w:r>
        <w:rPr>
          <w:rFonts w:ascii="仿宋" w:hAnsi="仿宋" w:eastAsia="仿宋" w:cs="仿宋"/>
          <w:color w:val="000000" w:themeColor="text1"/>
          <w:sz w:val="28"/>
          <w:szCs w:val="28"/>
          <w:highlight w:val="none"/>
        </w:rPr>
        <w:tab/>
      </w:r>
      <w:r>
        <w:rPr>
          <w:rFonts w:ascii="仿宋" w:hAnsi="仿宋" w:eastAsia="仿宋" w:cs="仿宋"/>
          <w:color w:val="000000" w:themeColor="text1"/>
          <w:sz w:val="28"/>
          <w:szCs w:val="28"/>
          <w:highlight w:val="none"/>
        </w:rPr>
        <w:fldChar w:fldCharType="begin"/>
      </w:r>
      <w:r>
        <w:rPr>
          <w:rFonts w:ascii="仿宋" w:hAnsi="仿宋" w:eastAsia="仿宋" w:cs="仿宋"/>
          <w:color w:val="000000" w:themeColor="text1"/>
          <w:sz w:val="28"/>
          <w:szCs w:val="28"/>
          <w:highlight w:val="none"/>
        </w:rPr>
        <w:instrText xml:space="preserve"> PAGEREF _Toc13223 \h </w:instrText>
      </w:r>
      <w:r>
        <w:rPr>
          <w:rFonts w:ascii="仿宋" w:hAnsi="仿宋" w:eastAsia="仿宋" w:cs="仿宋"/>
          <w:color w:val="000000" w:themeColor="text1"/>
          <w:sz w:val="28"/>
          <w:szCs w:val="28"/>
          <w:highlight w:val="none"/>
        </w:rPr>
        <w:fldChar w:fldCharType="separate"/>
      </w:r>
      <w:r>
        <w:rPr>
          <w:rFonts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rPr>
        <w:t>41</w:t>
      </w:r>
      <w:r>
        <w:rPr>
          <w:rFonts w:ascii="仿宋" w:hAnsi="仿宋" w:eastAsia="仿宋" w:cs="仿宋"/>
          <w:color w:val="000000" w:themeColor="text1"/>
          <w:sz w:val="28"/>
          <w:szCs w:val="28"/>
          <w:highlight w:val="none"/>
        </w:rPr>
        <w:t xml:space="preserve"> -</w:t>
      </w:r>
      <w:r>
        <w:rPr>
          <w:rFonts w:ascii="仿宋" w:hAnsi="仿宋" w:eastAsia="仿宋" w:cs="仿宋"/>
          <w:color w:val="000000" w:themeColor="text1"/>
          <w:sz w:val="28"/>
          <w:szCs w:val="28"/>
          <w:highlight w:val="none"/>
        </w:rPr>
        <w:fldChar w:fldCharType="end"/>
      </w:r>
      <w:r>
        <w:rPr>
          <w:rFonts w:ascii="仿宋" w:hAnsi="仿宋" w:eastAsia="仿宋" w:cs="仿宋"/>
          <w:color w:val="000000" w:themeColor="text1"/>
          <w:sz w:val="28"/>
          <w:szCs w:val="28"/>
          <w:highlight w:val="none"/>
        </w:rPr>
        <w:fldChar w:fldCharType="end"/>
      </w:r>
    </w:p>
    <w:p>
      <w:pPr>
        <w:pStyle w:val="22"/>
        <w:tabs>
          <w:tab w:val="right" w:leader="dot" w:pos="8868"/>
        </w:tabs>
        <w:spacing w:line="360" w:lineRule="auto"/>
        <w:rPr>
          <w:rFonts w:ascii="仿宋" w:hAnsi="仿宋" w:eastAsia="仿宋" w:cs="仿宋"/>
          <w:color w:val="000000" w:themeColor="text1"/>
          <w:highlight w:val="none"/>
        </w:rPr>
      </w:pPr>
    </w:p>
    <w:p>
      <w:pPr>
        <w:spacing w:line="360" w:lineRule="auto"/>
        <w:rPr>
          <w:rFonts w:ascii="仿宋" w:hAnsi="仿宋" w:eastAsia="仿宋" w:cs="仿宋"/>
          <w:color w:val="000000" w:themeColor="text1"/>
          <w:highlight w:val="none"/>
        </w:rPr>
      </w:pPr>
      <w:r>
        <w:rPr>
          <w:rFonts w:ascii="仿宋" w:hAnsi="仿宋" w:eastAsia="仿宋" w:cs="仿宋"/>
          <w:b/>
          <w:bCs/>
          <w:color w:val="000000" w:themeColor="text1"/>
          <w:sz w:val="28"/>
          <w:szCs w:val="28"/>
          <w:highlight w:val="none"/>
        </w:rPr>
        <w:fldChar w:fldCharType="end"/>
      </w:r>
    </w:p>
    <w:p>
      <w:pPr>
        <w:spacing w:line="360" w:lineRule="auto"/>
        <w:ind w:right="57"/>
        <w:rPr>
          <w:rStyle w:val="37"/>
          <w:rFonts w:ascii="仿宋" w:hAnsi="仿宋" w:eastAsia="仿宋" w:cs="仿宋"/>
          <w:bCs/>
          <w:color w:val="000000" w:themeColor="text1"/>
          <w:sz w:val="24"/>
          <w:highlight w:val="none"/>
        </w:rPr>
      </w:pPr>
    </w:p>
    <w:p>
      <w:pPr>
        <w:spacing w:line="360" w:lineRule="auto"/>
        <w:jc w:val="center"/>
        <w:rPr>
          <w:rStyle w:val="37"/>
          <w:rFonts w:ascii="仿宋" w:hAnsi="仿宋" w:eastAsia="仿宋" w:cs="仿宋"/>
          <w:bCs/>
          <w:color w:val="000000" w:themeColor="text1"/>
          <w:szCs w:val="44"/>
          <w:highlight w:val="none"/>
        </w:rPr>
      </w:pPr>
    </w:p>
    <w:p>
      <w:pPr>
        <w:spacing w:line="360" w:lineRule="auto"/>
        <w:jc w:val="center"/>
        <w:rPr>
          <w:rStyle w:val="37"/>
          <w:rFonts w:ascii="仿宋" w:hAnsi="仿宋" w:eastAsia="仿宋" w:cs="仿宋"/>
          <w:bCs/>
          <w:color w:val="000000" w:themeColor="text1"/>
          <w:szCs w:val="44"/>
          <w:highlight w:val="none"/>
        </w:rPr>
        <w:sectPr>
          <w:headerReference r:id="rId6" w:type="first"/>
          <w:footerReference r:id="rId8" w:type="first"/>
          <w:headerReference r:id="rId5" w:type="default"/>
          <w:footerReference r:id="rId7" w:type="default"/>
          <w:pgSz w:w="11849" w:h="16781"/>
          <w:pgMar w:top="1134" w:right="1134" w:bottom="1134" w:left="1531" w:header="720" w:footer="720" w:gutter="0"/>
          <w:pgNumType w:fmt="numberInDash" w:start="1"/>
          <w:cols w:space="0" w:num="1"/>
          <w:docGrid w:linePitch="312" w:charSpace="0"/>
        </w:sectPr>
      </w:pPr>
    </w:p>
    <w:p>
      <w:pPr>
        <w:spacing w:line="360" w:lineRule="auto"/>
        <w:jc w:val="center"/>
        <w:outlineLvl w:val="0"/>
        <w:rPr>
          <w:rStyle w:val="37"/>
          <w:rFonts w:ascii="仿宋" w:hAnsi="仿宋" w:eastAsia="仿宋" w:cs="仿宋"/>
          <w:bCs/>
          <w:color w:val="000000" w:themeColor="text1"/>
          <w:sz w:val="36"/>
          <w:szCs w:val="36"/>
          <w:highlight w:val="none"/>
          <w:lang w:eastAsia="zh-CN"/>
        </w:rPr>
      </w:pPr>
      <w:bookmarkStart w:id="2" w:name="_Toc30597"/>
      <w:r>
        <w:rPr>
          <w:rStyle w:val="37"/>
          <w:rFonts w:hint="eastAsia" w:ascii="仿宋" w:hAnsi="仿宋" w:eastAsia="仿宋" w:cs="仿宋"/>
          <w:bCs/>
          <w:color w:val="000000" w:themeColor="text1"/>
          <w:sz w:val="36"/>
          <w:szCs w:val="36"/>
          <w:highlight w:val="none"/>
          <w:lang w:eastAsia="zh-CN"/>
        </w:rPr>
        <w:t>第一章磋商公告</w:t>
      </w:r>
      <w:bookmarkEnd w:id="2"/>
    </w:p>
    <w:tbl>
      <w:tblPr>
        <w:tblStyle w:val="2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9280" w:type="dxa"/>
          </w:tcPr>
          <w:p>
            <w:pPr>
              <w:spacing w:line="360" w:lineRule="auto"/>
              <w:rPr>
                <w:rFonts w:ascii="仿宋" w:hAnsi="仿宋" w:eastAsia="仿宋" w:cs="仿宋"/>
                <w:color w:val="000000" w:themeColor="text1"/>
                <w:sz w:val="28"/>
                <w:szCs w:val="28"/>
                <w:highlight w:val="none"/>
                <w:u w:val="single"/>
              </w:rPr>
            </w:pPr>
            <w:bookmarkStart w:id="3" w:name="bookmark46"/>
          </w:p>
          <w:p>
            <w:pPr>
              <w:spacing w:line="360" w:lineRule="auto"/>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u w:val="single"/>
              </w:rPr>
              <w:t>水库大坝检测机器人研制项目</w:t>
            </w:r>
            <w:r>
              <w:rPr>
                <w:rFonts w:hint="eastAsia" w:ascii="仿宋" w:hAnsi="仿宋" w:eastAsia="仿宋" w:cs="仿宋"/>
                <w:color w:val="000000" w:themeColor="text1"/>
                <w:sz w:val="28"/>
                <w:szCs w:val="28"/>
                <w:highlight w:val="none"/>
              </w:rPr>
              <w:t>招标项目的潜在供应商应在</w:t>
            </w:r>
            <w:r>
              <w:rPr>
                <w:rFonts w:hint="eastAsia" w:ascii="仿宋" w:hAnsi="仿宋" w:eastAsia="仿宋" w:cs="仿宋"/>
                <w:color w:val="000000" w:themeColor="text1"/>
                <w:sz w:val="28"/>
                <w:szCs w:val="28"/>
                <w:highlight w:val="none"/>
                <w:u w:val="single"/>
              </w:rPr>
              <w:t>海南省海口市美兰区美苑路下贤一村78号二楼201室</w:t>
            </w:r>
            <w:r>
              <w:rPr>
                <w:rFonts w:hint="eastAsia" w:ascii="仿宋" w:hAnsi="仿宋" w:eastAsia="仿宋" w:cs="仿宋"/>
                <w:color w:val="000000" w:themeColor="text1"/>
                <w:sz w:val="28"/>
                <w:szCs w:val="28"/>
                <w:highlight w:val="none"/>
              </w:rPr>
              <w:t>获取招标文件，并于</w:t>
            </w:r>
            <w:r>
              <w:rPr>
                <w:rFonts w:ascii="仿宋" w:hAnsi="仿宋" w:eastAsia="仿宋" w:cs="仿宋"/>
                <w:color w:val="000000" w:themeColor="text1"/>
                <w:sz w:val="28"/>
                <w:szCs w:val="28"/>
                <w:highlight w:val="none"/>
              </w:rPr>
              <w:t>2021</w:t>
            </w:r>
            <w:r>
              <w:rPr>
                <w:rFonts w:hint="eastAsia" w:ascii="仿宋" w:hAnsi="仿宋" w:eastAsia="仿宋" w:cs="仿宋"/>
                <w:color w:val="000000" w:themeColor="text1"/>
                <w:sz w:val="28"/>
                <w:szCs w:val="28"/>
                <w:highlight w:val="none"/>
              </w:rPr>
              <w:t>年</w:t>
            </w:r>
            <w:r>
              <w:rPr>
                <w:rFonts w:hint="eastAsia" w:ascii="仿宋" w:hAnsi="仿宋" w:eastAsia="仿宋" w:cs="仿宋"/>
                <w:color w:val="000000" w:themeColor="text1"/>
                <w:sz w:val="28"/>
                <w:szCs w:val="28"/>
                <w:highlight w:val="none"/>
                <w:lang w:val="en-US" w:eastAsia="zh-CN"/>
              </w:rPr>
              <w:t>10</w:t>
            </w:r>
            <w:r>
              <w:rPr>
                <w:rFonts w:hint="eastAsia" w:ascii="仿宋" w:hAnsi="仿宋" w:eastAsia="仿宋" w:cs="仿宋"/>
                <w:color w:val="000000" w:themeColor="text1"/>
                <w:sz w:val="28"/>
                <w:szCs w:val="28"/>
                <w:highlight w:val="none"/>
              </w:rPr>
              <w:t>月</w:t>
            </w:r>
            <w:r>
              <w:rPr>
                <w:rFonts w:hint="eastAsia" w:ascii="仿宋" w:hAnsi="仿宋" w:eastAsia="仿宋" w:cs="仿宋"/>
                <w:color w:val="000000" w:themeColor="text1"/>
                <w:sz w:val="28"/>
                <w:szCs w:val="28"/>
                <w:highlight w:val="none"/>
                <w:lang w:val="en-US" w:eastAsia="zh-CN"/>
              </w:rPr>
              <w:t>25</w:t>
            </w:r>
            <w:r>
              <w:rPr>
                <w:rFonts w:hint="eastAsia" w:ascii="仿宋" w:hAnsi="仿宋" w:eastAsia="仿宋" w:cs="仿宋"/>
                <w:color w:val="000000" w:themeColor="text1"/>
                <w:sz w:val="28"/>
                <w:szCs w:val="28"/>
                <w:highlight w:val="none"/>
              </w:rPr>
              <w:t>日</w:t>
            </w:r>
            <w:r>
              <w:rPr>
                <w:rFonts w:hint="eastAsia" w:ascii="仿宋" w:hAnsi="仿宋" w:eastAsia="仿宋" w:cs="仿宋"/>
                <w:color w:val="000000" w:themeColor="text1"/>
                <w:sz w:val="28"/>
                <w:szCs w:val="28"/>
                <w:highlight w:val="none"/>
                <w:lang w:val="en-US" w:eastAsia="zh-CN"/>
              </w:rPr>
              <w:t>10</w:t>
            </w:r>
            <w:r>
              <w:rPr>
                <w:rFonts w:hint="eastAsia" w:ascii="仿宋" w:hAnsi="仿宋" w:eastAsia="仿宋" w:cs="仿宋"/>
                <w:color w:val="000000" w:themeColor="text1"/>
                <w:sz w:val="28"/>
                <w:szCs w:val="28"/>
                <w:highlight w:val="none"/>
              </w:rPr>
              <w:t>时</w:t>
            </w:r>
            <w:r>
              <w:rPr>
                <w:rFonts w:hint="eastAsia" w:ascii="仿宋" w:hAnsi="仿宋" w:eastAsia="仿宋" w:cs="仿宋"/>
                <w:color w:val="000000" w:themeColor="text1"/>
                <w:sz w:val="28"/>
                <w:szCs w:val="28"/>
                <w:highlight w:val="none"/>
                <w:lang w:val="en-US" w:eastAsia="zh-CN"/>
              </w:rPr>
              <w:t>00</w:t>
            </w:r>
            <w:r>
              <w:rPr>
                <w:rFonts w:hint="eastAsia" w:ascii="仿宋" w:hAnsi="仿宋" w:eastAsia="仿宋" w:cs="仿宋"/>
                <w:color w:val="000000" w:themeColor="text1"/>
                <w:sz w:val="28"/>
                <w:szCs w:val="28"/>
                <w:highlight w:val="none"/>
              </w:rPr>
              <w:t>分（北京时间）前递交响应文件。</w:t>
            </w:r>
          </w:p>
        </w:tc>
      </w:tr>
    </w:tbl>
    <w:p>
      <w:pPr>
        <w:pStyle w:val="95"/>
        <w:tabs>
          <w:tab w:val="left" w:pos="998"/>
        </w:tabs>
        <w:spacing w:after="0" w:line="360" w:lineRule="auto"/>
        <w:ind w:firstLine="0"/>
        <w:jc w:val="left"/>
        <w:rPr>
          <w:rFonts w:ascii="仿宋" w:hAnsi="仿宋" w:eastAsia="仿宋" w:cs="仿宋"/>
          <w:b/>
          <w:bCs/>
          <w:color w:val="000000" w:themeColor="text1"/>
          <w:sz w:val="24"/>
          <w:highlight w:val="none"/>
          <w:lang w:eastAsia="zh-CN"/>
        </w:rPr>
      </w:pPr>
      <w:r>
        <w:rPr>
          <w:rFonts w:hint="eastAsia" w:ascii="仿宋" w:hAnsi="仿宋" w:eastAsia="仿宋" w:cs="仿宋"/>
          <w:b/>
          <w:bCs/>
          <w:color w:val="000000" w:themeColor="text1"/>
          <w:sz w:val="24"/>
          <w:highlight w:val="none"/>
        </w:rPr>
        <w:t>一</w:t>
      </w:r>
      <w:bookmarkEnd w:id="3"/>
      <w:r>
        <w:rPr>
          <w:rFonts w:hint="eastAsia" w:ascii="仿宋" w:hAnsi="仿宋" w:eastAsia="仿宋" w:cs="仿宋"/>
          <w:b/>
          <w:bCs/>
          <w:color w:val="000000" w:themeColor="text1"/>
          <w:sz w:val="24"/>
          <w:highlight w:val="none"/>
        </w:rPr>
        <w:t>、项目</w:t>
      </w:r>
      <w:r>
        <w:rPr>
          <w:rFonts w:hint="eastAsia" w:ascii="仿宋" w:hAnsi="仿宋" w:eastAsia="仿宋" w:cs="仿宋"/>
          <w:b/>
          <w:bCs/>
          <w:color w:val="000000" w:themeColor="text1"/>
          <w:sz w:val="24"/>
          <w:highlight w:val="none"/>
          <w:lang w:eastAsia="zh-CN"/>
        </w:rPr>
        <w:t>概况</w:t>
      </w:r>
    </w:p>
    <w:p>
      <w:pPr>
        <w:pStyle w:val="95"/>
        <w:spacing w:after="0" w:line="360" w:lineRule="auto"/>
        <w:ind w:firstLine="480" w:firstLineChars="200"/>
        <w:jc w:val="left"/>
        <w:rPr>
          <w:rFonts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项目编号</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ZZHQ-HN-2021-68</w:t>
      </w:r>
    </w:p>
    <w:p>
      <w:pPr>
        <w:pStyle w:val="95"/>
        <w:spacing w:after="0" w:line="360" w:lineRule="auto"/>
        <w:ind w:firstLine="480" w:firstLineChars="200"/>
        <w:jc w:val="left"/>
        <w:rPr>
          <w:rFonts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项目名称：</w:t>
      </w:r>
      <w:r>
        <w:rPr>
          <w:rFonts w:hint="eastAsia" w:ascii="仿宋" w:hAnsi="仿宋" w:eastAsia="仿宋" w:cs="仿宋"/>
          <w:color w:val="000000" w:themeColor="text1"/>
          <w:sz w:val="24"/>
          <w:highlight w:val="none"/>
          <w:lang w:eastAsia="zh-CN"/>
        </w:rPr>
        <w:t>水库大坝检测机器人研制项目</w:t>
      </w:r>
    </w:p>
    <w:p>
      <w:pPr>
        <w:pStyle w:val="95"/>
        <w:spacing w:after="0" w:line="360" w:lineRule="auto"/>
        <w:ind w:firstLine="480" w:firstLineChars="200"/>
        <w:jc w:val="left"/>
        <w:rPr>
          <w:rFonts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釆购方式：竞争性</w:t>
      </w:r>
      <w:r>
        <w:rPr>
          <w:rFonts w:hint="eastAsia" w:ascii="仿宋" w:hAnsi="仿宋" w:eastAsia="仿宋" w:cs="仿宋"/>
          <w:color w:val="000000" w:themeColor="text1"/>
          <w:sz w:val="24"/>
          <w:highlight w:val="none"/>
          <w:lang w:eastAsia="zh-CN"/>
        </w:rPr>
        <w:t>磋商</w:t>
      </w:r>
    </w:p>
    <w:p>
      <w:pPr>
        <w:pStyle w:val="95"/>
        <w:spacing w:after="0" w:line="360" w:lineRule="auto"/>
        <w:ind w:firstLine="480" w:firstLineChars="200"/>
        <w:jc w:val="left"/>
        <w:rPr>
          <w:rFonts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预算金额：2100000.00元</w:t>
      </w:r>
      <w:r>
        <w:rPr>
          <w:rFonts w:hint="eastAsia" w:ascii="仿宋" w:hAnsi="仿宋" w:eastAsia="仿宋" w:cs="仿宋"/>
          <w:b/>
          <w:bCs/>
          <w:color w:val="000000" w:themeColor="text1"/>
          <w:sz w:val="24"/>
          <w:highlight w:val="none"/>
        </w:rPr>
        <w:t>（</w:t>
      </w:r>
      <w:r>
        <w:rPr>
          <w:rFonts w:hint="eastAsia" w:ascii="仿宋" w:hAnsi="仿宋" w:eastAsia="仿宋" w:cs="仿宋"/>
          <w:b/>
          <w:bCs/>
          <w:color w:val="000000" w:themeColor="text1"/>
          <w:sz w:val="24"/>
          <w:highlight w:val="none"/>
          <w:lang w:eastAsia="zh-CN"/>
        </w:rPr>
        <w:t>投标报价</w:t>
      </w:r>
      <w:r>
        <w:rPr>
          <w:rFonts w:hint="eastAsia" w:ascii="仿宋" w:hAnsi="仿宋" w:eastAsia="仿宋" w:cs="仿宋"/>
          <w:b/>
          <w:bCs/>
          <w:color w:val="000000" w:themeColor="text1"/>
          <w:sz w:val="24"/>
          <w:highlight w:val="none"/>
        </w:rPr>
        <w:t>超过</w:t>
      </w:r>
      <w:r>
        <w:rPr>
          <w:rFonts w:hint="eastAsia" w:ascii="仿宋" w:hAnsi="仿宋" w:eastAsia="仿宋" w:cs="仿宋"/>
          <w:b/>
          <w:bCs/>
          <w:color w:val="000000" w:themeColor="text1"/>
          <w:sz w:val="24"/>
          <w:highlight w:val="none"/>
          <w:lang w:eastAsia="zh-CN"/>
        </w:rPr>
        <w:t>预算金额的</w:t>
      </w:r>
      <w:r>
        <w:rPr>
          <w:rFonts w:hint="eastAsia" w:ascii="仿宋" w:hAnsi="仿宋" w:eastAsia="仿宋" w:cs="仿宋"/>
          <w:b/>
          <w:bCs/>
          <w:color w:val="000000" w:themeColor="text1"/>
          <w:sz w:val="24"/>
          <w:highlight w:val="none"/>
        </w:rPr>
        <w:t>将作废标处理。）</w:t>
      </w:r>
    </w:p>
    <w:p>
      <w:pPr>
        <w:pStyle w:val="95"/>
        <w:spacing w:after="0" w:line="360" w:lineRule="auto"/>
        <w:ind w:firstLine="480" w:firstLineChars="200"/>
        <w:jc w:val="left"/>
        <w:rPr>
          <w:rFonts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釆购需求：</w:t>
      </w:r>
      <w:r>
        <w:rPr>
          <w:rFonts w:hint="eastAsia" w:ascii="仿宋" w:hAnsi="仿宋" w:eastAsia="仿宋" w:cs="仿宋"/>
          <w:color w:val="000000" w:themeColor="text1"/>
          <w:sz w:val="24"/>
          <w:highlight w:val="none"/>
          <w:lang w:eastAsia="zh-CN"/>
        </w:rPr>
        <w:t>详见用户需求书</w:t>
      </w:r>
    </w:p>
    <w:p>
      <w:pPr>
        <w:pStyle w:val="95"/>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服务期：自合同签订之日起至2021年12月25日前交付。</w:t>
      </w:r>
    </w:p>
    <w:p>
      <w:pPr>
        <w:pStyle w:val="95"/>
        <w:tabs>
          <w:tab w:val="left" w:pos="998"/>
        </w:tabs>
        <w:spacing w:after="0" w:line="360" w:lineRule="auto"/>
        <w:ind w:firstLine="0"/>
        <w:jc w:val="left"/>
        <w:rPr>
          <w:rFonts w:ascii="仿宋" w:hAnsi="仿宋" w:eastAsia="仿宋" w:cs="仿宋"/>
          <w:b/>
          <w:bCs/>
          <w:color w:val="000000" w:themeColor="text1"/>
          <w:sz w:val="24"/>
          <w:highlight w:val="none"/>
        </w:rPr>
      </w:pPr>
      <w:bookmarkStart w:id="4" w:name="bookmark47"/>
      <w:r>
        <w:rPr>
          <w:rFonts w:hint="eastAsia" w:ascii="仿宋" w:hAnsi="仿宋" w:eastAsia="仿宋" w:cs="仿宋"/>
          <w:b/>
          <w:bCs/>
          <w:color w:val="000000" w:themeColor="text1"/>
          <w:sz w:val="24"/>
          <w:highlight w:val="none"/>
        </w:rPr>
        <w:t>二</w:t>
      </w:r>
      <w:bookmarkEnd w:id="4"/>
      <w:r>
        <w:rPr>
          <w:rFonts w:hint="eastAsia" w:ascii="仿宋" w:hAnsi="仿宋" w:eastAsia="仿宋" w:cs="仿宋"/>
          <w:b/>
          <w:bCs/>
          <w:color w:val="000000" w:themeColor="text1"/>
          <w:sz w:val="24"/>
          <w:highlight w:val="none"/>
        </w:rPr>
        <w:t>、</w:t>
      </w:r>
      <w:r>
        <w:rPr>
          <w:rFonts w:hint="eastAsia" w:ascii="仿宋" w:hAnsi="仿宋" w:eastAsia="仿宋" w:cs="仿宋"/>
          <w:b/>
          <w:bCs/>
          <w:color w:val="000000" w:themeColor="text1"/>
          <w:sz w:val="24"/>
          <w:highlight w:val="none"/>
          <w:lang w:eastAsia="zh-CN"/>
        </w:rPr>
        <w:t>供应商</w:t>
      </w:r>
      <w:r>
        <w:rPr>
          <w:rFonts w:hint="eastAsia" w:ascii="仿宋" w:hAnsi="仿宋" w:eastAsia="仿宋" w:cs="仿宋"/>
          <w:b/>
          <w:bCs/>
          <w:color w:val="000000" w:themeColor="text1"/>
          <w:sz w:val="24"/>
          <w:highlight w:val="none"/>
        </w:rPr>
        <w:t>的资格要求：</w:t>
      </w:r>
    </w:p>
    <w:p>
      <w:pPr>
        <w:adjustRightInd w:val="0"/>
        <w:snapToGrid w:val="0"/>
        <w:spacing w:line="360" w:lineRule="auto"/>
        <w:ind w:firstLine="480" w:firstLineChars="200"/>
        <w:rPr>
          <w:rFonts w:ascii="仿宋" w:hAnsi="仿宋" w:eastAsia="仿宋" w:cs="仿宋"/>
          <w:color w:val="000000" w:themeColor="text1"/>
          <w:sz w:val="24"/>
          <w:highlight w:val="none"/>
          <w:lang w:val="zh-TW" w:eastAsia="zh-TW"/>
        </w:rPr>
      </w:pPr>
      <w:bookmarkStart w:id="5" w:name="bookmark48"/>
      <w:bookmarkEnd w:id="5"/>
      <w:r>
        <w:rPr>
          <w:rFonts w:hint="eastAsia" w:ascii="仿宋" w:hAnsi="仿宋" w:eastAsia="仿宋" w:cs="仿宋"/>
          <w:color w:val="000000" w:themeColor="text1"/>
          <w:sz w:val="24"/>
          <w:highlight w:val="none"/>
          <w:lang w:val="zh-TW" w:eastAsia="zh-TW"/>
        </w:rPr>
        <w:t>（</w:t>
      </w:r>
      <w:r>
        <w:rPr>
          <w:rFonts w:ascii="仿宋" w:hAnsi="仿宋" w:eastAsia="仿宋" w:cs="仿宋"/>
          <w:color w:val="000000" w:themeColor="text1"/>
          <w:sz w:val="24"/>
          <w:highlight w:val="none"/>
          <w:lang w:val="zh-TW" w:eastAsia="zh-TW"/>
        </w:rPr>
        <w:t>1</w:t>
      </w:r>
      <w:r>
        <w:rPr>
          <w:rFonts w:hint="eastAsia" w:ascii="仿宋" w:hAnsi="仿宋" w:eastAsia="仿宋" w:cs="仿宋"/>
          <w:color w:val="000000" w:themeColor="text1"/>
          <w:sz w:val="24"/>
          <w:highlight w:val="none"/>
          <w:lang w:val="zh-TW" w:eastAsia="zh-TW"/>
        </w:rPr>
        <w:t>）在中华人民共和国境内注册，具有独立承担民事责任的能力（提供在有效期内的工商营业执照副本、组织机构代码证、税务登记证复印件，或提供三证合一的营业执照副本复印件加盖公章。①供应商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个体户：提供工商主管部门颁发的个体营业执照；</w:t>
      </w:r>
    </w:p>
    <w:p>
      <w:pPr>
        <w:adjustRightInd w:val="0"/>
        <w:snapToGrid w:val="0"/>
        <w:spacing w:line="360" w:lineRule="auto"/>
        <w:ind w:firstLine="480" w:firstLineChars="200"/>
        <w:rPr>
          <w:rFonts w:ascii="仿宋" w:hAnsi="仿宋" w:eastAsia="仿宋" w:cs="仿宋"/>
          <w:color w:val="000000" w:themeColor="text1"/>
          <w:sz w:val="24"/>
          <w:highlight w:val="none"/>
          <w:lang w:val="zh-TW" w:eastAsia="zh-TW"/>
        </w:rPr>
      </w:pPr>
      <w:r>
        <w:rPr>
          <w:rFonts w:hint="eastAsia" w:ascii="仿宋" w:hAnsi="仿宋" w:eastAsia="仿宋" w:cs="仿宋"/>
          <w:color w:val="000000" w:themeColor="text1"/>
          <w:sz w:val="24"/>
          <w:highlight w:val="none"/>
          <w:lang w:val="zh-TW" w:eastAsia="zh-TW"/>
        </w:rPr>
        <w:t>（</w:t>
      </w:r>
      <w:r>
        <w:rPr>
          <w:rFonts w:ascii="仿宋" w:hAnsi="仿宋" w:eastAsia="仿宋" w:cs="仿宋"/>
          <w:color w:val="000000" w:themeColor="text1"/>
          <w:sz w:val="24"/>
          <w:highlight w:val="none"/>
          <w:lang w:val="zh-TW" w:eastAsia="zh-TW"/>
        </w:rPr>
        <w:t>2</w:t>
      </w:r>
      <w:r>
        <w:rPr>
          <w:rFonts w:hint="eastAsia" w:ascii="仿宋" w:hAnsi="仿宋" w:eastAsia="仿宋" w:cs="仿宋"/>
          <w:color w:val="000000" w:themeColor="text1"/>
          <w:sz w:val="24"/>
          <w:highlight w:val="none"/>
          <w:lang w:val="zh-TW" w:eastAsia="zh-TW"/>
        </w:rPr>
        <w:t>）具有良好的商业信誉和健全的财务会计制度。（提供</w:t>
      </w:r>
      <w:r>
        <w:rPr>
          <w:rFonts w:ascii="仿宋" w:hAnsi="仿宋" w:eastAsia="仿宋" w:cs="仿宋"/>
          <w:color w:val="000000" w:themeColor="text1"/>
          <w:sz w:val="24"/>
          <w:highlight w:val="none"/>
          <w:lang w:val="zh-TW" w:eastAsia="zh-TW"/>
        </w:rPr>
        <w:t>20</w:t>
      </w:r>
      <w:r>
        <w:rPr>
          <w:rFonts w:ascii="仿宋" w:hAnsi="仿宋" w:eastAsia="仿宋" w:cs="仿宋"/>
          <w:color w:val="000000" w:themeColor="text1"/>
          <w:sz w:val="24"/>
          <w:highlight w:val="none"/>
        </w:rPr>
        <w:t>21</w:t>
      </w:r>
      <w:r>
        <w:rPr>
          <w:rFonts w:hint="eastAsia" w:ascii="仿宋" w:hAnsi="仿宋" w:eastAsia="仿宋" w:cs="仿宋"/>
          <w:color w:val="000000" w:themeColor="text1"/>
          <w:sz w:val="24"/>
          <w:highlight w:val="none"/>
          <w:lang w:val="zh-TW" w:eastAsia="zh-TW"/>
        </w:rPr>
        <w:t>年</w:t>
      </w:r>
      <w:r>
        <w:rPr>
          <w:rFonts w:hint="eastAsia" w:ascii="仿宋" w:hAnsi="仿宋" w:eastAsia="仿宋" w:cs="仿宋"/>
          <w:color w:val="000000" w:themeColor="text1"/>
          <w:sz w:val="24"/>
          <w:highlight w:val="none"/>
          <w:lang w:val="zh-TW"/>
        </w:rPr>
        <w:t>至今任意</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个月财务报表</w:t>
      </w:r>
      <w:r>
        <w:rPr>
          <w:rFonts w:hint="eastAsia" w:ascii="仿宋" w:hAnsi="仿宋" w:eastAsia="仿宋" w:cs="仿宋"/>
          <w:color w:val="000000" w:themeColor="text1"/>
          <w:sz w:val="24"/>
          <w:highlight w:val="none"/>
          <w:lang w:val="zh-TW" w:eastAsia="zh-TW"/>
        </w:rPr>
        <w:t>，</w:t>
      </w:r>
      <w:r>
        <w:rPr>
          <w:rFonts w:hint="eastAsia" w:ascii="仿宋" w:hAnsi="仿宋" w:eastAsia="仿宋" w:cs="仿宋"/>
          <w:color w:val="000000" w:themeColor="text1"/>
          <w:sz w:val="24"/>
          <w:highlight w:val="none"/>
          <w:lang w:val="zh-TW"/>
        </w:rPr>
        <w:t>复印件</w:t>
      </w:r>
      <w:r>
        <w:rPr>
          <w:rFonts w:hint="eastAsia" w:ascii="仿宋" w:hAnsi="仿宋" w:eastAsia="仿宋" w:cs="仿宋"/>
          <w:color w:val="000000" w:themeColor="text1"/>
          <w:sz w:val="24"/>
          <w:highlight w:val="none"/>
          <w:lang w:val="zh-TW" w:eastAsia="zh-TW"/>
        </w:rPr>
        <w:t>加盖公章</w:t>
      </w:r>
      <w:r>
        <w:rPr>
          <w:rFonts w:ascii="仿宋" w:hAnsi="仿宋" w:eastAsia="仿宋" w:cs="仿宋"/>
          <w:color w:val="000000" w:themeColor="text1"/>
          <w:sz w:val="24"/>
          <w:highlight w:val="none"/>
          <w:lang w:val="zh-TW" w:eastAsia="zh-TW"/>
        </w:rPr>
        <w:t>)</w:t>
      </w:r>
    </w:p>
    <w:p>
      <w:pPr>
        <w:adjustRightInd w:val="0"/>
        <w:snapToGrid w:val="0"/>
        <w:spacing w:line="360" w:lineRule="auto"/>
        <w:ind w:firstLine="480" w:firstLineChars="200"/>
        <w:rPr>
          <w:rFonts w:ascii="仿宋" w:hAnsi="仿宋" w:eastAsia="仿宋" w:cs="仿宋"/>
          <w:color w:val="000000" w:themeColor="text1"/>
          <w:sz w:val="24"/>
          <w:highlight w:val="none"/>
          <w:lang w:val="zh-TW" w:eastAsia="zh-TW"/>
        </w:rPr>
      </w:pPr>
      <w:r>
        <w:rPr>
          <w:rFonts w:hint="eastAsia" w:ascii="仿宋" w:hAnsi="仿宋" w:eastAsia="仿宋" w:cs="仿宋"/>
          <w:color w:val="000000" w:themeColor="text1"/>
          <w:sz w:val="24"/>
          <w:highlight w:val="none"/>
          <w:lang w:val="zh-TW" w:eastAsia="zh-TW"/>
        </w:rPr>
        <w:t>（</w:t>
      </w:r>
      <w:r>
        <w:rPr>
          <w:rFonts w:ascii="仿宋" w:hAnsi="仿宋" w:eastAsia="仿宋" w:cs="仿宋"/>
          <w:color w:val="000000" w:themeColor="text1"/>
          <w:sz w:val="24"/>
          <w:highlight w:val="none"/>
          <w:lang w:val="zh-TW" w:eastAsia="zh-TW"/>
        </w:rPr>
        <w:t>3</w:t>
      </w:r>
      <w:r>
        <w:rPr>
          <w:rFonts w:hint="eastAsia" w:ascii="仿宋" w:hAnsi="仿宋" w:eastAsia="仿宋" w:cs="仿宋"/>
          <w:color w:val="000000" w:themeColor="text1"/>
          <w:sz w:val="24"/>
          <w:highlight w:val="none"/>
          <w:lang w:val="zh-TW" w:eastAsia="zh-TW"/>
        </w:rPr>
        <w:t>）有依法缴纳税收和社会保障资金的良好记录。（提供</w:t>
      </w:r>
      <w:r>
        <w:rPr>
          <w:rFonts w:ascii="仿宋" w:hAnsi="仿宋" w:eastAsia="仿宋" w:cs="仿宋"/>
          <w:color w:val="000000" w:themeColor="text1"/>
          <w:sz w:val="24"/>
          <w:highlight w:val="none"/>
          <w:lang w:val="zh-TW" w:eastAsia="zh-TW"/>
        </w:rPr>
        <w:t>202</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zh-TW" w:eastAsia="zh-TW"/>
        </w:rPr>
        <w:t>年至今任意</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lang w:val="zh-TW" w:eastAsia="zh-TW"/>
        </w:rPr>
        <w:t>个月的</w:t>
      </w:r>
      <w:r>
        <w:rPr>
          <w:rFonts w:hint="eastAsia" w:ascii="仿宋" w:hAnsi="仿宋" w:eastAsia="仿宋" w:cs="仿宋"/>
          <w:color w:val="000000" w:themeColor="text1"/>
          <w:sz w:val="24"/>
          <w:highlight w:val="none"/>
          <w:lang w:val="zh-TW"/>
        </w:rPr>
        <w:t>纳税证明和</w:t>
      </w:r>
      <w:r>
        <w:rPr>
          <w:rFonts w:ascii="仿宋" w:hAnsi="仿宋" w:eastAsia="仿宋" w:cs="仿宋"/>
          <w:color w:val="000000" w:themeColor="text1"/>
          <w:sz w:val="24"/>
          <w:highlight w:val="none"/>
          <w:lang w:val="zh-TW"/>
        </w:rPr>
        <w:t>2021</w:t>
      </w:r>
      <w:r>
        <w:rPr>
          <w:rFonts w:hint="eastAsia" w:ascii="仿宋" w:hAnsi="仿宋" w:eastAsia="仿宋" w:cs="仿宋"/>
          <w:color w:val="000000" w:themeColor="text1"/>
          <w:sz w:val="24"/>
          <w:highlight w:val="none"/>
          <w:lang w:val="zh-TW"/>
        </w:rPr>
        <w:t>年至今任意</w:t>
      </w:r>
      <w:r>
        <w:rPr>
          <w:rFonts w:ascii="仿宋" w:hAnsi="仿宋" w:eastAsia="仿宋" w:cs="仿宋"/>
          <w:color w:val="000000" w:themeColor="text1"/>
          <w:sz w:val="24"/>
          <w:highlight w:val="none"/>
          <w:lang w:val="zh-TW"/>
        </w:rPr>
        <w:t>3</w:t>
      </w:r>
      <w:r>
        <w:rPr>
          <w:rFonts w:hint="eastAsia" w:ascii="仿宋" w:hAnsi="仿宋" w:eastAsia="仿宋" w:cs="仿宋"/>
          <w:color w:val="000000" w:themeColor="text1"/>
          <w:sz w:val="24"/>
          <w:highlight w:val="none"/>
          <w:lang w:val="zh-TW"/>
        </w:rPr>
        <w:t>个月的</w:t>
      </w:r>
      <w:r>
        <w:rPr>
          <w:rFonts w:hint="eastAsia" w:ascii="仿宋" w:hAnsi="仿宋" w:eastAsia="仿宋" w:cs="仿宋"/>
          <w:color w:val="000000" w:themeColor="text1"/>
          <w:sz w:val="24"/>
          <w:highlight w:val="none"/>
          <w:lang w:val="zh-TW" w:eastAsia="zh-TW"/>
        </w:rPr>
        <w:t>社保</w:t>
      </w:r>
      <w:r>
        <w:rPr>
          <w:rFonts w:hint="eastAsia" w:ascii="仿宋" w:hAnsi="仿宋" w:eastAsia="仿宋" w:cs="仿宋"/>
          <w:color w:val="000000" w:themeColor="text1"/>
          <w:sz w:val="24"/>
          <w:highlight w:val="none"/>
          <w:lang w:val="zh-TW"/>
        </w:rPr>
        <w:t>缴费</w:t>
      </w:r>
      <w:r>
        <w:rPr>
          <w:rFonts w:hint="eastAsia" w:ascii="仿宋" w:hAnsi="仿宋" w:eastAsia="仿宋" w:cs="仿宋"/>
          <w:color w:val="000000" w:themeColor="text1"/>
          <w:sz w:val="24"/>
          <w:highlight w:val="none"/>
          <w:lang w:val="zh-TW" w:eastAsia="zh-TW"/>
        </w:rPr>
        <w:t>记录凭证，</w:t>
      </w:r>
      <w:r>
        <w:rPr>
          <w:rFonts w:hint="eastAsia" w:ascii="仿宋" w:hAnsi="仿宋" w:eastAsia="仿宋" w:cs="仿宋"/>
          <w:color w:val="000000" w:themeColor="text1"/>
          <w:sz w:val="24"/>
          <w:highlight w:val="none"/>
          <w:lang w:val="zh-TW"/>
        </w:rPr>
        <w:t>复印件</w:t>
      </w:r>
      <w:r>
        <w:rPr>
          <w:rFonts w:hint="eastAsia" w:ascii="仿宋" w:hAnsi="仿宋" w:eastAsia="仿宋" w:cs="仿宋"/>
          <w:color w:val="000000" w:themeColor="text1"/>
          <w:sz w:val="24"/>
          <w:highlight w:val="none"/>
          <w:lang w:val="zh-TW" w:eastAsia="zh-TW"/>
        </w:rPr>
        <w:t>加盖公章）</w:t>
      </w:r>
    </w:p>
    <w:p>
      <w:pPr>
        <w:adjustRightInd w:val="0"/>
        <w:snapToGrid w:val="0"/>
        <w:spacing w:line="360" w:lineRule="auto"/>
        <w:ind w:firstLine="480" w:firstLineChars="200"/>
        <w:rPr>
          <w:rFonts w:ascii="仿宋" w:hAnsi="仿宋" w:eastAsia="仿宋" w:cs="仿宋"/>
          <w:color w:val="000000" w:themeColor="text1"/>
          <w:sz w:val="24"/>
          <w:highlight w:val="none"/>
          <w:lang w:val="zh-TW" w:eastAsia="zh-TW"/>
        </w:rPr>
      </w:pPr>
      <w:r>
        <w:rPr>
          <w:rFonts w:hint="eastAsia" w:ascii="仿宋" w:hAnsi="仿宋" w:eastAsia="仿宋" w:cs="仿宋"/>
          <w:color w:val="000000" w:themeColor="text1"/>
          <w:sz w:val="24"/>
          <w:highlight w:val="none"/>
          <w:lang w:val="zh-TW" w:eastAsia="zh-TW"/>
        </w:rPr>
        <w:t>（</w:t>
      </w:r>
      <w:r>
        <w:rPr>
          <w:rFonts w:ascii="仿宋" w:hAnsi="仿宋" w:eastAsia="仿宋" w:cs="仿宋"/>
          <w:color w:val="000000" w:themeColor="text1"/>
          <w:sz w:val="24"/>
          <w:highlight w:val="none"/>
          <w:lang w:val="zh-TW" w:eastAsia="zh-TW"/>
        </w:rPr>
        <w:t>4</w:t>
      </w:r>
      <w:r>
        <w:rPr>
          <w:rFonts w:hint="eastAsia" w:ascii="仿宋" w:hAnsi="仿宋" w:eastAsia="仿宋" w:cs="仿宋"/>
          <w:color w:val="000000" w:themeColor="text1"/>
          <w:sz w:val="24"/>
          <w:highlight w:val="none"/>
          <w:lang w:val="zh-TW" w:eastAsia="zh-TW"/>
        </w:rPr>
        <w:t>）提供参加政府采购活动前三年内，在经营活动中没有重大违法记录的声明函（</w:t>
      </w:r>
      <w:r>
        <w:rPr>
          <w:rFonts w:hint="eastAsia" w:ascii="仿宋" w:hAnsi="仿宋" w:eastAsia="仿宋" w:cs="仿宋"/>
          <w:color w:val="000000" w:themeColor="text1"/>
          <w:sz w:val="24"/>
          <w:highlight w:val="none"/>
          <w:lang w:val="zh-TW"/>
        </w:rPr>
        <w:t>提供声明函，格式自拟，</w:t>
      </w:r>
      <w:r>
        <w:rPr>
          <w:rFonts w:hint="eastAsia" w:ascii="仿宋" w:hAnsi="仿宋" w:eastAsia="仿宋" w:cs="仿宋"/>
          <w:color w:val="000000" w:themeColor="text1"/>
          <w:sz w:val="24"/>
          <w:highlight w:val="none"/>
          <w:lang w:val="zh-TW" w:eastAsia="zh-TW"/>
        </w:rPr>
        <w:t>加盖公章）。</w:t>
      </w:r>
    </w:p>
    <w:p>
      <w:pPr>
        <w:adjustRightInd w:val="0"/>
        <w:snapToGrid w:val="0"/>
        <w:spacing w:line="360" w:lineRule="auto"/>
        <w:ind w:firstLine="480" w:firstLineChars="200"/>
        <w:rPr>
          <w:rFonts w:ascii="仿宋" w:hAnsi="仿宋" w:eastAsia="仿宋" w:cs="仿宋"/>
          <w:color w:val="000000" w:themeColor="text1"/>
          <w:sz w:val="24"/>
          <w:highlight w:val="none"/>
          <w:lang w:val="zh-TW" w:eastAsia="zh-TW"/>
        </w:rPr>
      </w:pPr>
      <w:r>
        <w:rPr>
          <w:rFonts w:hint="eastAsia" w:ascii="仿宋" w:hAnsi="仿宋" w:eastAsia="仿宋" w:cs="仿宋"/>
          <w:color w:val="000000" w:themeColor="text1"/>
          <w:sz w:val="24"/>
          <w:highlight w:val="none"/>
          <w:lang w:val="zh-TW" w:eastAsia="zh-TW"/>
        </w:rPr>
        <w:t>（</w:t>
      </w:r>
      <w:r>
        <w:rPr>
          <w:rFonts w:ascii="仿宋" w:hAnsi="仿宋" w:eastAsia="仿宋" w:cs="仿宋"/>
          <w:color w:val="000000" w:themeColor="text1"/>
          <w:sz w:val="24"/>
          <w:highlight w:val="none"/>
          <w:lang w:val="zh-TW" w:eastAsia="zh-TW"/>
        </w:rPr>
        <w:t>5</w:t>
      </w:r>
      <w:r>
        <w:rPr>
          <w:rFonts w:hint="eastAsia" w:ascii="仿宋" w:hAnsi="仿宋" w:eastAsia="仿宋" w:cs="仿宋"/>
          <w:color w:val="000000" w:themeColor="text1"/>
          <w:sz w:val="24"/>
          <w:highlight w:val="none"/>
          <w:lang w:val="zh-TW" w:eastAsia="zh-TW"/>
        </w:rPr>
        <w:t>）必须为未被列入信用中国网站</w:t>
      </w:r>
      <w:r>
        <w:rPr>
          <w:rFonts w:ascii="仿宋" w:hAnsi="仿宋" w:eastAsia="仿宋" w:cs="仿宋"/>
          <w:color w:val="000000" w:themeColor="text1"/>
          <w:sz w:val="24"/>
          <w:highlight w:val="none"/>
          <w:lang w:val="zh-TW" w:eastAsia="zh-TW"/>
        </w:rPr>
        <w:t>(www.creditchina.gov.cn)</w:t>
      </w:r>
      <w:r>
        <w:rPr>
          <w:rFonts w:hint="eastAsia" w:ascii="仿宋" w:hAnsi="仿宋" w:eastAsia="仿宋" w:cs="仿宋"/>
          <w:color w:val="000000" w:themeColor="text1"/>
          <w:sz w:val="24"/>
          <w:highlight w:val="none"/>
          <w:lang w:val="zh-TW" w:eastAsia="zh-TW"/>
        </w:rPr>
        <w:t>的“失信被执行人”、“重大税收违法案件当事人名单”、“政府采购严重违法失信名单”和中国政府采购网</w:t>
      </w:r>
      <w:r>
        <w:rPr>
          <w:rFonts w:ascii="仿宋" w:hAnsi="仿宋" w:eastAsia="仿宋" w:cs="仿宋"/>
          <w:color w:val="000000" w:themeColor="text1"/>
          <w:sz w:val="24"/>
          <w:highlight w:val="none"/>
          <w:lang w:val="zh-TW" w:eastAsia="zh-TW"/>
        </w:rPr>
        <w:t>(www.ccgp.gov.cn)</w:t>
      </w:r>
      <w:r>
        <w:rPr>
          <w:rFonts w:hint="eastAsia" w:ascii="仿宋" w:hAnsi="仿宋" w:eastAsia="仿宋" w:cs="仿宋"/>
          <w:color w:val="000000" w:themeColor="text1"/>
          <w:sz w:val="24"/>
          <w:highlight w:val="none"/>
          <w:lang w:val="zh-TW" w:eastAsia="zh-TW"/>
        </w:rPr>
        <w:t>的“政府采购严重违法失信行为记录名单”的投标单位；（提供查询结果的网页截图并加盖单位公章）。</w:t>
      </w:r>
    </w:p>
    <w:p>
      <w:pPr>
        <w:adjustRightInd w:val="0"/>
        <w:snapToGrid w:val="0"/>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）本项目不接受联合体投标。</w:t>
      </w:r>
    </w:p>
    <w:p>
      <w:pPr>
        <w:pStyle w:val="95"/>
        <w:tabs>
          <w:tab w:val="left" w:pos="1018"/>
        </w:tabs>
        <w:spacing w:after="0" w:line="360" w:lineRule="auto"/>
        <w:ind w:firstLine="0"/>
        <w:jc w:val="left"/>
        <w:rPr>
          <w:rFonts w:ascii="仿宋" w:hAnsi="仿宋" w:eastAsia="仿宋" w:cs="仿宋"/>
          <w:b/>
          <w:bCs/>
          <w:color w:val="000000" w:themeColor="text1"/>
          <w:sz w:val="24"/>
          <w:highlight w:val="none"/>
        </w:rPr>
      </w:pPr>
      <w:bookmarkStart w:id="6" w:name="bookmark51"/>
      <w:r>
        <w:rPr>
          <w:rFonts w:hint="eastAsia" w:ascii="仿宋" w:hAnsi="仿宋" w:eastAsia="仿宋" w:cs="仿宋"/>
          <w:b/>
          <w:bCs/>
          <w:color w:val="000000" w:themeColor="text1"/>
          <w:sz w:val="24"/>
          <w:highlight w:val="none"/>
        </w:rPr>
        <w:t>三</w:t>
      </w:r>
      <w:bookmarkEnd w:id="6"/>
      <w:r>
        <w:rPr>
          <w:rFonts w:hint="eastAsia" w:ascii="仿宋" w:hAnsi="仿宋" w:eastAsia="仿宋" w:cs="仿宋"/>
          <w:b/>
          <w:bCs/>
          <w:color w:val="000000" w:themeColor="text1"/>
          <w:sz w:val="24"/>
          <w:highlight w:val="none"/>
        </w:rPr>
        <w:t>、获取采购文件</w:t>
      </w:r>
    </w:p>
    <w:p>
      <w:pPr>
        <w:pStyle w:val="95"/>
        <w:spacing w:after="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时间：</w:t>
      </w:r>
      <w:r>
        <w:rPr>
          <w:rFonts w:ascii="仿宋" w:hAnsi="仿宋" w:eastAsia="仿宋" w:cs="仿宋"/>
          <w:color w:val="000000" w:themeColor="text1"/>
          <w:sz w:val="24"/>
          <w:highlight w:val="none"/>
          <w:u w:val="single"/>
          <w:lang w:val="en-US" w:eastAsia="zh-CN"/>
        </w:rPr>
        <w:t>2021</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10</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12</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rPr>
        <w:t>至</w:t>
      </w:r>
      <w:r>
        <w:rPr>
          <w:rFonts w:ascii="仿宋" w:hAnsi="仿宋" w:eastAsia="仿宋" w:cs="仿宋"/>
          <w:color w:val="000000" w:themeColor="text1"/>
          <w:sz w:val="24"/>
          <w:highlight w:val="none"/>
          <w:u w:val="single"/>
          <w:lang w:val="en-US" w:eastAsia="zh-CN"/>
        </w:rPr>
        <w:t>2021</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10</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19</w:t>
      </w:r>
      <w:r>
        <w:rPr>
          <w:rFonts w:hint="eastAsia" w:ascii="仿宋" w:hAnsi="仿宋" w:eastAsia="仿宋" w:cs="仿宋"/>
          <w:color w:val="000000" w:themeColor="text1"/>
          <w:sz w:val="24"/>
          <w:highlight w:val="none"/>
          <w:u w:val="single"/>
        </w:rPr>
        <w:t>日</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每天上午</w:t>
      </w:r>
      <w:r>
        <w:rPr>
          <w:rFonts w:ascii="仿宋" w:hAnsi="仿宋" w:eastAsia="仿宋" w:cs="仿宋"/>
          <w:color w:val="000000" w:themeColor="text1"/>
          <w:sz w:val="24"/>
          <w:highlight w:val="none"/>
          <w:u w:val="single"/>
          <w:lang w:val="en-US" w:eastAsia="zh-CN"/>
        </w:rPr>
        <w:t>08:30</w:t>
      </w:r>
      <w:r>
        <w:rPr>
          <w:rFonts w:hint="eastAsia" w:ascii="仿宋" w:hAnsi="仿宋" w:eastAsia="仿宋" w:cs="仿宋"/>
          <w:color w:val="000000" w:themeColor="text1"/>
          <w:sz w:val="24"/>
          <w:highlight w:val="none"/>
        </w:rPr>
        <w:t>至</w:t>
      </w:r>
      <w:r>
        <w:rPr>
          <w:rFonts w:ascii="仿宋" w:hAnsi="仿宋" w:eastAsia="仿宋" w:cs="仿宋"/>
          <w:color w:val="000000" w:themeColor="text1"/>
          <w:sz w:val="24"/>
          <w:highlight w:val="none"/>
          <w:u w:val="single"/>
          <w:lang w:val="en-US" w:eastAsia="zh-CN"/>
        </w:rPr>
        <w:t>12:00</w:t>
      </w:r>
      <w:r>
        <w:rPr>
          <w:rFonts w:hint="eastAsia" w:ascii="仿宋" w:hAnsi="仿宋" w:eastAsia="仿宋" w:cs="仿宋"/>
          <w:color w:val="000000" w:themeColor="text1"/>
          <w:sz w:val="24"/>
          <w:highlight w:val="none"/>
        </w:rPr>
        <w:t>下午</w:t>
      </w:r>
      <w:r>
        <w:rPr>
          <w:rFonts w:ascii="仿宋" w:hAnsi="仿宋" w:eastAsia="仿宋" w:cs="仿宋"/>
          <w:color w:val="000000" w:themeColor="text1"/>
          <w:sz w:val="24"/>
          <w:highlight w:val="none"/>
          <w:u w:val="single"/>
          <w:lang w:val="en-US" w:eastAsia="zh-CN"/>
        </w:rPr>
        <w:t>14</w:t>
      </w:r>
      <w:r>
        <w:rPr>
          <w:rFonts w:hint="eastAsia" w:ascii="仿宋" w:hAnsi="仿宋" w:eastAsia="仿宋" w:cs="仿宋"/>
          <w:color w:val="000000" w:themeColor="text1"/>
          <w:sz w:val="24"/>
          <w:highlight w:val="none"/>
          <w:u w:val="single"/>
          <w:lang w:val="en-US" w:eastAsia="zh-CN"/>
        </w:rPr>
        <w:t>：</w:t>
      </w:r>
      <w:r>
        <w:rPr>
          <w:rFonts w:ascii="仿宋" w:hAnsi="仿宋" w:eastAsia="仿宋" w:cs="仿宋"/>
          <w:color w:val="000000" w:themeColor="text1"/>
          <w:sz w:val="24"/>
          <w:highlight w:val="none"/>
          <w:u w:val="single"/>
          <w:lang w:val="en-US" w:eastAsia="zh-CN"/>
        </w:rPr>
        <w:t>30</w:t>
      </w:r>
      <w:r>
        <w:rPr>
          <w:rFonts w:hint="eastAsia" w:ascii="仿宋" w:hAnsi="仿宋" w:eastAsia="仿宋" w:cs="仿宋"/>
          <w:color w:val="000000" w:themeColor="text1"/>
          <w:sz w:val="24"/>
          <w:highlight w:val="none"/>
          <w:lang w:val="en-US" w:eastAsia="zh-CN"/>
        </w:rPr>
        <w:t>至</w:t>
      </w:r>
      <w:r>
        <w:rPr>
          <w:rFonts w:ascii="仿宋" w:hAnsi="仿宋" w:eastAsia="仿宋" w:cs="仿宋"/>
          <w:color w:val="000000" w:themeColor="text1"/>
          <w:sz w:val="24"/>
          <w:highlight w:val="none"/>
          <w:u w:val="single"/>
          <w:lang w:val="en-US" w:eastAsia="zh-CN"/>
        </w:rPr>
        <w:t>17:30</w:t>
      </w:r>
      <w:r>
        <w:rPr>
          <w:rFonts w:hint="eastAsia" w:ascii="仿宋" w:hAnsi="仿宋" w:eastAsia="仿宋" w:cs="仿宋"/>
          <w:color w:val="000000" w:themeColor="text1"/>
          <w:sz w:val="24"/>
          <w:highlight w:val="none"/>
        </w:rPr>
        <w:t>（北京时间，法定节假日除外）</w:t>
      </w:r>
    </w:p>
    <w:p>
      <w:pPr>
        <w:pStyle w:val="95"/>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地点：海南省海口市美兰区美苑路下贤一村78号二楼201室</w:t>
      </w:r>
    </w:p>
    <w:p>
      <w:pPr>
        <w:pStyle w:val="95"/>
        <w:spacing w:after="0" w:line="360" w:lineRule="auto"/>
        <w:ind w:firstLine="480" w:firstLineChars="200"/>
        <w:jc w:val="left"/>
        <w:rPr>
          <w:rFonts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方式：</w:t>
      </w:r>
      <w:r>
        <w:rPr>
          <w:rFonts w:hint="eastAsia" w:ascii="仿宋" w:hAnsi="仿宋" w:eastAsia="仿宋" w:cs="仿宋"/>
          <w:color w:val="000000" w:themeColor="text1"/>
          <w:sz w:val="24"/>
          <w:highlight w:val="none"/>
          <w:lang w:eastAsia="zh-CN"/>
        </w:rPr>
        <w:t>现场报名</w:t>
      </w:r>
    </w:p>
    <w:p>
      <w:pPr>
        <w:pStyle w:val="95"/>
        <w:spacing w:after="0" w:line="360" w:lineRule="auto"/>
        <w:ind w:firstLine="480" w:firstLineChars="200"/>
        <w:jc w:val="left"/>
        <w:rPr>
          <w:rFonts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售价：</w:t>
      </w:r>
      <w:r>
        <w:rPr>
          <w:rFonts w:ascii="仿宋" w:hAnsi="仿宋" w:eastAsia="仿宋" w:cs="仿宋"/>
          <w:color w:val="000000" w:themeColor="text1"/>
          <w:sz w:val="24"/>
          <w:highlight w:val="none"/>
          <w:lang w:val="en-US" w:eastAsia="zh-CN"/>
        </w:rPr>
        <w:t>300</w:t>
      </w:r>
      <w:r>
        <w:rPr>
          <w:rFonts w:hint="eastAsia" w:ascii="仿宋" w:hAnsi="仿宋" w:eastAsia="仿宋" w:cs="仿宋"/>
          <w:color w:val="000000" w:themeColor="text1"/>
          <w:sz w:val="24"/>
          <w:highlight w:val="none"/>
          <w:lang w:val="en-US" w:eastAsia="zh-CN"/>
        </w:rPr>
        <w:t>元</w:t>
      </w:r>
      <w:r>
        <w:rPr>
          <w:rFonts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lang w:val="en-US" w:eastAsia="zh-CN"/>
        </w:rPr>
        <w:t>套（文件售后概不退）</w:t>
      </w:r>
    </w:p>
    <w:p>
      <w:pPr>
        <w:pStyle w:val="95"/>
        <w:spacing w:after="0" w:line="360" w:lineRule="auto"/>
        <w:ind w:firstLine="480" w:firstLineChars="200"/>
        <w:jc w:val="left"/>
        <w:rPr>
          <w:rFonts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报名时提交的材料：营业执照复印件加盖公章、企业法定代表人授权委托书原件和法人代表及被授权人身份证复印件，复印件加盖公章。</w:t>
      </w:r>
    </w:p>
    <w:p>
      <w:pPr>
        <w:pStyle w:val="95"/>
        <w:tabs>
          <w:tab w:val="left" w:pos="1018"/>
        </w:tabs>
        <w:spacing w:after="0" w:line="360" w:lineRule="auto"/>
        <w:ind w:firstLine="0"/>
        <w:jc w:val="left"/>
        <w:rPr>
          <w:rFonts w:ascii="仿宋" w:hAnsi="仿宋" w:eastAsia="仿宋" w:cs="仿宋"/>
          <w:b/>
          <w:bCs/>
          <w:color w:val="000000" w:themeColor="text1"/>
          <w:sz w:val="24"/>
          <w:highlight w:val="none"/>
        </w:rPr>
      </w:pPr>
      <w:bookmarkStart w:id="7" w:name="bookmark52"/>
      <w:r>
        <w:rPr>
          <w:rFonts w:hint="eastAsia" w:ascii="仿宋" w:hAnsi="仿宋" w:eastAsia="仿宋" w:cs="仿宋"/>
          <w:b/>
          <w:bCs/>
          <w:color w:val="000000" w:themeColor="text1"/>
          <w:sz w:val="24"/>
          <w:highlight w:val="none"/>
        </w:rPr>
        <w:t>四</w:t>
      </w:r>
      <w:bookmarkEnd w:id="7"/>
      <w:r>
        <w:rPr>
          <w:rFonts w:hint="eastAsia" w:ascii="仿宋" w:hAnsi="仿宋" w:eastAsia="仿宋" w:cs="仿宋"/>
          <w:b/>
          <w:bCs/>
          <w:color w:val="000000" w:themeColor="text1"/>
          <w:sz w:val="24"/>
          <w:highlight w:val="none"/>
        </w:rPr>
        <w:t>、响应文件提交</w:t>
      </w:r>
      <w:r>
        <w:rPr>
          <w:rFonts w:hint="eastAsia" w:ascii="仿宋" w:hAnsi="仿宋" w:eastAsia="仿宋" w:cs="仿宋"/>
          <w:b/>
          <w:bCs/>
          <w:color w:val="000000" w:themeColor="text1"/>
          <w:sz w:val="24"/>
          <w:highlight w:val="none"/>
          <w:lang w:eastAsia="zh-CN"/>
        </w:rPr>
        <w:t>、</w:t>
      </w:r>
      <w:r>
        <w:rPr>
          <w:rFonts w:hint="eastAsia" w:ascii="仿宋" w:hAnsi="仿宋" w:eastAsia="仿宋" w:cs="仿宋"/>
          <w:b/>
          <w:bCs/>
          <w:color w:val="000000" w:themeColor="text1"/>
          <w:sz w:val="24"/>
          <w:highlight w:val="none"/>
        </w:rPr>
        <w:t>开标时间及地点</w:t>
      </w:r>
    </w:p>
    <w:p>
      <w:pPr>
        <w:pStyle w:val="95"/>
        <w:spacing w:after="0"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递交</w:t>
      </w:r>
      <w:r>
        <w:rPr>
          <w:rFonts w:hint="eastAsia" w:ascii="仿宋" w:hAnsi="仿宋" w:eastAsia="仿宋" w:cs="仿宋"/>
          <w:color w:val="000000" w:themeColor="text1"/>
          <w:sz w:val="24"/>
          <w:highlight w:val="none"/>
          <w:lang w:eastAsia="zh-CN"/>
        </w:rPr>
        <w:t>响应文件</w:t>
      </w:r>
      <w:r>
        <w:rPr>
          <w:rFonts w:hint="eastAsia" w:ascii="仿宋" w:hAnsi="仿宋" w:eastAsia="仿宋" w:cs="仿宋"/>
          <w:color w:val="000000" w:themeColor="text1"/>
          <w:sz w:val="24"/>
          <w:highlight w:val="none"/>
        </w:rPr>
        <w:t>截止时间：</w:t>
      </w:r>
      <w:r>
        <w:rPr>
          <w:rFonts w:ascii="仿宋" w:hAnsi="仿宋" w:eastAsia="仿宋" w:cs="仿宋"/>
          <w:color w:val="000000" w:themeColor="text1"/>
          <w:sz w:val="24"/>
          <w:highlight w:val="none"/>
        </w:rPr>
        <w:t>2021</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lang w:val="en-US" w:eastAsia="zh-CN"/>
        </w:rPr>
        <w:t>25</w:t>
      </w:r>
      <w:r>
        <w:rPr>
          <w:rFonts w:hint="eastAsia" w:ascii="仿宋" w:hAnsi="仿宋" w:eastAsia="仿宋" w:cs="仿宋"/>
          <w:color w:val="000000" w:themeColor="text1"/>
          <w:sz w:val="24"/>
          <w:highlight w:val="none"/>
        </w:rPr>
        <w:t>日</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时</w:t>
      </w:r>
      <w:r>
        <w:rPr>
          <w:rFonts w:hint="eastAsia" w:ascii="仿宋" w:hAnsi="仿宋" w:eastAsia="仿宋" w:cs="仿宋"/>
          <w:color w:val="000000" w:themeColor="text1"/>
          <w:sz w:val="24"/>
          <w:highlight w:val="none"/>
          <w:lang w:val="en-US" w:eastAsia="zh-CN"/>
        </w:rPr>
        <w:t>00</w:t>
      </w:r>
      <w:r>
        <w:rPr>
          <w:rFonts w:hint="eastAsia" w:ascii="仿宋" w:hAnsi="仿宋" w:eastAsia="仿宋" w:cs="仿宋"/>
          <w:color w:val="000000" w:themeColor="text1"/>
          <w:sz w:val="24"/>
          <w:highlight w:val="none"/>
        </w:rPr>
        <w:t>分（北京时间）</w:t>
      </w:r>
    </w:p>
    <w:p>
      <w:pPr>
        <w:pStyle w:val="95"/>
        <w:spacing w:after="0"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开标时间：</w:t>
      </w:r>
      <w:r>
        <w:rPr>
          <w:rFonts w:ascii="仿宋" w:hAnsi="仿宋" w:eastAsia="仿宋" w:cs="仿宋"/>
          <w:color w:val="000000" w:themeColor="text1"/>
          <w:sz w:val="24"/>
          <w:highlight w:val="none"/>
        </w:rPr>
        <w:t>2021</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lang w:val="en-US" w:eastAsia="zh-CN"/>
        </w:rPr>
        <w:t>25</w:t>
      </w:r>
      <w:r>
        <w:rPr>
          <w:rFonts w:hint="eastAsia" w:ascii="仿宋" w:hAnsi="仿宋" w:eastAsia="仿宋" w:cs="仿宋"/>
          <w:color w:val="000000" w:themeColor="text1"/>
          <w:sz w:val="24"/>
          <w:highlight w:val="none"/>
        </w:rPr>
        <w:t>日</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时</w:t>
      </w:r>
      <w:r>
        <w:rPr>
          <w:rFonts w:hint="eastAsia" w:ascii="仿宋" w:hAnsi="仿宋" w:eastAsia="仿宋" w:cs="仿宋"/>
          <w:color w:val="000000" w:themeColor="text1"/>
          <w:sz w:val="24"/>
          <w:highlight w:val="none"/>
          <w:lang w:val="en-US" w:eastAsia="zh-CN"/>
        </w:rPr>
        <w:t>00</w:t>
      </w:r>
      <w:r>
        <w:rPr>
          <w:rFonts w:hint="eastAsia" w:ascii="仿宋" w:hAnsi="仿宋" w:eastAsia="仿宋" w:cs="仿宋"/>
          <w:color w:val="000000" w:themeColor="text1"/>
          <w:sz w:val="24"/>
          <w:highlight w:val="none"/>
        </w:rPr>
        <w:t>分（北京时间）</w:t>
      </w:r>
    </w:p>
    <w:p>
      <w:pPr>
        <w:pStyle w:val="95"/>
        <w:spacing w:after="0" w:line="360" w:lineRule="auto"/>
        <w:ind w:left="239" w:leftChars="114" w:firstLine="216" w:firstLineChars="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递交</w:t>
      </w:r>
      <w:r>
        <w:rPr>
          <w:rFonts w:hint="eastAsia" w:ascii="仿宋" w:hAnsi="仿宋" w:eastAsia="仿宋" w:cs="仿宋"/>
          <w:color w:val="000000" w:themeColor="text1"/>
          <w:sz w:val="24"/>
          <w:highlight w:val="none"/>
          <w:lang w:eastAsia="zh-CN"/>
        </w:rPr>
        <w:t>响应文件</w:t>
      </w:r>
      <w:r>
        <w:rPr>
          <w:rFonts w:hint="eastAsia" w:ascii="仿宋" w:hAnsi="仿宋" w:eastAsia="仿宋" w:cs="仿宋"/>
          <w:color w:val="000000" w:themeColor="text1"/>
          <w:sz w:val="24"/>
          <w:highlight w:val="none"/>
        </w:rPr>
        <w:t>及开标地点</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海南省海口市美兰区蓝天路</w:t>
      </w:r>
      <w:r>
        <w:rPr>
          <w:rFonts w:ascii="仿宋" w:hAnsi="仿宋" w:eastAsia="仿宋" w:cs="仿宋"/>
          <w:color w:val="000000" w:themeColor="text1"/>
          <w:sz w:val="24"/>
          <w:highlight w:val="none"/>
        </w:rPr>
        <w:t>51</w:t>
      </w:r>
      <w:r>
        <w:rPr>
          <w:rFonts w:hint="eastAsia" w:ascii="仿宋" w:hAnsi="仿宋" w:eastAsia="仿宋" w:cs="仿宋"/>
          <w:color w:val="000000" w:themeColor="text1"/>
          <w:sz w:val="24"/>
          <w:highlight w:val="none"/>
        </w:rPr>
        <w:t>号京航大酒店</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楼开标室</w:t>
      </w:r>
      <w:r>
        <w:rPr>
          <w:rFonts w:hint="eastAsia" w:ascii="仿宋" w:hAnsi="仿宋" w:eastAsia="仿宋" w:cs="仿宋"/>
          <w:color w:val="000000" w:themeColor="text1"/>
          <w:sz w:val="24"/>
          <w:highlight w:val="none"/>
          <w:u w:val="single"/>
          <w:lang w:val="en-US" w:eastAsia="zh-CN"/>
        </w:rPr>
        <w:t>2</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如有变动另行通知；</w:t>
      </w:r>
    </w:p>
    <w:p>
      <w:pPr>
        <w:pStyle w:val="95"/>
        <w:spacing w:after="0"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逾期送达或者未送达指定地点的</w:t>
      </w:r>
      <w:r>
        <w:rPr>
          <w:rFonts w:hint="eastAsia" w:ascii="仿宋" w:hAnsi="仿宋" w:eastAsia="仿宋" w:cs="仿宋"/>
          <w:color w:val="000000" w:themeColor="text1"/>
          <w:sz w:val="24"/>
          <w:highlight w:val="none"/>
          <w:lang w:eastAsia="zh-CN"/>
        </w:rPr>
        <w:t>响应文件</w:t>
      </w:r>
      <w:r>
        <w:rPr>
          <w:rFonts w:hint="eastAsia" w:ascii="仿宋" w:hAnsi="仿宋" w:eastAsia="仿宋" w:cs="仿宋"/>
          <w:color w:val="000000" w:themeColor="text1"/>
          <w:sz w:val="24"/>
          <w:highlight w:val="none"/>
        </w:rPr>
        <w:t>，视为无效</w:t>
      </w:r>
      <w:r>
        <w:rPr>
          <w:rFonts w:hint="eastAsia" w:ascii="仿宋" w:hAnsi="仿宋" w:eastAsia="仿宋" w:cs="仿宋"/>
          <w:color w:val="000000" w:themeColor="text1"/>
          <w:sz w:val="24"/>
          <w:highlight w:val="none"/>
          <w:lang w:eastAsia="zh-CN"/>
        </w:rPr>
        <w:t>响应文件</w:t>
      </w:r>
      <w:r>
        <w:rPr>
          <w:rFonts w:hint="eastAsia" w:ascii="仿宋" w:hAnsi="仿宋" w:eastAsia="仿宋" w:cs="仿宋"/>
          <w:color w:val="000000" w:themeColor="text1"/>
          <w:sz w:val="24"/>
          <w:highlight w:val="none"/>
        </w:rPr>
        <w:t>不予接收。</w:t>
      </w:r>
    </w:p>
    <w:p>
      <w:pPr>
        <w:pStyle w:val="95"/>
        <w:tabs>
          <w:tab w:val="left" w:pos="1018"/>
        </w:tabs>
        <w:spacing w:after="0" w:line="360" w:lineRule="auto"/>
        <w:ind w:firstLine="0"/>
        <w:jc w:val="left"/>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lang w:eastAsia="zh-CN"/>
        </w:rPr>
        <w:t>五</w:t>
      </w:r>
      <w:r>
        <w:rPr>
          <w:rFonts w:hint="eastAsia" w:ascii="仿宋" w:hAnsi="仿宋" w:eastAsia="仿宋" w:cs="仿宋"/>
          <w:b/>
          <w:bCs/>
          <w:color w:val="000000" w:themeColor="text1"/>
          <w:sz w:val="24"/>
          <w:highlight w:val="none"/>
        </w:rPr>
        <w:t>、</w:t>
      </w:r>
      <w:r>
        <w:rPr>
          <w:rStyle w:val="31"/>
          <w:rFonts w:hint="eastAsia" w:ascii="仿宋" w:hAnsi="仿宋" w:eastAsia="仿宋" w:cs="仿宋"/>
          <w:bCs/>
          <w:color w:val="000000" w:themeColor="text1"/>
          <w:kern w:val="0"/>
          <w:sz w:val="24"/>
          <w:highlight w:val="none"/>
          <w:shd w:val="clear" w:color="auto" w:fill="FFFFFF"/>
        </w:rPr>
        <w:t>采购信息发布媒体</w:t>
      </w:r>
    </w:p>
    <w:p>
      <w:pPr>
        <w:pStyle w:val="95"/>
        <w:tabs>
          <w:tab w:val="left" w:pos="1018"/>
        </w:tabs>
        <w:spacing w:after="0" w:line="360" w:lineRule="auto"/>
        <w:ind w:firstLine="0"/>
        <w:jc w:val="left"/>
        <w:rPr>
          <w:rFonts w:ascii="仿宋" w:hAnsi="仿宋" w:eastAsia="仿宋" w:cs="仿宋"/>
          <w:color w:val="000000" w:themeColor="text1"/>
          <w:sz w:val="24"/>
          <w:highlight w:val="none"/>
        </w:rPr>
      </w:pPr>
      <w:bookmarkStart w:id="8" w:name="bookmark55"/>
      <w:r>
        <w:rPr>
          <w:rFonts w:hint="eastAsia" w:ascii="仿宋" w:hAnsi="仿宋" w:eastAsia="仿宋" w:cs="仿宋"/>
          <w:color w:val="000000" w:themeColor="text1"/>
          <w:sz w:val="24"/>
          <w:highlight w:val="none"/>
        </w:rPr>
        <w:t>本项目采购信息指定发布媒体为</w:t>
      </w:r>
      <w:r>
        <w:rPr>
          <w:rFonts w:hint="eastAsia" w:ascii="仿宋" w:hAnsi="仿宋" w:eastAsia="仿宋" w:cs="仿宋"/>
          <w:color w:val="000000" w:themeColor="text1"/>
          <w:sz w:val="24"/>
          <w:highlight w:val="none"/>
          <w:lang w:eastAsia="zh-CN"/>
        </w:rPr>
        <w:t>海南省政府采购网、全国公共资源交易网（海南省）</w:t>
      </w:r>
      <w:r>
        <w:rPr>
          <w:rFonts w:hint="eastAsia" w:ascii="仿宋" w:hAnsi="仿宋" w:eastAsia="仿宋" w:cs="仿宋"/>
          <w:color w:val="000000" w:themeColor="text1"/>
          <w:sz w:val="24"/>
          <w:highlight w:val="none"/>
        </w:rPr>
        <w:t>。</w:t>
      </w:r>
    </w:p>
    <w:p>
      <w:pPr>
        <w:pStyle w:val="95"/>
        <w:tabs>
          <w:tab w:val="left" w:pos="1018"/>
        </w:tabs>
        <w:spacing w:after="0" w:line="360" w:lineRule="auto"/>
        <w:ind w:firstLine="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有关本项目采购文件的补遗、澄清及变更信息以上述网站公告为准，采购代理机构不再另行通知，采购文件与更正公告的内容相互矛盾时，以最后发出的更正公告内容为准。</w:t>
      </w:r>
    </w:p>
    <w:bookmarkEnd w:id="8"/>
    <w:p>
      <w:pPr>
        <w:pStyle w:val="95"/>
        <w:tabs>
          <w:tab w:val="left" w:pos="1006"/>
        </w:tabs>
        <w:spacing w:after="0" w:line="360" w:lineRule="auto"/>
        <w:ind w:firstLine="0"/>
        <w:jc w:val="left"/>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lang w:eastAsia="zh-CN"/>
        </w:rPr>
        <w:t>六</w:t>
      </w:r>
      <w:r>
        <w:rPr>
          <w:rFonts w:hint="eastAsia" w:ascii="仿宋" w:hAnsi="仿宋" w:eastAsia="仿宋" w:cs="仿宋"/>
          <w:b/>
          <w:bCs/>
          <w:color w:val="000000" w:themeColor="text1"/>
          <w:sz w:val="24"/>
          <w:highlight w:val="none"/>
        </w:rPr>
        <w:t>、凡对本次釆购提出询问，请按以下方式联系</w:t>
      </w:r>
      <w:r>
        <w:rPr>
          <w:rFonts w:hint="eastAsia" w:ascii="仿宋" w:hAnsi="仿宋" w:eastAsia="仿宋" w:cs="仿宋"/>
          <w:color w:val="000000" w:themeColor="text1"/>
          <w:sz w:val="24"/>
          <w:highlight w:val="none"/>
        </w:rPr>
        <w:t>。</w:t>
      </w:r>
      <w:bookmarkStart w:id="9" w:name="bookmark57"/>
      <w:bookmarkEnd w:id="9"/>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釆购人信息</w:t>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lang w:val="en-US" w:eastAsia="zh-CN"/>
        </w:rPr>
        <w:t>琼中黎族苗族自治县科学技术和工业信息服务中心</w:t>
      </w:r>
      <w:r>
        <w:rPr>
          <w:rFonts w:ascii="仿宋" w:hAnsi="仿宋" w:eastAsia="仿宋" w:cs="仿宋"/>
          <w:color w:val="000000" w:themeColor="text1"/>
          <w:sz w:val="24"/>
          <w:highlight w:val="none"/>
        </w:rPr>
        <w:tab/>
      </w:r>
      <w:r>
        <w:rPr>
          <w:rFonts w:ascii="仿宋" w:hAnsi="仿宋" w:eastAsia="仿宋" w:cs="仿宋"/>
          <w:color w:val="000000" w:themeColor="text1"/>
          <w:sz w:val="24"/>
          <w:highlight w:val="none"/>
        </w:rPr>
        <w:tab/>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r>
        <w:rPr>
          <w:rFonts w:hint="eastAsia" w:ascii="仿宋" w:hAnsi="仿宋" w:eastAsia="仿宋" w:cs="仿宋"/>
          <w:color w:val="000000" w:themeColor="text1"/>
          <w:sz w:val="24"/>
          <w:highlight w:val="none"/>
          <w:lang w:val="en-US" w:eastAsia="zh-CN"/>
        </w:rPr>
        <w:t>海南省琼中黎族苗族自治县</w:t>
      </w:r>
      <w:r>
        <w:rPr>
          <w:rFonts w:ascii="仿宋" w:hAnsi="仿宋" w:eastAsia="仿宋" w:cs="仿宋"/>
          <w:color w:val="000000" w:themeColor="text1"/>
          <w:sz w:val="24"/>
          <w:highlight w:val="none"/>
        </w:rPr>
        <w:tab/>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杨先生</w:t>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联系方式：0898-86220039</w:t>
      </w:r>
      <w:r>
        <w:rPr>
          <w:rFonts w:ascii="仿宋" w:hAnsi="仿宋" w:eastAsia="仿宋" w:cs="仿宋"/>
          <w:color w:val="000000" w:themeColor="text1"/>
          <w:sz w:val="24"/>
          <w:highlight w:val="none"/>
        </w:rPr>
        <w:tab/>
      </w:r>
      <w:r>
        <w:rPr>
          <w:rFonts w:ascii="仿宋" w:hAnsi="仿宋" w:eastAsia="仿宋" w:cs="仿宋"/>
          <w:color w:val="000000" w:themeColor="text1"/>
          <w:sz w:val="24"/>
          <w:highlight w:val="none"/>
        </w:rPr>
        <w:tab/>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bookmarkStart w:id="10" w:name="bookmark58"/>
      <w:bookmarkEnd w:id="10"/>
      <w:r>
        <w:rPr>
          <w:rFonts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釆购代理机构信息</w:t>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lang w:eastAsia="zh-CN"/>
        </w:rPr>
        <w:t>中咨环球（北京）工程咨询有限公司</w:t>
      </w:r>
      <w:r>
        <w:rPr>
          <w:rFonts w:ascii="仿宋" w:hAnsi="仿宋" w:eastAsia="仿宋" w:cs="仿宋"/>
          <w:color w:val="000000" w:themeColor="text1"/>
          <w:sz w:val="24"/>
          <w:highlight w:val="none"/>
        </w:rPr>
        <w:tab/>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地址：海南省海口市美兰区美苑路下贤一村78号二楼201室</w:t>
      </w:r>
      <w:r>
        <w:rPr>
          <w:rFonts w:ascii="仿宋" w:hAnsi="仿宋" w:eastAsia="仿宋" w:cs="仿宋"/>
          <w:color w:val="000000" w:themeColor="text1"/>
          <w:sz w:val="24"/>
          <w:highlight w:val="none"/>
        </w:rPr>
        <w:tab/>
      </w:r>
    </w:p>
    <w:p>
      <w:pPr>
        <w:pStyle w:val="95"/>
        <w:tabs>
          <w:tab w:val="left" w:pos="1317"/>
        </w:tabs>
        <w:spacing w:after="0"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周工</w:t>
      </w:r>
    </w:p>
    <w:p>
      <w:pPr>
        <w:pStyle w:val="95"/>
        <w:tabs>
          <w:tab w:val="left" w:pos="1317"/>
        </w:tabs>
        <w:spacing w:after="0" w:line="360" w:lineRule="auto"/>
        <w:ind w:firstLine="480" w:firstLineChars="200"/>
        <w:jc w:val="left"/>
        <w:rPr>
          <w:rFonts w:ascii="仿宋" w:hAnsi="仿宋" w:eastAsia="仿宋" w:cs="仿宋"/>
          <w:b/>
          <w:color w:val="000000" w:themeColor="text1"/>
          <w:sz w:val="36"/>
          <w:szCs w:val="36"/>
          <w:highlight w:val="none"/>
        </w:rPr>
      </w:pPr>
      <w:r>
        <w:rPr>
          <w:rFonts w:hint="eastAsia" w:ascii="仿宋" w:hAnsi="仿宋" w:eastAsia="仿宋" w:cs="仿宋"/>
          <w:color w:val="000000" w:themeColor="text1"/>
          <w:sz w:val="24"/>
          <w:highlight w:val="none"/>
        </w:rPr>
        <w:t>联系方式：0898-65332892</w:t>
      </w:r>
      <w:r>
        <w:rPr>
          <w:rFonts w:ascii="仿宋" w:hAnsi="仿宋" w:eastAsia="仿宋" w:cs="仿宋"/>
          <w:color w:val="000000" w:themeColor="text1"/>
          <w:sz w:val="24"/>
          <w:highlight w:val="none"/>
        </w:rPr>
        <w:tab/>
      </w:r>
      <w:bookmarkStart w:id="11" w:name="bookmark59"/>
      <w:bookmarkEnd w:id="11"/>
      <w:bookmarkStart w:id="12" w:name="_Toc21767"/>
    </w:p>
    <w:p>
      <w:pPr>
        <w:spacing w:line="360" w:lineRule="auto"/>
        <w:jc w:val="center"/>
        <w:outlineLvl w:val="0"/>
        <w:rPr>
          <w:rFonts w:ascii="仿宋" w:hAnsi="仿宋" w:eastAsia="仿宋" w:cs="仿宋"/>
          <w:b/>
          <w:color w:val="000000" w:themeColor="text1"/>
          <w:sz w:val="36"/>
          <w:szCs w:val="36"/>
          <w:highlight w:val="none"/>
        </w:rPr>
      </w:pPr>
    </w:p>
    <w:p>
      <w:pPr>
        <w:spacing w:line="360" w:lineRule="auto"/>
        <w:jc w:val="center"/>
        <w:outlineLvl w:val="0"/>
        <w:rPr>
          <w:rFonts w:ascii="仿宋" w:hAnsi="仿宋" w:eastAsia="仿宋" w:cs="仿宋"/>
          <w:b/>
          <w:color w:val="000000" w:themeColor="text1"/>
          <w:sz w:val="36"/>
          <w:szCs w:val="36"/>
          <w:highlight w:val="none"/>
        </w:rPr>
      </w:pPr>
    </w:p>
    <w:p>
      <w:pPr>
        <w:spacing w:line="360" w:lineRule="auto"/>
        <w:outlineLvl w:val="0"/>
        <w:rPr>
          <w:rFonts w:ascii="仿宋" w:hAnsi="仿宋" w:eastAsia="仿宋" w:cs="仿宋"/>
          <w:b/>
          <w:color w:val="000000" w:themeColor="text1"/>
          <w:sz w:val="36"/>
          <w:szCs w:val="36"/>
          <w:highlight w:val="none"/>
        </w:rPr>
      </w:pPr>
    </w:p>
    <w:p>
      <w:pPr>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第二章供应商须知</w:t>
      </w:r>
      <w:bookmarkEnd w:id="12"/>
    </w:p>
    <w:p>
      <w:pPr>
        <w:spacing w:line="360" w:lineRule="auto"/>
        <w:outlineLvl w:val="0"/>
        <w:rPr>
          <w:rFonts w:ascii="仿宋" w:hAnsi="仿宋" w:eastAsia="仿宋" w:cs="仿宋"/>
          <w:b/>
          <w:color w:val="000000" w:themeColor="text1"/>
          <w:sz w:val="28"/>
          <w:szCs w:val="28"/>
          <w:highlight w:val="none"/>
        </w:rPr>
      </w:pPr>
      <w:bookmarkStart w:id="13" w:name="_Toc6312"/>
      <w:bookmarkStart w:id="14" w:name="_Toc1984"/>
      <w:bookmarkStart w:id="15" w:name="_Toc28965"/>
      <w:bookmarkStart w:id="16" w:name="_Toc12662"/>
      <w:r>
        <w:rPr>
          <w:rFonts w:hint="eastAsia" w:ascii="仿宋" w:hAnsi="仿宋" w:eastAsia="仿宋" w:cs="仿宋"/>
          <w:b/>
          <w:color w:val="000000" w:themeColor="text1"/>
          <w:sz w:val="28"/>
          <w:szCs w:val="28"/>
          <w:highlight w:val="none"/>
        </w:rPr>
        <w:t>（一）总则</w:t>
      </w:r>
      <w:bookmarkEnd w:id="13"/>
      <w:bookmarkEnd w:id="14"/>
      <w:bookmarkEnd w:id="15"/>
      <w:bookmarkEnd w:id="16"/>
    </w:p>
    <w:p>
      <w:pPr>
        <w:spacing w:line="360" w:lineRule="auto"/>
        <w:outlineLvl w:val="1"/>
        <w:rPr>
          <w:rFonts w:ascii="仿宋" w:hAnsi="仿宋" w:eastAsia="仿宋" w:cs="仿宋"/>
          <w:b/>
          <w:bCs/>
          <w:color w:val="000000" w:themeColor="text1"/>
          <w:sz w:val="24"/>
          <w:highlight w:val="none"/>
        </w:rPr>
      </w:pPr>
      <w:bookmarkStart w:id="17" w:name="_Toc433126984"/>
      <w:bookmarkStart w:id="18" w:name="_Toc11971"/>
      <w:bookmarkStart w:id="19" w:name="_Toc6478"/>
      <w:bookmarkStart w:id="20" w:name="_Toc1870"/>
      <w:bookmarkStart w:id="21" w:name="_Toc11904"/>
      <w:r>
        <w:rPr>
          <w:rFonts w:ascii="仿宋" w:hAnsi="仿宋" w:eastAsia="仿宋" w:cs="仿宋"/>
          <w:b/>
          <w:bCs/>
          <w:color w:val="000000" w:themeColor="text1"/>
          <w:sz w:val="24"/>
          <w:highlight w:val="none"/>
        </w:rPr>
        <w:t>1</w:t>
      </w:r>
      <w:r>
        <w:rPr>
          <w:rFonts w:hint="eastAsia" w:ascii="仿宋" w:hAnsi="仿宋" w:eastAsia="仿宋" w:cs="仿宋"/>
          <w:b/>
          <w:bCs/>
          <w:color w:val="000000" w:themeColor="text1"/>
          <w:sz w:val="24"/>
          <w:highlight w:val="none"/>
        </w:rPr>
        <w:t>、适用范围</w:t>
      </w:r>
      <w:bookmarkEnd w:id="17"/>
      <w:bookmarkEnd w:id="18"/>
      <w:bookmarkEnd w:id="19"/>
      <w:bookmarkEnd w:id="20"/>
      <w:bookmarkEnd w:id="21"/>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w:t>
      </w:r>
      <w:r>
        <w:rPr>
          <w:rFonts w:hint="eastAsia" w:ascii="仿宋" w:hAnsi="仿宋" w:eastAsia="仿宋" w:cs="仿宋"/>
          <w:bCs/>
          <w:color w:val="000000" w:themeColor="text1"/>
          <w:kern w:val="0"/>
          <w:sz w:val="24"/>
          <w:highlight w:val="none"/>
          <w:lang w:val="en-GB"/>
        </w:rPr>
        <w:t>竞争性磋商</w:t>
      </w:r>
      <w:r>
        <w:rPr>
          <w:rFonts w:hint="eastAsia" w:ascii="仿宋" w:hAnsi="仿宋" w:eastAsia="仿宋" w:cs="仿宋"/>
          <w:color w:val="000000" w:themeColor="text1"/>
          <w:sz w:val="24"/>
          <w:highlight w:val="none"/>
        </w:rPr>
        <w:t>文件仅适用于</w:t>
      </w:r>
      <w:r>
        <w:rPr>
          <w:rFonts w:hint="eastAsia" w:ascii="仿宋" w:hAnsi="仿宋" w:eastAsia="仿宋" w:cs="仿宋"/>
          <w:bCs/>
          <w:color w:val="000000" w:themeColor="text1"/>
          <w:kern w:val="0"/>
          <w:sz w:val="24"/>
          <w:highlight w:val="none"/>
          <w:lang w:val="en-GB"/>
        </w:rPr>
        <w:t>本次磋商邀请中所叙述项目的货物及服务。</w:t>
      </w:r>
    </w:p>
    <w:p>
      <w:pPr>
        <w:tabs>
          <w:tab w:val="left" w:pos="7665"/>
        </w:tabs>
        <w:spacing w:line="360" w:lineRule="auto"/>
        <w:outlineLvl w:val="1"/>
        <w:rPr>
          <w:rFonts w:ascii="仿宋" w:hAnsi="仿宋" w:eastAsia="仿宋" w:cs="仿宋"/>
          <w:b/>
          <w:color w:val="000000" w:themeColor="text1"/>
          <w:sz w:val="24"/>
          <w:highlight w:val="none"/>
        </w:rPr>
      </w:pPr>
      <w:bookmarkStart w:id="22" w:name="_Toc7159"/>
      <w:bookmarkStart w:id="23" w:name="_Toc18546"/>
      <w:bookmarkStart w:id="24" w:name="_Toc433126985"/>
      <w:bookmarkStart w:id="25" w:name="_Toc24095"/>
      <w:bookmarkStart w:id="26" w:name="_Toc31235"/>
      <w:r>
        <w:rPr>
          <w:rFonts w:ascii="仿宋" w:hAnsi="仿宋" w:eastAsia="仿宋" w:cs="仿宋"/>
          <w:b/>
          <w:color w:val="000000" w:themeColor="text1"/>
          <w:sz w:val="24"/>
          <w:highlight w:val="none"/>
        </w:rPr>
        <w:t>2</w:t>
      </w:r>
      <w:r>
        <w:rPr>
          <w:rFonts w:hint="eastAsia" w:ascii="仿宋" w:hAnsi="仿宋" w:eastAsia="仿宋" w:cs="仿宋"/>
          <w:b/>
          <w:color w:val="000000" w:themeColor="text1"/>
          <w:sz w:val="24"/>
          <w:highlight w:val="none"/>
        </w:rPr>
        <w:t>、有关定义及相应职责</w:t>
      </w:r>
      <w:bookmarkEnd w:id="22"/>
      <w:bookmarkEnd w:id="23"/>
      <w:bookmarkEnd w:id="24"/>
      <w:bookmarkEnd w:id="25"/>
      <w:bookmarkEnd w:id="26"/>
    </w:p>
    <w:p>
      <w:pPr>
        <w:tabs>
          <w:tab w:val="left" w:pos="7665"/>
        </w:tabs>
        <w:spacing w:line="360" w:lineRule="auto"/>
        <w:ind w:firstLine="480" w:firstLineChars="200"/>
        <w:rPr>
          <w:rFonts w:ascii="仿宋" w:hAnsi="仿宋" w:eastAsia="仿宋" w:cs="仿宋"/>
          <w:color w:val="000000" w:themeColor="text1"/>
          <w:sz w:val="24"/>
          <w:highlight w:val="none"/>
        </w:rPr>
      </w:pPr>
      <w:bookmarkStart w:id="27" w:name="_Toc183582208"/>
      <w:bookmarkStart w:id="28" w:name="_Toc183682345"/>
      <w:bookmarkStart w:id="29" w:name="_Toc217446037"/>
      <w:r>
        <w:rPr>
          <w:rFonts w:ascii="仿宋" w:hAnsi="仿宋" w:eastAsia="仿宋" w:cs="仿宋"/>
          <w:color w:val="000000" w:themeColor="text1"/>
          <w:sz w:val="24"/>
          <w:highlight w:val="none"/>
        </w:rPr>
        <w:t xml:space="preserve">2.1 </w:t>
      </w:r>
      <w:r>
        <w:rPr>
          <w:rFonts w:hint="eastAsia" w:ascii="仿宋" w:hAnsi="仿宋" w:eastAsia="仿宋" w:cs="仿宋"/>
          <w:color w:val="000000" w:themeColor="text1"/>
          <w:sz w:val="24"/>
          <w:highlight w:val="none"/>
        </w:rPr>
        <w:t>“采购人”系指依法进行政府采购的国家机关、事业单位、团体组织。本次</w:t>
      </w:r>
      <w:r>
        <w:rPr>
          <w:rFonts w:hint="eastAsia" w:ascii="仿宋" w:hAnsi="仿宋" w:eastAsia="仿宋" w:cs="仿宋"/>
          <w:bCs/>
          <w:color w:val="000000" w:themeColor="text1"/>
          <w:kern w:val="0"/>
          <w:sz w:val="24"/>
          <w:highlight w:val="none"/>
          <w:lang w:val="en-GB"/>
        </w:rPr>
        <w:t>竞争性磋商的</w:t>
      </w:r>
      <w:r>
        <w:rPr>
          <w:rFonts w:hint="eastAsia" w:ascii="仿宋" w:hAnsi="仿宋" w:eastAsia="仿宋" w:cs="仿宋"/>
          <w:color w:val="000000" w:themeColor="text1"/>
          <w:sz w:val="24"/>
          <w:highlight w:val="none"/>
        </w:rPr>
        <w:t>采购人是</w:t>
      </w:r>
      <w:r>
        <w:rPr>
          <w:rFonts w:hint="eastAsia" w:ascii="仿宋" w:hAnsi="仿宋" w:eastAsia="仿宋" w:cs="仿宋"/>
          <w:b/>
          <w:color w:val="000000" w:themeColor="text1"/>
          <w:sz w:val="24"/>
          <w:highlight w:val="none"/>
        </w:rPr>
        <w:t>琼中黎族苗族自治县科学技术和工业信息服务中心</w:t>
      </w:r>
      <w:r>
        <w:rPr>
          <w:rFonts w:hint="eastAsia" w:ascii="仿宋" w:hAnsi="仿宋" w:eastAsia="仿宋" w:cs="仿宋"/>
          <w:color w:val="000000" w:themeColor="text1"/>
          <w:sz w:val="24"/>
          <w:highlight w:val="none"/>
        </w:rPr>
        <w:t>。</w:t>
      </w:r>
    </w:p>
    <w:p>
      <w:pPr>
        <w:tabs>
          <w:tab w:val="left" w:pos="7665"/>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2.2 </w:t>
      </w:r>
      <w:r>
        <w:rPr>
          <w:rFonts w:hint="eastAsia" w:ascii="仿宋" w:hAnsi="仿宋" w:eastAsia="仿宋" w:cs="仿宋"/>
          <w:color w:val="000000" w:themeColor="text1"/>
          <w:sz w:val="24"/>
          <w:highlight w:val="none"/>
        </w:rPr>
        <w:t>“采购代理机构”系指受采购人的委托依法办理</w:t>
      </w:r>
      <w:r>
        <w:rPr>
          <w:rFonts w:hint="eastAsia" w:ascii="仿宋" w:hAnsi="仿宋" w:eastAsia="仿宋" w:cs="仿宋"/>
          <w:bCs/>
          <w:color w:val="000000" w:themeColor="text1"/>
          <w:kern w:val="0"/>
          <w:sz w:val="24"/>
          <w:highlight w:val="none"/>
          <w:lang w:val="en-GB"/>
        </w:rPr>
        <w:t>采购</w:t>
      </w:r>
      <w:r>
        <w:rPr>
          <w:rFonts w:hint="eastAsia" w:ascii="仿宋" w:hAnsi="仿宋" w:eastAsia="仿宋" w:cs="仿宋"/>
          <w:color w:val="000000" w:themeColor="text1"/>
          <w:sz w:val="24"/>
          <w:highlight w:val="none"/>
        </w:rPr>
        <w:t>事宜的机构。本次</w:t>
      </w:r>
      <w:r>
        <w:rPr>
          <w:rFonts w:hint="eastAsia" w:ascii="仿宋" w:hAnsi="仿宋" w:eastAsia="仿宋" w:cs="仿宋"/>
          <w:bCs/>
          <w:color w:val="000000" w:themeColor="text1"/>
          <w:kern w:val="0"/>
          <w:sz w:val="24"/>
          <w:highlight w:val="none"/>
          <w:lang w:val="en-GB"/>
        </w:rPr>
        <w:t>竞争性磋商</w:t>
      </w:r>
      <w:r>
        <w:rPr>
          <w:rFonts w:hint="eastAsia" w:ascii="仿宋" w:hAnsi="仿宋" w:eastAsia="仿宋" w:cs="仿宋"/>
          <w:color w:val="000000" w:themeColor="text1"/>
          <w:sz w:val="24"/>
          <w:highlight w:val="none"/>
        </w:rPr>
        <w:t>的采购代理机构是</w:t>
      </w:r>
      <w:r>
        <w:rPr>
          <w:rFonts w:hint="eastAsia" w:ascii="仿宋" w:hAnsi="仿宋" w:eastAsia="仿宋" w:cs="仿宋"/>
          <w:b/>
          <w:bCs/>
          <w:color w:val="000000" w:themeColor="text1"/>
          <w:sz w:val="24"/>
          <w:highlight w:val="none"/>
        </w:rPr>
        <w:t>中咨环球（北京）工程咨询有限公司</w:t>
      </w:r>
      <w:r>
        <w:rPr>
          <w:rFonts w:hint="eastAsia" w:ascii="仿宋" w:hAnsi="仿宋" w:eastAsia="仿宋" w:cs="仿宋"/>
          <w:color w:val="000000" w:themeColor="text1"/>
          <w:sz w:val="24"/>
          <w:highlight w:val="none"/>
        </w:rPr>
        <w:t>。</w:t>
      </w:r>
    </w:p>
    <w:p>
      <w:pPr>
        <w:tabs>
          <w:tab w:val="left" w:pos="7665"/>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 </w:t>
      </w:r>
      <w:r>
        <w:rPr>
          <w:rFonts w:hint="eastAsia" w:ascii="仿宋" w:hAnsi="仿宋" w:eastAsia="仿宋" w:cs="仿宋"/>
          <w:color w:val="000000" w:themeColor="text1"/>
          <w:sz w:val="24"/>
          <w:highlight w:val="none"/>
        </w:rPr>
        <w:t>“供应商”系指实名购买</w:t>
      </w:r>
      <w:r>
        <w:rPr>
          <w:rFonts w:hint="eastAsia" w:ascii="仿宋" w:hAnsi="仿宋" w:eastAsia="仿宋" w:cs="仿宋"/>
          <w:bCs/>
          <w:color w:val="000000" w:themeColor="text1"/>
          <w:kern w:val="0"/>
          <w:sz w:val="24"/>
          <w:highlight w:val="none"/>
          <w:lang w:val="en-GB"/>
        </w:rPr>
        <w:t>竞争性磋商</w:t>
      </w:r>
      <w:r>
        <w:rPr>
          <w:rFonts w:hint="eastAsia" w:ascii="仿宋" w:hAnsi="仿宋" w:eastAsia="仿宋" w:cs="仿宋"/>
          <w:color w:val="000000" w:themeColor="text1"/>
          <w:sz w:val="24"/>
          <w:highlight w:val="none"/>
        </w:rPr>
        <w:t>文件拟参加竞争性磋商和拟向采购人提供货物及服务的供应商。其职责如下：</w:t>
      </w:r>
    </w:p>
    <w:p>
      <w:pPr>
        <w:tabs>
          <w:tab w:val="left" w:pos="7665"/>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2.3.1 </w:t>
      </w:r>
      <w:r>
        <w:rPr>
          <w:rFonts w:hint="eastAsia" w:ascii="仿宋" w:hAnsi="仿宋" w:eastAsia="仿宋" w:cs="仿宋"/>
          <w:color w:val="000000" w:themeColor="text1"/>
          <w:sz w:val="24"/>
          <w:highlight w:val="none"/>
        </w:rPr>
        <w:t>对</w:t>
      </w:r>
      <w:r>
        <w:rPr>
          <w:rFonts w:hint="eastAsia" w:ascii="仿宋" w:hAnsi="仿宋" w:eastAsia="仿宋" w:cs="仿宋"/>
          <w:bCs/>
          <w:color w:val="000000" w:themeColor="text1"/>
          <w:kern w:val="0"/>
          <w:sz w:val="24"/>
          <w:highlight w:val="none"/>
          <w:lang w:val="en-GB"/>
        </w:rPr>
        <w:t>竞争性磋商</w:t>
      </w:r>
      <w:r>
        <w:rPr>
          <w:rFonts w:hint="eastAsia" w:ascii="仿宋" w:hAnsi="仿宋" w:eastAsia="仿宋" w:cs="仿宋"/>
          <w:color w:val="000000" w:themeColor="text1"/>
          <w:sz w:val="24"/>
          <w:highlight w:val="none"/>
        </w:rPr>
        <w:t>文件错、漏之处提出澄清、说明要求或质疑；</w:t>
      </w:r>
    </w:p>
    <w:p>
      <w:pPr>
        <w:tabs>
          <w:tab w:val="left" w:pos="3060"/>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2.3.2 </w:t>
      </w:r>
      <w:r>
        <w:rPr>
          <w:rFonts w:hint="eastAsia" w:ascii="仿宋" w:hAnsi="仿宋" w:eastAsia="仿宋" w:cs="仿宋"/>
          <w:color w:val="000000" w:themeColor="text1"/>
          <w:sz w:val="24"/>
          <w:highlight w:val="none"/>
        </w:rPr>
        <w:t>按要求缴纳磋商保证金；</w:t>
      </w:r>
    </w:p>
    <w:p>
      <w:pPr>
        <w:tabs>
          <w:tab w:val="left" w:pos="3060"/>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2.3.3 </w:t>
      </w:r>
      <w:r>
        <w:rPr>
          <w:rFonts w:hint="eastAsia" w:ascii="仿宋" w:hAnsi="仿宋" w:eastAsia="仿宋" w:cs="仿宋"/>
          <w:color w:val="000000" w:themeColor="text1"/>
          <w:sz w:val="24"/>
          <w:highlight w:val="none"/>
        </w:rPr>
        <w:t>按要求编制响应文件；</w:t>
      </w:r>
    </w:p>
    <w:p>
      <w:pPr>
        <w:tabs>
          <w:tab w:val="left" w:pos="3060"/>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2.3.4 </w:t>
      </w:r>
      <w:r>
        <w:rPr>
          <w:rFonts w:hint="eastAsia" w:ascii="仿宋" w:hAnsi="仿宋" w:eastAsia="仿宋" w:cs="仿宋"/>
          <w:color w:val="000000" w:themeColor="text1"/>
          <w:sz w:val="24"/>
          <w:highlight w:val="none"/>
        </w:rPr>
        <w:t>派磋商代表递交响应文件，参加磋商活动，对评审小组就响应文件提出的问题进行澄清；“磋商代表”系指在磋商过程中代表提交响应文件单位处理磋商事宜的人员，包括单位法定代表人或负责人及取得授权的单位人员；</w:t>
      </w:r>
    </w:p>
    <w:p>
      <w:pPr>
        <w:tabs>
          <w:tab w:val="left" w:pos="3060"/>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2.3.5 </w:t>
      </w:r>
      <w:r>
        <w:rPr>
          <w:rFonts w:hint="eastAsia" w:ascii="仿宋" w:hAnsi="仿宋" w:eastAsia="仿宋" w:cs="仿宋"/>
          <w:color w:val="000000" w:themeColor="text1"/>
          <w:sz w:val="24"/>
          <w:highlight w:val="none"/>
        </w:rPr>
        <w:t>配合相关职能部门就</w:t>
      </w:r>
      <w:r>
        <w:rPr>
          <w:rFonts w:hint="eastAsia" w:ascii="仿宋" w:hAnsi="仿宋" w:eastAsia="仿宋" w:cs="仿宋"/>
          <w:bCs/>
          <w:color w:val="000000" w:themeColor="text1"/>
          <w:kern w:val="0"/>
          <w:sz w:val="24"/>
          <w:highlight w:val="none"/>
          <w:lang w:val="en-GB"/>
        </w:rPr>
        <w:t>竞争性磋商采购</w:t>
      </w:r>
      <w:r>
        <w:rPr>
          <w:rFonts w:hint="eastAsia" w:ascii="仿宋" w:hAnsi="仿宋" w:eastAsia="仿宋" w:cs="仿宋"/>
          <w:color w:val="000000" w:themeColor="text1"/>
          <w:sz w:val="24"/>
          <w:highlight w:val="none"/>
        </w:rPr>
        <w:t>项目的质疑、投诉和举报的处理工作；</w:t>
      </w:r>
    </w:p>
    <w:p>
      <w:pPr>
        <w:tabs>
          <w:tab w:val="left" w:pos="3060"/>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2.3.6 </w:t>
      </w:r>
      <w:r>
        <w:rPr>
          <w:rFonts w:hint="eastAsia" w:ascii="仿宋" w:hAnsi="仿宋" w:eastAsia="仿宋" w:cs="仿宋"/>
          <w:color w:val="000000" w:themeColor="text1"/>
          <w:sz w:val="24"/>
          <w:highlight w:val="none"/>
        </w:rPr>
        <w:t>与采购人签订采购合同，按照合同规定向采购人提供货物及服务；</w:t>
      </w:r>
    </w:p>
    <w:p>
      <w:pPr>
        <w:tabs>
          <w:tab w:val="left" w:pos="7665"/>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2.3.7 </w:t>
      </w:r>
      <w:r>
        <w:rPr>
          <w:rFonts w:hint="eastAsia" w:ascii="仿宋" w:hAnsi="仿宋" w:eastAsia="仿宋" w:cs="仿宋"/>
          <w:color w:val="000000" w:themeColor="text1"/>
          <w:sz w:val="24"/>
          <w:highlight w:val="none"/>
        </w:rPr>
        <w:t>政府采购法律法规所规定的其他职责。</w:t>
      </w:r>
      <w:bookmarkStart w:id="30" w:name="_Toc217390843"/>
      <w:bookmarkStart w:id="31" w:name="_Toc217446036"/>
      <w:bookmarkStart w:id="32" w:name="_Toc183582207"/>
      <w:bookmarkStart w:id="33" w:name="_Toc183682344"/>
    </w:p>
    <w:p>
      <w:pPr>
        <w:tabs>
          <w:tab w:val="left" w:pos="7665"/>
        </w:tabs>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2.4 </w:t>
      </w:r>
      <w:r>
        <w:rPr>
          <w:rFonts w:hint="eastAsia" w:ascii="仿宋" w:hAnsi="仿宋" w:eastAsia="仿宋" w:cs="仿宋"/>
          <w:color w:val="000000" w:themeColor="text1"/>
          <w:sz w:val="24"/>
          <w:highlight w:val="none"/>
        </w:rPr>
        <w:t>合格的</w:t>
      </w:r>
      <w:bookmarkEnd w:id="30"/>
      <w:bookmarkEnd w:id="31"/>
      <w:bookmarkEnd w:id="32"/>
      <w:bookmarkEnd w:id="33"/>
      <w:r>
        <w:rPr>
          <w:rFonts w:hint="eastAsia" w:ascii="仿宋" w:hAnsi="仿宋" w:eastAsia="仿宋" w:cs="仿宋"/>
          <w:color w:val="000000" w:themeColor="text1"/>
          <w:sz w:val="24"/>
          <w:highlight w:val="none"/>
        </w:rPr>
        <w:t>供应商</w:t>
      </w:r>
    </w:p>
    <w:p>
      <w:pPr>
        <w:tabs>
          <w:tab w:val="left" w:pos="7665"/>
        </w:tabs>
        <w:spacing w:line="360" w:lineRule="auto"/>
        <w:ind w:firstLine="480" w:firstLineChars="200"/>
        <w:rPr>
          <w:rFonts w:ascii="仿宋" w:hAnsi="仿宋" w:eastAsia="仿宋" w:cs="仿宋"/>
          <w:bCs/>
          <w:color w:val="000000" w:themeColor="text1"/>
          <w:kern w:val="0"/>
          <w:sz w:val="24"/>
          <w:highlight w:val="none"/>
          <w:lang w:val="en-GB"/>
        </w:rPr>
      </w:pPr>
      <w:r>
        <w:rPr>
          <w:rFonts w:ascii="仿宋" w:hAnsi="仿宋" w:eastAsia="仿宋" w:cs="仿宋"/>
          <w:bCs/>
          <w:color w:val="000000" w:themeColor="text1"/>
          <w:kern w:val="0"/>
          <w:sz w:val="24"/>
          <w:highlight w:val="none"/>
        </w:rPr>
        <w:t xml:space="preserve">2.4.1 </w:t>
      </w:r>
      <w:r>
        <w:rPr>
          <w:rFonts w:hint="eastAsia" w:ascii="仿宋" w:hAnsi="仿宋" w:eastAsia="仿宋" w:cs="仿宋"/>
          <w:bCs/>
          <w:color w:val="000000" w:themeColor="text1"/>
          <w:kern w:val="0"/>
          <w:sz w:val="24"/>
          <w:highlight w:val="none"/>
          <w:lang w:val="en-GB"/>
        </w:rPr>
        <w:t>符合《中华人民共和国政府采购法》第二十二条规定的供应商。</w:t>
      </w:r>
    </w:p>
    <w:p>
      <w:pPr>
        <w:tabs>
          <w:tab w:val="left" w:pos="7665"/>
        </w:tabs>
        <w:spacing w:line="360" w:lineRule="auto"/>
        <w:ind w:firstLine="480" w:firstLineChars="200"/>
        <w:rPr>
          <w:rFonts w:ascii="仿宋" w:hAnsi="仿宋" w:eastAsia="仿宋" w:cs="仿宋"/>
          <w:bCs/>
          <w:color w:val="000000" w:themeColor="text1"/>
          <w:kern w:val="0"/>
          <w:sz w:val="24"/>
          <w:highlight w:val="none"/>
          <w:lang w:val="en-GB"/>
        </w:rPr>
      </w:pPr>
      <w:r>
        <w:rPr>
          <w:rFonts w:ascii="仿宋" w:hAnsi="仿宋" w:eastAsia="仿宋" w:cs="仿宋"/>
          <w:bCs/>
          <w:color w:val="000000" w:themeColor="text1"/>
          <w:kern w:val="0"/>
          <w:sz w:val="24"/>
          <w:highlight w:val="none"/>
        </w:rPr>
        <w:t xml:space="preserve">2.4.2 </w:t>
      </w:r>
      <w:r>
        <w:rPr>
          <w:rFonts w:hint="eastAsia" w:ascii="仿宋" w:hAnsi="仿宋" w:eastAsia="仿宋" w:cs="仿宋"/>
          <w:bCs/>
          <w:color w:val="000000" w:themeColor="text1"/>
          <w:kern w:val="0"/>
          <w:sz w:val="24"/>
          <w:highlight w:val="none"/>
          <w:lang w:val="en-GB"/>
        </w:rPr>
        <w:t>符合竞争性磋商</w:t>
      </w:r>
      <w:r>
        <w:rPr>
          <w:rFonts w:hint="eastAsia" w:ascii="仿宋" w:hAnsi="仿宋" w:eastAsia="仿宋" w:cs="仿宋"/>
          <w:color w:val="000000" w:themeColor="text1"/>
          <w:sz w:val="24"/>
          <w:highlight w:val="none"/>
        </w:rPr>
        <w:t>文件</w:t>
      </w:r>
      <w:r>
        <w:rPr>
          <w:rFonts w:hint="eastAsia" w:ascii="仿宋" w:hAnsi="仿宋" w:eastAsia="仿宋" w:cs="仿宋"/>
          <w:bCs/>
          <w:color w:val="000000" w:themeColor="text1"/>
          <w:kern w:val="0"/>
          <w:sz w:val="24"/>
          <w:highlight w:val="none"/>
          <w:lang w:val="en-GB"/>
        </w:rPr>
        <w:t>规定的资质要求，有能力提供满足竞争性磋商</w:t>
      </w:r>
      <w:r>
        <w:rPr>
          <w:rFonts w:hint="eastAsia" w:ascii="仿宋" w:hAnsi="仿宋" w:eastAsia="仿宋" w:cs="仿宋"/>
          <w:color w:val="000000" w:themeColor="text1"/>
          <w:sz w:val="24"/>
          <w:highlight w:val="none"/>
        </w:rPr>
        <w:t>文件</w:t>
      </w:r>
      <w:r>
        <w:rPr>
          <w:rFonts w:hint="eastAsia" w:ascii="仿宋" w:hAnsi="仿宋" w:eastAsia="仿宋" w:cs="仿宋"/>
          <w:bCs/>
          <w:color w:val="000000" w:themeColor="text1"/>
          <w:kern w:val="0"/>
          <w:sz w:val="24"/>
          <w:highlight w:val="none"/>
          <w:lang w:val="en-GB"/>
        </w:rPr>
        <w:t>要求的相关货物及服务的法人实体。</w:t>
      </w:r>
    </w:p>
    <w:p>
      <w:pPr>
        <w:tabs>
          <w:tab w:val="left" w:pos="7665"/>
        </w:tabs>
        <w:spacing w:line="360" w:lineRule="auto"/>
        <w:ind w:firstLine="480" w:firstLineChars="200"/>
        <w:rPr>
          <w:rFonts w:ascii="仿宋" w:hAnsi="仿宋" w:eastAsia="仿宋" w:cs="仿宋"/>
          <w:bCs/>
          <w:color w:val="000000" w:themeColor="text1"/>
          <w:kern w:val="0"/>
          <w:sz w:val="24"/>
          <w:highlight w:val="none"/>
          <w:lang w:val="en-GB"/>
        </w:rPr>
      </w:pPr>
      <w:r>
        <w:rPr>
          <w:rFonts w:ascii="仿宋" w:hAnsi="仿宋" w:eastAsia="仿宋" w:cs="仿宋"/>
          <w:color w:val="000000" w:themeColor="text1"/>
          <w:sz w:val="24"/>
          <w:highlight w:val="none"/>
        </w:rPr>
        <w:t xml:space="preserve">2.5 </w:t>
      </w:r>
      <w:r>
        <w:rPr>
          <w:rFonts w:hint="eastAsia" w:ascii="仿宋" w:hAnsi="仿宋" w:eastAsia="仿宋" w:cs="仿宋"/>
          <w:bCs/>
          <w:color w:val="000000" w:themeColor="text1"/>
          <w:kern w:val="0"/>
          <w:sz w:val="24"/>
          <w:highlight w:val="none"/>
          <w:lang w:val="en-GB"/>
        </w:rPr>
        <w:t>“成交供应商”系指经磋商小组评审，并授予合同的供应商。</w:t>
      </w:r>
    </w:p>
    <w:p>
      <w:pPr>
        <w:pStyle w:val="14"/>
        <w:outlineLvl w:val="1"/>
        <w:rPr>
          <w:rFonts w:ascii="仿宋" w:hAnsi="仿宋" w:eastAsia="仿宋" w:cs="仿宋"/>
          <w:bCs/>
          <w:color w:val="000000" w:themeColor="text1"/>
          <w:kern w:val="0"/>
          <w:highlight w:val="none"/>
          <w:lang w:val="en-GB" w:eastAsia="zh-CN"/>
        </w:rPr>
      </w:pPr>
      <w:bookmarkStart w:id="34" w:name="_Toc6763"/>
      <w:bookmarkStart w:id="35" w:name="_Toc433126986"/>
      <w:bookmarkStart w:id="36" w:name="_Toc4227"/>
      <w:bookmarkStart w:id="37" w:name="_Toc6922"/>
      <w:bookmarkStart w:id="38" w:name="_Toc23184"/>
      <w:r>
        <w:rPr>
          <w:rFonts w:ascii="仿宋" w:hAnsi="仿宋" w:eastAsia="仿宋" w:cs="仿宋"/>
          <w:b/>
          <w:color w:val="000000" w:themeColor="text1"/>
          <w:highlight w:val="none"/>
          <w:lang w:eastAsia="zh-CN"/>
        </w:rPr>
        <w:t>3</w:t>
      </w:r>
      <w:r>
        <w:rPr>
          <w:rFonts w:hint="eastAsia" w:ascii="仿宋" w:hAnsi="仿宋" w:eastAsia="仿宋" w:cs="仿宋"/>
          <w:b/>
          <w:color w:val="000000" w:themeColor="text1"/>
          <w:highlight w:val="none"/>
          <w:lang w:val="en-GB" w:eastAsia="zh-CN"/>
        </w:rPr>
        <w:t>、合格的货物和服务</w:t>
      </w:r>
      <w:bookmarkEnd w:id="34"/>
      <w:bookmarkEnd w:id="35"/>
      <w:bookmarkEnd w:id="36"/>
      <w:bookmarkEnd w:id="37"/>
      <w:bookmarkEnd w:id="38"/>
    </w:p>
    <w:bookmarkEnd w:id="27"/>
    <w:bookmarkEnd w:id="28"/>
    <w:bookmarkEnd w:id="29"/>
    <w:p>
      <w:pPr>
        <w:adjustRightInd w:val="0"/>
        <w:snapToGrid w:val="0"/>
        <w:spacing w:line="360" w:lineRule="auto"/>
        <w:ind w:firstLine="480" w:firstLineChars="200"/>
        <w:rPr>
          <w:rFonts w:ascii="仿宋" w:hAnsi="仿宋" w:eastAsia="仿宋" w:cs="仿宋"/>
          <w:bCs/>
          <w:color w:val="000000" w:themeColor="text1"/>
          <w:kern w:val="0"/>
          <w:sz w:val="24"/>
          <w:highlight w:val="none"/>
          <w:lang w:val="en-GB"/>
        </w:rPr>
      </w:pPr>
      <w:r>
        <w:rPr>
          <w:rFonts w:ascii="仿宋" w:hAnsi="仿宋" w:eastAsia="仿宋" w:cs="仿宋"/>
          <w:bCs/>
          <w:color w:val="000000" w:themeColor="text1"/>
          <w:kern w:val="0"/>
          <w:sz w:val="24"/>
          <w:highlight w:val="none"/>
        </w:rPr>
        <w:t>3</w:t>
      </w:r>
      <w:r>
        <w:rPr>
          <w:rFonts w:ascii="仿宋" w:hAnsi="仿宋" w:eastAsia="仿宋" w:cs="仿宋"/>
          <w:bCs/>
          <w:color w:val="000000" w:themeColor="text1"/>
          <w:kern w:val="0"/>
          <w:sz w:val="24"/>
          <w:highlight w:val="none"/>
          <w:lang w:val="en-GB"/>
        </w:rPr>
        <w:t>.1</w:t>
      </w:r>
      <w:r>
        <w:rPr>
          <w:rFonts w:hint="eastAsia" w:ascii="仿宋" w:hAnsi="仿宋" w:eastAsia="仿宋" w:cs="仿宋"/>
          <w:bCs/>
          <w:color w:val="000000" w:themeColor="text1"/>
          <w:kern w:val="0"/>
          <w:sz w:val="24"/>
          <w:highlight w:val="none"/>
          <w:lang w:val="en-GB"/>
        </w:rPr>
        <w:t>“货物”系指供应商制造或组织符合磋商采购文件要求的货物等。所投货物必须是合法生产的合格货物，并能够按照货物合同规定的品牌、产地、质量、价格和有效期等。</w:t>
      </w:r>
    </w:p>
    <w:p>
      <w:pPr>
        <w:adjustRightInd w:val="0"/>
        <w:snapToGrid w:val="0"/>
        <w:spacing w:line="360" w:lineRule="auto"/>
        <w:ind w:firstLine="480" w:firstLineChars="200"/>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w:t>
      </w:r>
      <w:r>
        <w:rPr>
          <w:rFonts w:ascii="仿宋" w:hAnsi="仿宋" w:eastAsia="仿宋" w:cs="仿宋"/>
          <w:bCs/>
          <w:color w:val="000000" w:themeColor="text1"/>
          <w:kern w:val="0"/>
          <w:sz w:val="24"/>
          <w:highlight w:val="none"/>
          <w:lang w:val="en-GB"/>
        </w:rPr>
        <w:t xml:space="preserve">.2 </w:t>
      </w:r>
      <w:r>
        <w:rPr>
          <w:rFonts w:hint="eastAsia" w:ascii="仿宋" w:hAnsi="仿宋" w:eastAsia="仿宋" w:cs="仿宋"/>
          <w:bCs/>
          <w:color w:val="000000" w:themeColor="text1"/>
          <w:kern w:val="0"/>
          <w:sz w:val="24"/>
          <w:highlight w:val="none"/>
          <w:lang w:val="en-GB"/>
        </w:rPr>
        <w:t>“服务”系指除货物以外的其他政府采购对象，其中包括：卖方须承担的运输、安装（安装所须辅材、配件）、搬运、技术支持与升级、培训、验收以及其它类似附加服务的义务。</w:t>
      </w:r>
    </w:p>
    <w:p>
      <w:pPr>
        <w:tabs>
          <w:tab w:val="left" w:pos="7665"/>
        </w:tabs>
        <w:spacing w:line="360" w:lineRule="auto"/>
        <w:outlineLvl w:val="1"/>
        <w:rPr>
          <w:rFonts w:ascii="仿宋" w:hAnsi="仿宋" w:eastAsia="仿宋" w:cs="仿宋"/>
          <w:b/>
          <w:color w:val="000000" w:themeColor="text1"/>
          <w:sz w:val="24"/>
          <w:highlight w:val="none"/>
        </w:rPr>
      </w:pPr>
      <w:bookmarkStart w:id="39" w:name="_Toc1219"/>
      <w:bookmarkStart w:id="40" w:name="_Toc27959"/>
      <w:bookmarkStart w:id="41" w:name="_Toc9699"/>
      <w:bookmarkStart w:id="42" w:name="_Toc433126987"/>
      <w:bookmarkStart w:id="43" w:name="_Toc13174"/>
      <w:r>
        <w:rPr>
          <w:rFonts w:ascii="仿宋" w:hAnsi="仿宋" w:eastAsia="仿宋" w:cs="仿宋"/>
          <w:b/>
          <w:color w:val="000000" w:themeColor="text1"/>
          <w:sz w:val="24"/>
          <w:highlight w:val="none"/>
        </w:rPr>
        <w:t>4</w:t>
      </w:r>
      <w:r>
        <w:rPr>
          <w:rFonts w:hint="eastAsia" w:ascii="仿宋" w:hAnsi="仿宋" w:eastAsia="仿宋" w:cs="仿宋"/>
          <w:b/>
          <w:color w:val="000000" w:themeColor="text1"/>
          <w:sz w:val="24"/>
          <w:highlight w:val="none"/>
        </w:rPr>
        <w:t>、投标费用</w:t>
      </w:r>
      <w:bookmarkEnd w:id="39"/>
      <w:bookmarkEnd w:id="40"/>
      <w:bookmarkEnd w:id="41"/>
      <w:bookmarkEnd w:id="42"/>
      <w:bookmarkEnd w:id="43"/>
    </w:p>
    <w:p>
      <w:pPr>
        <w:spacing w:line="360" w:lineRule="auto"/>
        <w:rPr>
          <w:rFonts w:ascii="仿宋" w:hAnsi="仿宋" w:eastAsia="仿宋" w:cs="仿宋"/>
          <w:color w:val="000000" w:themeColor="text1"/>
          <w:sz w:val="24"/>
          <w:highlight w:val="none"/>
        </w:rPr>
      </w:pPr>
      <w:bookmarkStart w:id="44" w:name="_Toc183582210"/>
      <w:bookmarkStart w:id="45" w:name="_Toc183682347"/>
      <w:bookmarkStart w:id="46" w:name="_Toc217446039"/>
      <w:r>
        <w:rPr>
          <w:rFonts w:ascii="仿宋" w:hAnsi="仿宋" w:eastAsia="仿宋" w:cs="仿宋"/>
          <w:color w:val="000000" w:themeColor="text1"/>
          <w:sz w:val="24"/>
          <w:highlight w:val="none"/>
        </w:rPr>
        <w:t xml:space="preserve">    4.1 </w:t>
      </w:r>
      <w:r>
        <w:rPr>
          <w:rFonts w:hint="eastAsia" w:ascii="仿宋" w:hAnsi="仿宋" w:eastAsia="仿宋" w:cs="仿宋"/>
          <w:color w:val="000000" w:themeColor="text1"/>
          <w:sz w:val="24"/>
          <w:highlight w:val="none"/>
        </w:rPr>
        <w:t>供应商应承担所有与准备和参加磋商有关的费用。不论磋商的结果如何，招标代理机构和采购人均无义务和责任承担这些费用。</w:t>
      </w:r>
    </w:p>
    <w:p>
      <w:pPr>
        <w:spacing w:line="360" w:lineRule="auto"/>
        <w:ind w:firstLine="465"/>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4.2 </w:t>
      </w:r>
      <w:r>
        <w:rPr>
          <w:rFonts w:hint="eastAsia" w:ascii="仿宋" w:hAnsi="仿宋" w:eastAsia="仿宋" w:cs="仿宋"/>
          <w:color w:val="000000" w:themeColor="text1"/>
          <w:sz w:val="24"/>
          <w:highlight w:val="none"/>
        </w:rPr>
        <w:t>招标代理机构按国家相关部门的规定标准向成交方收取招标代理服务费。</w:t>
      </w:r>
    </w:p>
    <w:p>
      <w:pPr>
        <w:spacing w:line="360" w:lineRule="auto"/>
        <w:outlineLvl w:val="1"/>
        <w:rPr>
          <w:rFonts w:ascii="仿宋" w:hAnsi="仿宋" w:eastAsia="仿宋" w:cs="仿宋"/>
          <w:b/>
          <w:color w:val="000000" w:themeColor="text1"/>
          <w:sz w:val="24"/>
          <w:highlight w:val="none"/>
        </w:rPr>
      </w:pPr>
      <w:bookmarkStart w:id="47" w:name="_Toc22296"/>
      <w:bookmarkStart w:id="48" w:name="_Toc433126988"/>
      <w:bookmarkStart w:id="49" w:name="_Toc9221"/>
      <w:bookmarkStart w:id="50" w:name="_Toc9797"/>
      <w:bookmarkStart w:id="51" w:name="_Toc260"/>
      <w:r>
        <w:rPr>
          <w:rFonts w:ascii="仿宋" w:hAnsi="仿宋" w:eastAsia="仿宋" w:cs="仿宋"/>
          <w:b/>
          <w:color w:val="000000" w:themeColor="text1"/>
          <w:sz w:val="24"/>
          <w:highlight w:val="none"/>
        </w:rPr>
        <w:t>5</w:t>
      </w:r>
      <w:r>
        <w:rPr>
          <w:rFonts w:hint="eastAsia" w:ascii="仿宋" w:hAnsi="仿宋" w:eastAsia="仿宋" w:cs="仿宋"/>
          <w:b/>
          <w:color w:val="000000" w:themeColor="text1"/>
          <w:sz w:val="24"/>
          <w:highlight w:val="none"/>
        </w:rPr>
        <w:t>．竞争性磋商文件的约束力</w:t>
      </w:r>
      <w:bookmarkEnd w:id="47"/>
      <w:bookmarkEnd w:id="48"/>
      <w:bookmarkEnd w:id="49"/>
      <w:bookmarkEnd w:id="50"/>
      <w:bookmarkEnd w:id="51"/>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5.1</w:t>
      </w:r>
      <w:r>
        <w:rPr>
          <w:rFonts w:hint="eastAsia" w:ascii="仿宋" w:hAnsi="仿宋" w:eastAsia="仿宋" w:cs="仿宋"/>
          <w:color w:val="000000" w:themeColor="text1"/>
          <w:sz w:val="24"/>
          <w:highlight w:val="none"/>
        </w:rPr>
        <w:t>供应商在知道或者应知其权益受到损害之日起七个工作日内向采购代理一次性提出书面质疑，逾期即视为接受了本竞争性磋商文件中的所有条款和规定。</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5.2 </w:t>
      </w:r>
      <w:r>
        <w:rPr>
          <w:rFonts w:hint="eastAsia" w:ascii="仿宋" w:hAnsi="仿宋" w:eastAsia="仿宋" w:cs="仿宋"/>
          <w:color w:val="000000" w:themeColor="text1"/>
          <w:sz w:val="24"/>
          <w:highlight w:val="none"/>
        </w:rPr>
        <w:t>本竞争性磋商文件由采购代理负责解释。</w:t>
      </w:r>
    </w:p>
    <w:p>
      <w:pPr>
        <w:tabs>
          <w:tab w:val="left" w:pos="7665"/>
        </w:tabs>
        <w:spacing w:line="360" w:lineRule="auto"/>
        <w:outlineLvl w:val="0"/>
        <w:rPr>
          <w:rFonts w:ascii="仿宋" w:hAnsi="仿宋" w:eastAsia="仿宋" w:cs="仿宋"/>
          <w:b/>
          <w:color w:val="000000" w:themeColor="text1"/>
          <w:sz w:val="28"/>
          <w:szCs w:val="28"/>
          <w:highlight w:val="none"/>
        </w:rPr>
      </w:pPr>
      <w:bookmarkStart w:id="52" w:name="_Toc20325"/>
      <w:bookmarkStart w:id="53" w:name="_Toc25238"/>
      <w:bookmarkStart w:id="54" w:name="_Toc14250"/>
      <w:bookmarkStart w:id="55" w:name="_Toc6638"/>
      <w:r>
        <w:rPr>
          <w:rFonts w:hint="eastAsia" w:ascii="仿宋" w:hAnsi="仿宋" w:eastAsia="仿宋" w:cs="仿宋"/>
          <w:b/>
          <w:color w:val="000000" w:themeColor="text1"/>
          <w:sz w:val="28"/>
          <w:szCs w:val="28"/>
          <w:highlight w:val="none"/>
        </w:rPr>
        <w:t>（二）</w:t>
      </w:r>
      <w:r>
        <w:rPr>
          <w:rFonts w:hint="eastAsia" w:ascii="仿宋" w:hAnsi="仿宋" w:eastAsia="仿宋" w:cs="仿宋"/>
          <w:b/>
          <w:bCs/>
          <w:color w:val="000000" w:themeColor="text1"/>
          <w:sz w:val="28"/>
          <w:szCs w:val="28"/>
          <w:highlight w:val="none"/>
          <w:lang w:val="en-GB"/>
        </w:rPr>
        <w:t>竞争性磋商</w:t>
      </w:r>
      <w:r>
        <w:rPr>
          <w:rFonts w:hint="eastAsia" w:ascii="仿宋" w:hAnsi="仿宋" w:eastAsia="仿宋" w:cs="仿宋"/>
          <w:b/>
          <w:color w:val="000000" w:themeColor="text1"/>
          <w:sz w:val="28"/>
          <w:szCs w:val="28"/>
          <w:highlight w:val="none"/>
        </w:rPr>
        <w:t>文件</w:t>
      </w:r>
      <w:bookmarkEnd w:id="52"/>
      <w:bookmarkEnd w:id="53"/>
      <w:bookmarkEnd w:id="54"/>
      <w:bookmarkEnd w:id="55"/>
    </w:p>
    <w:p>
      <w:pPr>
        <w:pStyle w:val="14"/>
        <w:outlineLvl w:val="1"/>
        <w:rPr>
          <w:rFonts w:ascii="仿宋" w:hAnsi="仿宋" w:eastAsia="仿宋" w:cs="仿宋"/>
          <w:b/>
          <w:bCs/>
          <w:color w:val="000000" w:themeColor="text1"/>
          <w:highlight w:val="none"/>
          <w:lang w:eastAsia="zh-CN"/>
        </w:rPr>
      </w:pPr>
      <w:bookmarkStart w:id="56" w:name="_Toc16325"/>
      <w:bookmarkStart w:id="57" w:name="_Toc433126990"/>
      <w:bookmarkStart w:id="58" w:name="_Toc12668"/>
      <w:bookmarkStart w:id="59" w:name="_Toc15621"/>
      <w:bookmarkStart w:id="60" w:name="_Toc14426"/>
      <w:r>
        <w:rPr>
          <w:rFonts w:ascii="仿宋" w:hAnsi="仿宋" w:eastAsia="仿宋" w:cs="仿宋"/>
          <w:b/>
          <w:bCs/>
          <w:color w:val="000000" w:themeColor="text1"/>
          <w:highlight w:val="none"/>
          <w:lang w:eastAsia="zh-CN"/>
        </w:rPr>
        <w:t>6</w:t>
      </w:r>
      <w:r>
        <w:rPr>
          <w:rFonts w:hint="eastAsia" w:ascii="仿宋" w:hAnsi="仿宋" w:eastAsia="仿宋" w:cs="仿宋"/>
          <w:b/>
          <w:bCs/>
          <w:color w:val="000000" w:themeColor="text1"/>
          <w:highlight w:val="none"/>
          <w:lang w:eastAsia="zh-CN"/>
        </w:rPr>
        <w:t>、竞争性磋商文件的构成</w:t>
      </w:r>
      <w:bookmarkEnd w:id="56"/>
      <w:bookmarkEnd w:id="57"/>
      <w:bookmarkEnd w:id="58"/>
      <w:bookmarkEnd w:id="59"/>
      <w:bookmarkEnd w:id="60"/>
      <w:bookmarkStart w:id="183" w:name="_GoBack"/>
      <w:bookmarkEnd w:id="183"/>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6.1 </w:t>
      </w:r>
      <w:r>
        <w:rPr>
          <w:rFonts w:hint="eastAsia" w:ascii="仿宋" w:hAnsi="仿宋" w:eastAsia="仿宋" w:cs="仿宋"/>
          <w:color w:val="000000" w:themeColor="text1"/>
          <w:highlight w:val="none"/>
          <w:lang w:eastAsia="zh-CN"/>
        </w:rPr>
        <w:t>竞争性磋商文件由下列文件以及在磋商过程中发出的修正和补充文件组成：</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第一章磋商公告</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第二章供应商须知</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第三章用户需求书</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第四章政府采购合同范本（参考）</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第五章响应文件内容及格式</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注：请仔细检查竞争性磋商文件是否齐全，如有缺漏，请立即与采购代理联系解决。</w:t>
      </w: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6.2 </w:t>
      </w:r>
      <w:r>
        <w:rPr>
          <w:rFonts w:hint="eastAsia" w:ascii="仿宋" w:hAnsi="仿宋" w:eastAsia="仿宋" w:cs="仿宋"/>
          <w:color w:val="000000" w:themeColor="text1"/>
          <w:highlight w:val="none"/>
          <w:lang w:eastAsia="zh-CN"/>
        </w:rPr>
        <w:t>供应商应认真阅读磋商文件中所有的事项、格式、条款和技术规范等。供应商没有按照磋商文件要求提交全部资料，或者供应商没有对磋商文件在各方面都做出实质性响应是供应商的风险，并可能导致其响应文件被拒绝。</w:t>
      </w:r>
    </w:p>
    <w:p>
      <w:pPr>
        <w:pStyle w:val="14"/>
        <w:outlineLvl w:val="1"/>
        <w:rPr>
          <w:rFonts w:ascii="仿宋" w:hAnsi="仿宋" w:eastAsia="仿宋" w:cs="仿宋"/>
          <w:b/>
          <w:bCs/>
          <w:color w:val="000000" w:themeColor="text1"/>
          <w:highlight w:val="none"/>
          <w:lang w:eastAsia="zh-CN"/>
        </w:rPr>
      </w:pPr>
      <w:bookmarkStart w:id="61" w:name="_Toc29358"/>
      <w:bookmarkStart w:id="62" w:name="_Toc31768"/>
      <w:bookmarkStart w:id="63" w:name="_Toc11599"/>
      <w:bookmarkStart w:id="64" w:name="_Toc24677"/>
      <w:bookmarkStart w:id="65" w:name="_Toc433126991"/>
      <w:r>
        <w:rPr>
          <w:rFonts w:ascii="仿宋" w:hAnsi="仿宋" w:eastAsia="仿宋" w:cs="仿宋"/>
          <w:b/>
          <w:bCs/>
          <w:color w:val="000000" w:themeColor="text1"/>
          <w:highlight w:val="none"/>
          <w:lang w:eastAsia="zh-CN"/>
        </w:rPr>
        <w:t>7</w:t>
      </w:r>
      <w:r>
        <w:rPr>
          <w:rFonts w:hint="eastAsia" w:ascii="仿宋" w:hAnsi="仿宋" w:eastAsia="仿宋" w:cs="仿宋"/>
          <w:b/>
          <w:bCs/>
          <w:color w:val="000000" w:themeColor="text1"/>
          <w:highlight w:val="none"/>
          <w:lang w:eastAsia="zh-CN"/>
        </w:rPr>
        <w:t>、竞争性磋商文件的澄清</w:t>
      </w:r>
      <w:bookmarkEnd w:id="61"/>
      <w:bookmarkEnd w:id="62"/>
      <w:bookmarkEnd w:id="63"/>
      <w:bookmarkEnd w:id="64"/>
      <w:bookmarkEnd w:id="65"/>
    </w:p>
    <w:p>
      <w:pPr>
        <w:pStyle w:val="14"/>
        <w:adjustRightInd w:val="0"/>
        <w:snapToGrid w:val="0"/>
        <w:ind w:firstLine="448" w:firstLineChars="200"/>
        <w:rPr>
          <w:rFonts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供应商在收到竞争性磋商文件后，若有疑问需要澄清，可以书面形式（包括信函、传真、电传，下同）在响应文件提交截止时间</w:t>
      </w:r>
      <w:r>
        <w:rPr>
          <w:rFonts w:ascii="仿宋" w:hAnsi="仿宋" w:eastAsia="仿宋" w:cs="仿宋"/>
          <w:color w:val="000000" w:themeColor="text1"/>
          <w:highlight w:val="none"/>
          <w:lang w:eastAsia="zh-CN"/>
        </w:rPr>
        <w:t>5</w:t>
      </w:r>
      <w:r>
        <w:rPr>
          <w:rFonts w:hint="eastAsia" w:ascii="仿宋" w:hAnsi="仿宋" w:eastAsia="仿宋" w:cs="仿宋"/>
          <w:color w:val="000000" w:themeColor="text1"/>
          <w:highlight w:val="none"/>
          <w:lang w:eastAsia="zh-CN"/>
        </w:rPr>
        <w:t>日前（逾期不受理）通知采购代理机构，采购代理机构将以书面形式进行答复，同时采购代理机构有权将答复内容（包括所提问题，但不包括问题来源）分发给所有购买了本磋商文件的供应商。未对采购代理机构提出书面意见，即视为接受了本竞争性磋商文件中的所有条款和规定。</w:t>
      </w:r>
    </w:p>
    <w:p>
      <w:pPr>
        <w:pStyle w:val="14"/>
        <w:outlineLvl w:val="1"/>
        <w:rPr>
          <w:rFonts w:ascii="仿宋" w:hAnsi="仿宋" w:eastAsia="仿宋" w:cs="仿宋"/>
          <w:b/>
          <w:bCs/>
          <w:color w:val="000000" w:themeColor="text1"/>
          <w:highlight w:val="none"/>
          <w:lang w:eastAsia="zh-CN"/>
        </w:rPr>
      </w:pPr>
      <w:bookmarkStart w:id="66" w:name="_Toc3744"/>
      <w:bookmarkStart w:id="67" w:name="_Toc29232"/>
      <w:bookmarkStart w:id="68" w:name="_Toc4022"/>
      <w:bookmarkStart w:id="69" w:name="_Toc29992"/>
      <w:bookmarkStart w:id="70" w:name="_Toc433126992"/>
      <w:r>
        <w:rPr>
          <w:rFonts w:ascii="仿宋" w:hAnsi="仿宋" w:eastAsia="仿宋" w:cs="仿宋"/>
          <w:b/>
          <w:bCs/>
          <w:color w:val="000000" w:themeColor="text1"/>
          <w:highlight w:val="none"/>
          <w:lang w:eastAsia="zh-CN"/>
        </w:rPr>
        <w:t>8</w:t>
      </w:r>
      <w:r>
        <w:rPr>
          <w:rFonts w:hint="eastAsia" w:ascii="仿宋" w:hAnsi="仿宋" w:eastAsia="仿宋" w:cs="仿宋"/>
          <w:b/>
          <w:bCs/>
          <w:color w:val="000000" w:themeColor="text1"/>
          <w:highlight w:val="none"/>
          <w:lang w:eastAsia="zh-CN"/>
        </w:rPr>
        <w:t>、竞争性磋商文件的修改</w:t>
      </w:r>
      <w:bookmarkEnd w:id="66"/>
      <w:bookmarkEnd w:id="67"/>
      <w:bookmarkEnd w:id="68"/>
      <w:bookmarkEnd w:id="69"/>
      <w:bookmarkEnd w:id="70"/>
    </w:p>
    <w:bookmarkEnd w:id="44"/>
    <w:bookmarkEnd w:id="45"/>
    <w:bookmarkEnd w:id="46"/>
    <w:p>
      <w:pPr>
        <w:pStyle w:val="14"/>
        <w:adjustRightInd w:val="0"/>
        <w:snapToGrid w:val="0"/>
        <w:ind w:firstLine="448" w:firstLineChars="200"/>
        <w:rPr>
          <w:rFonts w:ascii="仿宋" w:hAnsi="仿宋" w:eastAsia="仿宋" w:cs="仿宋"/>
          <w:color w:val="000000" w:themeColor="text1"/>
          <w:highlight w:val="none"/>
          <w:lang w:eastAsia="zh-CN"/>
        </w:rPr>
      </w:pPr>
      <w:bookmarkStart w:id="71" w:name="_Toc217446043"/>
      <w:bookmarkStart w:id="72" w:name="_Toc183582215"/>
      <w:bookmarkStart w:id="73" w:name="_Toc183682352"/>
      <w:r>
        <w:rPr>
          <w:rFonts w:ascii="仿宋" w:hAnsi="仿宋" w:eastAsia="仿宋" w:cs="仿宋"/>
          <w:color w:val="000000" w:themeColor="text1"/>
          <w:highlight w:val="none"/>
          <w:lang w:eastAsia="zh-CN"/>
        </w:rPr>
        <w:t xml:space="preserve">8.l </w:t>
      </w:r>
      <w:r>
        <w:rPr>
          <w:rFonts w:hint="eastAsia" w:ascii="仿宋" w:hAnsi="仿宋" w:eastAsia="仿宋" w:cs="仿宋"/>
          <w:color w:val="000000" w:themeColor="text1"/>
          <w:highlight w:val="none"/>
          <w:lang w:eastAsia="zh-CN"/>
        </w:rPr>
        <w:t>在响应文件提交截止时间</w:t>
      </w:r>
      <w:r>
        <w:rPr>
          <w:rFonts w:ascii="仿宋" w:hAnsi="仿宋" w:eastAsia="仿宋" w:cs="仿宋"/>
          <w:color w:val="000000" w:themeColor="text1"/>
          <w:highlight w:val="none"/>
          <w:lang w:eastAsia="zh-CN"/>
        </w:rPr>
        <w:t>5</w:t>
      </w:r>
      <w:r>
        <w:rPr>
          <w:rFonts w:hint="eastAsia" w:ascii="仿宋" w:hAnsi="仿宋" w:eastAsia="仿宋" w:cs="仿宋"/>
          <w:color w:val="000000" w:themeColor="text1"/>
          <w:highlight w:val="none"/>
          <w:lang w:eastAsia="zh-CN"/>
        </w:rPr>
        <w:t>天前，采购代理机构和采购人可主动或在解答供应商提出的澄清问题时对磋商文件进行修改。</w:t>
      </w: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8.2 </w:t>
      </w:r>
      <w:r>
        <w:rPr>
          <w:rFonts w:hint="eastAsia" w:ascii="仿宋" w:hAnsi="仿宋" w:eastAsia="仿宋" w:cs="仿宋"/>
          <w:color w:val="000000" w:themeColor="text1"/>
          <w:highlight w:val="none"/>
          <w:lang w:eastAsia="zh-CN"/>
        </w:rPr>
        <w:t>竞争性磋商文件的修改是竞争性磋商文件的组成部分，采购代理机构将以书面或网上公告的形式通知所有购买本竞争性磋商文件的供应商，并对供应商具有约束力。供应商在收到上述通知后，应立即以书面形式向采购代理机构和采购人确认。</w:t>
      </w: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8.3 </w:t>
      </w:r>
      <w:r>
        <w:rPr>
          <w:rFonts w:hint="eastAsia" w:ascii="仿宋" w:hAnsi="仿宋" w:eastAsia="仿宋" w:cs="仿宋"/>
          <w:color w:val="000000" w:themeColor="text1"/>
          <w:highlight w:val="none"/>
          <w:lang w:eastAsia="zh-CN"/>
        </w:rPr>
        <w:t>为使供应商准备响应文件时有充分的时间对磋商文件修改部分进行研究，采购代理机构和采购人可适当推迟响应文件提交截止时间。</w:t>
      </w:r>
    </w:p>
    <w:p>
      <w:pPr>
        <w:pStyle w:val="14"/>
        <w:adjustRightInd w:val="0"/>
        <w:snapToGrid w:val="0"/>
        <w:ind w:firstLine="448" w:firstLineChars="200"/>
        <w:rPr>
          <w:rFonts w:ascii="仿宋" w:hAnsi="仿宋" w:eastAsia="仿宋" w:cs="仿宋"/>
          <w:bCs/>
          <w:color w:val="000000" w:themeColor="text1"/>
          <w:highlight w:val="none"/>
          <w:lang w:val="en-GB" w:eastAsia="zh-CN"/>
        </w:rPr>
      </w:pPr>
      <w:r>
        <w:rPr>
          <w:rFonts w:ascii="仿宋" w:hAnsi="仿宋" w:eastAsia="仿宋" w:cs="仿宋"/>
          <w:color w:val="000000" w:themeColor="text1"/>
          <w:highlight w:val="none"/>
          <w:lang w:eastAsia="zh-CN"/>
        </w:rPr>
        <w:t xml:space="preserve">8.4 </w:t>
      </w:r>
      <w:r>
        <w:rPr>
          <w:rFonts w:hint="eastAsia" w:ascii="仿宋" w:hAnsi="仿宋" w:eastAsia="仿宋" w:cs="仿宋"/>
          <w:color w:val="000000" w:themeColor="text1"/>
          <w:highlight w:val="none"/>
          <w:lang w:eastAsia="zh-CN"/>
        </w:rPr>
        <w:t>本</w:t>
      </w:r>
      <w:r>
        <w:rPr>
          <w:rFonts w:hint="eastAsia" w:ascii="仿宋" w:hAnsi="仿宋" w:eastAsia="仿宋" w:cs="仿宋"/>
          <w:bCs/>
          <w:color w:val="000000" w:themeColor="text1"/>
          <w:kern w:val="0"/>
          <w:highlight w:val="none"/>
          <w:lang w:val="en-GB" w:eastAsia="zh-CN"/>
        </w:rPr>
        <w:t>竞争性磋商文件</w:t>
      </w:r>
      <w:r>
        <w:rPr>
          <w:rFonts w:hint="eastAsia" w:ascii="仿宋" w:hAnsi="仿宋" w:eastAsia="仿宋" w:cs="仿宋"/>
          <w:color w:val="000000" w:themeColor="text1"/>
          <w:highlight w:val="none"/>
          <w:lang w:eastAsia="zh-CN"/>
        </w:rPr>
        <w:t>的解释权属于采购代理机构和采购人。</w:t>
      </w:r>
    </w:p>
    <w:p>
      <w:pPr>
        <w:snapToGrid w:val="0"/>
        <w:spacing w:line="360" w:lineRule="auto"/>
        <w:outlineLvl w:val="0"/>
        <w:rPr>
          <w:rFonts w:ascii="仿宋" w:hAnsi="仿宋" w:eastAsia="仿宋" w:cs="仿宋"/>
          <w:b/>
          <w:color w:val="000000" w:themeColor="text1"/>
          <w:sz w:val="28"/>
          <w:szCs w:val="28"/>
          <w:highlight w:val="none"/>
        </w:rPr>
      </w:pPr>
      <w:bookmarkStart w:id="74" w:name="_Toc18152"/>
      <w:bookmarkStart w:id="75" w:name="_Toc23196"/>
      <w:bookmarkStart w:id="76" w:name="_Toc4359"/>
      <w:bookmarkStart w:id="77" w:name="_Toc16378"/>
      <w:r>
        <w:rPr>
          <w:rFonts w:hint="eastAsia" w:ascii="仿宋" w:hAnsi="仿宋" w:eastAsia="仿宋" w:cs="仿宋"/>
          <w:b/>
          <w:color w:val="000000" w:themeColor="text1"/>
          <w:sz w:val="28"/>
          <w:szCs w:val="28"/>
          <w:highlight w:val="none"/>
        </w:rPr>
        <w:t>（三）竞争性磋商文件的编制和数量</w:t>
      </w:r>
      <w:bookmarkEnd w:id="74"/>
      <w:bookmarkEnd w:id="75"/>
      <w:bookmarkEnd w:id="76"/>
      <w:bookmarkEnd w:id="77"/>
    </w:p>
    <w:p>
      <w:pPr>
        <w:pStyle w:val="14"/>
        <w:outlineLvl w:val="1"/>
        <w:rPr>
          <w:rFonts w:ascii="仿宋" w:hAnsi="仿宋" w:eastAsia="仿宋" w:cs="仿宋"/>
          <w:b/>
          <w:bCs/>
          <w:color w:val="000000" w:themeColor="text1"/>
          <w:highlight w:val="none"/>
          <w:lang w:eastAsia="zh-CN"/>
        </w:rPr>
      </w:pPr>
      <w:bookmarkStart w:id="78" w:name="_Toc1461"/>
      <w:bookmarkStart w:id="79" w:name="_Toc21805"/>
      <w:bookmarkStart w:id="80" w:name="_Toc433126994"/>
      <w:bookmarkStart w:id="81" w:name="_Toc3204"/>
      <w:bookmarkStart w:id="82" w:name="_Toc28919"/>
      <w:r>
        <w:rPr>
          <w:rFonts w:ascii="仿宋" w:hAnsi="仿宋" w:eastAsia="仿宋" w:cs="仿宋"/>
          <w:b/>
          <w:bCs/>
          <w:color w:val="000000" w:themeColor="text1"/>
          <w:highlight w:val="none"/>
          <w:lang w:eastAsia="zh-CN"/>
        </w:rPr>
        <w:t>9</w:t>
      </w:r>
      <w:r>
        <w:rPr>
          <w:rFonts w:hint="eastAsia" w:ascii="仿宋" w:hAnsi="仿宋" w:eastAsia="仿宋" w:cs="仿宋"/>
          <w:b/>
          <w:bCs/>
          <w:color w:val="000000" w:themeColor="text1"/>
          <w:highlight w:val="none"/>
          <w:lang w:eastAsia="zh-CN"/>
        </w:rPr>
        <w:t>、响应文件的语言</w:t>
      </w:r>
      <w:bookmarkEnd w:id="78"/>
      <w:bookmarkEnd w:id="79"/>
      <w:bookmarkEnd w:id="80"/>
      <w:bookmarkEnd w:id="81"/>
      <w:bookmarkEnd w:id="82"/>
    </w:p>
    <w:p>
      <w:pPr>
        <w:pStyle w:val="14"/>
        <w:adjustRightInd w:val="0"/>
        <w:snapToGrid w:val="0"/>
        <w:ind w:firstLine="448" w:firstLineChars="200"/>
        <w:rPr>
          <w:rFonts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供应商提交的响应文件以及供应商与采购代理机构和采购人就有关磋商的所有来往函电均应使用中文。供应商提交的支持文件和印刷的文献可以用另一种语言，但相应内容应附有中文翻译本，在解释响应文件时以翻译本为准。</w:t>
      </w:r>
    </w:p>
    <w:p>
      <w:pPr>
        <w:pStyle w:val="14"/>
        <w:outlineLvl w:val="1"/>
        <w:rPr>
          <w:rFonts w:ascii="仿宋" w:hAnsi="仿宋" w:eastAsia="仿宋" w:cs="仿宋"/>
          <w:color w:val="000000" w:themeColor="text1"/>
          <w:highlight w:val="none"/>
          <w:lang w:eastAsia="zh-CN"/>
        </w:rPr>
      </w:pPr>
      <w:bookmarkStart w:id="83" w:name="_Toc23890"/>
      <w:bookmarkStart w:id="84" w:name="_Toc20016"/>
      <w:bookmarkStart w:id="85" w:name="_Toc433126995"/>
      <w:bookmarkStart w:id="86" w:name="_Toc25424"/>
      <w:bookmarkStart w:id="87" w:name="_Toc16812"/>
      <w:r>
        <w:rPr>
          <w:rFonts w:ascii="仿宋" w:hAnsi="仿宋" w:eastAsia="仿宋" w:cs="仿宋"/>
          <w:b/>
          <w:bCs/>
          <w:color w:val="000000" w:themeColor="text1"/>
          <w:highlight w:val="none"/>
          <w:lang w:eastAsia="zh-CN"/>
        </w:rPr>
        <w:t>10</w:t>
      </w:r>
      <w:r>
        <w:rPr>
          <w:rFonts w:hint="eastAsia" w:ascii="仿宋" w:hAnsi="仿宋" w:eastAsia="仿宋" w:cs="仿宋"/>
          <w:b/>
          <w:bCs/>
          <w:color w:val="000000" w:themeColor="text1"/>
          <w:highlight w:val="none"/>
          <w:lang w:eastAsia="zh-CN"/>
        </w:rPr>
        <w:t>、响应文件的构成</w:t>
      </w:r>
      <w:bookmarkEnd w:id="83"/>
      <w:bookmarkEnd w:id="84"/>
      <w:bookmarkEnd w:id="85"/>
      <w:bookmarkEnd w:id="86"/>
      <w:bookmarkEnd w:id="87"/>
    </w:p>
    <w:p>
      <w:pPr>
        <w:spacing w:line="360" w:lineRule="auto"/>
        <w:ind w:firstLine="42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响应文件应包括资质部分、商务部分、技术部分、第一次报价等内容（</w:t>
      </w:r>
      <w:r>
        <w:rPr>
          <w:rFonts w:hint="eastAsia" w:ascii="仿宋" w:hAnsi="仿宋" w:eastAsia="仿宋" w:cs="仿宋"/>
          <w:b/>
          <w:color w:val="000000" w:themeColor="text1"/>
          <w:sz w:val="24"/>
          <w:highlight w:val="none"/>
        </w:rPr>
        <w:t>凡有具体格式要求详见竞争性磋商文件“第五章响应文件内容及格式”，本竞争性磋商文件没有具体规定和要求的内容格式不限，由供应商自拟</w:t>
      </w:r>
      <w:r>
        <w:rPr>
          <w:rFonts w:hint="eastAsia" w:ascii="仿宋" w:hAnsi="仿宋" w:eastAsia="仿宋" w:cs="仿宋"/>
          <w:color w:val="000000" w:themeColor="text1"/>
          <w:sz w:val="24"/>
          <w:highlight w:val="none"/>
        </w:rPr>
        <w:t>）。</w:t>
      </w:r>
    </w:p>
    <w:p>
      <w:pPr>
        <w:spacing w:line="360" w:lineRule="auto"/>
        <w:ind w:firstLine="42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2 </w:t>
      </w:r>
      <w:r>
        <w:rPr>
          <w:rFonts w:hint="eastAsia" w:ascii="仿宋" w:hAnsi="仿宋" w:eastAsia="仿宋" w:cs="仿宋"/>
          <w:color w:val="000000" w:themeColor="text1"/>
          <w:sz w:val="24"/>
          <w:highlight w:val="none"/>
        </w:rPr>
        <w:t>若供应商未按竞争性磋商文件的要求提供资料，或未对竞争性磋商文件做出实质性响应，将作为无效响应文件。</w:t>
      </w:r>
    </w:p>
    <w:p>
      <w:pPr>
        <w:spacing w:line="360" w:lineRule="auto"/>
        <w:ind w:firstLine="42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10.3</w:t>
      </w:r>
      <w:r>
        <w:rPr>
          <w:rFonts w:hint="eastAsia" w:ascii="仿宋" w:hAnsi="仿宋" w:eastAsia="仿宋" w:cs="仿宋"/>
          <w:color w:val="000000" w:themeColor="text1"/>
          <w:sz w:val="24"/>
          <w:highlight w:val="none"/>
        </w:rPr>
        <w:t>资格的证明文件</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文件由供应商的法定代表人或其授权代表（以下统称磋商申请人代表）递交，并出示本人有效身份证（或港澳台通行证、护照，下同）的原件，和授权书原件（或说明磋商授权书原件装订在响应文件内），以证明授权代表的身份和被授权范围，并由采购人验证确认。</w:t>
      </w:r>
    </w:p>
    <w:p>
      <w:pPr>
        <w:pStyle w:val="14"/>
        <w:adjustRightInd w:val="0"/>
        <w:snapToGrid w:val="0"/>
        <w:outlineLvl w:val="1"/>
        <w:rPr>
          <w:rFonts w:ascii="仿宋" w:hAnsi="仿宋" w:eastAsia="仿宋" w:cs="仿宋"/>
          <w:b/>
          <w:color w:val="000000" w:themeColor="text1"/>
          <w:highlight w:val="none"/>
          <w:lang w:val="en-GB" w:eastAsia="zh-CN"/>
        </w:rPr>
      </w:pPr>
      <w:bookmarkStart w:id="88" w:name="_Toc16131"/>
      <w:bookmarkStart w:id="89" w:name="_Toc433126996"/>
      <w:bookmarkStart w:id="90" w:name="_Toc31116"/>
      <w:bookmarkStart w:id="91" w:name="_Toc23669"/>
      <w:bookmarkStart w:id="92" w:name="_Toc18910"/>
      <w:r>
        <w:rPr>
          <w:rFonts w:ascii="仿宋" w:hAnsi="仿宋" w:eastAsia="仿宋" w:cs="仿宋"/>
          <w:b/>
          <w:color w:val="000000" w:themeColor="text1"/>
          <w:highlight w:val="none"/>
          <w:lang w:val="en-GB" w:eastAsia="zh-CN"/>
        </w:rPr>
        <w:t>11</w:t>
      </w:r>
      <w:r>
        <w:rPr>
          <w:rFonts w:hint="eastAsia" w:ascii="仿宋" w:hAnsi="仿宋" w:eastAsia="仿宋" w:cs="仿宋"/>
          <w:b/>
          <w:color w:val="000000" w:themeColor="text1"/>
          <w:highlight w:val="none"/>
          <w:lang w:val="en-GB" w:eastAsia="zh-CN"/>
        </w:rPr>
        <w:t>、响应文件编制</w:t>
      </w:r>
      <w:bookmarkEnd w:id="88"/>
      <w:bookmarkEnd w:id="89"/>
      <w:bookmarkEnd w:id="90"/>
      <w:bookmarkEnd w:id="91"/>
      <w:bookmarkEnd w:id="92"/>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11.1</w:t>
      </w:r>
      <w:r>
        <w:rPr>
          <w:rFonts w:hint="eastAsia" w:ascii="仿宋" w:hAnsi="仿宋" w:eastAsia="仿宋" w:cs="仿宋"/>
          <w:bCs/>
          <w:color w:val="000000" w:themeColor="text1"/>
          <w:sz w:val="24"/>
          <w:highlight w:val="none"/>
          <w:lang w:val="en-GB"/>
        </w:rPr>
        <w:t>供应商应完整地填写磋商文件中提供的《磋商承诺函》、《报价一览表》等磋商文件中规定的所有内容。</w:t>
      </w:r>
    </w:p>
    <w:p>
      <w:pPr>
        <w:pStyle w:val="14"/>
        <w:adjustRightInd w:val="0"/>
        <w:snapToGrid w:val="0"/>
        <w:ind w:firstLine="448" w:firstLineChars="200"/>
        <w:rPr>
          <w:rFonts w:ascii="仿宋" w:hAnsi="仿宋" w:eastAsia="仿宋" w:cs="仿宋"/>
          <w:bCs/>
          <w:color w:val="000000" w:themeColor="text1"/>
          <w:highlight w:val="none"/>
          <w:lang w:val="en-GB" w:eastAsia="zh-CN"/>
        </w:rPr>
      </w:pPr>
      <w:r>
        <w:rPr>
          <w:rFonts w:ascii="仿宋" w:hAnsi="仿宋" w:eastAsia="仿宋" w:cs="仿宋"/>
          <w:bCs/>
          <w:color w:val="000000" w:themeColor="text1"/>
          <w:highlight w:val="none"/>
          <w:lang w:val="en-GB" w:eastAsia="zh-CN"/>
        </w:rPr>
        <w:t>11.2</w:t>
      </w:r>
      <w:r>
        <w:rPr>
          <w:rFonts w:hint="eastAsia" w:ascii="仿宋" w:hAnsi="仿宋" w:eastAsia="仿宋" w:cs="仿宋"/>
          <w:bCs/>
          <w:color w:val="000000" w:themeColor="text1"/>
          <w:highlight w:val="none"/>
          <w:lang w:val="en-GB" w:eastAsia="zh-CN"/>
        </w:rPr>
        <w:t>供应商必须保证响应文件所提供的全部资料真实可靠，并接受采购代理机构对其中任何资料进一步审查的要求。</w:t>
      </w:r>
    </w:p>
    <w:p>
      <w:pPr>
        <w:pStyle w:val="14"/>
        <w:adjustRightInd w:val="0"/>
        <w:snapToGrid w:val="0"/>
        <w:ind w:firstLine="448" w:firstLineChars="200"/>
        <w:rPr>
          <w:rFonts w:ascii="仿宋" w:hAnsi="仿宋" w:eastAsia="仿宋" w:cs="仿宋"/>
          <w:bCs/>
          <w:color w:val="000000" w:themeColor="text1"/>
          <w:highlight w:val="none"/>
          <w:lang w:val="en-GB" w:eastAsia="zh-CN"/>
        </w:rPr>
      </w:pPr>
      <w:r>
        <w:rPr>
          <w:rFonts w:ascii="仿宋" w:hAnsi="仿宋" w:eastAsia="仿宋" w:cs="仿宋"/>
          <w:bCs/>
          <w:color w:val="000000" w:themeColor="text1"/>
          <w:highlight w:val="none"/>
          <w:lang w:val="en-GB" w:eastAsia="zh-CN"/>
        </w:rPr>
        <w:t>11.3</w:t>
      </w:r>
      <w:r>
        <w:rPr>
          <w:rFonts w:hint="eastAsia" w:ascii="仿宋" w:hAnsi="仿宋" w:eastAsia="仿宋" w:cs="仿宋"/>
          <w:bCs/>
          <w:color w:val="000000" w:themeColor="text1"/>
          <w:highlight w:val="none"/>
          <w:lang w:val="en-GB" w:eastAsia="zh-CN"/>
        </w:rPr>
        <w:t>如果响应文件填报的内容不详，或没有提供磋商文件中所要求的全部资料及数据，使磋商小组无法正常评审的，由此产生的结果由供应商承担。</w:t>
      </w:r>
    </w:p>
    <w:p>
      <w:pPr>
        <w:pStyle w:val="82"/>
        <w:spacing w:line="360" w:lineRule="auto"/>
        <w:ind w:firstLine="480" w:firstLineChars="200"/>
        <w:jc w:val="both"/>
        <w:rPr>
          <w:rFonts w:ascii="仿宋" w:hAnsi="仿宋" w:eastAsia="仿宋" w:cs="仿宋"/>
          <w:bCs w:val="0"/>
          <w:color w:val="000000" w:themeColor="text1"/>
          <w:spacing w:val="0"/>
          <w:szCs w:val="24"/>
          <w:highlight w:val="none"/>
          <w:lang w:val="en-GB"/>
        </w:rPr>
      </w:pPr>
      <w:r>
        <w:rPr>
          <w:rFonts w:ascii="仿宋" w:hAnsi="仿宋" w:eastAsia="仿宋" w:cs="仿宋"/>
          <w:color w:val="000000" w:themeColor="text1"/>
          <w:spacing w:val="0"/>
          <w:kern w:val="2"/>
          <w:szCs w:val="24"/>
          <w:highlight w:val="none"/>
          <w:lang w:val="en-GB"/>
        </w:rPr>
        <w:t>11.4</w:t>
      </w:r>
      <w:r>
        <w:rPr>
          <w:rFonts w:hint="eastAsia" w:ascii="仿宋" w:hAnsi="仿宋" w:eastAsia="仿宋" w:cs="仿宋"/>
          <w:color w:val="000000" w:themeColor="text1"/>
          <w:spacing w:val="0"/>
          <w:kern w:val="2"/>
          <w:szCs w:val="24"/>
          <w:highlight w:val="none"/>
          <w:lang w:val="en-GB"/>
        </w:rPr>
        <w:t>响应文件外形尺寸应统一为</w:t>
      </w:r>
      <w:r>
        <w:rPr>
          <w:rFonts w:ascii="仿宋" w:hAnsi="仿宋" w:eastAsia="仿宋" w:cs="仿宋"/>
          <w:color w:val="000000" w:themeColor="text1"/>
          <w:spacing w:val="0"/>
          <w:kern w:val="2"/>
          <w:szCs w:val="24"/>
          <w:highlight w:val="none"/>
          <w:lang w:val="en-GB"/>
        </w:rPr>
        <w:t>A4</w:t>
      </w:r>
      <w:r>
        <w:rPr>
          <w:rFonts w:hint="eastAsia" w:ascii="仿宋" w:hAnsi="仿宋" w:eastAsia="仿宋" w:cs="仿宋"/>
          <w:color w:val="000000" w:themeColor="text1"/>
          <w:spacing w:val="0"/>
          <w:kern w:val="2"/>
          <w:szCs w:val="24"/>
          <w:highlight w:val="none"/>
          <w:lang w:val="en-GB"/>
        </w:rPr>
        <w:t>纸规格，</w:t>
      </w:r>
      <w:r>
        <w:rPr>
          <w:rFonts w:hint="eastAsia" w:ascii="仿宋" w:hAnsi="仿宋" w:eastAsia="仿宋" w:cs="仿宋"/>
          <w:bCs w:val="0"/>
          <w:color w:val="000000" w:themeColor="text1"/>
          <w:spacing w:val="0"/>
          <w:szCs w:val="24"/>
          <w:highlight w:val="none"/>
          <w:lang w:val="en-GB"/>
        </w:rPr>
        <w:t>文件所使用的印章必须为企业公章，且与供应商名称完全一致，不能以其它业务章或附属机构印章代替。需签名之处必须由当事人亲笔签署。</w:t>
      </w:r>
    </w:p>
    <w:p>
      <w:pPr>
        <w:pStyle w:val="82"/>
        <w:spacing w:line="360" w:lineRule="auto"/>
        <w:ind w:firstLine="480" w:firstLineChars="200"/>
        <w:jc w:val="both"/>
        <w:rPr>
          <w:rFonts w:ascii="仿宋" w:hAnsi="仿宋" w:eastAsia="仿宋" w:cs="仿宋"/>
          <w:bCs w:val="0"/>
          <w:color w:val="000000" w:themeColor="text1"/>
          <w:spacing w:val="0"/>
          <w:szCs w:val="24"/>
          <w:highlight w:val="none"/>
          <w:lang w:val="en-GB"/>
        </w:rPr>
      </w:pPr>
      <w:r>
        <w:rPr>
          <w:rFonts w:ascii="仿宋" w:hAnsi="仿宋" w:eastAsia="仿宋" w:cs="仿宋"/>
          <w:bCs w:val="0"/>
          <w:color w:val="000000" w:themeColor="text1"/>
          <w:spacing w:val="0"/>
          <w:szCs w:val="24"/>
          <w:highlight w:val="none"/>
        </w:rPr>
        <w:t>11</w:t>
      </w:r>
      <w:r>
        <w:rPr>
          <w:rFonts w:ascii="仿宋" w:hAnsi="仿宋" w:eastAsia="仿宋" w:cs="仿宋"/>
          <w:bCs w:val="0"/>
          <w:color w:val="000000" w:themeColor="text1"/>
          <w:spacing w:val="0"/>
          <w:szCs w:val="24"/>
          <w:highlight w:val="none"/>
          <w:lang w:val="en-GB"/>
        </w:rPr>
        <w:t>.</w:t>
      </w:r>
      <w:r>
        <w:rPr>
          <w:rFonts w:ascii="仿宋" w:hAnsi="仿宋" w:eastAsia="仿宋" w:cs="仿宋"/>
          <w:bCs w:val="0"/>
          <w:color w:val="000000" w:themeColor="text1"/>
          <w:spacing w:val="0"/>
          <w:szCs w:val="24"/>
          <w:highlight w:val="none"/>
        </w:rPr>
        <w:t xml:space="preserve">5 </w:t>
      </w:r>
      <w:r>
        <w:rPr>
          <w:rFonts w:hint="eastAsia" w:ascii="仿宋" w:hAnsi="仿宋" w:eastAsia="仿宋" w:cs="仿宋"/>
          <w:bCs w:val="0"/>
          <w:color w:val="000000" w:themeColor="text1"/>
          <w:spacing w:val="0"/>
          <w:szCs w:val="24"/>
          <w:highlight w:val="none"/>
          <w:lang w:val="en-GB"/>
        </w:rPr>
        <w:t>响应文件自制部分必须打印，每页须按顺序加注页码，装订牢固且不会轻易脱落</w:t>
      </w:r>
      <w:r>
        <w:rPr>
          <w:rFonts w:hint="eastAsia" w:ascii="仿宋" w:hAnsi="仿宋" w:eastAsia="仿宋" w:cs="仿宋"/>
          <w:b/>
          <w:color w:val="000000" w:themeColor="text1"/>
          <w:spacing w:val="0"/>
          <w:szCs w:val="24"/>
          <w:highlight w:val="none"/>
          <w:lang w:val="en-GB"/>
        </w:rPr>
        <w:t>（注：胶装）</w:t>
      </w:r>
      <w:r>
        <w:rPr>
          <w:rFonts w:hint="eastAsia" w:ascii="仿宋" w:hAnsi="仿宋" w:eastAsia="仿宋" w:cs="仿宋"/>
          <w:bCs w:val="0"/>
          <w:color w:val="000000" w:themeColor="text1"/>
          <w:spacing w:val="0"/>
          <w:szCs w:val="24"/>
          <w:highlight w:val="none"/>
          <w:lang w:val="en-GB"/>
        </w:rPr>
        <w:t>。如因装订问题而出现漏页或缺页，由此产生的一切后果由供应商自行承担。</w:t>
      </w:r>
    </w:p>
    <w:p>
      <w:pPr>
        <w:pStyle w:val="82"/>
        <w:spacing w:line="360" w:lineRule="auto"/>
        <w:ind w:firstLine="480" w:firstLineChars="200"/>
        <w:jc w:val="both"/>
        <w:rPr>
          <w:rFonts w:ascii="仿宋" w:hAnsi="仿宋" w:eastAsia="仿宋" w:cs="仿宋"/>
          <w:bCs w:val="0"/>
          <w:color w:val="000000" w:themeColor="text1"/>
          <w:spacing w:val="0"/>
          <w:szCs w:val="24"/>
          <w:highlight w:val="none"/>
          <w:lang w:val="en-GB"/>
        </w:rPr>
      </w:pPr>
      <w:r>
        <w:rPr>
          <w:rFonts w:ascii="仿宋" w:hAnsi="仿宋" w:eastAsia="仿宋" w:cs="仿宋"/>
          <w:bCs w:val="0"/>
          <w:color w:val="000000" w:themeColor="text1"/>
          <w:spacing w:val="0"/>
          <w:szCs w:val="24"/>
          <w:highlight w:val="none"/>
        </w:rPr>
        <w:t>11</w:t>
      </w:r>
      <w:r>
        <w:rPr>
          <w:rFonts w:ascii="仿宋" w:hAnsi="仿宋" w:eastAsia="仿宋" w:cs="仿宋"/>
          <w:bCs w:val="0"/>
          <w:color w:val="000000" w:themeColor="text1"/>
          <w:spacing w:val="0"/>
          <w:szCs w:val="24"/>
          <w:highlight w:val="none"/>
          <w:lang w:val="en-GB"/>
        </w:rPr>
        <w:t>.</w:t>
      </w:r>
      <w:r>
        <w:rPr>
          <w:rFonts w:ascii="仿宋" w:hAnsi="仿宋" w:eastAsia="仿宋" w:cs="仿宋"/>
          <w:bCs w:val="0"/>
          <w:color w:val="000000" w:themeColor="text1"/>
          <w:spacing w:val="0"/>
          <w:szCs w:val="24"/>
          <w:highlight w:val="none"/>
        </w:rPr>
        <w:t xml:space="preserve">6 </w:t>
      </w:r>
      <w:r>
        <w:rPr>
          <w:rFonts w:hint="eastAsia" w:ascii="仿宋" w:hAnsi="仿宋" w:eastAsia="仿宋" w:cs="仿宋"/>
          <w:bCs w:val="0"/>
          <w:color w:val="000000" w:themeColor="text1"/>
          <w:spacing w:val="0"/>
          <w:szCs w:val="24"/>
          <w:highlight w:val="none"/>
          <w:lang w:val="en-GB"/>
        </w:rPr>
        <w:t>任何行间插字、涂改和增删，必须由供应商授权代表在旁边签字或盖章后方可有效。</w:t>
      </w:r>
    </w:p>
    <w:p>
      <w:pPr>
        <w:pStyle w:val="14"/>
        <w:adjustRightInd w:val="0"/>
        <w:snapToGrid w:val="0"/>
        <w:outlineLvl w:val="1"/>
        <w:rPr>
          <w:rFonts w:ascii="仿宋" w:hAnsi="仿宋" w:eastAsia="仿宋" w:cs="仿宋"/>
          <w:bCs/>
          <w:color w:val="000000" w:themeColor="text1"/>
          <w:highlight w:val="none"/>
          <w:lang w:eastAsia="zh-CN"/>
        </w:rPr>
      </w:pPr>
      <w:bookmarkStart w:id="93" w:name="_Toc27500"/>
      <w:bookmarkStart w:id="94" w:name="_Toc2978"/>
      <w:bookmarkStart w:id="95" w:name="_Toc23495"/>
      <w:bookmarkStart w:id="96" w:name="_Toc433126997"/>
      <w:bookmarkStart w:id="97" w:name="_Toc8534"/>
      <w:r>
        <w:rPr>
          <w:rFonts w:ascii="仿宋" w:hAnsi="仿宋" w:eastAsia="仿宋" w:cs="仿宋"/>
          <w:bCs/>
          <w:color w:val="000000" w:themeColor="text1"/>
          <w:highlight w:val="none"/>
          <w:lang w:eastAsia="zh-CN"/>
        </w:rPr>
        <w:t xml:space="preserve"> 11.7</w:t>
      </w:r>
      <w:r>
        <w:rPr>
          <w:rFonts w:hint="eastAsia" w:ascii="仿宋" w:hAnsi="仿宋" w:eastAsia="仿宋" w:cs="仿宋"/>
          <w:bCs/>
          <w:color w:val="000000" w:themeColor="text1"/>
          <w:highlight w:val="none"/>
          <w:lang w:eastAsia="zh-CN"/>
        </w:rPr>
        <w:t>投标有效期</w:t>
      </w:r>
    </w:p>
    <w:p>
      <w:pPr>
        <w:pStyle w:val="14"/>
        <w:adjustRightInd w:val="0"/>
        <w:snapToGrid w:val="0"/>
        <w:ind w:firstLine="448" w:firstLineChars="200"/>
        <w:outlineLvl w:val="1"/>
        <w:rPr>
          <w:rFonts w:ascii="仿宋" w:hAnsi="仿宋" w:eastAsia="仿宋" w:cs="仿宋"/>
          <w:bCs/>
          <w:color w:val="000000" w:themeColor="text1"/>
          <w:highlight w:val="none"/>
          <w:lang w:eastAsia="zh-CN"/>
        </w:rPr>
      </w:pPr>
      <w:r>
        <w:rPr>
          <w:rFonts w:ascii="仿宋" w:hAnsi="仿宋" w:eastAsia="仿宋" w:cs="仿宋"/>
          <w:bCs/>
          <w:color w:val="000000" w:themeColor="text1"/>
          <w:highlight w:val="none"/>
          <w:lang w:eastAsia="zh-CN"/>
        </w:rPr>
        <w:t xml:space="preserve">11.7.1 </w:t>
      </w:r>
      <w:r>
        <w:rPr>
          <w:rFonts w:hint="eastAsia" w:ascii="仿宋" w:hAnsi="仿宋" w:eastAsia="仿宋" w:cs="仿宋"/>
          <w:bCs/>
          <w:color w:val="000000" w:themeColor="text1"/>
          <w:highlight w:val="none"/>
          <w:lang w:eastAsia="zh-CN"/>
        </w:rPr>
        <w:t>投标有效期为从自响应文件递交截止之日起</w:t>
      </w:r>
      <w:r>
        <w:rPr>
          <w:rFonts w:ascii="仿宋" w:hAnsi="仿宋" w:eastAsia="仿宋" w:cs="仿宋"/>
          <w:bCs/>
          <w:color w:val="000000" w:themeColor="text1"/>
          <w:highlight w:val="none"/>
          <w:lang w:eastAsia="zh-CN"/>
        </w:rPr>
        <w:t xml:space="preserve"> 60 </w:t>
      </w:r>
      <w:r>
        <w:rPr>
          <w:rFonts w:hint="eastAsia" w:ascii="仿宋" w:hAnsi="仿宋" w:eastAsia="仿宋" w:cs="仿宋"/>
          <w:bCs/>
          <w:color w:val="000000" w:themeColor="text1"/>
          <w:highlight w:val="none"/>
          <w:lang w:eastAsia="zh-CN"/>
        </w:rPr>
        <w:t>天内，有效期短于此规定的响应文件将被视为无效。</w:t>
      </w:r>
    </w:p>
    <w:p>
      <w:pPr>
        <w:pStyle w:val="14"/>
        <w:adjustRightInd w:val="0"/>
        <w:snapToGrid w:val="0"/>
        <w:ind w:firstLine="448" w:firstLineChars="200"/>
        <w:outlineLvl w:val="1"/>
        <w:rPr>
          <w:rFonts w:ascii="仿宋" w:hAnsi="仿宋" w:eastAsia="仿宋" w:cs="仿宋"/>
          <w:bCs/>
          <w:color w:val="000000" w:themeColor="text1"/>
          <w:highlight w:val="none"/>
          <w:lang w:eastAsia="zh-CN"/>
        </w:rPr>
      </w:pPr>
      <w:r>
        <w:rPr>
          <w:rFonts w:ascii="仿宋" w:hAnsi="仿宋" w:eastAsia="仿宋" w:cs="仿宋"/>
          <w:bCs/>
          <w:color w:val="000000" w:themeColor="text1"/>
          <w:highlight w:val="none"/>
          <w:lang w:eastAsia="zh-CN"/>
        </w:rPr>
        <w:t xml:space="preserve">11.7.2 </w:t>
      </w:r>
      <w:r>
        <w:rPr>
          <w:rFonts w:hint="eastAsia" w:ascii="仿宋" w:hAnsi="仿宋" w:eastAsia="仿宋" w:cs="仿宋"/>
          <w:bCs/>
          <w:color w:val="000000" w:themeColor="text1"/>
          <w:highlight w:val="none"/>
          <w:lang w:eastAsia="zh-CN"/>
        </w:rPr>
        <w:t>在特殊情况下，招标代理机构可于投标有效期满之前，征得投标人同意延长投标有效期，要求与答复均应以书面形式进行。投标人可以拒绝接受这一要求而放弃投标，投标保证金将尽快无息退还。同意这一要求的投标人，无需也不允许修改其响应文件，但须相应延长投标保证金的有效期。受投标有效期制约的所有权利和义务均应延长至新的有效期。</w:t>
      </w:r>
    </w:p>
    <w:p>
      <w:pPr>
        <w:pStyle w:val="14"/>
        <w:adjustRightInd w:val="0"/>
        <w:snapToGrid w:val="0"/>
        <w:outlineLvl w:val="1"/>
        <w:rPr>
          <w:rFonts w:ascii="仿宋" w:hAnsi="仿宋" w:eastAsia="仿宋" w:cs="仿宋"/>
          <w:b/>
          <w:color w:val="000000" w:themeColor="text1"/>
          <w:highlight w:val="none"/>
          <w:lang w:val="en-GB" w:eastAsia="zh-CN"/>
        </w:rPr>
      </w:pPr>
      <w:r>
        <w:rPr>
          <w:rFonts w:ascii="仿宋" w:hAnsi="仿宋" w:eastAsia="仿宋" w:cs="仿宋"/>
          <w:b/>
          <w:color w:val="000000" w:themeColor="text1"/>
          <w:highlight w:val="none"/>
          <w:lang w:val="en-GB" w:eastAsia="zh-CN"/>
        </w:rPr>
        <w:t>12</w:t>
      </w:r>
      <w:r>
        <w:rPr>
          <w:rFonts w:hint="eastAsia" w:ascii="仿宋" w:hAnsi="仿宋" w:eastAsia="仿宋" w:cs="仿宋"/>
          <w:b/>
          <w:color w:val="000000" w:themeColor="text1"/>
          <w:highlight w:val="none"/>
          <w:lang w:val="en-GB" w:eastAsia="zh-CN"/>
        </w:rPr>
        <w:t>、报价</w:t>
      </w:r>
      <w:bookmarkEnd w:id="93"/>
      <w:bookmarkEnd w:id="94"/>
      <w:bookmarkEnd w:id="95"/>
      <w:bookmarkEnd w:id="96"/>
      <w:bookmarkEnd w:id="97"/>
    </w:p>
    <w:p>
      <w:pPr>
        <w:pStyle w:val="11"/>
        <w:spacing w:line="360" w:lineRule="auto"/>
        <w:ind w:firstLine="480" w:firstLineChars="200"/>
        <w:rPr>
          <w:rFonts w:ascii="仿宋" w:hAnsi="仿宋" w:eastAsia="仿宋" w:cs="仿宋"/>
          <w:bCs/>
          <w:color w:val="000000" w:themeColor="text1"/>
          <w:sz w:val="24"/>
          <w:highlight w:val="none"/>
        </w:rPr>
      </w:pPr>
      <w:bookmarkStart w:id="98" w:name="_Toc433126998"/>
      <w:bookmarkStart w:id="99" w:name="_Toc31588"/>
      <w:r>
        <w:rPr>
          <w:rFonts w:hint="eastAsia" w:ascii="仿宋" w:hAnsi="仿宋" w:eastAsia="仿宋" w:cs="仿宋"/>
          <w:bCs/>
          <w:color w:val="000000" w:themeColor="text1"/>
          <w:sz w:val="24"/>
          <w:highlight w:val="none"/>
        </w:rPr>
        <w:t>不得恶意低价竞标。评标委员会认为投标人的报价明显低于其他通过初步审查投标人的报价，有可能影响服务质量或者不能诚信履约的，将要求其在评标现场合理的时间内提供书面说明，必要时提交相关证明材料；投标人不能证明其报价合理性的，投标将作为无效投标处理。</w:t>
      </w:r>
    </w:p>
    <w:p>
      <w:pPr>
        <w:adjustRightInd w:val="0"/>
        <w:snapToGrid w:val="0"/>
        <w:spacing w:line="360" w:lineRule="auto"/>
        <w:outlineLvl w:val="1"/>
        <w:rPr>
          <w:rFonts w:ascii="仿宋" w:hAnsi="仿宋" w:eastAsia="仿宋" w:cs="仿宋"/>
          <w:b/>
          <w:color w:val="000000" w:themeColor="text1"/>
          <w:sz w:val="24"/>
          <w:highlight w:val="none"/>
          <w:lang w:val="en-GB"/>
        </w:rPr>
      </w:pPr>
      <w:bookmarkStart w:id="100" w:name="_Toc24611"/>
      <w:bookmarkStart w:id="101" w:name="_Toc24268"/>
      <w:bookmarkStart w:id="102" w:name="_Toc19025"/>
      <w:r>
        <w:rPr>
          <w:rFonts w:ascii="仿宋" w:hAnsi="仿宋" w:eastAsia="仿宋" w:cs="仿宋"/>
          <w:b/>
          <w:color w:val="000000" w:themeColor="text1"/>
          <w:sz w:val="24"/>
          <w:highlight w:val="none"/>
          <w:lang w:val="en-GB"/>
        </w:rPr>
        <w:t>13</w:t>
      </w:r>
      <w:r>
        <w:rPr>
          <w:rFonts w:hint="eastAsia" w:ascii="仿宋" w:hAnsi="仿宋" w:eastAsia="仿宋" w:cs="仿宋"/>
          <w:b/>
          <w:color w:val="000000" w:themeColor="text1"/>
          <w:sz w:val="24"/>
          <w:highlight w:val="none"/>
          <w:lang w:val="en-GB"/>
        </w:rPr>
        <w:t>、备选方案</w:t>
      </w:r>
      <w:bookmarkEnd w:id="98"/>
      <w:bookmarkEnd w:id="99"/>
      <w:bookmarkEnd w:id="100"/>
      <w:bookmarkEnd w:id="101"/>
      <w:bookmarkEnd w:id="102"/>
    </w:p>
    <w:p>
      <w:pPr>
        <w:pStyle w:val="14"/>
        <w:adjustRightInd w:val="0"/>
        <w:snapToGrid w:val="0"/>
        <w:ind w:firstLine="448" w:firstLineChars="200"/>
        <w:rPr>
          <w:rFonts w:ascii="仿宋" w:hAnsi="仿宋" w:eastAsia="仿宋" w:cs="仿宋"/>
          <w:bCs/>
          <w:color w:val="000000" w:themeColor="text1"/>
          <w:highlight w:val="none"/>
          <w:lang w:val="en-GB" w:eastAsia="zh-CN"/>
        </w:rPr>
      </w:pPr>
      <w:r>
        <w:rPr>
          <w:rFonts w:hint="eastAsia" w:ascii="仿宋" w:hAnsi="仿宋" w:eastAsia="仿宋" w:cs="仿宋"/>
          <w:bCs/>
          <w:color w:val="000000" w:themeColor="text1"/>
          <w:highlight w:val="none"/>
          <w:lang w:val="en-GB" w:eastAsia="zh-CN"/>
        </w:rPr>
        <w:t>本次竞争性磋商只允许供应商有一个响应方案，否则视其响应文件无效。</w:t>
      </w:r>
    </w:p>
    <w:p>
      <w:pPr>
        <w:adjustRightInd w:val="0"/>
        <w:snapToGrid w:val="0"/>
        <w:spacing w:line="360" w:lineRule="auto"/>
        <w:outlineLvl w:val="1"/>
        <w:rPr>
          <w:rFonts w:ascii="仿宋" w:hAnsi="仿宋" w:eastAsia="仿宋" w:cs="仿宋"/>
          <w:b/>
          <w:color w:val="000000" w:themeColor="text1"/>
          <w:sz w:val="24"/>
          <w:highlight w:val="none"/>
          <w:lang w:val="en-GB"/>
        </w:rPr>
      </w:pPr>
      <w:bookmarkStart w:id="103" w:name="_Toc29097"/>
      <w:bookmarkStart w:id="104" w:name="_Toc20753"/>
      <w:bookmarkStart w:id="105" w:name="_Toc31209"/>
      <w:bookmarkStart w:id="106" w:name="_Toc28765"/>
      <w:bookmarkStart w:id="107" w:name="_Toc433126999"/>
      <w:r>
        <w:rPr>
          <w:rFonts w:ascii="仿宋" w:hAnsi="仿宋" w:eastAsia="仿宋" w:cs="仿宋"/>
          <w:b/>
          <w:color w:val="000000" w:themeColor="text1"/>
          <w:sz w:val="24"/>
          <w:highlight w:val="none"/>
        </w:rPr>
        <w:t>14</w:t>
      </w:r>
      <w:r>
        <w:rPr>
          <w:rFonts w:hint="eastAsia"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lang w:val="en-GB"/>
        </w:rPr>
        <w:t>磋商保证金</w:t>
      </w:r>
      <w:bookmarkEnd w:id="103"/>
      <w:bookmarkEnd w:id="104"/>
      <w:bookmarkEnd w:id="105"/>
      <w:bookmarkEnd w:id="106"/>
      <w:bookmarkEnd w:id="107"/>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14.1 </w:t>
      </w:r>
      <w:r>
        <w:rPr>
          <w:rFonts w:hint="eastAsia" w:ascii="仿宋" w:hAnsi="仿宋" w:eastAsia="仿宋" w:cs="仿宋"/>
          <w:color w:val="000000" w:themeColor="text1"/>
          <w:sz w:val="24"/>
          <w:highlight w:val="none"/>
        </w:rPr>
        <w:t>磋商保证金是参加本项目磋商的必要条件，每个参与磋商的供应商保证金：</w:t>
      </w:r>
      <w:r>
        <w:rPr>
          <w:rFonts w:hint="eastAsia" w:ascii="仿宋" w:hAnsi="仿宋" w:eastAsia="仿宋" w:cs="仿宋"/>
          <w:b/>
          <w:bCs/>
          <w:color w:val="000000" w:themeColor="text1"/>
          <w:sz w:val="24"/>
          <w:highlight w:val="none"/>
        </w:rPr>
        <w:t>5</w:t>
      </w:r>
      <w:r>
        <w:rPr>
          <w:rFonts w:ascii="仿宋" w:hAnsi="仿宋" w:eastAsia="仿宋" w:cs="仿宋"/>
          <w:b/>
          <w:bCs/>
          <w:color w:val="000000" w:themeColor="text1"/>
          <w:sz w:val="24"/>
          <w:highlight w:val="none"/>
        </w:rPr>
        <w:t>000.00</w:t>
      </w:r>
      <w:r>
        <w:rPr>
          <w:rFonts w:hint="eastAsia" w:ascii="仿宋" w:hAnsi="仿宋" w:eastAsia="仿宋" w:cs="仿宋"/>
          <w:b/>
          <w:bCs/>
          <w:color w:val="000000" w:themeColor="text1"/>
          <w:sz w:val="24"/>
          <w:highlight w:val="none"/>
        </w:rPr>
        <w:t>元。</w:t>
      </w:r>
    </w:p>
    <w:p>
      <w:pPr>
        <w:spacing w:line="360" w:lineRule="auto"/>
        <w:ind w:firstLine="480" w:firstLineChars="200"/>
        <w:rPr>
          <w:rFonts w:ascii="仿宋" w:hAnsi="仿宋" w:eastAsia="仿宋" w:cs="仿宋"/>
          <w:b/>
          <w:color w:val="000000" w:themeColor="text1"/>
          <w:sz w:val="24"/>
          <w:highlight w:val="none"/>
        </w:rPr>
      </w:pPr>
      <w:r>
        <w:rPr>
          <w:rFonts w:ascii="仿宋" w:hAnsi="仿宋" w:eastAsia="仿宋" w:cs="仿宋"/>
          <w:color w:val="000000" w:themeColor="text1"/>
          <w:sz w:val="24"/>
          <w:highlight w:val="none"/>
        </w:rPr>
        <w:t>14.2</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sz w:val="24"/>
          <w:highlight w:val="none"/>
          <w:lang w:val="en-GB"/>
        </w:rPr>
        <w:t>保证金应在</w:t>
      </w:r>
      <w:r>
        <w:rPr>
          <w:rFonts w:ascii="仿宋" w:hAnsi="仿宋" w:eastAsia="仿宋" w:cs="仿宋"/>
          <w:color w:val="000000" w:themeColor="text1"/>
          <w:sz w:val="24"/>
          <w:highlight w:val="none"/>
          <w:u w:val="single"/>
        </w:rPr>
        <w:t>2021</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 xml:space="preserve">月 </w:t>
      </w:r>
      <w:r>
        <w:rPr>
          <w:rFonts w:hint="eastAsia" w:ascii="仿宋" w:hAnsi="仿宋" w:eastAsia="仿宋" w:cs="仿宋"/>
          <w:color w:val="000000" w:themeColor="text1"/>
          <w:sz w:val="24"/>
          <w:highlight w:val="none"/>
          <w:lang w:val="en-US" w:eastAsia="zh-CN"/>
        </w:rPr>
        <w:t>25</w:t>
      </w:r>
      <w:r>
        <w:rPr>
          <w:rFonts w:hint="eastAsia" w:ascii="仿宋" w:hAnsi="仿宋" w:eastAsia="仿宋" w:cs="仿宋"/>
          <w:color w:val="000000" w:themeColor="text1"/>
          <w:sz w:val="24"/>
          <w:highlight w:val="none"/>
        </w:rPr>
        <w:t>日</w:t>
      </w:r>
      <w:r>
        <w:rPr>
          <w:rFonts w:ascii="仿宋" w:hAnsi="仿宋" w:eastAsia="仿宋" w:cs="仿宋"/>
          <w:color w:val="000000" w:themeColor="text1"/>
          <w:sz w:val="24"/>
          <w:highlight w:val="none"/>
          <w:u w:val="single"/>
        </w:rPr>
        <w:t xml:space="preserve">0 </w:t>
      </w:r>
      <w:r>
        <w:rPr>
          <w:rFonts w:hint="eastAsia" w:ascii="仿宋" w:hAnsi="仿宋" w:eastAsia="仿宋" w:cs="仿宋"/>
          <w:color w:val="000000" w:themeColor="text1"/>
          <w:sz w:val="24"/>
          <w:highlight w:val="none"/>
          <w:u w:val="single"/>
        </w:rPr>
        <w:t>9</w:t>
      </w:r>
      <w:r>
        <w:rPr>
          <w:rFonts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u w:val="single"/>
        </w:rPr>
        <w:t>3</w:t>
      </w:r>
      <w:r>
        <w:rPr>
          <w:rFonts w:ascii="仿宋" w:hAnsi="仿宋" w:eastAsia="仿宋" w:cs="仿宋"/>
          <w:color w:val="000000" w:themeColor="text1"/>
          <w:sz w:val="24"/>
          <w:highlight w:val="none"/>
          <w:u w:val="single"/>
        </w:rPr>
        <w:t xml:space="preserve"> 0</w:t>
      </w:r>
      <w:r>
        <w:rPr>
          <w:rFonts w:hint="eastAsia" w:ascii="仿宋" w:hAnsi="仿宋" w:eastAsia="仿宋" w:cs="仿宋"/>
          <w:bCs/>
          <w:color w:val="000000" w:themeColor="text1"/>
          <w:sz w:val="24"/>
          <w:highlight w:val="none"/>
        </w:rPr>
        <w:t>前</w:t>
      </w:r>
      <w:r>
        <w:rPr>
          <w:rFonts w:hint="eastAsia" w:ascii="仿宋" w:hAnsi="仿宋" w:eastAsia="仿宋" w:cs="仿宋"/>
          <w:color w:val="000000" w:themeColor="text1"/>
          <w:sz w:val="24"/>
          <w:highlight w:val="none"/>
          <w:lang w:val="en-GB"/>
        </w:rPr>
        <w:t>划入或存入招标代理机构指定的账户</w:t>
      </w:r>
      <w:r>
        <w:rPr>
          <w:rFonts w:hint="eastAsia" w:ascii="仿宋" w:hAnsi="仿宋" w:eastAsia="仿宋" w:cs="仿宋"/>
          <w:color w:val="000000" w:themeColor="text1"/>
          <w:sz w:val="24"/>
          <w:highlight w:val="none"/>
        </w:rPr>
        <w:t>并注明汇款单位。</w:t>
      </w:r>
      <w:r>
        <w:rPr>
          <w:rFonts w:hint="eastAsia" w:ascii="仿宋" w:hAnsi="仿宋" w:eastAsia="仿宋" w:cs="仿宋"/>
          <w:color w:val="000000" w:themeColor="text1"/>
          <w:sz w:val="24"/>
          <w:highlight w:val="none"/>
          <w:lang w:val="en-GB"/>
        </w:rPr>
        <w:t>如供应商磋商保证金未按要求到账的，视为无效投标并不接收响应文件。</w:t>
      </w:r>
    </w:p>
    <w:p>
      <w:pPr>
        <w:spacing w:line="360" w:lineRule="auto"/>
        <w:ind w:left="1050" w:leftChars="500" w:firstLine="482" w:firstLineChars="200"/>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24"/>
          <w:highlight w:val="none"/>
        </w:rPr>
        <w:t>缴纳投标保证金银行账户：</w:t>
      </w:r>
    </w:p>
    <w:p>
      <w:pPr>
        <w:pStyle w:val="14"/>
        <w:pBdr>
          <w:top w:val="none" w:color="auto" w:sz="0" w:space="1"/>
          <w:left w:val="none" w:color="auto" w:sz="0" w:space="4"/>
          <w:bottom w:val="none" w:color="auto" w:sz="0" w:space="1"/>
          <w:right w:val="none" w:color="auto" w:sz="0" w:space="4"/>
        </w:pBdr>
        <w:adjustRightInd w:val="0"/>
        <w:snapToGrid w:val="0"/>
        <w:ind w:firstLine="1575" w:firstLineChars="700"/>
        <w:rPr>
          <w:rFonts w:ascii="仿宋" w:hAnsi="仿宋" w:eastAsia="仿宋" w:cs="仿宋"/>
          <w:b/>
          <w:bCs/>
          <w:color w:val="000000" w:themeColor="text1"/>
          <w:highlight w:val="none"/>
          <w:lang w:eastAsia="zh-CN"/>
        </w:rPr>
      </w:pPr>
      <w:r>
        <w:rPr>
          <w:rFonts w:hint="eastAsia" w:ascii="仿宋" w:hAnsi="仿宋" w:eastAsia="仿宋" w:cs="仿宋"/>
          <w:b/>
          <w:bCs/>
          <w:color w:val="000000" w:themeColor="text1"/>
          <w:highlight w:val="none"/>
          <w:lang w:eastAsia="zh-CN"/>
        </w:rPr>
        <w:t>开户名称：中咨环球（北京）工程咨询有限公司海南分公司</w:t>
      </w:r>
    </w:p>
    <w:p>
      <w:pPr>
        <w:pStyle w:val="14"/>
        <w:pBdr>
          <w:top w:val="none" w:color="auto" w:sz="0" w:space="1"/>
          <w:left w:val="none" w:color="auto" w:sz="0" w:space="4"/>
          <w:bottom w:val="none" w:color="auto" w:sz="0" w:space="1"/>
          <w:right w:val="none" w:color="auto" w:sz="0" w:space="4"/>
        </w:pBdr>
        <w:adjustRightInd w:val="0"/>
        <w:snapToGrid w:val="0"/>
        <w:ind w:firstLine="1575" w:firstLineChars="700"/>
        <w:rPr>
          <w:rFonts w:ascii="仿宋" w:hAnsi="仿宋" w:eastAsia="仿宋" w:cs="仿宋"/>
          <w:b/>
          <w:bCs/>
          <w:color w:val="000000" w:themeColor="text1"/>
          <w:highlight w:val="none"/>
          <w:lang w:eastAsia="zh-CN"/>
        </w:rPr>
      </w:pPr>
      <w:r>
        <w:rPr>
          <w:rFonts w:hint="eastAsia" w:ascii="仿宋" w:hAnsi="仿宋" w:eastAsia="仿宋" w:cs="仿宋"/>
          <w:b/>
          <w:bCs/>
          <w:color w:val="000000" w:themeColor="text1"/>
          <w:highlight w:val="none"/>
          <w:lang w:eastAsia="zh-CN"/>
        </w:rPr>
        <w:t>账  号：3923 0188 0002 4728 5</w:t>
      </w:r>
    </w:p>
    <w:p>
      <w:pPr>
        <w:pStyle w:val="14"/>
        <w:pBdr>
          <w:top w:val="none" w:color="auto" w:sz="0" w:space="1"/>
          <w:left w:val="none" w:color="auto" w:sz="0" w:space="4"/>
          <w:bottom w:val="none" w:color="auto" w:sz="0" w:space="1"/>
          <w:right w:val="none" w:color="auto" w:sz="0" w:space="4"/>
        </w:pBdr>
        <w:adjustRightInd w:val="0"/>
        <w:snapToGrid w:val="0"/>
        <w:ind w:firstLine="1575" w:firstLineChars="700"/>
        <w:rPr>
          <w:rFonts w:ascii="仿宋" w:hAnsi="仿宋" w:eastAsia="仿宋" w:cs="仿宋"/>
          <w:b/>
          <w:bCs/>
          <w:color w:val="000000" w:themeColor="text1"/>
          <w:highlight w:val="none"/>
          <w:lang w:eastAsia="zh-CN"/>
        </w:rPr>
      </w:pPr>
      <w:r>
        <w:rPr>
          <w:rFonts w:hint="eastAsia" w:ascii="仿宋" w:hAnsi="仿宋" w:eastAsia="仿宋" w:cs="仿宋"/>
          <w:b/>
          <w:bCs/>
          <w:color w:val="000000" w:themeColor="text1"/>
          <w:highlight w:val="none"/>
          <w:lang w:eastAsia="zh-CN"/>
        </w:rPr>
        <w:t>开户行：中国光大银行海口蓝天支行</w:t>
      </w:r>
    </w:p>
    <w:p>
      <w:pPr>
        <w:pStyle w:val="14"/>
        <w:adjustRightInd w:val="0"/>
        <w:snapToGrid w:val="0"/>
        <w:ind w:firstLine="448" w:firstLineChars="200"/>
        <w:rPr>
          <w:rFonts w:ascii="仿宋" w:hAnsi="仿宋" w:eastAsia="仿宋" w:cs="仿宋"/>
          <w:color w:val="000000" w:themeColor="text1"/>
          <w:highlight w:val="none"/>
          <w:lang w:eastAsia="zh-CN"/>
        </w:rPr>
      </w:pP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14.3 </w:t>
      </w:r>
      <w:r>
        <w:rPr>
          <w:rFonts w:hint="eastAsia" w:ascii="仿宋" w:hAnsi="仿宋" w:eastAsia="仿宋" w:cs="仿宋"/>
          <w:color w:val="000000" w:themeColor="text1"/>
          <w:highlight w:val="none"/>
          <w:lang w:eastAsia="zh-CN"/>
        </w:rPr>
        <w:t>磋商保证金的退还</w:t>
      </w: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14.3.l </w:t>
      </w:r>
      <w:r>
        <w:rPr>
          <w:rFonts w:hint="eastAsia" w:ascii="仿宋" w:hAnsi="仿宋" w:eastAsia="仿宋" w:cs="仿宋"/>
          <w:color w:val="000000" w:themeColor="text1"/>
          <w:highlight w:val="none"/>
          <w:lang w:eastAsia="zh-CN"/>
        </w:rPr>
        <w:t>成交供应商的磋商保证金在其与采购人签订合同后</w:t>
      </w:r>
      <w:r>
        <w:rPr>
          <w:rFonts w:ascii="仿宋" w:hAnsi="仿宋" w:eastAsia="仿宋" w:cs="仿宋"/>
          <w:color w:val="000000" w:themeColor="text1"/>
          <w:highlight w:val="none"/>
          <w:lang w:eastAsia="zh-CN"/>
        </w:rPr>
        <w:t>5</w:t>
      </w:r>
      <w:r>
        <w:rPr>
          <w:rFonts w:hint="eastAsia" w:ascii="仿宋" w:hAnsi="仿宋" w:eastAsia="仿宋" w:cs="仿宋"/>
          <w:color w:val="000000" w:themeColor="text1"/>
          <w:highlight w:val="none"/>
          <w:lang w:eastAsia="zh-CN"/>
        </w:rPr>
        <w:t>个工作日内无息退还。</w:t>
      </w: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14.3.2 </w:t>
      </w:r>
      <w:r>
        <w:rPr>
          <w:rFonts w:hint="eastAsia" w:ascii="仿宋" w:hAnsi="仿宋" w:eastAsia="仿宋" w:cs="仿宋"/>
          <w:color w:val="000000" w:themeColor="text1"/>
          <w:highlight w:val="none"/>
          <w:lang w:eastAsia="zh-CN"/>
        </w:rPr>
        <w:t>落选的供应商的磋商保证金将在招标代理机构发出成交通知书后</w:t>
      </w:r>
      <w:r>
        <w:rPr>
          <w:rFonts w:ascii="仿宋" w:hAnsi="仿宋" w:eastAsia="仿宋" w:cs="仿宋"/>
          <w:color w:val="000000" w:themeColor="text1"/>
          <w:highlight w:val="none"/>
          <w:lang w:eastAsia="zh-CN"/>
        </w:rPr>
        <w:t>5</w:t>
      </w:r>
      <w:r>
        <w:rPr>
          <w:rFonts w:hint="eastAsia" w:ascii="仿宋" w:hAnsi="仿宋" w:eastAsia="仿宋" w:cs="仿宋"/>
          <w:color w:val="000000" w:themeColor="text1"/>
          <w:highlight w:val="none"/>
          <w:lang w:eastAsia="zh-CN"/>
        </w:rPr>
        <w:t>个工作日内无息退还。</w:t>
      </w:r>
    </w:p>
    <w:p>
      <w:pPr>
        <w:pStyle w:val="14"/>
        <w:adjustRightInd w:val="0"/>
        <w:snapToGrid w:val="0"/>
        <w:ind w:firstLine="448" w:firstLineChars="200"/>
        <w:rPr>
          <w:rFonts w:ascii="仿宋" w:hAnsi="仿宋" w:eastAsia="仿宋" w:cs="仿宋"/>
          <w:color w:val="000000" w:themeColor="text1"/>
          <w:highlight w:val="none"/>
          <w:lang w:eastAsia="zh-CN"/>
        </w:rPr>
      </w:pPr>
      <w:r>
        <w:rPr>
          <w:rFonts w:ascii="仿宋" w:hAnsi="仿宋" w:eastAsia="仿宋" w:cs="仿宋"/>
          <w:color w:val="000000" w:themeColor="text1"/>
          <w:highlight w:val="none"/>
          <w:lang w:eastAsia="zh-CN"/>
        </w:rPr>
        <w:t xml:space="preserve">14.4 </w:t>
      </w:r>
      <w:r>
        <w:rPr>
          <w:rFonts w:hint="eastAsia" w:ascii="仿宋" w:hAnsi="仿宋" w:eastAsia="仿宋" w:cs="仿宋"/>
          <w:color w:val="000000" w:themeColor="text1"/>
          <w:highlight w:val="none"/>
          <w:lang w:eastAsia="zh-CN"/>
        </w:rPr>
        <w:t>发生下列情况之一者，磋商保证金将不予退还：</w:t>
      </w:r>
    </w:p>
    <w:p>
      <w:pPr>
        <w:pStyle w:val="14"/>
        <w:adjustRightInd w:val="0"/>
        <w:snapToGrid w:val="0"/>
        <w:ind w:firstLine="448" w:firstLineChars="200"/>
        <w:rPr>
          <w:rFonts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w:t>
      </w:r>
      <w:r>
        <w:rPr>
          <w:rFonts w:ascii="仿宋" w:hAnsi="仿宋" w:eastAsia="仿宋" w:cs="仿宋"/>
          <w:color w:val="000000" w:themeColor="text1"/>
          <w:highlight w:val="none"/>
          <w:lang w:eastAsia="zh-CN"/>
        </w:rPr>
        <w:t>1</w:t>
      </w:r>
      <w:r>
        <w:rPr>
          <w:rFonts w:hint="eastAsia" w:ascii="仿宋" w:hAnsi="仿宋" w:eastAsia="仿宋" w:cs="仿宋"/>
          <w:color w:val="000000" w:themeColor="text1"/>
          <w:highlight w:val="none"/>
          <w:lang w:eastAsia="zh-CN"/>
        </w:rPr>
        <w:t>）供应商在有效期内撤回其响应文件的；</w:t>
      </w:r>
    </w:p>
    <w:p>
      <w:pPr>
        <w:pStyle w:val="14"/>
        <w:adjustRightInd w:val="0"/>
        <w:snapToGrid w:val="0"/>
        <w:ind w:firstLine="448" w:firstLineChars="200"/>
        <w:rPr>
          <w:rFonts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w:t>
      </w:r>
      <w:r>
        <w:rPr>
          <w:rFonts w:ascii="仿宋" w:hAnsi="仿宋" w:eastAsia="仿宋" w:cs="仿宋"/>
          <w:color w:val="000000" w:themeColor="text1"/>
          <w:highlight w:val="none"/>
          <w:lang w:eastAsia="zh-CN"/>
        </w:rPr>
        <w:t>2</w:t>
      </w:r>
      <w:r>
        <w:rPr>
          <w:rFonts w:hint="eastAsia" w:ascii="仿宋" w:hAnsi="仿宋" w:eastAsia="仿宋" w:cs="仿宋"/>
          <w:color w:val="000000" w:themeColor="text1"/>
          <w:highlight w:val="none"/>
          <w:lang w:eastAsia="zh-CN"/>
        </w:rPr>
        <w:t>）供应商不按本章规定签订合同的；</w:t>
      </w:r>
    </w:p>
    <w:p>
      <w:pPr>
        <w:pStyle w:val="14"/>
        <w:adjustRightInd w:val="0"/>
        <w:snapToGrid w:val="0"/>
        <w:ind w:firstLine="448" w:firstLineChars="200"/>
        <w:rPr>
          <w:rFonts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w:t>
      </w:r>
      <w:r>
        <w:rPr>
          <w:rFonts w:ascii="仿宋" w:hAnsi="仿宋" w:eastAsia="仿宋" w:cs="仿宋"/>
          <w:color w:val="000000" w:themeColor="text1"/>
          <w:highlight w:val="none"/>
          <w:lang w:eastAsia="zh-CN"/>
        </w:rPr>
        <w:t>3</w:t>
      </w:r>
      <w:r>
        <w:rPr>
          <w:rFonts w:hint="eastAsia" w:ascii="仿宋" w:hAnsi="仿宋" w:eastAsia="仿宋" w:cs="仿宋"/>
          <w:color w:val="000000" w:themeColor="text1"/>
          <w:highlight w:val="none"/>
          <w:lang w:eastAsia="zh-CN"/>
        </w:rPr>
        <w:t>）供应商提供虚假材料谋取成交、成交的；</w:t>
      </w:r>
    </w:p>
    <w:p>
      <w:pPr>
        <w:pStyle w:val="14"/>
        <w:adjustRightInd w:val="0"/>
        <w:snapToGrid w:val="0"/>
        <w:ind w:firstLine="448" w:firstLineChars="200"/>
        <w:rPr>
          <w:rFonts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w:t>
      </w:r>
      <w:r>
        <w:rPr>
          <w:rFonts w:ascii="仿宋" w:hAnsi="仿宋" w:eastAsia="仿宋" w:cs="仿宋"/>
          <w:color w:val="000000" w:themeColor="text1"/>
          <w:highlight w:val="none"/>
          <w:lang w:eastAsia="zh-CN"/>
        </w:rPr>
        <w:t>4</w:t>
      </w:r>
      <w:r>
        <w:rPr>
          <w:rFonts w:hint="eastAsia" w:ascii="仿宋" w:hAnsi="仿宋" w:eastAsia="仿宋" w:cs="仿宋"/>
          <w:color w:val="000000" w:themeColor="text1"/>
          <w:highlight w:val="none"/>
          <w:lang w:eastAsia="zh-CN"/>
        </w:rPr>
        <w:t>）与采购人、其它供应商或者采购代理机构恶意串通的；</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）向采购人、采购代理机构、磋商小组成员行贿或者提供其他不正当利益的。</w:t>
      </w:r>
    </w:p>
    <w:p>
      <w:pPr>
        <w:autoSpaceDE w:val="0"/>
        <w:autoSpaceDN w:val="0"/>
        <w:adjustRightInd w:val="0"/>
        <w:snapToGrid w:val="0"/>
        <w:spacing w:line="360" w:lineRule="auto"/>
        <w:ind w:left="-420" w:leftChars="-200" w:right="34" w:firstLine="482" w:firstLineChars="200"/>
        <w:outlineLvl w:val="1"/>
        <w:rPr>
          <w:rFonts w:ascii="仿宋" w:hAnsi="仿宋" w:eastAsia="仿宋" w:cs="仿宋"/>
          <w:bCs/>
          <w:color w:val="000000" w:themeColor="text1"/>
          <w:sz w:val="24"/>
          <w:highlight w:val="none"/>
          <w:lang w:val="en-GB"/>
        </w:rPr>
      </w:pPr>
      <w:bookmarkStart w:id="108" w:name="_Toc433127000"/>
      <w:bookmarkStart w:id="109" w:name="_Toc11700"/>
      <w:bookmarkStart w:id="110" w:name="_Toc15106"/>
      <w:bookmarkStart w:id="111" w:name="_Toc4823"/>
      <w:bookmarkStart w:id="112" w:name="_Toc18471"/>
      <w:r>
        <w:rPr>
          <w:rFonts w:ascii="仿宋" w:hAnsi="仿宋" w:eastAsia="仿宋" w:cs="仿宋"/>
          <w:b/>
          <w:color w:val="000000" w:themeColor="text1"/>
          <w:sz w:val="24"/>
          <w:highlight w:val="none"/>
        </w:rPr>
        <w:t>15</w:t>
      </w:r>
      <w:r>
        <w:rPr>
          <w:rFonts w:hint="eastAsia"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lang w:val="en-GB"/>
        </w:rPr>
        <w:t>响应文件的数量和签署</w:t>
      </w:r>
      <w:bookmarkEnd w:id="108"/>
      <w:bookmarkEnd w:id="109"/>
      <w:bookmarkEnd w:id="110"/>
      <w:bookmarkEnd w:id="111"/>
      <w:bookmarkEnd w:id="112"/>
    </w:p>
    <w:p>
      <w:pPr>
        <w:spacing w:line="360" w:lineRule="auto"/>
        <w:ind w:firstLine="482" w:firstLineChars="200"/>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lang w:val="en-GB"/>
        </w:rPr>
        <w:t>1</w:t>
      </w:r>
      <w:r>
        <w:rPr>
          <w:rFonts w:ascii="仿宋" w:hAnsi="仿宋" w:eastAsia="仿宋" w:cs="仿宋"/>
          <w:b/>
          <w:color w:val="000000" w:themeColor="text1"/>
          <w:sz w:val="24"/>
          <w:highlight w:val="none"/>
        </w:rPr>
        <w:t>5</w:t>
      </w:r>
      <w:r>
        <w:rPr>
          <w:rFonts w:ascii="仿宋" w:hAnsi="仿宋" w:eastAsia="仿宋" w:cs="仿宋"/>
          <w:b/>
          <w:color w:val="000000" w:themeColor="text1"/>
          <w:sz w:val="24"/>
          <w:highlight w:val="none"/>
          <w:lang w:val="en-GB"/>
        </w:rPr>
        <w:t xml:space="preserve">.1 </w:t>
      </w:r>
      <w:r>
        <w:rPr>
          <w:rFonts w:hint="eastAsia" w:ascii="仿宋" w:hAnsi="仿宋" w:eastAsia="仿宋" w:cs="仿宋"/>
          <w:b/>
          <w:color w:val="000000" w:themeColor="text1"/>
          <w:sz w:val="24"/>
          <w:highlight w:val="none"/>
          <w:lang w:val="en-GB"/>
        </w:rPr>
        <w:t>响应文件</w:t>
      </w:r>
      <w:r>
        <w:rPr>
          <w:rFonts w:hint="eastAsia" w:ascii="仿宋" w:hAnsi="仿宋" w:eastAsia="仿宋" w:cs="仿宋"/>
          <w:b/>
          <w:color w:val="000000" w:themeColor="text1"/>
          <w:sz w:val="24"/>
          <w:highlight w:val="none"/>
        </w:rPr>
        <w:t>一式四份（正本一份，副本三份），固定装订（注：胶装）。报价一览表一份，电子版响应文件一份。</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5</w:t>
      </w:r>
      <w:r>
        <w:rPr>
          <w:rFonts w:ascii="仿宋" w:hAnsi="仿宋" w:eastAsia="仿宋" w:cs="仿宋"/>
          <w:bCs/>
          <w:color w:val="000000" w:themeColor="text1"/>
          <w:sz w:val="24"/>
          <w:highlight w:val="none"/>
          <w:lang w:val="en-GB"/>
        </w:rPr>
        <w:t xml:space="preserve">.2 </w:t>
      </w:r>
      <w:r>
        <w:rPr>
          <w:rFonts w:hint="eastAsia" w:ascii="仿宋" w:hAnsi="仿宋" w:eastAsia="仿宋" w:cs="仿宋"/>
          <w:bCs/>
          <w:color w:val="000000" w:themeColor="text1"/>
          <w:sz w:val="24"/>
          <w:highlight w:val="none"/>
          <w:lang w:val="en-GB"/>
        </w:rPr>
        <w:t>响应文件须按磋商文件的要求执行，每份响应文件均须在封面上清楚标明“</w:t>
      </w:r>
      <w:r>
        <w:rPr>
          <w:rFonts w:hint="eastAsia" w:ascii="仿宋" w:hAnsi="仿宋" w:eastAsia="仿宋" w:cs="仿宋"/>
          <w:b/>
          <w:color w:val="000000" w:themeColor="text1"/>
          <w:sz w:val="24"/>
          <w:highlight w:val="none"/>
          <w:lang w:val="en-GB"/>
        </w:rPr>
        <w:t>正本</w:t>
      </w:r>
      <w:r>
        <w:rPr>
          <w:rFonts w:hint="eastAsia" w:ascii="仿宋" w:hAnsi="仿宋" w:eastAsia="仿宋" w:cs="仿宋"/>
          <w:bCs/>
          <w:color w:val="000000" w:themeColor="text1"/>
          <w:sz w:val="24"/>
          <w:highlight w:val="none"/>
          <w:lang w:val="en-GB"/>
        </w:rPr>
        <w:t>”或“</w:t>
      </w:r>
      <w:r>
        <w:rPr>
          <w:rFonts w:hint="eastAsia" w:ascii="仿宋" w:hAnsi="仿宋" w:eastAsia="仿宋" w:cs="仿宋"/>
          <w:b/>
          <w:color w:val="000000" w:themeColor="text1"/>
          <w:sz w:val="24"/>
          <w:highlight w:val="none"/>
          <w:lang w:val="en-GB"/>
        </w:rPr>
        <w:t>副本</w:t>
      </w:r>
      <w:r>
        <w:rPr>
          <w:rFonts w:hint="eastAsia" w:ascii="仿宋" w:hAnsi="仿宋" w:eastAsia="仿宋" w:cs="仿宋"/>
          <w:bCs/>
          <w:color w:val="000000" w:themeColor="text1"/>
          <w:sz w:val="24"/>
          <w:highlight w:val="none"/>
          <w:lang w:val="en-GB"/>
        </w:rPr>
        <w:t>”字样，“正本”和“副本”具有同等的法律效力；“正本”和“副本”之间如有差异，以“正本”为准。</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5</w:t>
      </w:r>
      <w:r>
        <w:rPr>
          <w:rFonts w:ascii="仿宋" w:hAnsi="仿宋" w:eastAsia="仿宋" w:cs="仿宋"/>
          <w:bCs/>
          <w:color w:val="000000" w:themeColor="text1"/>
          <w:sz w:val="24"/>
          <w:highlight w:val="none"/>
          <w:lang w:val="en-GB"/>
        </w:rPr>
        <w:t xml:space="preserve">.3 </w:t>
      </w:r>
      <w:r>
        <w:rPr>
          <w:rFonts w:hint="eastAsia" w:ascii="仿宋" w:hAnsi="仿宋" w:eastAsia="仿宋" w:cs="仿宋"/>
          <w:bCs/>
          <w:color w:val="000000" w:themeColor="text1"/>
          <w:sz w:val="24"/>
          <w:highlight w:val="none"/>
          <w:lang w:val="en-GB"/>
        </w:rPr>
        <w:t>响应文件正本中，文字材料需打印或用不褪色墨水书写。响应文件的正本须经法定代表人或授权代表在规定处签字，并加盖公章。</w:t>
      </w:r>
    </w:p>
    <w:p>
      <w:pPr>
        <w:snapToGrid w:val="0"/>
        <w:spacing w:line="360" w:lineRule="auto"/>
        <w:outlineLvl w:val="0"/>
        <w:rPr>
          <w:rFonts w:ascii="仿宋" w:hAnsi="仿宋" w:eastAsia="仿宋" w:cs="仿宋"/>
          <w:b/>
          <w:color w:val="000000" w:themeColor="text1"/>
          <w:sz w:val="28"/>
          <w:szCs w:val="28"/>
          <w:highlight w:val="none"/>
        </w:rPr>
      </w:pPr>
      <w:bookmarkStart w:id="113" w:name="_Toc7709"/>
      <w:bookmarkStart w:id="114" w:name="_Toc31122"/>
      <w:bookmarkStart w:id="115" w:name="_Toc21960"/>
      <w:bookmarkStart w:id="116" w:name="_Toc3747"/>
      <w:r>
        <w:rPr>
          <w:rFonts w:hint="eastAsia" w:ascii="仿宋" w:hAnsi="仿宋" w:eastAsia="仿宋" w:cs="仿宋"/>
          <w:b/>
          <w:color w:val="000000" w:themeColor="text1"/>
          <w:sz w:val="28"/>
          <w:szCs w:val="28"/>
          <w:highlight w:val="none"/>
        </w:rPr>
        <w:t>（四）响应文件的递交</w:t>
      </w:r>
      <w:bookmarkEnd w:id="113"/>
      <w:bookmarkEnd w:id="114"/>
      <w:bookmarkEnd w:id="115"/>
      <w:bookmarkEnd w:id="116"/>
    </w:p>
    <w:p>
      <w:pPr>
        <w:spacing w:line="360" w:lineRule="auto"/>
        <w:outlineLvl w:val="1"/>
        <w:rPr>
          <w:rFonts w:ascii="仿宋" w:hAnsi="仿宋" w:eastAsia="仿宋" w:cs="仿宋"/>
          <w:b/>
          <w:color w:val="000000" w:themeColor="text1"/>
          <w:sz w:val="24"/>
          <w:highlight w:val="none"/>
        </w:rPr>
      </w:pPr>
      <w:bookmarkStart w:id="117" w:name="_Toc5078"/>
      <w:bookmarkStart w:id="118" w:name="_Toc14139"/>
      <w:bookmarkStart w:id="119" w:name="_Toc433127002"/>
      <w:bookmarkStart w:id="120" w:name="_Toc3910"/>
      <w:bookmarkStart w:id="121" w:name="_Toc16511"/>
      <w:r>
        <w:rPr>
          <w:rFonts w:ascii="仿宋" w:hAnsi="仿宋" w:eastAsia="仿宋" w:cs="仿宋"/>
          <w:b/>
          <w:color w:val="000000" w:themeColor="text1"/>
          <w:sz w:val="24"/>
          <w:highlight w:val="none"/>
        </w:rPr>
        <w:t>16</w:t>
      </w:r>
      <w:r>
        <w:rPr>
          <w:rFonts w:hint="eastAsia" w:ascii="仿宋" w:hAnsi="仿宋" w:eastAsia="仿宋" w:cs="仿宋"/>
          <w:b/>
          <w:color w:val="000000" w:themeColor="text1"/>
          <w:sz w:val="24"/>
          <w:highlight w:val="none"/>
        </w:rPr>
        <w:t>、响应文件的密封及标记</w:t>
      </w:r>
      <w:bookmarkEnd w:id="117"/>
      <w:bookmarkEnd w:id="118"/>
      <w:bookmarkEnd w:id="119"/>
      <w:bookmarkEnd w:id="120"/>
      <w:bookmarkEnd w:id="121"/>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 xml:space="preserve">16.l </w:t>
      </w:r>
      <w:r>
        <w:rPr>
          <w:rFonts w:hint="eastAsia" w:ascii="仿宋" w:hAnsi="仿宋" w:eastAsia="仿宋" w:cs="仿宋"/>
          <w:bCs/>
          <w:color w:val="000000" w:themeColor="text1"/>
          <w:sz w:val="24"/>
          <w:highlight w:val="none"/>
          <w:lang w:val="en-GB"/>
        </w:rPr>
        <w:t>供应商应将响应文件正本和所有副本分别密封在两个专用袋（箱）中</w:t>
      </w:r>
      <w:r>
        <w:rPr>
          <w:rFonts w:hint="eastAsia" w:ascii="仿宋" w:hAnsi="仿宋" w:eastAsia="仿宋" w:cs="仿宋"/>
          <w:b/>
          <w:color w:val="000000" w:themeColor="text1"/>
          <w:sz w:val="24"/>
          <w:highlight w:val="none"/>
          <w:lang w:val="en-GB"/>
        </w:rPr>
        <w:t>（正本一份共一袋，副本三份共一袋）</w:t>
      </w:r>
      <w:r>
        <w:rPr>
          <w:rFonts w:hint="eastAsia" w:ascii="仿宋" w:hAnsi="仿宋" w:eastAsia="仿宋" w:cs="仿宋"/>
          <w:bCs/>
          <w:color w:val="000000" w:themeColor="text1"/>
          <w:sz w:val="24"/>
          <w:highlight w:val="none"/>
          <w:lang w:val="en-GB"/>
        </w:rPr>
        <w:t>及</w:t>
      </w:r>
      <w:r>
        <w:rPr>
          <w:rFonts w:hint="eastAsia" w:ascii="仿宋" w:hAnsi="仿宋" w:eastAsia="仿宋" w:cs="仿宋"/>
          <w:b/>
          <w:color w:val="000000" w:themeColor="text1"/>
          <w:sz w:val="24"/>
          <w:highlight w:val="none"/>
          <w:lang w:val="en-GB"/>
        </w:rPr>
        <w:t>唱标信封一份（内含报价一览表）和电子版响应文件文件一份（内含</w:t>
      </w:r>
      <w:r>
        <w:rPr>
          <w:rFonts w:ascii="仿宋" w:hAnsi="仿宋" w:eastAsia="仿宋" w:cs="仿宋"/>
          <w:b/>
          <w:color w:val="000000" w:themeColor="text1"/>
          <w:sz w:val="24"/>
          <w:highlight w:val="none"/>
        </w:rPr>
        <w:t>U</w:t>
      </w:r>
      <w:r>
        <w:rPr>
          <w:rFonts w:hint="eastAsia" w:ascii="仿宋" w:hAnsi="仿宋" w:eastAsia="仿宋" w:cs="仿宋"/>
          <w:b/>
          <w:color w:val="000000" w:themeColor="text1"/>
          <w:sz w:val="24"/>
          <w:highlight w:val="none"/>
        </w:rPr>
        <w:t>盘或光盘</w:t>
      </w:r>
      <w:r>
        <w:rPr>
          <w:rFonts w:hint="eastAsia" w:ascii="仿宋" w:hAnsi="仿宋" w:eastAsia="仿宋" w:cs="仿宋"/>
          <w:b/>
          <w:color w:val="000000" w:themeColor="text1"/>
          <w:sz w:val="24"/>
          <w:highlight w:val="none"/>
          <w:lang w:val="en-GB"/>
        </w:rPr>
        <w:t>）</w:t>
      </w:r>
      <w:r>
        <w:rPr>
          <w:rFonts w:hint="eastAsia" w:ascii="仿宋" w:hAnsi="仿宋" w:eastAsia="仿宋" w:cs="仿宋"/>
          <w:bCs/>
          <w:color w:val="000000" w:themeColor="text1"/>
          <w:sz w:val="24"/>
          <w:highlight w:val="none"/>
          <w:lang w:val="en-GB"/>
        </w:rPr>
        <w:t>，并在专用袋（箱）上标明“</w:t>
      </w:r>
      <w:r>
        <w:rPr>
          <w:rFonts w:hint="eastAsia" w:ascii="仿宋" w:hAnsi="仿宋" w:eastAsia="仿宋" w:cs="仿宋"/>
          <w:b/>
          <w:color w:val="000000" w:themeColor="text1"/>
          <w:sz w:val="24"/>
          <w:highlight w:val="none"/>
          <w:lang w:val="en-GB"/>
        </w:rPr>
        <w:t>正本</w:t>
      </w:r>
      <w:r>
        <w:rPr>
          <w:rFonts w:hint="eastAsia" w:ascii="仿宋" w:hAnsi="仿宋" w:eastAsia="仿宋" w:cs="仿宋"/>
          <w:bCs/>
          <w:color w:val="000000" w:themeColor="text1"/>
          <w:sz w:val="24"/>
          <w:highlight w:val="none"/>
          <w:lang w:val="en-GB"/>
        </w:rPr>
        <w:t>”、“</w:t>
      </w:r>
      <w:r>
        <w:rPr>
          <w:rFonts w:hint="eastAsia" w:ascii="仿宋" w:hAnsi="仿宋" w:eastAsia="仿宋" w:cs="仿宋"/>
          <w:b/>
          <w:color w:val="000000" w:themeColor="text1"/>
          <w:sz w:val="24"/>
          <w:highlight w:val="none"/>
          <w:lang w:val="en-GB"/>
        </w:rPr>
        <w:t>副本</w:t>
      </w:r>
      <w:r>
        <w:rPr>
          <w:rFonts w:hint="eastAsia" w:ascii="仿宋" w:hAnsi="仿宋" w:eastAsia="仿宋" w:cs="仿宋"/>
          <w:bCs/>
          <w:color w:val="000000" w:themeColor="text1"/>
          <w:sz w:val="24"/>
          <w:highlight w:val="none"/>
          <w:lang w:val="en-GB"/>
        </w:rPr>
        <w:t>”、“</w:t>
      </w:r>
      <w:r>
        <w:rPr>
          <w:rFonts w:hint="eastAsia" w:ascii="仿宋" w:hAnsi="仿宋" w:eastAsia="仿宋" w:cs="仿宋"/>
          <w:b/>
          <w:color w:val="000000" w:themeColor="text1"/>
          <w:sz w:val="24"/>
          <w:highlight w:val="none"/>
          <w:lang w:val="en-GB"/>
        </w:rPr>
        <w:t>唱标信封</w:t>
      </w:r>
      <w:r>
        <w:rPr>
          <w:rFonts w:hint="eastAsia" w:ascii="仿宋" w:hAnsi="仿宋" w:eastAsia="仿宋" w:cs="仿宋"/>
          <w:bCs/>
          <w:color w:val="000000" w:themeColor="text1"/>
          <w:sz w:val="24"/>
          <w:highlight w:val="none"/>
          <w:lang w:val="en-GB"/>
        </w:rPr>
        <w:t>”、“</w:t>
      </w:r>
      <w:r>
        <w:rPr>
          <w:rFonts w:hint="eastAsia" w:ascii="仿宋" w:hAnsi="仿宋" w:eastAsia="仿宋" w:cs="仿宋"/>
          <w:b/>
          <w:bCs/>
          <w:color w:val="000000" w:themeColor="text1"/>
          <w:sz w:val="24"/>
          <w:highlight w:val="none"/>
          <w:lang w:val="en-GB"/>
        </w:rPr>
        <w:t>电子版响应文件</w:t>
      </w:r>
      <w:r>
        <w:rPr>
          <w:rFonts w:hint="eastAsia" w:ascii="仿宋" w:hAnsi="仿宋" w:eastAsia="仿宋" w:cs="仿宋"/>
          <w:bCs/>
          <w:color w:val="000000" w:themeColor="text1"/>
          <w:sz w:val="24"/>
          <w:highlight w:val="none"/>
          <w:lang w:val="en-GB"/>
        </w:rPr>
        <w:t>”字样，封口处应加盖骑缝章。封皮上均应写明：</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致：中咨环球（北京）工程咨询有限公司</w:t>
      </w:r>
    </w:p>
    <w:p>
      <w:pPr>
        <w:widowControl/>
        <w:tabs>
          <w:tab w:val="left" w:pos="630"/>
        </w:tabs>
        <w:spacing w:line="360" w:lineRule="auto"/>
        <w:ind w:firstLine="482" w:firstLineChars="200"/>
        <w:jc w:val="left"/>
        <w:textAlignment w:val="bottom"/>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项目名称：</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项目编号：</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注明：“请勿在开启时间之前启封”</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供应商名称、联系人姓名和电话</w:t>
      </w:r>
    </w:p>
    <w:bookmarkEnd w:id="71"/>
    <w:bookmarkEnd w:id="72"/>
    <w:bookmarkEnd w:id="73"/>
    <w:p>
      <w:pPr>
        <w:spacing w:line="360" w:lineRule="auto"/>
        <w:outlineLvl w:val="1"/>
        <w:rPr>
          <w:rFonts w:ascii="仿宋" w:hAnsi="仿宋" w:eastAsia="仿宋" w:cs="仿宋"/>
          <w:b/>
          <w:color w:val="000000" w:themeColor="text1"/>
          <w:sz w:val="24"/>
          <w:highlight w:val="none"/>
        </w:rPr>
      </w:pPr>
      <w:bookmarkStart w:id="122" w:name="_Toc5805"/>
      <w:bookmarkStart w:id="123" w:name="_Toc433127003"/>
      <w:bookmarkStart w:id="124" w:name="_Toc14379"/>
      <w:bookmarkStart w:id="125" w:name="_Toc6032"/>
      <w:bookmarkStart w:id="126" w:name="_Toc1715"/>
      <w:r>
        <w:rPr>
          <w:rFonts w:ascii="仿宋" w:hAnsi="仿宋" w:eastAsia="仿宋" w:cs="仿宋"/>
          <w:b/>
          <w:color w:val="000000" w:themeColor="text1"/>
          <w:sz w:val="24"/>
          <w:highlight w:val="none"/>
        </w:rPr>
        <w:t>17</w:t>
      </w:r>
      <w:r>
        <w:rPr>
          <w:rFonts w:hint="eastAsia" w:ascii="仿宋" w:hAnsi="仿宋" w:eastAsia="仿宋" w:cs="仿宋"/>
          <w:b/>
          <w:color w:val="000000" w:themeColor="text1"/>
          <w:sz w:val="24"/>
          <w:highlight w:val="none"/>
        </w:rPr>
        <w:t>、响应文件提交截止时间</w:t>
      </w:r>
      <w:bookmarkEnd w:id="122"/>
      <w:bookmarkEnd w:id="123"/>
      <w:bookmarkEnd w:id="124"/>
      <w:bookmarkEnd w:id="125"/>
      <w:bookmarkEnd w:id="126"/>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7</w:t>
      </w:r>
      <w:r>
        <w:rPr>
          <w:rFonts w:ascii="仿宋" w:hAnsi="仿宋" w:eastAsia="仿宋" w:cs="仿宋"/>
          <w:bCs/>
          <w:color w:val="000000" w:themeColor="text1"/>
          <w:sz w:val="24"/>
          <w:highlight w:val="none"/>
          <w:lang w:val="en-GB"/>
        </w:rPr>
        <w:t xml:space="preserve">.l </w:t>
      </w:r>
      <w:r>
        <w:rPr>
          <w:rFonts w:hint="eastAsia" w:ascii="仿宋" w:hAnsi="仿宋" w:eastAsia="仿宋" w:cs="仿宋"/>
          <w:bCs/>
          <w:color w:val="000000" w:themeColor="text1"/>
          <w:sz w:val="24"/>
          <w:highlight w:val="none"/>
          <w:lang w:val="en-GB"/>
        </w:rPr>
        <w:t>供应商须在响应文件提交截止时间前将响应文件送达采购代理机构规定的地点。</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7</w:t>
      </w:r>
      <w:r>
        <w:rPr>
          <w:rFonts w:ascii="仿宋" w:hAnsi="仿宋" w:eastAsia="仿宋" w:cs="仿宋"/>
          <w:bCs/>
          <w:color w:val="000000" w:themeColor="text1"/>
          <w:sz w:val="24"/>
          <w:highlight w:val="none"/>
          <w:lang w:val="en-GB"/>
        </w:rPr>
        <w:t>.</w:t>
      </w:r>
      <w:r>
        <w:rPr>
          <w:rFonts w:ascii="仿宋" w:hAnsi="仿宋" w:eastAsia="仿宋" w:cs="仿宋"/>
          <w:bCs/>
          <w:color w:val="000000" w:themeColor="text1"/>
          <w:sz w:val="24"/>
          <w:highlight w:val="none"/>
        </w:rPr>
        <w:t>2</w:t>
      </w:r>
      <w:r>
        <w:rPr>
          <w:rFonts w:hint="eastAsia" w:ascii="仿宋" w:hAnsi="仿宋" w:eastAsia="仿宋" w:cs="仿宋"/>
          <w:bCs/>
          <w:color w:val="000000" w:themeColor="text1"/>
          <w:sz w:val="24"/>
          <w:highlight w:val="none"/>
          <w:lang w:val="en-GB"/>
        </w:rPr>
        <w:t>若采购代理机构推迟了响应文件提交截止时间，应以公告的形式通知所有供应商。在这种情况下，采购代理机构、采购人和供应商的权利和义务均应以新的响应文件提交截止时间为准。</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7</w:t>
      </w:r>
      <w:r>
        <w:rPr>
          <w:rFonts w:ascii="仿宋" w:hAnsi="仿宋" w:eastAsia="仿宋" w:cs="仿宋"/>
          <w:bCs/>
          <w:color w:val="000000" w:themeColor="text1"/>
          <w:sz w:val="24"/>
          <w:highlight w:val="none"/>
          <w:lang w:val="en-GB"/>
        </w:rPr>
        <w:t>.</w:t>
      </w:r>
      <w:r>
        <w:rPr>
          <w:rFonts w:ascii="仿宋" w:hAnsi="仿宋" w:eastAsia="仿宋" w:cs="仿宋"/>
          <w:bCs/>
          <w:color w:val="000000" w:themeColor="text1"/>
          <w:sz w:val="24"/>
          <w:highlight w:val="none"/>
        </w:rPr>
        <w:t>3</w:t>
      </w:r>
      <w:r>
        <w:rPr>
          <w:rFonts w:hint="eastAsia" w:ascii="仿宋" w:hAnsi="仿宋" w:eastAsia="仿宋" w:cs="仿宋"/>
          <w:bCs/>
          <w:color w:val="000000" w:themeColor="text1"/>
          <w:sz w:val="24"/>
          <w:highlight w:val="none"/>
          <w:lang w:val="en-GB"/>
        </w:rPr>
        <w:t>在响应文件提交截止时间后递交的响应文件，采购代理机构将拒绝接收。</w:t>
      </w:r>
    </w:p>
    <w:p>
      <w:pPr>
        <w:spacing w:line="360" w:lineRule="auto"/>
        <w:rPr>
          <w:rFonts w:ascii="仿宋" w:hAnsi="仿宋" w:eastAsia="仿宋" w:cs="仿宋"/>
          <w:bCs/>
          <w:color w:val="000000" w:themeColor="text1"/>
          <w:sz w:val="28"/>
          <w:szCs w:val="28"/>
          <w:highlight w:val="none"/>
          <w:lang w:val="en-GB"/>
        </w:rPr>
      </w:pPr>
      <w:r>
        <w:rPr>
          <w:rFonts w:hint="eastAsia" w:ascii="仿宋" w:hAnsi="仿宋" w:eastAsia="仿宋" w:cs="仿宋"/>
          <w:b/>
          <w:color w:val="000000" w:themeColor="text1"/>
          <w:sz w:val="28"/>
          <w:szCs w:val="28"/>
          <w:highlight w:val="none"/>
          <w:lang w:val="en-GB"/>
        </w:rPr>
        <w:t>（五）开标</w:t>
      </w:r>
    </w:p>
    <w:p>
      <w:pPr>
        <w:spacing w:line="360" w:lineRule="auto"/>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18</w:t>
      </w:r>
      <w:r>
        <w:rPr>
          <w:rFonts w:hint="eastAsia" w:ascii="仿宋" w:hAnsi="仿宋" w:eastAsia="仿宋" w:cs="仿宋"/>
          <w:b/>
          <w:color w:val="000000" w:themeColor="text1"/>
          <w:sz w:val="24"/>
          <w:highlight w:val="none"/>
        </w:rPr>
        <w:t>、开标</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8</w:t>
      </w:r>
      <w:r>
        <w:rPr>
          <w:rFonts w:ascii="仿宋" w:hAnsi="仿宋" w:eastAsia="仿宋" w:cs="仿宋"/>
          <w:bCs/>
          <w:color w:val="000000" w:themeColor="text1"/>
          <w:sz w:val="24"/>
          <w:highlight w:val="none"/>
          <w:lang w:val="en-GB"/>
        </w:rPr>
        <w:t xml:space="preserve">.l </w:t>
      </w:r>
      <w:r>
        <w:rPr>
          <w:rFonts w:hint="eastAsia" w:ascii="仿宋" w:hAnsi="仿宋" w:eastAsia="仿宋" w:cs="仿宋"/>
          <w:bCs/>
          <w:color w:val="000000" w:themeColor="text1"/>
          <w:sz w:val="24"/>
          <w:highlight w:val="none"/>
          <w:lang w:val="en-GB"/>
        </w:rPr>
        <w:t>招标代理机构按“磋商公告”或“磋商邀请函”中规定的时间和地点组织开标，采购人代表、招标代理机构有关工作人员参加。供应商应委派授权代表参加开标活动，参加开标的代表须持本人身份证件签名报到以证明其出席。未派授权代表或不能证明其授权代表身份的，招标代理机构对响应文件的处理不承担责任。</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8</w:t>
      </w:r>
      <w:r>
        <w:rPr>
          <w:rFonts w:ascii="仿宋" w:hAnsi="仿宋" w:eastAsia="仿宋" w:cs="仿宋"/>
          <w:bCs/>
          <w:color w:val="000000" w:themeColor="text1"/>
          <w:sz w:val="24"/>
          <w:highlight w:val="none"/>
          <w:lang w:val="en-GB"/>
        </w:rPr>
        <w:t>.2</w:t>
      </w:r>
      <w:r>
        <w:rPr>
          <w:rFonts w:hint="eastAsia" w:ascii="仿宋" w:hAnsi="仿宋" w:eastAsia="仿宋" w:cs="仿宋"/>
          <w:bCs/>
          <w:color w:val="000000" w:themeColor="text1"/>
          <w:sz w:val="24"/>
          <w:highlight w:val="none"/>
          <w:lang w:val="en-GB"/>
        </w:rPr>
        <w:t>政府采购主管部门、监督部门、国家公证机关公证员由其视情况决定是否派代表到现场进行监督。</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8</w:t>
      </w:r>
      <w:r>
        <w:rPr>
          <w:rFonts w:ascii="仿宋" w:hAnsi="仿宋" w:eastAsia="仿宋" w:cs="仿宋"/>
          <w:bCs/>
          <w:color w:val="000000" w:themeColor="text1"/>
          <w:sz w:val="24"/>
          <w:highlight w:val="none"/>
          <w:lang w:val="en-GB"/>
        </w:rPr>
        <w:t xml:space="preserve">.3 </w:t>
      </w:r>
      <w:r>
        <w:rPr>
          <w:rFonts w:hint="eastAsia" w:ascii="仿宋" w:hAnsi="仿宋" w:eastAsia="仿宋" w:cs="仿宋"/>
          <w:bCs/>
          <w:color w:val="000000" w:themeColor="text1"/>
          <w:sz w:val="24"/>
          <w:highlight w:val="none"/>
          <w:lang w:val="en-GB"/>
        </w:rPr>
        <w:t>开标时，供应商授权代表将查验响应文件的密封情况，确认无误后拆封唱标，公布每份响应文件中“报价一览表”的内容，以及招标代理机构认为合适的其他内容，招标代理机构将作开标记录。</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lang w:val="en-GB"/>
        </w:rPr>
        <w:t>1</w:t>
      </w:r>
      <w:r>
        <w:rPr>
          <w:rFonts w:ascii="仿宋" w:hAnsi="仿宋" w:eastAsia="仿宋" w:cs="仿宋"/>
          <w:bCs/>
          <w:color w:val="000000" w:themeColor="text1"/>
          <w:sz w:val="24"/>
          <w:highlight w:val="none"/>
        </w:rPr>
        <w:t>8</w:t>
      </w:r>
      <w:r>
        <w:rPr>
          <w:rFonts w:ascii="仿宋" w:hAnsi="仿宋" w:eastAsia="仿宋" w:cs="仿宋"/>
          <w:bCs/>
          <w:color w:val="000000" w:themeColor="text1"/>
          <w:sz w:val="24"/>
          <w:highlight w:val="none"/>
          <w:lang w:val="en-GB"/>
        </w:rPr>
        <w:t xml:space="preserve">.4 </w:t>
      </w:r>
      <w:r>
        <w:rPr>
          <w:rFonts w:hint="eastAsia" w:ascii="仿宋" w:hAnsi="仿宋" w:eastAsia="仿宋" w:cs="仿宋"/>
          <w:bCs/>
          <w:color w:val="000000" w:themeColor="text1"/>
          <w:sz w:val="24"/>
          <w:highlight w:val="none"/>
          <w:lang w:val="en-GB"/>
        </w:rPr>
        <w:t>若响应文件未密封，招标代理机构将拒绝接收该供应商的响应文件。</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rPr>
        <w:t>18.5</w:t>
      </w:r>
      <w:r>
        <w:rPr>
          <w:rFonts w:hint="eastAsia" w:ascii="仿宋" w:hAnsi="仿宋" w:eastAsia="仿宋" w:cs="仿宋"/>
          <w:bCs/>
          <w:color w:val="000000" w:themeColor="text1"/>
          <w:sz w:val="24"/>
          <w:highlight w:val="none"/>
        </w:rPr>
        <w:t>根据财库〔</w:t>
      </w:r>
      <w:r>
        <w:rPr>
          <w:rFonts w:ascii="仿宋" w:hAnsi="仿宋" w:eastAsia="仿宋" w:cs="仿宋"/>
          <w:bCs/>
          <w:color w:val="000000" w:themeColor="text1"/>
          <w:sz w:val="24"/>
          <w:highlight w:val="none"/>
        </w:rPr>
        <w:t>2015</w:t>
      </w: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124</w:t>
      </w:r>
      <w:r>
        <w:rPr>
          <w:rFonts w:hint="eastAsia" w:ascii="仿宋" w:hAnsi="仿宋" w:eastAsia="仿宋" w:cs="仿宋"/>
          <w:bCs/>
          <w:color w:val="000000" w:themeColor="text1"/>
          <w:sz w:val="24"/>
          <w:highlight w:val="none"/>
        </w:rPr>
        <w:t>号《财政部关于政府采购竞争性磋商采购方式管理暂行办法有关问题的补充通知</w:t>
      </w:r>
      <w:r>
        <w:rPr>
          <w:rFonts w:hint="eastAsia" w:ascii="仿宋" w:hAnsi="仿宋" w:eastAsia="仿宋" w:cs="仿宋"/>
          <w:color w:val="000000" w:themeColor="text1"/>
          <w:sz w:val="24"/>
          <w:highlight w:val="none"/>
        </w:rPr>
        <w:t>》在采购过程中符合要求的供应商（社会资本）只有</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家的，竞争性磋商采购活动可以继续进行。</w:t>
      </w:r>
    </w:p>
    <w:p>
      <w:pPr>
        <w:snapToGrid w:val="0"/>
        <w:spacing w:line="360" w:lineRule="auto"/>
        <w:outlineLvl w:val="0"/>
        <w:rPr>
          <w:rFonts w:ascii="仿宋" w:hAnsi="仿宋" w:eastAsia="仿宋" w:cs="仿宋"/>
          <w:b/>
          <w:color w:val="000000" w:themeColor="text1"/>
          <w:sz w:val="28"/>
          <w:szCs w:val="28"/>
          <w:highlight w:val="none"/>
          <w:lang w:val="en-GB"/>
        </w:rPr>
      </w:pPr>
      <w:bookmarkStart w:id="127" w:name="_Toc10710"/>
      <w:bookmarkStart w:id="128" w:name="_Toc17507"/>
      <w:bookmarkStart w:id="129" w:name="_Toc29275"/>
      <w:bookmarkStart w:id="130" w:name="_Toc30599"/>
      <w:r>
        <w:rPr>
          <w:rFonts w:hint="eastAsia" w:ascii="仿宋" w:hAnsi="仿宋" w:eastAsia="仿宋" w:cs="仿宋"/>
          <w:b/>
          <w:color w:val="000000" w:themeColor="text1"/>
          <w:sz w:val="28"/>
          <w:szCs w:val="28"/>
          <w:highlight w:val="none"/>
        </w:rPr>
        <w:t>（六）</w:t>
      </w:r>
      <w:r>
        <w:rPr>
          <w:rFonts w:hint="eastAsia" w:ascii="仿宋" w:hAnsi="仿宋" w:eastAsia="仿宋" w:cs="仿宋"/>
          <w:b/>
          <w:color w:val="000000" w:themeColor="text1"/>
          <w:sz w:val="28"/>
          <w:szCs w:val="28"/>
          <w:highlight w:val="none"/>
          <w:lang w:val="en-GB"/>
        </w:rPr>
        <w:t>磋商、评审及成交</w:t>
      </w:r>
      <w:bookmarkEnd w:id="127"/>
      <w:bookmarkEnd w:id="128"/>
      <w:bookmarkEnd w:id="129"/>
      <w:bookmarkEnd w:id="130"/>
    </w:p>
    <w:p>
      <w:pPr>
        <w:spacing w:line="360" w:lineRule="auto"/>
        <w:outlineLvl w:val="1"/>
        <w:rPr>
          <w:rFonts w:ascii="仿宋" w:hAnsi="仿宋" w:eastAsia="仿宋" w:cs="仿宋"/>
          <w:b/>
          <w:color w:val="000000" w:themeColor="text1"/>
          <w:sz w:val="24"/>
          <w:highlight w:val="none"/>
        </w:rPr>
      </w:pPr>
      <w:bookmarkStart w:id="131" w:name="_Toc21828"/>
      <w:bookmarkStart w:id="132" w:name="_Toc30413"/>
      <w:bookmarkStart w:id="133" w:name="_Toc433127005"/>
      <w:bookmarkStart w:id="134" w:name="_Toc26397"/>
      <w:bookmarkStart w:id="135" w:name="_Toc30394"/>
      <w:r>
        <w:rPr>
          <w:rFonts w:ascii="仿宋" w:hAnsi="仿宋" w:eastAsia="仿宋" w:cs="仿宋"/>
          <w:b/>
          <w:color w:val="000000" w:themeColor="text1"/>
          <w:sz w:val="24"/>
          <w:highlight w:val="none"/>
        </w:rPr>
        <w:t>19</w:t>
      </w:r>
      <w:r>
        <w:rPr>
          <w:rFonts w:hint="eastAsia"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lang w:val="en-GB"/>
        </w:rPr>
        <w:t>磋商小组的组成</w:t>
      </w:r>
      <w:bookmarkEnd w:id="131"/>
      <w:bookmarkEnd w:id="132"/>
      <w:bookmarkEnd w:id="133"/>
      <w:bookmarkEnd w:id="134"/>
      <w:bookmarkEnd w:id="135"/>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评标委员会由</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名评委组成：其中1名采购人代表，2名从海南省综合评标专家库中随机抽取。该评标委员会独立工作，负责评审所有响应文件并确定成交候选人。</w:t>
      </w:r>
    </w:p>
    <w:p>
      <w:pPr>
        <w:spacing w:line="360" w:lineRule="auto"/>
        <w:ind w:firstLine="482"/>
        <w:outlineLvl w:val="1"/>
        <w:rPr>
          <w:rFonts w:ascii="仿宋" w:hAnsi="仿宋" w:eastAsia="仿宋" w:cs="仿宋"/>
          <w:b/>
          <w:color w:val="000000" w:themeColor="text1"/>
          <w:sz w:val="24"/>
          <w:highlight w:val="none"/>
        </w:rPr>
      </w:pPr>
      <w:bookmarkStart w:id="136" w:name="_Toc3696"/>
      <w:bookmarkStart w:id="137" w:name="_Toc14767"/>
      <w:bookmarkStart w:id="138" w:name="_Toc433127006"/>
      <w:bookmarkStart w:id="139" w:name="_Toc16681"/>
      <w:bookmarkStart w:id="140" w:name="_Toc18964"/>
      <w:r>
        <w:rPr>
          <w:rFonts w:ascii="仿宋" w:hAnsi="仿宋" w:eastAsia="仿宋" w:cs="仿宋"/>
          <w:b/>
          <w:color w:val="000000" w:themeColor="text1"/>
          <w:sz w:val="24"/>
          <w:highlight w:val="none"/>
        </w:rPr>
        <w:t>20</w:t>
      </w:r>
      <w:r>
        <w:rPr>
          <w:rFonts w:hint="eastAsia" w:ascii="仿宋" w:hAnsi="仿宋" w:eastAsia="仿宋" w:cs="仿宋"/>
          <w:b/>
          <w:color w:val="000000" w:themeColor="text1"/>
          <w:sz w:val="24"/>
          <w:highlight w:val="none"/>
        </w:rPr>
        <w:t>、评审方法及评审程序</w:t>
      </w:r>
      <w:bookmarkEnd w:id="136"/>
      <w:bookmarkEnd w:id="137"/>
      <w:bookmarkEnd w:id="138"/>
      <w:bookmarkEnd w:id="139"/>
      <w:bookmarkEnd w:id="140"/>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20.1</w:t>
      </w:r>
      <w:r>
        <w:rPr>
          <w:rFonts w:hint="eastAsia" w:ascii="仿宋" w:hAnsi="仿宋" w:eastAsia="仿宋" w:cs="仿宋"/>
          <w:bCs/>
          <w:color w:val="000000" w:themeColor="text1"/>
          <w:sz w:val="24"/>
          <w:highlight w:val="none"/>
          <w:lang w:val="en-GB"/>
        </w:rPr>
        <w:t>本次评审采用综合评分法。</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rPr>
        <w:t>20</w:t>
      </w:r>
      <w:r>
        <w:rPr>
          <w:rFonts w:ascii="仿宋" w:hAnsi="仿宋" w:eastAsia="仿宋" w:cs="仿宋"/>
          <w:bCs/>
          <w:color w:val="000000" w:themeColor="text1"/>
          <w:sz w:val="24"/>
          <w:highlight w:val="none"/>
          <w:lang w:val="en-GB"/>
        </w:rPr>
        <w:t>.</w:t>
      </w:r>
      <w:r>
        <w:rPr>
          <w:rFonts w:ascii="仿宋" w:hAnsi="仿宋" w:eastAsia="仿宋" w:cs="仿宋"/>
          <w:bCs/>
          <w:color w:val="000000" w:themeColor="text1"/>
          <w:sz w:val="24"/>
          <w:highlight w:val="none"/>
        </w:rPr>
        <w:t xml:space="preserve">2 </w:t>
      </w:r>
      <w:r>
        <w:rPr>
          <w:rFonts w:hint="eastAsia" w:ascii="仿宋" w:hAnsi="仿宋" w:eastAsia="仿宋" w:cs="仿宋"/>
          <w:bCs/>
          <w:color w:val="000000" w:themeColor="text1"/>
          <w:sz w:val="24"/>
          <w:highlight w:val="none"/>
        </w:rPr>
        <w:t>综合评分法，是指响应文件满足磋商文件全部实质性要求且按评审因素的量化指标评审得分最高的供应商为成交候选供应商的评审方法。综合评分法评审标准中的分值设置与评审因素的量化指标相对应。</w:t>
      </w:r>
    </w:p>
    <w:p>
      <w:pPr>
        <w:spacing w:line="360" w:lineRule="auto"/>
        <w:ind w:firstLine="480" w:firstLineChars="200"/>
        <w:rPr>
          <w:rFonts w:ascii="仿宋" w:hAnsi="仿宋" w:eastAsia="仿宋" w:cs="仿宋"/>
          <w:bCs/>
          <w:color w:val="000000" w:themeColor="text1"/>
          <w:sz w:val="24"/>
          <w:highlight w:val="none"/>
          <w:lang w:val="en-GB"/>
        </w:rPr>
      </w:pPr>
      <w:r>
        <w:rPr>
          <w:rFonts w:ascii="仿宋" w:hAnsi="仿宋" w:eastAsia="仿宋" w:cs="仿宋"/>
          <w:bCs/>
          <w:color w:val="000000" w:themeColor="text1"/>
          <w:sz w:val="24"/>
          <w:highlight w:val="none"/>
        </w:rPr>
        <w:t>20.3</w:t>
      </w:r>
      <w:r>
        <w:rPr>
          <w:rFonts w:hint="eastAsia" w:ascii="仿宋" w:hAnsi="仿宋" w:eastAsia="仿宋" w:cs="仿宋"/>
          <w:bCs/>
          <w:color w:val="000000" w:themeColor="text1"/>
          <w:sz w:val="24"/>
          <w:highlight w:val="none"/>
        </w:rPr>
        <w:t>评审时，磋商小组各成员独立对每个有效响应的文件进行评价、打分，然后汇总每个供应商每项评分因素的得分。</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20.4</w:t>
      </w:r>
      <w:r>
        <w:rPr>
          <w:rFonts w:hint="eastAsia" w:ascii="仿宋" w:hAnsi="仿宋" w:eastAsia="仿宋" w:cs="仿宋"/>
          <w:bCs/>
          <w:color w:val="000000" w:themeColor="text1"/>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20.5</w:t>
      </w:r>
      <w:r>
        <w:rPr>
          <w:rFonts w:hint="eastAsia" w:ascii="仿宋" w:hAnsi="仿宋" w:eastAsia="仿宋" w:cs="仿宋"/>
          <w:bCs/>
          <w:color w:val="000000" w:themeColor="text1"/>
          <w:sz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bCs/>
          <w:color w:val="000000" w:themeColor="text1"/>
          <w:sz w:val="24"/>
          <w:highlight w:val="none"/>
          <w:lang w:val="en-GB"/>
        </w:rPr>
        <w:t>20</w:t>
      </w:r>
      <w:r>
        <w:rPr>
          <w:rFonts w:ascii="仿宋" w:hAnsi="仿宋" w:eastAsia="仿宋" w:cs="仿宋"/>
          <w:color w:val="000000" w:themeColor="text1"/>
          <w:sz w:val="24"/>
          <w:highlight w:val="none"/>
        </w:rPr>
        <w:t xml:space="preserve">.6 </w:t>
      </w:r>
      <w:r>
        <w:rPr>
          <w:rFonts w:hint="eastAsia" w:ascii="仿宋" w:hAnsi="仿宋" w:eastAsia="仿宋" w:cs="仿宋"/>
          <w:color w:val="000000" w:themeColor="text1"/>
          <w:sz w:val="24"/>
          <w:highlight w:val="none"/>
          <w:lang w:val="en-GB"/>
        </w:rPr>
        <w:t>资格审查：</w:t>
      </w:r>
      <w:r>
        <w:rPr>
          <w:rFonts w:hint="eastAsia" w:ascii="仿宋" w:hAnsi="仿宋" w:eastAsia="仿宋" w:cs="仿宋"/>
          <w:color w:val="000000" w:themeColor="text1"/>
          <w:sz w:val="24"/>
          <w:highlight w:val="none"/>
        </w:rPr>
        <w:t>评审小组</w:t>
      </w:r>
      <w:r>
        <w:rPr>
          <w:rFonts w:hint="eastAsia" w:ascii="仿宋" w:hAnsi="仿宋" w:eastAsia="仿宋" w:cs="仿宋"/>
          <w:color w:val="000000" w:themeColor="text1"/>
          <w:sz w:val="24"/>
          <w:highlight w:val="none"/>
          <w:lang w:val="en-GB"/>
        </w:rPr>
        <w:t>根据国家相关法律法规和</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sz w:val="24"/>
          <w:highlight w:val="none"/>
          <w:lang w:val="en-GB"/>
        </w:rPr>
        <w:t>文件的规定，对供应商的资格证明文件进行初步审查，如供应商不具备磋商资格，</w:t>
      </w:r>
      <w:r>
        <w:rPr>
          <w:rFonts w:hint="eastAsia" w:ascii="仿宋" w:hAnsi="仿宋" w:eastAsia="仿宋" w:cs="仿宋"/>
          <w:color w:val="000000" w:themeColor="text1"/>
          <w:sz w:val="24"/>
          <w:highlight w:val="none"/>
        </w:rPr>
        <w:t>评审小组</w:t>
      </w:r>
      <w:r>
        <w:rPr>
          <w:rFonts w:hint="eastAsia" w:ascii="仿宋" w:hAnsi="仿宋" w:eastAsia="仿宋" w:cs="仿宋"/>
          <w:color w:val="000000" w:themeColor="text1"/>
          <w:sz w:val="24"/>
          <w:highlight w:val="none"/>
          <w:lang w:val="en-GB"/>
        </w:rPr>
        <w:t>可按投票方式决定是否作无效响应处理（详见</w:t>
      </w:r>
      <w:r>
        <w:rPr>
          <w:rFonts w:hint="eastAsia" w:ascii="仿宋" w:hAnsi="仿宋" w:eastAsia="仿宋" w:cs="仿宋"/>
          <w:color w:val="000000" w:themeColor="text1"/>
          <w:sz w:val="24"/>
          <w:highlight w:val="none"/>
        </w:rPr>
        <w:t>附表</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GB"/>
        </w:rPr>
        <w:t>）。</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20.6.1 </w:t>
      </w:r>
      <w:r>
        <w:rPr>
          <w:rFonts w:hint="eastAsia" w:ascii="仿宋" w:hAnsi="仿宋" w:eastAsia="仿宋" w:cs="仿宋"/>
          <w:bCs/>
          <w:color w:val="000000" w:themeColor="text1"/>
          <w:sz w:val="24"/>
          <w:highlight w:val="none"/>
        </w:rPr>
        <w:t>磋商小组根据《符合性审查表》对响应文件的资格性和符合性进行审查，只有对《资格审查表》所列各项作出实质性响应的响应文件才能通过初步评审。对是否实质性响应磋商文件的要求有争议的内容，磋商小组将以记名方式表决，得票超过半数的供应商有资格进入下一阶段的评审，否则将被淘汰。有以下情况的将不能通过初步评审：</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）供应商未能满足供应商资格要求的；</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）供应商未提交法人授权委托书的；</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）供应商未按磋商文件要求的金额提交磋商保证金的；</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）响应文件未按磋商文件规定要求填写响应内容及签名盖章的；</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）报价不是固定价或者报价不是唯一的；</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）不符合磋商文件规定的其它条件。</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20.6.2 </w:t>
      </w:r>
      <w:r>
        <w:rPr>
          <w:rFonts w:hint="eastAsia" w:ascii="仿宋" w:hAnsi="仿宋" w:eastAsia="仿宋" w:cs="仿宋"/>
          <w:bCs/>
          <w:color w:val="000000" w:themeColor="text1"/>
          <w:sz w:val="24"/>
          <w:highlight w:val="none"/>
        </w:rPr>
        <w:t>判断响应文件有效与否只根据响应文件本身，而不寻求外部证据。</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20.6.3 </w:t>
      </w:r>
      <w:r>
        <w:rPr>
          <w:rFonts w:hint="eastAsia" w:ascii="仿宋" w:hAnsi="仿宋" w:eastAsia="仿宋" w:cs="仿宋"/>
          <w:bCs/>
          <w:color w:val="000000" w:themeColor="text1"/>
          <w:sz w:val="24"/>
          <w:highlight w:val="none"/>
        </w:rPr>
        <w:t>磋商小组在初审中，对算术错误的修正原则如下：</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1</w:t>
      </w:r>
      <w:r>
        <w:rPr>
          <w:rFonts w:hint="eastAsia" w:ascii="仿宋" w:hAnsi="仿宋" w:eastAsia="仿宋" w:cs="仿宋"/>
          <w:bCs/>
          <w:color w:val="000000" w:themeColor="text1"/>
          <w:sz w:val="24"/>
          <w:highlight w:val="none"/>
        </w:rPr>
        <w:t>）报价一览表内容与响应文件中明细表内容不一致的，以报价一览表为准；</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2</w:t>
      </w:r>
      <w:r>
        <w:rPr>
          <w:rFonts w:hint="eastAsia" w:ascii="仿宋" w:hAnsi="仿宋" w:eastAsia="仿宋" w:cs="仿宋"/>
          <w:bCs/>
          <w:color w:val="000000" w:themeColor="text1"/>
          <w:sz w:val="24"/>
          <w:highlight w:val="none"/>
        </w:rPr>
        <w:t>）响应文件的大写金额和小写金额不一致的，以大写金额为准；</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3</w:t>
      </w:r>
      <w:r>
        <w:rPr>
          <w:rFonts w:hint="eastAsia" w:ascii="仿宋" w:hAnsi="仿宋" w:eastAsia="仿宋" w:cs="仿宋"/>
          <w:bCs/>
          <w:color w:val="000000" w:themeColor="text1"/>
          <w:sz w:val="24"/>
          <w:highlight w:val="none"/>
        </w:rPr>
        <w:t>）总价金额与按单价汇总金额不一致的，以单价金额计算结果为准；</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4</w:t>
      </w:r>
      <w:r>
        <w:rPr>
          <w:rFonts w:hint="eastAsia" w:ascii="仿宋" w:hAnsi="仿宋" w:eastAsia="仿宋" w:cs="仿宋"/>
          <w:bCs/>
          <w:color w:val="000000" w:themeColor="text1"/>
          <w:sz w:val="24"/>
          <w:highlight w:val="none"/>
        </w:rPr>
        <w:t>）单价金额小数点有明显错位的，以总价为准并修改单价；</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）若供应商不同意以上修正，响应文件将视为无效。</w:t>
      </w:r>
    </w:p>
    <w:p>
      <w:pPr>
        <w:spacing w:line="360" w:lineRule="auto"/>
        <w:ind w:firstLine="482" w:firstLineChars="200"/>
        <w:rPr>
          <w:rFonts w:ascii="仿宋" w:hAnsi="仿宋" w:eastAsia="仿宋" w:cs="仿宋"/>
          <w:b/>
          <w:bCs/>
          <w:color w:val="000000" w:themeColor="text1"/>
          <w:sz w:val="24"/>
          <w:highlight w:val="none"/>
        </w:rPr>
      </w:pPr>
      <w:r>
        <w:rPr>
          <w:rFonts w:ascii="仿宋" w:hAnsi="仿宋" w:eastAsia="仿宋" w:cs="仿宋"/>
          <w:b/>
          <w:bCs/>
          <w:color w:val="000000" w:themeColor="text1"/>
          <w:sz w:val="24"/>
          <w:highlight w:val="none"/>
        </w:rPr>
        <w:t>20.7</w:t>
      </w:r>
      <w:r>
        <w:rPr>
          <w:rFonts w:hint="eastAsia" w:ascii="仿宋" w:hAnsi="仿宋" w:eastAsia="仿宋" w:cs="仿宋"/>
          <w:b/>
          <w:bCs/>
          <w:color w:val="000000" w:themeColor="text1"/>
          <w:sz w:val="24"/>
          <w:highlight w:val="none"/>
        </w:rPr>
        <w:t>磋商小组对响应文件进行审核后，与各家供应商进行单独磋商。经磋商后确定最终采购需求。</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20.8 </w:t>
      </w:r>
      <w:r>
        <w:rPr>
          <w:rFonts w:hint="eastAsia" w:ascii="仿宋" w:hAnsi="仿宋" w:eastAsia="仿宋" w:cs="仿宋"/>
          <w:bCs/>
          <w:color w:val="000000" w:themeColor="text1"/>
          <w:sz w:val="24"/>
          <w:highlight w:val="none"/>
          <w:lang w:val="en-GB"/>
        </w:rPr>
        <w:t>量化评审</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20.8.1 </w:t>
      </w:r>
      <w:r>
        <w:rPr>
          <w:rFonts w:hint="eastAsia" w:ascii="仿宋" w:hAnsi="仿宋" w:eastAsia="仿宋" w:cs="仿宋"/>
          <w:bCs/>
          <w:color w:val="000000" w:themeColor="text1"/>
          <w:sz w:val="24"/>
          <w:highlight w:val="none"/>
        </w:rPr>
        <w:t>磋商小组根据评审办法对通过初步审查的响应文件进行详细评审，并进行技术和商务的评审打分。</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20.8.2 </w:t>
      </w:r>
      <w:r>
        <w:rPr>
          <w:rFonts w:hint="eastAsia" w:ascii="仿宋" w:hAnsi="仿宋" w:eastAsia="仿宋" w:cs="仿宋"/>
          <w:bCs/>
          <w:color w:val="000000" w:themeColor="text1"/>
          <w:sz w:val="24"/>
          <w:highlight w:val="none"/>
        </w:rPr>
        <w:t>技术、商务评分：具体评审的内容详见（附表</w:t>
      </w:r>
      <w:r>
        <w:rPr>
          <w:rFonts w:ascii="仿宋" w:hAnsi="仿宋" w:eastAsia="仿宋" w:cs="仿宋"/>
          <w:bCs/>
          <w:color w:val="000000" w:themeColor="text1"/>
          <w:sz w:val="24"/>
          <w:highlight w:val="none"/>
        </w:rPr>
        <w:t>2</w:t>
      </w:r>
      <w:r>
        <w:rPr>
          <w:rFonts w:hint="eastAsia" w:ascii="仿宋" w:hAnsi="仿宋" w:eastAsia="仿宋" w:cs="仿宋"/>
          <w:bCs/>
          <w:color w:val="000000" w:themeColor="text1"/>
          <w:sz w:val="24"/>
          <w:highlight w:val="none"/>
        </w:rPr>
        <w:t>）。</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color w:val="000000" w:themeColor="text1"/>
          <w:sz w:val="24"/>
          <w:highlight w:val="none"/>
        </w:rPr>
        <w:t>20</w:t>
      </w:r>
      <w:r>
        <w:rPr>
          <w:rFonts w:ascii="仿宋" w:hAnsi="仿宋" w:eastAsia="仿宋" w:cs="仿宋"/>
          <w:bCs/>
          <w:color w:val="000000" w:themeColor="text1"/>
          <w:sz w:val="24"/>
          <w:highlight w:val="none"/>
        </w:rPr>
        <w:t xml:space="preserve">.8.3 </w:t>
      </w:r>
      <w:r>
        <w:rPr>
          <w:rFonts w:hint="eastAsia" w:ascii="仿宋" w:hAnsi="仿宋" w:eastAsia="仿宋" w:cs="仿宋"/>
          <w:bCs/>
          <w:color w:val="000000" w:themeColor="text1"/>
          <w:sz w:val="24"/>
          <w:highlight w:val="none"/>
        </w:rPr>
        <w:t>价格分统一采用低价优先法计算，将通过初步评审的所有供应商的报价，即满足磋商文件要求且价格最低的报价为磋商基准价，</w:t>
      </w:r>
      <w:r>
        <w:rPr>
          <w:rFonts w:hint="eastAsia" w:ascii="仿宋" w:hAnsi="仿宋" w:eastAsia="仿宋" w:cs="仿宋"/>
          <w:bCs/>
          <w:color w:val="000000" w:themeColor="text1"/>
          <w:sz w:val="24"/>
          <w:highlight w:val="none"/>
          <w:lang w:val="en-GB"/>
        </w:rPr>
        <w:t>其价格分为满分；小微企业根据认定给予</w:t>
      </w:r>
      <w:r>
        <w:rPr>
          <w:rFonts w:ascii="仿宋" w:hAnsi="仿宋" w:eastAsia="仿宋" w:cs="仿宋"/>
          <w:bCs/>
          <w:color w:val="000000" w:themeColor="text1"/>
          <w:sz w:val="24"/>
          <w:highlight w:val="none"/>
          <w:lang w:val="en-GB"/>
        </w:rPr>
        <w:t>6%</w:t>
      </w:r>
      <w:r>
        <w:rPr>
          <w:rFonts w:hint="eastAsia" w:ascii="仿宋" w:hAnsi="仿宋" w:eastAsia="仿宋" w:cs="仿宋"/>
          <w:bCs/>
          <w:color w:val="000000" w:themeColor="text1"/>
          <w:sz w:val="24"/>
          <w:highlight w:val="none"/>
          <w:lang w:val="en-GB"/>
        </w:rPr>
        <w:t>的价格优惠</w:t>
      </w:r>
      <w:r>
        <w:rPr>
          <w:rFonts w:hint="eastAsia" w:ascii="仿宋" w:hAnsi="仿宋" w:eastAsia="仿宋" w:cs="仿宋"/>
          <w:bCs/>
          <w:color w:val="000000" w:themeColor="text1"/>
          <w:sz w:val="24"/>
          <w:highlight w:val="none"/>
        </w:rPr>
        <w:t>。其他供应商的价格分统一按照下列公式计算：</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价格分</w:t>
      </w:r>
      <w:r>
        <w:rPr>
          <w:rFonts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rPr>
        <w:t>（基准价／报价）×价格权值×</w:t>
      </w:r>
      <w:r>
        <w:rPr>
          <w:rFonts w:ascii="仿宋" w:hAnsi="仿宋" w:eastAsia="仿宋" w:cs="仿宋"/>
          <w:bCs/>
          <w:color w:val="000000" w:themeColor="text1"/>
          <w:sz w:val="24"/>
          <w:highlight w:val="none"/>
        </w:rPr>
        <w:t>100</w:t>
      </w:r>
      <w:r>
        <w:rPr>
          <w:rFonts w:hint="eastAsia" w:ascii="仿宋" w:hAnsi="仿宋" w:eastAsia="仿宋" w:cs="仿宋"/>
          <w:bCs/>
          <w:color w:val="000000" w:themeColor="text1"/>
          <w:sz w:val="24"/>
          <w:highlight w:val="none"/>
        </w:rPr>
        <w:t>（小微企业按照工信部相关规定给予</w:t>
      </w:r>
      <w:r>
        <w:rPr>
          <w:rFonts w:ascii="仿宋" w:hAnsi="仿宋" w:eastAsia="仿宋" w:cs="仿宋"/>
          <w:bCs/>
          <w:color w:val="000000" w:themeColor="text1"/>
          <w:sz w:val="24"/>
          <w:highlight w:val="none"/>
        </w:rPr>
        <w:t>6%</w:t>
      </w:r>
      <w:r>
        <w:rPr>
          <w:rFonts w:hint="eastAsia" w:ascii="仿宋" w:hAnsi="仿宋" w:eastAsia="仿宋" w:cs="仿宋"/>
          <w:bCs/>
          <w:color w:val="000000" w:themeColor="text1"/>
          <w:sz w:val="24"/>
          <w:highlight w:val="none"/>
        </w:rPr>
        <w:t>的价格优惠）</w:t>
      </w:r>
    </w:p>
    <w:p>
      <w:pPr>
        <w:spacing w:line="360" w:lineRule="auto"/>
        <w:ind w:firstLine="480" w:firstLineChars="200"/>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 xml:space="preserve">20.8.4 </w:t>
      </w:r>
      <w:r>
        <w:rPr>
          <w:rFonts w:hint="eastAsia" w:ascii="仿宋" w:hAnsi="仿宋" w:eastAsia="仿宋" w:cs="仿宋"/>
          <w:bCs/>
          <w:color w:val="000000" w:themeColor="text1"/>
          <w:sz w:val="24"/>
          <w:highlight w:val="none"/>
        </w:rPr>
        <w:t>技术、商务及价格权重分配</w:t>
      </w:r>
    </w:p>
    <w:tbl>
      <w:tblPr>
        <w:tblStyle w:val="28"/>
        <w:tblW w:w="907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453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7" w:type="dxa"/>
            <w:shd w:val="clear" w:color="auto" w:fill="D9D9D9"/>
            <w:noWrap/>
            <w:vAlign w:val="center"/>
          </w:tcPr>
          <w:p>
            <w:pPr>
              <w:spacing w:line="360" w:lineRule="auto"/>
              <w:jc w:val="center"/>
              <w:rPr>
                <w:rFonts w:ascii="仿宋" w:hAnsi="仿宋" w:eastAsia="仿宋" w:cs="仿宋"/>
                <w:b/>
                <w:bCs/>
                <w:color w:val="000000" w:themeColor="text1"/>
                <w:sz w:val="24"/>
                <w:highlight w:val="none"/>
                <w:lang w:val="en-GB"/>
              </w:rPr>
            </w:pPr>
            <w:r>
              <w:rPr>
                <w:rFonts w:hint="eastAsia" w:ascii="仿宋" w:hAnsi="仿宋" w:eastAsia="仿宋" w:cs="仿宋"/>
                <w:b/>
                <w:bCs/>
                <w:color w:val="000000" w:themeColor="text1"/>
                <w:sz w:val="24"/>
                <w:highlight w:val="none"/>
                <w:lang w:val="en-GB"/>
              </w:rPr>
              <w:t>评分项目</w:t>
            </w:r>
          </w:p>
        </w:tc>
        <w:tc>
          <w:tcPr>
            <w:tcW w:w="4534" w:type="dxa"/>
            <w:shd w:val="clear" w:color="auto" w:fill="D9D9D9"/>
            <w:noWrap/>
            <w:vAlign w:val="center"/>
          </w:tcPr>
          <w:p>
            <w:pPr>
              <w:spacing w:line="360" w:lineRule="auto"/>
              <w:jc w:val="center"/>
              <w:rPr>
                <w:rFonts w:ascii="仿宋" w:hAnsi="仿宋" w:eastAsia="仿宋" w:cs="仿宋"/>
                <w:b/>
                <w:bCs/>
                <w:color w:val="000000" w:themeColor="text1"/>
                <w:sz w:val="24"/>
                <w:highlight w:val="none"/>
                <w:lang w:val="en-GB"/>
              </w:rPr>
            </w:pPr>
            <w:r>
              <w:rPr>
                <w:rFonts w:hint="eastAsia" w:ascii="仿宋" w:hAnsi="仿宋" w:eastAsia="仿宋" w:cs="仿宋"/>
                <w:b/>
                <w:bCs/>
                <w:color w:val="000000" w:themeColor="text1"/>
                <w:sz w:val="24"/>
                <w:highlight w:val="none"/>
                <w:lang w:val="en-GB"/>
              </w:rPr>
              <w:t>技术</w:t>
            </w:r>
            <w:r>
              <w:rPr>
                <w:rFonts w:ascii="仿宋" w:hAnsi="仿宋" w:eastAsia="仿宋" w:cs="仿宋"/>
                <w:b/>
                <w:bCs/>
                <w:color w:val="000000" w:themeColor="text1"/>
                <w:sz w:val="24"/>
                <w:highlight w:val="none"/>
              </w:rPr>
              <w:t>/</w:t>
            </w:r>
            <w:r>
              <w:rPr>
                <w:rFonts w:hint="eastAsia" w:ascii="仿宋" w:hAnsi="仿宋" w:eastAsia="仿宋" w:cs="仿宋"/>
                <w:b/>
                <w:bCs/>
                <w:color w:val="000000" w:themeColor="text1"/>
                <w:sz w:val="24"/>
                <w:highlight w:val="none"/>
                <w:lang w:val="en-GB"/>
              </w:rPr>
              <w:t>商务项</w:t>
            </w:r>
          </w:p>
        </w:tc>
        <w:tc>
          <w:tcPr>
            <w:tcW w:w="2269" w:type="dxa"/>
            <w:shd w:val="clear" w:color="auto" w:fill="D9D9D9"/>
            <w:noWrap/>
            <w:vAlign w:val="center"/>
          </w:tcPr>
          <w:p>
            <w:pPr>
              <w:spacing w:line="360" w:lineRule="auto"/>
              <w:jc w:val="center"/>
              <w:rPr>
                <w:rFonts w:ascii="仿宋" w:hAnsi="仿宋" w:eastAsia="仿宋" w:cs="仿宋"/>
                <w:b/>
                <w:bCs/>
                <w:color w:val="000000" w:themeColor="text1"/>
                <w:sz w:val="24"/>
                <w:highlight w:val="none"/>
                <w:lang w:val="en-GB"/>
              </w:rPr>
            </w:pPr>
            <w:r>
              <w:rPr>
                <w:rFonts w:hint="eastAsia" w:ascii="仿宋" w:hAnsi="仿宋" w:eastAsia="仿宋" w:cs="仿宋"/>
                <w:b/>
                <w:bCs/>
                <w:color w:val="000000" w:themeColor="text1"/>
                <w:sz w:val="24"/>
                <w:highlight w:val="none"/>
                <w:lang w:val="en-GB"/>
              </w:rPr>
              <w:t>价格项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267" w:type="dxa"/>
            <w:noWrap/>
            <w:vAlign w:val="center"/>
          </w:tcPr>
          <w:p>
            <w:pPr>
              <w:spacing w:line="360" w:lineRule="auto"/>
              <w:jc w:val="center"/>
              <w:rPr>
                <w:rFonts w:ascii="仿宋" w:hAnsi="仿宋" w:eastAsia="仿宋" w:cs="仿宋"/>
                <w:color w:val="000000" w:themeColor="text1"/>
                <w:sz w:val="24"/>
                <w:highlight w:val="none"/>
                <w:lang w:val="en-GB"/>
              </w:rPr>
            </w:pPr>
            <w:r>
              <w:rPr>
                <w:rFonts w:hint="eastAsia" w:ascii="仿宋" w:hAnsi="仿宋" w:eastAsia="仿宋" w:cs="仿宋"/>
                <w:b/>
                <w:bCs/>
                <w:color w:val="000000" w:themeColor="text1"/>
                <w:sz w:val="24"/>
                <w:highlight w:val="none"/>
                <w:lang w:val="en-GB"/>
              </w:rPr>
              <w:t>权重</w:t>
            </w:r>
          </w:p>
        </w:tc>
        <w:tc>
          <w:tcPr>
            <w:tcW w:w="4534" w:type="dxa"/>
            <w:noWrap/>
            <w:vAlign w:val="center"/>
          </w:tcPr>
          <w:p>
            <w:pPr>
              <w:spacing w:line="360" w:lineRule="auto"/>
              <w:jc w:val="center"/>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rPr>
              <w:t>85</w:t>
            </w:r>
            <w:r>
              <w:rPr>
                <w:rFonts w:ascii="仿宋" w:hAnsi="仿宋" w:eastAsia="仿宋" w:cs="仿宋"/>
                <w:color w:val="000000" w:themeColor="text1"/>
                <w:sz w:val="24"/>
                <w:highlight w:val="none"/>
                <w:lang w:val="en-GB"/>
              </w:rPr>
              <w:t>%</w:t>
            </w:r>
          </w:p>
        </w:tc>
        <w:tc>
          <w:tcPr>
            <w:tcW w:w="2269" w:type="dxa"/>
            <w:noWrap/>
            <w:vAlign w:val="center"/>
          </w:tcPr>
          <w:p>
            <w:pPr>
              <w:spacing w:line="360" w:lineRule="auto"/>
              <w:jc w:val="center"/>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rPr>
              <w:t>15</w:t>
            </w:r>
            <w:r>
              <w:rPr>
                <w:rFonts w:ascii="仿宋" w:hAnsi="仿宋" w:eastAsia="仿宋" w:cs="仿宋"/>
                <w:color w:val="000000" w:themeColor="text1"/>
                <w:sz w:val="24"/>
                <w:highlight w:val="none"/>
                <w:lang w:val="en-GB"/>
              </w:rPr>
              <w:t>%</w:t>
            </w:r>
          </w:p>
        </w:tc>
      </w:tr>
    </w:tbl>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20.9</w:t>
      </w:r>
      <w:r>
        <w:rPr>
          <w:rFonts w:hint="eastAsia" w:ascii="仿宋" w:hAnsi="仿宋" w:eastAsia="仿宋" w:cs="仿宋"/>
          <w:color w:val="000000" w:themeColor="text1"/>
          <w:sz w:val="24"/>
          <w:highlight w:val="none"/>
        </w:rPr>
        <w:t>提交最终报价后，由磋商小组采用综合评分法对提交最后报价的供应商的响应文件和最后报价进行综合评分。磋商小组根据综合评分情况，按照评审得分由高到低顺序推荐</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名以上成交候选供应商，并编写评审报告。评审得分相同的，按照最后报价由低到高的顺序推荐。评审得分且最后报价相同的，按照技术指标优劣顺序推荐。</w:t>
      </w:r>
    </w:p>
    <w:p>
      <w:pPr>
        <w:spacing w:line="360" w:lineRule="auto"/>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注：</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GB"/>
        </w:rPr>
        <w:t>技术项得分</w:t>
      </w:r>
      <w:r>
        <w:rPr>
          <w:rFonts w:ascii="仿宋" w:hAnsi="仿宋" w:eastAsia="仿宋" w:cs="仿宋"/>
          <w:color w:val="000000" w:themeColor="text1"/>
          <w:sz w:val="24"/>
          <w:highlight w:val="none"/>
          <w:lang w:val="en-GB"/>
        </w:rPr>
        <w:t>=</w:t>
      </w:r>
      <w:r>
        <w:rPr>
          <w:rFonts w:hint="eastAsia" w:ascii="仿宋" w:hAnsi="仿宋" w:eastAsia="仿宋" w:cs="仿宋"/>
          <w:color w:val="000000" w:themeColor="text1"/>
          <w:sz w:val="24"/>
          <w:highlight w:val="none"/>
          <w:lang w:val="en-GB"/>
        </w:rPr>
        <w:t>（∑各评委所审技术参数得分）</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GB"/>
        </w:rPr>
        <w:t>（评委人数）；</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GB"/>
        </w:rPr>
        <w:t>商务项得分</w:t>
      </w:r>
      <w:r>
        <w:rPr>
          <w:rFonts w:ascii="仿宋" w:hAnsi="仿宋" w:eastAsia="仿宋" w:cs="仿宋"/>
          <w:color w:val="000000" w:themeColor="text1"/>
          <w:sz w:val="24"/>
          <w:highlight w:val="none"/>
          <w:lang w:val="en-GB"/>
        </w:rPr>
        <w:t>=</w:t>
      </w:r>
      <w:r>
        <w:rPr>
          <w:rFonts w:hint="eastAsia" w:ascii="仿宋" w:hAnsi="仿宋" w:eastAsia="仿宋" w:cs="仿宋"/>
          <w:color w:val="000000" w:themeColor="text1"/>
          <w:sz w:val="24"/>
          <w:highlight w:val="none"/>
          <w:lang w:val="en-GB"/>
        </w:rPr>
        <w:t>（∑各评委所审商务参数得分）</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GB"/>
        </w:rPr>
        <w:t>（评委人数）；</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GB"/>
        </w:rPr>
        <w:t>价格项得分</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（基准价／报价）×价格权值×</w:t>
      </w:r>
      <w:r>
        <w:rPr>
          <w:rFonts w:ascii="仿宋" w:hAnsi="仿宋" w:eastAsia="仿宋" w:cs="仿宋"/>
          <w:color w:val="000000" w:themeColor="text1"/>
          <w:sz w:val="24"/>
          <w:highlight w:val="none"/>
        </w:rPr>
        <w:t>100</w:t>
      </w:r>
      <w:r>
        <w:rPr>
          <w:rFonts w:hint="eastAsia" w:ascii="仿宋" w:hAnsi="仿宋" w:eastAsia="仿宋" w:cs="仿宋"/>
          <w:color w:val="000000" w:themeColor="text1"/>
          <w:sz w:val="24"/>
          <w:highlight w:val="none"/>
          <w:lang w:val="en-GB"/>
        </w:rPr>
        <w:t>；</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GB"/>
        </w:rPr>
        <w:t>供应商综合得分</w:t>
      </w:r>
      <w:r>
        <w:rPr>
          <w:rFonts w:ascii="仿宋" w:hAnsi="仿宋" w:eastAsia="仿宋" w:cs="仿宋"/>
          <w:color w:val="000000" w:themeColor="text1"/>
          <w:sz w:val="24"/>
          <w:highlight w:val="none"/>
          <w:lang w:val="en-GB"/>
        </w:rPr>
        <w:t>=</w:t>
      </w:r>
      <w:r>
        <w:rPr>
          <w:rFonts w:hint="eastAsia" w:ascii="仿宋" w:hAnsi="仿宋" w:eastAsia="仿宋" w:cs="仿宋"/>
          <w:color w:val="000000" w:themeColor="text1"/>
          <w:sz w:val="24"/>
          <w:highlight w:val="none"/>
          <w:lang w:val="en-GB"/>
        </w:rPr>
        <w:t>技术项得分</w:t>
      </w:r>
      <w:r>
        <w:rPr>
          <w:rFonts w:ascii="仿宋" w:hAnsi="仿宋" w:eastAsia="仿宋" w:cs="仿宋"/>
          <w:color w:val="000000" w:themeColor="text1"/>
          <w:sz w:val="24"/>
          <w:highlight w:val="none"/>
          <w:lang w:val="en-GB"/>
        </w:rPr>
        <w:t>+</w:t>
      </w:r>
      <w:r>
        <w:rPr>
          <w:rFonts w:hint="eastAsia" w:ascii="仿宋" w:hAnsi="仿宋" w:eastAsia="仿宋" w:cs="仿宋"/>
          <w:color w:val="000000" w:themeColor="text1"/>
          <w:sz w:val="24"/>
          <w:highlight w:val="none"/>
          <w:lang w:val="en-GB"/>
        </w:rPr>
        <w:t>商务项得分</w:t>
      </w:r>
      <w:r>
        <w:rPr>
          <w:rFonts w:ascii="仿宋" w:hAnsi="仿宋" w:eastAsia="仿宋" w:cs="仿宋"/>
          <w:color w:val="000000" w:themeColor="text1"/>
          <w:sz w:val="24"/>
          <w:highlight w:val="none"/>
          <w:lang w:val="en-GB"/>
        </w:rPr>
        <w:t>+</w:t>
      </w:r>
      <w:r>
        <w:rPr>
          <w:rFonts w:hint="eastAsia" w:ascii="仿宋" w:hAnsi="仿宋" w:eastAsia="仿宋" w:cs="仿宋"/>
          <w:color w:val="000000" w:themeColor="text1"/>
          <w:sz w:val="24"/>
          <w:highlight w:val="none"/>
          <w:lang w:val="en-GB"/>
        </w:rPr>
        <w:t>价格项得分（保留二位小数）。</w:t>
      </w:r>
    </w:p>
    <w:p>
      <w:pPr>
        <w:spacing w:line="360" w:lineRule="auto"/>
        <w:ind w:firstLine="482"/>
        <w:outlineLvl w:val="1"/>
        <w:rPr>
          <w:rFonts w:ascii="仿宋" w:hAnsi="仿宋" w:eastAsia="仿宋" w:cs="仿宋"/>
          <w:b/>
          <w:color w:val="000000" w:themeColor="text1"/>
          <w:sz w:val="24"/>
          <w:highlight w:val="none"/>
        </w:rPr>
      </w:pPr>
      <w:bookmarkStart w:id="141" w:name="_Toc10320"/>
      <w:bookmarkStart w:id="142" w:name="_Toc13342"/>
      <w:bookmarkStart w:id="143" w:name="_Toc31834"/>
      <w:bookmarkStart w:id="144" w:name="_Toc433127007"/>
      <w:bookmarkStart w:id="145" w:name="_Toc7145"/>
      <w:r>
        <w:rPr>
          <w:rFonts w:ascii="仿宋" w:hAnsi="仿宋" w:eastAsia="仿宋" w:cs="仿宋"/>
          <w:b/>
          <w:color w:val="000000" w:themeColor="text1"/>
          <w:sz w:val="24"/>
          <w:highlight w:val="none"/>
        </w:rPr>
        <w:t>21</w:t>
      </w:r>
      <w:r>
        <w:rPr>
          <w:rFonts w:hint="eastAsia" w:ascii="仿宋" w:hAnsi="仿宋" w:eastAsia="仿宋" w:cs="仿宋"/>
          <w:b/>
          <w:color w:val="000000" w:themeColor="text1"/>
          <w:sz w:val="24"/>
          <w:highlight w:val="none"/>
        </w:rPr>
        <w:t>、确定成交供应商及后续工作</w:t>
      </w:r>
      <w:bookmarkEnd w:id="141"/>
      <w:bookmarkEnd w:id="142"/>
      <w:bookmarkEnd w:id="143"/>
      <w:bookmarkEnd w:id="144"/>
      <w:bookmarkEnd w:id="145"/>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21.1 </w:t>
      </w:r>
      <w:r>
        <w:rPr>
          <w:rFonts w:hint="eastAsia" w:ascii="仿宋" w:hAnsi="仿宋" w:eastAsia="仿宋" w:cs="仿宋"/>
          <w:color w:val="000000" w:themeColor="text1"/>
          <w:sz w:val="24"/>
          <w:highlight w:val="none"/>
        </w:rPr>
        <w:t>采购代理机构在评审结束后</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个工作日内将评审报告送采购人确认。</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21.2 </w:t>
      </w:r>
      <w:r>
        <w:rPr>
          <w:rFonts w:hint="eastAsia" w:ascii="仿宋" w:hAnsi="仿宋" w:eastAsia="仿宋" w:cs="仿宋"/>
          <w:color w:val="000000" w:themeColor="text1"/>
          <w:sz w:val="24"/>
          <w:highlight w:val="none"/>
        </w:rPr>
        <w:t>采购人将在收到评审报告后</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个工作日内，从评审报告提出的成交候选供应商中，按照排序由高到低的原则确定成交供应商。</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21.3 </w:t>
      </w:r>
      <w:r>
        <w:rPr>
          <w:rFonts w:hint="eastAsia" w:ascii="仿宋" w:hAnsi="仿宋" w:eastAsia="仿宋" w:cs="仿宋"/>
          <w:color w:val="000000" w:themeColor="text1"/>
          <w:sz w:val="24"/>
          <w:highlight w:val="none"/>
        </w:rPr>
        <w:t>采购人或者采购代理机构应当在成交供应商确定后</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个工作日内，在指定的政府采购信息发布媒体上公告成交结果，同时向成交供应商发出成交通知书，并将磋商文件随成交结果同时公告。</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21.4 </w:t>
      </w:r>
      <w:r>
        <w:rPr>
          <w:rFonts w:hint="eastAsia" w:ascii="仿宋" w:hAnsi="仿宋" w:eastAsia="仿宋" w:cs="仿宋"/>
          <w:color w:val="000000" w:themeColor="text1"/>
          <w:sz w:val="24"/>
          <w:highlight w:val="none"/>
        </w:rPr>
        <w:t>采购人与成交供应商在成交通知书发出之日起</w:t>
      </w:r>
      <w:r>
        <w:rPr>
          <w:rFonts w:ascii="仿宋" w:hAnsi="仿宋" w:eastAsia="仿宋" w:cs="仿宋"/>
          <w:color w:val="000000" w:themeColor="text1"/>
          <w:sz w:val="24"/>
          <w:highlight w:val="none"/>
        </w:rPr>
        <w:t>30</w:t>
      </w:r>
      <w:r>
        <w:rPr>
          <w:rFonts w:hint="eastAsia" w:ascii="仿宋" w:hAnsi="仿宋" w:eastAsia="仿宋" w:cs="仿宋"/>
          <w:color w:val="000000" w:themeColor="text1"/>
          <w:sz w:val="24"/>
          <w:highlight w:val="none"/>
        </w:rPr>
        <w:t>日内，按照磋商文件确定的合同文本以及采购标的、规格型号、采购金额、采购数量、技术和服务要求等事项签订政府采购合同。</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21.5 </w:t>
      </w:r>
      <w:r>
        <w:rPr>
          <w:rFonts w:hint="eastAsia" w:ascii="仿宋" w:hAnsi="仿宋" w:eastAsia="仿宋" w:cs="仿宋"/>
          <w:color w:val="000000" w:themeColor="text1"/>
          <w:sz w:val="24"/>
          <w:highlight w:val="none"/>
        </w:rPr>
        <w:t>采购人或者采购代理机构将在采购活动结束后退还供应商的磋商保证金，因供应商自身原因导致无法及时退还的除外。未成交供应商的磋商保证金在成交通知书发出后</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个工作日内退还，成交供应商的磋商保证金在采购合同签订后</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个工作日内退还。</w:t>
      </w:r>
    </w:p>
    <w:p>
      <w:pPr>
        <w:widowControl/>
        <w:spacing w:line="360" w:lineRule="auto"/>
        <w:ind w:firstLine="482" w:firstLineChars="200"/>
        <w:jc w:val="left"/>
        <w:rPr>
          <w:rFonts w:ascii="仿宋" w:hAnsi="仿宋" w:eastAsia="仿宋" w:cs="仿宋"/>
          <w:color w:val="000000" w:themeColor="text1"/>
          <w:sz w:val="24"/>
          <w:highlight w:val="none"/>
        </w:rPr>
      </w:pPr>
      <w:r>
        <w:rPr>
          <w:rFonts w:ascii="仿宋" w:hAnsi="仿宋" w:eastAsia="仿宋" w:cs="仿宋"/>
          <w:b/>
          <w:color w:val="000000" w:themeColor="text1"/>
          <w:kern w:val="0"/>
          <w:sz w:val="24"/>
          <w:highlight w:val="none"/>
        </w:rPr>
        <w:t>22</w:t>
      </w:r>
      <w:r>
        <w:rPr>
          <w:rFonts w:hint="eastAsia" w:ascii="仿宋" w:hAnsi="仿宋" w:eastAsia="仿宋" w:cs="仿宋"/>
          <w:b/>
          <w:color w:val="000000" w:themeColor="text1"/>
          <w:kern w:val="0"/>
          <w:sz w:val="24"/>
          <w:highlight w:val="none"/>
        </w:rPr>
        <w:t>、加分政策：</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关于政策性加分</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、所投分包</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如不分包则指本项目</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的所有投标产品进入当期节能清单的，其评标价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投标报价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1-2%</w:t>
      </w:r>
      <w:r>
        <w:rPr>
          <w:rFonts w:hint="eastAsia" w:ascii="仿宋" w:hAnsi="仿宋" w:eastAsia="仿宋" w:cs="仿宋"/>
          <w:color w:val="000000" w:themeColor="text1"/>
          <w:kern w:val="0"/>
          <w:sz w:val="24"/>
          <w:highlight w:val="none"/>
        </w:rPr>
        <w:t>）；投标人所投产品满足此规定的，必须提供声明函并提供相关证明文件。</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、所投分包</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如不分包则指本项目</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的所有投标产品进入当期环保清单的，其评标价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投标报价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1-1%</w:t>
      </w:r>
      <w:r>
        <w:rPr>
          <w:rFonts w:hint="eastAsia" w:ascii="仿宋" w:hAnsi="仿宋" w:eastAsia="仿宋" w:cs="仿宋"/>
          <w:color w:val="000000" w:themeColor="text1"/>
          <w:kern w:val="0"/>
          <w:sz w:val="24"/>
          <w:highlight w:val="none"/>
        </w:rPr>
        <w:t>）；投标人所投产品满足此规定的，必须提供声明函并提供相关证明文件。</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rPr>
        <w:t>、投标人为小型和微型企业（含联合体）的情况</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 xml:space="preserve">3.1 </w:t>
      </w:r>
      <w:r>
        <w:rPr>
          <w:rFonts w:hint="eastAsia" w:ascii="仿宋" w:hAnsi="仿宋" w:eastAsia="仿宋" w:cs="仿宋"/>
          <w:color w:val="000000" w:themeColor="text1"/>
          <w:kern w:val="0"/>
          <w:sz w:val="24"/>
          <w:highlight w:val="none"/>
        </w:rPr>
        <w:t>中小企业的认定标准：</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）提供本企业制造的货物、承担的工程或者服务，或者提供其他中小企业制造的货物，不包括提供或使用大型企业注册商标的货物；</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）本规定所称中小企业划分标准，是指国务院有关部门根据企业从业人员、营业收入、资产总额等指标制定的中小企业划型标准（﹝</w:t>
      </w:r>
      <w:r>
        <w:rPr>
          <w:rFonts w:ascii="仿宋" w:hAnsi="仿宋" w:eastAsia="仿宋" w:cs="仿宋"/>
          <w:color w:val="000000" w:themeColor="text1"/>
          <w:kern w:val="0"/>
          <w:sz w:val="24"/>
          <w:highlight w:val="none"/>
        </w:rPr>
        <w:t>2020</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 xml:space="preserve">46 </w:t>
      </w:r>
      <w:r>
        <w:rPr>
          <w:rFonts w:hint="eastAsia" w:ascii="仿宋" w:hAnsi="仿宋" w:eastAsia="仿宋" w:cs="仿宋"/>
          <w:color w:val="000000" w:themeColor="text1"/>
          <w:kern w:val="0"/>
          <w:sz w:val="24"/>
          <w:highlight w:val="none"/>
        </w:rPr>
        <w:t>号））；</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rPr>
        <w:t>）小型、微型企业提供有中型企业制造的货物的，视同为中型企业；小型、微型、中型企业提供有大型企业制造的货物的，视同为大型企业。</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 xml:space="preserve">3.2 </w:t>
      </w:r>
      <w:r>
        <w:rPr>
          <w:rFonts w:hint="eastAsia" w:ascii="仿宋" w:hAnsi="仿宋" w:eastAsia="仿宋" w:cs="仿宋"/>
          <w:color w:val="000000" w:themeColor="text1"/>
          <w:kern w:val="0"/>
          <w:sz w:val="24"/>
          <w:highlight w:val="none"/>
        </w:rPr>
        <w:t>具体评审价说明：</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）投标人为小型或微型企业，其评审价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投标报价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1-6%</w:t>
      </w:r>
      <w:r>
        <w:rPr>
          <w:rFonts w:hint="eastAsia" w:ascii="仿宋" w:hAnsi="仿宋" w:eastAsia="仿宋" w:cs="仿宋"/>
          <w:color w:val="000000" w:themeColor="text1"/>
          <w:kern w:val="0"/>
          <w:sz w:val="24"/>
          <w:highlight w:val="none"/>
        </w:rPr>
        <w:t>）；</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）投标人为联合体投标，联合体中有小型或微型企业且联合协议中约定小型、微型企业的协议合同金额占到联合体协议合同总金额</w:t>
      </w:r>
      <w:r>
        <w:rPr>
          <w:rFonts w:ascii="仿宋" w:hAnsi="仿宋" w:eastAsia="仿宋" w:cs="仿宋"/>
          <w:color w:val="000000" w:themeColor="text1"/>
          <w:kern w:val="0"/>
          <w:sz w:val="24"/>
          <w:highlight w:val="none"/>
        </w:rPr>
        <w:t xml:space="preserve"> 30</w:t>
      </w:r>
      <w:r>
        <w:rPr>
          <w:rFonts w:hint="eastAsia" w:ascii="仿宋" w:hAnsi="仿宋" w:eastAsia="仿宋" w:cs="仿宋"/>
          <w:color w:val="000000" w:themeColor="text1"/>
          <w:kern w:val="0"/>
          <w:sz w:val="24"/>
          <w:highlight w:val="none"/>
        </w:rPr>
        <w:t>％以上的，其评审价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投标报价</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1-2%</w:t>
      </w:r>
      <w:r>
        <w:rPr>
          <w:rFonts w:hint="eastAsia" w:ascii="仿宋" w:hAnsi="仿宋" w:eastAsia="仿宋" w:cs="仿宋"/>
          <w:color w:val="000000" w:themeColor="text1"/>
          <w:kern w:val="0"/>
          <w:sz w:val="24"/>
          <w:highlight w:val="none"/>
        </w:rPr>
        <w:t>）。</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3.3 </w:t>
      </w:r>
      <w:r>
        <w:rPr>
          <w:rFonts w:hint="eastAsia" w:ascii="仿宋" w:hAnsi="仿宋" w:eastAsia="仿宋" w:cs="仿宋"/>
          <w:color w:val="000000" w:themeColor="text1"/>
          <w:kern w:val="0"/>
          <w:sz w:val="24"/>
          <w:highlight w:val="none"/>
        </w:rPr>
        <w:t>投标人为工信部联企业〔</w:t>
      </w:r>
      <w:r>
        <w:rPr>
          <w:rFonts w:ascii="仿宋" w:hAnsi="仿宋" w:eastAsia="仿宋" w:cs="仿宋"/>
          <w:color w:val="000000" w:themeColor="text1"/>
          <w:kern w:val="0"/>
          <w:sz w:val="24"/>
          <w:highlight w:val="none"/>
        </w:rPr>
        <w:t>2011</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 xml:space="preserve">300 </w:t>
      </w:r>
      <w:r>
        <w:rPr>
          <w:rFonts w:hint="eastAsia" w:ascii="仿宋" w:hAnsi="仿宋" w:eastAsia="仿宋" w:cs="仿宋"/>
          <w:color w:val="000000" w:themeColor="text1"/>
          <w:kern w:val="0"/>
          <w:sz w:val="24"/>
          <w:highlight w:val="none"/>
        </w:rPr>
        <w:t>号文规定的小型和微型企业（含联合体）的，必须如实填写“中小企业声明函”（内容、格式见财库〔</w:t>
      </w:r>
      <w:r>
        <w:rPr>
          <w:rFonts w:ascii="仿宋" w:hAnsi="仿宋" w:eastAsia="仿宋" w:cs="仿宋"/>
          <w:color w:val="000000" w:themeColor="text1"/>
          <w:kern w:val="0"/>
          <w:sz w:val="24"/>
          <w:highlight w:val="none"/>
        </w:rPr>
        <w:t>2011</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181</w:t>
      </w:r>
      <w:r>
        <w:rPr>
          <w:rFonts w:hint="eastAsia" w:ascii="仿宋" w:hAnsi="仿宋" w:eastAsia="仿宋" w:cs="仿宋"/>
          <w:color w:val="000000" w:themeColor="text1"/>
          <w:kern w:val="0"/>
          <w:sz w:val="24"/>
          <w:highlight w:val="none"/>
        </w:rPr>
        <w:t>号），否则无效。如有虚假骗取政策性加分，将依法承担相应责任。</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ascii="仿宋" w:hAnsi="仿宋" w:eastAsia="仿宋" w:cs="仿宋"/>
          <w:color w:val="000000" w:themeColor="text1"/>
          <w:kern w:val="0"/>
          <w:sz w:val="24"/>
          <w:szCs w:val="24"/>
          <w:highlight w:val="none"/>
          <w:lang w:eastAsia="zh-CN"/>
        </w:rPr>
        <w:t>4</w:t>
      </w:r>
      <w:r>
        <w:rPr>
          <w:rFonts w:hint="eastAsia" w:ascii="仿宋" w:hAnsi="仿宋" w:eastAsia="仿宋" w:cs="仿宋"/>
          <w:color w:val="000000" w:themeColor="text1"/>
          <w:kern w:val="0"/>
          <w:sz w:val="24"/>
          <w:szCs w:val="24"/>
          <w:highlight w:val="none"/>
          <w:lang w:eastAsia="zh-CN"/>
        </w:rPr>
        <w:t>、投标人为残疾人福利性单位的情况</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ascii="仿宋" w:hAnsi="仿宋" w:eastAsia="仿宋" w:cs="仿宋"/>
          <w:color w:val="000000" w:themeColor="text1"/>
          <w:kern w:val="0"/>
          <w:sz w:val="24"/>
          <w:szCs w:val="24"/>
          <w:highlight w:val="none"/>
          <w:lang w:eastAsia="zh-CN"/>
        </w:rPr>
        <w:t xml:space="preserve">4.1 </w:t>
      </w:r>
      <w:r>
        <w:rPr>
          <w:rFonts w:hint="eastAsia" w:ascii="仿宋" w:hAnsi="仿宋" w:eastAsia="仿宋" w:cs="仿宋"/>
          <w:color w:val="000000" w:themeColor="text1"/>
          <w:kern w:val="0"/>
          <w:sz w:val="24"/>
          <w:szCs w:val="24"/>
          <w:highlight w:val="none"/>
          <w:lang w:eastAsia="zh-CN"/>
        </w:rPr>
        <w:t>残疾人福利性单位的认定标准：</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1</w:t>
      </w:r>
      <w:r>
        <w:rPr>
          <w:rFonts w:hint="eastAsia" w:ascii="仿宋" w:hAnsi="仿宋" w:eastAsia="仿宋" w:cs="仿宋"/>
          <w:color w:val="000000" w:themeColor="text1"/>
          <w:kern w:val="0"/>
          <w:sz w:val="24"/>
          <w:szCs w:val="24"/>
          <w:highlight w:val="none"/>
          <w:lang w:eastAsia="zh-CN"/>
        </w:rPr>
        <w:t>）安置的残疾人占本单位在职职工人数的比例不低于</w:t>
      </w:r>
      <w:r>
        <w:rPr>
          <w:rFonts w:ascii="仿宋" w:hAnsi="仿宋" w:eastAsia="仿宋" w:cs="仿宋"/>
          <w:color w:val="000000" w:themeColor="text1"/>
          <w:kern w:val="0"/>
          <w:sz w:val="24"/>
          <w:szCs w:val="24"/>
          <w:highlight w:val="none"/>
          <w:lang w:eastAsia="zh-CN"/>
        </w:rPr>
        <w:t>25%</w:t>
      </w:r>
      <w:r>
        <w:rPr>
          <w:rFonts w:hint="eastAsia" w:ascii="仿宋" w:hAnsi="仿宋" w:eastAsia="仿宋" w:cs="仿宋"/>
          <w:color w:val="000000" w:themeColor="text1"/>
          <w:kern w:val="0"/>
          <w:sz w:val="24"/>
          <w:szCs w:val="24"/>
          <w:highlight w:val="none"/>
          <w:lang w:eastAsia="zh-CN"/>
        </w:rPr>
        <w:t>（含</w:t>
      </w:r>
      <w:r>
        <w:rPr>
          <w:rFonts w:ascii="仿宋" w:hAnsi="仿宋" w:eastAsia="仿宋" w:cs="仿宋"/>
          <w:color w:val="000000" w:themeColor="text1"/>
          <w:kern w:val="0"/>
          <w:sz w:val="24"/>
          <w:szCs w:val="24"/>
          <w:highlight w:val="none"/>
          <w:lang w:eastAsia="zh-CN"/>
        </w:rPr>
        <w:t>25%</w:t>
      </w:r>
      <w:r>
        <w:rPr>
          <w:rFonts w:hint="eastAsia" w:ascii="仿宋" w:hAnsi="仿宋" w:eastAsia="仿宋" w:cs="仿宋"/>
          <w:color w:val="000000" w:themeColor="text1"/>
          <w:kern w:val="0"/>
          <w:sz w:val="24"/>
          <w:szCs w:val="24"/>
          <w:highlight w:val="none"/>
          <w:lang w:eastAsia="zh-CN"/>
        </w:rPr>
        <w:t>），并且安置的残疾人人数不少于</w:t>
      </w:r>
      <w:r>
        <w:rPr>
          <w:rFonts w:ascii="仿宋" w:hAnsi="仿宋" w:eastAsia="仿宋" w:cs="仿宋"/>
          <w:color w:val="000000" w:themeColor="text1"/>
          <w:kern w:val="0"/>
          <w:sz w:val="24"/>
          <w:szCs w:val="24"/>
          <w:highlight w:val="none"/>
          <w:lang w:eastAsia="zh-CN"/>
        </w:rPr>
        <w:t>10</w:t>
      </w:r>
      <w:r>
        <w:rPr>
          <w:rFonts w:hint="eastAsia" w:ascii="仿宋" w:hAnsi="仿宋" w:eastAsia="仿宋" w:cs="仿宋"/>
          <w:color w:val="000000" w:themeColor="text1"/>
          <w:kern w:val="0"/>
          <w:sz w:val="24"/>
          <w:szCs w:val="24"/>
          <w:highlight w:val="none"/>
          <w:lang w:eastAsia="zh-CN"/>
        </w:rPr>
        <w:t>人（含</w:t>
      </w:r>
      <w:r>
        <w:rPr>
          <w:rFonts w:ascii="仿宋" w:hAnsi="仿宋" w:eastAsia="仿宋" w:cs="仿宋"/>
          <w:color w:val="000000" w:themeColor="text1"/>
          <w:kern w:val="0"/>
          <w:sz w:val="24"/>
          <w:szCs w:val="24"/>
          <w:highlight w:val="none"/>
          <w:lang w:eastAsia="zh-CN"/>
        </w:rPr>
        <w:t>10</w:t>
      </w:r>
      <w:r>
        <w:rPr>
          <w:rFonts w:hint="eastAsia" w:ascii="仿宋" w:hAnsi="仿宋" w:eastAsia="仿宋" w:cs="仿宋"/>
          <w:color w:val="000000" w:themeColor="text1"/>
          <w:kern w:val="0"/>
          <w:sz w:val="24"/>
          <w:szCs w:val="24"/>
          <w:highlight w:val="none"/>
          <w:lang w:eastAsia="zh-CN"/>
        </w:rPr>
        <w:t>人）；</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2</w:t>
      </w:r>
      <w:r>
        <w:rPr>
          <w:rFonts w:hint="eastAsia" w:ascii="仿宋" w:hAnsi="仿宋" w:eastAsia="仿宋" w:cs="仿宋"/>
          <w:color w:val="000000" w:themeColor="text1"/>
          <w:kern w:val="0"/>
          <w:sz w:val="24"/>
          <w:szCs w:val="24"/>
          <w:highlight w:val="none"/>
          <w:lang w:eastAsia="zh-CN"/>
        </w:rPr>
        <w:t>）依法与安置的每位残疾人签订了一年以上（含一年）的劳动合同或服务协议；</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3</w:t>
      </w:r>
      <w:r>
        <w:rPr>
          <w:rFonts w:hint="eastAsia" w:ascii="仿宋" w:hAnsi="仿宋" w:eastAsia="仿宋" w:cs="仿宋"/>
          <w:color w:val="000000" w:themeColor="text1"/>
          <w:kern w:val="0"/>
          <w:sz w:val="24"/>
          <w:szCs w:val="24"/>
          <w:highlight w:val="none"/>
          <w:lang w:eastAsia="zh-CN"/>
        </w:rPr>
        <w:t>）为安置的每位残疾人按月足额缴纳了养老保险、基本医疗保险、失业保险、工伤保险和生育保险等社会保险费；</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4</w:t>
      </w:r>
      <w:r>
        <w:rPr>
          <w:rFonts w:hint="eastAsia" w:ascii="仿宋" w:hAnsi="仿宋" w:eastAsia="仿宋" w:cs="仿宋"/>
          <w:color w:val="000000" w:themeColor="text1"/>
          <w:kern w:val="0"/>
          <w:sz w:val="24"/>
          <w:szCs w:val="24"/>
          <w:highlight w:val="none"/>
          <w:lang w:eastAsia="zh-CN"/>
        </w:rPr>
        <w:t>）通过银行等金融机构向安置的每位残疾人，按月支付了不低于单位所在区县适用的经省级人民政府批准的月最低工资标准的工资；</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5</w:t>
      </w:r>
      <w:r>
        <w:rPr>
          <w:rFonts w:hint="eastAsia" w:ascii="仿宋" w:hAnsi="仿宋" w:eastAsia="仿宋" w:cs="仿宋"/>
          <w:color w:val="000000" w:themeColor="text1"/>
          <w:kern w:val="0"/>
          <w:sz w:val="24"/>
          <w:szCs w:val="24"/>
          <w:highlight w:val="none"/>
          <w:lang w:eastAsia="zh-CN"/>
        </w:rPr>
        <w:t>）提供本单位制造的货物、承担的工程或者服务（以下简称产品），或者提供其他残疾人福利性单位制造的货物（不包括使用非残疾人福利性单位注册商标的货物）。</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上述所称残疾人是指法定劳动年龄内，持有《中华人民共和国残疾人证》或者《中华人民共和国残疾军人证（</w:t>
      </w:r>
      <w:r>
        <w:rPr>
          <w:rFonts w:ascii="仿宋" w:hAnsi="仿宋" w:eastAsia="仿宋" w:cs="仿宋"/>
          <w:color w:val="000000" w:themeColor="text1"/>
          <w:kern w:val="0"/>
          <w:sz w:val="24"/>
          <w:szCs w:val="24"/>
          <w:highlight w:val="none"/>
          <w:lang w:eastAsia="zh-CN"/>
        </w:rPr>
        <w:t>1-8</w:t>
      </w:r>
      <w:r>
        <w:rPr>
          <w:rFonts w:hint="eastAsia" w:ascii="仿宋" w:hAnsi="仿宋" w:eastAsia="仿宋" w:cs="仿宋"/>
          <w:color w:val="000000" w:themeColor="text1"/>
          <w:kern w:val="0"/>
          <w:sz w:val="24"/>
          <w:szCs w:val="24"/>
          <w:highlight w:val="none"/>
          <w:lang w:eastAsia="zh-CN"/>
        </w:rPr>
        <w:t>级）》的自然人，包括具有劳动条件和劳动意向的精神残疾人。在职职工人数是指与残疾人福利性单位建立劳动关系并依法签订劳动合同或者服务协议的雇员人数。</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ascii="仿宋" w:hAnsi="仿宋" w:eastAsia="仿宋" w:cs="仿宋"/>
          <w:color w:val="000000" w:themeColor="text1"/>
          <w:kern w:val="0"/>
          <w:sz w:val="24"/>
          <w:szCs w:val="24"/>
          <w:highlight w:val="none"/>
          <w:lang w:eastAsia="zh-CN"/>
        </w:rPr>
        <w:t xml:space="preserve">4.2 </w:t>
      </w:r>
      <w:r>
        <w:rPr>
          <w:rFonts w:hint="eastAsia" w:ascii="仿宋" w:hAnsi="仿宋" w:eastAsia="仿宋" w:cs="仿宋"/>
          <w:color w:val="000000" w:themeColor="text1"/>
          <w:kern w:val="0"/>
          <w:sz w:val="24"/>
          <w:szCs w:val="24"/>
          <w:highlight w:val="none"/>
          <w:lang w:eastAsia="zh-CN"/>
        </w:rPr>
        <w:t>具体评审价说明：</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1</w:t>
      </w:r>
      <w:r>
        <w:rPr>
          <w:rFonts w:hint="eastAsia" w:ascii="仿宋" w:hAnsi="仿宋" w:eastAsia="仿宋" w:cs="仿宋"/>
          <w:color w:val="000000" w:themeColor="text1"/>
          <w:kern w:val="0"/>
          <w:sz w:val="24"/>
          <w:szCs w:val="24"/>
          <w:highlight w:val="none"/>
          <w:lang w:eastAsia="zh-CN"/>
        </w:rPr>
        <w:t>）投标人为残疾人福利性单位且</w:t>
      </w:r>
      <w:r>
        <w:rPr>
          <w:rFonts w:hint="eastAsia" w:ascii="仿宋" w:hAnsi="仿宋" w:eastAsia="仿宋" w:cs="仿宋"/>
          <w:color w:val="000000" w:themeColor="text1"/>
          <w:kern w:val="0"/>
          <w:sz w:val="24"/>
          <w:highlight w:val="none"/>
          <w:lang w:eastAsia="zh-CN"/>
        </w:rPr>
        <w:t>提供《残疾人福利性单位声明函》</w:t>
      </w:r>
      <w:r>
        <w:rPr>
          <w:rFonts w:hint="eastAsia" w:ascii="仿宋" w:hAnsi="仿宋" w:eastAsia="仿宋" w:cs="仿宋"/>
          <w:color w:val="000000" w:themeColor="text1"/>
          <w:kern w:val="0"/>
          <w:sz w:val="24"/>
          <w:szCs w:val="24"/>
          <w:highlight w:val="none"/>
          <w:lang w:eastAsia="zh-CN"/>
        </w:rPr>
        <w:t>，其评审价</w:t>
      </w:r>
      <w:r>
        <w:rPr>
          <w:rFonts w:ascii="仿宋" w:hAnsi="仿宋" w:eastAsia="仿宋" w:cs="仿宋"/>
          <w:color w:val="000000" w:themeColor="text1"/>
          <w:kern w:val="0"/>
          <w:sz w:val="24"/>
          <w:szCs w:val="24"/>
          <w:highlight w:val="none"/>
          <w:lang w:eastAsia="zh-CN"/>
        </w:rPr>
        <w:t>=</w:t>
      </w:r>
      <w:r>
        <w:rPr>
          <w:rFonts w:hint="eastAsia" w:ascii="仿宋" w:hAnsi="仿宋" w:eastAsia="仿宋" w:cs="仿宋"/>
          <w:color w:val="000000" w:themeColor="text1"/>
          <w:kern w:val="0"/>
          <w:sz w:val="24"/>
          <w:szCs w:val="24"/>
          <w:highlight w:val="none"/>
          <w:lang w:eastAsia="zh-CN"/>
        </w:rPr>
        <w:t>投标报价</w:t>
      </w:r>
      <w:r>
        <w:rPr>
          <w:rFonts w:ascii="仿宋" w:hAnsi="仿宋" w:eastAsia="仿宋" w:cs="仿宋"/>
          <w:color w:val="000000" w:themeColor="text1"/>
          <w:kern w:val="0"/>
          <w:sz w:val="24"/>
          <w:szCs w:val="24"/>
          <w:highlight w:val="none"/>
          <w:lang w:eastAsia="zh-CN"/>
        </w:rPr>
        <w:t>*</w:t>
      </w: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1-6%</w:t>
      </w:r>
      <w:r>
        <w:rPr>
          <w:rFonts w:hint="eastAsia" w:ascii="仿宋" w:hAnsi="仿宋" w:eastAsia="仿宋" w:cs="仿宋"/>
          <w:color w:val="000000" w:themeColor="text1"/>
          <w:kern w:val="0"/>
          <w:sz w:val="24"/>
          <w:szCs w:val="24"/>
          <w:highlight w:val="none"/>
          <w:lang w:eastAsia="zh-CN"/>
        </w:rPr>
        <w:t>）。</w:t>
      </w:r>
      <w:r>
        <w:rPr>
          <w:rFonts w:hint="eastAsia" w:ascii="仿宋" w:hAnsi="仿宋" w:eastAsia="仿宋" w:cs="仿宋"/>
          <w:color w:val="000000" w:themeColor="text1"/>
          <w:kern w:val="0"/>
          <w:sz w:val="24"/>
          <w:highlight w:val="none"/>
          <w:lang w:eastAsia="zh-CN"/>
        </w:rPr>
        <w:t>参加政府采购活动的残疾人福利性单位应当提供《残疾人福利性单位声明函》原件，未提供的，视为放弃享受小微企业价格扣除优惠政策。</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ascii="仿宋" w:hAnsi="仿宋" w:eastAsia="仿宋" w:cs="仿宋"/>
          <w:color w:val="000000" w:themeColor="text1"/>
          <w:kern w:val="0"/>
          <w:sz w:val="24"/>
          <w:szCs w:val="24"/>
          <w:highlight w:val="none"/>
          <w:lang w:eastAsia="zh-CN"/>
        </w:rPr>
        <w:t>5</w:t>
      </w:r>
      <w:r>
        <w:rPr>
          <w:rFonts w:hint="eastAsia" w:ascii="仿宋" w:hAnsi="仿宋" w:eastAsia="仿宋" w:cs="仿宋"/>
          <w:color w:val="000000" w:themeColor="text1"/>
          <w:kern w:val="0"/>
          <w:sz w:val="24"/>
          <w:szCs w:val="24"/>
          <w:highlight w:val="none"/>
          <w:lang w:eastAsia="zh-CN"/>
        </w:rPr>
        <w:t>、投标人为监狱企业的情况</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ascii="仿宋" w:hAnsi="仿宋" w:eastAsia="仿宋" w:cs="仿宋"/>
          <w:color w:val="000000" w:themeColor="text1"/>
          <w:kern w:val="0"/>
          <w:sz w:val="24"/>
          <w:szCs w:val="24"/>
          <w:highlight w:val="none"/>
          <w:lang w:eastAsia="zh-CN"/>
        </w:rPr>
        <w:t xml:space="preserve">5.1 </w:t>
      </w:r>
      <w:r>
        <w:rPr>
          <w:rFonts w:hint="eastAsia" w:ascii="仿宋" w:hAnsi="仿宋" w:eastAsia="仿宋" w:cs="仿宋"/>
          <w:color w:val="000000" w:themeColor="text1"/>
          <w:kern w:val="0"/>
          <w:sz w:val="24"/>
          <w:szCs w:val="24"/>
          <w:highlight w:val="none"/>
          <w:lang w:eastAsia="zh-CN"/>
        </w:rPr>
        <w:t>监狱企业的认定情况：</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1</w:t>
      </w:r>
      <w:r>
        <w:rPr>
          <w:rFonts w:hint="eastAsia" w:ascii="仿宋" w:hAnsi="仿宋" w:eastAsia="仿宋" w:cs="仿宋"/>
          <w:color w:val="000000" w:themeColor="text1"/>
          <w:kern w:val="0"/>
          <w:sz w:val="24"/>
          <w:szCs w:val="24"/>
          <w:highlight w:val="none"/>
          <w:lang w:eastAsia="zh-CN"/>
        </w:rPr>
        <w:t>）监狱企业是指由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ascii="仿宋" w:hAnsi="仿宋" w:eastAsia="仿宋" w:cs="仿宋"/>
          <w:color w:val="000000" w:themeColor="text1"/>
          <w:kern w:val="0"/>
          <w:sz w:val="24"/>
          <w:szCs w:val="24"/>
          <w:highlight w:val="none"/>
          <w:lang w:eastAsia="zh-CN"/>
        </w:rPr>
        <w:t xml:space="preserve">5.2 </w:t>
      </w:r>
      <w:r>
        <w:rPr>
          <w:rFonts w:hint="eastAsia" w:ascii="仿宋" w:hAnsi="仿宋" w:eastAsia="仿宋" w:cs="仿宋"/>
          <w:color w:val="000000" w:themeColor="text1"/>
          <w:kern w:val="0"/>
          <w:sz w:val="24"/>
          <w:szCs w:val="24"/>
          <w:highlight w:val="none"/>
          <w:lang w:eastAsia="zh-CN"/>
        </w:rPr>
        <w:t>具体评审价说明：</w:t>
      </w:r>
    </w:p>
    <w:p>
      <w:pPr>
        <w:pStyle w:val="27"/>
        <w:spacing w:after="0" w:line="360" w:lineRule="auto"/>
        <w:ind w:firstLine="480"/>
        <w:rPr>
          <w:rFonts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1</w:t>
      </w:r>
      <w:r>
        <w:rPr>
          <w:rFonts w:hint="eastAsia" w:ascii="仿宋" w:hAnsi="仿宋" w:eastAsia="仿宋" w:cs="仿宋"/>
          <w:color w:val="000000" w:themeColor="text1"/>
          <w:kern w:val="0"/>
          <w:sz w:val="24"/>
          <w:szCs w:val="24"/>
          <w:highlight w:val="none"/>
          <w:lang w:eastAsia="zh-CN"/>
        </w:rPr>
        <w:t>）投标人为监狱企业，其评审价</w:t>
      </w:r>
      <w:r>
        <w:rPr>
          <w:rFonts w:ascii="仿宋" w:hAnsi="仿宋" w:eastAsia="仿宋" w:cs="仿宋"/>
          <w:color w:val="000000" w:themeColor="text1"/>
          <w:kern w:val="0"/>
          <w:sz w:val="24"/>
          <w:szCs w:val="24"/>
          <w:highlight w:val="none"/>
          <w:lang w:eastAsia="zh-CN"/>
        </w:rPr>
        <w:t>=</w:t>
      </w:r>
      <w:r>
        <w:rPr>
          <w:rFonts w:hint="eastAsia" w:ascii="仿宋" w:hAnsi="仿宋" w:eastAsia="仿宋" w:cs="仿宋"/>
          <w:color w:val="000000" w:themeColor="text1"/>
          <w:kern w:val="0"/>
          <w:sz w:val="24"/>
          <w:szCs w:val="24"/>
          <w:highlight w:val="none"/>
          <w:lang w:eastAsia="zh-CN"/>
        </w:rPr>
        <w:t>投标报价</w:t>
      </w:r>
      <w:r>
        <w:rPr>
          <w:rFonts w:ascii="仿宋" w:hAnsi="仿宋" w:eastAsia="仿宋" w:cs="仿宋"/>
          <w:color w:val="000000" w:themeColor="text1"/>
          <w:kern w:val="0"/>
          <w:sz w:val="24"/>
          <w:szCs w:val="24"/>
          <w:highlight w:val="none"/>
          <w:lang w:eastAsia="zh-CN"/>
        </w:rPr>
        <w:t>*</w:t>
      </w:r>
      <w:r>
        <w:rPr>
          <w:rFonts w:hint="eastAsia" w:ascii="仿宋" w:hAnsi="仿宋" w:eastAsia="仿宋" w:cs="仿宋"/>
          <w:color w:val="000000" w:themeColor="text1"/>
          <w:kern w:val="0"/>
          <w:sz w:val="24"/>
          <w:szCs w:val="24"/>
          <w:highlight w:val="none"/>
          <w:lang w:eastAsia="zh-CN"/>
        </w:rPr>
        <w:t>（</w:t>
      </w:r>
      <w:r>
        <w:rPr>
          <w:rFonts w:ascii="仿宋" w:hAnsi="仿宋" w:eastAsia="仿宋" w:cs="仿宋"/>
          <w:color w:val="000000" w:themeColor="text1"/>
          <w:kern w:val="0"/>
          <w:sz w:val="24"/>
          <w:szCs w:val="24"/>
          <w:highlight w:val="none"/>
          <w:lang w:eastAsia="zh-CN"/>
        </w:rPr>
        <w:t>1-6%</w:t>
      </w:r>
      <w:r>
        <w:rPr>
          <w:rFonts w:hint="eastAsia" w:ascii="仿宋" w:hAnsi="仿宋" w:eastAsia="仿宋" w:cs="仿宋"/>
          <w:color w:val="000000" w:themeColor="text1"/>
          <w:kern w:val="0"/>
          <w:sz w:val="24"/>
          <w:szCs w:val="24"/>
          <w:highlight w:val="none"/>
          <w:lang w:eastAsia="zh-CN"/>
        </w:rPr>
        <w:t>）。</w:t>
      </w:r>
    </w:p>
    <w:p>
      <w:pPr>
        <w:spacing w:line="360" w:lineRule="auto"/>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br w:type="page"/>
      </w:r>
      <w:r>
        <w:rPr>
          <w:rFonts w:hint="eastAsia" w:ascii="仿宋" w:hAnsi="仿宋" w:eastAsia="仿宋" w:cs="仿宋"/>
          <w:b/>
          <w:color w:val="000000" w:themeColor="text1"/>
          <w:sz w:val="24"/>
          <w:highlight w:val="none"/>
        </w:rPr>
        <w:t>（附表</w:t>
      </w:r>
      <w:r>
        <w:rPr>
          <w:rFonts w:ascii="仿宋" w:hAnsi="仿宋" w:eastAsia="仿宋" w:cs="仿宋"/>
          <w:b/>
          <w:color w:val="000000" w:themeColor="text1"/>
          <w:sz w:val="24"/>
          <w:highlight w:val="none"/>
        </w:rPr>
        <w:t>1</w:t>
      </w:r>
      <w:r>
        <w:rPr>
          <w:rFonts w:hint="eastAsia" w:ascii="仿宋" w:hAnsi="仿宋" w:eastAsia="仿宋" w:cs="仿宋"/>
          <w:b/>
          <w:color w:val="000000" w:themeColor="text1"/>
          <w:sz w:val="24"/>
          <w:highlight w:val="none"/>
        </w:rPr>
        <w:t>）</w:t>
      </w:r>
    </w:p>
    <w:p>
      <w:pPr>
        <w:spacing w:line="360" w:lineRule="auto"/>
        <w:jc w:val="center"/>
        <w:rPr>
          <w:rFonts w:ascii="仿宋" w:hAnsi="仿宋" w:eastAsia="仿宋" w:cs="仿宋"/>
          <w:b/>
          <w:bCs/>
          <w:color w:val="000000" w:themeColor="text1"/>
          <w:sz w:val="36"/>
          <w:szCs w:val="36"/>
          <w:highlight w:val="none"/>
          <w:lang w:val="en-GB"/>
        </w:rPr>
      </w:pPr>
      <w:r>
        <w:rPr>
          <w:rFonts w:hint="eastAsia" w:ascii="仿宋" w:hAnsi="仿宋" w:eastAsia="仿宋" w:cs="仿宋"/>
          <w:b/>
          <w:bCs/>
          <w:color w:val="000000" w:themeColor="text1"/>
          <w:sz w:val="36"/>
          <w:szCs w:val="36"/>
          <w:highlight w:val="none"/>
          <w:lang w:val="en-GB"/>
        </w:rPr>
        <w:t>（一）初步审查表</w:t>
      </w:r>
    </w:p>
    <w:tbl>
      <w:tblPr>
        <w:tblStyle w:val="2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881"/>
        <w:gridCol w:w="4252"/>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1" w:type="dxa"/>
            <w:vMerge w:val="restart"/>
            <w:noWrap/>
            <w:vAlign w:val="center"/>
          </w:tcPr>
          <w:p>
            <w:pPr>
              <w:spacing w:line="360" w:lineRule="auto"/>
              <w:jc w:val="center"/>
              <w:rPr>
                <w:rFonts w:ascii="仿宋" w:hAnsi="仿宋" w:eastAsia="仿宋" w:cs="仿宋"/>
                <w:b/>
                <w:color w:val="000000" w:themeColor="text1"/>
                <w:sz w:val="24"/>
                <w:highlight w:val="none"/>
              </w:rPr>
            </w:pPr>
            <w:bookmarkStart w:id="146" w:name="_Toc144285462"/>
            <w:bookmarkStart w:id="147" w:name="_Toc144286014"/>
            <w:bookmarkStart w:id="148" w:name="_Toc144285857"/>
            <w:bookmarkStart w:id="149" w:name="_Toc148068344"/>
            <w:bookmarkStart w:id="150" w:name="_Toc144285339"/>
            <w:bookmarkStart w:id="151" w:name="_Toc144286504"/>
            <w:r>
              <w:rPr>
                <w:rFonts w:hint="eastAsia" w:ascii="仿宋" w:hAnsi="仿宋" w:eastAsia="仿宋" w:cs="仿宋"/>
                <w:b/>
                <w:color w:val="000000" w:themeColor="text1"/>
                <w:sz w:val="24"/>
                <w:highlight w:val="none"/>
              </w:rPr>
              <w:t>序号</w:t>
            </w:r>
          </w:p>
        </w:tc>
        <w:tc>
          <w:tcPr>
            <w:tcW w:w="1881" w:type="dxa"/>
            <w:vMerge w:val="restart"/>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审查项目</w:t>
            </w:r>
          </w:p>
        </w:tc>
        <w:tc>
          <w:tcPr>
            <w:tcW w:w="4252" w:type="dxa"/>
            <w:vMerge w:val="restart"/>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评议内容（无效投标认定条件）</w:t>
            </w:r>
          </w:p>
        </w:tc>
        <w:tc>
          <w:tcPr>
            <w:tcW w:w="1985" w:type="dxa"/>
            <w:gridSpan w:val="3"/>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报价人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1" w:type="dxa"/>
            <w:vMerge w:val="continue"/>
            <w:noWrap/>
            <w:vAlign w:val="center"/>
          </w:tcPr>
          <w:p>
            <w:pPr>
              <w:spacing w:line="360" w:lineRule="auto"/>
              <w:jc w:val="center"/>
              <w:rPr>
                <w:rFonts w:ascii="仿宋" w:hAnsi="仿宋" w:eastAsia="仿宋" w:cs="仿宋"/>
                <w:b/>
                <w:color w:val="000000" w:themeColor="text1"/>
                <w:sz w:val="24"/>
                <w:highlight w:val="none"/>
              </w:rPr>
            </w:pPr>
          </w:p>
        </w:tc>
        <w:tc>
          <w:tcPr>
            <w:tcW w:w="1881" w:type="dxa"/>
            <w:vMerge w:val="continue"/>
            <w:noWrap/>
            <w:vAlign w:val="center"/>
          </w:tcPr>
          <w:p>
            <w:pPr>
              <w:spacing w:line="360" w:lineRule="auto"/>
              <w:jc w:val="center"/>
              <w:rPr>
                <w:rFonts w:ascii="仿宋" w:hAnsi="仿宋" w:eastAsia="仿宋" w:cs="仿宋"/>
                <w:b/>
                <w:color w:val="000000" w:themeColor="text1"/>
                <w:sz w:val="24"/>
                <w:highlight w:val="none"/>
              </w:rPr>
            </w:pPr>
          </w:p>
        </w:tc>
        <w:tc>
          <w:tcPr>
            <w:tcW w:w="4252" w:type="dxa"/>
            <w:vMerge w:val="continue"/>
            <w:noWrap/>
            <w:vAlign w:val="center"/>
          </w:tcPr>
          <w:p>
            <w:pPr>
              <w:spacing w:line="360" w:lineRule="auto"/>
              <w:jc w:val="center"/>
              <w:rPr>
                <w:rFonts w:ascii="仿宋" w:hAnsi="仿宋" w:eastAsia="仿宋" w:cs="仿宋"/>
                <w:b/>
                <w:color w:val="000000" w:themeColor="text1"/>
                <w:sz w:val="24"/>
                <w:highlight w:val="none"/>
              </w:rPr>
            </w:pPr>
          </w:p>
        </w:tc>
        <w:tc>
          <w:tcPr>
            <w:tcW w:w="709" w:type="dxa"/>
            <w:noWrap/>
            <w:vAlign w:val="center"/>
          </w:tcPr>
          <w:p>
            <w:pPr>
              <w:spacing w:line="360" w:lineRule="auto"/>
              <w:jc w:val="center"/>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1#</w:t>
            </w:r>
          </w:p>
        </w:tc>
        <w:tc>
          <w:tcPr>
            <w:tcW w:w="709" w:type="dxa"/>
            <w:noWrap/>
            <w:vAlign w:val="center"/>
          </w:tcPr>
          <w:p>
            <w:pPr>
              <w:spacing w:line="360" w:lineRule="auto"/>
              <w:jc w:val="center"/>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2#</w:t>
            </w:r>
          </w:p>
        </w:tc>
        <w:tc>
          <w:tcPr>
            <w:tcW w:w="567" w:type="dxa"/>
            <w:noWrap/>
            <w:vAlign w:val="center"/>
          </w:tcPr>
          <w:p>
            <w:pPr>
              <w:spacing w:line="360" w:lineRule="auto"/>
              <w:jc w:val="center"/>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供应商的资格</w:t>
            </w:r>
          </w:p>
        </w:tc>
        <w:tc>
          <w:tcPr>
            <w:tcW w:w="4252" w:type="dxa"/>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是否符合采购文件第一章报价人资格要求</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响应文件的有效性</w:t>
            </w:r>
          </w:p>
        </w:tc>
        <w:tc>
          <w:tcPr>
            <w:tcW w:w="4252" w:type="dxa"/>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是否符合采购文件的式样和签署要求且内容完整无缺漏</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响应保证金</w:t>
            </w:r>
          </w:p>
        </w:tc>
        <w:tc>
          <w:tcPr>
            <w:tcW w:w="4252" w:type="dxa"/>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是否按要求提交响应保证金证明的</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投标有效期</w:t>
            </w:r>
          </w:p>
        </w:tc>
        <w:tc>
          <w:tcPr>
            <w:tcW w:w="4252" w:type="dxa"/>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是否满足采购文件要求</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投标报价</w:t>
            </w:r>
          </w:p>
        </w:tc>
        <w:tc>
          <w:tcPr>
            <w:tcW w:w="4252" w:type="dxa"/>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投标报价是否满足采购文件要求</w:t>
            </w:r>
          </w:p>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（报价有效、不漏项、不超出采购预算）</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bCs/>
                <w:color w:val="000000" w:themeColor="text1"/>
                <w:sz w:val="24"/>
                <w:szCs w:val="21"/>
                <w:highlight w:val="none"/>
              </w:rPr>
              <w:t>服务期</w:t>
            </w:r>
          </w:p>
        </w:tc>
        <w:tc>
          <w:tcPr>
            <w:tcW w:w="4252" w:type="dxa"/>
            <w:noWrap/>
            <w:vAlign w:val="center"/>
          </w:tcPr>
          <w:p>
            <w:pPr>
              <w:spacing w:line="360" w:lineRule="auto"/>
              <w:ind w:left="480" w:hanging="480" w:hanging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是否符合采购文件要求</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951" w:type="dxa"/>
            <w:noWrap/>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p>
        </w:tc>
        <w:tc>
          <w:tcPr>
            <w:tcW w:w="1881" w:type="dxa"/>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其它</w:t>
            </w:r>
          </w:p>
        </w:tc>
        <w:tc>
          <w:tcPr>
            <w:tcW w:w="4252" w:type="dxa"/>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无其他无效投标认定条件</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84" w:type="dxa"/>
            <w:gridSpan w:val="3"/>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结论（合格</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不合格）</w:t>
            </w: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709" w:type="dxa"/>
            <w:noWrap/>
            <w:vAlign w:val="center"/>
          </w:tcPr>
          <w:p>
            <w:pPr>
              <w:spacing w:line="360" w:lineRule="auto"/>
              <w:jc w:val="center"/>
              <w:rPr>
                <w:rFonts w:ascii="仿宋" w:hAnsi="仿宋" w:eastAsia="仿宋" w:cs="仿宋"/>
                <w:color w:val="000000" w:themeColor="text1"/>
                <w:sz w:val="24"/>
                <w:highlight w:val="none"/>
              </w:rPr>
            </w:pPr>
          </w:p>
        </w:tc>
        <w:tc>
          <w:tcPr>
            <w:tcW w:w="567" w:type="dxa"/>
            <w:noWrap/>
            <w:vAlign w:val="center"/>
          </w:tcPr>
          <w:p>
            <w:pPr>
              <w:spacing w:line="360" w:lineRule="auto"/>
              <w:jc w:val="center"/>
              <w:rPr>
                <w:rFonts w:ascii="仿宋" w:hAnsi="仿宋" w:eastAsia="仿宋" w:cs="仿宋"/>
                <w:color w:val="000000" w:themeColor="text1"/>
                <w:sz w:val="24"/>
                <w:highlight w:val="none"/>
              </w:rPr>
            </w:pPr>
          </w:p>
        </w:tc>
      </w:tr>
    </w:tbl>
    <w:p>
      <w:pPr>
        <w:spacing w:line="360" w:lineRule="auto"/>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注：</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、表中只需填写“√”通过或“×”不通过；</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、在结论中按“一项否决”的原则，只有全部是“√”通过的，填写“合格”；只要其中有一项是“×”不通过的，填写“不合格”；</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、结论是合格的，才能进入下一轮，不合格的被淘汰。</w:t>
      </w:r>
    </w:p>
    <w:p>
      <w:pPr>
        <w:spacing w:line="360" w:lineRule="auto"/>
        <w:jc w:val="left"/>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评标委员会：</w:t>
      </w:r>
      <w:r>
        <w:rPr>
          <w:rFonts w:ascii="仿宋" w:hAnsi="仿宋" w:eastAsia="仿宋" w:cs="仿宋"/>
          <w:color w:val="000000" w:themeColor="text1"/>
          <w:sz w:val="24"/>
          <w:highlight w:val="none"/>
        </w:rPr>
        <w:br w:type="page"/>
      </w:r>
      <w:r>
        <w:rPr>
          <w:rFonts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rPr>
        <w:t>附表</w:t>
      </w:r>
      <w:r>
        <w:rPr>
          <w:rFonts w:ascii="仿宋" w:hAnsi="仿宋" w:eastAsia="仿宋" w:cs="仿宋"/>
          <w:b/>
          <w:color w:val="000000" w:themeColor="text1"/>
          <w:sz w:val="24"/>
          <w:highlight w:val="none"/>
        </w:rPr>
        <w:t>2)</w:t>
      </w:r>
    </w:p>
    <w:p>
      <w:pPr>
        <w:spacing w:line="360" w:lineRule="auto"/>
        <w:jc w:val="center"/>
        <w:rPr>
          <w:rFonts w:ascii="仿宋" w:hAnsi="仿宋" w:eastAsia="仿宋" w:cs="仿宋"/>
          <w:b/>
          <w:bCs/>
          <w:color w:val="000000" w:themeColor="text1"/>
          <w:sz w:val="36"/>
          <w:szCs w:val="36"/>
          <w:highlight w:val="none"/>
          <w:lang w:val="en-GB"/>
        </w:rPr>
      </w:pPr>
      <w:r>
        <w:rPr>
          <w:rFonts w:hint="eastAsia" w:ascii="仿宋" w:hAnsi="仿宋" w:eastAsia="仿宋" w:cs="仿宋"/>
          <w:b/>
          <w:bCs/>
          <w:color w:val="000000" w:themeColor="text1"/>
          <w:sz w:val="36"/>
          <w:szCs w:val="36"/>
          <w:highlight w:val="none"/>
        </w:rPr>
        <w:t>（二）</w:t>
      </w:r>
      <w:r>
        <w:rPr>
          <w:rFonts w:hint="eastAsia" w:ascii="仿宋" w:hAnsi="仿宋" w:eastAsia="仿宋" w:cs="仿宋"/>
          <w:b/>
          <w:bCs/>
          <w:color w:val="000000" w:themeColor="text1"/>
          <w:sz w:val="36"/>
          <w:szCs w:val="36"/>
          <w:highlight w:val="none"/>
          <w:lang w:val="en-GB"/>
        </w:rPr>
        <w:t>综合评分表</w:t>
      </w:r>
    </w:p>
    <w:p>
      <w:pPr>
        <w:pStyle w:val="18"/>
        <w:rPr>
          <w:color w:val="000000" w:themeColor="text1"/>
          <w:highlight w:val="none"/>
          <w:lang w:val="en-GB" w:eastAsia="zh-CN"/>
        </w:rPr>
      </w:pPr>
    </w:p>
    <w:tbl>
      <w:tblPr>
        <w:tblStyle w:val="28"/>
        <w:tblpPr w:leftFromText="180" w:rightFromText="180" w:vertAnchor="text" w:horzAnchor="page" w:tblpX="1494" w:tblpY="260"/>
        <w:tblOverlap w:val="never"/>
        <w:tblW w:w="95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323"/>
        <w:gridCol w:w="6853"/>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691" w:type="dxa"/>
            <w:noWrap/>
            <w:vAlign w:val="center"/>
          </w:tcPr>
          <w:p>
            <w:pPr>
              <w:widowControl/>
              <w:spacing w:line="360" w:lineRule="auto"/>
              <w:jc w:val="center"/>
              <w:textAlignment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kern w:val="0"/>
                <w:sz w:val="24"/>
                <w:highlight w:val="none"/>
              </w:rPr>
              <w:t>序号</w:t>
            </w:r>
          </w:p>
        </w:tc>
        <w:tc>
          <w:tcPr>
            <w:tcW w:w="1323" w:type="dxa"/>
            <w:noWrap/>
            <w:vAlign w:val="center"/>
          </w:tcPr>
          <w:p>
            <w:pPr>
              <w:widowControl/>
              <w:spacing w:line="360" w:lineRule="auto"/>
              <w:jc w:val="center"/>
              <w:textAlignment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kern w:val="0"/>
                <w:sz w:val="24"/>
                <w:highlight w:val="none"/>
              </w:rPr>
              <w:t>评审内容</w:t>
            </w:r>
          </w:p>
        </w:tc>
        <w:tc>
          <w:tcPr>
            <w:tcW w:w="6853" w:type="dxa"/>
            <w:noWrap/>
            <w:vAlign w:val="center"/>
          </w:tcPr>
          <w:p>
            <w:pPr>
              <w:widowControl/>
              <w:spacing w:line="360" w:lineRule="auto"/>
              <w:jc w:val="center"/>
              <w:textAlignment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kern w:val="0"/>
                <w:sz w:val="24"/>
                <w:highlight w:val="none"/>
              </w:rPr>
              <w:t>评审因素</w:t>
            </w:r>
          </w:p>
        </w:tc>
        <w:tc>
          <w:tcPr>
            <w:tcW w:w="675" w:type="dxa"/>
            <w:noWrap/>
            <w:vAlign w:val="center"/>
          </w:tcPr>
          <w:p>
            <w:pPr>
              <w:widowControl/>
              <w:spacing w:line="360" w:lineRule="auto"/>
              <w:jc w:val="center"/>
              <w:textAlignment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kern w:val="0"/>
                <w:sz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91"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1</w:t>
            </w:r>
          </w:p>
        </w:tc>
        <w:tc>
          <w:tcPr>
            <w:tcW w:w="1323"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技术参数响应</w:t>
            </w:r>
          </w:p>
        </w:tc>
        <w:tc>
          <w:tcPr>
            <w:tcW w:w="6853" w:type="dxa"/>
            <w:noWrap/>
            <w:vAlign w:val="center"/>
          </w:tcPr>
          <w:p>
            <w:pPr>
              <w:widowControl/>
              <w:spacing w:line="360" w:lineRule="auto"/>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供应商对磋商文件“用户需求书中的技术参数要求”内容的响应情况：</w:t>
            </w:r>
          </w:p>
          <w:p>
            <w:pPr>
              <w:widowControl/>
              <w:spacing w:line="360" w:lineRule="auto"/>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全部满足“技术参数要求”内容的得 40 分。带“★”号的每有一项不满足扣3分，其余参数每有一项不满足的扣 2 分，扣完为止。</w:t>
            </w:r>
          </w:p>
        </w:tc>
        <w:tc>
          <w:tcPr>
            <w:tcW w:w="675"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91"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2</w:t>
            </w:r>
          </w:p>
        </w:tc>
        <w:tc>
          <w:tcPr>
            <w:tcW w:w="1323" w:type="dxa"/>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业绩</w:t>
            </w:r>
          </w:p>
        </w:tc>
        <w:tc>
          <w:tcPr>
            <w:tcW w:w="6853" w:type="dxa"/>
            <w:noWrap/>
            <w:vAlign w:val="center"/>
          </w:tcPr>
          <w:p>
            <w:pPr>
              <w:widowControl/>
              <w:spacing w:line="360" w:lineRule="auto"/>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供应商须提供</w:t>
            </w:r>
            <w:r>
              <w:rPr>
                <w:rFonts w:ascii="仿宋" w:hAnsi="仿宋" w:eastAsia="仿宋" w:cs="仿宋"/>
                <w:color w:val="000000" w:themeColor="text1"/>
                <w:sz w:val="24"/>
                <w:highlight w:val="none"/>
              </w:rPr>
              <w:t>201</w:t>
            </w:r>
            <w:r>
              <w:rPr>
                <w:rFonts w:hint="eastAsia" w:ascii="仿宋" w:hAnsi="仿宋" w:eastAsia="仿宋" w:cs="仿宋"/>
                <w:color w:val="000000" w:themeColor="text1"/>
                <w:sz w:val="24"/>
                <w:highlight w:val="none"/>
              </w:rPr>
              <w:t>9年</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月</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日至今（以合同签订时间为准）</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，供应商承接过类似项目业绩，每提供一个得</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2分，满分4分</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w:t>
            </w:r>
          </w:p>
          <w:p>
            <w:pPr>
              <w:widowControl/>
              <w:spacing w:line="360" w:lineRule="auto"/>
              <w:textAlignment w:val="center"/>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sz w:val="24"/>
                <w:highlight w:val="none"/>
              </w:rPr>
              <w:t>证明材料：提供合同复印件加盖公章。</w:t>
            </w:r>
          </w:p>
        </w:tc>
        <w:tc>
          <w:tcPr>
            <w:tcW w:w="675"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91" w:type="dxa"/>
            <w:vMerge w:val="restart"/>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w:t>
            </w:r>
          </w:p>
        </w:tc>
        <w:tc>
          <w:tcPr>
            <w:tcW w:w="1323" w:type="dxa"/>
            <w:vMerge w:val="restart"/>
            <w:noWrap/>
            <w:vAlign w:val="center"/>
          </w:tcPr>
          <w:p>
            <w:pPr>
              <w:widowControl/>
              <w:spacing w:line="360" w:lineRule="auto"/>
              <w:jc w:val="center"/>
              <w:textAlignment w:val="center"/>
              <w:rPr>
                <w:rStyle w:val="84"/>
                <w:rFonts w:ascii="仿宋" w:hAnsi="仿宋" w:eastAsia="仿宋" w:cs="仿宋"/>
                <w:color w:val="000000" w:themeColor="text1"/>
                <w:sz w:val="24"/>
                <w:szCs w:val="24"/>
                <w:highlight w:val="none"/>
                <w:lang w:eastAsia="zh-CN"/>
              </w:rPr>
            </w:pPr>
            <w:r>
              <w:rPr>
                <w:rStyle w:val="84"/>
                <w:rFonts w:hint="eastAsia" w:ascii="仿宋" w:hAnsi="仿宋" w:eastAsia="仿宋" w:cs="仿宋"/>
                <w:color w:val="000000" w:themeColor="text1"/>
                <w:sz w:val="24"/>
                <w:szCs w:val="24"/>
                <w:highlight w:val="none"/>
                <w:lang w:eastAsia="zh-CN"/>
              </w:rPr>
              <w:t>服务方案</w:t>
            </w:r>
          </w:p>
        </w:tc>
        <w:tc>
          <w:tcPr>
            <w:tcW w:w="6853" w:type="dxa"/>
            <w:noWrap/>
            <w:vAlign w:val="center"/>
          </w:tcPr>
          <w:p>
            <w:pPr>
              <w:widowControl/>
              <w:numPr>
                <w:ilvl w:val="0"/>
                <w:numId w:val="3"/>
              </w:numPr>
              <w:spacing w:line="360" w:lineRule="auto"/>
              <w:textAlignment w:val="center"/>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技术服务及保障：</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 xml:space="preserve">根据投标人项目实施方案的完整性进行打分，内容（包含但不限于）：项目管理、进度计划和验收、质量和安全生产保证措施、建设方配合内容、现场服务响应等： </w:t>
            </w:r>
          </w:p>
          <w:p>
            <w:pPr>
              <w:pStyle w:val="62"/>
              <w:numPr>
                <w:ilvl w:val="0"/>
                <w:numId w:val="4"/>
              </w:numPr>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措施方案内容完整完善，可行实用性强：7</w:t>
            </w:r>
            <w:r>
              <w:rPr>
                <w:rFonts w:ascii="仿宋" w:hAnsi="仿宋" w:eastAsia="仿宋" w:cs="仿宋"/>
                <w:color w:val="000000" w:themeColor="text1"/>
                <w:kern w:val="0"/>
                <w:highlight w:val="none"/>
              </w:rPr>
              <w:t>-</w:t>
            </w:r>
            <w:r>
              <w:rPr>
                <w:rFonts w:hint="eastAsia" w:ascii="仿宋" w:hAnsi="仿宋" w:eastAsia="仿宋" w:cs="仿宋"/>
                <w:color w:val="000000" w:themeColor="text1"/>
                <w:kern w:val="0"/>
                <w:highlight w:val="none"/>
              </w:rPr>
              <w:t xml:space="preserve">10分； </w:t>
            </w:r>
          </w:p>
          <w:p>
            <w:pPr>
              <w:pStyle w:val="62"/>
              <w:numPr>
                <w:ilvl w:val="0"/>
                <w:numId w:val="4"/>
              </w:numPr>
              <w:rPr>
                <w:color w:val="000000" w:themeColor="text1"/>
                <w:highlight w:val="none"/>
              </w:rPr>
            </w:pPr>
            <w:r>
              <w:rPr>
                <w:rFonts w:hint="eastAsia" w:ascii="仿宋" w:hAnsi="仿宋" w:eastAsia="仿宋" w:cs="仿宋"/>
                <w:color w:val="000000" w:themeColor="text1"/>
                <w:kern w:val="0"/>
                <w:highlight w:val="none"/>
              </w:rPr>
              <w:t>措施方案内容基本完整，可行实用性一般：3</w:t>
            </w:r>
            <w:r>
              <w:rPr>
                <w:rFonts w:ascii="仿宋" w:hAnsi="仿宋" w:eastAsia="仿宋" w:cs="仿宋"/>
                <w:color w:val="000000" w:themeColor="text1"/>
                <w:kern w:val="0"/>
                <w:highlight w:val="none"/>
              </w:rPr>
              <w:t>-</w:t>
            </w:r>
            <w:r>
              <w:rPr>
                <w:rFonts w:hint="eastAsia" w:ascii="仿宋" w:hAnsi="仿宋" w:eastAsia="仿宋" w:cs="仿宋"/>
                <w:color w:val="000000" w:themeColor="text1"/>
                <w:kern w:val="0"/>
                <w:highlight w:val="none"/>
              </w:rPr>
              <w:t>6.9</w:t>
            </w:r>
            <w:r>
              <w:rPr>
                <w:rFonts w:ascii="仿宋" w:hAnsi="仿宋" w:eastAsia="仿宋" w:cs="仿宋"/>
                <w:color w:val="000000" w:themeColor="text1"/>
                <w:kern w:val="0"/>
                <w:highlight w:val="none"/>
              </w:rPr>
              <w:t xml:space="preserve"> </w:t>
            </w:r>
            <w:r>
              <w:rPr>
                <w:rFonts w:hint="eastAsia" w:ascii="仿宋" w:hAnsi="仿宋" w:eastAsia="仿宋" w:cs="仿宋"/>
                <w:color w:val="000000" w:themeColor="text1"/>
                <w:kern w:val="0"/>
                <w:highlight w:val="none"/>
              </w:rPr>
              <w:t>分；</w:t>
            </w:r>
          </w:p>
          <w:p>
            <w:pPr>
              <w:pStyle w:val="62"/>
              <w:numPr>
                <w:ilvl w:val="0"/>
                <w:numId w:val="4"/>
              </w:numPr>
              <w:rPr>
                <w:color w:val="000000" w:themeColor="text1"/>
                <w:highlight w:val="none"/>
              </w:rPr>
            </w:pPr>
            <w:r>
              <w:rPr>
                <w:rFonts w:hint="eastAsia" w:ascii="仿宋" w:hAnsi="仿宋" w:eastAsia="仿宋" w:cs="仿宋"/>
                <w:color w:val="000000" w:themeColor="text1"/>
                <w:kern w:val="0"/>
                <w:highlight w:val="none"/>
              </w:rPr>
              <w:t>措施方案内容不够完整，可行实用性较差为差：</w:t>
            </w:r>
            <w:r>
              <w:rPr>
                <w:rFonts w:ascii="仿宋" w:hAnsi="仿宋" w:eastAsia="仿宋" w:cs="仿宋"/>
                <w:color w:val="000000" w:themeColor="text1"/>
                <w:kern w:val="0"/>
                <w:highlight w:val="none"/>
              </w:rPr>
              <w:t>0.1-</w:t>
            </w:r>
            <w:r>
              <w:rPr>
                <w:rFonts w:hint="eastAsia" w:ascii="仿宋" w:hAnsi="仿宋" w:eastAsia="仿宋" w:cs="仿宋"/>
                <w:color w:val="000000" w:themeColor="text1"/>
                <w:kern w:val="0"/>
                <w:highlight w:val="none"/>
              </w:rPr>
              <w:t>2.9分。</w:t>
            </w:r>
          </w:p>
          <w:p>
            <w:pPr>
              <w:pStyle w:val="62"/>
              <w:numPr>
                <w:ilvl w:val="0"/>
                <w:numId w:val="4"/>
              </w:numPr>
              <w:rPr>
                <w:color w:val="000000" w:themeColor="text1"/>
                <w:highlight w:val="none"/>
              </w:rPr>
            </w:pPr>
            <w:r>
              <w:rPr>
                <w:rFonts w:hint="eastAsia" w:ascii="仿宋" w:hAnsi="仿宋" w:eastAsia="仿宋" w:cs="仿宋"/>
                <w:color w:val="000000" w:themeColor="text1"/>
                <w:kern w:val="0"/>
                <w:highlight w:val="none"/>
              </w:rPr>
              <w:t>不提供得：</w:t>
            </w:r>
            <w:r>
              <w:rPr>
                <w:rFonts w:ascii="仿宋" w:hAnsi="仿宋" w:eastAsia="仿宋" w:cs="仿宋"/>
                <w:color w:val="000000" w:themeColor="text1"/>
                <w:kern w:val="0"/>
                <w:highlight w:val="none"/>
              </w:rPr>
              <w:t xml:space="preserve">0 </w:t>
            </w:r>
            <w:r>
              <w:rPr>
                <w:rFonts w:hint="eastAsia" w:ascii="仿宋" w:hAnsi="仿宋" w:eastAsia="仿宋" w:cs="仿宋"/>
                <w:color w:val="000000" w:themeColor="text1"/>
                <w:kern w:val="0"/>
                <w:highlight w:val="none"/>
              </w:rPr>
              <w:t>分。</w:t>
            </w:r>
          </w:p>
        </w:tc>
        <w:tc>
          <w:tcPr>
            <w:tcW w:w="675" w:type="dxa"/>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91" w:type="dxa"/>
            <w:vMerge w:val="continue"/>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p>
        </w:tc>
        <w:tc>
          <w:tcPr>
            <w:tcW w:w="1323" w:type="dxa"/>
            <w:vMerge w:val="continue"/>
            <w:noWrap/>
            <w:vAlign w:val="center"/>
          </w:tcPr>
          <w:p>
            <w:pPr>
              <w:widowControl/>
              <w:spacing w:line="360" w:lineRule="auto"/>
              <w:jc w:val="center"/>
              <w:textAlignment w:val="center"/>
              <w:rPr>
                <w:rStyle w:val="84"/>
                <w:rFonts w:ascii="仿宋" w:hAnsi="仿宋" w:eastAsia="仿宋" w:cs="仿宋"/>
                <w:color w:val="000000" w:themeColor="text1"/>
                <w:sz w:val="24"/>
                <w:szCs w:val="24"/>
                <w:highlight w:val="none"/>
                <w:lang w:eastAsia="zh-CN"/>
              </w:rPr>
            </w:pPr>
          </w:p>
        </w:tc>
        <w:tc>
          <w:tcPr>
            <w:tcW w:w="6853" w:type="dxa"/>
            <w:noWrap/>
            <w:vAlign w:val="center"/>
          </w:tcPr>
          <w:p>
            <w:pPr>
              <w:pStyle w:val="62"/>
              <w:rPr>
                <w:rFonts w:ascii="仿宋" w:hAnsi="仿宋" w:eastAsia="仿宋" w:cs="仿宋"/>
                <w:b/>
                <w:bCs/>
                <w:color w:val="000000" w:themeColor="text1"/>
                <w:kern w:val="0"/>
                <w:highlight w:val="none"/>
              </w:rPr>
            </w:pPr>
            <w:r>
              <w:rPr>
                <w:rFonts w:hint="eastAsia" w:ascii="仿宋" w:hAnsi="仿宋" w:eastAsia="仿宋" w:cs="仿宋"/>
                <w:b/>
                <w:bCs/>
                <w:color w:val="000000" w:themeColor="text1"/>
                <w:kern w:val="0"/>
                <w:highlight w:val="none"/>
              </w:rPr>
              <w:t>2、服务团队和人员配置</w:t>
            </w:r>
            <w:r>
              <w:rPr>
                <w:rFonts w:ascii="仿宋" w:hAnsi="仿宋" w:eastAsia="仿宋" w:cs="仿宋"/>
                <w:b/>
                <w:bCs/>
                <w:color w:val="000000" w:themeColor="text1"/>
                <w:kern w:val="0"/>
                <w:highlight w:val="none"/>
              </w:rPr>
              <w:t>:</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根据项目实际情况，供应商须为本项目定制专属的技术服务团队和技术力量：</w:t>
            </w:r>
          </w:p>
          <w:p>
            <w:pPr>
              <w:pStyle w:val="62"/>
              <w:ind w:left="4"/>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1</w:t>
            </w:r>
            <w:r>
              <w:rPr>
                <w:rFonts w:hint="eastAsia" w:ascii="仿宋" w:hAnsi="仿宋" w:eastAsia="仿宋" w:cs="仿宋"/>
                <w:color w:val="000000" w:themeColor="text1"/>
                <w:kern w:val="0"/>
                <w:highlight w:val="none"/>
              </w:rPr>
              <w:t>）根据项目实际情况，供应商须为本项目定制专属的技术服务团队和技术力量，配置合理、操作性强的得：7</w:t>
            </w:r>
            <w:r>
              <w:rPr>
                <w:rFonts w:ascii="仿宋" w:hAnsi="仿宋" w:eastAsia="仿宋" w:cs="仿宋"/>
                <w:color w:val="000000" w:themeColor="text1"/>
                <w:kern w:val="0"/>
                <w:highlight w:val="none"/>
              </w:rPr>
              <w:t>-</w:t>
            </w:r>
            <w:r>
              <w:rPr>
                <w:rFonts w:hint="eastAsia" w:ascii="仿宋" w:hAnsi="仿宋" w:eastAsia="仿宋" w:cs="仿宋"/>
                <w:color w:val="000000" w:themeColor="text1"/>
                <w:kern w:val="0"/>
                <w:highlight w:val="none"/>
              </w:rPr>
              <w:t>10分；</w:t>
            </w:r>
          </w:p>
          <w:p>
            <w:pPr>
              <w:pStyle w:val="62"/>
              <w:ind w:left="4"/>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2</w:t>
            </w:r>
            <w:r>
              <w:rPr>
                <w:rFonts w:hint="eastAsia" w:ascii="仿宋" w:hAnsi="仿宋" w:eastAsia="仿宋" w:cs="仿宋"/>
                <w:color w:val="000000" w:themeColor="text1"/>
                <w:kern w:val="0"/>
                <w:highlight w:val="none"/>
              </w:rPr>
              <w:t>）服务团队和人员配置基本满足本项目服务要求的，操作性不强的得：3-6.9</w:t>
            </w:r>
            <w:r>
              <w:rPr>
                <w:rFonts w:ascii="仿宋" w:hAnsi="仿宋" w:eastAsia="仿宋" w:cs="仿宋"/>
                <w:color w:val="000000" w:themeColor="text1"/>
                <w:kern w:val="0"/>
                <w:highlight w:val="none"/>
              </w:rPr>
              <w:t xml:space="preserve"> </w:t>
            </w:r>
            <w:r>
              <w:rPr>
                <w:rFonts w:hint="eastAsia" w:ascii="仿宋" w:hAnsi="仿宋" w:eastAsia="仿宋" w:cs="仿宋"/>
                <w:color w:val="000000" w:themeColor="text1"/>
                <w:kern w:val="0"/>
                <w:highlight w:val="none"/>
              </w:rPr>
              <w:t>分；</w:t>
            </w:r>
          </w:p>
          <w:p>
            <w:pPr>
              <w:pStyle w:val="62"/>
              <w:ind w:left="4"/>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3</w:t>
            </w:r>
            <w:r>
              <w:rPr>
                <w:rFonts w:hint="eastAsia" w:ascii="仿宋" w:hAnsi="仿宋" w:eastAsia="仿宋" w:cs="仿宋"/>
                <w:color w:val="000000" w:themeColor="text1"/>
                <w:kern w:val="0"/>
                <w:highlight w:val="none"/>
              </w:rPr>
              <w:t>）服务团队和人员配置和本项目要求相比出现偏差或描述存在漏洞的得</w:t>
            </w:r>
            <w:r>
              <w:rPr>
                <w:rFonts w:ascii="仿宋" w:hAnsi="仿宋" w:eastAsia="仿宋" w:cs="仿宋"/>
                <w:color w:val="000000" w:themeColor="text1"/>
                <w:kern w:val="0"/>
                <w:highlight w:val="none"/>
              </w:rPr>
              <w:t>: 0.1-</w:t>
            </w:r>
            <w:r>
              <w:rPr>
                <w:rFonts w:hint="eastAsia" w:ascii="仿宋" w:hAnsi="仿宋" w:eastAsia="仿宋" w:cs="仿宋"/>
                <w:color w:val="000000" w:themeColor="text1"/>
                <w:kern w:val="0"/>
                <w:highlight w:val="none"/>
              </w:rPr>
              <w:t>2.9分；</w:t>
            </w:r>
          </w:p>
          <w:p>
            <w:pPr>
              <w:pStyle w:val="62"/>
              <w:ind w:left="4"/>
              <w:rPr>
                <w:rFonts w:ascii="仿宋" w:hAnsi="仿宋" w:eastAsia="仿宋" w:cs="仿宋"/>
                <w:b/>
                <w:bCs/>
                <w:color w:val="000000" w:themeColor="text1"/>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4</w:t>
            </w:r>
            <w:r>
              <w:rPr>
                <w:rFonts w:hint="eastAsia" w:ascii="仿宋" w:hAnsi="仿宋" w:eastAsia="仿宋" w:cs="仿宋"/>
                <w:color w:val="000000" w:themeColor="text1"/>
                <w:kern w:val="0"/>
                <w:highlight w:val="none"/>
              </w:rPr>
              <w:t>）不提供得：</w:t>
            </w:r>
            <w:r>
              <w:rPr>
                <w:rFonts w:ascii="仿宋" w:hAnsi="仿宋" w:eastAsia="仿宋" w:cs="仿宋"/>
                <w:color w:val="000000" w:themeColor="text1"/>
                <w:kern w:val="0"/>
                <w:highlight w:val="none"/>
              </w:rPr>
              <w:t xml:space="preserve">0 </w:t>
            </w:r>
            <w:r>
              <w:rPr>
                <w:rFonts w:hint="eastAsia" w:ascii="仿宋" w:hAnsi="仿宋" w:eastAsia="仿宋" w:cs="仿宋"/>
                <w:color w:val="000000" w:themeColor="text1"/>
                <w:kern w:val="0"/>
                <w:highlight w:val="none"/>
              </w:rPr>
              <w:t>分。</w:t>
            </w:r>
          </w:p>
        </w:tc>
        <w:tc>
          <w:tcPr>
            <w:tcW w:w="675" w:type="dxa"/>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91" w:type="dxa"/>
            <w:vMerge w:val="continue"/>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p>
        </w:tc>
        <w:tc>
          <w:tcPr>
            <w:tcW w:w="1323" w:type="dxa"/>
            <w:vMerge w:val="continue"/>
            <w:noWrap/>
            <w:vAlign w:val="center"/>
          </w:tcPr>
          <w:p>
            <w:pPr>
              <w:widowControl/>
              <w:spacing w:line="360" w:lineRule="auto"/>
              <w:jc w:val="center"/>
              <w:textAlignment w:val="center"/>
              <w:rPr>
                <w:rStyle w:val="84"/>
                <w:rFonts w:ascii="仿宋" w:hAnsi="仿宋" w:eastAsia="仿宋" w:cs="仿宋"/>
                <w:color w:val="000000" w:themeColor="text1"/>
                <w:sz w:val="24"/>
                <w:szCs w:val="24"/>
                <w:highlight w:val="none"/>
                <w:lang w:eastAsia="zh-CN"/>
              </w:rPr>
            </w:pPr>
          </w:p>
        </w:tc>
        <w:tc>
          <w:tcPr>
            <w:tcW w:w="6853" w:type="dxa"/>
            <w:noWrap/>
            <w:vAlign w:val="center"/>
          </w:tcPr>
          <w:p>
            <w:pPr>
              <w:pStyle w:val="62"/>
              <w:rPr>
                <w:rFonts w:ascii="仿宋" w:hAnsi="仿宋" w:eastAsia="仿宋" w:cs="仿宋"/>
                <w:b/>
                <w:bCs/>
                <w:color w:val="000000" w:themeColor="text1"/>
                <w:kern w:val="0"/>
                <w:highlight w:val="none"/>
              </w:rPr>
            </w:pPr>
            <w:r>
              <w:rPr>
                <w:rFonts w:hint="eastAsia" w:ascii="仿宋" w:hAnsi="仿宋" w:eastAsia="仿宋" w:cs="仿宋"/>
                <w:b/>
                <w:bCs/>
                <w:color w:val="000000" w:themeColor="text1"/>
                <w:kern w:val="0"/>
                <w:highlight w:val="none"/>
              </w:rPr>
              <w:t>3、售后服务：</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根据供应商提供的服务承诺及所设服务场所，以及服务体系的可行性、合理性、</w:t>
            </w:r>
            <w:r>
              <w:rPr>
                <w:rFonts w:ascii="仿宋" w:hAnsi="仿宋" w:eastAsia="仿宋" w:cs="仿宋"/>
                <w:color w:val="000000" w:themeColor="text1"/>
                <w:kern w:val="0"/>
                <w:highlight w:val="none"/>
              </w:rPr>
              <w:t xml:space="preserve"> </w:t>
            </w:r>
            <w:r>
              <w:rPr>
                <w:rFonts w:hint="eastAsia" w:ascii="仿宋" w:hAnsi="仿宋" w:eastAsia="仿宋" w:cs="仿宋"/>
                <w:color w:val="000000" w:themeColor="text1"/>
                <w:kern w:val="0"/>
                <w:highlight w:val="none"/>
              </w:rPr>
              <w:t>便捷性等方面进行评分：</w:t>
            </w:r>
          </w:p>
          <w:p>
            <w:pPr>
              <w:pStyle w:val="62"/>
              <w:numPr>
                <w:ilvl w:val="0"/>
                <w:numId w:val="5"/>
              </w:numPr>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质量保证范围广，有完善的售后服务体系，对售后服务方案、服务承诺、服务保障措施等服务内容描述详细，服务场所设备设施齐全，售后服务合理、可行性强，服务便捷，响应速度24小时</w:t>
            </w:r>
            <w:r>
              <w:rPr>
                <w:rFonts w:hint="eastAsia" w:ascii="仿宋" w:hAnsi="仿宋" w:eastAsia="仿宋" w:cs="仿宋"/>
                <w:color w:val="000000" w:themeColor="text1"/>
                <w:kern w:val="0"/>
                <w:highlight w:val="none"/>
                <w:lang w:eastAsia="zh-CN"/>
              </w:rPr>
              <w:t>内到</w:t>
            </w:r>
            <w:r>
              <w:rPr>
                <w:rFonts w:hint="eastAsia" w:ascii="仿宋" w:hAnsi="仿宋" w:eastAsia="仿宋" w:cs="仿宋"/>
                <w:color w:val="000000" w:themeColor="text1"/>
                <w:kern w:val="0"/>
                <w:highlight w:val="none"/>
              </w:rPr>
              <w:t>现</w:t>
            </w:r>
            <w:r>
              <w:rPr>
                <w:rFonts w:hint="eastAsia" w:ascii="仿宋" w:hAnsi="仿宋" w:eastAsia="仿宋" w:cs="仿宋"/>
                <w:color w:val="000000" w:themeColor="text1"/>
                <w:kern w:val="0"/>
                <w:highlight w:val="none"/>
                <w:lang w:eastAsia="zh-CN"/>
              </w:rPr>
              <w:t>场</w:t>
            </w:r>
            <w:r>
              <w:rPr>
                <w:rFonts w:hint="eastAsia" w:ascii="仿宋" w:hAnsi="仿宋" w:eastAsia="仿宋" w:cs="仿宋"/>
                <w:color w:val="000000" w:themeColor="text1"/>
                <w:kern w:val="0"/>
                <w:highlight w:val="none"/>
              </w:rPr>
              <w:t>售后服务得：8-11分；</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2</w:t>
            </w:r>
            <w:r>
              <w:rPr>
                <w:rFonts w:hint="eastAsia" w:ascii="仿宋" w:hAnsi="仿宋" w:eastAsia="仿宋" w:cs="仿宋"/>
                <w:color w:val="000000" w:themeColor="text1"/>
                <w:kern w:val="0"/>
                <w:highlight w:val="none"/>
              </w:rPr>
              <w:t>）质量保证范围较广，有设置相应的服务场所，售后服务体系较完善，售后服务合理可行，服务较为便捷得：4-7.9</w:t>
            </w:r>
            <w:r>
              <w:rPr>
                <w:rFonts w:ascii="仿宋" w:hAnsi="仿宋" w:eastAsia="仿宋" w:cs="仿宋"/>
                <w:color w:val="000000" w:themeColor="text1"/>
                <w:kern w:val="0"/>
                <w:highlight w:val="none"/>
              </w:rPr>
              <w:t xml:space="preserve"> </w:t>
            </w:r>
            <w:r>
              <w:rPr>
                <w:rFonts w:hint="eastAsia" w:ascii="仿宋" w:hAnsi="仿宋" w:eastAsia="仿宋" w:cs="仿宋"/>
                <w:color w:val="000000" w:themeColor="text1"/>
                <w:kern w:val="0"/>
                <w:highlight w:val="none"/>
              </w:rPr>
              <w:t>分；</w:t>
            </w:r>
            <w:r>
              <w:rPr>
                <w:rFonts w:ascii="仿宋" w:hAnsi="仿宋" w:eastAsia="仿宋" w:cs="仿宋"/>
                <w:color w:val="000000" w:themeColor="text1"/>
                <w:kern w:val="0"/>
                <w:highlight w:val="none"/>
              </w:rPr>
              <w:t xml:space="preserve"> </w:t>
            </w:r>
          </w:p>
          <w:p>
            <w:pPr>
              <w:pStyle w:val="62"/>
              <w:ind w:left="4"/>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3</w:t>
            </w:r>
            <w:r>
              <w:rPr>
                <w:rFonts w:hint="eastAsia" w:ascii="仿宋" w:hAnsi="仿宋" w:eastAsia="仿宋" w:cs="仿宋"/>
                <w:color w:val="000000" w:themeColor="text1"/>
                <w:kern w:val="0"/>
                <w:highlight w:val="none"/>
              </w:rPr>
              <w:t>）售后服务承诺不合理，欠缺操作性、可行性得：</w:t>
            </w:r>
            <w:r>
              <w:rPr>
                <w:rFonts w:ascii="仿宋" w:hAnsi="仿宋" w:eastAsia="仿宋" w:cs="仿宋"/>
                <w:color w:val="000000" w:themeColor="text1"/>
                <w:kern w:val="0"/>
                <w:highlight w:val="none"/>
              </w:rPr>
              <w:t>0.1-</w:t>
            </w:r>
            <w:r>
              <w:rPr>
                <w:rFonts w:hint="eastAsia" w:ascii="仿宋" w:hAnsi="仿宋" w:eastAsia="仿宋" w:cs="仿宋"/>
                <w:color w:val="000000" w:themeColor="text1"/>
                <w:kern w:val="0"/>
                <w:highlight w:val="none"/>
              </w:rPr>
              <w:t>3.9</w:t>
            </w:r>
            <w:r>
              <w:rPr>
                <w:rFonts w:ascii="仿宋" w:hAnsi="仿宋" w:eastAsia="仿宋" w:cs="仿宋"/>
                <w:color w:val="000000" w:themeColor="text1"/>
                <w:kern w:val="0"/>
                <w:highlight w:val="none"/>
              </w:rPr>
              <w:t xml:space="preserve"> </w:t>
            </w:r>
            <w:r>
              <w:rPr>
                <w:rFonts w:hint="eastAsia" w:ascii="仿宋" w:hAnsi="仿宋" w:eastAsia="仿宋" w:cs="仿宋"/>
                <w:color w:val="000000" w:themeColor="text1"/>
                <w:kern w:val="0"/>
                <w:highlight w:val="none"/>
              </w:rPr>
              <w:t>分；</w:t>
            </w:r>
            <w:r>
              <w:rPr>
                <w:rFonts w:ascii="仿宋" w:hAnsi="仿宋" w:eastAsia="仿宋" w:cs="仿宋"/>
                <w:color w:val="000000" w:themeColor="text1"/>
                <w:kern w:val="0"/>
                <w:highlight w:val="none"/>
              </w:rPr>
              <w:t xml:space="preserve"> </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w:t>
            </w:r>
            <w:r>
              <w:rPr>
                <w:rFonts w:ascii="仿宋" w:hAnsi="仿宋" w:eastAsia="仿宋" w:cs="仿宋"/>
                <w:color w:val="000000" w:themeColor="text1"/>
                <w:kern w:val="0"/>
                <w:highlight w:val="none"/>
              </w:rPr>
              <w:t>4</w:t>
            </w:r>
            <w:r>
              <w:rPr>
                <w:rFonts w:hint="eastAsia" w:ascii="仿宋" w:hAnsi="仿宋" w:eastAsia="仿宋" w:cs="仿宋"/>
                <w:color w:val="000000" w:themeColor="text1"/>
                <w:kern w:val="0"/>
                <w:highlight w:val="none"/>
              </w:rPr>
              <w:t>）不提供得：</w:t>
            </w:r>
            <w:r>
              <w:rPr>
                <w:rFonts w:ascii="仿宋" w:hAnsi="仿宋" w:eastAsia="仿宋" w:cs="仿宋"/>
                <w:color w:val="000000" w:themeColor="text1"/>
                <w:kern w:val="0"/>
                <w:highlight w:val="none"/>
              </w:rPr>
              <w:t xml:space="preserve">0 </w:t>
            </w:r>
            <w:r>
              <w:rPr>
                <w:rFonts w:hint="eastAsia" w:ascii="仿宋" w:hAnsi="仿宋" w:eastAsia="仿宋" w:cs="仿宋"/>
                <w:color w:val="000000" w:themeColor="text1"/>
                <w:kern w:val="0"/>
                <w:highlight w:val="none"/>
              </w:rPr>
              <w:t>分。</w:t>
            </w:r>
            <w:r>
              <w:rPr>
                <w:rFonts w:ascii="仿宋" w:hAnsi="仿宋" w:eastAsia="仿宋" w:cs="仿宋"/>
                <w:color w:val="000000" w:themeColor="text1"/>
                <w:kern w:val="0"/>
                <w:highlight w:val="none"/>
              </w:rPr>
              <w:t xml:space="preserve"> </w:t>
            </w:r>
          </w:p>
        </w:tc>
        <w:tc>
          <w:tcPr>
            <w:tcW w:w="675" w:type="dxa"/>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91" w:type="dxa"/>
            <w:vMerge w:val="continue"/>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p>
        </w:tc>
        <w:tc>
          <w:tcPr>
            <w:tcW w:w="1323" w:type="dxa"/>
            <w:vMerge w:val="continue"/>
            <w:noWrap/>
            <w:vAlign w:val="center"/>
          </w:tcPr>
          <w:p>
            <w:pPr>
              <w:widowControl/>
              <w:spacing w:line="360" w:lineRule="auto"/>
              <w:jc w:val="center"/>
              <w:textAlignment w:val="center"/>
              <w:rPr>
                <w:rStyle w:val="84"/>
                <w:rFonts w:ascii="仿宋" w:hAnsi="仿宋" w:eastAsia="仿宋" w:cs="仿宋"/>
                <w:color w:val="000000" w:themeColor="text1"/>
                <w:sz w:val="24"/>
                <w:szCs w:val="24"/>
                <w:highlight w:val="none"/>
                <w:lang w:eastAsia="zh-CN"/>
              </w:rPr>
            </w:pPr>
          </w:p>
        </w:tc>
        <w:tc>
          <w:tcPr>
            <w:tcW w:w="6853" w:type="dxa"/>
            <w:noWrap/>
            <w:vAlign w:val="center"/>
          </w:tcPr>
          <w:p>
            <w:pPr>
              <w:pStyle w:val="62"/>
              <w:rPr>
                <w:rFonts w:ascii="仿宋" w:hAnsi="仿宋" w:eastAsia="仿宋" w:cs="仿宋"/>
                <w:b/>
                <w:bCs/>
                <w:color w:val="000000" w:themeColor="text1"/>
                <w:kern w:val="0"/>
                <w:highlight w:val="none"/>
              </w:rPr>
            </w:pPr>
            <w:r>
              <w:rPr>
                <w:rFonts w:hint="eastAsia" w:ascii="仿宋" w:hAnsi="仿宋" w:eastAsia="仿宋" w:cs="仿宋"/>
                <w:b/>
                <w:bCs/>
                <w:color w:val="000000" w:themeColor="text1"/>
                <w:kern w:val="0"/>
                <w:highlight w:val="none"/>
              </w:rPr>
              <w:t>4、供货方案：</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根据供应商提供的供货方案进行比较打分：</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1、供货方案科学合理，适用性强，思路清晰，内容全面，能够根据实际情况制订，满足采购人的需要，考虑问题周全，实施过程务实，各项指标均能完成：7-10分；</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2、供货方案基本能够满足采购需要，操作性不强：3-6.9分；</w:t>
            </w:r>
          </w:p>
          <w:p>
            <w:pPr>
              <w:pStyle w:val="6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3、供货方案不合理：0.1-2.9分；</w:t>
            </w:r>
          </w:p>
          <w:p>
            <w:pPr>
              <w:pStyle w:val="62"/>
              <w:rPr>
                <w:rFonts w:ascii="仿宋" w:hAnsi="仿宋" w:eastAsia="仿宋" w:cs="仿宋"/>
                <w:b/>
                <w:bCs/>
                <w:color w:val="000000" w:themeColor="text1"/>
                <w:kern w:val="0"/>
                <w:highlight w:val="none"/>
              </w:rPr>
            </w:pPr>
            <w:r>
              <w:rPr>
                <w:rFonts w:hint="eastAsia" w:ascii="仿宋" w:hAnsi="仿宋" w:eastAsia="仿宋" w:cs="仿宋"/>
                <w:color w:val="000000" w:themeColor="text1"/>
                <w:kern w:val="0"/>
                <w:highlight w:val="none"/>
              </w:rPr>
              <w:t>4、不提供者得 0 分。</w:t>
            </w:r>
          </w:p>
        </w:tc>
        <w:tc>
          <w:tcPr>
            <w:tcW w:w="675" w:type="dxa"/>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91"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7</w:t>
            </w:r>
          </w:p>
        </w:tc>
        <w:tc>
          <w:tcPr>
            <w:tcW w:w="1323" w:type="dxa"/>
            <w:noWrap/>
            <w:vAlign w:val="center"/>
          </w:tcPr>
          <w:p>
            <w:pPr>
              <w:widowControl/>
              <w:spacing w:line="360" w:lineRule="auto"/>
              <w:jc w:val="center"/>
              <w:textAlignment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价格分</w:t>
            </w:r>
          </w:p>
          <w:p>
            <w:pPr>
              <w:widowControl/>
              <w:spacing w:line="360" w:lineRule="auto"/>
              <w:jc w:val="center"/>
              <w:textAlignment w:val="center"/>
              <w:rPr>
                <w:rFonts w:ascii="仿宋" w:hAnsi="仿宋" w:eastAsia="仿宋" w:cs="仿宋"/>
                <w:color w:val="000000" w:themeColor="text1"/>
                <w:sz w:val="24"/>
                <w:highlight w:val="none"/>
              </w:rPr>
            </w:pPr>
          </w:p>
        </w:tc>
        <w:tc>
          <w:tcPr>
            <w:tcW w:w="6853" w:type="dxa"/>
            <w:noWrap/>
            <w:vAlign w:val="center"/>
          </w:tcPr>
          <w:p>
            <w:pPr>
              <w:pStyle w:val="62"/>
              <w:ind w:left="4"/>
              <w:rPr>
                <w:rFonts w:ascii="仿宋" w:hAnsi="仿宋" w:eastAsia="仿宋" w:cs="仿宋"/>
                <w:color w:val="000000" w:themeColor="text1"/>
                <w:highlight w:val="none"/>
              </w:rPr>
            </w:pPr>
            <w:r>
              <w:rPr>
                <w:rFonts w:hint="eastAsia" w:ascii="仿宋" w:hAnsi="仿宋" w:eastAsia="仿宋" w:cs="仿宋"/>
                <w:color w:val="000000" w:themeColor="text1"/>
                <w:highlight w:val="none"/>
              </w:rPr>
              <w:t>满足磋商文件要求且二次报价价格最低的投标价为基准价，其价格分为满分。其他投标人的价格分统一按照下列公式计算：价格分</w:t>
            </w:r>
            <w:r>
              <w:rPr>
                <w:rFonts w:ascii="仿宋" w:hAnsi="仿宋" w:eastAsia="仿宋" w:cs="仿宋"/>
                <w:color w:val="000000" w:themeColor="text1"/>
                <w:highlight w:val="none"/>
              </w:rPr>
              <w:t>=(</w:t>
            </w:r>
            <w:r>
              <w:rPr>
                <w:rFonts w:hint="eastAsia" w:ascii="仿宋" w:hAnsi="仿宋" w:eastAsia="仿宋" w:cs="仿宋"/>
                <w:color w:val="000000" w:themeColor="text1"/>
                <w:highlight w:val="none"/>
              </w:rPr>
              <w:t>基准价／投标报价</w:t>
            </w:r>
            <w:r>
              <w:rPr>
                <w:rFonts w:ascii="仿宋" w:hAnsi="仿宋" w:eastAsia="仿宋" w:cs="仿宋"/>
                <w:color w:val="000000" w:themeColor="text1"/>
                <w:highlight w:val="none"/>
              </w:rPr>
              <w:t>)</w:t>
            </w:r>
            <w:r>
              <w:rPr>
                <w:rFonts w:hint="eastAsia" w:ascii="仿宋" w:hAnsi="仿宋" w:eastAsia="仿宋" w:cs="仿宋"/>
                <w:color w:val="000000" w:themeColor="text1"/>
                <w:highlight w:val="none"/>
              </w:rPr>
              <w:t>×价格权值×</w:t>
            </w:r>
            <w:r>
              <w:rPr>
                <w:rFonts w:ascii="仿宋" w:hAnsi="仿宋" w:eastAsia="仿宋" w:cs="仿宋"/>
                <w:color w:val="000000" w:themeColor="text1"/>
                <w:highlight w:val="none"/>
              </w:rPr>
              <w:t>100</w:t>
            </w:r>
          </w:p>
        </w:tc>
        <w:tc>
          <w:tcPr>
            <w:tcW w:w="675" w:type="dxa"/>
            <w:noWrap/>
            <w:vAlign w:val="center"/>
          </w:tcPr>
          <w:p>
            <w:pPr>
              <w:widowControl/>
              <w:spacing w:line="360" w:lineRule="auto"/>
              <w:jc w:val="center"/>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867" w:type="dxa"/>
            <w:gridSpan w:val="3"/>
            <w:noWrap/>
            <w:vAlign w:val="center"/>
          </w:tcPr>
          <w:p>
            <w:pPr>
              <w:spacing w:line="360"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合计</w:t>
            </w:r>
          </w:p>
        </w:tc>
        <w:tc>
          <w:tcPr>
            <w:tcW w:w="675" w:type="dxa"/>
            <w:noWrap/>
            <w:vAlign w:val="center"/>
          </w:tcPr>
          <w:p>
            <w:pPr>
              <w:widowControl/>
              <w:spacing w:line="360" w:lineRule="auto"/>
              <w:jc w:val="center"/>
              <w:textAlignment w:val="center"/>
              <w:rPr>
                <w:rFonts w:ascii="仿宋" w:hAnsi="仿宋" w:eastAsia="仿宋" w:cs="仿宋"/>
                <w:b/>
                <w:bCs/>
                <w:color w:val="000000" w:themeColor="text1"/>
                <w:sz w:val="24"/>
                <w:highlight w:val="none"/>
              </w:rPr>
            </w:pPr>
            <w:r>
              <w:rPr>
                <w:rStyle w:val="87"/>
                <w:rFonts w:ascii="仿宋" w:hAnsi="仿宋" w:eastAsia="仿宋" w:cs="仿宋"/>
                <w:color w:val="000000" w:themeColor="text1"/>
                <w:sz w:val="24"/>
                <w:szCs w:val="24"/>
                <w:highlight w:val="none"/>
                <w:lang w:eastAsia="zh-CN"/>
              </w:rPr>
              <w:t>100</w:t>
            </w:r>
          </w:p>
        </w:tc>
      </w:tr>
      <w:bookmarkEnd w:id="146"/>
      <w:bookmarkEnd w:id="147"/>
      <w:bookmarkEnd w:id="148"/>
      <w:bookmarkEnd w:id="149"/>
      <w:bookmarkEnd w:id="150"/>
      <w:bookmarkEnd w:id="151"/>
    </w:tbl>
    <w:p>
      <w:pPr>
        <w:spacing w:line="360" w:lineRule="auto"/>
        <w:jc w:val="center"/>
        <w:outlineLvl w:val="0"/>
        <w:rPr>
          <w:rFonts w:ascii="仿宋" w:hAnsi="仿宋" w:eastAsia="仿宋" w:cs="仿宋"/>
          <w:b/>
          <w:bCs/>
          <w:color w:val="000000" w:themeColor="text1"/>
          <w:sz w:val="36"/>
          <w:szCs w:val="36"/>
          <w:highlight w:val="none"/>
        </w:rPr>
      </w:pPr>
      <w:bookmarkStart w:id="152" w:name="_Toc29635"/>
    </w:p>
    <w:p>
      <w:pPr>
        <w:spacing w:line="360" w:lineRule="auto"/>
        <w:outlineLvl w:val="0"/>
        <w:rPr>
          <w:rFonts w:ascii="仿宋" w:hAnsi="仿宋" w:eastAsia="仿宋" w:cs="仿宋"/>
          <w:b/>
          <w:bCs/>
          <w:color w:val="000000" w:themeColor="text1"/>
          <w:sz w:val="36"/>
          <w:szCs w:val="36"/>
          <w:highlight w:val="none"/>
        </w:rPr>
      </w:pPr>
    </w:p>
    <w:p>
      <w:pPr>
        <w:pStyle w:val="2"/>
        <w:rPr>
          <w:color w:val="000000" w:themeColor="text1"/>
          <w:highlight w:val="none"/>
        </w:rPr>
      </w:pPr>
    </w:p>
    <w:p>
      <w:pPr>
        <w:spacing w:line="360" w:lineRule="auto"/>
        <w:jc w:val="center"/>
        <w:outlineLvl w:val="0"/>
        <w:rPr>
          <w:rFonts w:ascii="仿宋" w:hAnsi="仿宋" w:eastAsia="仿宋" w:cs="仿宋"/>
          <w:b/>
          <w:bCs/>
          <w:color w:val="000000" w:themeColor="text1"/>
          <w:sz w:val="36"/>
          <w:szCs w:val="36"/>
          <w:highlight w:val="none"/>
        </w:rPr>
      </w:pPr>
    </w:p>
    <w:p>
      <w:pPr>
        <w:spacing w:line="360" w:lineRule="auto"/>
        <w:jc w:val="center"/>
        <w:outlineLvl w:val="0"/>
        <w:rPr>
          <w:rFonts w:ascii="仿宋" w:hAnsi="仿宋" w:eastAsia="仿宋" w:cs="仿宋"/>
          <w:b/>
          <w:bCs/>
          <w:color w:val="000000" w:themeColor="text1"/>
          <w:sz w:val="36"/>
          <w:szCs w:val="36"/>
          <w:highlight w:val="none"/>
        </w:rPr>
      </w:pPr>
      <w:r>
        <w:rPr>
          <w:rFonts w:hint="eastAsia" w:ascii="仿宋" w:hAnsi="仿宋" w:eastAsia="仿宋" w:cs="仿宋"/>
          <w:b/>
          <w:bCs/>
          <w:color w:val="000000" w:themeColor="text1"/>
          <w:sz w:val="36"/>
          <w:szCs w:val="36"/>
          <w:highlight w:val="none"/>
        </w:rPr>
        <w:t>第三章用户需求书</w:t>
      </w:r>
      <w:bookmarkEnd w:id="152"/>
      <w:bookmarkStart w:id="153" w:name="_Toc21962"/>
    </w:p>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lang w:eastAsia="zh-CN"/>
        </w:rPr>
        <w:t>一、项目概况</w:t>
      </w:r>
    </w:p>
    <w:p>
      <w:pPr>
        <w:pStyle w:val="5"/>
        <w:numPr>
          <w:ilvl w:val="1"/>
          <w:numId w:val="0"/>
        </w:numPr>
        <w:tabs>
          <w:tab w:val="right" w:pos="0"/>
        </w:tabs>
        <w:spacing w:before="156" w:after="156" w:line="360" w:lineRule="auto"/>
        <w:rPr>
          <w:rFonts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项目编号:ZZHQ-HN-2021-68</w:t>
      </w:r>
    </w:p>
    <w:p>
      <w:pPr>
        <w:pStyle w:val="5"/>
        <w:numPr>
          <w:ilvl w:val="1"/>
          <w:numId w:val="0"/>
        </w:numPr>
        <w:tabs>
          <w:tab w:val="right" w:pos="0"/>
        </w:tabs>
        <w:spacing w:before="156" w:after="156" w:line="360" w:lineRule="auto"/>
        <w:rPr>
          <w:rFonts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项目名称：水库大坝检测机器人研制项目</w:t>
      </w:r>
    </w:p>
    <w:p>
      <w:pPr>
        <w:pStyle w:val="5"/>
        <w:numPr>
          <w:ilvl w:val="1"/>
          <w:numId w:val="0"/>
        </w:numPr>
        <w:tabs>
          <w:tab w:val="right" w:pos="0"/>
        </w:tabs>
        <w:spacing w:before="156" w:after="156" w:line="360" w:lineRule="auto"/>
        <w:rPr>
          <w:rFonts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釆购方式：竞争性磋商</w:t>
      </w:r>
    </w:p>
    <w:p>
      <w:pPr>
        <w:pStyle w:val="5"/>
        <w:numPr>
          <w:ilvl w:val="1"/>
          <w:numId w:val="0"/>
        </w:numPr>
        <w:tabs>
          <w:tab w:val="right" w:pos="0"/>
        </w:tabs>
        <w:spacing w:before="156" w:after="156" w:line="360" w:lineRule="auto"/>
        <w:rPr>
          <w:rFonts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 xml:space="preserve">预算金额：2100000.00元（投标报价超过预算金额的将作废标处理。） </w:t>
      </w:r>
    </w:p>
    <w:p>
      <w:pPr>
        <w:pStyle w:val="5"/>
        <w:numPr>
          <w:ilvl w:val="1"/>
          <w:numId w:val="0"/>
        </w:numPr>
        <w:tabs>
          <w:tab w:val="right" w:pos="0"/>
        </w:tabs>
        <w:spacing w:before="156" w:after="156" w:line="360" w:lineRule="auto"/>
        <w:rPr>
          <w:rFonts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服务期：自合同签订之日起至2021年12月25日前交付。</w:t>
      </w:r>
    </w:p>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lang w:eastAsia="zh-CN"/>
        </w:rPr>
        <w:t>二、水库大坝检测机器人主要指标参数：</w:t>
      </w:r>
    </w:p>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1总体数量指标</w:t>
      </w:r>
    </w:p>
    <w:tbl>
      <w:tblPr>
        <w:tblStyle w:val="29"/>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909"/>
        <w:gridCol w:w="423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Align w:val="center"/>
          </w:tcPr>
          <w:p>
            <w:pPr>
              <w:pStyle w:val="27"/>
              <w:ind w:left="0" w:leftChars="0" w:firstLine="0" w:firstLineChars="0"/>
              <w:jc w:val="center"/>
              <w:rPr>
                <w:rFonts w:eastAsia="仿宋"/>
                <w:b/>
                <w:bCs/>
                <w:color w:val="000000" w:themeColor="text1"/>
                <w:kern w:val="0"/>
                <w:sz w:val="24"/>
                <w:szCs w:val="20"/>
                <w:highlight w:val="none"/>
              </w:rPr>
            </w:pPr>
            <w:r>
              <w:rPr>
                <w:rFonts w:hint="eastAsia" w:eastAsia="仿宋"/>
                <w:b/>
                <w:bCs/>
                <w:color w:val="000000" w:themeColor="text1"/>
                <w:kern w:val="0"/>
                <w:sz w:val="24"/>
                <w:szCs w:val="20"/>
                <w:highlight w:val="none"/>
              </w:rPr>
              <w:t>序号</w:t>
            </w:r>
          </w:p>
        </w:tc>
        <w:tc>
          <w:tcPr>
            <w:tcW w:w="1537" w:type="pct"/>
            <w:vAlign w:val="center"/>
          </w:tcPr>
          <w:p>
            <w:pPr>
              <w:pStyle w:val="27"/>
              <w:ind w:left="0" w:leftChars="0" w:firstLine="0" w:firstLineChars="0"/>
              <w:jc w:val="center"/>
              <w:rPr>
                <w:rFonts w:eastAsia="仿宋"/>
                <w:b/>
                <w:bCs/>
                <w:color w:val="000000" w:themeColor="text1"/>
                <w:kern w:val="0"/>
                <w:sz w:val="24"/>
                <w:szCs w:val="20"/>
                <w:highlight w:val="none"/>
              </w:rPr>
            </w:pPr>
            <w:r>
              <w:rPr>
                <w:rFonts w:hint="eastAsia" w:eastAsia="仿宋"/>
                <w:b/>
                <w:bCs/>
                <w:color w:val="000000" w:themeColor="text1"/>
                <w:kern w:val="0"/>
                <w:sz w:val="24"/>
                <w:szCs w:val="20"/>
                <w:highlight w:val="none"/>
              </w:rPr>
              <w:t>核心产品名称</w:t>
            </w:r>
          </w:p>
        </w:tc>
        <w:tc>
          <w:tcPr>
            <w:tcW w:w="2239" w:type="pct"/>
            <w:vAlign w:val="center"/>
          </w:tcPr>
          <w:p>
            <w:pPr>
              <w:pStyle w:val="27"/>
              <w:ind w:left="0" w:leftChars="0" w:firstLine="0" w:firstLineChars="0"/>
              <w:jc w:val="center"/>
              <w:rPr>
                <w:rFonts w:eastAsia="仿宋"/>
                <w:b/>
                <w:bCs/>
                <w:color w:val="000000" w:themeColor="text1"/>
                <w:kern w:val="0"/>
                <w:sz w:val="24"/>
                <w:szCs w:val="20"/>
                <w:highlight w:val="none"/>
              </w:rPr>
            </w:pPr>
            <w:r>
              <w:rPr>
                <w:rFonts w:hint="eastAsia" w:eastAsia="仿宋"/>
                <w:b/>
                <w:bCs/>
                <w:color w:val="000000" w:themeColor="text1"/>
                <w:kern w:val="0"/>
                <w:sz w:val="24"/>
                <w:szCs w:val="20"/>
                <w:highlight w:val="none"/>
              </w:rPr>
              <w:t>系统构成</w:t>
            </w:r>
          </w:p>
        </w:tc>
        <w:tc>
          <w:tcPr>
            <w:tcW w:w="536" w:type="pct"/>
            <w:vAlign w:val="center"/>
          </w:tcPr>
          <w:p>
            <w:pPr>
              <w:pStyle w:val="27"/>
              <w:ind w:left="0" w:leftChars="0" w:firstLine="0" w:firstLineChars="0"/>
              <w:jc w:val="center"/>
              <w:rPr>
                <w:rFonts w:eastAsia="仿宋"/>
                <w:b/>
                <w:bCs/>
                <w:color w:val="000000" w:themeColor="text1"/>
                <w:kern w:val="0"/>
                <w:sz w:val="24"/>
                <w:szCs w:val="20"/>
                <w:highlight w:val="none"/>
              </w:rPr>
            </w:pPr>
            <w:r>
              <w:rPr>
                <w:rFonts w:hint="eastAsia" w:eastAsia="仿宋"/>
                <w:b/>
                <w:bCs/>
                <w:color w:val="000000" w:themeColor="text1"/>
                <w:kern w:val="0"/>
                <w:sz w:val="24"/>
                <w:szCs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5" w:type="pct"/>
            <w:vMerge w:val="restar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c>
          <w:tcPr>
            <w:tcW w:w="1537" w:type="pct"/>
            <w:vMerge w:val="restart"/>
            <w:vAlign w:val="center"/>
          </w:tcPr>
          <w:p>
            <w:pPr>
              <w:pStyle w:val="27"/>
              <w:ind w:left="0" w:leftChars="0" w:firstLine="0" w:firstLineChars="0"/>
              <w:jc w:val="center"/>
              <w:rPr>
                <w:rFonts w:eastAsia="仿宋"/>
                <w:color w:val="000000" w:themeColor="text1"/>
                <w:kern w:val="0"/>
                <w:sz w:val="24"/>
                <w:szCs w:val="20"/>
                <w:highlight w:val="none"/>
                <w:lang w:eastAsia="zh-CN"/>
              </w:rPr>
            </w:pPr>
            <w:r>
              <w:rPr>
                <w:rFonts w:hint="eastAsia" w:eastAsia="仿宋"/>
                <w:color w:val="000000" w:themeColor="text1"/>
                <w:kern w:val="0"/>
                <w:sz w:val="24"/>
                <w:szCs w:val="20"/>
                <w:highlight w:val="none"/>
                <w:lang w:eastAsia="zh-CN"/>
              </w:rPr>
              <w:t>水库大坝检测机器人系统</w:t>
            </w:r>
          </w:p>
        </w:tc>
        <w:tc>
          <w:tcPr>
            <w:tcW w:w="2239"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s="仿宋"/>
                <w:color w:val="000000" w:themeColor="text1"/>
                <w:kern w:val="0"/>
                <w:sz w:val="24"/>
                <w:szCs w:val="20"/>
                <w:highlight w:val="none"/>
              </w:rPr>
              <w:t>水下机器人平台</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eastAsia="仿宋"/>
                <w:color w:val="000000" w:themeColor="text1"/>
                <w:kern w:val="0"/>
                <w:sz w:val="24"/>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5" w:type="pct"/>
            <w:vMerge w:val="continue"/>
            <w:vAlign w:val="center"/>
          </w:tcPr>
          <w:p>
            <w:pPr>
              <w:pStyle w:val="27"/>
              <w:ind w:firstLine="480"/>
              <w:jc w:val="center"/>
              <w:rPr>
                <w:rFonts w:eastAsia="仿宋"/>
                <w:color w:val="000000" w:themeColor="text1"/>
                <w:kern w:val="0"/>
                <w:sz w:val="24"/>
                <w:szCs w:val="20"/>
                <w:highlight w:val="none"/>
              </w:rPr>
            </w:pPr>
          </w:p>
        </w:tc>
        <w:tc>
          <w:tcPr>
            <w:tcW w:w="1537" w:type="pct"/>
            <w:vMerge w:val="continue"/>
            <w:vAlign w:val="center"/>
          </w:tcPr>
          <w:p>
            <w:pPr>
              <w:pStyle w:val="27"/>
              <w:ind w:firstLine="480"/>
              <w:jc w:val="center"/>
              <w:rPr>
                <w:rFonts w:eastAsia="仿宋"/>
                <w:color w:val="000000" w:themeColor="text1"/>
                <w:kern w:val="0"/>
                <w:sz w:val="24"/>
                <w:szCs w:val="20"/>
                <w:highlight w:val="none"/>
              </w:rPr>
            </w:pPr>
          </w:p>
        </w:tc>
        <w:tc>
          <w:tcPr>
            <w:tcW w:w="2239" w:type="pct"/>
            <w:vAlign w:val="center"/>
          </w:tcPr>
          <w:p>
            <w:pPr>
              <w:pStyle w:val="27"/>
              <w:ind w:left="0" w:leftChars="0" w:firstLine="0" w:firstLineChars="0"/>
              <w:jc w:val="center"/>
              <w:rPr>
                <w:rFonts w:eastAsia="仿宋" w:cs="仿宋"/>
                <w:color w:val="000000" w:themeColor="text1"/>
                <w:kern w:val="0"/>
                <w:sz w:val="24"/>
                <w:szCs w:val="20"/>
                <w:highlight w:val="none"/>
              </w:rPr>
            </w:pPr>
            <w:r>
              <w:rPr>
                <w:rFonts w:hint="eastAsia" w:eastAsia="仿宋" w:cs="仿宋"/>
                <w:color w:val="000000" w:themeColor="text1"/>
                <w:kern w:val="0"/>
                <w:sz w:val="24"/>
                <w:szCs w:val="20"/>
                <w:highlight w:val="none"/>
              </w:rPr>
              <w:t>作业工具</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5" w:type="pct"/>
            <w:vMerge w:val="continue"/>
            <w:vAlign w:val="center"/>
          </w:tcPr>
          <w:p>
            <w:pPr>
              <w:pStyle w:val="27"/>
              <w:ind w:firstLine="480"/>
              <w:rPr>
                <w:rFonts w:eastAsia="仿宋"/>
                <w:color w:val="000000" w:themeColor="text1"/>
                <w:kern w:val="0"/>
                <w:sz w:val="24"/>
                <w:szCs w:val="20"/>
                <w:highlight w:val="none"/>
              </w:rPr>
            </w:pPr>
          </w:p>
        </w:tc>
        <w:tc>
          <w:tcPr>
            <w:tcW w:w="1537" w:type="pct"/>
            <w:vMerge w:val="continue"/>
            <w:vAlign w:val="center"/>
          </w:tcPr>
          <w:p>
            <w:pPr>
              <w:pStyle w:val="27"/>
              <w:ind w:firstLine="480"/>
              <w:rPr>
                <w:rFonts w:eastAsia="仿宋"/>
                <w:color w:val="000000" w:themeColor="text1"/>
                <w:kern w:val="0"/>
                <w:sz w:val="24"/>
                <w:szCs w:val="20"/>
                <w:highlight w:val="none"/>
              </w:rPr>
            </w:pPr>
          </w:p>
        </w:tc>
        <w:tc>
          <w:tcPr>
            <w:tcW w:w="2239" w:type="pct"/>
            <w:vAlign w:val="center"/>
          </w:tcPr>
          <w:p>
            <w:pPr>
              <w:pStyle w:val="27"/>
              <w:ind w:left="0" w:leftChars="0" w:firstLine="0" w:firstLineChars="0"/>
              <w:jc w:val="center"/>
              <w:rPr>
                <w:rFonts w:eastAsia="仿宋" w:cs="仿宋"/>
                <w:color w:val="000000" w:themeColor="text1"/>
                <w:kern w:val="0"/>
                <w:sz w:val="24"/>
                <w:szCs w:val="20"/>
                <w:highlight w:val="none"/>
              </w:rPr>
            </w:pPr>
            <w:r>
              <w:rPr>
                <w:rFonts w:hint="eastAsia" w:eastAsia="仿宋" w:cs="仿宋"/>
                <w:color w:val="000000" w:themeColor="text1"/>
                <w:kern w:val="0"/>
                <w:sz w:val="24"/>
                <w:szCs w:val="20"/>
                <w:highlight w:val="none"/>
              </w:rPr>
              <w:t>水面控制平台</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continue"/>
            <w:vAlign w:val="center"/>
          </w:tcPr>
          <w:p>
            <w:pPr>
              <w:pStyle w:val="27"/>
              <w:ind w:firstLine="480"/>
              <w:rPr>
                <w:rFonts w:eastAsia="仿宋"/>
                <w:color w:val="000000" w:themeColor="text1"/>
                <w:kern w:val="0"/>
                <w:sz w:val="24"/>
                <w:szCs w:val="20"/>
                <w:highlight w:val="none"/>
              </w:rPr>
            </w:pPr>
          </w:p>
        </w:tc>
        <w:tc>
          <w:tcPr>
            <w:tcW w:w="1537" w:type="pct"/>
            <w:vMerge w:val="continue"/>
            <w:vAlign w:val="center"/>
          </w:tcPr>
          <w:p>
            <w:pPr>
              <w:pStyle w:val="27"/>
              <w:ind w:firstLine="480"/>
              <w:rPr>
                <w:rFonts w:eastAsia="仿宋"/>
                <w:color w:val="000000" w:themeColor="text1"/>
                <w:kern w:val="0"/>
                <w:sz w:val="24"/>
                <w:szCs w:val="20"/>
                <w:highlight w:val="none"/>
              </w:rPr>
            </w:pPr>
          </w:p>
        </w:tc>
        <w:tc>
          <w:tcPr>
            <w:tcW w:w="2239"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s="仿宋"/>
                <w:color w:val="000000" w:themeColor="text1"/>
                <w:kern w:val="0"/>
                <w:sz w:val="24"/>
                <w:szCs w:val="20"/>
                <w:highlight w:val="none"/>
              </w:rPr>
              <w:t>供电单元</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continue"/>
            <w:vAlign w:val="center"/>
          </w:tcPr>
          <w:p>
            <w:pPr>
              <w:pStyle w:val="27"/>
              <w:ind w:firstLine="480"/>
              <w:rPr>
                <w:rFonts w:eastAsia="仿宋"/>
                <w:color w:val="000000" w:themeColor="text1"/>
                <w:kern w:val="0"/>
                <w:sz w:val="24"/>
                <w:szCs w:val="20"/>
                <w:highlight w:val="none"/>
              </w:rPr>
            </w:pPr>
          </w:p>
        </w:tc>
        <w:tc>
          <w:tcPr>
            <w:tcW w:w="1537" w:type="pct"/>
            <w:vMerge w:val="continue"/>
            <w:vAlign w:val="center"/>
          </w:tcPr>
          <w:p>
            <w:pPr>
              <w:pStyle w:val="27"/>
              <w:ind w:firstLine="480"/>
              <w:rPr>
                <w:rFonts w:eastAsia="仿宋"/>
                <w:color w:val="000000" w:themeColor="text1"/>
                <w:kern w:val="0"/>
                <w:sz w:val="24"/>
                <w:szCs w:val="20"/>
                <w:highlight w:val="none"/>
              </w:rPr>
            </w:pPr>
          </w:p>
        </w:tc>
        <w:tc>
          <w:tcPr>
            <w:tcW w:w="2239" w:type="pct"/>
            <w:vAlign w:val="center"/>
          </w:tcPr>
          <w:p>
            <w:pPr>
              <w:pStyle w:val="27"/>
              <w:ind w:left="0" w:leftChars="0" w:firstLine="0" w:firstLineChars="0"/>
              <w:jc w:val="center"/>
              <w:rPr>
                <w:rFonts w:eastAsia="仿宋" w:cs="仿宋"/>
                <w:color w:val="000000" w:themeColor="text1"/>
                <w:kern w:val="0"/>
                <w:sz w:val="24"/>
                <w:szCs w:val="20"/>
                <w:highlight w:val="none"/>
              </w:rPr>
            </w:pPr>
            <w:r>
              <w:rPr>
                <w:rFonts w:hint="eastAsia" w:eastAsia="仿宋" w:cs="仿宋"/>
                <w:color w:val="000000" w:themeColor="text1"/>
                <w:kern w:val="0"/>
                <w:sz w:val="24"/>
                <w:szCs w:val="20"/>
                <w:highlight w:val="none"/>
              </w:rPr>
              <w:t>缆轴</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pct"/>
            <w:vMerge w:val="continue"/>
            <w:vAlign w:val="center"/>
          </w:tcPr>
          <w:p>
            <w:pPr>
              <w:pStyle w:val="27"/>
              <w:ind w:firstLine="480"/>
              <w:rPr>
                <w:rFonts w:eastAsia="仿宋"/>
                <w:color w:val="000000" w:themeColor="text1"/>
                <w:kern w:val="0"/>
                <w:sz w:val="24"/>
                <w:szCs w:val="20"/>
                <w:highlight w:val="none"/>
              </w:rPr>
            </w:pPr>
          </w:p>
        </w:tc>
        <w:tc>
          <w:tcPr>
            <w:tcW w:w="1537" w:type="pct"/>
            <w:vMerge w:val="continue"/>
            <w:vAlign w:val="center"/>
          </w:tcPr>
          <w:p>
            <w:pPr>
              <w:pStyle w:val="27"/>
              <w:ind w:firstLine="480"/>
              <w:rPr>
                <w:rFonts w:eastAsia="仿宋"/>
                <w:color w:val="000000" w:themeColor="text1"/>
                <w:kern w:val="0"/>
                <w:sz w:val="24"/>
                <w:szCs w:val="20"/>
                <w:highlight w:val="none"/>
              </w:rPr>
            </w:pPr>
          </w:p>
        </w:tc>
        <w:tc>
          <w:tcPr>
            <w:tcW w:w="2239"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声学传感器</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continue"/>
            <w:vAlign w:val="center"/>
          </w:tcPr>
          <w:p>
            <w:pPr>
              <w:pStyle w:val="27"/>
              <w:ind w:firstLine="480"/>
              <w:rPr>
                <w:rFonts w:eastAsia="仿宋"/>
                <w:color w:val="000000" w:themeColor="text1"/>
                <w:kern w:val="0"/>
                <w:sz w:val="24"/>
                <w:szCs w:val="20"/>
                <w:highlight w:val="none"/>
              </w:rPr>
            </w:pPr>
          </w:p>
        </w:tc>
        <w:tc>
          <w:tcPr>
            <w:tcW w:w="1537" w:type="pct"/>
            <w:vMerge w:val="continue"/>
            <w:vAlign w:val="center"/>
          </w:tcPr>
          <w:p>
            <w:pPr>
              <w:pStyle w:val="27"/>
              <w:ind w:firstLine="480"/>
              <w:rPr>
                <w:rFonts w:eastAsia="仿宋"/>
                <w:color w:val="000000" w:themeColor="text1"/>
                <w:kern w:val="0"/>
                <w:sz w:val="24"/>
                <w:szCs w:val="20"/>
                <w:highlight w:val="none"/>
              </w:rPr>
            </w:pPr>
          </w:p>
        </w:tc>
        <w:tc>
          <w:tcPr>
            <w:tcW w:w="2239" w:type="pct"/>
            <w:vAlign w:val="center"/>
          </w:tcPr>
          <w:p>
            <w:pPr>
              <w:adjustRightInd w:val="0"/>
              <w:snapToGrid w:val="0"/>
              <w:jc w:val="center"/>
              <w:rPr>
                <w:rFonts w:eastAsia="仿宋"/>
                <w:color w:val="000000" w:themeColor="text1"/>
                <w:kern w:val="0"/>
                <w:sz w:val="24"/>
                <w:highlight w:val="none"/>
              </w:rPr>
            </w:pPr>
            <w:r>
              <w:rPr>
                <w:rFonts w:hint="eastAsia" w:eastAsia="仿宋" w:cs="仿宋"/>
                <w:color w:val="000000" w:themeColor="text1"/>
                <w:kern w:val="0"/>
                <w:sz w:val="24"/>
                <w:highlight w:val="none"/>
              </w:rPr>
              <w:t>显示分析软件系统</w:t>
            </w:r>
          </w:p>
        </w:tc>
        <w:tc>
          <w:tcPr>
            <w:tcW w:w="536" w:type="pct"/>
            <w:vAlign w:val="center"/>
          </w:tcPr>
          <w:p>
            <w:pPr>
              <w:pStyle w:val="27"/>
              <w:ind w:left="0" w:leftChars="0" w:firstLine="0" w:firstLineChars="0"/>
              <w:jc w:val="center"/>
              <w:rPr>
                <w:rFonts w:eastAsia="仿宋"/>
                <w:color w:val="000000" w:themeColor="text1"/>
                <w:kern w:val="0"/>
                <w:sz w:val="24"/>
                <w:szCs w:val="20"/>
                <w:highlight w:val="none"/>
              </w:rPr>
            </w:pPr>
            <w:r>
              <w:rPr>
                <w:rFonts w:hint="eastAsia" w:eastAsia="仿宋"/>
                <w:color w:val="000000" w:themeColor="text1"/>
                <w:kern w:val="0"/>
                <w:sz w:val="24"/>
                <w:szCs w:val="20"/>
                <w:highlight w:val="none"/>
              </w:rPr>
              <w:t>1</w:t>
            </w:r>
          </w:p>
        </w:tc>
      </w:tr>
    </w:tbl>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rPr>
      </w:pPr>
      <w:bookmarkStart w:id="154" w:name="_Toc14892"/>
      <w:r>
        <w:rPr>
          <w:rFonts w:hint="eastAsia" w:ascii="仿宋" w:hAnsi="仿宋" w:eastAsia="仿宋" w:cs="仿宋"/>
          <w:color w:val="000000" w:themeColor="text1"/>
          <w:sz w:val="28"/>
          <w:szCs w:val="28"/>
          <w:highlight w:val="none"/>
        </w:rPr>
        <w:t>2总体性能指标及功能</w:t>
      </w:r>
      <w:bookmarkEnd w:id="154"/>
    </w:p>
    <w:tbl>
      <w:tblPr>
        <w:tblStyle w:val="2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9"/>
        <w:gridCol w:w="3008"/>
        <w:gridCol w:w="5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b/>
                <w:bCs/>
                <w:color w:val="000000" w:themeColor="text1"/>
                <w:kern w:val="0"/>
                <w:highlight w:val="none"/>
              </w:rPr>
            </w:pPr>
            <w:r>
              <w:rPr>
                <w:rFonts w:eastAsia="仿宋"/>
                <w:b/>
                <w:bCs/>
                <w:color w:val="000000" w:themeColor="text1"/>
                <w:kern w:val="0"/>
                <w:highlight w:val="none"/>
              </w:rPr>
              <w:t>序号</w:t>
            </w:r>
          </w:p>
        </w:tc>
        <w:tc>
          <w:tcPr>
            <w:tcW w:w="1601" w:type="pct"/>
            <w:vAlign w:val="center"/>
          </w:tcPr>
          <w:p>
            <w:pPr>
              <w:adjustRightInd w:val="0"/>
              <w:snapToGrid w:val="0"/>
              <w:jc w:val="center"/>
              <w:rPr>
                <w:rFonts w:eastAsia="仿宋"/>
                <w:b/>
                <w:bCs/>
                <w:color w:val="000000" w:themeColor="text1"/>
                <w:kern w:val="0"/>
                <w:highlight w:val="none"/>
              </w:rPr>
            </w:pPr>
            <w:r>
              <w:rPr>
                <w:rFonts w:eastAsia="仿宋"/>
                <w:b/>
                <w:bCs/>
                <w:color w:val="000000" w:themeColor="text1"/>
                <w:kern w:val="0"/>
                <w:highlight w:val="none"/>
              </w:rPr>
              <w:t>指标项</w:t>
            </w:r>
          </w:p>
        </w:tc>
        <w:tc>
          <w:tcPr>
            <w:tcW w:w="2915" w:type="pct"/>
            <w:vAlign w:val="center"/>
          </w:tcPr>
          <w:p>
            <w:pPr>
              <w:adjustRightInd w:val="0"/>
              <w:snapToGrid w:val="0"/>
              <w:ind w:firstLine="482"/>
              <w:jc w:val="center"/>
              <w:rPr>
                <w:rFonts w:eastAsia="仿宋"/>
                <w:b/>
                <w:bCs/>
                <w:color w:val="000000" w:themeColor="text1"/>
                <w:kern w:val="0"/>
                <w:highlight w:val="none"/>
              </w:rPr>
            </w:pPr>
            <w:r>
              <w:rPr>
                <w:rFonts w:hint="eastAsia" w:eastAsia="仿宋"/>
                <w:b/>
                <w:bCs/>
                <w:color w:val="000000" w:themeColor="text1"/>
                <w:kern w:val="0"/>
                <w:highlight w:val="none"/>
              </w:rPr>
              <w:t>功能及</w:t>
            </w:r>
            <w:r>
              <w:rPr>
                <w:rFonts w:eastAsia="仿宋"/>
                <w:b/>
                <w:bCs/>
                <w:color w:val="000000" w:themeColor="text1"/>
                <w:kern w:val="0"/>
                <w:highlight w:val="none"/>
              </w:rPr>
              <w:t>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color w:val="000000" w:themeColor="text1"/>
                <w:kern w:val="0"/>
                <w:highlight w:val="none"/>
              </w:rPr>
            </w:pPr>
            <w:r>
              <w:rPr>
                <w:rFonts w:eastAsia="仿宋"/>
                <w:color w:val="000000" w:themeColor="text1"/>
                <w:kern w:val="0"/>
                <w:highlight w:val="none"/>
              </w:rPr>
              <w:t>1</w:t>
            </w:r>
          </w:p>
        </w:tc>
        <w:tc>
          <w:tcPr>
            <w:tcW w:w="1601"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工作温度</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0℃-50℃</w:t>
            </w:r>
            <w:r>
              <w:rPr>
                <w:rFonts w:eastAsia="仿宋"/>
                <w:color w:val="000000" w:themeColor="text1"/>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2</w:t>
            </w:r>
          </w:p>
        </w:tc>
        <w:tc>
          <w:tcPr>
            <w:tcW w:w="1601"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ROV工作电压</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300VDC；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3</w:t>
            </w:r>
          </w:p>
        </w:tc>
        <w:tc>
          <w:tcPr>
            <w:tcW w:w="1601"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系统功率</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≤8kW；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4</w:t>
            </w:r>
          </w:p>
        </w:tc>
        <w:tc>
          <w:tcPr>
            <w:tcW w:w="1601"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工作深度</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w:t>
            </w:r>
            <w:r>
              <w:rPr>
                <w:rFonts w:eastAsia="仿宋"/>
                <w:color w:val="000000" w:themeColor="text1"/>
                <w:kern w:val="0"/>
                <w:highlight w:val="none"/>
              </w:rPr>
              <w:t>300</w:t>
            </w:r>
            <w:r>
              <w:rPr>
                <w:rFonts w:hint="eastAsia" w:eastAsia="仿宋"/>
                <w:color w:val="000000" w:themeColor="text1"/>
                <w:kern w:val="0"/>
                <w:highlight w:val="none"/>
              </w:rPr>
              <w:t>m</w:t>
            </w:r>
            <w:r>
              <w:rPr>
                <w:rFonts w:eastAsia="仿宋"/>
                <w:color w:val="000000" w:themeColor="text1"/>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color w:val="000000" w:themeColor="text1"/>
                <w:kern w:val="0"/>
                <w:highlight w:val="none"/>
              </w:rPr>
            </w:pPr>
            <w:r>
              <w:rPr>
                <w:rFonts w:hint="eastAsia" w:ascii="仿宋" w:hAnsi="仿宋" w:eastAsia="仿宋" w:cs="仿宋"/>
                <w:color w:val="000000" w:themeColor="text1"/>
                <w:sz w:val="24"/>
                <w:highlight w:val="none"/>
              </w:rPr>
              <w:t>★</w:t>
            </w:r>
            <w:r>
              <w:rPr>
                <w:rFonts w:hint="eastAsia" w:eastAsia="仿宋"/>
                <w:color w:val="000000" w:themeColor="text1"/>
                <w:kern w:val="0"/>
                <w:highlight w:val="none"/>
              </w:rPr>
              <w:t>5</w:t>
            </w:r>
          </w:p>
        </w:tc>
        <w:tc>
          <w:tcPr>
            <w:tcW w:w="1601"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ROV本体</w:t>
            </w:r>
            <w:r>
              <w:rPr>
                <w:rFonts w:eastAsia="仿宋"/>
                <w:color w:val="000000" w:themeColor="text1"/>
                <w:kern w:val="0"/>
                <w:highlight w:val="none"/>
              </w:rPr>
              <w:t>重量</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w:t>
            </w:r>
            <w:r>
              <w:rPr>
                <w:rFonts w:eastAsia="仿宋"/>
                <w:color w:val="000000" w:themeColor="text1"/>
                <w:kern w:val="0"/>
                <w:highlight w:val="none"/>
              </w:rPr>
              <w:t>1</w:t>
            </w:r>
            <w:r>
              <w:rPr>
                <w:rFonts w:hint="eastAsia" w:eastAsia="仿宋"/>
                <w:color w:val="000000" w:themeColor="text1"/>
                <w:kern w:val="0"/>
                <w:highlight w:val="none"/>
              </w:rPr>
              <w:t>2</w:t>
            </w:r>
            <w:r>
              <w:rPr>
                <w:rFonts w:eastAsia="仿宋"/>
                <w:color w:val="000000" w:themeColor="text1"/>
                <w:kern w:val="0"/>
                <w:highlight w:val="none"/>
              </w:rPr>
              <w:t>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exact"/>
          <w:jc w:val="center"/>
        </w:trPr>
        <w:tc>
          <w:tcPr>
            <w:tcW w:w="484" w:type="pct"/>
            <w:vAlign w:val="center"/>
          </w:tcPr>
          <w:p>
            <w:pPr>
              <w:adjustRightInd w:val="0"/>
              <w:snapToGrid w:val="0"/>
              <w:jc w:val="center"/>
              <w:rPr>
                <w:rFonts w:eastAsia="仿宋"/>
                <w:color w:val="000000" w:themeColor="text1"/>
                <w:kern w:val="0"/>
                <w:highlight w:val="none"/>
              </w:rPr>
            </w:pPr>
            <w:r>
              <w:rPr>
                <w:rFonts w:hint="eastAsia" w:ascii="仿宋" w:hAnsi="仿宋" w:eastAsia="仿宋" w:cs="仿宋"/>
                <w:color w:val="000000" w:themeColor="text1"/>
                <w:sz w:val="24"/>
                <w:highlight w:val="none"/>
              </w:rPr>
              <w:t>★</w:t>
            </w:r>
            <w:r>
              <w:rPr>
                <w:rFonts w:hint="eastAsia" w:eastAsia="仿宋"/>
                <w:color w:val="000000" w:themeColor="text1"/>
                <w:kern w:val="0"/>
                <w:highlight w:val="none"/>
              </w:rPr>
              <w:t>6</w:t>
            </w:r>
          </w:p>
        </w:tc>
        <w:tc>
          <w:tcPr>
            <w:tcW w:w="1601"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ROV本体尺寸</w:t>
            </w:r>
          </w:p>
        </w:tc>
        <w:tc>
          <w:tcPr>
            <w:tcW w:w="2915" w:type="pct"/>
            <w:vAlign w:val="center"/>
          </w:tcPr>
          <w:p>
            <w:pPr>
              <w:adjustRightInd w:val="0"/>
              <w:snapToGrid w:val="0"/>
              <w:ind w:firstLine="480"/>
              <w:jc w:val="center"/>
              <w:rPr>
                <w:rFonts w:eastAsia="仿宋"/>
                <w:color w:val="000000" w:themeColor="text1"/>
                <w:kern w:val="0"/>
                <w:highlight w:val="none"/>
              </w:rPr>
            </w:pPr>
          </w:p>
          <w:p>
            <w:pPr>
              <w:adjustRightInd w:val="0"/>
              <w:snapToGrid w:val="0"/>
              <w:ind w:firstLine="480"/>
              <w:jc w:val="center"/>
              <w:rPr>
                <w:rFonts w:eastAsia="仿宋"/>
                <w:color w:val="000000" w:themeColor="text1"/>
                <w:kern w:val="0"/>
                <w:highlight w:val="none"/>
                <w:lang w:val="zh-CN"/>
              </w:rPr>
            </w:pPr>
            <w:r>
              <w:rPr>
                <w:rFonts w:hint="eastAsia" w:eastAsia="仿宋"/>
                <w:color w:val="000000" w:themeColor="text1"/>
                <w:kern w:val="0"/>
                <w:highlight w:val="none"/>
              </w:rPr>
              <w:t>长度≤1000mm，宽度≤800mm，高度≤700mm</w:t>
            </w:r>
            <w:r>
              <w:rPr>
                <w:rFonts w:hint="eastAsia" w:eastAsia="仿宋"/>
                <w:color w:val="000000" w:themeColor="text1"/>
                <w:kern w:val="0"/>
                <w:highlight w:val="none"/>
                <w:lang w:val="zh-CN"/>
              </w:rPr>
              <w:t>；</w:t>
            </w:r>
          </w:p>
          <w:p>
            <w:pPr>
              <w:adjustRightInd w:val="0"/>
              <w:snapToGrid w:val="0"/>
              <w:ind w:firstLine="480"/>
              <w:jc w:val="center"/>
              <w:rPr>
                <w:rFonts w:eastAsia="仿宋"/>
                <w:color w:val="000000" w:themeColor="text1"/>
                <w:kern w:val="0"/>
                <w:highlight w:val="none"/>
              </w:rPr>
            </w:pPr>
          </w:p>
          <w:p>
            <w:pPr>
              <w:adjustRightInd w:val="0"/>
              <w:snapToGrid w:val="0"/>
              <w:ind w:firstLine="480"/>
              <w:jc w:val="center"/>
              <w:rPr>
                <w:rFonts w:eastAsia="仿宋"/>
                <w:color w:val="000000" w:themeColor="text1"/>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484"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7</w:t>
            </w:r>
          </w:p>
        </w:tc>
        <w:tc>
          <w:tcPr>
            <w:tcW w:w="1601" w:type="pct"/>
            <w:vAlign w:val="center"/>
          </w:tcPr>
          <w:p>
            <w:pPr>
              <w:adjustRightInd w:val="0"/>
              <w:snapToGrid w:val="0"/>
              <w:jc w:val="center"/>
              <w:rPr>
                <w:rFonts w:eastAsia="仿宋"/>
                <w:color w:val="000000" w:themeColor="text1"/>
                <w:kern w:val="0"/>
                <w:highlight w:val="none"/>
              </w:rPr>
            </w:pPr>
            <w:r>
              <w:rPr>
                <w:rFonts w:eastAsia="仿宋"/>
                <w:color w:val="000000" w:themeColor="text1"/>
                <w:kern w:val="0"/>
                <w:highlight w:val="none"/>
              </w:rPr>
              <w:t>最高</w:t>
            </w:r>
            <w:r>
              <w:rPr>
                <w:rFonts w:hint="eastAsia" w:eastAsia="仿宋"/>
                <w:color w:val="000000" w:themeColor="text1"/>
                <w:kern w:val="0"/>
                <w:highlight w:val="none"/>
              </w:rPr>
              <w:t>航速</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w:t>
            </w:r>
            <w:r>
              <w:rPr>
                <w:rFonts w:eastAsia="仿宋"/>
                <w:color w:val="000000" w:themeColor="text1"/>
                <w:kern w:val="0"/>
                <w:highlight w:val="none"/>
              </w:rPr>
              <w:t>3节；</w:t>
            </w:r>
          </w:p>
        </w:tc>
      </w:tr>
    </w:tbl>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lang w:eastAsia="zh-CN"/>
        </w:rPr>
      </w:pPr>
      <w:bookmarkStart w:id="155" w:name="_Toc8999"/>
      <w:r>
        <w:rPr>
          <w:rFonts w:hint="eastAsia" w:ascii="仿宋" w:hAnsi="仿宋" w:eastAsia="仿宋" w:cs="仿宋"/>
          <w:color w:val="000000" w:themeColor="text1"/>
          <w:sz w:val="28"/>
          <w:szCs w:val="28"/>
          <w:highlight w:val="none"/>
          <w:lang w:eastAsia="zh-CN"/>
        </w:rPr>
        <w:t>3 作业工具性能指标及功能</w:t>
      </w:r>
    </w:p>
    <w:tbl>
      <w:tblPr>
        <w:tblStyle w:val="29"/>
        <w:tblW w:w="48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3007"/>
        <w:gridCol w:w="5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444"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序号</w:t>
            </w:r>
          </w:p>
        </w:tc>
        <w:tc>
          <w:tcPr>
            <w:tcW w:w="1640"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指标项</w:t>
            </w:r>
          </w:p>
        </w:tc>
        <w:tc>
          <w:tcPr>
            <w:tcW w:w="2916" w:type="pct"/>
            <w:vAlign w:val="center"/>
          </w:tcPr>
          <w:p>
            <w:pPr>
              <w:pStyle w:val="62"/>
              <w:adjustRightInd w:val="0"/>
              <w:snapToGrid w:val="0"/>
              <w:ind w:firstLine="482"/>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功能及指标参数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仿宋" w:hAnsi="仿宋" w:eastAsia="仿宋" w:cs="仿宋"/>
                <w:color w:val="000000" w:themeColor="text1"/>
                <w:highlight w:val="none"/>
              </w:rPr>
              <w:t>★</w:t>
            </w:r>
            <w:r>
              <w:rPr>
                <w:rFonts w:hint="eastAsia" w:ascii="Times New Roman" w:hAnsi="Times New Roman"/>
                <w:color w:val="000000" w:themeColor="text1"/>
                <w:kern w:val="0"/>
                <w:szCs w:val="20"/>
                <w:highlight w:val="none"/>
              </w:rPr>
              <w:t>1</w:t>
            </w:r>
          </w:p>
        </w:tc>
        <w:tc>
          <w:tcPr>
            <w:tcW w:w="1640"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清洗模块</w:t>
            </w:r>
          </w:p>
        </w:tc>
        <w:tc>
          <w:tcPr>
            <w:tcW w:w="2916" w:type="pct"/>
            <w:vAlign w:val="center"/>
          </w:tcPr>
          <w:p>
            <w:pPr>
              <w:pStyle w:val="58"/>
              <w:numPr>
                <w:ilvl w:val="0"/>
                <w:numId w:val="6"/>
              </w:numPr>
              <w:adjustRightInd w:val="0"/>
              <w:snapToGrid w:val="0"/>
              <w:ind w:firstLineChars="0"/>
              <w:rPr>
                <w:rFonts w:eastAsia="仿宋"/>
                <w:color w:val="000000" w:themeColor="text1"/>
                <w:highlight w:val="none"/>
              </w:rPr>
            </w:pPr>
            <w:r>
              <w:rPr>
                <w:rFonts w:hint="eastAsia" w:eastAsia="仿宋"/>
                <w:color w:val="000000" w:themeColor="text1"/>
                <w:highlight w:val="none"/>
              </w:rPr>
              <w:t>清洗盘数量4个；</w:t>
            </w:r>
          </w:p>
          <w:p>
            <w:pPr>
              <w:pStyle w:val="58"/>
              <w:numPr>
                <w:ilvl w:val="0"/>
                <w:numId w:val="6"/>
              </w:numPr>
              <w:adjustRightInd w:val="0"/>
              <w:snapToGrid w:val="0"/>
              <w:ind w:firstLineChars="0"/>
              <w:rPr>
                <w:rFonts w:eastAsia="仿宋"/>
                <w:color w:val="000000" w:themeColor="text1"/>
                <w:highlight w:val="none"/>
              </w:rPr>
            </w:pPr>
            <w:r>
              <w:rPr>
                <w:rFonts w:hint="eastAsia" w:eastAsia="仿宋"/>
                <w:color w:val="000000" w:themeColor="text1"/>
                <w:highlight w:val="none"/>
              </w:rPr>
              <w:t>盘径≤140mm；</w:t>
            </w:r>
          </w:p>
          <w:p>
            <w:pPr>
              <w:pStyle w:val="58"/>
              <w:numPr>
                <w:ilvl w:val="0"/>
                <w:numId w:val="6"/>
              </w:numPr>
              <w:adjustRightInd w:val="0"/>
              <w:snapToGrid w:val="0"/>
              <w:ind w:firstLineChars="0"/>
              <w:rPr>
                <w:rFonts w:eastAsia="仿宋"/>
                <w:color w:val="000000" w:themeColor="text1"/>
                <w:highlight w:val="none"/>
              </w:rPr>
            </w:pPr>
            <w:r>
              <w:rPr>
                <w:rFonts w:hint="eastAsia" w:eastAsia="仿宋"/>
                <w:color w:val="000000" w:themeColor="text1"/>
                <w:highlight w:val="none"/>
              </w:rPr>
              <w:t>清洗盘类型可更换；</w:t>
            </w:r>
          </w:p>
          <w:p>
            <w:pPr>
              <w:pStyle w:val="58"/>
              <w:numPr>
                <w:ilvl w:val="0"/>
                <w:numId w:val="6"/>
              </w:numPr>
              <w:adjustRightInd w:val="0"/>
              <w:snapToGrid w:val="0"/>
              <w:ind w:firstLineChars="0"/>
              <w:rPr>
                <w:rFonts w:eastAsia="仿宋"/>
                <w:color w:val="000000" w:themeColor="text1"/>
                <w:highlight w:val="none"/>
              </w:rPr>
            </w:pPr>
            <w:r>
              <w:rPr>
                <w:rFonts w:hint="eastAsia" w:eastAsia="仿宋"/>
                <w:color w:val="000000" w:themeColor="text1"/>
                <w:highlight w:val="none"/>
              </w:rPr>
              <w:t>驱动方式：电动驱动；</w:t>
            </w:r>
          </w:p>
          <w:p>
            <w:pPr>
              <w:pStyle w:val="58"/>
              <w:numPr>
                <w:ilvl w:val="0"/>
                <w:numId w:val="6"/>
              </w:numPr>
              <w:adjustRightInd w:val="0"/>
              <w:snapToGrid w:val="0"/>
              <w:ind w:firstLineChars="0"/>
              <w:rPr>
                <w:rFonts w:eastAsia="仿宋"/>
                <w:color w:val="000000" w:themeColor="text1"/>
                <w:highlight w:val="none"/>
              </w:rPr>
            </w:pPr>
            <w:r>
              <w:rPr>
                <w:rFonts w:hint="eastAsia" w:eastAsia="仿宋"/>
                <w:color w:val="000000" w:themeColor="text1"/>
                <w:highlight w:val="none"/>
              </w:rPr>
              <w:t>功率≤500W；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仿宋" w:hAnsi="仿宋" w:eastAsia="仿宋" w:cs="仿宋"/>
                <w:color w:val="000000" w:themeColor="text1"/>
                <w:highlight w:val="none"/>
              </w:rPr>
              <w:t>★</w:t>
            </w:r>
            <w:r>
              <w:rPr>
                <w:rFonts w:hint="eastAsia" w:ascii="Times New Roman" w:hAnsi="Times New Roman"/>
                <w:color w:val="000000" w:themeColor="text1"/>
                <w:kern w:val="0"/>
                <w:szCs w:val="20"/>
                <w:highlight w:val="none"/>
              </w:rPr>
              <w:t>2</w:t>
            </w:r>
          </w:p>
        </w:tc>
        <w:tc>
          <w:tcPr>
            <w:tcW w:w="1640"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侧向翻转能力</w:t>
            </w:r>
          </w:p>
        </w:tc>
        <w:tc>
          <w:tcPr>
            <w:tcW w:w="2916" w:type="pct"/>
            <w:vAlign w:val="center"/>
          </w:tcPr>
          <w:p>
            <w:pPr>
              <w:adjustRightInd w:val="0"/>
              <w:snapToGrid w:val="0"/>
              <w:ind w:left="210" w:hanging="210" w:hangingChars="100"/>
              <w:jc w:val="left"/>
              <w:rPr>
                <w:color w:val="000000" w:themeColor="text1"/>
                <w:highlight w:val="none"/>
              </w:rPr>
            </w:pPr>
            <w:r>
              <w:rPr>
                <w:rFonts w:hint="eastAsia" w:eastAsia="仿宋"/>
                <w:color w:val="000000" w:themeColor="text1"/>
                <w:kern w:val="0"/>
                <w:highlight w:val="none"/>
              </w:rPr>
              <w:t>侧翻角度≥90°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仿宋" w:hAnsi="仿宋" w:eastAsia="仿宋" w:cs="仿宋"/>
                <w:color w:val="000000" w:themeColor="text1"/>
                <w:highlight w:val="none"/>
              </w:rPr>
              <w:t>★</w:t>
            </w:r>
            <w:r>
              <w:rPr>
                <w:rFonts w:hint="eastAsia" w:ascii="Times New Roman" w:hAnsi="Times New Roman"/>
                <w:color w:val="000000" w:themeColor="text1"/>
                <w:kern w:val="0"/>
                <w:szCs w:val="20"/>
                <w:highlight w:val="none"/>
              </w:rPr>
              <w:t>3</w:t>
            </w:r>
          </w:p>
        </w:tc>
        <w:tc>
          <w:tcPr>
            <w:tcW w:w="1640" w:type="pct"/>
            <w:vAlign w:val="center"/>
          </w:tcPr>
          <w:p>
            <w:pPr>
              <w:adjustRightInd w:val="0"/>
              <w:snapToGrid w:val="0"/>
              <w:jc w:val="center"/>
              <w:rPr>
                <w:rFonts w:eastAsia="仿宋"/>
                <w:color w:val="000000" w:themeColor="text1"/>
                <w:kern w:val="0"/>
                <w:highlight w:val="none"/>
              </w:rPr>
            </w:pPr>
            <w:r>
              <w:rPr>
                <w:rFonts w:hint="eastAsia" w:ascii="仿宋" w:hAnsi="仿宋" w:eastAsia="仿宋" w:cs="仿宋"/>
                <w:color w:val="000000" w:themeColor="text1"/>
                <w:kern w:val="0"/>
                <w:highlight w:val="none"/>
              </w:rPr>
              <w:t>底盘主动轮</w:t>
            </w:r>
          </w:p>
        </w:tc>
        <w:tc>
          <w:tcPr>
            <w:tcW w:w="2916" w:type="pct"/>
            <w:vAlign w:val="center"/>
          </w:tcPr>
          <w:p>
            <w:pPr>
              <w:adjustRightInd w:val="0"/>
              <w:snapToGrid w:val="0"/>
              <w:ind w:left="210" w:hanging="210" w:hangingChars="100"/>
              <w:jc w:val="left"/>
              <w:rPr>
                <w:rFonts w:eastAsia="仿宋"/>
                <w:color w:val="000000" w:themeColor="text1"/>
                <w:kern w:val="0"/>
                <w:highlight w:val="none"/>
              </w:rPr>
            </w:pPr>
            <w:r>
              <w:rPr>
                <w:rFonts w:hint="eastAsia" w:eastAsia="仿宋"/>
                <w:color w:val="000000" w:themeColor="text1"/>
                <w:kern w:val="0"/>
                <w:highlight w:val="none"/>
              </w:rPr>
              <w:t>1）主动轮数量2个，</w:t>
            </w:r>
          </w:p>
          <w:p>
            <w:pPr>
              <w:adjustRightInd w:val="0"/>
              <w:snapToGrid w:val="0"/>
              <w:ind w:left="210" w:hanging="210" w:hangingChars="100"/>
              <w:jc w:val="left"/>
              <w:rPr>
                <w:rFonts w:eastAsia="仿宋"/>
                <w:color w:val="000000" w:themeColor="text1"/>
                <w:kern w:val="0"/>
                <w:highlight w:val="none"/>
              </w:rPr>
            </w:pPr>
            <w:r>
              <w:rPr>
                <w:rFonts w:hint="eastAsia" w:eastAsia="仿宋"/>
                <w:color w:val="000000" w:themeColor="text1"/>
                <w:kern w:val="0"/>
                <w:highlight w:val="none"/>
              </w:rPr>
              <w:t>2）扭矩≥50Nm，</w:t>
            </w:r>
          </w:p>
          <w:p>
            <w:pPr>
              <w:adjustRightInd w:val="0"/>
              <w:snapToGrid w:val="0"/>
              <w:ind w:left="210" w:hanging="210" w:hangingChars="100"/>
              <w:jc w:val="left"/>
              <w:rPr>
                <w:rFonts w:eastAsia="仿宋"/>
                <w:color w:val="000000" w:themeColor="text1"/>
                <w:kern w:val="0"/>
                <w:highlight w:val="none"/>
              </w:rPr>
            </w:pPr>
            <w:r>
              <w:rPr>
                <w:rFonts w:hint="eastAsia" w:eastAsia="仿宋"/>
                <w:color w:val="000000" w:themeColor="text1"/>
                <w:kern w:val="0"/>
                <w:highlight w:val="none"/>
              </w:rPr>
              <w:t>3）功率≤500W，</w:t>
            </w:r>
          </w:p>
          <w:p>
            <w:pPr>
              <w:adjustRightInd w:val="0"/>
              <w:snapToGrid w:val="0"/>
              <w:ind w:left="210" w:hanging="210" w:hangingChars="100"/>
              <w:jc w:val="left"/>
              <w:rPr>
                <w:rFonts w:eastAsia="仿宋"/>
                <w:color w:val="000000" w:themeColor="text1"/>
                <w:kern w:val="0"/>
                <w:highlight w:val="none"/>
              </w:rPr>
            </w:pPr>
            <w:r>
              <w:rPr>
                <w:rFonts w:hint="eastAsia" w:eastAsia="仿宋"/>
                <w:color w:val="000000" w:themeColor="text1"/>
                <w:kern w:val="0"/>
                <w:highlight w:val="none"/>
              </w:rPr>
              <w:t>4）输入电压300VDC；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仿宋" w:hAnsi="仿宋" w:eastAsia="仿宋" w:cs="仿宋"/>
                <w:color w:val="000000" w:themeColor="text1"/>
                <w:highlight w:val="none"/>
              </w:rPr>
              <w:t>★</w:t>
            </w:r>
            <w:r>
              <w:rPr>
                <w:rFonts w:hint="eastAsia" w:ascii="Times New Roman" w:hAnsi="Times New Roman"/>
                <w:color w:val="000000" w:themeColor="text1"/>
                <w:kern w:val="0"/>
                <w:szCs w:val="20"/>
                <w:highlight w:val="none"/>
              </w:rPr>
              <w:t>4</w:t>
            </w:r>
          </w:p>
        </w:tc>
        <w:tc>
          <w:tcPr>
            <w:tcW w:w="1640"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推进器</w:t>
            </w:r>
          </w:p>
        </w:tc>
        <w:tc>
          <w:tcPr>
            <w:tcW w:w="2916" w:type="pct"/>
            <w:vAlign w:val="center"/>
          </w:tcPr>
          <w:p>
            <w:pPr>
              <w:adjustRightInd w:val="0"/>
              <w:snapToGrid w:val="0"/>
              <w:ind w:left="210" w:hanging="210" w:hangingChars="100"/>
              <w:jc w:val="left"/>
              <w:rPr>
                <w:rFonts w:eastAsia="仿宋"/>
                <w:color w:val="000000" w:themeColor="text1"/>
                <w:kern w:val="0"/>
                <w:highlight w:val="none"/>
              </w:rPr>
            </w:pPr>
            <w:r>
              <w:rPr>
                <w:rFonts w:hint="eastAsia" w:eastAsia="仿宋"/>
                <w:color w:val="000000" w:themeColor="text1"/>
                <w:kern w:val="0"/>
                <w:highlight w:val="none"/>
              </w:rPr>
              <w:t>1）数量及布局：8个，水平矢量分布4个，垂直4个；</w:t>
            </w:r>
          </w:p>
          <w:p>
            <w:pPr>
              <w:adjustRightInd w:val="0"/>
              <w:snapToGrid w:val="0"/>
              <w:ind w:left="210" w:hanging="210" w:hangingChars="100"/>
              <w:jc w:val="left"/>
              <w:rPr>
                <w:rFonts w:eastAsia="仿宋"/>
                <w:color w:val="000000" w:themeColor="text1"/>
                <w:kern w:val="0"/>
                <w:highlight w:val="none"/>
              </w:rPr>
            </w:pPr>
            <w:r>
              <w:rPr>
                <w:rFonts w:hint="eastAsia" w:eastAsia="仿宋"/>
                <w:color w:val="000000" w:themeColor="text1"/>
                <w:kern w:val="0"/>
                <w:highlight w:val="none"/>
              </w:rPr>
              <w:t>2）单个推进器推力≥14kgf，</w:t>
            </w:r>
          </w:p>
          <w:p>
            <w:pPr>
              <w:adjustRightInd w:val="0"/>
              <w:snapToGrid w:val="0"/>
              <w:ind w:left="210" w:hanging="210" w:hangingChars="100"/>
              <w:jc w:val="left"/>
              <w:rPr>
                <w:color w:val="000000" w:themeColor="text1"/>
                <w:highlight w:val="none"/>
              </w:rPr>
            </w:pPr>
            <w:r>
              <w:rPr>
                <w:rFonts w:hint="eastAsia" w:eastAsia="仿宋"/>
                <w:color w:val="000000" w:themeColor="text1"/>
                <w:kern w:val="0"/>
                <w:highlight w:val="none"/>
              </w:rPr>
              <w:t>3）功率≤500W。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5</w:t>
            </w:r>
          </w:p>
        </w:tc>
        <w:tc>
          <w:tcPr>
            <w:tcW w:w="1640"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行走方式</w:t>
            </w:r>
          </w:p>
        </w:tc>
        <w:tc>
          <w:tcPr>
            <w:tcW w:w="2916" w:type="pct"/>
            <w:vAlign w:val="center"/>
          </w:tcPr>
          <w:p>
            <w:pPr>
              <w:adjustRightInd w:val="0"/>
              <w:snapToGrid w:val="0"/>
              <w:ind w:left="210" w:hanging="210" w:hangingChars="100"/>
              <w:jc w:val="left"/>
              <w:rPr>
                <w:color w:val="000000" w:themeColor="text1"/>
                <w:highlight w:val="none"/>
              </w:rPr>
            </w:pPr>
            <w:r>
              <w:rPr>
                <w:rFonts w:hint="eastAsia" w:eastAsia="仿宋"/>
                <w:color w:val="000000" w:themeColor="text1"/>
                <w:kern w:val="0"/>
                <w:highlight w:val="none"/>
              </w:rPr>
              <w:t>能按预设路径规划轨迹自动贴壁行（推进器/主动轮混合驱动贴壁行走）</w:t>
            </w:r>
          </w:p>
        </w:tc>
      </w:tr>
    </w:tbl>
    <w:p>
      <w:pPr>
        <w:rPr>
          <w:color w:val="000000" w:themeColor="text1"/>
          <w:highlight w:val="none"/>
        </w:rPr>
      </w:pPr>
    </w:p>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lang w:eastAsia="zh-CN"/>
        </w:rPr>
        <w:t>4水面控制平台性能指标及功能</w:t>
      </w:r>
      <w:bookmarkEnd w:id="155"/>
    </w:p>
    <w:tbl>
      <w:tblPr>
        <w:tblStyle w:val="29"/>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3000"/>
        <w:gridCol w:w="5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488" w:type="pct"/>
            <w:vAlign w:val="center"/>
          </w:tcPr>
          <w:p>
            <w:pPr>
              <w:adjustRightInd w:val="0"/>
              <w:snapToGrid w:val="0"/>
              <w:jc w:val="center"/>
              <w:rPr>
                <w:rFonts w:eastAsia="仿宋" w:cs="仿宋"/>
                <w:b/>
                <w:bCs/>
                <w:color w:val="000000" w:themeColor="text1"/>
                <w:kern w:val="0"/>
                <w:szCs w:val="20"/>
                <w:highlight w:val="none"/>
              </w:rPr>
            </w:pPr>
            <w:r>
              <w:rPr>
                <w:rFonts w:hint="eastAsia" w:eastAsia="仿宋" w:cs="仿宋"/>
                <w:b/>
                <w:bCs/>
                <w:color w:val="000000" w:themeColor="text1"/>
                <w:kern w:val="0"/>
                <w:szCs w:val="20"/>
                <w:highlight w:val="none"/>
              </w:rPr>
              <w:t>序号</w:t>
            </w:r>
          </w:p>
        </w:tc>
        <w:tc>
          <w:tcPr>
            <w:tcW w:w="1602" w:type="pct"/>
            <w:vAlign w:val="center"/>
          </w:tcPr>
          <w:p>
            <w:pPr>
              <w:adjustRightInd w:val="0"/>
              <w:snapToGrid w:val="0"/>
              <w:jc w:val="center"/>
              <w:rPr>
                <w:rFonts w:eastAsia="仿宋" w:cs="仿宋"/>
                <w:b/>
                <w:bCs/>
                <w:color w:val="000000" w:themeColor="text1"/>
                <w:kern w:val="0"/>
                <w:szCs w:val="20"/>
                <w:highlight w:val="none"/>
              </w:rPr>
            </w:pPr>
            <w:r>
              <w:rPr>
                <w:rFonts w:hint="eastAsia" w:eastAsia="仿宋" w:cs="仿宋"/>
                <w:b/>
                <w:bCs/>
                <w:color w:val="000000" w:themeColor="text1"/>
                <w:kern w:val="0"/>
                <w:szCs w:val="20"/>
                <w:highlight w:val="none"/>
              </w:rPr>
              <w:t>指标项</w:t>
            </w:r>
          </w:p>
        </w:tc>
        <w:tc>
          <w:tcPr>
            <w:tcW w:w="2910" w:type="pct"/>
            <w:vAlign w:val="center"/>
          </w:tcPr>
          <w:p>
            <w:pPr>
              <w:adjustRightInd w:val="0"/>
              <w:snapToGrid w:val="0"/>
              <w:ind w:firstLine="482"/>
              <w:jc w:val="center"/>
              <w:rPr>
                <w:rFonts w:eastAsia="仿宋" w:cs="仿宋"/>
                <w:b/>
                <w:bCs/>
                <w:color w:val="000000" w:themeColor="text1"/>
                <w:kern w:val="0"/>
                <w:szCs w:val="20"/>
                <w:highlight w:val="none"/>
              </w:rPr>
            </w:pPr>
            <w:r>
              <w:rPr>
                <w:rFonts w:hint="eastAsia" w:eastAsia="仿宋" w:cs="仿宋"/>
                <w:b/>
                <w:bCs/>
                <w:color w:val="000000" w:themeColor="text1"/>
                <w:kern w:val="0"/>
                <w:szCs w:val="20"/>
                <w:highlight w:val="none"/>
              </w:rPr>
              <w:t>功能及指标参数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exact"/>
          <w:jc w:val="center"/>
        </w:trPr>
        <w:tc>
          <w:tcPr>
            <w:tcW w:w="488" w:type="pct"/>
            <w:vAlign w:val="center"/>
          </w:tcPr>
          <w:p>
            <w:pPr>
              <w:adjustRightInd w:val="0"/>
              <w:snapToGrid w:val="0"/>
              <w:jc w:val="center"/>
              <w:rPr>
                <w:rFonts w:eastAsia="仿宋" w:cs="仿宋"/>
                <w:b/>
                <w:bCs/>
                <w:color w:val="000000" w:themeColor="text1"/>
                <w:kern w:val="0"/>
                <w:szCs w:val="20"/>
                <w:highlight w:val="none"/>
              </w:rPr>
            </w:pPr>
            <w:r>
              <w:rPr>
                <w:rFonts w:hint="eastAsia" w:eastAsia="仿宋" w:cs="仿宋"/>
                <w:b/>
                <w:bCs/>
                <w:color w:val="000000" w:themeColor="text1"/>
                <w:kern w:val="0"/>
                <w:szCs w:val="20"/>
                <w:highlight w:val="none"/>
              </w:rPr>
              <w:t>1</w:t>
            </w:r>
          </w:p>
        </w:tc>
        <w:tc>
          <w:tcPr>
            <w:tcW w:w="1602" w:type="pct"/>
            <w:vAlign w:val="center"/>
          </w:tcPr>
          <w:p>
            <w:pPr>
              <w:adjustRightInd w:val="0"/>
              <w:snapToGrid w:val="0"/>
              <w:jc w:val="center"/>
              <w:rPr>
                <w:rFonts w:eastAsia="仿宋" w:cs="仿宋"/>
                <w:b/>
                <w:bCs/>
                <w:color w:val="000000" w:themeColor="text1"/>
                <w:kern w:val="0"/>
                <w:szCs w:val="20"/>
                <w:highlight w:val="none"/>
              </w:rPr>
            </w:pPr>
            <w:r>
              <w:rPr>
                <w:rFonts w:hint="eastAsia" w:eastAsia="仿宋" w:cs="仿宋"/>
                <w:color w:val="000000" w:themeColor="text1"/>
                <w:kern w:val="0"/>
                <w:szCs w:val="20"/>
                <w:highlight w:val="none"/>
              </w:rPr>
              <w:t>硬件配置</w:t>
            </w:r>
          </w:p>
        </w:tc>
        <w:tc>
          <w:tcPr>
            <w:tcW w:w="2910" w:type="pct"/>
            <w:vAlign w:val="center"/>
          </w:tcPr>
          <w:p>
            <w:pPr>
              <w:adjustRightInd w:val="0"/>
              <w:snapToGrid w:val="0"/>
              <w:jc w:val="center"/>
              <w:rPr>
                <w:rFonts w:eastAsia="仿宋" w:cs="仿宋"/>
                <w:b/>
                <w:bCs/>
                <w:color w:val="000000" w:themeColor="text1"/>
                <w:kern w:val="0"/>
                <w:szCs w:val="20"/>
                <w:highlight w:val="none"/>
              </w:rPr>
            </w:pPr>
            <w:r>
              <w:rPr>
                <w:rFonts w:hint="eastAsia" w:eastAsia="仿宋"/>
                <w:color w:val="000000" w:themeColor="text1"/>
                <w:kern w:val="0"/>
                <w:highlight w:val="none"/>
              </w:rPr>
              <w:t>i5- 9400 处理器；4G 内存；120G固态硬盘；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exact"/>
          <w:jc w:val="center"/>
        </w:trPr>
        <w:tc>
          <w:tcPr>
            <w:tcW w:w="488" w:type="pct"/>
            <w:vAlign w:val="center"/>
          </w:tcPr>
          <w:p>
            <w:pPr>
              <w:adjustRightInd w:val="0"/>
              <w:snapToGrid w:val="0"/>
              <w:jc w:val="center"/>
              <w:rPr>
                <w:rFonts w:eastAsia="仿宋" w:cs="仿宋"/>
                <w:b/>
                <w:bCs/>
                <w:color w:val="000000" w:themeColor="text1"/>
                <w:kern w:val="0"/>
                <w:szCs w:val="20"/>
                <w:highlight w:val="none"/>
              </w:rPr>
            </w:pPr>
            <w:r>
              <w:rPr>
                <w:rFonts w:hint="eastAsia" w:ascii="仿宋" w:hAnsi="仿宋" w:eastAsia="仿宋" w:cs="仿宋"/>
                <w:color w:val="000000" w:themeColor="text1"/>
                <w:sz w:val="24"/>
                <w:highlight w:val="none"/>
              </w:rPr>
              <w:t>★</w:t>
            </w:r>
            <w:r>
              <w:rPr>
                <w:rFonts w:hint="eastAsia" w:eastAsia="仿宋" w:cs="仿宋"/>
                <w:b/>
                <w:bCs/>
                <w:color w:val="000000" w:themeColor="text1"/>
                <w:kern w:val="0"/>
                <w:szCs w:val="20"/>
                <w:highlight w:val="none"/>
              </w:rPr>
              <w:t>2</w:t>
            </w:r>
          </w:p>
        </w:tc>
        <w:tc>
          <w:tcPr>
            <w:tcW w:w="1602" w:type="pct"/>
            <w:vAlign w:val="center"/>
          </w:tcPr>
          <w:p>
            <w:pPr>
              <w:adjustRightInd w:val="0"/>
              <w:snapToGrid w:val="0"/>
              <w:jc w:val="center"/>
              <w:rPr>
                <w:rFonts w:eastAsia="仿宋" w:cs="仿宋"/>
                <w:color w:val="000000" w:themeColor="text1"/>
                <w:kern w:val="0"/>
                <w:highlight w:val="none"/>
              </w:rPr>
            </w:pPr>
            <w:r>
              <w:rPr>
                <w:rFonts w:hint="eastAsia" w:eastAsia="仿宋" w:cs="仿宋"/>
                <w:color w:val="000000" w:themeColor="text1"/>
                <w:kern w:val="0"/>
                <w:szCs w:val="20"/>
                <w:highlight w:val="none"/>
              </w:rPr>
              <w:t>显示屏</w:t>
            </w:r>
          </w:p>
        </w:tc>
        <w:tc>
          <w:tcPr>
            <w:tcW w:w="2910"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双屏显示；</w:t>
            </w:r>
          </w:p>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17.3寸高亮液晶显示屏；</w:t>
            </w:r>
          </w:p>
          <w:p>
            <w:pPr>
              <w:adjustRightInd w:val="0"/>
              <w:snapToGrid w:val="0"/>
              <w:jc w:val="center"/>
              <w:rPr>
                <w:rFonts w:eastAsia="仿宋" w:cs="仿宋"/>
                <w:color w:val="000000" w:themeColor="text1"/>
                <w:kern w:val="0"/>
                <w:highlight w:val="none"/>
              </w:rPr>
            </w:pPr>
            <w:r>
              <w:rPr>
                <w:rFonts w:hint="eastAsia" w:eastAsia="仿宋"/>
                <w:color w:val="000000" w:themeColor="text1"/>
                <w:kern w:val="0"/>
                <w:highlight w:val="none"/>
              </w:rPr>
              <w:t>分辨率1920 × 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488"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3</w:t>
            </w:r>
          </w:p>
        </w:tc>
        <w:tc>
          <w:tcPr>
            <w:tcW w:w="1602"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操作系统</w:t>
            </w:r>
          </w:p>
        </w:tc>
        <w:tc>
          <w:tcPr>
            <w:tcW w:w="2910"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Windows10；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488"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4</w:t>
            </w:r>
          </w:p>
        </w:tc>
        <w:tc>
          <w:tcPr>
            <w:tcW w:w="1602" w:type="pct"/>
            <w:vAlign w:val="center"/>
          </w:tcPr>
          <w:p>
            <w:pPr>
              <w:adjustRightInd w:val="0"/>
              <w:snapToGrid w:val="0"/>
              <w:jc w:val="center"/>
              <w:rPr>
                <w:rFonts w:eastAsia="仿宋" w:cs="仿宋"/>
                <w:color w:val="000000" w:themeColor="text1"/>
                <w:kern w:val="0"/>
                <w:highlight w:val="none"/>
              </w:rPr>
            </w:pPr>
            <w:r>
              <w:rPr>
                <w:rFonts w:hint="eastAsia" w:eastAsia="仿宋" w:cs="仿宋"/>
                <w:color w:val="000000" w:themeColor="text1"/>
                <w:kern w:val="0"/>
                <w:szCs w:val="20"/>
                <w:highlight w:val="none"/>
              </w:rPr>
              <w:t>键盘</w:t>
            </w:r>
          </w:p>
        </w:tc>
        <w:tc>
          <w:tcPr>
            <w:tcW w:w="2910" w:type="pct"/>
            <w:vAlign w:val="center"/>
          </w:tcPr>
          <w:p>
            <w:pPr>
              <w:adjustRightInd w:val="0"/>
              <w:snapToGrid w:val="0"/>
              <w:ind w:firstLine="480"/>
              <w:jc w:val="center"/>
              <w:rPr>
                <w:rFonts w:eastAsia="仿宋" w:cs="仿宋"/>
                <w:color w:val="000000" w:themeColor="text1"/>
                <w:kern w:val="0"/>
                <w:highlight w:val="none"/>
              </w:rPr>
            </w:pPr>
            <w:r>
              <w:rPr>
                <w:rFonts w:eastAsia="仿宋" w:cs="仿宋"/>
                <w:color w:val="000000" w:themeColor="text1"/>
                <w:kern w:val="0"/>
                <w:szCs w:val="20"/>
                <w:highlight w:val="none"/>
              </w:rPr>
              <w:t>工业级金属键盘（带触控）</w:t>
            </w:r>
            <w:r>
              <w:rPr>
                <w:rFonts w:hint="eastAsia" w:eastAsia="仿宋" w:cs="仿宋"/>
                <w:color w:val="000000" w:themeColor="text1"/>
                <w:kern w:val="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exact"/>
          <w:jc w:val="center"/>
        </w:trPr>
        <w:tc>
          <w:tcPr>
            <w:tcW w:w="488"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5</w:t>
            </w:r>
          </w:p>
        </w:tc>
        <w:tc>
          <w:tcPr>
            <w:tcW w:w="1602" w:type="pct"/>
            <w:vAlign w:val="center"/>
          </w:tcPr>
          <w:p>
            <w:pPr>
              <w:adjustRightInd w:val="0"/>
              <w:snapToGrid w:val="0"/>
              <w:jc w:val="center"/>
              <w:rPr>
                <w:rFonts w:eastAsia="仿宋" w:cs="仿宋"/>
                <w:color w:val="000000" w:themeColor="text1"/>
                <w:kern w:val="0"/>
                <w:highlight w:val="none"/>
              </w:rPr>
            </w:pPr>
            <w:r>
              <w:rPr>
                <w:rFonts w:hint="eastAsia" w:eastAsia="仿宋" w:cs="仿宋"/>
                <w:color w:val="000000" w:themeColor="text1"/>
                <w:kern w:val="0"/>
                <w:szCs w:val="20"/>
                <w:highlight w:val="none"/>
              </w:rPr>
              <w:t>手柄</w:t>
            </w:r>
          </w:p>
        </w:tc>
        <w:tc>
          <w:tcPr>
            <w:tcW w:w="2910" w:type="pct"/>
            <w:vAlign w:val="center"/>
          </w:tcPr>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2.4G 无线连接；</w:t>
            </w:r>
          </w:p>
          <w:p>
            <w:pPr>
              <w:adjustRightInd w:val="0"/>
              <w:snapToGrid w:val="0"/>
              <w:jc w:val="center"/>
              <w:rPr>
                <w:rFonts w:eastAsia="仿宋"/>
                <w:color w:val="000000" w:themeColor="text1"/>
                <w:kern w:val="0"/>
                <w:highlight w:val="none"/>
              </w:rPr>
            </w:pPr>
            <w:r>
              <w:rPr>
                <w:rFonts w:hint="eastAsia" w:eastAsia="仿宋"/>
                <w:color w:val="000000" w:themeColor="text1"/>
                <w:kern w:val="0"/>
                <w:highlight w:val="none"/>
              </w:rPr>
              <w:t>10米有效距离；</w:t>
            </w:r>
          </w:p>
          <w:p>
            <w:pPr>
              <w:adjustRightInd w:val="0"/>
              <w:snapToGrid w:val="0"/>
              <w:jc w:val="center"/>
              <w:rPr>
                <w:rFonts w:eastAsia="仿宋" w:cs="仿宋"/>
                <w:color w:val="000000" w:themeColor="text1"/>
                <w:kern w:val="0"/>
                <w:highlight w:val="none"/>
              </w:rPr>
            </w:pPr>
            <w:r>
              <w:rPr>
                <w:rFonts w:hint="eastAsia" w:eastAsia="仿宋"/>
                <w:color w:val="000000" w:themeColor="text1"/>
                <w:kern w:val="0"/>
                <w:highlight w:val="none"/>
              </w:rPr>
              <w:t>工业级手柄控制器，控制潜器水下运动等；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exact"/>
          <w:jc w:val="center"/>
        </w:trPr>
        <w:tc>
          <w:tcPr>
            <w:tcW w:w="488" w:type="pct"/>
            <w:vAlign w:val="center"/>
          </w:tcPr>
          <w:p>
            <w:pPr>
              <w:adjustRightInd w:val="0"/>
              <w:snapToGrid w:val="0"/>
              <w:jc w:val="center"/>
              <w:rPr>
                <w:rFonts w:ascii="仿宋" w:hAnsi="仿宋" w:eastAsia="仿宋" w:cs="仿宋"/>
                <w:color w:val="000000" w:themeColor="text1"/>
                <w:kern w:val="0"/>
                <w:szCs w:val="20"/>
                <w:highlight w:val="none"/>
              </w:rPr>
            </w:pPr>
            <w:r>
              <w:rPr>
                <w:rFonts w:hint="eastAsia" w:ascii="仿宋" w:hAnsi="仿宋" w:eastAsia="仿宋" w:cs="仿宋"/>
                <w:color w:val="000000" w:themeColor="text1"/>
                <w:kern w:val="0"/>
                <w:szCs w:val="20"/>
                <w:highlight w:val="none"/>
              </w:rPr>
              <w:t>6</w:t>
            </w:r>
          </w:p>
        </w:tc>
        <w:tc>
          <w:tcPr>
            <w:tcW w:w="1602" w:type="pct"/>
            <w:vAlign w:val="center"/>
          </w:tcPr>
          <w:p>
            <w:pPr>
              <w:adjustRightInd w:val="0"/>
              <w:snapToGrid w:val="0"/>
              <w:jc w:val="center"/>
              <w:rPr>
                <w:rFonts w:ascii="仿宋" w:hAnsi="仿宋" w:eastAsia="仿宋" w:cs="仿宋"/>
                <w:color w:val="000000" w:themeColor="text1"/>
                <w:kern w:val="0"/>
                <w:szCs w:val="20"/>
                <w:highlight w:val="none"/>
              </w:rPr>
            </w:pPr>
            <w:r>
              <w:rPr>
                <w:rFonts w:hint="eastAsia" w:ascii="仿宋" w:hAnsi="仿宋" w:eastAsia="仿宋" w:cs="仿宋"/>
                <w:color w:val="000000" w:themeColor="text1"/>
                <w:kern w:val="0"/>
                <w:szCs w:val="20"/>
                <w:highlight w:val="none"/>
              </w:rPr>
              <w:t>预留接口</w:t>
            </w:r>
          </w:p>
        </w:tc>
        <w:tc>
          <w:tcPr>
            <w:tcW w:w="2910" w:type="pct"/>
            <w:vAlign w:val="center"/>
          </w:tcPr>
          <w:p>
            <w:pPr>
              <w:adjustRightInd w:val="0"/>
              <w:snapToGrid w:val="0"/>
              <w:jc w:val="center"/>
              <w:rPr>
                <w:rFonts w:ascii="仿宋" w:hAnsi="仿宋" w:eastAsia="仿宋" w:cs="仿宋"/>
                <w:color w:val="000000" w:themeColor="text1"/>
                <w:kern w:val="0"/>
                <w:szCs w:val="20"/>
                <w:highlight w:val="none"/>
              </w:rPr>
            </w:pPr>
            <w:r>
              <w:rPr>
                <w:rFonts w:hint="eastAsia" w:ascii="仿宋" w:hAnsi="仿宋" w:eastAsia="仿宋" w:cs="仿宋"/>
                <w:color w:val="000000" w:themeColor="text1"/>
                <w:kern w:val="0"/>
                <w:szCs w:val="20"/>
                <w:highlight w:val="none"/>
              </w:rPr>
              <w:t>USB接口（4个），RJ45接口（2个），HDMI接口（1个）；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exact"/>
          <w:jc w:val="center"/>
        </w:trPr>
        <w:tc>
          <w:tcPr>
            <w:tcW w:w="488" w:type="pct"/>
            <w:vAlign w:val="center"/>
          </w:tcPr>
          <w:p>
            <w:pPr>
              <w:adjustRightInd w:val="0"/>
              <w:snapToGrid w:val="0"/>
              <w:jc w:val="center"/>
              <w:rPr>
                <w:rFonts w:ascii="仿宋" w:hAnsi="仿宋" w:eastAsia="仿宋" w:cs="仿宋"/>
                <w:color w:val="000000" w:themeColor="text1"/>
                <w:kern w:val="0"/>
                <w:szCs w:val="20"/>
                <w:highlight w:val="none"/>
              </w:rPr>
            </w:pPr>
            <w:r>
              <w:rPr>
                <w:rFonts w:hint="eastAsia" w:ascii="仿宋" w:hAnsi="仿宋" w:eastAsia="仿宋" w:cs="仿宋"/>
                <w:color w:val="000000" w:themeColor="text1"/>
                <w:kern w:val="0"/>
                <w:szCs w:val="20"/>
                <w:highlight w:val="none"/>
              </w:rPr>
              <w:t>7</w:t>
            </w:r>
          </w:p>
        </w:tc>
        <w:tc>
          <w:tcPr>
            <w:tcW w:w="1602" w:type="pct"/>
            <w:vAlign w:val="center"/>
          </w:tcPr>
          <w:p>
            <w:pPr>
              <w:adjustRightInd w:val="0"/>
              <w:snapToGrid w:val="0"/>
              <w:jc w:val="center"/>
              <w:rPr>
                <w:rFonts w:ascii="仿宋" w:hAnsi="仿宋" w:eastAsia="仿宋" w:cs="仿宋"/>
                <w:color w:val="000000" w:themeColor="text1"/>
                <w:kern w:val="0"/>
                <w:szCs w:val="20"/>
                <w:highlight w:val="none"/>
              </w:rPr>
            </w:pPr>
            <w:r>
              <w:rPr>
                <w:rFonts w:hint="eastAsia" w:ascii="仿宋" w:hAnsi="仿宋" w:eastAsia="仿宋" w:cs="仿宋"/>
                <w:color w:val="000000" w:themeColor="text1"/>
                <w:kern w:val="0"/>
                <w:szCs w:val="20"/>
                <w:highlight w:val="none"/>
              </w:rPr>
              <w:t>重量</w:t>
            </w:r>
          </w:p>
        </w:tc>
        <w:tc>
          <w:tcPr>
            <w:tcW w:w="2910" w:type="pct"/>
            <w:vAlign w:val="center"/>
          </w:tcPr>
          <w:p>
            <w:pPr>
              <w:adjustRightInd w:val="0"/>
              <w:snapToGrid w:val="0"/>
              <w:jc w:val="center"/>
              <w:rPr>
                <w:rFonts w:ascii="仿宋" w:hAnsi="仿宋" w:eastAsia="仿宋" w:cs="仿宋"/>
                <w:color w:val="000000" w:themeColor="text1"/>
                <w:kern w:val="0"/>
                <w:szCs w:val="20"/>
                <w:highlight w:val="none"/>
              </w:rPr>
            </w:pPr>
            <w:r>
              <w:rPr>
                <w:rFonts w:hint="eastAsia" w:ascii="仿宋" w:hAnsi="仿宋" w:eastAsia="仿宋" w:cs="仿宋"/>
                <w:color w:val="000000" w:themeColor="text1"/>
                <w:kern w:val="0"/>
                <w:szCs w:val="20"/>
                <w:highlight w:val="none"/>
              </w:rPr>
              <w:t>≤22kg；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exact"/>
          <w:jc w:val="center"/>
        </w:trPr>
        <w:tc>
          <w:tcPr>
            <w:tcW w:w="488"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8</w:t>
            </w:r>
          </w:p>
        </w:tc>
        <w:tc>
          <w:tcPr>
            <w:tcW w:w="1602" w:type="pct"/>
            <w:vAlign w:val="center"/>
          </w:tcPr>
          <w:p>
            <w:pPr>
              <w:adjustRightInd w:val="0"/>
              <w:snapToGrid w:val="0"/>
              <w:jc w:val="center"/>
              <w:rPr>
                <w:rFonts w:eastAsia="仿宋" w:cs="仿宋"/>
                <w:color w:val="000000" w:themeColor="text1"/>
                <w:kern w:val="0"/>
                <w:highlight w:val="none"/>
              </w:rPr>
            </w:pPr>
            <w:r>
              <w:rPr>
                <w:rFonts w:hint="eastAsia" w:eastAsia="仿宋" w:cs="仿宋"/>
                <w:color w:val="000000" w:themeColor="text1"/>
                <w:kern w:val="0"/>
                <w:szCs w:val="20"/>
                <w:highlight w:val="none"/>
              </w:rPr>
              <w:t>防水等级</w:t>
            </w:r>
          </w:p>
        </w:tc>
        <w:tc>
          <w:tcPr>
            <w:tcW w:w="2910" w:type="pct"/>
            <w:vAlign w:val="center"/>
          </w:tcPr>
          <w:p>
            <w:pPr>
              <w:adjustRightInd w:val="0"/>
              <w:snapToGrid w:val="0"/>
              <w:ind w:firstLine="480"/>
              <w:jc w:val="center"/>
              <w:rPr>
                <w:rFonts w:eastAsia="仿宋" w:cs="仿宋"/>
                <w:color w:val="000000" w:themeColor="text1"/>
                <w:kern w:val="0"/>
                <w:highlight w:val="none"/>
              </w:rPr>
            </w:pPr>
            <w:r>
              <w:rPr>
                <w:rFonts w:hint="eastAsia" w:eastAsia="仿宋" w:cs="仿宋"/>
                <w:color w:val="000000" w:themeColor="text1"/>
                <w:kern w:val="0"/>
                <w:szCs w:val="20"/>
                <w:highlight w:val="none"/>
              </w:rPr>
              <w:t>IP54（工作状态），IP66（运输状态）；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exact"/>
          <w:jc w:val="center"/>
        </w:trPr>
        <w:tc>
          <w:tcPr>
            <w:tcW w:w="488"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9</w:t>
            </w:r>
          </w:p>
        </w:tc>
        <w:tc>
          <w:tcPr>
            <w:tcW w:w="1602" w:type="pct"/>
            <w:vAlign w:val="center"/>
          </w:tcPr>
          <w:p>
            <w:pPr>
              <w:adjustRightInd w:val="0"/>
              <w:snapToGrid w:val="0"/>
              <w:jc w:val="center"/>
              <w:rPr>
                <w:rFonts w:eastAsia="仿宋" w:cs="仿宋"/>
                <w:color w:val="000000" w:themeColor="text1"/>
                <w:kern w:val="0"/>
                <w:highlight w:val="none"/>
              </w:rPr>
            </w:pPr>
            <w:r>
              <w:rPr>
                <w:rFonts w:hint="eastAsia" w:eastAsia="仿宋" w:cs="仿宋"/>
                <w:color w:val="000000" w:themeColor="text1"/>
                <w:kern w:val="0"/>
                <w:szCs w:val="20"/>
                <w:highlight w:val="none"/>
              </w:rPr>
              <w:t>其他</w:t>
            </w:r>
          </w:p>
        </w:tc>
        <w:tc>
          <w:tcPr>
            <w:tcW w:w="2910" w:type="pct"/>
            <w:vAlign w:val="center"/>
          </w:tcPr>
          <w:p>
            <w:pPr>
              <w:adjustRightInd w:val="0"/>
              <w:snapToGrid w:val="0"/>
              <w:jc w:val="center"/>
              <w:rPr>
                <w:rFonts w:eastAsia="仿宋" w:cs="仿宋"/>
                <w:color w:val="000000" w:themeColor="text1"/>
                <w:kern w:val="0"/>
                <w:highlight w:val="none"/>
              </w:rPr>
            </w:pPr>
            <w:r>
              <w:rPr>
                <w:rFonts w:eastAsia="仿宋" w:cs="仿宋"/>
                <w:color w:val="000000" w:themeColor="text1"/>
                <w:kern w:val="0"/>
                <w:szCs w:val="20"/>
                <w:highlight w:val="none"/>
              </w:rPr>
              <w:t>安装微型指南针，内置音箱，支持内存扩展，</w:t>
            </w:r>
            <w:r>
              <w:rPr>
                <w:rFonts w:hint="eastAsia" w:eastAsia="仿宋" w:cs="仿宋"/>
                <w:color w:val="000000" w:themeColor="text1"/>
                <w:kern w:val="0"/>
                <w:szCs w:val="20"/>
                <w:highlight w:val="none"/>
              </w:rPr>
              <w:t>具备开合保护机构</w:t>
            </w:r>
            <w:r>
              <w:rPr>
                <w:rFonts w:eastAsia="仿宋" w:cs="仿宋"/>
                <w:color w:val="000000" w:themeColor="text1"/>
                <w:kern w:val="0"/>
                <w:szCs w:val="20"/>
                <w:highlight w:val="none"/>
              </w:rPr>
              <w:t>。</w:t>
            </w:r>
          </w:p>
        </w:tc>
      </w:tr>
    </w:tbl>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lang w:eastAsia="zh-CN"/>
        </w:rPr>
      </w:pPr>
      <w:bookmarkStart w:id="156" w:name="_Toc21346"/>
      <w:r>
        <w:rPr>
          <w:rFonts w:hint="eastAsia" w:ascii="仿宋" w:hAnsi="仿宋" w:eastAsia="仿宋" w:cs="仿宋"/>
          <w:color w:val="000000" w:themeColor="text1"/>
          <w:sz w:val="28"/>
          <w:szCs w:val="28"/>
          <w:highlight w:val="none"/>
          <w:lang w:eastAsia="zh-CN"/>
        </w:rPr>
        <w:t>5供电单元性能指标及功能</w:t>
      </w:r>
      <w:bookmarkEnd w:id="156"/>
    </w:p>
    <w:tbl>
      <w:tblPr>
        <w:tblStyle w:val="29"/>
        <w:tblW w:w="48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3007"/>
        <w:gridCol w:w="5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444"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序号</w:t>
            </w:r>
          </w:p>
        </w:tc>
        <w:tc>
          <w:tcPr>
            <w:tcW w:w="1640"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指标项</w:t>
            </w:r>
          </w:p>
        </w:tc>
        <w:tc>
          <w:tcPr>
            <w:tcW w:w="2915" w:type="pct"/>
            <w:vAlign w:val="center"/>
          </w:tcPr>
          <w:p>
            <w:pPr>
              <w:pStyle w:val="62"/>
              <w:adjustRightInd w:val="0"/>
              <w:snapToGrid w:val="0"/>
              <w:ind w:firstLine="482"/>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功能及指标参数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1</w:t>
            </w:r>
          </w:p>
        </w:tc>
        <w:tc>
          <w:tcPr>
            <w:tcW w:w="164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输入电压</w:t>
            </w:r>
          </w:p>
        </w:tc>
        <w:tc>
          <w:tcPr>
            <w:tcW w:w="2915" w:type="pct"/>
            <w:vAlign w:val="center"/>
          </w:tcPr>
          <w:p>
            <w:pPr>
              <w:adjustRightInd w:val="0"/>
              <w:snapToGrid w:val="0"/>
              <w:ind w:firstLine="480"/>
              <w:jc w:val="center"/>
              <w:rPr>
                <w:rFonts w:eastAsia="仿宋"/>
                <w:color w:val="000000" w:themeColor="text1"/>
                <w:kern w:val="0"/>
                <w:highlight w:val="none"/>
              </w:rPr>
            </w:pPr>
            <w:r>
              <w:rPr>
                <w:rFonts w:hint="eastAsia" w:eastAsia="仿宋"/>
                <w:color w:val="000000" w:themeColor="text1"/>
                <w:kern w:val="0"/>
                <w:highlight w:val="none"/>
              </w:rPr>
              <w:t>380VAC或220VAC；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2</w:t>
            </w:r>
          </w:p>
        </w:tc>
        <w:tc>
          <w:tcPr>
            <w:tcW w:w="164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功率</w:t>
            </w:r>
          </w:p>
        </w:tc>
        <w:tc>
          <w:tcPr>
            <w:tcW w:w="2915" w:type="pct"/>
            <w:vAlign w:val="center"/>
          </w:tcPr>
          <w:p>
            <w:pPr>
              <w:pStyle w:val="62"/>
              <w:adjustRightInd w:val="0"/>
              <w:snapToGrid w:val="0"/>
              <w:jc w:val="center"/>
              <w:rPr>
                <w:rFonts w:ascii="Times New Roman" w:hAnsi="Times New Roman" w:eastAsia="仿宋" w:cs="Times New Roman"/>
                <w:color w:val="000000" w:themeColor="text1"/>
                <w:kern w:val="0"/>
                <w:sz w:val="21"/>
                <w:highlight w:val="none"/>
              </w:rPr>
            </w:pPr>
            <w:r>
              <w:rPr>
                <w:rFonts w:hint="eastAsia" w:ascii="Times New Roman" w:hAnsi="Times New Roman" w:eastAsia="仿宋" w:cs="Times New Roman"/>
                <w:color w:val="000000" w:themeColor="text1"/>
                <w:kern w:val="0"/>
                <w:sz w:val="21"/>
                <w:highlight w:val="none"/>
              </w:rPr>
              <w:t>≥5kW；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3</w:t>
            </w:r>
          </w:p>
        </w:tc>
        <w:tc>
          <w:tcPr>
            <w:tcW w:w="164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输出电压</w:t>
            </w:r>
          </w:p>
        </w:tc>
        <w:tc>
          <w:tcPr>
            <w:tcW w:w="2915" w:type="pct"/>
            <w:vAlign w:val="center"/>
          </w:tcPr>
          <w:p>
            <w:pPr>
              <w:pStyle w:val="62"/>
              <w:adjustRightInd w:val="0"/>
              <w:snapToGrid w:val="0"/>
              <w:jc w:val="center"/>
              <w:rPr>
                <w:rFonts w:ascii="Times New Roman" w:hAnsi="Times New Roman" w:eastAsia="仿宋" w:cs="Times New Roman"/>
                <w:color w:val="000000" w:themeColor="text1"/>
                <w:kern w:val="0"/>
                <w:sz w:val="21"/>
                <w:highlight w:val="none"/>
              </w:rPr>
            </w:pPr>
            <w:r>
              <w:rPr>
                <w:rFonts w:hint="eastAsia" w:ascii="Times New Roman" w:hAnsi="Times New Roman" w:eastAsia="仿宋" w:cs="Times New Roman"/>
                <w:color w:val="000000" w:themeColor="text1"/>
                <w:kern w:val="0"/>
                <w:sz w:val="21"/>
                <w:highlight w:val="none"/>
              </w:rPr>
              <w:t>0-400VDC；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4</w:t>
            </w:r>
          </w:p>
        </w:tc>
        <w:tc>
          <w:tcPr>
            <w:tcW w:w="164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电压显示精度</w:t>
            </w:r>
          </w:p>
        </w:tc>
        <w:tc>
          <w:tcPr>
            <w:tcW w:w="2915" w:type="pct"/>
            <w:vAlign w:val="center"/>
          </w:tcPr>
          <w:p>
            <w:pPr>
              <w:pStyle w:val="62"/>
              <w:adjustRightInd w:val="0"/>
              <w:snapToGrid w:val="0"/>
              <w:jc w:val="center"/>
              <w:rPr>
                <w:rFonts w:ascii="Times New Roman" w:hAnsi="Times New Roman" w:eastAsia="仿宋" w:cs="Times New Roman"/>
                <w:color w:val="000000" w:themeColor="text1"/>
                <w:kern w:val="0"/>
                <w:sz w:val="21"/>
                <w:highlight w:val="none"/>
              </w:rPr>
            </w:pPr>
            <w:r>
              <w:rPr>
                <w:rFonts w:hint="eastAsia" w:ascii="Times New Roman" w:hAnsi="Times New Roman" w:eastAsia="仿宋" w:cs="Times New Roman"/>
                <w:color w:val="000000" w:themeColor="text1"/>
                <w:kern w:val="0"/>
                <w:sz w:val="21"/>
                <w:highlight w:val="none"/>
              </w:rPr>
              <w:t>1V；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exact"/>
          <w:jc w:val="center"/>
        </w:trPr>
        <w:tc>
          <w:tcPr>
            <w:tcW w:w="444"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5</w:t>
            </w:r>
          </w:p>
        </w:tc>
        <w:tc>
          <w:tcPr>
            <w:tcW w:w="164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电流显示精度</w:t>
            </w:r>
          </w:p>
        </w:tc>
        <w:tc>
          <w:tcPr>
            <w:tcW w:w="2915" w:type="pct"/>
            <w:vAlign w:val="center"/>
          </w:tcPr>
          <w:p>
            <w:pPr>
              <w:pStyle w:val="62"/>
              <w:adjustRightInd w:val="0"/>
              <w:snapToGrid w:val="0"/>
              <w:jc w:val="center"/>
              <w:rPr>
                <w:rFonts w:ascii="Times New Roman" w:hAnsi="Times New Roman" w:eastAsia="仿宋" w:cs="Times New Roman"/>
                <w:color w:val="000000" w:themeColor="text1"/>
                <w:kern w:val="0"/>
                <w:sz w:val="21"/>
                <w:highlight w:val="none"/>
              </w:rPr>
            </w:pPr>
            <w:r>
              <w:rPr>
                <w:rFonts w:hint="eastAsia" w:ascii="Times New Roman" w:hAnsi="Times New Roman" w:eastAsia="仿宋" w:cs="Times New Roman"/>
                <w:color w:val="000000" w:themeColor="text1"/>
                <w:kern w:val="0"/>
                <w:sz w:val="21"/>
                <w:highlight w:val="none"/>
              </w:rPr>
              <w:t>0.1A；</w:t>
            </w:r>
          </w:p>
        </w:tc>
      </w:tr>
    </w:tbl>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rPr>
      </w:pPr>
      <w:bookmarkStart w:id="157" w:name="_Toc24606"/>
      <w:r>
        <w:rPr>
          <w:rFonts w:hint="eastAsia" w:ascii="仿宋" w:hAnsi="仿宋" w:eastAsia="仿宋" w:cs="仿宋"/>
          <w:color w:val="000000" w:themeColor="text1"/>
          <w:sz w:val="28"/>
          <w:szCs w:val="28"/>
          <w:highlight w:val="none"/>
          <w:lang w:eastAsia="zh-CN"/>
        </w:rPr>
        <w:t>6</w:t>
      </w:r>
      <w:r>
        <w:rPr>
          <w:rFonts w:hint="eastAsia" w:ascii="仿宋" w:hAnsi="仿宋" w:eastAsia="仿宋" w:cs="仿宋"/>
          <w:color w:val="000000" w:themeColor="text1"/>
          <w:sz w:val="28"/>
          <w:szCs w:val="28"/>
          <w:highlight w:val="none"/>
        </w:rPr>
        <w:t>缆轴性能指标及功能</w:t>
      </w:r>
      <w:bookmarkEnd w:id="157"/>
    </w:p>
    <w:tbl>
      <w:tblPr>
        <w:tblStyle w:val="29"/>
        <w:tblW w:w="48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
        <w:gridCol w:w="3004"/>
        <w:gridCol w:w="5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437"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序号</w:t>
            </w:r>
          </w:p>
        </w:tc>
        <w:tc>
          <w:tcPr>
            <w:tcW w:w="1651"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指标项</w:t>
            </w:r>
          </w:p>
        </w:tc>
        <w:tc>
          <w:tcPr>
            <w:tcW w:w="2910"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功能及指标参数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exact"/>
          <w:jc w:val="center"/>
        </w:trPr>
        <w:tc>
          <w:tcPr>
            <w:tcW w:w="437"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1</w:t>
            </w:r>
          </w:p>
        </w:tc>
        <w:tc>
          <w:tcPr>
            <w:tcW w:w="1651"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电缆</w:t>
            </w:r>
          </w:p>
        </w:tc>
        <w:tc>
          <w:tcPr>
            <w:tcW w:w="2910" w:type="pct"/>
            <w:vAlign w:val="center"/>
          </w:tcPr>
          <w:p>
            <w:pPr>
              <w:adjustRightInd w:val="0"/>
              <w:snapToGrid w:val="0"/>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300 m零浮力电缆；直径≤18mm；</w:t>
            </w:r>
          </w:p>
          <w:p>
            <w:pPr>
              <w:adjustRightInd w:val="0"/>
              <w:snapToGrid w:val="0"/>
              <w:ind w:firstLine="1050" w:firstLineChars="500"/>
              <w:rPr>
                <w:rFonts w:eastAsia="仿宋" w:cs="仿宋"/>
                <w:color w:val="000000" w:themeColor="text1"/>
                <w:kern w:val="0"/>
                <w:szCs w:val="20"/>
                <w:highlight w:val="none"/>
              </w:rPr>
            </w:pPr>
            <w:r>
              <w:rPr>
                <w:rFonts w:hint="eastAsia" w:eastAsia="仿宋" w:cs="仿宋"/>
                <w:color w:val="000000" w:themeColor="text1"/>
                <w:kern w:val="0"/>
                <w:szCs w:val="20"/>
                <w:highlight w:val="none"/>
              </w:rPr>
              <w:t>抗拉强度≥300kgf；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437"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2</w:t>
            </w:r>
          </w:p>
        </w:tc>
        <w:tc>
          <w:tcPr>
            <w:tcW w:w="1651"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电缆重量</w:t>
            </w:r>
          </w:p>
        </w:tc>
        <w:tc>
          <w:tcPr>
            <w:tcW w:w="291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≤78kg/300m；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exact"/>
          <w:jc w:val="center"/>
        </w:trPr>
        <w:tc>
          <w:tcPr>
            <w:tcW w:w="437"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3</w:t>
            </w:r>
          </w:p>
        </w:tc>
        <w:tc>
          <w:tcPr>
            <w:tcW w:w="1651"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绞车尺寸</w:t>
            </w:r>
          </w:p>
        </w:tc>
        <w:tc>
          <w:tcPr>
            <w:tcW w:w="291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长度≤900mm，宽度≤600mm，高度≤900mm；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exact"/>
          <w:jc w:val="center"/>
        </w:trPr>
        <w:tc>
          <w:tcPr>
            <w:tcW w:w="437" w:type="pct"/>
            <w:vAlign w:val="center"/>
          </w:tcPr>
          <w:p>
            <w:pPr>
              <w:pStyle w:val="62"/>
              <w:adjustRightInd w:val="0"/>
              <w:snapToGrid w:val="0"/>
              <w:jc w:val="center"/>
              <w:rPr>
                <w:rFonts w:ascii="Times New Roman" w:hAnsi="Times New Roman"/>
                <w:color w:val="000000" w:themeColor="text1"/>
                <w:kern w:val="0"/>
                <w:szCs w:val="20"/>
                <w:highlight w:val="none"/>
              </w:rPr>
            </w:pPr>
            <w:r>
              <w:rPr>
                <w:rFonts w:hint="eastAsia" w:ascii="Times New Roman" w:hAnsi="Times New Roman"/>
                <w:color w:val="000000" w:themeColor="text1"/>
                <w:kern w:val="0"/>
                <w:szCs w:val="20"/>
                <w:highlight w:val="none"/>
              </w:rPr>
              <w:t>4</w:t>
            </w:r>
          </w:p>
        </w:tc>
        <w:tc>
          <w:tcPr>
            <w:tcW w:w="1651"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绞车重量</w:t>
            </w:r>
          </w:p>
        </w:tc>
        <w:tc>
          <w:tcPr>
            <w:tcW w:w="2910" w:type="pct"/>
            <w:vAlign w:val="center"/>
          </w:tcPr>
          <w:p>
            <w:pPr>
              <w:pStyle w:val="62"/>
              <w:adjustRightInd w:val="0"/>
              <w:snapToGrid w:val="0"/>
              <w:jc w:val="center"/>
              <w:rPr>
                <w:rFonts w:ascii="Times New Roman" w:hAnsi="Times New Roman" w:eastAsia="仿宋" w:cs="仿宋"/>
                <w:color w:val="000000" w:themeColor="text1"/>
                <w:kern w:val="0"/>
                <w:sz w:val="21"/>
                <w:szCs w:val="20"/>
                <w:highlight w:val="none"/>
              </w:rPr>
            </w:pPr>
            <w:r>
              <w:rPr>
                <w:rFonts w:hint="eastAsia" w:ascii="Times New Roman" w:hAnsi="Times New Roman" w:eastAsia="仿宋" w:cs="仿宋"/>
                <w:color w:val="000000" w:themeColor="text1"/>
                <w:kern w:val="0"/>
                <w:sz w:val="21"/>
                <w:szCs w:val="20"/>
                <w:highlight w:val="none"/>
              </w:rPr>
              <w:t>≤30kg。</w:t>
            </w:r>
          </w:p>
        </w:tc>
      </w:tr>
    </w:tbl>
    <w:p>
      <w:pPr>
        <w:pStyle w:val="5"/>
        <w:numPr>
          <w:ilvl w:val="1"/>
          <w:numId w:val="0"/>
        </w:numPr>
        <w:tabs>
          <w:tab w:val="right" w:pos="0"/>
        </w:tabs>
        <w:spacing w:before="156" w:after="156" w:line="360" w:lineRule="auto"/>
        <w:rPr>
          <w:rFonts w:ascii="仿宋" w:hAnsi="仿宋" w:eastAsia="仿宋" w:cs="仿宋"/>
          <w:color w:val="000000" w:themeColor="text1"/>
          <w:sz w:val="28"/>
          <w:szCs w:val="28"/>
          <w:highlight w:val="none"/>
          <w:lang w:eastAsia="zh-CN"/>
        </w:rPr>
      </w:pPr>
      <w:bookmarkStart w:id="158" w:name="_Toc1229"/>
      <w:r>
        <w:rPr>
          <w:rFonts w:hint="eastAsia" w:ascii="仿宋" w:hAnsi="仿宋" w:eastAsia="仿宋" w:cs="仿宋"/>
          <w:color w:val="000000" w:themeColor="text1"/>
          <w:sz w:val="28"/>
          <w:szCs w:val="28"/>
          <w:highlight w:val="none"/>
          <w:lang w:eastAsia="zh-CN"/>
        </w:rPr>
        <w:t>7声学传感器性能指标及功能</w:t>
      </w:r>
      <w:bookmarkEnd w:id="158"/>
    </w:p>
    <w:tbl>
      <w:tblPr>
        <w:tblStyle w:val="29"/>
        <w:tblW w:w="47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2"/>
        <w:gridCol w:w="3079"/>
        <w:gridCol w:w="5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序号</w:t>
            </w:r>
          </w:p>
        </w:tc>
        <w:tc>
          <w:tcPr>
            <w:tcW w:w="1714"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指标项</w:t>
            </w:r>
          </w:p>
        </w:tc>
        <w:tc>
          <w:tcPr>
            <w:tcW w:w="2834" w:type="pct"/>
            <w:vAlign w:val="center"/>
          </w:tcPr>
          <w:p>
            <w:pPr>
              <w:pStyle w:val="62"/>
              <w:adjustRightInd w:val="0"/>
              <w:snapToGrid w:val="0"/>
              <w:jc w:val="center"/>
              <w:rPr>
                <w:rFonts w:ascii="Times New Roman" w:hAnsi="Times New Roman" w:eastAsia="仿宋" w:cs="仿宋"/>
                <w:b/>
                <w:bCs/>
                <w:color w:val="000000" w:themeColor="text1"/>
                <w:kern w:val="0"/>
                <w:sz w:val="21"/>
                <w:szCs w:val="20"/>
                <w:highlight w:val="none"/>
              </w:rPr>
            </w:pPr>
            <w:r>
              <w:rPr>
                <w:rFonts w:hint="eastAsia" w:ascii="Times New Roman" w:hAnsi="Times New Roman" w:eastAsia="仿宋" w:cs="仿宋"/>
                <w:b/>
                <w:bCs/>
                <w:color w:val="000000" w:themeColor="text1"/>
                <w:kern w:val="0"/>
                <w:sz w:val="21"/>
                <w:szCs w:val="20"/>
                <w:highlight w:val="none"/>
              </w:rPr>
              <w:t>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adjustRightInd w:val="0"/>
              <w:snapToGrid w:val="0"/>
              <w:spacing w:line="192" w:lineRule="auto"/>
              <w:jc w:val="center"/>
              <w:rPr>
                <w:rFonts w:eastAsia="仿宋"/>
                <w:color w:val="000000" w:themeColor="text1"/>
                <w:kern w:val="0"/>
                <w:szCs w:val="20"/>
                <w:highlight w:val="none"/>
              </w:rPr>
            </w:pPr>
            <w:r>
              <w:rPr>
                <w:rFonts w:hint="eastAsia" w:eastAsia="仿宋"/>
                <w:color w:val="000000" w:themeColor="text1"/>
                <w:kern w:val="0"/>
                <w:szCs w:val="20"/>
                <w:highlight w:val="none"/>
              </w:rPr>
              <w:t>1</w:t>
            </w:r>
          </w:p>
        </w:tc>
        <w:tc>
          <w:tcPr>
            <w:tcW w:w="171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扫描量程</w:t>
            </w:r>
          </w:p>
        </w:tc>
        <w:tc>
          <w:tcPr>
            <w:tcW w:w="283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40m-120m；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adjustRightInd w:val="0"/>
              <w:snapToGrid w:val="0"/>
              <w:spacing w:line="192" w:lineRule="auto"/>
              <w:jc w:val="center"/>
              <w:rPr>
                <w:rFonts w:eastAsia="仿宋"/>
                <w:color w:val="000000" w:themeColor="text1"/>
                <w:kern w:val="0"/>
                <w:szCs w:val="20"/>
                <w:highlight w:val="none"/>
              </w:rPr>
            </w:pPr>
            <w:r>
              <w:rPr>
                <w:rFonts w:hint="eastAsia" w:eastAsia="仿宋"/>
                <w:color w:val="000000" w:themeColor="text1"/>
                <w:kern w:val="0"/>
                <w:szCs w:val="20"/>
                <w:highlight w:val="none"/>
              </w:rPr>
              <w:t>2</w:t>
            </w:r>
          </w:p>
        </w:tc>
        <w:tc>
          <w:tcPr>
            <w:tcW w:w="171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工作频率</w:t>
            </w:r>
          </w:p>
        </w:tc>
        <w:tc>
          <w:tcPr>
            <w:tcW w:w="283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双频（低频/高频）；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adjustRightInd w:val="0"/>
              <w:snapToGrid w:val="0"/>
              <w:spacing w:line="192" w:lineRule="auto"/>
              <w:jc w:val="center"/>
              <w:rPr>
                <w:rFonts w:eastAsia="仿宋"/>
                <w:color w:val="000000" w:themeColor="text1"/>
                <w:kern w:val="0"/>
                <w:szCs w:val="20"/>
                <w:highlight w:val="none"/>
              </w:rPr>
            </w:pPr>
            <w:r>
              <w:rPr>
                <w:rFonts w:hint="eastAsia" w:eastAsia="仿宋"/>
                <w:color w:val="000000" w:themeColor="text1"/>
                <w:kern w:val="0"/>
                <w:highlight w:val="none"/>
              </w:rPr>
              <w:t>3</w:t>
            </w:r>
          </w:p>
        </w:tc>
        <w:tc>
          <w:tcPr>
            <w:tcW w:w="171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最大波束</w:t>
            </w:r>
          </w:p>
        </w:tc>
        <w:tc>
          <w:tcPr>
            <w:tcW w:w="283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≥256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adjustRightInd w:val="0"/>
              <w:snapToGrid w:val="0"/>
              <w:spacing w:line="192" w:lineRule="auto"/>
              <w:jc w:val="center"/>
              <w:rPr>
                <w:rFonts w:eastAsia="仿宋"/>
                <w:color w:val="000000" w:themeColor="text1"/>
                <w:kern w:val="0"/>
                <w:szCs w:val="20"/>
                <w:highlight w:val="none"/>
              </w:rPr>
            </w:pPr>
            <w:r>
              <w:rPr>
                <w:rFonts w:hint="eastAsia" w:eastAsia="仿宋"/>
                <w:color w:val="000000" w:themeColor="text1"/>
                <w:kern w:val="0"/>
                <w:highlight w:val="none"/>
              </w:rPr>
              <w:t>4</w:t>
            </w:r>
          </w:p>
        </w:tc>
        <w:tc>
          <w:tcPr>
            <w:tcW w:w="171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角度分辨率</w:t>
            </w:r>
          </w:p>
        </w:tc>
        <w:tc>
          <w:tcPr>
            <w:tcW w:w="283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1°/ 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adjustRightInd w:val="0"/>
              <w:snapToGrid w:val="0"/>
              <w:spacing w:line="192" w:lineRule="auto"/>
              <w:jc w:val="center"/>
              <w:rPr>
                <w:rFonts w:eastAsia="仿宋"/>
                <w:color w:val="000000" w:themeColor="text1"/>
                <w:kern w:val="0"/>
                <w:szCs w:val="20"/>
                <w:highlight w:val="none"/>
              </w:rPr>
            </w:pPr>
            <w:r>
              <w:rPr>
                <w:rFonts w:hint="eastAsia" w:eastAsia="仿宋"/>
                <w:color w:val="000000" w:themeColor="text1"/>
                <w:kern w:val="0"/>
                <w:szCs w:val="20"/>
                <w:highlight w:val="none"/>
              </w:rPr>
              <w:t>5</w:t>
            </w:r>
          </w:p>
        </w:tc>
        <w:tc>
          <w:tcPr>
            <w:tcW w:w="171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空气中重量</w:t>
            </w:r>
          </w:p>
        </w:tc>
        <w:tc>
          <w:tcPr>
            <w:tcW w:w="283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52" w:type="pct"/>
            <w:vAlign w:val="center"/>
          </w:tcPr>
          <w:p>
            <w:pPr>
              <w:adjustRightInd w:val="0"/>
              <w:snapToGrid w:val="0"/>
              <w:spacing w:line="192" w:lineRule="auto"/>
              <w:jc w:val="center"/>
              <w:rPr>
                <w:rFonts w:eastAsia="仿宋"/>
                <w:color w:val="000000" w:themeColor="text1"/>
                <w:kern w:val="0"/>
                <w:szCs w:val="20"/>
                <w:highlight w:val="none"/>
              </w:rPr>
            </w:pPr>
            <w:r>
              <w:rPr>
                <w:rFonts w:hint="eastAsia" w:eastAsia="仿宋"/>
                <w:color w:val="000000" w:themeColor="text1"/>
                <w:kern w:val="0"/>
                <w:szCs w:val="20"/>
                <w:highlight w:val="none"/>
              </w:rPr>
              <w:t>6</w:t>
            </w:r>
          </w:p>
        </w:tc>
        <w:tc>
          <w:tcPr>
            <w:tcW w:w="171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工作深度</w:t>
            </w:r>
          </w:p>
        </w:tc>
        <w:tc>
          <w:tcPr>
            <w:tcW w:w="2834" w:type="pct"/>
            <w:vAlign w:val="center"/>
          </w:tcPr>
          <w:p>
            <w:pPr>
              <w:adjustRightInd w:val="0"/>
              <w:snapToGrid w:val="0"/>
              <w:spacing w:line="192" w:lineRule="auto"/>
              <w:jc w:val="center"/>
              <w:rPr>
                <w:rFonts w:eastAsia="仿宋" w:cs="仿宋"/>
                <w:color w:val="000000" w:themeColor="text1"/>
                <w:kern w:val="0"/>
                <w:szCs w:val="20"/>
                <w:highlight w:val="none"/>
              </w:rPr>
            </w:pPr>
            <w:r>
              <w:rPr>
                <w:rFonts w:hint="eastAsia" w:eastAsia="仿宋" w:cs="仿宋"/>
                <w:color w:val="000000" w:themeColor="text1"/>
                <w:kern w:val="0"/>
                <w:szCs w:val="20"/>
                <w:highlight w:val="none"/>
              </w:rPr>
              <w:t>≥300m。</w:t>
            </w:r>
          </w:p>
        </w:tc>
      </w:tr>
    </w:tbl>
    <w:p>
      <w:pPr>
        <w:pStyle w:val="56"/>
        <w:spacing w:line="360" w:lineRule="auto"/>
        <w:ind w:firstLine="0" w:firstLineChars="0"/>
        <w:rPr>
          <w:rFonts w:ascii="仿宋" w:hAnsi="仿宋" w:eastAsia="仿宋" w:cs="仿宋"/>
          <w:color w:val="000000" w:themeColor="text1"/>
          <w:sz w:val="24"/>
          <w:highlight w:val="none"/>
          <w:lang w:val="en-US"/>
        </w:rPr>
      </w:pPr>
      <w:r>
        <w:rPr>
          <w:rFonts w:hint="eastAsia" w:ascii="仿宋" w:hAnsi="仿宋" w:eastAsia="仿宋" w:cs="仿宋"/>
          <w:color w:val="000000" w:themeColor="text1"/>
          <w:sz w:val="24"/>
          <w:highlight w:val="none"/>
          <w:lang w:val="en-US"/>
        </w:rPr>
        <w:t>备注：</w:t>
      </w:r>
    </w:p>
    <w:p>
      <w:pPr>
        <w:pStyle w:val="56"/>
        <w:spacing w:line="360" w:lineRule="auto"/>
        <w:ind w:firstLine="0" w:firstLineChars="0"/>
        <w:rPr>
          <w:rFonts w:ascii="仿宋" w:hAnsi="仿宋" w:eastAsia="仿宋" w:cs="仿宋"/>
          <w:color w:val="000000" w:themeColor="text1"/>
          <w:sz w:val="24"/>
          <w:highlight w:val="none"/>
          <w:lang w:val="en-US"/>
        </w:rPr>
      </w:pPr>
      <w:r>
        <w:rPr>
          <w:rFonts w:hint="eastAsia" w:ascii="仿宋" w:hAnsi="仿宋" w:eastAsia="仿宋" w:cs="仿宋"/>
          <w:color w:val="000000" w:themeColor="text1"/>
          <w:sz w:val="24"/>
          <w:highlight w:val="none"/>
          <w:lang w:val="en-US"/>
        </w:rPr>
        <w:t>带“★”条款为实质性条款，投标人必须按照招标文件的要求做出实质性响应。</w:t>
      </w:r>
    </w:p>
    <w:p>
      <w:pPr>
        <w:pStyle w:val="2"/>
        <w:rPr>
          <w:color w:val="000000" w:themeColor="text1"/>
          <w:highlight w:val="none"/>
        </w:rPr>
      </w:pPr>
    </w:p>
    <w:p>
      <w:pPr>
        <w:rPr>
          <w:color w:val="000000" w:themeColor="text1"/>
          <w:highlight w:val="none"/>
        </w:rPr>
      </w:pPr>
    </w:p>
    <w:p>
      <w:pPr>
        <w:pStyle w:val="2"/>
        <w:rPr>
          <w:color w:val="000000" w:themeColor="text1"/>
          <w:highlight w:val="none"/>
        </w:rPr>
      </w:pPr>
    </w:p>
    <w:p>
      <w:pPr>
        <w:rPr>
          <w:color w:val="000000" w:themeColor="text1"/>
          <w:highlight w:val="none"/>
        </w:rPr>
      </w:pPr>
    </w:p>
    <w:p>
      <w:pPr>
        <w:pStyle w:val="2"/>
        <w:rPr>
          <w:color w:val="000000" w:themeColor="text1"/>
          <w:highlight w:val="none"/>
        </w:rPr>
      </w:pPr>
    </w:p>
    <w:p>
      <w:pPr>
        <w:rPr>
          <w:color w:val="000000" w:themeColor="text1"/>
          <w:highlight w:val="none"/>
        </w:rPr>
      </w:pPr>
    </w:p>
    <w:p>
      <w:pPr>
        <w:pStyle w:val="2"/>
        <w:rPr>
          <w:color w:val="000000" w:themeColor="text1"/>
          <w:highlight w:val="none"/>
        </w:rPr>
      </w:pPr>
    </w:p>
    <w:p>
      <w:pPr>
        <w:rPr>
          <w:color w:val="000000" w:themeColor="text1"/>
          <w:highlight w:val="none"/>
        </w:rPr>
      </w:pPr>
    </w:p>
    <w:p>
      <w:pPr>
        <w:pStyle w:val="2"/>
        <w:rPr>
          <w:color w:val="000000" w:themeColor="text1"/>
          <w:highlight w:val="none"/>
        </w:rPr>
      </w:pPr>
    </w:p>
    <w:p>
      <w:pPr>
        <w:spacing w:line="360" w:lineRule="auto"/>
        <w:ind w:left="-283" w:leftChars="-135" w:right="-197" w:rightChars="-94"/>
        <w:jc w:val="center"/>
        <w:rPr>
          <w:rStyle w:val="37"/>
          <w:rFonts w:ascii="仿宋" w:hAnsi="仿宋" w:eastAsia="仿宋" w:cs="仿宋"/>
          <w:bCs/>
          <w:color w:val="000000" w:themeColor="text1"/>
          <w:sz w:val="36"/>
          <w:szCs w:val="36"/>
          <w:highlight w:val="none"/>
          <w:lang w:eastAsia="zh-CN"/>
        </w:rPr>
      </w:pPr>
    </w:p>
    <w:p>
      <w:pPr>
        <w:pStyle w:val="2"/>
        <w:rPr>
          <w:color w:val="000000" w:themeColor="text1"/>
          <w:highlight w:val="none"/>
        </w:rPr>
      </w:pPr>
    </w:p>
    <w:p>
      <w:pPr>
        <w:spacing w:line="360" w:lineRule="auto"/>
        <w:ind w:left="-283" w:leftChars="-135" w:right="-197" w:rightChars="-94"/>
        <w:jc w:val="center"/>
        <w:rPr>
          <w:rStyle w:val="37"/>
          <w:rFonts w:ascii="仿宋" w:hAnsi="仿宋" w:eastAsia="仿宋" w:cs="仿宋"/>
          <w:bCs/>
          <w:color w:val="000000" w:themeColor="text1"/>
          <w:sz w:val="36"/>
          <w:szCs w:val="36"/>
          <w:highlight w:val="none"/>
          <w:lang w:eastAsia="zh-CN"/>
        </w:rPr>
      </w:pPr>
    </w:p>
    <w:p>
      <w:pPr>
        <w:pStyle w:val="2"/>
        <w:rPr>
          <w:color w:val="000000" w:themeColor="text1"/>
          <w:highlight w:val="none"/>
        </w:rPr>
      </w:pPr>
    </w:p>
    <w:p>
      <w:pPr>
        <w:spacing w:line="360" w:lineRule="auto"/>
        <w:ind w:left="-283" w:leftChars="-135" w:right="-197" w:rightChars="-94"/>
        <w:jc w:val="center"/>
        <w:rPr>
          <w:rStyle w:val="37"/>
          <w:rFonts w:ascii="仿宋" w:hAnsi="仿宋" w:eastAsia="仿宋" w:cs="仿宋"/>
          <w:bCs/>
          <w:color w:val="000000" w:themeColor="text1"/>
          <w:sz w:val="36"/>
          <w:szCs w:val="36"/>
          <w:highlight w:val="none"/>
          <w:lang w:eastAsia="zh-CN"/>
        </w:rPr>
      </w:pPr>
    </w:p>
    <w:p>
      <w:pPr>
        <w:spacing w:line="360" w:lineRule="auto"/>
        <w:ind w:left="-283" w:leftChars="-135" w:right="-197" w:rightChars="-94"/>
        <w:jc w:val="center"/>
        <w:rPr>
          <w:rStyle w:val="37"/>
          <w:rFonts w:ascii="仿宋" w:hAnsi="仿宋" w:eastAsia="仿宋" w:cs="仿宋"/>
          <w:bCs/>
          <w:color w:val="000000" w:themeColor="text1"/>
          <w:sz w:val="36"/>
          <w:szCs w:val="36"/>
          <w:highlight w:val="none"/>
          <w:lang w:eastAsia="zh-CN"/>
        </w:rPr>
      </w:pPr>
    </w:p>
    <w:p>
      <w:pPr>
        <w:spacing w:line="360" w:lineRule="auto"/>
        <w:ind w:left="-283" w:leftChars="-135" w:right="-197" w:rightChars="-94"/>
        <w:jc w:val="center"/>
        <w:rPr>
          <w:rFonts w:ascii="仿宋" w:hAnsi="仿宋" w:eastAsia="仿宋" w:cs="仿宋"/>
          <w:b/>
          <w:color w:val="000000" w:themeColor="text1"/>
          <w:sz w:val="52"/>
          <w:szCs w:val="52"/>
          <w:highlight w:val="none"/>
        </w:rPr>
      </w:pPr>
      <w:r>
        <w:rPr>
          <w:rStyle w:val="37"/>
          <w:rFonts w:hint="eastAsia" w:ascii="仿宋" w:hAnsi="仿宋" w:eastAsia="仿宋" w:cs="仿宋"/>
          <w:bCs/>
          <w:color w:val="000000" w:themeColor="text1"/>
          <w:sz w:val="36"/>
          <w:szCs w:val="36"/>
          <w:highlight w:val="none"/>
          <w:lang w:eastAsia="zh-CN"/>
        </w:rPr>
        <w:t>第四章政府采购合同范本</w:t>
      </w:r>
      <w:bookmarkEnd w:id="153"/>
    </w:p>
    <w:p>
      <w:pPr>
        <w:spacing w:line="360" w:lineRule="auto"/>
        <w:ind w:left="-283" w:leftChars="-135" w:right="-197" w:rightChars="-94"/>
        <w:rPr>
          <w:rFonts w:ascii="仿宋" w:hAnsi="仿宋" w:eastAsia="仿宋" w:cs="仿宋"/>
          <w:color w:val="000000" w:themeColor="text1"/>
          <w:szCs w:val="22"/>
          <w:highlight w:val="none"/>
        </w:rPr>
      </w:pPr>
    </w:p>
    <w:p>
      <w:pPr>
        <w:spacing w:line="360" w:lineRule="auto"/>
        <w:ind w:left="-283" w:leftChars="-135" w:right="-197" w:rightChars="-94"/>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注：本合同仅为合同的参考文本，合同签订双方可根据项目的具体要求进行修订。</w:t>
      </w:r>
    </w:p>
    <w:p>
      <w:pPr>
        <w:spacing w:line="360" w:lineRule="auto"/>
        <w:ind w:left="-283" w:leftChars="-135" w:right="-197" w:rightChars="-94"/>
        <w:rPr>
          <w:rFonts w:ascii="仿宋" w:hAnsi="仿宋" w:eastAsia="仿宋" w:cs="仿宋"/>
          <w:color w:val="000000" w:themeColor="text1"/>
          <w:szCs w:val="2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（仅供参考）</w:t>
      </w:r>
    </w:p>
    <w:p>
      <w:pPr>
        <w:spacing w:line="360" w:lineRule="auto"/>
        <w:rPr>
          <w:rFonts w:ascii="仿宋" w:hAnsi="仿宋" w:eastAsia="仿宋" w:cs="仿宋"/>
          <w:b/>
          <w:bCs/>
          <w:color w:val="000000" w:themeColor="text1"/>
          <w:sz w:val="28"/>
          <w:szCs w:val="28"/>
          <w:highlight w:val="none"/>
        </w:rPr>
      </w:pPr>
    </w:p>
    <w:p>
      <w:pPr>
        <w:spacing w:line="360" w:lineRule="auto"/>
        <w:rPr>
          <w:rFonts w:ascii="仿宋" w:hAnsi="仿宋" w:eastAsia="仿宋" w:cs="仿宋"/>
          <w:b/>
          <w:bCs/>
          <w:color w:val="000000" w:themeColor="text1"/>
          <w:sz w:val="28"/>
          <w:szCs w:val="28"/>
          <w:highlight w:val="none"/>
        </w:rPr>
      </w:pPr>
    </w:p>
    <w:p>
      <w:pPr>
        <w:spacing w:line="360" w:lineRule="auto"/>
        <w:ind w:firstLine="2249" w:firstLineChars="800"/>
        <w:rPr>
          <w:rFonts w:ascii="仿宋" w:hAnsi="仿宋" w:eastAsia="仿宋" w:cs="仿宋"/>
          <w:b/>
          <w:bCs/>
          <w:color w:val="000000" w:themeColor="text1"/>
          <w:sz w:val="28"/>
          <w:szCs w:val="28"/>
          <w:highlight w:val="none"/>
          <w:u w:val="single"/>
        </w:rPr>
      </w:pPr>
      <w:r>
        <w:rPr>
          <w:rFonts w:hint="eastAsia" w:ascii="仿宋" w:hAnsi="仿宋" w:eastAsia="仿宋" w:cs="仿宋"/>
          <w:b/>
          <w:bCs/>
          <w:color w:val="000000" w:themeColor="text1"/>
          <w:sz w:val="28"/>
          <w:szCs w:val="28"/>
          <w:highlight w:val="none"/>
        </w:rPr>
        <w:t>项目编号：</w:t>
      </w:r>
    </w:p>
    <w:p>
      <w:pPr>
        <w:spacing w:line="360" w:lineRule="auto"/>
        <w:ind w:left="3626" w:leftChars="1068" w:hanging="1383" w:hangingChars="492"/>
        <w:rPr>
          <w:rFonts w:ascii="仿宋" w:hAnsi="仿宋" w:eastAsia="仿宋" w:cs="仿宋"/>
          <w:b/>
          <w:bCs/>
          <w:color w:val="000000" w:themeColor="text1"/>
          <w:sz w:val="28"/>
          <w:szCs w:val="28"/>
          <w:highlight w:val="none"/>
          <w:u w:val="single"/>
        </w:rPr>
      </w:pPr>
      <w:r>
        <w:rPr>
          <w:rFonts w:hint="eastAsia" w:ascii="仿宋" w:hAnsi="仿宋" w:eastAsia="仿宋" w:cs="仿宋"/>
          <w:b/>
          <w:bCs/>
          <w:color w:val="000000" w:themeColor="text1"/>
          <w:sz w:val="28"/>
          <w:szCs w:val="28"/>
          <w:highlight w:val="none"/>
        </w:rPr>
        <w:t>项目名称：</w:t>
      </w:r>
    </w:p>
    <w:p>
      <w:pPr>
        <w:spacing w:line="360" w:lineRule="auto"/>
        <w:ind w:firstLine="2249" w:firstLineChars="800"/>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分组包号：</w:t>
      </w:r>
    </w:p>
    <w:p>
      <w:pPr>
        <w:spacing w:line="360" w:lineRule="auto"/>
        <w:ind w:firstLine="2249" w:firstLineChars="800"/>
        <w:rPr>
          <w:rFonts w:ascii="仿宋" w:hAnsi="仿宋" w:eastAsia="仿宋" w:cs="仿宋"/>
          <w:b/>
          <w:bCs/>
          <w:color w:val="000000" w:themeColor="text1"/>
          <w:sz w:val="28"/>
          <w:szCs w:val="28"/>
          <w:highlight w:val="none"/>
        </w:rPr>
      </w:pPr>
      <w:bookmarkStart w:id="159" w:name="_Toc517271549"/>
      <w:bookmarkStart w:id="160" w:name="_Toc22524"/>
      <w:bookmarkStart w:id="161" w:name="_Toc517271860"/>
      <w:bookmarkStart w:id="162" w:name="_Toc4526"/>
      <w:r>
        <w:rPr>
          <w:rFonts w:hint="eastAsia" w:ascii="仿宋" w:hAnsi="仿宋" w:eastAsia="仿宋" w:cs="仿宋"/>
          <w:b/>
          <w:bCs/>
          <w:color w:val="000000" w:themeColor="text1"/>
          <w:sz w:val="28"/>
          <w:szCs w:val="28"/>
          <w:highlight w:val="none"/>
        </w:rPr>
        <w:t>合同编号：</w:t>
      </w:r>
      <w:bookmarkEnd w:id="159"/>
      <w:bookmarkEnd w:id="160"/>
      <w:bookmarkEnd w:id="161"/>
      <w:bookmarkEnd w:id="162"/>
    </w:p>
    <w:p>
      <w:pPr>
        <w:spacing w:line="360" w:lineRule="auto"/>
        <w:rPr>
          <w:rFonts w:ascii="仿宋" w:hAnsi="仿宋" w:eastAsia="仿宋" w:cs="仿宋"/>
          <w:b/>
          <w:bCs/>
          <w:color w:val="000000" w:themeColor="text1"/>
          <w:sz w:val="28"/>
          <w:szCs w:val="28"/>
          <w:highlight w:val="none"/>
        </w:rPr>
      </w:pPr>
    </w:p>
    <w:p>
      <w:pPr>
        <w:spacing w:line="360" w:lineRule="auto"/>
        <w:rPr>
          <w:rFonts w:ascii="仿宋" w:hAnsi="仿宋" w:eastAsia="仿宋" w:cs="仿宋"/>
          <w:b/>
          <w:bCs/>
          <w:color w:val="000000" w:themeColor="text1"/>
          <w:sz w:val="28"/>
          <w:szCs w:val="28"/>
          <w:highlight w:val="none"/>
        </w:rPr>
      </w:pPr>
    </w:p>
    <w:p>
      <w:pPr>
        <w:spacing w:line="360" w:lineRule="auto"/>
        <w:ind w:firstLine="2249" w:firstLineChars="800"/>
        <w:rPr>
          <w:rFonts w:ascii="仿宋" w:hAnsi="仿宋" w:eastAsia="仿宋" w:cs="仿宋"/>
          <w:b/>
          <w:bCs/>
          <w:color w:val="000000" w:themeColor="text1"/>
          <w:sz w:val="28"/>
          <w:szCs w:val="28"/>
          <w:highlight w:val="none"/>
          <w:u w:val="single"/>
        </w:rPr>
      </w:pPr>
      <w:r>
        <w:rPr>
          <w:rFonts w:hint="eastAsia" w:ascii="仿宋" w:hAnsi="仿宋" w:eastAsia="仿宋" w:cs="仿宋"/>
          <w:b/>
          <w:bCs/>
          <w:color w:val="000000" w:themeColor="text1"/>
          <w:sz w:val="28"/>
          <w:szCs w:val="28"/>
          <w:highlight w:val="none"/>
        </w:rPr>
        <w:t>甲方：</w:t>
      </w:r>
    </w:p>
    <w:p>
      <w:pPr>
        <w:spacing w:line="360" w:lineRule="auto"/>
        <w:ind w:firstLine="2215" w:firstLineChars="788"/>
        <w:rPr>
          <w:rFonts w:ascii="仿宋" w:hAnsi="仿宋" w:eastAsia="仿宋" w:cs="仿宋"/>
          <w:b/>
          <w:bCs/>
          <w:color w:val="000000" w:themeColor="text1"/>
          <w:sz w:val="28"/>
          <w:szCs w:val="28"/>
          <w:highlight w:val="none"/>
          <w:u w:val="single"/>
        </w:rPr>
      </w:pPr>
      <w:r>
        <w:rPr>
          <w:rFonts w:hint="eastAsia" w:ascii="仿宋" w:hAnsi="仿宋" w:eastAsia="仿宋" w:cs="仿宋"/>
          <w:b/>
          <w:bCs/>
          <w:color w:val="000000" w:themeColor="text1"/>
          <w:sz w:val="28"/>
          <w:szCs w:val="28"/>
          <w:highlight w:val="none"/>
        </w:rPr>
        <w:t>乙方：</w:t>
      </w:r>
      <w:r>
        <w:rPr>
          <w:rFonts w:hint="eastAsia" w:ascii="仿宋" w:hAnsi="仿宋" w:eastAsia="仿宋" w:cs="仿宋"/>
          <w:b/>
          <w:bCs/>
          <w:color w:val="000000" w:themeColor="text1"/>
          <w:sz w:val="28"/>
          <w:szCs w:val="28"/>
          <w:highlight w:val="none"/>
          <w:u w:val="single"/>
        </w:rPr>
        <w:t>成交人</w:t>
      </w:r>
    </w:p>
    <w:p>
      <w:pPr>
        <w:spacing w:line="360" w:lineRule="auto"/>
        <w:jc w:val="center"/>
        <w:rPr>
          <w:rFonts w:ascii="仿宋" w:hAnsi="仿宋" w:eastAsia="仿宋" w:cs="仿宋"/>
          <w:b/>
          <w:color w:val="000000" w:themeColor="text1"/>
          <w:sz w:val="28"/>
          <w:szCs w:val="28"/>
          <w:highlight w:val="none"/>
        </w:rPr>
      </w:pPr>
    </w:p>
    <w:p>
      <w:pPr>
        <w:spacing w:line="360" w:lineRule="auto"/>
        <w:rPr>
          <w:rFonts w:ascii="仿宋" w:hAnsi="仿宋" w:eastAsia="仿宋" w:cs="仿宋"/>
          <w:b/>
          <w:color w:val="000000" w:themeColor="text1"/>
          <w:sz w:val="28"/>
          <w:szCs w:val="28"/>
          <w:highlight w:val="none"/>
        </w:rPr>
      </w:pPr>
    </w:p>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b/>
          <w:color w:val="000000" w:themeColor="text1"/>
          <w:sz w:val="28"/>
          <w:szCs w:val="28"/>
          <w:highlight w:val="none"/>
        </w:rPr>
        <w:t>签订日期：年月日</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bCs/>
          <w:color w:val="000000" w:themeColor="text1"/>
          <w:sz w:val="24"/>
          <w:highlight w:val="none"/>
          <w:u w:val="single"/>
        </w:rPr>
      </w:pPr>
      <w:r>
        <w:rPr>
          <w:rFonts w:hint="eastAsia" w:ascii="仿宋" w:hAnsi="仿宋" w:eastAsia="仿宋" w:cs="仿宋"/>
          <w:color w:val="000000" w:themeColor="text1"/>
          <w:sz w:val="24"/>
          <w:highlight w:val="none"/>
        </w:rPr>
        <w:t>甲方：</w:t>
      </w:r>
    </w:p>
    <w:p>
      <w:pPr>
        <w:snapToGrid w:val="0"/>
        <w:spacing w:line="360" w:lineRule="auto"/>
        <w:rPr>
          <w:rFonts w:ascii="仿宋" w:hAnsi="仿宋" w:eastAsia="仿宋" w:cs="仿宋"/>
          <w:b/>
          <w:color w:val="000000" w:themeColor="text1"/>
          <w:sz w:val="24"/>
          <w:highlight w:val="none"/>
          <w:u w:val="single"/>
        </w:rPr>
      </w:pPr>
      <w:r>
        <w:rPr>
          <w:rFonts w:hint="eastAsia" w:ascii="仿宋" w:hAnsi="仿宋" w:eastAsia="仿宋" w:cs="仿宋"/>
          <w:bCs/>
          <w:color w:val="000000" w:themeColor="text1"/>
          <w:sz w:val="24"/>
          <w:highlight w:val="none"/>
        </w:rPr>
        <w:t>乙方：</w:t>
      </w:r>
      <w:r>
        <w:rPr>
          <w:rFonts w:hint="eastAsia" w:ascii="仿宋" w:hAnsi="仿宋" w:eastAsia="仿宋" w:cs="仿宋"/>
          <w:b/>
          <w:color w:val="000000" w:themeColor="text1"/>
          <w:sz w:val="24"/>
          <w:highlight w:val="none"/>
          <w:u w:val="single"/>
        </w:rPr>
        <w:t>成交人</w:t>
      </w:r>
    </w:p>
    <w:p>
      <w:pPr>
        <w:snapToGrid w:val="0"/>
        <w:spacing w:line="360" w:lineRule="auto"/>
        <w:ind w:firstLine="480" w:firstLineChars="200"/>
        <w:rPr>
          <w:rFonts w:ascii="仿宋" w:hAnsi="仿宋" w:eastAsia="仿宋" w:cs="仿宋"/>
          <w:b/>
          <w:bCs/>
          <w:color w:val="000000" w:themeColor="text1"/>
          <w:sz w:val="24"/>
          <w:highlight w:val="none"/>
          <w:u w:val="single"/>
        </w:rPr>
      </w:pPr>
      <w:r>
        <w:rPr>
          <w:rFonts w:hint="eastAsia" w:ascii="仿宋" w:hAnsi="仿宋" w:eastAsia="仿宋" w:cs="仿宋"/>
          <w:color w:val="000000" w:themeColor="text1"/>
          <w:sz w:val="24"/>
          <w:highlight w:val="none"/>
        </w:rPr>
        <w:t>甲乙双方根据年月日公开招标采购结果及招标文件的要求，经协商一致，达成以下协议。</w:t>
      </w:r>
    </w:p>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一、合同标的及金额等（详见附件清单）</w:t>
      </w:r>
    </w:p>
    <w:tbl>
      <w:tblPr>
        <w:tblStyle w:val="28"/>
        <w:tblW w:w="5000" w:type="pct"/>
        <w:jc w:val="center"/>
        <w:tblLayout w:type="autofit"/>
        <w:tblCellMar>
          <w:top w:w="0" w:type="dxa"/>
          <w:left w:w="30" w:type="dxa"/>
          <w:bottom w:w="0" w:type="dxa"/>
          <w:right w:w="30" w:type="dxa"/>
        </w:tblCellMar>
      </w:tblPr>
      <w:tblGrid>
        <w:gridCol w:w="542"/>
        <w:gridCol w:w="1572"/>
        <w:gridCol w:w="2373"/>
        <w:gridCol w:w="1265"/>
        <w:gridCol w:w="1114"/>
        <w:gridCol w:w="1265"/>
        <w:gridCol w:w="1113"/>
      </w:tblGrid>
      <w:tr>
        <w:tblPrEx>
          <w:tblCellMar>
            <w:top w:w="0" w:type="dxa"/>
            <w:left w:w="30" w:type="dxa"/>
            <w:bottom w:w="0" w:type="dxa"/>
            <w:right w:w="30" w:type="dxa"/>
          </w:tblCellMar>
        </w:tblPrEx>
        <w:trPr>
          <w:trHeight w:val="108" w:hRule="atLeast"/>
          <w:jc w:val="center"/>
        </w:trPr>
        <w:tc>
          <w:tcPr>
            <w:tcW w:w="313"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877"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名称</w:t>
            </w:r>
          </w:p>
        </w:tc>
        <w:tc>
          <w:tcPr>
            <w:tcW w:w="1307"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品牌</w:t>
            </w:r>
            <w:r>
              <w:rPr>
                <w:rFonts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rPr>
              <w:t>规格及型号</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单价（元）</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数量</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合计（元）</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备注</w:t>
            </w:r>
          </w:p>
        </w:tc>
      </w:tr>
      <w:tr>
        <w:tblPrEx>
          <w:tblCellMar>
            <w:top w:w="0" w:type="dxa"/>
            <w:left w:w="30" w:type="dxa"/>
            <w:bottom w:w="0" w:type="dxa"/>
            <w:right w:w="30" w:type="dxa"/>
          </w:tblCellMar>
        </w:tblPrEx>
        <w:trPr>
          <w:trHeight w:val="90" w:hRule="atLeast"/>
          <w:jc w:val="center"/>
        </w:trPr>
        <w:tc>
          <w:tcPr>
            <w:tcW w:w="313"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b/>
                <w:bCs/>
                <w:color w:val="000000" w:themeColor="text1"/>
                <w:sz w:val="24"/>
                <w:highlight w:val="none"/>
              </w:rPr>
            </w:pPr>
            <w:r>
              <w:rPr>
                <w:rFonts w:ascii="仿宋" w:hAnsi="仿宋" w:eastAsia="仿宋" w:cs="仿宋"/>
                <w:b/>
                <w:bCs/>
                <w:color w:val="000000" w:themeColor="text1"/>
                <w:sz w:val="24"/>
                <w:highlight w:val="none"/>
              </w:rPr>
              <w:t>1</w:t>
            </w:r>
          </w:p>
        </w:tc>
        <w:tc>
          <w:tcPr>
            <w:tcW w:w="87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c>
          <w:tcPr>
            <w:tcW w:w="1307"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r>
      <w:tr>
        <w:tblPrEx>
          <w:tblCellMar>
            <w:top w:w="0" w:type="dxa"/>
            <w:left w:w="30" w:type="dxa"/>
            <w:bottom w:w="0" w:type="dxa"/>
            <w:right w:w="30" w:type="dxa"/>
          </w:tblCellMar>
        </w:tblPrEx>
        <w:trPr>
          <w:trHeight w:val="90" w:hRule="atLeast"/>
          <w:jc w:val="center"/>
        </w:trPr>
        <w:tc>
          <w:tcPr>
            <w:tcW w:w="313"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b/>
                <w:bCs/>
                <w:color w:val="000000" w:themeColor="text1"/>
                <w:sz w:val="24"/>
                <w:highlight w:val="none"/>
              </w:rPr>
            </w:pPr>
            <w:r>
              <w:rPr>
                <w:rFonts w:ascii="仿宋" w:hAnsi="仿宋" w:eastAsia="仿宋" w:cs="仿宋"/>
                <w:b/>
                <w:bCs/>
                <w:color w:val="000000" w:themeColor="text1"/>
                <w:sz w:val="24"/>
                <w:highlight w:val="none"/>
              </w:rPr>
              <w:t>2</w:t>
            </w:r>
          </w:p>
        </w:tc>
        <w:tc>
          <w:tcPr>
            <w:tcW w:w="87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c>
          <w:tcPr>
            <w:tcW w:w="1307"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r>
      <w:tr>
        <w:tblPrEx>
          <w:tblCellMar>
            <w:top w:w="0" w:type="dxa"/>
            <w:left w:w="30" w:type="dxa"/>
            <w:bottom w:w="0" w:type="dxa"/>
            <w:right w:w="30" w:type="dxa"/>
          </w:tblCellMar>
        </w:tblPrEx>
        <w:trPr>
          <w:trHeight w:val="641" w:hRule="atLeast"/>
          <w:jc w:val="center"/>
        </w:trPr>
        <w:tc>
          <w:tcPr>
            <w:tcW w:w="313"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b/>
                <w:bCs/>
                <w:color w:val="000000" w:themeColor="text1"/>
                <w:sz w:val="24"/>
                <w:highlight w:val="none"/>
              </w:rPr>
            </w:pPr>
            <w:r>
              <w:rPr>
                <w:rFonts w:ascii="仿宋" w:hAnsi="仿宋" w:eastAsia="仿宋" w:cs="仿宋"/>
                <w:b/>
                <w:bCs/>
                <w:color w:val="000000" w:themeColor="text1"/>
                <w:sz w:val="24"/>
                <w:highlight w:val="none"/>
              </w:rPr>
              <w:t>3</w:t>
            </w:r>
          </w:p>
        </w:tc>
        <w:tc>
          <w:tcPr>
            <w:tcW w:w="87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c>
          <w:tcPr>
            <w:tcW w:w="1307"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color w:val="000000" w:themeColor="text1"/>
                <w:sz w:val="24"/>
                <w:highlight w:val="none"/>
              </w:rPr>
            </w:pPr>
          </w:p>
        </w:tc>
      </w:tr>
      <w:tr>
        <w:tblPrEx>
          <w:tblCellMar>
            <w:top w:w="0" w:type="dxa"/>
            <w:left w:w="30" w:type="dxa"/>
            <w:bottom w:w="0" w:type="dxa"/>
            <w:right w:w="30" w:type="dxa"/>
          </w:tblCellMar>
        </w:tblPrEx>
        <w:trPr>
          <w:trHeight w:val="579" w:hRule="exact"/>
          <w:jc w:val="center"/>
        </w:trPr>
        <w:tc>
          <w:tcPr>
            <w:tcW w:w="1190" w:type="pct"/>
            <w:gridSpan w:val="2"/>
            <w:vMerge w:val="restar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合同总额</w:t>
            </w:r>
          </w:p>
        </w:tc>
        <w:tc>
          <w:tcPr>
            <w:tcW w:w="3810" w:type="pct"/>
            <w:gridSpan w:val="5"/>
            <w:tcBorders>
              <w:top w:val="single" w:color="auto" w:sz="8" w:space="0"/>
              <w:left w:val="single" w:color="auto" w:sz="8" w:space="0"/>
              <w:bottom w:val="single" w:color="auto" w:sz="8" w:space="0"/>
              <w:right w:val="single" w:color="auto" w:sz="8" w:space="0"/>
            </w:tcBorders>
            <w:noWrap/>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（小写）：</w:t>
            </w:r>
          </w:p>
        </w:tc>
      </w:tr>
      <w:tr>
        <w:tblPrEx>
          <w:tblCellMar>
            <w:top w:w="0" w:type="dxa"/>
            <w:left w:w="30" w:type="dxa"/>
            <w:bottom w:w="0" w:type="dxa"/>
            <w:right w:w="30" w:type="dxa"/>
          </w:tblCellMar>
        </w:tblPrEx>
        <w:trPr>
          <w:trHeight w:val="579" w:hRule="atLeast"/>
          <w:jc w:val="center"/>
        </w:trPr>
        <w:tc>
          <w:tcPr>
            <w:tcW w:w="1190" w:type="pct"/>
            <w:gridSpan w:val="2"/>
            <w:vMerge w:val="continue"/>
            <w:tcBorders>
              <w:top w:val="single" w:color="auto" w:sz="8" w:space="0"/>
              <w:left w:val="single" w:color="auto" w:sz="8" w:space="0"/>
              <w:bottom w:val="single" w:color="auto" w:sz="8" w:space="0"/>
              <w:right w:val="single" w:color="auto" w:sz="8" w:space="0"/>
            </w:tcBorders>
            <w:noWrap/>
            <w:vAlign w:val="center"/>
          </w:tcPr>
          <w:p>
            <w:pPr>
              <w:spacing w:line="360" w:lineRule="auto"/>
              <w:rPr>
                <w:rFonts w:ascii="仿宋" w:hAnsi="仿宋" w:eastAsia="仿宋" w:cs="仿宋"/>
                <w:color w:val="000000" w:themeColor="text1"/>
                <w:sz w:val="24"/>
                <w:highlight w:val="none"/>
              </w:rPr>
            </w:pPr>
          </w:p>
        </w:tc>
        <w:tc>
          <w:tcPr>
            <w:tcW w:w="3810" w:type="pct"/>
            <w:gridSpan w:val="5"/>
            <w:tcBorders>
              <w:top w:val="single" w:color="auto" w:sz="8" w:space="0"/>
              <w:left w:val="single" w:color="auto" w:sz="8" w:space="0"/>
              <w:bottom w:val="single" w:color="auto" w:sz="8" w:space="0"/>
              <w:right w:val="single" w:color="auto" w:sz="8" w:space="0"/>
            </w:tcBorders>
            <w:noWrap/>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（大写）：</w:t>
            </w:r>
          </w:p>
        </w:tc>
      </w:tr>
    </w:tbl>
    <w:p>
      <w:pPr>
        <w:numPr>
          <w:ilvl w:val="0"/>
          <w:numId w:val="7"/>
        </w:numPr>
        <w:snapToGrid w:val="0"/>
        <w:spacing w:line="360" w:lineRule="auto"/>
        <w:rPr>
          <w:bCs/>
          <w:color w:val="000000" w:themeColor="text1"/>
          <w:highlight w:val="none"/>
        </w:rPr>
      </w:pPr>
      <w:r>
        <w:rPr>
          <w:rFonts w:hint="eastAsia" w:ascii="仿宋" w:hAnsi="仿宋" w:eastAsia="仿宋" w:cs="仿宋"/>
          <w:bCs/>
          <w:color w:val="000000" w:themeColor="text1"/>
          <w:sz w:val="24"/>
          <w:highlight w:val="none"/>
        </w:rPr>
        <w:t>付款：甲乙双方进行协商确定</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三、验收、保修和技术服务</w:t>
      </w:r>
    </w:p>
    <w:p>
      <w:pPr>
        <w:tabs>
          <w:tab w:val="left" w:pos="6730"/>
        </w:tabs>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甲乙双方进行协商确定</w:t>
      </w:r>
    </w:p>
    <w:p>
      <w:pPr>
        <w:tabs>
          <w:tab w:val="left" w:pos="6730"/>
        </w:tabs>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五、违约责任及侵权处理</w:t>
      </w:r>
      <w:r>
        <w:rPr>
          <w:rFonts w:ascii="仿宋" w:hAnsi="仿宋" w:eastAsia="仿宋" w:cs="仿宋"/>
          <w:color w:val="000000" w:themeColor="text1"/>
          <w:kern w:val="0"/>
          <w:sz w:val="24"/>
          <w:highlight w:val="none"/>
        </w:rPr>
        <w:tab/>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、双方应当按照合同及附件规定的期限履行义务。对于因乙方原因使得交货、验收等任一阶段工作延误的，每延迟一天，乙方应按相当于合同总价</w:t>
      </w:r>
      <w:r>
        <w:rPr>
          <w:rFonts w:ascii="仿宋" w:hAnsi="仿宋" w:eastAsia="仿宋" w:cs="仿宋"/>
          <w:color w:val="000000" w:themeColor="text1"/>
          <w:kern w:val="0"/>
          <w:sz w:val="24"/>
          <w:highlight w:val="none"/>
        </w:rPr>
        <w:t>0.5%</w:t>
      </w:r>
      <w:r>
        <w:rPr>
          <w:rFonts w:hint="eastAsia" w:ascii="仿宋" w:hAnsi="仿宋" w:eastAsia="仿宋" w:cs="仿宋"/>
          <w:color w:val="000000" w:themeColor="text1"/>
          <w:kern w:val="0"/>
          <w:sz w:val="24"/>
          <w:highlight w:val="none"/>
        </w:rPr>
        <w:t>的标准向甲方支付违约金，以此类推。因任一阶段工作延迟而使甲方额外增加的各项费用由乙方承担。如乙方任一阶段工作延迟使甲方遭受损失的，乙方还应承担甲方由此造成的损失。如乙方任一阶段工作延迟累计超过</w:t>
      </w:r>
      <w:r>
        <w:rPr>
          <w:rFonts w:ascii="仿宋" w:hAnsi="仿宋" w:eastAsia="仿宋" w:cs="仿宋"/>
          <w:color w:val="000000" w:themeColor="text1"/>
          <w:kern w:val="0"/>
          <w:sz w:val="24"/>
          <w:highlight w:val="none"/>
        </w:rPr>
        <w:t>30</w:t>
      </w:r>
      <w:r>
        <w:rPr>
          <w:rFonts w:hint="eastAsia" w:ascii="仿宋" w:hAnsi="仿宋" w:eastAsia="仿宋" w:cs="仿宋"/>
          <w:color w:val="000000" w:themeColor="text1"/>
          <w:kern w:val="0"/>
          <w:sz w:val="24"/>
          <w:highlight w:val="none"/>
        </w:rPr>
        <w:t>天时，甲方有权视情况解除本合同。该解除合同并不免除乙方根据甲方要求应当承担的上述违约责任。</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、对于乙方根据本合同约定应当承担的各项违约金及损失赔偿，甲方均有权依据本合同规定从应支付乙方的款项中扣除。</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rPr>
        <w:t>、验收不合格，</w:t>
      </w:r>
      <w:r>
        <w:rPr>
          <w:rFonts w:ascii="仿宋" w:hAnsi="仿宋" w:eastAsia="仿宋" w:cs="仿宋"/>
          <w:color w:val="000000" w:themeColor="text1"/>
          <w:kern w:val="0"/>
          <w:sz w:val="24"/>
          <w:highlight w:val="none"/>
        </w:rPr>
        <w:t>30</w:t>
      </w:r>
      <w:r>
        <w:rPr>
          <w:rFonts w:hint="eastAsia" w:ascii="仿宋" w:hAnsi="仿宋" w:eastAsia="仿宋" w:cs="仿宋"/>
          <w:color w:val="000000" w:themeColor="text1"/>
          <w:kern w:val="0"/>
          <w:sz w:val="24"/>
          <w:highlight w:val="none"/>
        </w:rPr>
        <w:t>天之内完成整改，如</w:t>
      </w:r>
      <w:r>
        <w:rPr>
          <w:rFonts w:ascii="仿宋" w:hAnsi="仿宋" w:eastAsia="仿宋" w:cs="仿宋"/>
          <w:color w:val="000000" w:themeColor="text1"/>
          <w:kern w:val="0"/>
          <w:sz w:val="24"/>
          <w:highlight w:val="none"/>
        </w:rPr>
        <w:t>30</w:t>
      </w:r>
      <w:r>
        <w:rPr>
          <w:rFonts w:hint="eastAsia" w:ascii="仿宋" w:hAnsi="仿宋" w:eastAsia="仿宋" w:cs="仿宋"/>
          <w:color w:val="000000" w:themeColor="text1"/>
          <w:kern w:val="0"/>
          <w:sz w:val="24"/>
          <w:highlight w:val="none"/>
        </w:rPr>
        <w:t>天内不完成，每超出</w:t>
      </w: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天乙方须向甲方支付合同总价</w:t>
      </w:r>
      <w:r>
        <w:rPr>
          <w:rFonts w:ascii="仿宋" w:hAnsi="仿宋" w:eastAsia="仿宋" w:cs="仿宋"/>
          <w:color w:val="000000" w:themeColor="text1"/>
          <w:kern w:val="0"/>
          <w:sz w:val="24"/>
          <w:highlight w:val="none"/>
        </w:rPr>
        <w:t>0.1%</w:t>
      </w:r>
      <w:r>
        <w:rPr>
          <w:rFonts w:hint="eastAsia" w:ascii="仿宋" w:hAnsi="仿宋" w:eastAsia="仿宋" w:cs="仿宋"/>
          <w:color w:val="000000" w:themeColor="text1"/>
          <w:kern w:val="0"/>
          <w:sz w:val="24"/>
          <w:highlight w:val="none"/>
        </w:rPr>
        <w:t>违约金。</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六、不可抗力</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、本合同所称不可抗力，是指其他本合同各方不能预见，而且对其发生和后果不能防止或不能避免且不可克服的客观情况，包括但不限于：战争、严重火灾、洪水、台风、地震、国家政策的重大改制等。</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、本合同任何一方因不可抗力不能履行或不能完全履行本合同的义务时，应在不可抗力发生之日起</w:t>
      </w:r>
      <w:r>
        <w:rPr>
          <w:rFonts w:ascii="仿宋" w:hAnsi="仿宋" w:eastAsia="仿宋" w:cs="仿宋"/>
          <w:color w:val="000000" w:themeColor="text1"/>
          <w:kern w:val="0"/>
          <w:sz w:val="24"/>
          <w:highlight w:val="none"/>
        </w:rPr>
        <w:t>15</w:t>
      </w:r>
      <w:r>
        <w:rPr>
          <w:rFonts w:hint="eastAsia" w:ascii="仿宋" w:hAnsi="仿宋" w:eastAsia="仿宋" w:cs="仿宋"/>
          <w:color w:val="000000" w:themeColor="text1"/>
          <w:kern w:val="0"/>
          <w:sz w:val="24"/>
          <w:highlight w:val="none"/>
        </w:rPr>
        <w:t>天内通知本合同的其他方，并在不可抗力发生之日起</w:t>
      </w:r>
      <w:r>
        <w:rPr>
          <w:rFonts w:ascii="仿宋" w:hAnsi="仿宋" w:eastAsia="仿宋" w:cs="仿宋"/>
          <w:color w:val="000000" w:themeColor="text1"/>
          <w:kern w:val="0"/>
          <w:sz w:val="24"/>
          <w:highlight w:val="none"/>
        </w:rPr>
        <w:t>60</w:t>
      </w:r>
      <w:r>
        <w:rPr>
          <w:rFonts w:hint="eastAsia" w:ascii="仿宋" w:hAnsi="仿宋" w:eastAsia="仿宋" w:cs="仿宋"/>
          <w:color w:val="000000" w:themeColor="text1"/>
          <w:kern w:val="0"/>
          <w:sz w:val="24"/>
          <w:highlight w:val="none"/>
        </w:rPr>
        <w:t>天内向其他方提供由有关部门出具的不可抗力证明。</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rPr>
        <w:t>、因不可抗力不能履行合同的，根据不可抗力的影响，受影响方部分或全部免除责任，但法律另有规定的除外，延迟履行合同后发生不可抗力的，不能免除责任。</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w:t>
      </w:r>
      <w:r>
        <w:rPr>
          <w:rFonts w:hint="eastAsia" w:ascii="仿宋" w:hAnsi="仿宋" w:eastAsia="仿宋" w:cs="仿宋"/>
          <w:color w:val="000000" w:themeColor="text1"/>
          <w:kern w:val="0"/>
          <w:sz w:val="24"/>
          <w:highlight w:val="none"/>
        </w:rPr>
        <w:t>、如果因不可抗力的影响致使本合同终止履行</w:t>
      </w:r>
      <w:r>
        <w:rPr>
          <w:rFonts w:ascii="仿宋" w:hAnsi="仿宋" w:eastAsia="仿宋" w:cs="仿宋"/>
          <w:color w:val="000000" w:themeColor="text1"/>
          <w:kern w:val="0"/>
          <w:sz w:val="24"/>
          <w:highlight w:val="none"/>
        </w:rPr>
        <w:t>90</w:t>
      </w:r>
      <w:r>
        <w:rPr>
          <w:rFonts w:hint="eastAsia" w:ascii="仿宋" w:hAnsi="仿宋" w:eastAsia="仿宋" w:cs="仿宋"/>
          <w:color w:val="000000" w:themeColor="text1"/>
          <w:kern w:val="0"/>
          <w:sz w:val="24"/>
          <w:highlight w:val="none"/>
        </w:rPr>
        <w:t>天或以上的，任一方均有权终止本合同，并书面通知对方。</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七、合同纠纷处理</w:t>
      </w:r>
    </w:p>
    <w:p>
      <w:pPr>
        <w:tabs>
          <w:tab w:val="left" w:pos="1980"/>
        </w:tabs>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本合同执行过程中如发生纠纷，双方协商，协商不成的，双方应甲方所在人民法院起诉。</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八、合同生效</w:t>
      </w:r>
    </w:p>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本合同由甲乙双方签字盖章后生效。</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九、合同鉴证</w:t>
      </w:r>
    </w:p>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招标代理机构应当在本合同上签章，以证明本合同条款与招标文件、响应文件的相关要求相符并且未对采购内容和技术参数进行实质性修改。</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十、组成本合同的文件包括：</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、合同通用条款和专用条款；</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、竞争性磋商文件、乙方的响应文件和评标时的澄清函（如有）；</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rPr>
        <w:t>、成交通知书；</w:t>
      </w:r>
    </w:p>
    <w:p>
      <w:pPr>
        <w:snapToGrid w:val="0"/>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w:t>
      </w:r>
      <w:r>
        <w:rPr>
          <w:rFonts w:hint="eastAsia" w:ascii="仿宋" w:hAnsi="仿宋" w:eastAsia="仿宋" w:cs="仿宋"/>
          <w:color w:val="000000" w:themeColor="text1"/>
          <w:kern w:val="0"/>
          <w:sz w:val="24"/>
          <w:highlight w:val="none"/>
        </w:rPr>
        <w:t>、甲乙双方商定的其他必要文件。</w:t>
      </w:r>
    </w:p>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上述合同文件内容互为补充，如有不明确，由甲方负责解释。</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十一、合同备案</w:t>
      </w:r>
    </w:p>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本合同一式陆份，中文书写。甲方叁份、乙方贰分，壹份由招标代理机构备案。</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十二、合同转让和分包</w:t>
      </w:r>
    </w:p>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乙方不得全部或部分转让合同。除非甲方事先书面同意外，不得分包其应履行的合同义务。</w:t>
      </w:r>
    </w:p>
    <w:p>
      <w:pPr>
        <w:snapToGrid w:val="0"/>
        <w:spacing w:line="360" w:lineRule="auto"/>
        <w:ind w:firstLine="482" w:firstLineChars="200"/>
        <w:rPr>
          <w:rFonts w:ascii="仿宋" w:hAnsi="仿宋" w:eastAsia="仿宋" w:cs="仿宋"/>
          <w:b/>
          <w:color w:val="000000" w:themeColor="text1"/>
          <w:sz w:val="24"/>
          <w:highlight w:val="none"/>
          <w:u w:val="single"/>
        </w:rPr>
      </w:pPr>
      <w:r>
        <w:rPr>
          <w:rFonts w:hint="eastAsia" w:ascii="仿宋" w:hAnsi="仿宋" w:eastAsia="仿宋" w:cs="仿宋"/>
          <w:b/>
          <w:color w:val="000000" w:themeColor="text1"/>
          <w:sz w:val="24"/>
          <w:highlight w:val="none"/>
        </w:rPr>
        <w:t>甲方：</w:t>
      </w:r>
      <w:r>
        <w:rPr>
          <w:rFonts w:hint="eastAsia" w:ascii="仿宋" w:hAnsi="仿宋" w:eastAsia="仿宋" w:cs="仿宋"/>
          <w:bCs/>
          <w:color w:val="000000" w:themeColor="text1"/>
          <w:sz w:val="24"/>
          <w:highlight w:val="none"/>
          <w:u w:val="single"/>
        </w:rPr>
        <w:t>（盖章）</w:t>
      </w:r>
    </w:p>
    <w:p>
      <w:pPr>
        <w:snapToGrid w:val="0"/>
        <w:spacing w:line="360" w:lineRule="auto"/>
        <w:ind w:firstLine="480" w:firstLineChars="200"/>
        <w:rPr>
          <w:rFonts w:ascii="仿宋" w:hAnsi="仿宋" w:eastAsia="仿宋" w:cs="仿宋"/>
          <w:b/>
          <w:color w:val="000000" w:themeColor="text1"/>
          <w:sz w:val="24"/>
          <w:highlight w:val="none"/>
          <w:u w:val="single"/>
        </w:rPr>
      </w:pPr>
      <w:r>
        <w:rPr>
          <w:rFonts w:hint="eastAsia" w:ascii="仿宋" w:hAnsi="仿宋" w:eastAsia="仿宋" w:cs="仿宋"/>
          <w:bCs/>
          <w:color w:val="000000" w:themeColor="text1"/>
          <w:sz w:val="24"/>
          <w:highlight w:val="none"/>
        </w:rPr>
        <w:t>地址：</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w:t>
      </w:r>
      <w:r>
        <w:rPr>
          <w:rFonts w:hint="eastAsia" w:ascii="仿宋" w:hAnsi="仿宋" w:eastAsia="仿宋" w:cs="仿宋"/>
          <w:color w:val="000000" w:themeColor="text1"/>
          <w:sz w:val="24"/>
          <w:highlight w:val="none"/>
          <w:u w:val="single"/>
        </w:rPr>
        <w:t>（签章）</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签订日期：年月日</w:t>
      </w:r>
    </w:p>
    <w:p>
      <w:pPr>
        <w:snapToGrid w:val="0"/>
        <w:spacing w:line="360" w:lineRule="auto"/>
        <w:ind w:firstLine="482" w:firstLineChars="200"/>
        <w:rPr>
          <w:rFonts w:ascii="仿宋" w:hAnsi="仿宋" w:eastAsia="仿宋" w:cs="仿宋"/>
          <w:bCs/>
          <w:color w:val="000000" w:themeColor="text1"/>
          <w:sz w:val="24"/>
          <w:highlight w:val="none"/>
          <w:u w:val="single"/>
        </w:rPr>
      </w:pPr>
      <w:r>
        <w:rPr>
          <w:rFonts w:hint="eastAsia" w:ascii="仿宋" w:hAnsi="仿宋" w:eastAsia="仿宋" w:cs="仿宋"/>
          <w:b/>
          <w:color w:val="000000" w:themeColor="text1"/>
          <w:sz w:val="24"/>
          <w:highlight w:val="none"/>
        </w:rPr>
        <w:t>乙方：</w:t>
      </w:r>
      <w:r>
        <w:rPr>
          <w:rFonts w:hint="eastAsia" w:ascii="仿宋" w:hAnsi="仿宋" w:eastAsia="仿宋" w:cs="仿宋"/>
          <w:bCs/>
          <w:color w:val="000000" w:themeColor="text1"/>
          <w:sz w:val="24"/>
          <w:highlight w:val="none"/>
          <w:u w:val="single"/>
        </w:rPr>
        <w:t>（盖章）</w:t>
      </w:r>
    </w:p>
    <w:p>
      <w:pPr>
        <w:snapToGrid w:val="0"/>
        <w:spacing w:line="360" w:lineRule="auto"/>
        <w:ind w:firstLine="480" w:firstLineChars="200"/>
        <w:rPr>
          <w:rFonts w:ascii="仿宋" w:hAnsi="仿宋" w:eastAsia="仿宋" w:cs="仿宋"/>
          <w:b/>
          <w:color w:val="000000" w:themeColor="text1"/>
          <w:sz w:val="24"/>
          <w:highlight w:val="none"/>
          <w:u w:val="single"/>
        </w:rPr>
      </w:pPr>
      <w:r>
        <w:rPr>
          <w:rFonts w:hint="eastAsia" w:ascii="仿宋" w:hAnsi="仿宋" w:eastAsia="仿宋" w:cs="仿宋"/>
          <w:bCs/>
          <w:color w:val="000000" w:themeColor="text1"/>
          <w:sz w:val="24"/>
          <w:highlight w:val="none"/>
        </w:rPr>
        <w:t>地址：</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w:t>
      </w:r>
      <w:r>
        <w:rPr>
          <w:rFonts w:hint="eastAsia" w:ascii="仿宋" w:hAnsi="仿宋" w:eastAsia="仿宋" w:cs="仿宋"/>
          <w:color w:val="000000" w:themeColor="text1"/>
          <w:sz w:val="24"/>
          <w:highlight w:val="none"/>
          <w:u w:val="single"/>
        </w:rPr>
        <w:t>（签章）</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银行户名：</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开户银行：</w:t>
      </w:r>
    </w:p>
    <w:p>
      <w:pPr>
        <w:snapToGrid w:val="0"/>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银行账号：</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签订日期：年月日</w:t>
      </w:r>
    </w:p>
    <w:p>
      <w:pPr>
        <w:snapToGrid w:val="0"/>
        <w:spacing w:line="360" w:lineRule="auto"/>
        <w:ind w:firstLine="482" w:firstLineChars="200"/>
        <w:rPr>
          <w:rFonts w:ascii="仿宋" w:hAnsi="仿宋" w:eastAsia="仿宋" w:cs="仿宋"/>
          <w:bCs/>
          <w:color w:val="000000" w:themeColor="text1"/>
          <w:sz w:val="24"/>
          <w:highlight w:val="none"/>
          <w:u w:val="single"/>
        </w:rPr>
      </w:pPr>
      <w:r>
        <w:rPr>
          <w:rFonts w:hint="eastAsia" w:ascii="仿宋" w:hAnsi="仿宋" w:eastAsia="仿宋" w:cs="仿宋"/>
          <w:b/>
          <w:color w:val="000000" w:themeColor="text1"/>
          <w:sz w:val="24"/>
          <w:highlight w:val="none"/>
        </w:rPr>
        <w:t>招标代理机构：</w:t>
      </w:r>
      <w:r>
        <w:rPr>
          <w:rFonts w:hint="eastAsia" w:ascii="仿宋" w:hAnsi="仿宋" w:eastAsia="仿宋" w:cs="仿宋"/>
          <w:bCs/>
          <w:color w:val="000000" w:themeColor="text1"/>
          <w:sz w:val="24"/>
          <w:highlight w:val="none"/>
          <w:u w:val="single"/>
        </w:rPr>
        <w:t>（盖章）</w:t>
      </w:r>
    </w:p>
    <w:p>
      <w:pPr>
        <w:snapToGrid w:val="0"/>
        <w:spacing w:line="360" w:lineRule="auto"/>
        <w:ind w:firstLine="480" w:firstLineChars="200"/>
        <w:rPr>
          <w:rFonts w:ascii="仿宋" w:hAnsi="仿宋" w:eastAsia="仿宋" w:cs="仿宋"/>
          <w:b/>
          <w:color w:val="000000" w:themeColor="text1"/>
          <w:sz w:val="24"/>
          <w:highlight w:val="none"/>
          <w:u w:val="single"/>
        </w:rPr>
      </w:pPr>
      <w:r>
        <w:rPr>
          <w:rFonts w:hint="eastAsia" w:ascii="仿宋" w:hAnsi="仿宋" w:eastAsia="仿宋" w:cs="仿宋"/>
          <w:bCs/>
          <w:color w:val="000000" w:themeColor="text1"/>
          <w:sz w:val="24"/>
          <w:highlight w:val="none"/>
        </w:rPr>
        <w:t>地址：</w:t>
      </w:r>
      <w:r>
        <w:rPr>
          <w:rFonts w:hint="eastAsia" w:ascii="仿宋" w:hAnsi="仿宋" w:eastAsia="仿宋" w:cs="仿宋"/>
          <w:bCs/>
          <w:color w:val="000000" w:themeColor="text1"/>
          <w:sz w:val="24"/>
          <w:highlight w:val="none"/>
          <w:lang w:eastAsia="zh-CN"/>
        </w:rPr>
        <w:t>海南省海口市美兰区美苑路下贤一村78号二楼201室</w:t>
      </w:r>
      <w:r>
        <w:rPr>
          <w:rFonts w:ascii="仿宋" w:hAnsi="仿宋" w:eastAsia="仿宋" w:cs="仿宋"/>
          <w:bCs/>
          <w:color w:val="000000" w:themeColor="text1"/>
          <w:sz w:val="24"/>
          <w:highlight w:val="none"/>
        </w:rPr>
        <w:t xml:space="preserve"> </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w:t>
      </w:r>
      <w:r>
        <w:rPr>
          <w:rFonts w:hint="eastAsia" w:ascii="仿宋" w:hAnsi="仿宋" w:eastAsia="仿宋" w:cs="仿宋"/>
          <w:color w:val="000000" w:themeColor="text1"/>
          <w:sz w:val="24"/>
          <w:highlight w:val="none"/>
          <w:u w:val="single"/>
        </w:rPr>
        <w:t>（签章）</w:t>
      </w:r>
    </w:p>
    <w:p>
      <w:pPr>
        <w:snapToGrid w:val="0"/>
        <w:spacing w:line="360" w:lineRule="auto"/>
        <w:ind w:firstLine="480" w:firstLineChars="200"/>
        <w:rPr>
          <w:rFonts w:ascii="仿宋" w:hAnsi="仿宋" w:eastAsia="仿宋" w:cs="仿宋"/>
          <w:color w:val="000000" w:themeColor="text1"/>
          <w:sz w:val="24"/>
          <w:highlight w:val="none"/>
        </w:rPr>
      </w:pPr>
      <w:bookmarkStart w:id="163" w:name="_Toc517271861"/>
      <w:bookmarkStart w:id="164" w:name="_Toc7224"/>
      <w:bookmarkStart w:id="165" w:name="_Toc517271550"/>
      <w:bookmarkStart w:id="166" w:name="_Toc31723"/>
      <w:r>
        <w:rPr>
          <w:rFonts w:hint="eastAsia" w:ascii="仿宋" w:hAnsi="仿宋" w:eastAsia="仿宋" w:cs="仿宋"/>
          <w:color w:val="000000" w:themeColor="text1"/>
          <w:sz w:val="24"/>
          <w:highlight w:val="none"/>
        </w:rPr>
        <w:t>签订日期：年月日</w:t>
      </w:r>
      <w:bookmarkEnd w:id="163"/>
      <w:bookmarkEnd w:id="164"/>
      <w:bookmarkEnd w:id="165"/>
      <w:bookmarkEnd w:id="166"/>
    </w:p>
    <w:p>
      <w:pPr>
        <w:widowControl/>
        <w:jc w:val="left"/>
        <w:rPr>
          <w:rFonts w:ascii="仿宋" w:hAnsi="仿宋" w:eastAsia="仿宋" w:cs="仿宋"/>
          <w:color w:val="000000" w:themeColor="text1"/>
          <w:szCs w:val="22"/>
          <w:highlight w:val="none"/>
        </w:rPr>
      </w:pPr>
      <w:bookmarkStart w:id="167" w:name="_Toc13223"/>
      <w:r>
        <w:rPr>
          <w:rFonts w:ascii="仿宋" w:hAnsi="仿宋" w:eastAsia="仿宋" w:cs="仿宋"/>
          <w:color w:val="000000" w:themeColor="text1"/>
          <w:szCs w:val="22"/>
          <w:highlight w:val="none"/>
        </w:rPr>
        <w:br w:type="page"/>
      </w:r>
    </w:p>
    <w:p>
      <w:pPr>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第五章响应文件内容和格式</w:t>
      </w:r>
      <w:bookmarkEnd w:id="167"/>
    </w:p>
    <w:p>
      <w:pPr>
        <w:numPr>
          <w:ilvl w:val="0"/>
          <w:numId w:val="8"/>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报价一览表</w:t>
      </w:r>
    </w:p>
    <w:p>
      <w:pPr>
        <w:numPr>
          <w:ilvl w:val="0"/>
          <w:numId w:val="8"/>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磋商保证金转账凭证</w:t>
      </w:r>
    </w:p>
    <w:p>
      <w:pPr>
        <w:numPr>
          <w:ilvl w:val="0"/>
          <w:numId w:val="8"/>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投标响应函</w:t>
      </w:r>
    </w:p>
    <w:p>
      <w:pPr>
        <w:numPr>
          <w:ilvl w:val="0"/>
          <w:numId w:val="8"/>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法定代表人证明书</w:t>
      </w:r>
    </w:p>
    <w:p>
      <w:pPr>
        <w:numPr>
          <w:ilvl w:val="0"/>
          <w:numId w:val="8"/>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授权委托书</w:t>
      </w:r>
    </w:p>
    <w:p>
      <w:pPr>
        <w:numPr>
          <w:ilvl w:val="0"/>
          <w:numId w:val="8"/>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技术需求响应表</w:t>
      </w:r>
    </w:p>
    <w:p>
      <w:pPr>
        <w:snapToGrid w:val="0"/>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7. </w:t>
      </w:r>
      <w:r>
        <w:rPr>
          <w:rFonts w:hint="eastAsia" w:ascii="仿宋" w:hAnsi="仿宋" w:eastAsia="仿宋" w:cs="仿宋"/>
          <w:color w:val="000000" w:themeColor="text1"/>
          <w:sz w:val="24"/>
          <w:highlight w:val="none"/>
        </w:rPr>
        <w:t>投标人项目业绩一览表</w:t>
      </w:r>
    </w:p>
    <w:p>
      <w:pPr>
        <w:snapToGrid w:val="0"/>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8. </w:t>
      </w:r>
      <w:r>
        <w:rPr>
          <w:rFonts w:hint="eastAsia" w:ascii="仿宋" w:hAnsi="仿宋" w:eastAsia="仿宋" w:cs="仿宋"/>
          <w:color w:val="000000" w:themeColor="text1"/>
          <w:sz w:val="24"/>
          <w:highlight w:val="none"/>
        </w:rPr>
        <w:t>政府采购活动信用记录自查承诺函</w:t>
      </w:r>
    </w:p>
    <w:p>
      <w:pPr>
        <w:snapToGrid w:val="0"/>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9. </w:t>
      </w:r>
      <w:r>
        <w:rPr>
          <w:rFonts w:hint="eastAsia" w:ascii="仿宋" w:hAnsi="仿宋" w:eastAsia="仿宋" w:cs="仿宋"/>
          <w:color w:val="000000" w:themeColor="text1"/>
          <w:sz w:val="24"/>
          <w:highlight w:val="none"/>
        </w:rPr>
        <w:t>投标人简介：包括简要历史、投标人技术能力简要介绍。（格式自拟）</w:t>
      </w:r>
    </w:p>
    <w:p>
      <w:pPr>
        <w:snapToGrid w:val="0"/>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w:t>
      </w:r>
      <w:r>
        <w:rPr>
          <w:rFonts w:hint="eastAsia" w:ascii="仿宋" w:hAnsi="仿宋" w:eastAsia="仿宋" w:cs="仿宋"/>
          <w:color w:val="000000" w:themeColor="text1"/>
          <w:sz w:val="24"/>
          <w:highlight w:val="none"/>
        </w:rPr>
        <w:t>投标人资格要求证明文件：详见第一章招标文件“申请人的资格要求”</w:t>
      </w:r>
    </w:p>
    <w:p>
      <w:pPr>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w:t>
      </w:r>
      <w:r>
        <w:rPr>
          <w:rFonts w:hint="eastAsia" w:ascii="仿宋" w:hAnsi="仿宋" w:eastAsia="仿宋" w:cs="仿宋"/>
          <w:color w:val="000000" w:themeColor="text1"/>
          <w:sz w:val="24"/>
          <w:highlight w:val="none"/>
        </w:rPr>
        <w:t>其他材料：投标人根据技术商务评分表要求认为需提供的其他说明材料，格式自定（如有）。</w:t>
      </w:r>
    </w:p>
    <w:p>
      <w:pPr>
        <w:snapToGrid w:val="0"/>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12.</w:t>
      </w:r>
      <w:r>
        <w:rPr>
          <w:rFonts w:hint="eastAsia" w:ascii="仿宋" w:hAnsi="仿宋" w:eastAsia="仿宋" w:cs="仿宋"/>
          <w:color w:val="000000" w:themeColor="text1"/>
          <w:sz w:val="24"/>
          <w:highlight w:val="none"/>
        </w:rPr>
        <w:t>中小企业（监狱企业）声明函（如有）</w:t>
      </w:r>
    </w:p>
    <w:p>
      <w:pPr>
        <w:snapToGrid w:val="0"/>
        <w:spacing w:line="360" w:lineRule="auto"/>
        <w:ind w:left="48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13.</w:t>
      </w:r>
      <w:r>
        <w:rPr>
          <w:rFonts w:hint="eastAsia" w:ascii="仿宋" w:hAnsi="仿宋" w:eastAsia="仿宋" w:cs="仿宋"/>
          <w:color w:val="000000" w:themeColor="text1"/>
          <w:sz w:val="24"/>
          <w:highlight w:val="none"/>
        </w:rPr>
        <w:t>残疾人福利性单位声明函（如有）</w:t>
      </w:r>
    </w:p>
    <w:p>
      <w:pPr>
        <w:pStyle w:val="27"/>
        <w:ind w:left="0" w:leftChars="0" w:firstLine="0" w:firstLineChars="0"/>
        <w:rPr>
          <w:rFonts w:eastAsia="仿宋"/>
          <w:color w:val="000000" w:themeColor="text1"/>
          <w:highlight w:val="none"/>
          <w:lang w:eastAsia="zh-CN"/>
        </w:rPr>
      </w:pPr>
    </w:p>
    <w:p>
      <w:pPr>
        <w:spacing w:line="360" w:lineRule="auto"/>
        <w:rPr>
          <w:rFonts w:ascii="仿宋" w:hAnsi="仿宋" w:eastAsia="仿宋" w:cs="仿宋"/>
          <w:color w:val="000000" w:themeColor="text1"/>
          <w:highlight w:val="none"/>
        </w:rPr>
      </w:pPr>
    </w:p>
    <w:p>
      <w:pPr>
        <w:spacing w:line="360" w:lineRule="auto"/>
        <w:rPr>
          <w:rFonts w:ascii="仿宋" w:hAnsi="仿宋" w:eastAsia="仿宋" w:cs="仿宋"/>
          <w:color w:val="000000" w:themeColor="text1"/>
          <w:highlight w:val="none"/>
        </w:rPr>
      </w:pPr>
    </w:p>
    <w:p>
      <w:pPr>
        <w:spacing w:line="360"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注：以上复印件均需要加盖公章。</w:t>
      </w:r>
    </w:p>
    <w:p>
      <w:pPr>
        <w:pStyle w:val="9"/>
        <w:spacing w:line="360" w:lineRule="auto"/>
        <w:ind w:right="482"/>
        <w:jc w:val="center"/>
        <w:rPr>
          <w:rFonts w:ascii="仿宋" w:hAnsi="仿宋" w:eastAsia="仿宋" w:cs="仿宋"/>
          <w:b/>
          <w:color w:val="000000" w:themeColor="text1"/>
          <w:sz w:val="32"/>
          <w:highlight w:val="none"/>
          <w:lang w:eastAsia="zh-CN"/>
        </w:rPr>
      </w:pPr>
    </w:p>
    <w:p>
      <w:pPr>
        <w:widowControl/>
        <w:jc w:val="left"/>
        <w:rPr>
          <w:rFonts w:ascii="仿宋" w:hAnsi="仿宋" w:eastAsia="仿宋" w:cs="仿宋"/>
          <w:color w:val="000000" w:themeColor="text1"/>
          <w:highlight w:val="none"/>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32"/>
          <w:highlight w:val="none"/>
          <w:lang w:eastAsia="zh-CN"/>
        </w:rPr>
      </w:pPr>
    </w:p>
    <w:p>
      <w:pPr>
        <w:pStyle w:val="9"/>
        <w:spacing w:line="360" w:lineRule="auto"/>
        <w:ind w:right="482"/>
        <w:jc w:val="center"/>
        <w:rPr>
          <w:rFonts w:ascii="仿宋" w:hAnsi="仿宋" w:eastAsia="仿宋" w:cs="仿宋"/>
          <w:b/>
          <w:color w:val="000000" w:themeColor="text1"/>
          <w:sz w:val="48"/>
          <w:szCs w:val="48"/>
          <w:highlight w:val="none"/>
          <w:lang w:eastAsia="zh-CN"/>
        </w:rPr>
      </w:pPr>
      <w:r>
        <w:rPr>
          <w:rFonts w:ascii="仿宋" w:hAnsi="仿宋" w:eastAsia="仿宋" w:cs="仿宋"/>
          <w:b/>
          <w:color w:val="000000" w:themeColor="text1"/>
          <w:sz w:val="32"/>
          <w:highlight w:val="none"/>
          <w:lang w:eastAsia="zh-CN"/>
        </w:rPr>
        <w:t>1</w:t>
      </w:r>
      <w:r>
        <w:rPr>
          <w:rFonts w:hint="eastAsia" w:ascii="仿宋" w:hAnsi="仿宋" w:eastAsia="仿宋" w:cs="仿宋"/>
          <w:b/>
          <w:color w:val="000000" w:themeColor="text1"/>
          <w:sz w:val="32"/>
          <w:highlight w:val="none"/>
          <w:lang w:eastAsia="zh-CN"/>
        </w:rPr>
        <w:t>、报价一览表</w:t>
      </w:r>
    </w:p>
    <w:p>
      <w:pPr>
        <w:pStyle w:val="9"/>
        <w:spacing w:line="360" w:lineRule="auto"/>
        <w:ind w:firstLine="240" w:firstLineChars="100"/>
        <w:rPr>
          <w:rFonts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项目名称：</w:t>
      </w:r>
    </w:p>
    <w:p>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招标编号：</w:t>
      </w:r>
    </w:p>
    <w:p>
      <w:pPr>
        <w:spacing w:line="360" w:lineRule="auto"/>
        <w:ind w:firstLine="240" w:firstLineChars="100"/>
        <w:jc w:val="righ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单位：元</w:t>
      </w:r>
      <w:r>
        <w:rPr>
          <w:rFonts w:ascii="仿宋" w:hAnsi="仿宋" w:eastAsia="仿宋" w:cs="仿宋"/>
          <w:color w:val="000000" w:themeColor="text1"/>
          <w:sz w:val="24"/>
          <w:highlight w:val="none"/>
        </w:rPr>
        <w:t>)</w:t>
      </w:r>
    </w:p>
    <w:tbl>
      <w:tblPr>
        <w:tblStyle w:val="28"/>
        <w:tblW w:w="5000" w:type="pct"/>
        <w:jc w:val="center"/>
        <w:tblLayout w:type="fixed"/>
        <w:tblCellMar>
          <w:top w:w="0" w:type="dxa"/>
          <w:left w:w="30" w:type="dxa"/>
          <w:bottom w:w="0" w:type="dxa"/>
          <w:right w:w="30" w:type="dxa"/>
        </w:tblCellMar>
      </w:tblPr>
      <w:tblGrid>
        <w:gridCol w:w="2241"/>
        <w:gridCol w:w="7003"/>
      </w:tblGrid>
      <w:tr>
        <w:tblPrEx>
          <w:tblCellMar>
            <w:top w:w="0" w:type="dxa"/>
            <w:left w:w="30" w:type="dxa"/>
            <w:bottom w:w="0" w:type="dxa"/>
            <w:right w:w="30" w:type="dxa"/>
          </w:tblCellMar>
        </w:tblPrEx>
        <w:trPr>
          <w:cantSplit/>
          <w:trHeight w:val="687" w:hRule="exact"/>
          <w:jc w:val="center"/>
        </w:trPr>
        <w:tc>
          <w:tcPr>
            <w:tcW w:w="1212" w:type="pct"/>
            <w:vMerge w:val="restart"/>
            <w:tcBorders>
              <w:top w:val="single" w:color="auto" w:sz="6" w:space="0"/>
              <w:left w:val="single" w:color="auto" w:sz="6" w:space="0"/>
              <w:right w:val="single" w:color="auto" w:sz="6" w:space="0"/>
            </w:tcBorders>
            <w:noWrap/>
            <w:vAlign w:val="center"/>
          </w:tcPr>
          <w:p>
            <w:pPr>
              <w:spacing w:line="360" w:lineRule="auto"/>
              <w:jc w:val="center"/>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本项目投标总报价</w:t>
            </w:r>
          </w:p>
          <w:p>
            <w:pPr>
              <w:spacing w:line="360" w:lineRule="auto"/>
              <w:jc w:val="center"/>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（大小写一致）</w:t>
            </w:r>
          </w:p>
        </w:tc>
        <w:tc>
          <w:tcPr>
            <w:tcW w:w="3787"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（小写）：</w:t>
            </w:r>
          </w:p>
        </w:tc>
      </w:tr>
      <w:tr>
        <w:tblPrEx>
          <w:tblCellMar>
            <w:top w:w="0" w:type="dxa"/>
            <w:left w:w="30" w:type="dxa"/>
            <w:bottom w:w="0" w:type="dxa"/>
            <w:right w:w="30" w:type="dxa"/>
          </w:tblCellMar>
        </w:tblPrEx>
        <w:trPr>
          <w:cantSplit/>
          <w:trHeight w:val="785" w:hRule="exact"/>
          <w:jc w:val="center"/>
        </w:trPr>
        <w:tc>
          <w:tcPr>
            <w:tcW w:w="1212" w:type="pct"/>
            <w:vMerge w:val="continue"/>
            <w:tcBorders>
              <w:left w:val="single" w:color="auto" w:sz="6" w:space="0"/>
              <w:bottom w:val="single" w:color="auto" w:sz="4" w:space="0"/>
              <w:right w:val="single" w:color="auto" w:sz="6" w:space="0"/>
            </w:tcBorders>
            <w:noWrap/>
            <w:vAlign w:val="center"/>
          </w:tcPr>
          <w:p>
            <w:pPr>
              <w:spacing w:line="360" w:lineRule="auto"/>
              <w:jc w:val="center"/>
              <w:rPr>
                <w:rFonts w:ascii="仿宋" w:hAnsi="仿宋" w:eastAsia="仿宋" w:cs="仿宋"/>
                <w:bCs/>
                <w:color w:val="000000" w:themeColor="text1"/>
                <w:sz w:val="24"/>
                <w:szCs w:val="22"/>
                <w:highlight w:val="none"/>
              </w:rPr>
            </w:pPr>
          </w:p>
        </w:tc>
        <w:tc>
          <w:tcPr>
            <w:tcW w:w="3787"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（大写）：</w:t>
            </w:r>
          </w:p>
        </w:tc>
      </w:tr>
      <w:tr>
        <w:tblPrEx>
          <w:tblCellMar>
            <w:top w:w="0" w:type="dxa"/>
            <w:left w:w="30" w:type="dxa"/>
            <w:bottom w:w="0" w:type="dxa"/>
            <w:right w:w="30" w:type="dxa"/>
          </w:tblCellMar>
        </w:tblPrEx>
        <w:trPr>
          <w:cantSplit/>
          <w:trHeight w:val="473" w:hRule="exact"/>
          <w:jc w:val="center"/>
        </w:trPr>
        <w:tc>
          <w:tcPr>
            <w:tcW w:w="1212" w:type="pct"/>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服务期</w:t>
            </w:r>
          </w:p>
        </w:tc>
        <w:tc>
          <w:tcPr>
            <w:tcW w:w="3787"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color w:val="000000" w:themeColor="text1"/>
                <w:sz w:val="24"/>
                <w:szCs w:val="22"/>
                <w:highlight w:val="none"/>
              </w:rPr>
            </w:pPr>
          </w:p>
        </w:tc>
      </w:tr>
      <w:tr>
        <w:tblPrEx>
          <w:tblCellMar>
            <w:top w:w="0" w:type="dxa"/>
            <w:left w:w="30" w:type="dxa"/>
            <w:bottom w:w="0" w:type="dxa"/>
            <w:right w:w="30" w:type="dxa"/>
          </w:tblCellMar>
        </w:tblPrEx>
        <w:trPr>
          <w:cantSplit/>
          <w:trHeight w:val="410" w:hRule="exact"/>
          <w:jc w:val="center"/>
        </w:trPr>
        <w:tc>
          <w:tcPr>
            <w:tcW w:w="1212" w:type="pct"/>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实施</w:t>
            </w:r>
            <w:r>
              <w:rPr>
                <w:rFonts w:hint="eastAsia" w:ascii="仿宋_GB2312" w:hAnsi="宋体" w:eastAsia="仿宋_GB2312"/>
                <w:color w:val="000000" w:themeColor="text1"/>
                <w:sz w:val="24"/>
                <w:highlight w:val="none"/>
              </w:rPr>
              <w:t>（交货）</w:t>
            </w:r>
            <w:r>
              <w:rPr>
                <w:rFonts w:hint="eastAsia" w:ascii="仿宋" w:hAnsi="仿宋" w:eastAsia="仿宋" w:cs="仿宋"/>
                <w:bCs/>
                <w:color w:val="000000" w:themeColor="text1"/>
                <w:sz w:val="24"/>
                <w:szCs w:val="22"/>
                <w:highlight w:val="none"/>
              </w:rPr>
              <w:t>地点</w:t>
            </w:r>
          </w:p>
        </w:tc>
        <w:tc>
          <w:tcPr>
            <w:tcW w:w="3787"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color w:val="000000" w:themeColor="text1"/>
                <w:sz w:val="24"/>
                <w:szCs w:val="22"/>
                <w:highlight w:val="none"/>
              </w:rPr>
            </w:pPr>
            <w:r>
              <w:rPr>
                <w:rFonts w:hint="eastAsia" w:ascii="仿宋" w:hAnsi="仿宋" w:eastAsia="仿宋" w:cs="仿宋"/>
                <w:bCs/>
                <w:color w:val="000000" w:themeColor="text1"/>
                <w:sz w:val="24"/>
                <w:szCs w:val="22"/>
                <w:highlight w:val="none"/>
              </w:rPr>
              <w:t>采购人指定</w:t>
            </w:r>
          </w:p>
        </w:tc>
      </w:tr>
      <w:tr>
        <w:tblPrEx>
          <w:tblCellMar>
            <w:top w:w="0" w:type="dxa"/>
            <w:left w:w="30" w:type="dxa"/>
            <w:bottom w:w="0" w:type="dxa"/>
            <w:right w:w="30" w:type="dxa"/>
          </w:tblCellMar>
        </w:tblPrEx>
        <w:trPr>
          <w:cantSplit/>
          <w:trHeight w:val="455" w:hRule="exact"/>
          <w:jc w:val="center"/>
        </w:trPr>
        <w:tc>
          <w:tcPr>
            <w:tcW w:w="5000" w:type="pct"/>
            <w:gridSpan w:val="2"/>
            <w:tcBorders>
              <w:top w:val="single" w:color="auto" w:sz="4" w:space="0"/>
              <w:left w:val="single" w:color="auto" w:sz="6" w:space="0"/>
              <w:bottom w:val="single" w:color="auto" w:sz="4" w:space="0"/>
              <w:right w:val="single" w:color="auto" w:sz="4" w:space="0"/>
            </w:tcBorders>
            <w:noWrap/>
            <w:vAlign w:val="center"/>
          </w:tcPr>
          <w:p>
            <w:pPr>
              <w:spacing w:line="360" w:lineRule="auto"/>
              <w:rPr>
                <w:rFonts w:ascii="仿宋" w:hAnsi="仿宋" w:eastAsia="仿宋" w:cs="仿宋"/>
                <w:b/>
                <w:color w:val="000000" w:themeColor="text1"/>
                <w:sz w:val="24"/>
                <w:szCs w:val="21"/>
                <w:highlight w:val="none"/>
              </w:rPr>
            </w:pPr>
            <w:r>
              <w:rPr>
                <w:rFonts w:hint="eastAsia" w:ascii="仿宋" w:hAnsi="仿宋" w:eastAsia="仿宋" w:cs="仿宋"/>
                <w:bCs/>
                <w:color w:val="000000" w:themeColor="text1"/>
                <w:sz w:val="24"/>
                <w:highlight w:val="none"/>
              </w:rPr>
              <w:t>是否小微型企业产品：是（）；否（）</w:t>
            </w:r>
          </w:p>
        </w:tc>
      </w:tr>
      <w:tr>
        <w:tblPrEx>
          <w:tblCellMar>
            <w:top w:w="0" w:type="dxa"/>
            <w:left w:w="30" w:type="dxa"/>
            <w:bottom w:w="0" w:type="dxa"/>
            <w:right w:w="30" w:type="dxa"/>
          </w:tblCellMar>
        </w:tblPrEx>
        <w:trPr>
          <w:cantSplit/>
          <w:trHeight w:val="398" w:hRule="exact"/>
          <w:jc w:val="center"/>
        </w:trPr>
        <w:tc>
          <w:tcPr>
            <w:tcW w:w="5000" w:type="pct"/>
            <w:gridSpan w:val="2"/>
            <w:tcBorders>
              <w:top w:val="single" w:color="auto" w:sz="4" w:space="0"/>
              <w:left w:val="single" w:color="auto" w:sz="6" w:space="0"/>
              <w:bottom w:val="single" w:color="auto" w:sz="4" w:space="0"/>
              <w:right w:val="single" w:color="auto" w:sz="4" w:space="0"/>
            </w:tcBorders>
            <w:noWrap/>
            <w:vAlign w:val="center"/>
          </w:tcPr>
          <w:p>
            <w:pPr>
              <w:spacing w:line="360" w:lineRule="auto"/>
              <w:rPr>
                <w:rFonts w:ascii="仿宋" w:hAnsi="仿宋" w:eastAsia="仿宋" w:cs="仿宋"/>
                <w:b/>
                <w:color w:val="000000" w:themeColor="text1"/>
                <w:sz w:val="24"/>
                <w:szCs w:val="21"/>
                <w:highlight w:val="none"/>
              </w:rPr>
            </w:pPr>
            <w:r>
              <w:rPr>
                <w:rFonts w:hint="eastAsia" w:ascii="仿宋" w:hAnsi="仿宋" w:eastAsia="仿宋" w:cs="仿宋"/>
                <w:bCs/>
                <w:color w:val="000000" w:themeColor="text1"/>
                <w:sz w:val="24"/>
                <w:highlight w:val="none"/>
              </w:rPr>
              <w:t>是否监狱企业参加采购活动：是（）；否（）</w:t>
            </w:r>
          </w:p>
        </w:tc>
      </w:tr>
      <w:tr>
        <w:tblPrEx>
          <w:tblCellMar>
            <w:top w:w="0" w:type="dxa"/>
            <w:left w:w="30" w:type="dxa"/>
            <w:bottom w:w="0" w:type="dxa"/>
            <w:right w:w="30" w:type="dxa"/>
          </w:tblCellMar>
        </w:tblPrEx>
        <w:trPr>
          <w:cantSplit/>
          <w:trHeight w:val="533" w:hRule="exact"/>
          <w:jc w:val="center"/>
        </w:trPr>
        <w:tc>
          <w:tcPr>
            <w:tcW w:w="5000" w:type="pct"/>
            <w:gridSpan w:val="2"/>
            <w:tcBorders>
              <w:top w:val="single" w:color="auto" w:sz="4" w:space="0"/>
              <w:left w:val="single" w:color="auto" w:sz="6" w:space="0"/>
              <w:bottom w:val="single" w:color="auto" w:sz="4" w:space="0"/>
              <w:right w:val="single" w:color="auto" w:sz="4" w:space="0"/>
            </w:tcBorders>
            <w:noWrap/>
            <w:vAlign w:val="center"/>
          </w:tcPr>
          <w:p>
            <w:pPr>
              <w:spacing w:line="360" w:lineRule="auto"/>
              <w:rPr>
                <w:rFonts w:ascii="仿宋" w:hAnsi="仿宋" w:eastAsia="仿宋" w:cs="仿宋"/>
                <w:b/>
                <w:color w:val="000000" w:themeColor="text1"/>
                <w:sz w:val="24"/>
                <w:szCs w:val="21"/>
                <w:highlight w:val="none"/>
              </w:rPr>
            </w:pPr>
            <w:r>
              <w:rPr>
                <w:rFonts w:hint="eastAsia" w:ascii="仿宋" w:hAnsi="仿宋" w:eastAsia="仿宋" w:cs="仿宋"/>
                <w:bCs/>
                <w:color w:val="000000" w:themeColor="text1"/>
                <w:sz w:val="24"/>
                <w:highlight w:val="none"/>
              </w:rPr>
              <w:t>是否残疾人福利性单位参加采购活动：是（）；否（）</w:t>
            </w:r>
          </w:p>
        </w:tc>
      </w:tr>
    </w:tbl>
    <w:p>
      <w:pPr>
        <w:spacing w:line="360" w:lineRule="auto"/>
        <w:ind w:firstLine="482" w:firstLineChars="200"/>
        <w:rPr>
          <w:rFonts w:ascii="仿宋" w:hAnsi="仿宋" w:eastAsia="仿宋" w:cs="仿宋"/>
          <w:b/>
          <w:bCs/>
          <w:color w:val="000000" w:themeColor="text1"/>
          <w:sz w:val="24"/>
          <w:highlight w:val="none"/>
        </w:rPr>
      </w:pPr>
      <w:bookmarkStart w:id="168" w:name="_Toc9716"/>
      <w:bookmarkStart w:id="169" w:name="_Toc1660550"/>
      <w:bookmarkStart w:id="170" w:name="_Toc11799"/>
      <w:bookmarkStart w:id="171" w:name="_Toc31590"/>
      <w:r>
        <w:rPr>
          <w:rFonts w:hint="eastAsia" w:ascii="仿宋" w:hAnsi="仿宋" w:eastAsia="仿宋" w:cs="仿宋"/>
          <w:b/>
          <w:bCs/>
          <w:color w:val="000000" w:themeColor="text1"/>
          <w:sz w:val="24"/>
          <w:highlight w:val="none"/>
        </w:rPr>
        <w:t>注：</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、报价须是最终用户验收合格后的总价，否则视为不合格投标人。</w:t>
      </w:r>
      <w:bookmarkEnd w:id="168"/>
      <w:bookmarkEnd w:id="169"/>
      <w:bookmarkEnd w:id="170"/>
      <w:bookmarkEnd w:id="171"/>
    </w:p>
    <w:p>
      <w:pPr>
        <w:spacing w:line="360" w:lineRule="auto"/>
        <w:ind w:firstLine="480" w:firstLineChars="200"/>
        <w:rPr>
          <w:rFonts w:ascii="仿宋" w:hAnsi="仿宋" w:eastAsia="仿宋" w:cs="仿宋"/>
          <w:color w:val="000000" w:themeColor="text1"/>
          <w:sz w:val="24"/>
          <w:highlight w:val="none"/>
        </w:rPr>
      </w:pPr>
      <w:bookmarkStart w:id="172" w:name="_Toc2205"/>
      <w:bookmarkStart w:id="173" w:name="_Toc1660551"/>
      <w:bookmarkStart w:id="174" w:name="_Toc22917"/>
      <w:bookmarkStart w:id="175" w:name="_Toc19273"/>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、投标人报价应包含：售后、税费、及相关服务等</w:t>
      </w:r>
      <w:bookmarkEnd w:id="172"/>
      <w:bookmarkEnd w:id="173"/>
      <w:bookmarkEnd w:id="174"/>
      <w:bookmarkEnd w:id="175"/>
      <w:r>
        <w:rPr>
          <w:rFonts w:hint="eastAsia" w:ascii="仿宋" w:hAnsi="仿宋" w:eastAsia="仿宋" w:cs="仿宋"/>
          <w:color w:val="000000" w:themeColor="text1"/>
          <w:sz w:val="24"/>
          <w:highlight w:val="none"/>
        </w:rPr>
        <w:t>内容。</w:t>
      </w:r>
    </w:p>
    <w:p>
      <w:pPr>
        <w:spacing w:line="360" w:lineRule="auto"/>
        <w:ind w:firstLine="480" w:firstLineChars="200"/>
        <w:rPr>
          <w:rFonts w:ascii="仿宋" w:hAnsi="仿宋" w:eastAsia="仿宋" w:cs="仿宋"/>
          <w:color w:val="000000" w:themeColor="text1"/>
          <w:sz w:val="24"/>
          <w:highlight w:val="none"/>
        </w:rPr>
      </w:pPr>
      <w:bookmarkStart w:id="176" w:name="_Toc16527"/>
      <w:bookmarkStart w:id="177" w:name="_Toc18874"/>
      <w:bookmarkStart w:id="178" w:name="_Toc1660552"/>
      <w:bookmarkStart w:id="179" w:name="_Toc19547"/>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“报价一览表”为多页的，每页均需由授权代表签字并盖投标人印章。</w:t>
      </w:r>
      <w:bookmarkEnd w:id="176"/>
      <w:bookmarkEnd w:id="177"/>
      <w:bookmarkEnd w:id="178"/>
      <w:bookmarkEnd w:id="179"/>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、是否小微型企业产品栏，在相应的括弧里打勾（√）</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空白则默认为非小微型产品投标。</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、是否监狱企业栏，在相应的括弧里打勾（√）</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空白则默认为非监狱企业参与投标。</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、是否残疾人福利性单位栏，在相应的括弧里打勾（√）</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空白则默认为非残疾人福利性单位参与投标。</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投标人如需根据投标总额提供投标报价明细表的，格式自拟。投标人根据项目情况和自身情况列明各分项明细价格，要求各分项明细价格之和等于开标一览表中的投标总额。各分项明细价格要求完整无漏项，完全包括完成与本项目有关的一切费用，否则视同免费提供。</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法定代表人签名或盖名章：</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授权代表签字：</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投标单位：（盖章）</w:t>
      </w:r>
    </w:p>
    <w:p>
      <w:pPr>
        <w:spacing w:line="360" w:lineRule="auto"/>
        <w:ind w:firstLine="480" w:firstLineChars="200"/>
        <w:rPr>
          <w:rFonts w:ascii="仿宋" w:hAnsi="仿宋" w:eastAsia="仿宋" w:cs="仿宋"/>
          <w:b/>
          <w:color w:val="000000" w:themeColor="text1"/>
          <w:sz w:val="28"/>
          <w:szCs w:val="28"/>
          <w:highlight w:val="none"/>
        </w:rPr>
      </w:pPr>
      <w:r>
        <w:rPr>
          <w:rFonts w:hint="eastAsia" w:ascii="仿宋" w:hAnsi="仿宋" w:eastAsia="仿宋" w:cs="仿宋"/>
          <w:color w:val="000000" w:themeColor="text1"/>
          <w:sz w:val="24"/>
          <w:highlight w:val="none"/>
        </w:rPr>
        <w:t>日期：年月日</w:t>
      </w:r>
    </w:p>
    <w:p>
      <w:pPr>
        <w:spacing w:line="360" w:lineRule="auto"/>
        <w:jc w:val="left"/>
        <w:rPr>
          <w:rFonts w:ascii="仿宋" w:hAnsi="仿宋" w:eastAsia="仿宋" w:cs="仿宋"/>
          <w:b/>
          <w:color w:val="000000" w:themeColor="text1"/>
          <w:sz w:val="28"/>
          <w:szCs w:val="28"/>
          <w:highlight w:val="none"/>
        </w:rPr>
      </w:pPr>
    </w:p>
    <w:p>
      <w:pPr>
        <w:spacing w:line="360" w:lineRule="auto"/>
        <w:ind w:firstLine="3204" w:firstLineChars="1140"/>
        <w:jc w:val="left"/>
        <w:rPr>
          <w:rFonts w:ascii="仿宋" w:hAnsi="仿宋" w:eastAsia="仿宋" w:cs="仿宋"/>
          <w:b/>
          <w:color w:val="000000" w:themeColor="text1"/>
          <w:sz w:val="28"/>
          <w:szCs w:val="28"/>
          <w:highlight w:val="none"/>
        </w:rPr>
      </w:pPr>
      <w:r>
        <w:rPr>
          <w:rFonts w:ascii="仿宋" w:hAnsi="仿宋" w:eastAsia="仿宋" w:cs="仿宋"/>
          <w:b/>
          <w:color w:val="000000" w:themeColor="text1"/>
          <w:sz w:val="28"/>
          <w:szCs w:val="28"/>
          <w:highlight w:val="none"/>
        </w:rPr>
        <w:t xml:space="preserve">2 </w:t>
      </w:r>
      <w:r>
        <w:rPr>
          <w:rFonts w:hint="eastAsia" w:ascii="仿宋" w:hAnsi="仿宋" w:eastAsia="仿宋" w:cs="仿宋"/>
          <w:b/>
          <w:color w:val="000000" w:themeColor="text1"/>
          <w:sz w:val="32"/>
          <w:szCs w:val="32"/>
          <w:highlight w:val="none"/>
        </w:rPr>
        <w:t>、</w:t>
      </w:r>
      <w:r>
        <w:rPr>
          <w:rFonts w:hint="eastAsia" w:ascii="仿宋" w:hAnsi="仿宋" w:eastAsia="仿宋" w:cs="仿宋"/>
          <w:b/>
          <w:color w:val="000000" w:themeColor="text1"/>
          <w:sz w:val="28"/>
          <w:szCs w:val="28"/>
          <w:highlight w:val="none"/>
        </w:rPr>
        <w:t>磋商保证金转账凭证</w:t>
      </w: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color w:val="000000" w:themeColor="text1"/>
          <w:highlight w:val="none"/>
        </w:rPr>
      </w:pPr>
      <w:r>
        <w:rPr>
          <w:rFonts w:ascii="仿宋" w:hAnsi="仿宋" w:eastAsia="仿宋" w:cs="仿宋"/>
          <w:b/>
          <w:color w:val="000000" w:themeColor="text1"/>
          <w:sz w:val="32"/>
          <w:szCs w:val="32"/>
          <w:highlight w:val="none"/>
        </w:rPr>
        <w:t>3</w:t>
      </w:r>
      <w:r>
        <w:rPr>
          <w:rFonts w:hint="eastAsia" w:ascii="仿宋" w:hAnsi="仿宋" w:eastAsia="仿宋" w:cs="仿宋"/>
          <w:b/>
          <w:color w:val="000000" w:themeColor="text1"/>
          <w:sz w:val="32"/>
          <w:szCs w:val="32"/>
          <w:highlight w:val="none"/>
        </w:rPr>
        <w:t>、投标响应函</w:t>
      </w:r>
    </w:p>
    <w:p>
      <w:pPr>
        <w:spacing w:line="360" w:lineRule="auto"/>
        <w:rPr>
          <w:rFonts w:ascii="仿宋" w:hAnsi="仿宋" w:eastAsia="仿宋" w:cs="仿宋"/>
          <w:b/>
          <w:bCs/>
          <w:color w:val="000000" w:themeColor="text1"/>
          <w:sz w:val="24"/>
          <w:highlight w:val="none"/>
          <w:lang w:val="en-GB"/>
        </w:rPr>
      </w:pPr>
      <w:r>
        <w:rPr>
          <w:rFonts w:hint="eastAsia" w:ascii="仿宋" w:hAnsi="仿宋" w:eastAsia="仿宋" w:cs="仿宋"/>
          <w:b/>
          <w:bCs/>
          <w:color w:val="000000" w:themeColor="text1"/>
          <w:sz w:val="24"/>
          <w:highlight w:val="none"/>
          <w:lang w:val="en-GB"/>
        </w:rPr>
        <w:t>致：中咨环球（北京）工程咨询有限公司</w:t>
      </w:r>
    </w:p>
    <w:p>
      <w:pPr>
        <w:spacing w:line="360" w:lineRule="auto"/>
        <w:ind w:firstLine="480" w:firstLineChars="200"/>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根据贵单位</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rPr>
        <w:t>项目</w:t>
      </w:r>
      <w:r>
        <w:rPr>
          <w:rFonts w:hint="eastAsia" w:ascii="仿宋" w:hAnsi="仿宋" w:eastAsia="仿宋" w:cs="仿宋"/>
          <w:color w:val="000000" w:themeColor="text1"/>
          <w:sz w:val="24"/>
          <w:highlight w:val="none"/>
          <w:u w:val="single"/>
        </w:rPr>
        <w:t>（项目编号</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lang w:val="en-GB"/>
        </w:rPr>
        <w:t>的磋商邀请函，正式授权下述签字人</w:t>
      </w:r>
      <w:r>
        <w:rPr>
          <w:rFonts w:hint="eastAsia" w:ascii="仿宋" w:hAnsi="仿宋" w:eastAsia="仿宋" w:cs="仿宋"/>
          <w:b/>
          <w:bCs/>
          <w:color w:val="000000" w:themeColor="text1"/>
          <w:sz w:val="24"/>
          <w:highlight w:val="none"/>
          <w:u w:val="single"/>
          <w:lang w:val="en-GB"/>
        </w:rPr>
        <w:t>姓名：职务：</w:t>
      </w:r>
      <w:r>
        <w:rPr>
          <w:rFonts w:hint="eastAsia" w:ascii="仿宋" w:hAnsi="仿宋" w:eastAsia="仿宋" w:cs="仿宋"/>
          <w:color w:val="000000" w:themeColor="text1"/>
          <w:sz w:val="24"/>
          <w:highlight w:val="none"/>
          <w:lang w:val="en-GB"/>
        </w:rPr>
        <w:t>代表供应商</w:t>
      </w:r>
      <w:r>
        <w:rPr>
          <w:rFonts w:hint="eastAsia" w:ascii="仿宋" w:hAnsi="仿宋" w:eastAsia="仿宋" w:cs="仿宋"/>
          <w:b/>
          <w:bCs/>
          <w:color w:val="000000" w:themeColor="text1"/>
          <w:sz w:val="24"/>
          <w:highlight w:val="none"/>
          <w:u w:val="single"/>
          <w:lang w:val="en-GB"/>
        </w:rPr>
        <w:t>（供应商名称）</w:t>
      </w:r>
      <w:r>
        <w:rPr>
          <w:rFonts w:hint="eastAsia" w:ascii="仿宋" w:hAnsi="仿宋" w:eastAsia="仿宋" w:cs="仿宋"/>
          <w:color w:val="000000" w:themeColor="text1"/>
          <w:sz w:val="24"/>
          <w:highlight w:val="none"/>
          <w:lang w:val="en-GB"/>
        </w:rPr>
        <w:t>，提交纸质响应文件正本份；副本份。</w:t>
      </w:r>
    </w:p>
    <w:p>
      <w:pPr>
        <w:spacing w:line="360" w:lineRule="auto"/>
        <w:ind w:firstLine="480" w:firstLineChars="200"/>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本公司谨此承诺并声明：</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1</w:t>
      </w:r>
      <w:r>
        <w:rPr>
          <w:rFonts w:hint="eastAsia" w:ascii="仿宋" w:hAnsi="仿宋" w:eastAsia="仿宋" w:cs="仿宋"/>
          <w:color w:val="000000" w:themeColor="text1"/>
          <w:sz w:val="24"/>
          <w:highlight w:val="none"/>
          <w:lang w:val="en-GB"/>
        </w:rPr>
        <w:t>、同意并接受磋商采购文件的各项条款要求，遵守文件中的各项规定，按磋商采购文件的要求递交响应文件。</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2</w:t>
      </w:r>
      <w:r>
        <w:rPr>
          <w:rFonts w:hint="eastAsia" w:ascii="仿宋" w:hAnsi="仿宋" w:eastAsia="仿宋" w:cs="仿宋"/>
          <w:color w:val="000000" w:themeColor="text1"/>
          <w:sz w:val="24"/>
          <w:highlight w:val="none"/>
          <w:lang w:val="en-GB"/>
        </w:rPr>
        <w:t>、</w:t>
      </w:r>
      <w:r>
        <w:rPr>
          <w:rFonts w:hint="eastAsia" w:ascii="仿宋" w:hAnsi="仿宋" w:eastAsia="仿宋" w:cs="仿宋"/>
          <w:bCs/>
          <w:color w:val="000000" w:themeColor="text1"/>
          <w:kern w:val="0"/>
          <w:sz w:val="24"/>
          <w:highlight w:val="none"/>
          <w:lang w:val="en-GB"/>
        </w:rPr>
        <w:t>本响应文件的有效期为从投标截止日期起计算的</w:t>
      </w:r>
      <w:r>
        <w:rPr>
          <w:rFonts w:hint="eastAsia" w:ascii="仿宋" w:hAnsi="仿宋" w:eastAsia="仿宋" w:cs="仿宋"/>
          <w:bCs/>
          <w:color w:val="000000" w:themeColor="text1"/>
          <w:kern w:val="0"/>
          <w:sz w:val="24"/>
          <w:highlight w:val="none"/>
          <w:u w:val="single"/>
          <w:lang w:val="en-US" w:eastAsia="zh-CN"/>
        </w:rPr>
        <w:t xml:space="preserve">   </w:t>
      </w:r>
      <w:r>
        <w:rPr>
          <w:rFonts w:hint="eastAsia" w:ascii="仿宋" w:hAnsi="仿宋" w:eastAsia="仿宋" w:cs="仿宋"/>
          <w:bCs/>
          <w:color w:val="000000" w:themeColor="text1"/>
          <w:kern w:val="0"/>
          <w:sz w:val="24"/>
          <w:highlight w:val="none"/>
          <w:lang w:val="en-GB"/>
        </w:rPr>
        <w:t>天，在此期间，本响应文件将始终对我们具有约束力，并可随时被接受</w:t>
      </w:r>
      <w:r>
        <w:rPr>
          <w:rFonts w:hint="eastAsia" w:ascii="仿宋" w:hAnsi="仿宋" w:eastAsia="仿宋" w:cs="仿宋"/>
          <w:color w:val="000000" w:themeColor="text1"/>
          <w:sz w:val="24"/>
          <w:highlight w:val="none"/>
          <w:lang w:val="en-GB"/>
        </w:rPr>
        <w:t>澄清</w:t>
      </w:r>
      <w:r>
        <w:rPr>
          <w:rFonts w:hint="eastAsia" w:ascii="仿宋" w:hAnsi="仿宋" w:eastAsia="仿宋" w:cs="仿宋"/>
          <w:bCs/>
          <w:color w:val="000000" w:themeColor="text1"/>
          <w:kern w:val="0"/>
          <w:sz w:val="24"/>
          <w:highlight w:val="none"/>
          <w:lang w:val="en-GB"/>
        </w:rPr>
        <w:t>。如果我们成交，本响应文件在此期间之后将继续保持有效。</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3</w:t>
      </w:r>
      <w:r>
        <w:rPr>
          <w:rFonts w:hint="eastAsia" w:ascii="仿宋" w:hAnsi="仿宋" w:eastAsia="仿宋" w:cs="仿宋"/>
          <w:color w:val="000000" w:themeColor="text1"/>
          <w:sz w:val="24"/>
          <w:highlight w:val="none"/>
          <w:lang w:val="en-GB"/>
        </w:rPr>
        <w:t>、我方已经详细地阅读了全部磋商采购文件及其附件，包括澄清及参考文件。我方已完全清晰理解磋商采购文件的要求，不存在任何含糊不清和误解之处，同意放弃对这些文件所提出的异议和质疑的权利。</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4</w:t>
      </w:r>
      <w:r>
        <w:rPr>
          <w:rFonts w:hint="eastAsia" w:ascii="仿宋" w:hAnsi="仿宋" w:eastAsia="仿宋" w:cs="仿宋"/>
          <w:color w:val="000000" w:themeColor="text1"/>
          <w:sz w:val="24"/>
          <w:highlight w:val="none"/>
          <w:lang w:val="en-GB"/>
        </w:rPr>
        <w:t>、我方已毫无保留地向贵方提供一切所需的证明材料。不论在任何时候，将按贵方要求如实提供一切补充材料。</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5</w:t>
      </w:r>
      <w:r>
        <w:rPr>
          <w:rFonts w:hint="eastAsia" w:ascii="仿宋" w:hAnsi="仿宋" w:eastAsia="仿宋" w:cs="仿宋"/>
          <w:color w:val="000000" w:themeColor="text1"/>
          <w:sz w:val="24"/>
          <w:highlight w:val="none"/>
          <w:lang w:val="en-GB"/>
        </w:rPr>
        <w:t>、我方承诺在本次报价中提供的一切文件，无论是原件还是复印件均为真实和准确的，绝无任何虚假、伪造和夸大的成份，否则，愿承担相应的后果和法律责任。</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6</w:t>
      </w:r>
      <w:r>
        <w:rPr>
          <w:rFonts w:hint="eastAsia" w:ascii="仿宋" w:hAnsi="仿宋" w:eastAsia="仿宋" w:cs="仿宋"/>
          <w:color w:val="000000" w:themeColor="text1"/>
          <w:sz w:val="24"/>
          <w:highlight w:val="none"/>
          <w:lang w:val="en-GB"/>
        </w:rPr>
        <w:t>、我方完全服从和尊重评审小组所作的评审结果，同时清楚理解到投标报价最低并不一定获得成交资格。</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7</w:t>
      </w:r>
      <w:r>
        <w:rPr>
          <w:rFonts w:hint="eastAsia" w:ascii="仿宋" w:hAnsi="仿宋" w:eastAsia="仿宋" w:cs="仿宋"/>
          <w:color w:val="000000" w:themeColor="text1"/>
          <w:sz w:val="24"/>
          <w:highlight w:val="none"/>
          <w:lang w:val="en-GB"/>
        </w:rPr>
        <w:t>、我方同意按磋商采购文件规定向贵司缴纳投标保证金，</w:t>
      </w:r>
      <w:r>
        <w:rPr>
          <w:rFonts w:hint="eastAsia" w:ascii="仿宋" w:hAnsi="仿宋" w:eastAsia="仿宋" w:cs="仿宋"/>
          <w:bCs/>
          <w:color w:val="000000" w:themeColor="text1"/>
          <w:kern w:val="0"/>
          <w:sz w:val="24"/>
          <w:highlight w:val="none"/>
          <w:lang w:val="en-GB"/>
        </w:rPr>
        <w:t>如果获得成交并按《成交通知书》的要求，</w:t>
      </w:r>
      <w:r>
        <w:rPr>
          <w:rFonts w:hint="eastAsia" w:ascii="仿宋" w:hAnsi="仿宋" w:eastAsia="仿宋" w:cs="仿宋"/>
          <w:color w:val="000000" w:themeColor="text1"/>
          <w:sz w:val="24"/>
          <w:highlight w:val="none"/>
          <w:lang w:val="en-GB"/>
        </w:rPr>
        <w:t>如期签订合同并履行其一切责任和义务。</w:t>
      </w:r>
    </w:p>
    <w:p>
      <w:pPr>
        <w:spacing w:line="360" w:lineRule="auto"/>
        <w:ind w:firstLine="480" w:firstLineChars="200"/>
        <w:rPr>
          <w:rFonts w:ascii="仿宋" w:hAnsi="仿宋" w:eastAsia="仿宋" w:cs="仿宋"/>
          <w:color w:val="000000" w:themeColor="text1"/>
          <w:sz w:val="24"/>
          <w:highlight w:val="none"/>
          <w:lang w:val="en-GB"/>
        </w:rPr>
      </w:pPr>
      <w:r>
        <w:rPr>
          <w:rFonts w:ascii="仿宋" w:hAnsi="仿宋" w:eastAsia="仿宋" w:cs="仿宋"/>
          <w:color w:val="000000" w:themeColor="text1"/>
          <w:sz w:val="24"/>
          <w:highlight w:val="none"/>
          <w:lang w:val="en-GB"/>
        </w:rPr>
        <w:t>8</w:t>
      </w:r>
      <w:r>
        <w:rPr>
          <w:rFonts w:hint="eastAsia" w:ascii="仿宋" w:hAnsi="仿宋" w:eastAsia="仿宋" w:cs="仿宋"/>
          <w:color w:val="000000" w:themeColor="text1"/>
          <w:sz w:val="24"/>
          <w:highlight w:val="none"/>
          <w:lang w:val="en-GB"/>
        </w:rPr>
        <w:t>、我方在参与本次公开采购活动中，不以任何不当手段影响、串通、排斥有关当事人或谋取、施予非法利益，如有不当行为，愿承担此行为所造成的不利后果和法律责任。</w:t>
      </w:r>
    </w:p>
    <w:p>
      <w:pPr>
        <w:spacing w:line="360" w:lineRule="auto"/>
        <w:rPr>
          <w:rFonts w:ascii="仿宋" w:hAnsi="仿宋" w:eastAsia="仿宋" w:cs="仿宋"/>
          <w:color w:val="000000" w:themeColor="text1"/>
          <w:sz w:val="24"/>
          <w:highlight w:val="none"/>
          <w:lang w:val="en-GB"/>
        </w:rPr>
      </w:pPr>
    </w:p>
    <w:p>
      <w:pPr>
        <w:spacing w:line="360" w:lineRule="auto"/>
        <w:rPr>
          <w:rFonts w:ascii="仿宋" w:hAnsi="仿宋" w:eastAsia="仿宋" w:cs="仿宋"/>
          <w:bCs/>
          <w:color w:val="000000" w:themeColor="text1"/>
          <w:sz w:val="24"/>
          <w:highlight w:val="none"/>
          <w:lang w:val="en-GB"/>
        </w:rPr>
      </w:pPr>
      <w:r>
        <w:rPr>
          <w:rFonts w:hint="eastAsia" w:ascii="仿宋" w:hAnsi="仿宋" w:eastAsia="仿宋" w:cs="仿宋"/>
          <w:color w:val="000000" w:themeColor="text1"/>
          <w:sz w:val="24"/>
          <w:highlight w:val="none"/>
          <w:lang w:val="en-GB"/>
        </w:rPr>
        <w:t>投标单位：</w:t>
      </w:r>
      <w:r>
        <w:rPr>
          <w:rFonts w:hint="eastAsia" w:ascii="仿宋" w:hAnsi="仿宋" w:eastAsia="仿宋" w:cs="仿宋"/>
          <w:color w:val="000000" w:themeColor="text1"/>
          <w:sz w:val="24"/>
          <w:highlight w:val="none"/>
          <w:u w:val="single"/>
          <w:lang w:val="en-GB"/>
        </w:rPr>
        <w:t>（公章）</w:t>
      </w:r>
      <w:r>
        <w:rPr>
          <w:rFonts w:hint="eastAsia" w:ascii="仿宋" w:hAnsi="仿宋" w:eastAsia="仿宋" w:cs="仿宋"/>
          <w:bCs/>
          <w:color w:val="000000" w:themeColor="text1"/>
          <w:sz w:val="24"/>
          <w:highlight w:val="none"/>
          <w:lang w:val="en-GB"/>
        </w:rPr>
        <w:t>法定代表人：</w:t>
      </w:r>
      <w:r>
        <w:rPr>
          <w:rFonts w:hint="eastAsia" w:ascii="仿宋" w:hAnsi="仿宋" w:eastAsia="仿宋" w:cs="仿宋"/>
          <w:bCs/>
          <w:color w:val="000000" w:themeColor="text1"/>
          <w:sz w:val="24"/>
          <w:highlight w:val="none"/>
          <w:u w:val="single"/>
          <w:lang w:val="en-GB"/>
        </w:rPr>
        <w:t>（签名）</w:t>
      </w:r>
    </w:p>
    <w:p>
      <w:pPr>
        <w:snapToGrid w:val="0"/>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lang w:val="en-GB"/>
        </w:rPr>
        <w:t>授权代表：</w:t>
      </w:r>
      <w:r>
        <w:rPr>
          <w:rFonts w:hint="eastAsia" w:ascii="仿宋" w:hAnsi="仿宋" w:eastAsia="仿宋" w:cs="仿宋"/>
          <w:bCs/>
          <w:color w:val="000000" w:themeColor="text1"/>
          <w:sz w:val="24"/>
          <w:highlight w:val="none"/>
          <w:u w:val="single"/>
          <w:lang w:val="en-GB"/>
        </w:rPr>
        <w:t>（签名）</w:t>
      </w:r>
      <w:r>
        <w:rPr>
          <w:rFonts w:hint="eastAsia" w:ascii="仿宋" w:hAnsi="仿宋" w:eastAsia="仿宋" w:cs="仿宋"/>
          <w:color w:val="000000" w:themeColor="text1"/>
          <w:sz w:val="24"/>
          <w:highlight w:val="none"/>
          <w:lang w:val="en-GB"/>
        </w:rPr>
        <w:t>职务：</w:t>
      </w:r>
    </w:p>
    <w:p>
      <w:pPr>
        <w:snapToGrid w:val="0"/>
        <w:spacing w:line="360" w:lineRule="auto"/>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承诺日期：年月日</w:t>
      </w:r>
    </w:p>
    <w:p>
      <w:pPr>
        <w:snapToGrid w:val="0"/>
        <w:spacing w:line="360" w:lineRule="auto"/>
        <w:jc w:val="center"/>
        <w:rPr>
          <w:rFonts w:ascii="仿宋" w:hAnsi="仿宋" w:eastAsia="仿宋" w:cs="仿宋"/>
          <w:b/>
          <w:color w:val="000000" w:themeColor="text1"/>
          <w:sz w:val="32"/>
          <w:szCs w:val="32"/>
          <w:highlight w:val="none"/>
        </w:rPr>
      </w:pPr>
      <w:r>
        <w:rPr>
          <w:rFonts w:ascii="仿宋" w:hAnsi="仿宋" w:eastAsia="仿宋" w:cs="仿宋"/>
          <w:b/>
          <w:color w:val="000000" w:themeColor="text1"/>
          <w:sz w:val="32"/>
          <w:szCs w:val="32"/>
          <w:highlight w:val="none"/>
        </w:rPr>
        <w:br w:type="page"/>
      </w:r>
      <w:r>
        <w:rPr>
          <w:rFonts w:ascii="仿宋" w:hAnsi="仿宋" w:eastAsia="仿宋" w:cs="仿宋"/>
          <w:b/>
          <w:color w:val="000000" w:themeColor="text1"/>
          <w:sz w:val="32"/>
          <w:szCs w:val="32"/>
          <w:highlight w:val="none"/>
        </w:rPr>
        <w:t>4</w:t>
      </w:r>
      <w:r>
        <w:rPr>
          <w:rFonts w:hint="eastAsia" w:ascii="仿宋" w:hAnsi="仿宋" w:eastAsia="仿宋" w:cs="仿宋"/>
          <w:b/>
          <w:color w:val="000000" w:themeColor="text1"/>
          <w:sz w:val="32"/>
          <w:szCs w:val="32"/>
          <w:highlight w:val="none"/>
        </w:rPr>
        <w:t>、法定代表人证明书</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投标人名称：</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单位性质：</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成立时间：年月日</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经营期限：</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姓名：性别：年龄：职务：</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系</w:t>
      </w:r>
      <w:r>
        <w:rPr>
          <w:rFonts w:hint="eastAsia" w:ascii="仿宋" w:hAnsi="仿宋" w:eastAsia="仿宋" w:cs="仿宋"/>
          <w:color w:val="000000" w:themeColor="text1"/>
          <w:sz w:val="24"/>
          <w:highlight w:val="none"/>
          <w:u w:val="single"/>
        </w:rPr>
        <w:t>（投标人名称）</w:t>
      </w:r>
      <w:r>
        <w:rPr>
          <w:rFonts w:hint="eastAsia" w:ascii="仿宋" w:hAnsi="仿宋" w:eastAsia="仿宋" w:cs="仿宋"/>
          <w:color w:val="000000" w:themeColor="text1"/>
          <w:sz w:val="24"/>
          <w:highlight w:val="none"/>
        </w:rPr>
        <w:t>的法定代表人。</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特此证明。</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附：法定代表人身份证复印件</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2640" w:firstLineChars="1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法定代表人：（签名）</w:t>
      </w:r>
    </w:p>
    <w:p>
      <w:pPr>
        <w:spacing w:line="360" w:lineRule="auto"/>
        <w:ind w:firstLine="2640" w:firstLineChars="1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投标单位：（盖单位章）</w:t>
      </w:r>
    </w:p>
    <w:p>
      <w:pPr>
        <w:spacing w:line="360" w:lineRule="auto"/>
        <w:ind w:firstLine="5400" w:firstLineChars="22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年月日</w:t>
      </w:r>
    </w:p>
    <w:p>
      <w:pPr>
        <w:widowControl/>
        <w:jc w:val="left"/>
        <w:rPr>
          <w:rFonts w:ascii="仿宋" w:hAnsi="仿宋" w:eastAsia="仿宋" w:cs="仿宋"/>
          <w:b/>
          <w:color w:val="000000" w:themeColor="text1"/>
          <w:sz w:val="28"/>
          <w:highlight w:val="none"/>
        </w:rPr>
      </w:pPr>
      <w:r>
        <w:rPr>
          <w:rFonts w:ascii="仿宋" w:hAnsi="仿宋" w:eastAsia="仿宋" w:cs="仿宋"/>
          <w:b/>
          <w:color w:val="000000" w:themeColor="text1"/>
          <w:sz w:val="28"/>
          <w:highlight w:val="none"/>
        </w:rPr>
        <w:br w:type="page"/>
      </w:r>
    </w:p>
    <w:p>
      <w:pPr>
        <w:spacing w:line="360" w:lineRule="auto"/>
        <w:rPr>
          <w:rFonts w:ascii="仿宋" w:hAnsi="仿宋" w:eastAsia="仿宋" w:cs="仿宋"/>
          <w:color w:val="000000" w:themeColor="text1"/>
          <w:highlight w:val="none"/>
        </w:rPr>
      </w:pPr>
    </w:p>
    <w:p>
      <w:pPr>
        <w:snapToGrid w:val="0"/>
        <w:spacing w:line="360" w:lineRule="auto"/>
        <w:jc w:val="center"/>
        <w:rPr>
          <w:rFonts w:ascii="仿宋" w:hAnsi="仿宋" w:eastAsia="仿宋" w:cs="仿宋"/>
          <w:b/>
          <w:color w:val="000000" w:themeColor="text1"/>
          <w:sz w:val="32"/>
          <w:szCs w:val="32"/>
          <w:highlight w:val="none"/>
        </w:rPr>
      </w:pPr>
      <w:r>
        <w:rPr>
          <w:rFonts w:ascii="仿宋" w:hAnsi="仿宋" w:eastAsia="仿宋" w:cs="仿宋"/>
          <w:b/>
          <w:color w:val="000000" w:themeColor="text1"/>
          <w:sz w:val="32"/>
          <w:szCs w:val="32"/>
          <w:highlight w:val="none"/>
        </w:rPr>
        <w:t>5</w:t>
      </w:r>
      <w:r>
        <w:rPr>
          <w:rFonts w:hint="eastAsia" w:ascii="仿宋" w:hAnsi="仿宋" w:eastAsia="仿宋" w:cs="仿宋"/>
          <w:b/>
          <w:color w:val="000000" w:themeColor="text1"/>
          <w:sz w:val="32"/>
          <w:szCs w:val="32"/>
          <w:highlight w:val="none"/>
        </w:rPr>
        <w:t>、授权委托书</w:t>
      </w:r>
    </w:p>
    <w:p>
      <w:pPr>
        <w:spacing w:line="360" w:lineRule="auto"/>
        <w:rPr>
          <w:rFonts w:ascii="仿宋" w:hAnsi="仿宋" w:eastAsia="仿宋" w:cs="仿宋"/>
          <w:b/>
          <w:bCs/>
          <w:color w:val="000000" w:themeColor="text1"/>
          <w:sz w:val="24"/>
          <w:highlight w:val="none"/>
          <w:lang w:val="en-GB"/>
        </w:rPr>
      </w:pPr>
      <w:r>
        <w:rPr>
          <w:rFonts w:hint="eastAsia" w:ascii="仿宋" w:hAnsi="仿宋" w:eastAsia="仿宋" w:cs="仿宋"/>
          <w:b/>
          <w:bCs/>
          <w:color w:val="000000" w:themeColor="text1"/>
          <w:sz w:val="24"/>
          <w:highlight w:val="none"/>
          <w:lang w:val="zh-CN"/>
        </w:rPr>
        <w:t>致：中咨环球（北京）工程咨询有限公司</w:t>
      </w:r>
    </w:p>
    <w:p>
      <w:pPr>
        <w:spacing w:line="360" w:lineRule="auto"/>
        <w:ind w:firstLine="482" w:firstLineChars="200"/>
        <w:rPr>
          <w:rFonts w:ascii="仿宋" w:hAnsi="仿宋" w:eastAsia="仿宋" w:cs="仿宋"/>
          <w:color w:val="000000" w:themeColor="text1"/>
          <w:sz w:val="24"/>
          <w:highlight w:val="none"/>
          <w:lang w:val="en-GB"/>
        </w:rPr>
      </w:pPr>
      <w:r>
        <w:rPr>
          <w:rFonts w:hint="eastAsia" w:ascii="仿宋" w:hAnsi="仿宋" w:eastAsia="仿宋" w:cs="仿宋"/>
          <w:b/>
          <w:bCs/>
          <w:color w:val="000000" w:themeColor="text1"/>
          <w:sz w:val="24"/>
          <w:highlight w:val="none"/>
          <w:u w:val="single"/>
          <w:lang w:val="zh-CN"/>
        </w:rPr>
        <w:t>（供应商名称）</w:t>
      </w:r>
      <w:r>
        <w:rPr>
          <w:rFonts w:hint="eastAsia" w:ascii="仿宋" w:hAnsi="仿宋" w:eastAsia="仿宋" w:cs="仿宋"/>
          <w:color w:val="000000" w:themeColor="text1"/>
          <w:sz w:val="24"/>
          <w:highlight w:val="none"/>
          <w:lang w:val="zh-CN"/>
        </w:rPr>
        <w:t>在下面签字的</w:t>
      </w:r>
      <w:r>
        <w:rPr>
          <w:rFonts w:hint="eastAsia" w:ascii="仿宋" w:hAnsi="仿宋" w:eastAsia="仿宋" w:cs="仿宋"/>
          <w:color w:val="000000" w:themeColor="text1"/>
          <w:sz w:val="24"/>
          <w:highlight w:val="none"/>
          <w:u w:val="single"/>
          <w:lang w:val="zh-CN"/>
        </w:rPr>
        <w:t>（法定代表人）</w:t>
      </w:r>
      <w:r>
        <w:rPr>
          <w:rFonts w:hint="eastAsia" w:ascii="仿宋" w:hAnsi="仿宋" w:eastAsia="仿宋" w:cs="仿宋"/>
          <w:b/>
          <w:bCs/>
          <w:color w:val="000000" w:themeColor="text1"/>
          <w:sz w:val="24"/>
          <w:highlight w:val="none"/>
          <w:u w:val="single"/>
          <w:lang w:val="zh-CN"/>
        </w:rPr>
        <w:t>姓名：职务：</w:t>
      </w:r>
      <w:r>
        <w:rPr>
          <w:rFonts w:hint="eastAsia" w:ascii="仿宋" w:hAnsi="仿宋" w:eastAsia="仿宋" w:cs="仿宋"/>
          <w:color w:val="000000" w:themeColor="text1"/>
          <w:sz w:val="24"/>
          <w:highlight w:val="none"/>
          <w:lang w:val="zh-CN"/>
        </w:rPr>
        <w:t>代表本公司授权下面签字的</w:t>
      </w:r>
      <w:r>
        <w:rPr>
          <w:rFonts w:hint="eastAsia" w:ascii="仿宋" w:hAnsi="仿宋" w:eastAsia="仿宋" w:cs="仿宋"/>
          <w:color w:val="000000" w:themeColor="text1"/>
          <w:sz w:val="24"/>
          <w:highlight w:val="none"/>
          <w:u w:val="single"/>
          <w:lang w:val="zh-CN"/>
        </w:rPr>
        <w:t>（被授权代表）</w:t>
      </w:r>
      <w:r>
        <w:rPr>
          <w:rFonts w:hint="eastAsia" w:ascii="仿宋" w:hAnsi="仿宋" w:eastAsia="仿宋" w:cs="仿宋"/>
          <w:b/>
          <w:bCs/>
          <w:color w:val="000000" w:themeColor="text1"/>
          <w:sz w:val="24"/>
          <w:highlight w:val="none"/>
          <w:u w:val="single"/>
          <w:lang w:val="zh-CN"/>
        </w:rPr>
        <w:t>姓名：职务：</w:t>
      </w:r>
      <w:r>
        <w:rPr>
          <w:rFonts w:hint="eastAsia" w:ascii="仿宋" w:hAnsi="仿宋" w:eastAsia="仿宋" w:cs="仿宋"/>
          <w:color w:val="000000" w:themeColor="text1"/>
          <w:sz w:val="24"/>
          <w:highlight w:val="none"/>
          <w:lang w:val="zh-CN"/>
        </w:rPr>
        <w:t>为本公司的合法代理人，就的</w:t>
      </w:r>
      <w:r>
        <w:rPr>
          <w:rFonts w:hint="eastAsia" w:ascii="仿宋" w:hAnsi="仿宋" w:eastAsia="仿宋" w:cs="仿宋"/>
          <w:color w:val="000000" w:themeColor="text1"/>
          <w:sz w:val="24"/>
          <w:highlight w:val="none"/>
          <w:u w:val="single"/>
        </w:rPr>
        <w:t>（项目编号</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lang w:val="zh-CN"/>
        </w:rPr>
        <w:t>进行磋商，以本公司的名义处理一切与之相关的事务</w:t>
      </w:r>
      <w:r>
        <w:rPr>
          <w:rFonts w:hint="eastAsia" w:ascii="仿宋" w:hAnsi="仿宋" w:eastAsia="仿宋" w:cs="仿宋"/>
          <w:color w:val="000000" w:themeColor="text1"/>
          <w:sz w:val="24"/>
          <w:highlight w:val="none"/>
          <w:lang w:val="en-GB"/>
        </w:rPr>
        <w:t>。</w:t>
      </w:r>
    </w:p>
    <w:p>
      <w:pPr>
        <w:spacing w:line="360" w:lineRule="auto"/>
        <w:ind w:firstLine="480" w:firstLineChars="200"/>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本授权书自年月日至年月日内签字有效，特此声明。</w:t>
      </w:r>
    </w:p>
    <w:p>
      <w:pPr>
        <w:spacing w:line="360" w:lineRule="auto"/>
        <w:ind w:firstLine="480" w:firstLineChars="200"/>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附：法人身份证和授权人身份证</w:t>
      </w:r>
    </w:p>
    <w:p>
      <w:pPr>
        <w:spacing w:line="360" w:lineRule="auto"/>
        <w:rPr>
          <w:rFonts w:ascii="仿宋" w:hAnsi="仿宋" w:eastAsia="仿宋" w:cs="仿宋"/>
          <w:color w:val="000000" w:themeColor="text1"/>
          <w:sz w:val="24"/>
          <w:highlight w:val="none"/>
          <w:lang w:val="en-GB"/>
        </w:rPr>
      </w:pPr>
    </w:p>
    <w:p>
      <w:pPr>
        <w:spacing w:line="360" w:lineRule="auto"/>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供应商名称：</w:t>
      </w:r>
      <w:r>
        <w:rPr>
          <w:rFonts w:hint="eastAsia" w:ascii="仿宋" w:hAnsi="仿宋" w:eastAsia="仿宋" w:cs="仿宋"/>
          <w:color w:val="000000" w:themeColor="text1"/>
          <w:sz w:val="24"/>
          <w:highlight w:val="none"/>
          <w:u w:val="single"/>
          <w:lang w:val="en-GB"/>
        </w:rPr>
        <w:t>（公章）</w:t>
      </w:r>
      <w:r>
        <w:rPr>
          <w:rFonts w:hint="eastAsia" w:ascii="仿宋" w:hAnsi="仿宋" w:eastAsia="仿宋" w:cs="仿宋"/>
          <w:color w:val="000000" w:themeColor="text1"/>
          <w:sz w:val="24"/>
          <w:highlight w:val="none"/>
          <w:lang w:val="en-GB"/>
        </w:rPr>
        <w:t>营业执照号码：</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GB"/>
        </w:rPr>
        <w:t>法定代表人：</w:t>
      </w:r>
      <w:r>
        <w:rPr>
          <w:rFonts w:hint="eastAsia" w:ascii="仿宋" w:hAnsi="仿宋" w:eastAsia="仿宋" w:cs="仿宋"/>
          <w:bCs/>
          <w:color w:val="000000" w:themeColor="text1"/>
          <w:sz w:val="24"/>
          <w:highlight w:val="none"/>
          <w:u w:val="single"/>
          <w:lang w:val="en-GB"/>
        </w:rPr>
        <w:t>（签名）</w:t>
      </w:r>
      <w:r>
        <w:rPr>
          <w:rFonts w:hint="eastAsia" w:ascii="仿宋" w:hAnsi="仿宋" w:eastAsia="仿宋" w:cs="仿宋"/>
          <w:color w:val="000000" w:themeColor="text1"/>
          <w:sz w:val="24"/>
          <w:highlight w:val="none"/>
          <w:lang w:val="en-GB"/>
        </w:rPr>
        <w:t>联系电话：</w:t>
      </w:r>
    </w:p>
    <w:p>
      <w:pPr>
        <w:spacing w:line="360" w:lineRule="auto"/>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职务：身份证号码：</w:t>
      </w:r>
    </w:p>
    <w:p>
      <w:pPr>
        <w:spacing w:line="360" w:lineRule="auto"/>
        <w:rPr>
          <w:rFonts w:ascii="仿宋" w:hAnsi="仿宋" w:eastAsia="仿宋" w:cs="仿宋"/>
          <w:color w:val="000000" w:themeColor="text1"/>
          <w:sz w:val="24"/>
          <w:highlight w:val="none"/>
          <w:u w:val="single"/>
          <w:lang w:val="en-GB"/>
        </w:rPr>
      </w:pPr>
      <w:r>
        <w:rPr>
          <w:rFonts w:hint="eastAsia" w:ascii="仿宋" w:hAnsi="仿宋" w:eastAsia="仿宋" w:cs="仿宋"/>
          <w:color w:val="000000" w:themeColor="text1"/>
          <w:sz w:val="24"/>
          <w:highlight w:val="none"/>
          <w:lang w:val="en-GB"/>
        </w:rPr>
        <w:t>被授权人：</w:t>
      </w:r>
      <w:r>
        <w:rPr>
          <w:rFonts w:hint="eastAsia" w:ascii="仿宋" w:hAnsi="仿宋" w:eastAsia="仿宋" w:cs="仿宋"/>
          <w:bCs/>
          <w:color w:val="000000" w:themeColor="text1"/>
          <w:sz w:val="24"/>
          <w:highlight w:val="none"/>
          <w:u w:val="single"/>
          <w:lang w:val="en-GB"/>
        </w:rPr>
        <w:t>（签名）</w:t>
      </w:r>
      <w:r>
        <w:rPr>
          <w:rFonts w:hint="eastAsia" w:ascii="仿宋" w:hAnsi="仿宋" w:eastAsia="仿宋" w:cs="仿宋"/>
          <w:color w:val="000000" w:themeColor="text1"/>
          <w:sz w:val="24"/>
          <w:highlight w:val="none"/>
          <w:lang w:val="en-GB"/>
        </w:rPr>
        <w:t>联系电话：</w:t>
      </w:r>
    </w:p>
    <w:p>
      <w:pPr>
        <w:spacing w:line="360" w:lineRule="auto"/>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职务：身份证号码：</w:t>
      </w:r>
    </w:p>
    <w:p>
      <w:pPr>
        <w:spacing w:line="360" w:lineRule="auto"/>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生效日期：年月日</w:t>
      </w:r>
    </w:p>
    <w:p>
      <w:pPr>
        <w:spacing w:line="360" w:lineRule="auto"/>
        <w:ind w:firstLine="480" w:firstLineChars="200"/>
        <w:rPr>
          <w:rFonts w:ascii="仿宋" w:hAnsi="仿宋" w:eastAsia="仿宋" w:cs="仿宋"/>
          <w:color w:val="000000" w:themeColor="text1"/>
          <w:sz w:val="24"/>
          <w:highlight w:val="none"/>
          <w:lang w:val="en-GB"/>
        </w:rPr>
      </w:pPr>
    </w:p>
    <w:p>
      <w:pPr>
        <w:spacing w:line="360" w:lineRule="auto"/>
        <w:ind w:firstLine="480" w:firstLineChars="200"/>
        <w:rPr>
          <w:rFonts w:ascii="仿宋" w:hAnsi="仿宋" w:eastAsia="仿宋" w:cs="仿宋"/>
          <w:color w:val="000000" w:themeColor="text1"/>
          <w:sz w:val="24"/>
          <w:highlight w:val="none"/>
          <w:lang w:val="en-GB"/>
        </w:rPr>
      </w:pPr>
    </w:p>
    <w:p>
      <w:pPr>
        <w:snapToGrid w:val="0"/>
        <w:spacing w:line="360" w:lineRule="auto"/>
        <w:ind w:firstLine="352" w:firstLineChars="147"/>
        <w:jc w:val="center"/>
        <w:rPr>
          <w:rFonts w:ascii="仿宋" w:hAnsi="仿宋" w:eastAsia="仿宋" w:cs="仿宋"/>
          <w:b/>
          <w:color w:val="000000" w:themeColor="text1"/>
          <w:sz w:val="32"/>
          <w:highlight w:val="none"/>
        </w:rPr>
      </w:pPr>
      <w:r>
        <w:rPr>
          <w:rFonts w:ascii="仿宋" w:hAnsi="仿宋" w:eastAsia="仿宋" w:cs="仿宋"/>
          <w:color w:val="000000" w:themeColor="text1"/>
          <w:sz w:val="24"/>
          <w:highlight w:val="none"/>
        </w:rPr>
        <w:br w:type="page"/>
      </w:r>
      <w:r>
        <w:rPr>
          <w:rFonts w:ascii="仿宋" w:hAnsi="仿宋" w:eastAsia="仿宋" w:cs="仿宋"/>
          <w:b/>
          <w:color w:val="000000" w:themeColor="text1"/>
          <w:sz w:val="32"/>
          <w:highlight w:val="none"/>
        </w:rPr>
        <w:t>6</w:t>
      </w:r>
      <w:r>
        <w:rPr>
          <w:rFonts w:hint="eastAsia" w:ascii="仿宋" w:hAnsi="仿宋" w:eastAsia="仿宋" w:cs="仿宋"/>
          <w:b/>
          <w:color w:val="000000" w:themeColor="text1"/>
          <w:sz w:val="32"/>
          <w:highlight w:val="none"/>
        </w:rPr>
        <w:t>、技术需求响应表</w:t>
      </w:r>
    </w:p>
    <w:p>
      <w:pPr>
        <w:shd w:val="clear" w:color="auto" w:fill="FFFFFF"/>
        <w:snapToGrid w:val="0"/>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说明：投标人必须仔细阅读招标文件中所有技术规范条款和相关功能要求，并对所有技术规范、功能条目及资质要求列入下表，未列入下表的视作投标人不响应。</w:t>
      </w:r>
      <w:r>
        <w:rPr>
          <w:rFonts w:hint="eastAsia" w:ascii="仿宋" w:hAnsi="仿宋" w:eastAsia="仿宋" w:cs="仿宋"/>
          <w:b/>
          <w:color w:val="000000" w:themeColor="text1"/>
          <w:sz w:val="24"/>
          <w:highlight w:val="none"/>
          <w:u w:val="single"/>
        </w:rPr>
        <w:t>投标人必须根据所投产品的实际情况（技术资料）如实填写，评标委员会如发现有虚假描述的，该投标文件无效，该投标人列入黑名单，并报主管部门严肃处理。</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335"/>
        <w:gridCol w:w="2460"/>
        <w:gridCol w:w="2460"/>
        <w:gridCol w:w="123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设备/项目</w:t>
            </w: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招标文件技术参数/功能描述</w:t>
            </w: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投标人技术参数/功能描述</w:t>
            </w: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偏离情况</w:t>
            </w: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41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ind w:firstLine="480" w:firstLineChars="200"/>
              <w:jc w:val="center"/>
              <w:rPr>
                <w:rFonts w:ascii="仿宋" w:hAnsi="仿宋" w:eastAsia="仿宋" w:cs="仿宋"/>
                <w:color w:val="000000" w:themeColor="text1"/>
                <w:sz w:val="24"/>
                <w:highlight w:val="none"/>
              </w:rPr>
            </w:pPr>
          </w:p>
        </w:tc>
      </w:tr>
    </w:tbl>
    <w:p>
      <w:pPr>
        <w:shd w:val="clear" w:color="auto" w:fill="FFFFFF"/>
        <w:snapToGrid w:val="0"/>
        <w:spacing w:line="360" w:lineRule="auto"/>
        <w:ind w:firstLine="480" w:firstLineChars="200"/>
        <w:rPr>
          <w:rFonts w:hAnsi="宋体"/>
          <w:color w:val="000000" w:themeColor="text1"/>
          <w:sz w:val="24"/>
          <w:highlight w:val="none"/>
        </w:rPr>
      </w:pPr>
    </w:p>
    <w:p>
      <w:pPr>
        <w:shd w:val="clear" w:color="auto" w:fill="FFFFFF"/>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投标人全称：（公章）            授权代表：（签字或私章）</w:t>
      </w:r>
    </w:p>
    <w:p>
      <w:pPr>
        <w:shd w:val="clear" w:color="auto" w:fill="FFFFFF"/>
        <w:snapToGrid w:val="0"/>
        <w:spacing w:line="360" w:lineRule="auto"/>
        <w:ind w:firstLine="480" w:firstLineChars="200"/>
        <w:rPr>
          <w:rFonts w:ascii="仿宋" w:hAnsi="仿宋" w:eastAsia="仿宋" w:cs="仿宋"/>
          <w:color w:val="000000" w:themeColor="text1"/>
          <w:sz w:val="24"/>
          <w:highlight w:val="none"/>
        </w:rPr>
      </w:pPr>
    </w:p>
    <w:p>
      <w:pPr>
        <w:shd w:val="clear" w:color="auto" w:fill="FFFFFF"/>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注：1、此表为表样，行数可自行添加，但表式不变。</w:t>
      </w:r>
    </w:p>
    <w:p>
      <w:pPr>
        <w:shd w:val="clear" w:color="auto" w:fill="FFFFFF"/>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2、此表后面按响应顺序附上招标文件中要求的资质文件、检测报告等复印件（如有），否则视为不满足。</w:t>
      </w:r>
    </w:p>
    <w:p>
      <w:pPr>
        <w:shd w:val="clear" w:color="auto" w:fill="FFFFFF"/>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3、投标人在“投标人技术参数/功能描述” 中填写所投设备/项目的详细技术参数或功能描述情况。</w:t>
      </w:r>
    </w:p>
    <w:p>
      <w:pPr>
        <w:shd w:val="clear" w:color="auto" w:fill="FFFFFF"/>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偏离情况说明分正偏离、完全响应、负偏离，分别表示优于要求、满足要求、不满足要求。评委评标时不能只根据投标人填写的偏离情况说明来判断是否响应，而应认真查阅“投标文件技术参数/功能响应”内容以及相关的技术资料判断是否满足要求。</w:t>
      </w:r>
    </w:p>
    <w:p>
      <w:pPr>
        <w:widowControl/>
        <w:pBdr>
          <w:top w:val="none" w:color="auto" w:sz="0" w:space="1"/>
          <w:left w:val="none" w:color="auto" w:sz="0" w:space="4"/>
          <w:bottom w:val="none" w:color="auto" w:sz="0" w:space="1"/>
          <w:right w:val="none" w:color="auto" w:sz="0" w:space="4"/>
        </w:pBdr>
        <w:ind w:firstLine="1200" w:firstLineChars="5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5、“页码索引”指“投标人技术参数/功能描述”所对应的证明材料在投标人投标文件中的页码。</w:t>
      </w:r>
      <w:r>
        <w:rPr>
          <w:rFonts w:ascii="仿宋" w:hAnsi="仿宋" w:eastAsia="仿宋" w:cs="仿宋"/>
          <w:color w:val="000000" w:themeColor="text1"/>
          <w:sz w:val="22"/>
          <w:szCs w:val="22"/>
          <w:highlight w:val="none"/>
        </w:rPr>
        <w:br w:type="page"/>
      </w:r>
    </w:p>
    <w:p>
      <w:pPr>
        <w:spacing w:line="360" w:lineRule="auto"/>
        <w:jc w:val="center"/>
        <w:rPr>
          <w:rFonts w:ascii="仿宋" w:hAnsi="仿宋" w:eastAsia="仿宋" w:cs="仿宋"/>
          <w:b/>
          <w:color w:val="000000" w:themeColor="text1"/>
          <w:sz w:val="32"/>
          <w:szCs w:val="32"/>
          <w:highlight w:val="none"/>
        </w:rPr>
      </w:pPr>
      <w:r>
        <w:rPr>
          <w:rFonts w:ascii="仿宋" w:hAnsi="仿宋" w:eastAsia="仿宋" w:cs="仿宋"/>
          <w:b/>
          <w:bCs/>
          <w:color w:val="000000" w:themeColor="text1"/>
          <w:sz w:val="32"/>
          <w:szCs w:val="32"/>
          <w:highlight w:val="none"/>
        </w:rPr>
        <w:t>7</w:t>
      </w:r>
      <w:r>
        <w:rPr>
          <w:rFonts w:hint="eastAsia" w:ascii="仿宋" w:hAnsi="仿宋" w:eastAsia="仿宋" w:cs="仿宋"/>
          <w:b/>
          <w:bCs/>
          <w:color w:val="000000" w:themeColor="text1"/>
          <w:sz w:val="32"/>
          <w:szCs w:val="32"/>
          <w:highlight w:val="none"/>
        </w:rPr>
        <w:t>、</w:t>
      </w:r>
      <w:r>
        <w:rPr>
          <w:rFonts w:hint="eastAsia" w:ascii="仿宋" w:hAnsi="仿宋" w:eastAsia="仿宋" w:cs="仿宋"/>
          <w:b/>
          <w:color w:val="000000" w:themeColor="text1"/>
          <w:sz w:val="32"/>
          <w:szCs w:val="32"/>
          <w:highlight w:val="none"/>
        </w:rPr>
        <w:t>投标人项目业绩一览表</w:t>
      </w:r>
    </w:p>
    <w:tbl>
      <w:tblPr>
        <w:tblStyle w:val="28"/>
        <w:tblW w:w="9333"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90"/>
        <w:gridCol w:w="1310"/>
        <w:gridCol w:w="1260"/>
        <w:gridCol w:w="1155"/>
        <w:gridCol w:w="1195"/>
        <w:gridCol w:w="2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7"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w:t>
            </w:r>
          </w:p>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名称</w:t>
            </w:r>
          </w:p>
        </w:tc>
        <w:tc>
          <w:tcPr>
            <w:tcW w:w="1310"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w:t>
            </w:r>
          </w:p>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地址</w:t>
            </w:r>
          </w:p>
        </w:tc>
        <w:tc>
          <w:tcPr>
            <w:tcW w:w="1260"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合同</w:t>
            </w:r>
          </w:p>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总价</w:t>
            </w:r>
          </w:p>
        </w:tc>
        <w:tc>
          <w:tcPr>
            <w:tcW w:w="1155"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完成</w:t>
            </w:r>
          </w:p>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时间</w:t>
            </w:r>
          </w:p>
        </w:tc>
        <w:tc>
          <w:tcPr>
            <w:tcW w:w="1195"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w:t>
            </w:r>
          </w:p>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质量</w:t>
            </w:r>
          </w:p>
        </w:tc>
        <w:tc>
          <w:tcPr>
            <w:tcW w:w="2146"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项目单位</w:t>
            </w:r>
          </w:p>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1</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2</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3</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color w:val="000000" w:themeColor="text1"/>
                <w:sz w:val="24"/>
                <w:highlight w:val="none"/>
              </w:rPr>
            </w:pPr>
          </w:p>
        </w:tc>
      </w:tr>
    </w:tbl>
    <w:p>
      <w:pPr>
        <w:spacing w:line="360" w:lineRule="auto"/>
        <w:rPr>
          <w:rFonts w:ascii="仿宋" w:hAnsi="仿宋" w:eastAsia="仿宋" w:cs="仿宋"/>
          <w:color w:val="000000" w:themeColor="text1"/>
          <w:sz w:val="24"/>
          <w:highlight w:val="none"/>
          <w:u w:val="single"/>
          <w:lang w:val="en-GB"/>
        </w:rPr>
      </w:pPr>
      <w:r>
        <w:rPr>
          <w:rFonts w:hint="eastAsia" w:ascii="仿宋" w:hAnsi="仿宋" w:eastAsia="仿宋" w:cs="仿宋"/>
          <w:color w:val="000000" w:themeColor="text1"/>
          <w:sz w:val="24"/>
          <w:highlight w:val="none"/>
          <w:lang w:val="en-GB"/>
        </w:rPr>
        <w:t>投标单位：</w:t>
      </w:r>
      <w:r>
        <w:rPr>
          <w:rFonts w:hint="eastAsia" w:ascii="仿宋" w:hAnsi="仿宋" w:eastAsia="仿宋" w:cs="仿宋"/>
          <w:color w:val="000000" w:themeColor="text1"/>
          <w:sz w:val="24"/>
          <w:highlight w:val="none"/>
          <w:u w:val="single"/>
          <w:lang w:val="en-GB"/>
        </w:rPr>
        <w:t>（公章）</w:t>
      </w:r>
    </w:p>
    <w:p>
      <w:pPr>
        <w:spacing w:line="360" w:lineRule="auto"/>
        <w:rPr>
          <w:rFonts w:ascii="仿宋" w:hAnsi="仿宋" w:eastAsia="仿宋" w:cs="仿宋"/>
          <w:color w:val="000000" w:themeColor="text1"/>
          <w:sz w:val="24"/>
          <w:highlight w:val="none"/>
          <w:lang w:val="en-GB"/>
        </w:rPr>
      </w:pPr>
      <w:r>
        <w:rPr>
          <w:rFonts w:hint="eastAsia" w:ascii="仿宋" w:hAnsi="仿宋" w:eastAsia="仿宋" w:cs="仿宋"/>
          <w:color w:val="000000" w:themeColor="text1"/>
          <w:sz w:val="24"/>
          <w:highlight w:val="none"/>
          <w:lang w:val="en-GB"/>
        </w:rPr>
        <w:t>授权代表：</w:t>
      </w:r>
      <w:r>
        <w:rPr>
          <w:rFonts w:hint="eastAsia" w:ascii="仿宋" w:hAnsi="仿宋" w:eastAsia="仿宋" w:cs="仿宋"/>
          <w:bCs/>
          <w:color w:val="000000" w:themeColor="text1"/>
          <w:sz w:val="24"/>
          <w:highlight w:val="none"/>
          <w:u w:val="single"/>
          <w:lang w:val="en-GB"/>
        </w:rPr>
        <w:t>（签名）</w:t>
      </w:r>
    </w:p>
    <w:p>
      <w:pPr>
        <w:spacing w:line="360" w:lineRule="auto"/>
        <w:rPr>
          <w:rFonts w:ascii="仿宋" w:hAnsi="仿宋" w:eastAsia="仿宋" w:cs="仿宋"/>
          <w:b/>
          <w:bCs/>
          <w:color w:val="000000" w:themeColor="text1"/>
          <w:sz w:val="24"/>
          <w:highlight w:val="none"/>
          <w:lang w:val="en-GB"/>
        </w:rPr>
      </w:pPr>
    </w:p>
    <w:p>
      <w:pPr>
        <w:spacing w:line="360" w:lineRule="auto"/>
        <w:rPr>
          <w:rFonts w:ascii="仿宋" w:hAnsi="仿宋" w:eastAsia="仿宋" w:cs="仿宋"/>
          <w:b/>
          <w:bCs/>
          <w:color w:val="000000" w:themeColor="text1"/>
          <w:sz w:val="24"/>
          <w:highlight w:val="none"/>
          <w:lang w:val="en-GB"/>
        </w:rPr>
      </w:pPr>
      <w:r>
        <w:rPr>
          <w:rFonts w:hint="eastAsia" w:ascii="仿宋" w:hAnsi="仿宋" w:eastAsia="仿宋" w:cs="仿宋"/>
          <w:b/>
          <w:bCs/>
          <w:color w:val="000000" w:themeColor="text1"/>
          <w:sz w:val="24"/>
          <w:highlight w:val="none"/>
          <w:lang w:val="en-GB"/>
        </w:rPr>
        <w:t>注：提供合同复印件加盖公章。</w:t>
      </w:r>
    </w:p>
    <w:p>
      <w:pPr>
        <w:tabs>
          <w:tab w:val="left" w:pos="720"/>
        </w:tabs>
        <w:autoSpaceDE w:val="0"/>
        <w:autoSpaceDN w:val="0"/>
        <w:adjustRightInd w:val="0"/>
        <w:spacing w:line="360" w:lineRule="auto"/>
        <w:rPr>
          <w:rFonts w:ascii="仿宋" w:hAnsi="仿宋" w:eastAsia="仿宋" w:cs="仿宋"/>
          <w:color w:val="000000" w:themeColor="text1"/>
          <w:sz w:val="24"/>
          <w:highlight w:val="none"/>
          <w:lang w:val="zh-CN"/>
        </w:rPr>
      </w:pPr>
    </w:p>
    <w:p>
      <w:pPr>
        <w:snapToGrid w:val="0"/>
        <w:spacing w:line="360" w:lineRule="auto"/>
        <w:ind w:firstLine="352" w:firstLineChars="147"/>
        <w:jc w:val="center"/>
        <w:rPr>
          <w:rFonts w:ascii="仿宋" w:hAnsi="仿宋" w:eastAsia="仿宋" w:cs="仿宋"/>
          <w:color w:val="000000" w:themeColor="text1"/>
          <w:sz w:val="24"/>
          <w:highlight w:val="none"/>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9"/>
        <w:spacing w:line="360" w:lineRule="auto"/>
        <w:ind w:right="482"/>
        <w:jc w:val="center"/>
        <w:rPr>
          <w:rFonts w:ascii="仿宋" w:hAnsi="仿宋" w:eastAsia="仿宋" w:cs="仿宋"/>
          <w:b/>
          <w:color w:val="000000" w:themeColor="text1"/>
          <w:sz w:val="36"/>
          <w:szCs w:val="36"/>
          <w:highlight w:val="none"/>
          <w:lang w:eastAsia="zh-CN"/>
        </w:rPr>
      </w:pPr>
    </w:p>
    <w:p>
      <w:pPr>
        <w:pStyle w:val="5"/>
        <w:spacing w:before="0" w:after="0" w:line="360" w:lineRule="auto"/>
        <w:rPr>
          <w:rFonts w:ascii="仿宋" w:hAnsi="仿宋" w:eastAsia="仿宋" w:cs="仿宋"/>
          <w:color w:val="000000" w:themeColor="text1"/>
          <w:highlight w:val="none"/>
          <w:lang w:eastAsia="zh-CN"/>
        </w:rPr>
      </w:pPr>
    </w:p>
    <w:p>
      <w:pPr>
        <w:spacing w:line="360" w:lineRule="auto"/>
        <w:ind w:firstLine="640" w:firstLineChars="200"/>
        <w:jc w:val="center"/>
        <w:rPr>
          <w:rFonts w:ascii="仿宋" w:hAnsi="仿宋" w:eastAsia="仿宋" w:cs="仿宋"/>
          <w:color w:val="000000" w:themeColor="text1"/>
          <w:sz w:val="32"/>
          <w:szCs w:val="32"/>
          <w:highlight w:val="none"/>
        </w:rPr>
      </w:pPr>
      <w:r>
        <w:rPr>
          <w:rFonts w:ascii="仿宋" w:hAnsi="仿宋" w:eastAsia="仿宋" w:cs="仿宋"/>
          <w:color w:val="000000" w:themeColor="text1"/>
          <w:sz w:val="32"/>
          <w:szCs w:val="32"/>
          <w:highlight w:val="none"/>
        </w:rPr>
        <w:t>8</w:t>
      </w:r>
      <w:r>
        <w:rPr>
          <w:rFonts w:hint="eastAsia" w:ascii="仿宋" w:hAnsi="仿宋" w:eastAsia="仿宋" w:cs="仿宋"/>
          <w:color w:val="000000" w:themeColor="text1"/>
          <w:sz w:val="32"/>
          <w:szCs w:val="32"/>
          <w:highlight w:val="none"/>
        </w:rPr>
        <w:t>、政府采购活动信用记录自查承诺函</w:t>
      </w:r>
    </w:p>
    <w:p>
      <w:pPr>
        <w:spacing w:line="360" w:lineRule="auto"/>
        <w:jc w:val="left"/>
        <w:outlineLvl w:val="1"/>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中咨环球（北京）工程咨询有限公司：</w:t>
      </w: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关于本公司（企业）信用情况，经对“信用中国”网站（</w:t>
      </w:r>
      <w:r>
        <w:rPr>
          <w:rFonts w:ascii="仿宋" w:hAnsi="仿宋" w:eastAsia="仿宋" w:cs="仿宋"/>
          <w:color w:val="000000" w:themeColor="text1"/>
          <w:sz w:val="24"/>
          <w:highlight w:val="none"/>
          <w:lang w:val="zh-CN"/>
        </w:rPr>
        <w:t>www.creditchina.gov.cn</w:t>
      </w:r>
      <w:r>
        <w:rPr>
          <w:rFonts w:hint="eastAsia" w:ascii="仿宋" w:hAnsi="仿宋" w:eastAsia="仿宋" w:cs="仿宋"/>
          <w:color w:val="000000" w:themeColor="text1"/>
          <w:sz w:val="24"/>
          <w:highlight w:val="none"/>
          <w:lang w:val="zh-CN"/>
        </w:rPr>
        <w:t>）中企业信用信息、中国政府采购网（</w:t>
      </w:r>
      <w:r>
        <w:rPr>
          <w:rFonts w:ascii="仿宋" w:hAnsi="仿宋" w:eastAsia="仿宋" w:cs="仿宋"/>
          <w:color w:val="000000" w:themeColor="text1"/>
          <w:sz w:val="24"/>
          <w:highlight w:val="none"/>
          <w:lang w:val="zh-CN"/>
        </w:rPr>
        <w:t>www.ccgp.gov.cn</w:t>
      </w:r>
      <w:r>
        <w:rPr>
          <w:rFonts w:hint="eastAsia" w:ascii="仿宋" w:hAnsi="仿宋" w:eastAsia="仿宋" w:cs="仿宋"/>
          <w:color w:val="000000" w:themeColor="text1"/>
          <w:sz w:val="24"/>
          <w:highlight w:val="none"/>
          <w:lang w:val="zh-CN"/>
        </w:rPr>
        <w:t>）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特此承诺！</w:t>
      </w: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相关资格证明材料如下（均提供网站截图加盖公章）：</w:t>
      </w: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附件</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zh-CN"/>
        </w:rPr>
        <w:t>“信用中国”网站没有被列入失信被执行人、重大税收违法案件当事人名单、政府采购严重违法失信行为记录名单中截图证明；</w:t>
      </w: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附件</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zh-CN"/>
        </w:rPr>
        <w:t>中国政府采购网（</w:t>
      </w:r>
      <w:r>
        <w:rPr>
          <w:rFonts w:ascii="仿宋" w:hAnsi="仿宋" w:eastAsia="仿宋" w:cs="仿宋"/>
          <w:color w:val="000000" w:themeColor="text1"/>
          <w:sz w:val="24"/>
          <w:highlight w:val="none"/>
          <w:lang w:val="zh-CN"/>
        </w:rPr>
        <w:t>www.ccgp.gov.cn</w:t>
      </w:r>
      <w:r>
        <w:rPr>
          <w:rFonts w:hint="eastAsia" w:ascii="仿宋" w:hAnsi="仿宋" w:eastAsia="仿宋" w:cs="仿宋"/>
          <w:color w:val="000000" w:themeColor="text1"/>
          <w:sz w:val="24"/>
          <w:highlight w:val="none"/>
          <w:lang w:val="zh-CN"/>
        </w:rPr>
        <w:t>）中“政府采购严重违法失信行为信息记录”截图证明。</w:t>
      </w: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授权代表（签字或盖名章）：</w:t>
      </w: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投标单位（加盖公章）：</w:t>
      </w:r>
    </w:p>
    <w:p>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日期：年月日</w:t>
      </w:r>
    </w:p>
    <w:p>
      <w:pPr>
        <w:pStyle w:val="9"/>
        <w:spacing w:line="360" w:lineRule="auto"/>
        <w:ind w:right="482" w:firstLine="0"/>
        <w:jc w:val="center"/>
        <w:rPr>
          <w:rFonts w:ascii="仿宋" w:hAnsi="仿宋" w:eastAsia="仿宋" w:cs="仿宋"/>
          <w:color w:val="000000" w:themeColor="text1"/>
          <w:sz w:val="30"/>
          <w:highlight w:val="none"/>
          <w:lang w:eastAsia="zh-CN"/>
        </w:rPr>
      </w:pPr>
      <w:r>
        <w:rPr>
          <w:rFonts w:ascii="仿宋" w:hAnsi="仿宋" w:eastAsia="仿宋" w:cs="仿宋"/>
          <w:color w:val="000000" w:themeColor="text1"/>
          <w:sz w:val="24"/>
          <w:highlight w:val="none"/>
          <w:lang w:eastAsia="zh-CN"/>
        </w:rPr>
        <w:br w:type="page"/>
      </w:r>
      <w:bookmarkStart w:id="180" w:name="_Toc18619"/>
      <w:bookmarkStart w:id="181" w:name="_Toc19635"/>
      <w:bookmarkStart w:id="182" w:name="_Toc13835"/>
      <w:r>
        <w:rPr>
          <w:rFonts w:ascii="仿宋" w:hAnsi="仿宋" w:eastAsia="仿宋" w:cs="仿宋"/>
          <w:b/>
          <w:bCs/>
          <w:color w:val="000000" w:themeColor="text1"/>
          <w:sz w:val="30"/>
          <w:highlight w:val="none"/>
          <w:lang w:eastAsia="zh-CN"/>
        </w:rPr>
        <w:t>9</w:t>
      </w:r>
      <w:r>
        <w:rPr>
          <w:rFonts w:hint="eastAsia" w:ascii="仿宋" w:hAnsi="仿宋" w:eastAsia="仿宋" w:cs="仿宋"/>
          <w:b/>
          <w:bCs/>
          <w:color w:val="000000" w:themeColor="text1"/>
          <w:sz w:val="30"/>
          <w:highlight w:val="none"/>
          <w:lang w:eastAsia="zh-CN"/>
        </w:rPr>
        <w:t>、中小企业（监狱企业）声明函</w:t>
      </w:r>
      <w:bookmarkEnd w:id="180"/>
      <w:bookmarkEnd w:id="181"/>
      <w:bookmarkEnd w:id="182"/>
    </w:p>
    <w:p>
      <w:pPr>
        <w:snapToGrid w:val="0"/>
        <w:spacing w:line="360" w:lineRule="auto"/>
        <w:jc w:val="center"/>
        <w:rPr>
          <w:rFonts w:ascii="仿宋" w:hAnsi="仿宋" w:eastAsia="仿宋" w:cs="仿宋"/>
          <w:b/>
          <w:color w:val="000000" w:themeColor="text1"/>
          <w:sz w:val="32"/>
          <w:highlight w:val="none"/>
        </w:rPr>
      </w:pP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本公司（联合体）郑重声明，根据《政府采购促进中小企业发展管理办法》（财库﹝</w:t>
      </w:r>
      <w:r>
        <w:rPr>
          <w:rFonts w:ascii="仿宋" w:hAnsi="仿宋" w:eastAsia="仿宋" w:cs="仿宋"/>
          <w:color w:val="000000" w:themeColor="text1"/>
          <w:kern w:val="0"/>
          <w:sz w:val="24"/>
          <w:highlight w:val="none"/>
        </w:rPr>
        <w:t>2020</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 xml:space="preserve">46 </w:t>
      </w:r>
      <w:r>
        <w:rPr>
          <w:rFonts w:hint="eastAsia" w:ascii="仿宋" w:hAnsi="仿宋" w:eastAsia="仿宋" w:cs="仿宋"/>
          <w:color w:val="000000" w:themeColor="text1"/>
          <w:kern w:val="0"/>
          <w:sz w:val="24"/>
          <w:highlight w:val="none"/>
        </w:rPr>
        <w:t>号）的规定，本公司（联合体）参加</w:t>
      </w:r>
      <w:r>
        <w:rPr>
          <w:rFonts w:hint="eastAsia" w:ascii="仿宋" w:hAnsi="仿宋" w:eastAsia="仿宋" w:cs="仿宋"/>
          <w:color w:val="000000" w:themeColor="text1"/>
          <w:kern w:val="0"/>
          <w:sz w:val="24"/>
          <w:highlight w:val="none"/>
          <w:u w:val="single"/>
        </w:rPr>
        <w:t>（单位名称）</w:t>
      </w:r>
      <w:r>
        <w:rPr>
          <w:rFonts w:hint="eastAsia" w:ascii="仿宋" w:hAnsi="仿宋" w:eastAsia="仿宋" w:cs="仿宋"/>
          <w:color w:val="000000" w:themeColor="text1"/>
          <w:kern w:val="0"/>
          <w:sz w:val="24"/>
          <w:highlight w:val="none"/>
        </w:rPr>
        <w:t>的</w:t>
      </w:r>
      <w:r>
        <w:rPr>
          <w:rFonts w:hint="eastAsia" w:ascii="仿宋" w:hAnsi="仿宋" w:eastAsia="仿宋" w:cs="仿宋"/>
          <w:color w:val="000000" w:themeColor="text1"/>
          <w:kern w:val="0"/>
          <w:sz w:val="24"/>
          <w:highlight w:val="none"/>
          <w:u w:val="single"/>
        </w:rPr>
        <w:t>（项目名称）</w:t>
      </w:r>
      <w:r>
        <w:rPr>
          <w:rFonts w:hint="eastAsia" w:ascii="仿宋" w:hAnsi="仿宋" w:eastAsia="仿宋" w:cs="仿宋"/>
          <w:color w:val="000000" w:themeColor="text1"/>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 xml:space="preserve">1. </w:t>
      </w:r>
      <w:r>
        <w:rPr>
          <w:rFonts w:hint="eastAsia" w:ascii="仿宋" w:hAnsi="仿宋" w:eastAsia="仿宋" w:cs="仿宋"/>
          <w:color w:val="000000" w:themeColor="text1"/>
          <w:kern w:val="0"/>
          <w:sz w:val="24"/>
          <w:highlight w:val="none"/>
          <w:u w:val="single"/>
        </w:rPr>
        <w:t>（标的名称）</w:t>
      </w:r>
      <w:r>
        <w:rPr>
          <w:rFonts w:hint="eastAsia" w:ascii="仿宋" w:hAnsi="仿宋" w:eastAsia="仿宋" w:cs="仿宋"/>
          <w:color w:val="000000" w:themeColor="text1"/>
          <w:kern w:val="0"/>
          <w:sz w:val="24"/>
          <w:highlight w:val="none"/>
        </w:rPr>
        <w:t>，属于</w:t>
      </w:r>
      <w:r>
        <w:rPr>
          <w:rFonts w:hint="eastAsia" w:ascii="仿宋" w:hAnsi="仿宋" w:eastAsia="仿宋" w:cs="仿宋"/>
          <w:color w:val="000000" w:themeColor="text1"/>
          <w:kern w:val="0"/>
          <w:sz w:val="24"/>
          <w:highlight w:val="none"/>
          <w:u w:val="single"/>
        </w:rPr>
        <w:t>（采购文件中明确的所属行业）</w:t>
      </w:r>
      <w:r>
        <w:rPr>
          <w:rFonts w:hint="eastAsia" w:ascii="仿宋" w:hAnsi="仿宋" w:eastAsia="仿宋" w:cs="仿宋"/>
          <w:color w:val="000000" w:themeColor="text1"/>
          <w:kern w:val="0"/>
          <w:sz w:val="24"/>
          <w:highlight w:val="none"/>
        </w:rPr>
        <w:t>；承建（承接）企业为</w:t>
      </w:r>
      <w:r>
        <w:rPr>
          <w:rFonts w:hint="eastAsia" w:ascii="仿宋" w:hAnsi="仿宋" w:eastAsia="仿宋" w:cs="仿宋"/>
          <w:color w:val="000000" w:themeColor="text1"/>
          <w:kern w:val="0"/>
          <w:sz w:val="24"/>
          <w:highlight w:val="none"/>
          <w:u w:val="single"/>
        </w:rPr>
        <w:t>（企业名称）</w:t>
      </w:r>
      <w:r>
        <w:rPr>
          <w:rFonts w:hint="eastAsia" w:ascii="仿宋" w:hAnsi="仿宋" w:eastAsia="仿宋" w:cs="仿宋"/>
          <w:color w:val="000000" w:themeColor="text1"/>
          <w:kern w:val="0"/>
          <w:sz w:val="24"/>
          <w:highlight w:val="none"/>
        </w:rPr>
        <w:t>，从业人员人，营业收入为万元，资产总额为万元，属于</w:t>
      </w:r>
      <w:r>
        <w:rPr>
          <w:rFonts w:hint="eastAsia" w:ascii="仿宋" w:hAnsi="仿宋" w:eastAsia="仿宋" w:cs="仿宋"/>
          <w:color w:val="000000" w:themeColor="text1"/>
          <w:kern w:val="0"/>
          <w:sz w:val="24"/>
          <w:highlight w:val="none"/>
          <w:u w:val="single"/>
        </w:rPr>
        <w:t>（中型企业、小型企业、微型企业）</w:t>
      </w:r>
      <w:r>
        <w:rPr>
          <w:rFonts w:hint="eastAsia" w:ascii="仿宋" w:hAnsi="仿宋" w:eastAsia="仿宋" w:cs="仿宋"/>
          <w:color w:val="000000" w:themeColor="text1"/>
          <w:kern w:val="0"/>
          <w:sz w:val="24"/>
          <w:highlight w:val="none"/>
        </w:rPr>
        <w:t>；</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 xml:space="preserve">2. </w:t>
      </w:r>
      <w:r>
        <w:rPr>
          <w:rFonts w:hint="eastAsia" w:ascii="仿宋" w:hAnsi="仿宋" w:eastAsia="仿宋" w:cs="仿宋"/>
          <w:color w:val="000000" w:themeColor="text1"/>
          <w:kern w:val="0"/>
          <w:sz w:val="24"/>
          <w:highlight w:val="none"/>
          <w:u w:val="single"/>
        </w:rPr>
        <w:t>（标的名称）</w:t>
      </w:r>
      <w:r>
        <w:rPr>
          <w:rFonts w:hint="eastAsia" w:ascii="仿宋" w:hAnsi="仿宋" w:eastAsia="仿宋" w:cs="仿宋"/>
          <w:color w:val="000000" w:themeColor="text1"/>
          <w:kern w:val="0"/>
          <w:sz w:val="24"/>
          <w:highlight w:val="none"/>
        </w:rPr>
        <w:t>，属于</w:t>
      </w:r>
      <w:r>
        <w:rPr>
          <w:rFonts w:hint="eastAsia" w:ascii="仿宋" w:hAnsi="仿宋" w:eastAsia="仿宋" w:cs="仿宋"/>
          <w:color w:val="000000" w:themeColor="text1"/>
          <w:kern w:val="0"/>
          <w:sz w:val="24"/>
          <w:highlight w:val="none"/>
          <w:u w:val="single"/>
        </w:rPr>
        <w:t>（采购文件中明确的所属行业）</w:t>
      </w:r>
      <w:r>
        <w:rPr>
          <w:rFonts w:hint="eastAsia" w:ascii="仿宋" w:hAnsi="仿宋" w:eastAsia="仿宋" w:cs="仿宋"/>
          <w:color w:val="000000" w:themeColor="text1"/>
          <w:kern w:val="0"/>
          <w:sz w:val="24"/>
          <w:highlight w:val="none"/>
        </w:rPr>
        <w:t>；承建（承接）企业为</w:t>
      </w:r>
      <w:r>
        <w:rPr>
          <w:rFonts w:hint="eastAsia" w:ascii="仿宋" w:hAnsi="仿宋" w:eastAsia="仿宋" w:cs="仿宋"/>
          <w:color w:val="000000" w:themeColor="text1"/>
          <w:kern w:val="0"/>
          <w:sz w:val="24"/>
          <w:highlight w:val="none"/>
          <w:u w:val="single"/>
        </w:rPr>
        <w:t>（企业名称）</w:t>
      </w:r>
      <w:r>
        <w:rPr>
          <w:rFonts w:hint="eastAsia" w:ascii="仿宋" w:hAnsi="仿宋" w:eastAsia="仿宋" w:cs="仿宋"/>
          <w:color w:val="000000" w:themeColor="text1"/>
          <w:kern w:val="0"/>
          <w:sz w:val="24"/>
          <w:highlight w:val="none"/>
        </w:rPr>
        <w:t>，从业人员人，营业收入为万元，资产总额为万元，属于</w:t>
      </w:r>
      <w:r>
        <w:rPr>
          <w:rFonts w:hint="eastAsia" w:ascii="仿宋" w:hAnsi="仿宋" w:eastAsia="仿宋" w:cs="仿宋"/>
          <w:color w:val="000000" w:themeColor="text1"/>
          <w:kern w:val="0"/>
          <w:sz w:val="24"/>
          <w:highlight w:val="none"/>
          <w:u w:val="single"/>
        </w:rPr>
        <w:t>（中型企业、小型企业、微型企业）</w:t>
      </w:r>
      <w:r>
        <w:rPr>
          <w:rFonts w:hint="eastAsia" w:ascii="仿宋" w:hAnsi="仿宋" w:eastAsia="仿宋" w:cs="仿宋"/>
          <w:color w:val="000000" w:themeColor="text1"/>
          <w:kern w:val="0"/>
          <w:sz w:val="24"/>
          <w:highlight w:val="none"/>
        </w:rPr>
        <w:t>；</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本企业对上述声明内容的真实性负责。如有虚假，将依法承担相应责任。</w:t>
      </w: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kern w:val="0"/>
          <w:sz w:val="24"/>
          <w:highlight w:val="none"/>
        </w:rPr>
      </w:pPr>
    </w:p>
    <w:p>
      <w:pPr>
        <w:widowControl/>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企业名称（盖章）：</w:t>
      </w:r>
    </w:p>
    <w:p>
      <w:pPr>
        <w:widowControl/>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日期：</w:t>
      </w:r>
    </w:p>
    <w:p>
      <w:pPr>
        <w:snapToGrid w:val="0"/>
        <w:spacing w:line="360" w:lineRule="auto"/>
        <w:jc w:val="center"/>
        <w:rPr>
          <w:rFonts w:ascii="仿宋" w:hAnsi="仿宋" w:eastAsia="仿宋" w:cs="仿宋"/>
          <w:b/>
          <w:color w:val="000000" w:themeColor="text1"/>
          <w:sz w:val="32"/>
          <w:highlight w:val="none"/>
        </w:rPr>
      </w:pPr>
    </w:p>
    <w:p>
      <w:pPr>
        <w:snapToGrid w:val="0"/>
        <w:spacing w:line="360" w:lineRule="auto"/>
        <w:jc w:val="center"/>
        <w:rPr>
          <w:rFonts w:ascii="仿宋" w:hAnsi="仿宋" w:eastAsia="仿宋" w:cs="仿宋"/>
          <w:b/>
          <w:color w:val="000000" w:themeColor="text1"/>
          <w:sz w:val="32"/>
          <w:highlight w:val="none"/>
        </w:rPr>
      </w:pPr>
    </w:p>
    <w:p>
      <w:pPr>
        <w:keepNext/>
        <w:keepLines/>
        <w:tabs>
          <w:tab w:val="left" w:pos="900"/>
        </w:tabs>
        <w:snapToGrid w:val="0"/>
        <w:spacing w:line="360" w:lineRule="auto"/>
        <w:ind w:left="540"/>
        <w:jc w:val="center"/>
        <w:rPr>
          <w:rFonts w:ascii="仿宋" w:hAnsi="仿宋" w:eastAsia="仿宋" w:cs="仿宋"/>
          <w:color w:val="000000" w:themeColor="text1"/>
          <w:sz w:val="30"/>
          <w:highlight w:val="none"/>
        </w:rPr>
      </w:pPr>
      <w:r>
        <w:rPr>
          <w:rFonts w:ascii="仿宋" w:hAnsi="仿宋" w:eastAsia="仿宋" w:cs="仿宋"/>
          <w:color w:val="000000" w:themeColor="text1"/>
          <w:highlight w:val="none"/>
        </w:rPr>
        <w:br w:type="page"/>
      </w:r>
      <w:r>
        <w:rPr>
          <w:rFonts w:ascii="仿宋" w:hAnsi="仿宋" w:eastAsia="仿宋" w:cs="仿宋"/>
          <w:b/>
          <w:color w:val="000000" w:themeColor="text1"/>
          <w:sz w:val="32"/>
          <w:szCs w:val="32"/>
          <w:highlight w:val="none"/>
        </w:rPr>
        <w:t>10</w:t>
      </w:r>
      <w:r>
        <w:rPr>
          <w:rFonts w:hint="eastAsia" w:ascii="仿宋" w:hAnsi="仿宋" w:eastAsia="仿宋" w:cs="仿宋"/>
          <w:b/>
          <w:color w:val="000000" w:themeColor="text1"/>
          <w:sz w:val="32"/>
          <w:szCs w:val="32"/>
          <w:highlight w:val="none"/>
        </w:rPr>
        <w:t>、残疾人福利性单位声明函</w:t>
      </w:r>
    </w:p>
    <w:p>
      <w:pPr>
        <w:snapToGrid w:val="0"/>
        <w:spacing w:line="360" w:lineRule="auto"/>
        <w:rPr>
          <w:rFonts w:ascii="仿宋" w:hAnsi="仿宋" w:eastAsia="仿宋" w:cs="仿宋"/>
          <w:b/>
          <w:color w:val="000000" w:themeColor="text1"/>
          <w:spacing w:val="6"/>
          <w:sz w:val="24"/>
          <w:highlight w:val="none"/>
        </w:rPr>
      </w:pPr>
    </w:p>
    <w:p>
      <w:pPr>
        <w:snapToGrid w:val="0"/>
        <w:spacing w:line="360" w:lineRule="auto"/>
        <w:ind w:firstLine="504"/>
        <w:rPr>
          <w:rFonts w:ascii="仿宋" w:hAnsi="仿宋" w:eastAsia="仿宋" w:cs="仿宋"/>
          <w:color w:val="000000" w:themeColor="text1"/>
          <w:spacing w:val="6"/>
          <w:sz w:val="24"/>
          <w:highlight w:val="none"/>
        </w:rPr>
      </w:pPr>
      <w:r>
        <w:rPr>
          <w:rFonts w:hint="eastAsia" w:ascii="仿宋" w:hAnsi="仿宋" w:eastAsia="仿宋" w:cs="仿宋"/>
          <w:color w:val="000000" w:themeColor="text1"/>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2017</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141</w:t>
      </w:r>
      <w:r>
        <w:rPr>
          <w:rFonts w:hint="eastAsia" w:ascii="仿宋" w:hAnsi="仿宋" w:eastAsia="仿宋" w:cs="仿宋"/>
          <w:color w:val="000000" w:themeColor="text1"/>
          <w:spacing w:val="6"/>
          <w:sz w:val="24"/>
          <w:highlight w:val="none"/>
        </w:rPr>
        <w:t>号）的规定，本单位为符合条件的残疾人福利性单位，且本单位参加</w:t>
      </w:r>
      <w:r>
        <w:rPr>
          <w:rFonts w:ascii="仿宋" w:hAnsi="仿宋" w:eastAsia="仿宋" w:cs="仿宋"/>
          <w:color w:val="000000" w:themeColor="text1"/>
          <w:spacing w:val="6"/>
          <w:sz w:val="24"/>
          <w:highlight w:val="none"/>
        </w:rPr>
        <w:t>______</w:t>
      </w:r>
      <w:r>
        <w:rPr>
          <w:rFonts w:hint="eastAsia" w:ascii="仿宋" w:hAnsi="仿宋" w:eastAsia="仿宋" w:cs="仿宋"/>
          <w:color w:val="000000" w:themeColor="text1"/>
          <w:spacing w:val="6"/>
          <w:sz w:val="24"/>
          <w:highlight w:val="none"/>
        </w:rPr>
        <w:t>单位的</w:t>
      </w:r>
      <w:r>
        <w:rPr>
          <w:rFonts w:ascii="仿宋" w:hAnsi="仿宋" w:eastAsia="仿宋" w:cs="仿宋"/>
          <w:color w:val="000000" w:themeColor="text1"/>
          <w:spacing w:val="6"/>
          <w:sz w:val="24"/>
          <w:highlight w:val="none"/>
        </w:rPr>
        <w:t>______</w:t>
      </w:r>
      <w:r>
        <w:rPr>
          <w:rFonts w:hint="eastAsia" w:ascii="仿宋" w:hAnsi="仿宋" w:eastAsia="仿宋" w:cs="仿宋"/>
          <w:color w:val="000000" w:themeColor="text1"/>
          <w:spacing w:val="6"/>
          <w:sz w:val="24"/>
          <w:highlight w:val="none"/>
        </w:rPr>
        <w:t>项目采购活动提供本单位制造的货物（由本单位承担工程</w:t>
      </w:r>
      <w:r>
        <w:rPr>
          <w:rFonts w:ascii="仿宋" w:hAnsi="仿宋" w:eastAsia="仿宋" w:cs="仿宋"/>
          <w:color w:val="000000" w:themeColor="text1"/>
          <w:spacing w:val="6"/>
          <w:sz w:val="24"/>
          <w:highlight w:val="none"/>
        </w:rPr>
        <w:t>/</w:t>
      </w:r>
      <w:r>
        <w:rPr>
          <w:rFonts w:hint="eastAsia" w:ascii="仿宋" w:hAnsi="仿宋" w:eastAsia="仿宋" w:cs="仿宋"/>
          <w:color w:val="000000" w:themeColor="text1"/>
          <w:spacing w:val="6"/>
          <w:sz w:val="24"/>
          <w:highlight w:val="none"/>
        </w:rPr>
        <w:t>提供服务），或者提供其他残疾人福利性单位制造的货物（不包括使用非残疾人福利性单位注册商标的货物）。</w:t>
      </w:r>
    </w:p>
    <w:p>
      <w:pPr>
        <w:snapToGrid w:val="0"/>
        <w:spacing w:line="360" w:lineRule="auto"/>
        <w:ind w:firstLine="504"/>
        <w:rPr>
          <w:rFonts w:ascii="仿宋" w:hAnsi="仿宋" w:eastAsia="仿宋" w:cs="仿宋"/>
          <w:color w:val="000000" w:themeColor="text1"/>
          <w:spacing w:val="6"/>
          <w:sz w:val="24"/>
          <w:highlight w:val="none"/>
        </w:rPr>
      </w:pPr>
      <w:r>
        <w:rPr>
          <w:rFonts w:hint="eastAsia" w:ascii="仿宋" w:hAnsi="仿宋" w:eastAsia="仿宋" w:cs="仿宋"/>
          <w:color w:val="000000" w:themeColor="text1"/>
          <w:spacing w:val="6"/>
          <w:sz w:val="24"/>
          <w:highlight w:val="none"/>
        </w:rPr>
        <w:t>本单位对上述声明的真实性负责。如有虚假，将依法承担相应责任。</w:t>
      </w:r>
    </w:p>
    <w:p>
      <w:pPr>
        <w:snapToGrid w:val="0"/>
        <w:spacing w:line="360" w:lineRule="auto"/>
        <w:rPr>
          <w:rFonts w:ascii="仿宋" w:hAnsi="仿宋" w:eastAsia="仿宋" w:cs="仿宋"/>
          <w:color w:val="000000" w:themeColor="text1"/>
          <w:spacing w:val="6"/>
          <w:sz w:val="24"/>
          <w:highlight w:val="none"/>
        </w:rPr>
      </w:pPr>
    </w:p>
    <w:p>
      <w:pPr>
        <w:snapToGrid w:val="0"/>
        <w:spacing w:line="360" w:lineRule="auto"/>
        <w:rPr>
          <w:rFonts w:ascii="仿宋" w:hAnsi="仿宋" w:eastAsia="仿宋" w:cs="仿宋"/>
          <w:color w:val="000000" w:themeColor="text1"/>
          <w:spacing w:val="6"/>
          <w:sz w:val="24"/>
          <w:highlight w:val="none"/>
        </w:rPr>
      </w:pPr>
    </w:p>
    <w:p>
      <w:pPr>
        <w:tabs>
          <w:tab w:val="left" w:pos="4860"/>
        </w:tabs>
        <w:snapToGrid w:val="0"/>
        <w:spacing w:line="360" w:lineRule="auto"/>
        <w:ind w:right="1560"/>
        <w:rPr>
          <w:rFonts w:ascii="仿宋" w:hAnsi="仿宋" w:eastAsia="仿宋" w:cs="仿宋"/>
          <w:b/>
          <w:color w:val="000000" w:themeColor="text1"/>
          <w:spacing w:val="6"/>
          <w:sz w:val="24"/>
          <w:highlight w:val="none"/>
        </w:rPr>
      </w:pPr>
      <w:r>
        <w:rPr>
          <w:rFonts w:hint="eastAsia" w:ascii="仿宋" w:hAnsi="仿宋" w:eastAsia="仿宋" w:cs="仿宋"/>
          <w:b/>
          <w:color w:val="000000" w:themeColor="text1"/>
          <w:spacing w:val="6"/>
          <w:sz w:val="24"/>
          <w:highlight w:val="none"/>
        </w:rPr>
        <w:t>单位名称（盖章）：</w:t>
      </w:r>
    </w:p>
    <w:p>
      <w:pPr>
        <w:snapToGrid w:val="0"/>
        <w:spacing w:line="360" w:lineRule="auto"/>
        <w:rPr>
          <w:rFonts w:ascii="仿宋" w:hAnsi="仿宋" w:eastAsia="仿宋" w:cs="仿宋"/>
          <w:b/>
          <w:color w:val="000000" w:themeColor="text1"/>
          <w:spacing w:val="6"/>
          <w:sz w:val="24"/>
          <w:highlight w:val="none"/>
        </w:rPr>
      </w:pPr>
    </w:p>
    <w:p>
      <w:pPr>
        <w:snapToGrid w:val="0"/>
        <w:spacing w:line="360" w:lineRule="auto"/>
        <w:rPr>
          <w:rFonts w:ascii="仿宋" w:hAnsi="仿宋" w:eastAsia="仿宋" w:cs="仿宋"/>
          <w:b/>
          <w:color w:val="000000" w:themeColor="text1"/>
          <w:spacing w:val="6"/>
          <w:sz w:val="24"/>
          <w:highlight w:val="none"/>
        </w:rPr>
      </w:pPr>
      <w:r>
        <w:rPr>
          <w:rFonts w:hint="eastAsia" w:ascii="仿宋" w:hAnsi="仿宋" w:eastAsia="仿宋" w:cs="仿宋"/>
          <w:b/>
          <w:color w:val="000000" w:themeColor="text1"/>
          <w:spacing w:val="6"/>
          <w:sz w:val="24"/>
          <w:highlight w:val="none"/>
        </w:rPr>
        <w:t>日期：</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w:t>
      </w:r>
    </w:p>
    <w:p>
      <w:pPr>
        <w:numPr>
          <w:ilvl w:val="0"/>
          <w:numId w:val="9"/>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9"/>
        </w:num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投标人为非残疾人福利性单位的，可不提供此声明。</w:t>
      </w: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pStyle w:val="27"/>
        <w:ind w:firstLine="480"/>
        <w:rPr>
          <w:rFonts w:ascii="仿宋" w:hAnsi="仿宋" w:eastAsia="仿宋" w:cs="仿宋"/>
          <w:sz w:val="24"/>
          <w:lang w:eastAsia="zh-CN"/>
        </w:rPr>
      </w:pPr>
    </w:p>
    <w:p>
      <w:pPr>
        <w:tabs>
          <w:tab w:val="left" w:pos="720"/>
        </w:tabs>
        <w:autoSpaceDE w:val="0"/>
        <w:autoSpaceDN w:val="0"/>
        <w:adjustRightInd w:val="0"/>
        <w:spacing w:line="360" w:lineRule="auto"/>
        <w:rPr>
          <w:rFonts w:ascii="仿宋" w:hAnsi="仿宋" w:eastAsia="仿宋" w:cs="仿宋"/>
          <w:sz w:val="24"/>
          <w:lang w:val="zh-CN"/>
        </w:rPr>
      </w:pPr>
    </w:p>
    <w:sectPr>
      <w:footerReference r:id="rId9" w:type="default"/>
      <w:pgSz w:w="11849" w:h="16781"/>
      <w:pgMar w:top="1134" w:right="1134" w:bottom="1134" w:left="1531" w:header="720" w:footer="7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PMingLiUfalt">
    <w:altName w:val="MingLiU"/>
    <w:panose1 w:val="00000000000000000000"/>
    <w:charset w:val="88"/>
    <w:family w:val="roma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- 19 -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000000" w:sz="4" w:space="0"/>
      </w:pBdr>
      <w:jc w:val="left"/>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sz w:val="30"/>
        <w:szCs w:val="30"/>
      </w:rPr>
      <w:t>中咨环球（北京）工程咨询有限公司</w:t>
    </w:r>
    <w:r>
      <w:rPr>
        <w:sz w:val="30"/>
        <w:szCs w:val="30"/>
      </w:rPr>
      <w:t xml:space="preserve">                HNZH-2020-102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B8061"/>
    <w:multiLevelType w:val="singleLevel"/>
    <w:tmpl w:val="8FDB8061"/>
    <w:lvl w:ilvl="0" w:tentative="0">
      <w:start w:val="1"/>
      <w:numFmt w:val="decimal"/>
      <w:suff w:val="nothing"/>
      <w:lvlText w:val="%1、"/>
      <w:lvlJc w:val="left"/>
    </w:lvl>
  </w:abstractNum>
  <w:abstractNum w:abstractNumId="1">
    <w:nsid w:val="93410E63"/>
    <w:multiLevelType w:val="singleLevel"/>
    <w:tmpl w:val="93410E63"/>
    <w:lvl w:ilvl="0" w:tentative="0">
      <w:start w:val="1"/>
      <w:numFmt w:val="decimal"/>
      <w:suff w:val="nothing"/>
      <w:lvlText w:val="（%1）"/>
      <w:lvlJc w:val="left"/>
    </w:lvl>
  </w:abstractNum>
  <w:abstractNum w:abstractNumId="2">
    <w:nsid w:val="F93B3137"/>
    <w:multiLevelType w:val="singleLevel"/>
    <w:tmpl w:val="F93B3137"/>
    <w:lvl w:ilvl="0" w:tentative="0">
      <w:start w:val="1"/>
      <w:numFmt w:val="decimal"/>
      <w:suff w:val="nothing"/>
      <w:lvlText w:val="（%1）"/>
      <w:lvlJc w:val="left"/>
      <w:rPr>
        <w:rFonts w:cs="Times New Roman"/>
      </w:rPr>
    </w:lvl>
  </w:abstractNum>
  <w:abstractNum w:abstractNumId="3">
    <w:nsid w:val="07921566"/>
    <w:multiLevelType w:val="multilevel"/>
    <w:tmpl w:val="07921566"/>
    <w:lvl w:ilvl="0" w:tentative="0">
      <w:start w:val="1"/>
      <w:numFmt w:val="chineseCountingThousand"/>
      <w:pStyle w:val="83"/>
      <w:lvlText w:val="%1、"/>
      <w:lvlJc w:val="left"/>
      <w:pPr>
        <w:ind w:left="420" w:hanging="420"/>
      </w:pPr>
      <w:rPr>
        <w:rFonts w:hint="eastAsia" w:eastAsia="仿宋" w:cs="Times New Roman"/>
        <w:sz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00D2885"/>
    <w:multiLevelType w:val="multilevel"/>
    <w:tmpl w:val="300D2885"/>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4F9E2B85"/>
    <w:multiLevelType w:val="multilevel"/>
    <w:tmpl w:val="4F9E2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946295"/>
    <w:multiLevelType w:val="singleLevel"/>
    <w:tmpl w:val="5C946295"/>
    <w:lvl w:ilvl="0" w:tentative="0">
      <w:start w:val="0"/>
      <w:numFmt w:val="none"/>
      <w:lvlText w:val=""/>
      <w:lvlJc w:val="left"/>
      <w:pPr>
        <w:tabs>
          <w:tab w:val="left" w:pos="360"/>
        </w:tabs>
      </w:pPr>
      <w:rPr>
        <w:rFonts w:cs="Times New Roman"/>
      </w:rPr>
    </w:lvl>
  </w:abstractNum>
  <w:abstractNum w:abstractNumId="7">
    <w:nsid w:val="6635C97A"/>
    <w:multiLevelType w:val="singleLevel"/>
    <w:tmpl w:val="6635C97A"/>
    <w:lvl w:ilvl="0" w:tentative="0">
      <w:start w:val="2"/>
      <w:numFmt w:val="chineseCounting"/>
      <w:suff w:val="nothing"/>
      <w:lvlText w:val="%1、"/>
      <w:lvlJc w:val="left"/>
      <w:rPr>
        <w:rFonts w:hint="eastAsia" w:cs="Times New Roman"/>
      </w:rPr>
    </w:lvl>
  </w:abstractNum>
  <w:abstractNum w:abstractNumId="8">
    <w:nsid w:val="6AAA39C2"/>
    <w:multiLevelType w:val="multilevel"/>
    <w:tmpl w:val="6AAA39C2"/>
    <w:lvl w:ilvl="0" w:tentative="0">
      <w:start w:val="1"/>
      <w:numFmt w:val="decimal"/>
      <w:pStyle w:val="96"/>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3"/>
  </w:num>
  <w:num w:numId="2">
    <w:abstractNumId w:val="8"/>
  </w:num>
  <w:num w:numId="3">
    <w:abstractNumId w:val="0"/>
  </w:num>
  <w:num w:numId="4">
    <w:abstractNumId w:val="1"/>
  </w:num>
  <w:num w:numId="5">
    <w:abstractNumId w:val="2"/>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62"/>
    <w:rsid w:val="00011632"/>
    <w:rsid w:val="0001253C"/>
    <w:rsid w:val="000146A3"/>
    <w:rsid w:val="00014978"/>
    <w:rsid w:val="00017570"/>
    <w:rsid w:val="00024BD3"/>
    <w:rsid w:val="00064EA5"/>
    <w:rsid w:val="00067A5F"/>
    <w:rsid w:val="00067C61"/>
    <w:rsid w:val="00072D2D"/>
    <w:rsid w:val="00074D05"/>
    <w:rsid w:val="00082314"/>
    <w:rsid w:val="000862C6"/>
    <w:rsid w:val="000863A5"/>
    <w:rsid w:val="00086D92"/>
    <w:rsid w:val="0009373F"/>
    <w:rsid w:val="00097AB2"/>
    <w:rsid w:val="000A6769"/>
    <w:rsid w:val="000B285C"/>
    <w:rsid w:val="000B28E1"/>
    <w:rsid w:val="000D1710"/>
    <w:rsid w:val="000D66B8"/>
    <w:rsid w:val="000E092B"/>
    <w:rsid w:val="000E3A58"/>
    <w:rsid w:val="000E73F1"/>
    <w:rsid w:val="000F1EAB"/>
    <w:rsid w:val="000F5C22"/>
    <w:rsid w:val="00101337"/>
    <w:rsid w:val="001114E4"/>
    <w:rsid w:val="00120BF5"/>
    <w:rsid w:val="001222B8"/>
    <w:rsid w:val="001233AC"/>
    <w:rsid w:val="0012468A"/>
    <w:rsid w:val="001267E4"/>
    <w:rsid w:val="0013381E"/>
    <w:rsid w:val="001344A5"/>
    <w:rsid w:val="00134E00"/>
    <w:rsid w:val="001412F9"/>
    <w:rsid w:val="0014261F"/>
    <w:rsid w:val="001444DE"/>
    <w:rsid w:val="00144B8B"/>
    <w:rsid w:val="001474A5"/>
    <w:rsid w:val="001477AF"/>
    <w:rsid w:val="00147CD2"/>
    <w:rsid w:val="001727C8"/>
    <w:rsid w:val="00172A27"/>
    <w:rsid w:val="00176500"/>
    <w:rsid w:val="00177A1A"/>
    <w:rsid w:val="001843E0"/>
    <w:rsid w:val="0018496A"/>
    <w:rsid w:val="0018744A"/>
    <w:rsid w:val="001875D7"/>
    <w:rsid w:val="001956F4"/>
    <w:rsid w:val="00195AE6"/>
    <w:rsid w:val="00195E04"/>
    <w:rsid w:val="00195EC7"/>
    <w:rsid w:val="001A0602"/>
    <w:rsid w:val="001A1A1B"/>
    <w:rsid w:val="001A6E01"/>
    <w:rsid w:val="001A726A"/>
    <w:rsid w:val="001A780C"/>
    <w:rsid w:val="001B5AF5"/>
    <w:rsid w:val="001B6ECF"/>
    <w:rsid w:val="001C41FD"/>
    <w:rsid w:val="001D4CC7"/>
    <w:rsid w:val="001D4DB1"/>
    <w:rsid w:val="001D4FB5"/>
    <w:rsid w:val="001E1ED4"/>
    <w:rsid w:val="001E2343"/>
    <w:rsid w:val="001E2DCC"/>
    <w:rsid w:val="001F1621"/>
    <w:rsid w:val="001F30AD"/>
    <w:rsid w:val="001F70BE"/>
    <w:rsid w:val="002016D2"/>
    <w:rsid w:val="002026DB"/>
    <w:rsid w:val="00202ED7"/>
    <w:rsid w:val="002106EB"/>
    <w:rsid w:val="00213FF2"/>
    <w:rsid w:val="0023007D"/>
    <w:rsid w:val="00233916"/>
    <w:rsid w:val="002352E0"/>
    <w:rsid w:val="00240227"/>
    <w:rsid w:val="002428CA"/>
    <w:rsid w:val="002470AB"/>
    <w:rsid w:val="002471E6"/>
    <w:rsid w:val="00250897"/>
    <w:rsid w:val="002554CC"/>
    <w:rsid w:val="00256BA4"/>
    <w:rsid w:val="00261CB6"/>
    <w:rsid w:val="002713B0"/>
    <w:rsid w:val="002715B1"/>
    <w:rsid w:val="00273702"/>
    <w:rsid w:val="0027642F"/>
    <w:rsid w:val="00281AC5"/>
    <w:rsid w:val="00282626"/>
    <w:rsid w:val="00282E8A"/>
    <w:rsid w:val="0028560F"/>
    <w:rsid w:val="002A178D"/>
    <w:rsid w:val="002B304E"/>
    <w:rsid w:val="002B3EFD"/>
    <w:rsid w:val="002B7941"/>
    <w:rsid w:val="002B7C2A"/>
    <w:rsid w:val="002C6EAC"/>
    <w:rsid w:val="002D265A"/>
    <w:rsid w:val="002D4B9D"/>
    <w:rsid w:val="002E490E"/>
    <w:rsid w:val="002E59FD"/>
    <w:rsid w:val="002F2A16"/>
    <w:rsid w:val="002F35F6"/>
    <w:rsid w:val="002F6858"/>
    <w:rsid w:val="003114AC"/>
    <w:rsid w:val="003153B8"/>
    <w:rsid w:val="00320497"/>
    <w:rsid w:val="003208EA"/>
    <w:rsid w:val="003218A8"/>
    <w:rsid w:val="00330793"/>
    <w:rsid w:val="0033394C"/>
    <w:rsid w:val="003443A7"/>
    <w:rsid w:val="00346FDA"/>
    <w:rsid w:val="00350244"/>
    <w:rsid w:val="00351B6F"/>
    <w:rsid w:val="00354B48"/>
    <w:rsid w:val="00357B2A"/>
    <w:rsid w:val="00360BAE"/>
    <w:rsid w:val="00363833"/>
    <w:rsid w:val="003656A1"/>
    <w:rsid w:val="003708ED"/>
    <w:rsid w:val="003772BF"/>
    <w:rsid w:val="00393554"/>
    <w:rsid w:val="003942C7"/>
    <w:rsid w:val="00394588"/>
    <w:rsid w:val="0039538D"/>
    <w:rsid w:val="003A0ECA"/>
    <w:rsid w:val="003B3F62"/>
    <w:rsid w:val="003B5095"/>
    <w:rsid w:val="003B5994"/>
    <w:rsid w:val="003C0525"/>
    <w:rsid w:val="003C1D1D"/>
    <w:rsid w:val="003C2C39"/>
    <w:rsid w:val="003C3463"/>
    <w:rsid w:val="003D3430"/>
    <w:rsid w:val="003D6607"/>
    <w:rsid w:val="003D7984"/>
    <w:rsid w:val="003E1049"/>
    <w:rsid w:val="003F6120"/>
    <w:rsid w:val="00400B6F"/>
    <w:rsid w:val="00401083"/>
    <w:rsid w:val="00406703"/>
    <w:rsid w:val="0042192D"/>
    <w:rsid w:val="00421A02"/>
    <w:rsid w:val="00425EB0"/>
    <w:rsid w:val="004266B2"/>
    <w:rsid w:val="004268CB"/>
    <w:rsid w:val="00434380"/>
    <w:rsid w:val="0044215A"/>
    <w:rsid w:val="00442450"/>
    <w:rsid w:val="004449A8"/>
    <w:rsid w:val="00446088"/>
    <w:rsid w:val="004460AC"/>
    <w:rsid w:val="00450A90"/>
    <w:rsid w:val="00454278"/>
    <w:rsid w:val="00456907"/>
    <w:rsid w:val="00464F2E"/>
    <w:rsid w:val="004703C8"/>
    <w:rsid w:val="00470CBF"/>
    <w:rsid w:val="00477BAF"/>
    <w:rsid w:val="00486A52"/>
    <w:rsid w:val="00487B9A"/>
    <w:rsid w:val="00494CEB"/>
    <w:rsid w:val="00496271"/>
    <w:rsid w:val="00496516"/>
    <w:rsid w:val="00496916"/>
    <w:rsid w:val="004A5D49"/>
    <w:rsid w:val="004A6BE6"/>
    <w:rsid w:val="004B550C"/>
    <w:rsid w:val="004B5D43"/>
    <w:rsid w:val="004C145F"/>
    <w:rsid w:val="004C22CE"/>
    <w:rsid w:val="004C2F13"/>
    <w:rsid w:val="004C4005"/>
    <w:rsid w:val="004C5A4E"/>
    <w:rsid w:val="004C78B1"/>
    <w:rsid w:val="004D36BC"/>
    <w:rsid w:val="004D3C5A"/>
    <w:rsid w:val="004D70E8"/>
    <w:rsid w:val="004E011E"/>
    <w:rsid w:val="004E2841"/>
    <w:rsid w:val="004E4381"/>
    <w:rsid w:val="004F04C3"/>
    <w:rsid w:val="004F1B64"/>
    <w:rsid w:val="004F6542"/>
    <w:rsid w:val="004F6747"/>
    <w:rsid w:val="005040CE"/>
    <w:rsid w:val="00505A52"/>
    <w:rsid w:val="0051540C"/>
    <w:rsid w:val="005177F7"/>
    <w:rsid w:val="00522ACB"/>
    <w:rsid w:val="00527A85"/>
    <w:rsid w:val="005307FD"/>
    <w:rsid w:val="00536FBB"/>
    <w:rsid w:val="005400CE"/>
    <w:rsid w:val="005406AD"/>
    <w:rsid w:val="00542C02"/>
    <w:rsid w:val="00543D36"/>
    <w:rsid w:val="00544116"/>
    <w:rsid w:val="005513EE"/>
    <w:rsid w:val="00557A7C"/>
    <w:rsid w:val="005652E4"/>
    <w:rsid w:val="00567190"/>
    <w:rsid w:val="00572B32"/>
    <w:rsid w:val="00572C41"/>
    <w:rsid w:val="00572E3D"/>
    <w:rsid w:val="00575163"/>
    <w:rsid w:val="00576729"/>
    <w:rsid w:val="00581BCE"/>
    <w:rsid w:val="00584946"/>
    <w:rsid w:val="00585684"/>
    <w:rsid w:val="00586DA3"/>
    <w:rsid w:val="0059213C"/>
    <w:rsid w:val="0059366F"/>
    <w:rsid w:val="005A0D51"/>
    <w:rsid w:val="005B6167"/>
    <w:rsid w:val="005B65BF"/>
    <w:rsid w:val="005C19BC"/>
    <w:rsid w:val="005C39F3"/>
    <w:rsid w:val="005D1B25"/>
    <w:rsid w:val="005D4495"/>
    <w:rsid w:val="005D4498"/>
    <w:rsid w:val="005D53CF"/>
    <w:rsid w:val="005D64D1"/>
    <w:rsid w:val="005E2AEB"/>
    <w:rsid w:val="005E3709"/>
    <w:rsid w:val="005E4423"/>
    <w:rsid w:val="005E5C25"/>
    <w:rsid w:val="005F1D26"/>
    <w:rsid w:val="005F311F"/>
    <w:rsid w:val="00606645"/>
    <w:rsid w:val="00607B1F"/>
    <w:rsid w:val="006135CC"/>
    <w:rsid w:val="00615C57"/>
    <w:rsid w:val="00616C30"/>
    <w:rsid w:val="00617190"/>
    <w:rsid w:val="00622EC6"/>
    <w:rsid w:val="00623165"/>
    <w:rsid w:val="00625849"/>
    <w:rsid w:val="006333FB"/>
    <w:rsid w:val="00634AF9"/>
    <w:rsid w:val="0064084D"/>
    <w:rsid w:val="00640897"/>
    <w:rsid w:val="006438E2"/>
    <w:rsid w:val="0065512F"/>
    <w:rsid w:val="0066654D"/>
    <w:rsid w:val="00672FF6"/>
    <w:rsid w:val="00675152"/>
    <w:rsid w:val="00682C95"/>
    <w:rsid w:val="006853DD"/>
    <w:rsid w:val="00693740"/>
    <w:rsid w:val="00694E02"/>
    <w:rsid w:val="00697C0D"/>
    <w:rsid w:val="006A1126"/>
    <w:rsid w:val="006A6737"/>
    <w:rsid w:val="006A7AA7"/>
    <w:rsid w:val="006B2AEA"/>
    <w:rsid w:val="006B3D5E"/>
    <w:rsid w:val="006B49A7"/>
    <w:rsid w:val="006B7846"/>
    <w:rsid w:val="006C15C7"/>
    <w:rsid w:val="006C2E0A"/>
    <w:rsid w:val="006D6976"/>
    <w:rsid w:val="006E1DB8"/>
    <w:rsid w:val="007146DF"/>
    <w:rsid w:val="00715232"/>
    <w:rsid w:val="007158F2"/>
    <w:rsid w:val="00715EC5"/>
    <w:rsid w:val="0072006D"/>
    <w:rsid w:val="00721D5A"/>
    <w:rsid w:val="0072254A"/>
    <w:rsid w:val="00726208"/>
    <w:rsid w:val="00730A68"/>
    <w:rsid w:val="00730B46"/>
    <w:rsid w:val="00733C99"/>
    <w:rsid w:val="00736D21"/>
    <w:rsid w:val="0074109D"/>
    <w:rsid w:val="0074160D"/>
    <w:rsid w:val="0074345A"/>
    <w:rsid w:val="0074578D"/>
    <w:rsid w:val="00754ED1"/>
    <w:rsid w:val="00754FD6"/>
    <w:rsid w:val="007566D6"/>
    <w:rsid w:val="00762514"/>
    <w:rsid w:val="00764EA5"/>
    <w:rsid w:val="00766E22"/>
    <w:rsid w:val="007726BD"/>
    <w:rsid w:val="0077301E"/>
    <w:rsid w:val="00773E69"/>
    <w:rsid w:val="007819F7"/>
    <w:rsid w:val="00784928"/>
    <w:rsid w:val="0079164E"/>
    <w:rsid w:val="00795BF4"/>
    <w:rsid w:val="007A104F"/>
    <w:rsid w:val="007A2256"/>
    <w:rsid w:val="007A6295"/>
    <w:rsid w:val="007A7FC3"/>
    <w:rsid w:val="007B5C41"/>
    <w:rsid w:val="007B5CF5"/>
    <w:rsid w:val="007C603E"/>
    <w:rsid w:val="007C68CF"/>
    <w:rsid w:val="007C6AED"/>
    <w:rsid w:val="007D0650"/>
    <w:rsid w:val="007D5690"/>
    <w:rsid w:val="007D7D82"/>
    <w:rsid w:val="007E3317"/>
    <w:rsid w:val="007E785A"/>
    <w:rsid w:val="007F20B7"/>
    <w:rsid w:val="00801286"/>
    <w:rsid w:val="0080220F"/>
    <w:rsid w:val="00807281"/>
    <w:rsid w:val="00813BA5"/>
    <w:rsid w:val="00814CC6"/>
    <w:rsid w:val="008163CC"/>
    <w:rsid w:val="0081798F"/>
    <w:rsid w:val="00825DAE"/>
    <w:rsid w:val="008268C8"/>
    <w:rsid w:val="0082710A"/>
    <w:rsid w:val="00827822"/>
    <w:rsid w:val="008319FF"/>
    <w:rsid w:val="0083351A"/>
    <w:rsid w:val="00833957"/>
    <w:rsid w:val="008369BE"/>
    <w:rsid w:val="00841FB4"/>
    <w:rsid w:val="00846677"/>
    <w:rsid w:val="008512E1"/>
    <w:rsid w:val="00852C3E"/>
    <w:rsid w:val="00853B63"/>
    <w:rsid w:val="00853E3D"/>
    <w:rsid w:val="00857F3D"/>
    <w:rsid w:val="00863422"/>
    <w:rsid w:val="0086385B"/>
    <w:rsid w:val="008651B1"/>
    <w:rsid w:val="00865F4D"/>
    <w:rsid w:val="00867B7A"/>
    <w:rsid w:val="008722A8"/>
    <w:rsid w:val="008725AE"/>
    <w:rsid w:val="00873408"/>
    <w:rsid w:val="00876FFC"/>
    <w:rsid w:val="008824F3"/>
    <w:rsid w:val="008910EA"/>
    <w:rsid w:val="0089728F"/>
    <w:rsid w:val="008A00EF"/>
    <w:rsid w:val="008A22D0"/>
    <w:rsid w:val="008A22F1"/>
    <w:rsid w:val="008C006A"/>
    <w:rsid w:val="008C0E71"/>
    <w:rsid w:val="008C353F"/>
    <w:rsid w:val="008C387B"/>
    <w:rsid w:val="008D74D2"/>
    <w:rsid w:val="008E327D"/>
    <w:rsid w:val="008E3E65"/>
    <w:rsid w:val="008E4060"/>
    <w:rsid w:val="008F0F8E"/>
    <w:rsid w:val="008F64AF"/>
    <w:rsid w:val="008F697B"/>
    <w:rsid w:val="00902B2A"/>
    <w:rsid w:val="0090753C"/>
    <w:rsid w:val="009127A6"/>
    <w:rsid w:val="00913FCC"/>
    <w:rsid w:val="00920A0A"/>
    <w:rsid w:val="0092383B"/>
    <w:rsid w:val="00924E7C"/>
    <w:rsid w:val="009256E5"/>
    <w:rsid w:val="00927BCF"/>
    <w:rsid w:val="009318C2"/>
    <w:rsid w:val="00931F2D"/>
    <w:rsid w:val="00937A3D"/>
    <w:rsid w:val="00941EE7"/>
    <w:rsid w:val="009452BD"/>
    <w:rsid w:val="00945E4F"/>
    <w:rsid w:val="00951548"/>
    <w:rsid w:val="00953162"/>
    <w:rsid w:val="00960A46"/>
    <w:rsid w:val="00961F37"/>
    <w:rsid w:val="00973328"/>
    <w:rsid w:val="00980CE6"/>
    <w:rsid w:val="00982BE4"/>
    <w:rsid w:val="00983D6D"/>
    <w:rsid w:val="0099022B"/>
    <w:rsid w:val="00995974"/>
    <w:rsid w:val="00995AD7"/>
    <w:rsid w:val="00996A39"/>
    <w:rsid w:val="009A05C8"/>
    <w:rsid w:val="009A434E"/>
    <w:rsid w:val="009A7BD3"/>
    <w:rsid w:val="009B0F93"/>
    <w:rsid w:val="009B2A7D"/>
    <w:rsid w:val="009B4215"/>
    <w:rsid w:val="009B4D40"/>
    <w:rsid w:val="009C0858"/>
    <w:rsid w:val="009C441A"/>
    <w:rsid w:val="009C5C4B"/>
    <w:rsid w:val="009C7581"/>
    <w:rsid w:val="009D31E8"/>
    <w:rsid w:val="009E3DF4"/>
    <w:rsid w:val="009E3FE9"/>
    <w:rsid w:val="009F60EA"/>
    <w:rsid w:val="009F6CEC"/>
    <w:rsid w:val="00A00332"/>
    <w:rsid w:val="00A01990"/>
    <w:rsid w:val="00A01A2B"/>
    <w:rsid w:val="00A12765"/>
    <w:rsid w:val="00A13617"/>
    <w:rsid w:val="00A14E3D"/>
    <w:rsid w:val="00A15D23"/>
    <w:rsid w:val="00A20E22"/>
    <w:rsid w:val="00A21E79"/>
    <w:rsid w:val="00A2270E"/>
    <w:rsid w:val="00A2272F"/>
    <w:rsid w:val="00A22D6E"/>
    <w:rsid w:val="00A264D9"/>
    <w:rsid w:val="00A301DE"/>
    <w:rsid w:val="00A32782"/>
    <w:rsid w:val="00A33222"/>
    <w:rsid w:val="00A357A1"/>
    <w:rsid w:val="00A411B0"/>
    <w:rsid w:val="00A43644"/>
    <w:rsid w:val="00A44900"/>
    <w:rsid w:val="00A45872"/>
    <w:rsid w:val="00A47675"/>
    <w:rsid w:val="00A51F5D"/>
    <w:rsid w:val="00A53AE5"/>
    <w:rsid w:val="00A564B2"/>
    <w:rsid w:val="00A62DF5"/>
    <w:rsid w:val="00A63583"/>
    <w:rsid w:val="00A73DF3"/>
    <w:rsid w:val="00A8036D"/>
    <w:rsid w:val="00A85512"/>
    <w:rsid w:val="00A913A5"/>
    <w:rsid w:val="00A917D8"/>
    <w:rsid w:val="00A9327F"/>
    <w:rsid w:val="00A93879"/>
    <w:rsid w:val="00A94108"/>
    <w:rsid w:val="00A96641"/>
    <w:rsid w:val="00AA0060"/>
    <w:rsid w:val="00AA1217"/>
    <w:rsid w:val="00AA32E2"/>
    <w:rsid w:val="00AA7434"/>
    <w:rsid w:val="00AB19AC"/>
    <w:rsid w:val="00AB34A3"/>
    <w:rsid w:val="00AB4064"/>
    <w:rsid w:val="00AB7E33"/>
    <w:rsid w:val="00AC20A8"/>
    <w:rsid w:val="00AC4B34"/>
    <w:rsid w:val="00AC6549"/>
    <w:rsid w:val="00AC6A60"/>
    <w:rsid w:val="00AC6E53"/>
    <w:rsid w:val="00AD14F3"/>
    <w:rsid w:val="00AD15BE"/>
    <w:rsid w:val="00AD26E9"/>
    <w:rsid w:val="00AD759D"/>
    <w:rsid w:val="00AE2B00"/>
    <w:rsid w:val="00AE6E6E"/>
    <w:rsid w:val="00AF26E8"/>
    <w:rsid w:val="00AF7A4E"/>
    <w:rsid w:val="00B047D7"/>
    <w:rsid w:val="00B0511A"/>
    <w:rsid w:val="00B05232"/>
    <w:rsid w:val="00B0540F"/>
    <w:rsid w:val="00B1442B"/>
    <w:rsid w:val="00B161B6"/>
    <w:rsid w:val="00B1782E"/>
    <w:rsid w:val="00B20517"/>
    <w:rsid w:val="00B21F6F"/>
    <w:rsid w:val="00B25A7F"/>
    <w:rsid w:val="00B30F7C"/>
    <w:rsid w:val="00B30FC1"/>
    <w:rsid w:val="00B33E06"/>
    <w:rsid w:val="00B3410D"/>
    <w:rsid w:val="00B37B30"/>
    <w:rsid w:val="00B432BC"/>
    <w:rsid w:val="00B46CEC"/>
    <w:rsid w:val="00B54151"/>
    <w:rsid w:val="00B64F40"/>
    <w:rsid w:val="00B7325E"/>
    <w:rsid w:val="00B74719"/>
    <w:rsid w:val="00B74DF7"/>
    <w:rsid w:val="00B758B3"/>
    <w:rsid w:val="00B83083"/>
    <w:rsid w:val="00B8311A"/>
    <w:rsid w:val="00B94B5C"/>
    <w:rsid w:val="00B95381"/>
    <w:rsid w:val="00B96424"/>
    <w:rsid w:val="00BA305B"/>
    <w:rsid w:val="00BB2438"/>
    <w:rsid w:val="00BB5514"/>
    <w:rsid w:val="00BB7792"/>
    <w:rsid w:val="00BC0F95"/>
    <w:rsid w:val="00BC1517"/>
    <w:rsid w:val="00BC2F1A"/>
    <w:rsid w:val="00BC3508"/>
    <w:rsid w:val="00BD1067"/>
    <w:rsid w:val="00BD2FDC"/>
    <w:rsid w:val="00BD779F"/>
    <w:rsid w:val="00BE1C0A"/>
    <w:rsid w:val="00BE2201"/>
    <w:rsid w:val="00BE2E65"/>
    <w:rsid w:val="00BE373F"/>
    <w:rsid w:val="00BE4CA1"/>
    <w:rsid w:val="00BF0DF8"/>
    <w:rsid w:val="00BF159D"/>
    <w:rsid w:val="00BF3F9F"/>
    <w:rsid w:val="00C008AD"/>
    <w:rsid w:val="00C04F63"/>
    <w:rsid w:val="00C073C2"/>
    <w:rsid w:val="00C109F5"/>
    <w:rsid w:val="00C11B83"/>
    <w:rsid w:val="00C13E0B"/>
    <w:rsid w:val="00C16F3D"/>
    <w:rsid w:val="00C1730E"/>
    <w:rsid w:val="00C23327"/>
    <w:rsid w:val="00C300E5"/>
    <w:rsid w:val="00C30A20"/>
    <w:rsid w:val="00C3447B"/>
    <w:rsid w:val="00C3786D"/>
    <w:rsid w:val="00C43183"/>
    <w:rsid w:val="00C43CC3"/>
    <w:rsid w:val="00C47A4E"/>
    <w:rsid w:val="00C51E30"/>
    <w:rsid w:val="00C573EC"/>
    <w:rsid w:val="00C5784A"/>
    <w:rsid w:val="00C57DA2"/>
    <w:rsid w:val="00C70838"/>
    <w:rsid w:val="00C71607"/>
    <w:rsid w:val="00C731B1"/>
    <w:rsid w:val="00C74837"/>
    <w:rsid w:val="00C77A80"/>
    <w:rsid w:val="00C81ED8"/>
    <w:rsid w:val="00C825F8"/>
    <w:rsid w:val="00C82BA7"/>
    <w:rsid w:val="00C8742C"/>
    <w:rsid w:val="00C906B0"/>
    <w:rsid w:val="00C968B1"/>
    <w:rsid w:val="00C9724D"/>
    <w:rsid w:val="00CA7EC7"/>
    <w:rsid w:val="00CC2817"/>
    <w:rsid w:val="00CD1393"/>
    <w:rsid w:val="00CE1273"/>
    <w:rsid w:val="00CE3773"/>
    <w:rsid w:val="00CE56A6"/>
    <w:rsid w:val="00CE57BF"/>
    <w:rsid w:val="00CE614B"/>
    <w:rsid w:val="00CF0BA2"/>
    <w:rsid w:val="00CF2F3F"/>
    <w:rsid w:val="00CF3B83"/>
    <w:rsid w:val="00CF4883"/>
    <w:rsid w:val="00CF5DE8"/>
    <w:rsid w:val="00D013D4"/>
    <w:rsid w:val="00D02493"/>
    <w:rsid w:val="00D04AA8"/>
    <w:rsid w:val="00D117D4"/>
    <w:rsid w:val="00D1272B"/>
    <w:rsid w:val="00D15895"/>
    <w:rsid w:val="00D175BD"/>
    <w:rsid w:val="00D239D9"/>
    <w:rsid w:val="00D26761"/>
    <w:rsid w:val="00D37860"/>
    <w:rsid w:val="00D4014B"/>
    <w:rsid w:val="00D407F0"/>
    <w:rsid w:val="00D4182F"/>
    <w:rsid w:val="00D533E3"/>
    <w:rsid w:val="00D600F6"/>
    <w:rsid w:val="00D61125"/>
    <w:rsid w:val="00D61322"/>
    <w:rsid w:val="00D63734"/>
    <w:rsid w:val="00D637CE"/>
    <w:rsid w:val="00D72168"/>
    <w:rsid w:val="00D746A2"/>
    <w:rsid w:val="00D92CF5"/>
    <w:rsid w:val="00D94F78"/>
    <w:rsid w:val="00DA0E64"/>
    <w:rsid w:val="00DA789F"/>
    <w:rsid w:val="00DB1D73"/>
    <w:rsid w:val="00DB76BE"/>
    <w:rsid w:val="00DC1AE3"/>
    <w:rsid w:val="00DD214F"/>
    <w:rsid w:val="00DD61E7"/>
    <w:rsid w:val="00DD7C8A"/>
    <w:rsid w:val="00DE3B1F"/>
    <w:rsid w:val="00DE614E"/>
    <w:rsid w:val="00DF2CAE"/>
    <w:rsid w:val="00DF43D2"/>
    <w:rsid w:val="00E02672"/>
    <w:rsid w:val="00E04548"/>
    <w:rsid w:val="00E04A9E"/>
    <w:rsid w:val="00E114F4"/>
    <w:rsid w:val="00E11CD2"/>
    <w:rsid w:val="00E12B2A"/>
    <w:rsid w:val="00E13740"/>
    <w:rsid w:val="00E22BA1"/>
    <w:rsid w:val="00E235CC"/>
    <w:rsid w:val="00E251EC"/>
    <w:rsid w:val="00E277F9"/>
    <w:rsid w:val="00E27B47"/>
    <w:rsid w:val="00E27BBD"/>
    <w:rsid w:val="00E304D2"/>
    <w:rsid w:val="00E30B4A"/>
    <w:rsid w:val="00E359E8"/>
    <w:rsid w:val="00E435E9"/>
    <w:rsid w:val="00E437B8"/>
    <w:rsid w:val="00E438F6"/>
    <w:rsid w:val="00E43F0D"/>
    <w:rsid w:val="00E47B3C"/>
    <w:rsid w:val="00E565D9"/>
    <w:rsid w:val="00E60A99"/>
    <w:rsid w:val="00E628D1"/>
    <w:rsid w:val="00E70550"/>
    <w:rsid w:val="00E7108B"/>
    <w:rsid w:val="00E741B1"/>
    <w:rsid w:val="00E77CD5"/>
    <w:rsid w:val="00E85D46"/>
    <w:rsid w:val="00E9579B"/>
    <w:rsid w:val="00E968B1"/>
    <w:rsid w:val="00EA1F5F"/>
    <w:rsid w:val="00EA2D98"/>
    <w:rsid w:val="00EA4E78"/>
    <w:rsid w:val="00EA734E"/>
    <w:rsid w:val="00EB4E3F"/>
    <w:rsid w:val="00EB5AC1"/>
    <w:rsid w:val="00EB7D0C"/>
    <w:rsid w:val="00EC4031"/>
    <w:rsid w:val="00EC7367"/>
    <w:rsid w:val="00EE02E4"/>
    <w:rsid w:val="00EE0F3B"/>
    <w:rsid w:val="00EE3105"/>
    <w:rsid w:val="00EE4CEE"/>
    <w:rsid w:val="00EF3568"/>
    <w:rsid w:val="00EF4171"/>
    <w:rsid w:val="00EF4E1D"/>
    <w:rsid w:val="00F0027B"/>
    <w:rsid w:val="00F01665"/>
    <w:rsid w:val="00F038BF"/>
    <w:rsid w:val="00F05DA4"/>
    <w:rsid w:val="00F06FCC"/>
    <w:rsid w:val="00F15F42"/>
    <w:rsid w:val="00F2047E"/>
    <w:rsid w:val="00F20663"/>
    <w:rsid w:val="00F207A1"/>
    <w:rsid w:val="00F223CE"/>
    <w:rsid w:val="00F251E4"/>
    <w:rsid w:val="00F32F30"/>
    <w:rsid w:val="00F34EE9"/>
    <w:rsid w:val="00F4069B"/>
    <w:rsid w:val="00F41C14"/>
    <w:rsid w:val="00F42B5F"/>
    <w:rsid w:val="00F45748"/>
    <w:rsid w:val="00F45E43"/>
    <w:rsid w:val="00F5008A"/>
    <w:rsid w:val="00F5083C"/>
    <w:rsid w:val="00F55398"/>
    <w:rsid w:val="00F56C3F"/>
    <w:rsid w:val="00F60DBF"/>
    <w:rsid w:val="00F6512D"/>
    <w:rsid w:val="00F65767"/>
    <w:rsid w:val="00F70730"/>
    <w:rsid w:val="00F73BC9"/>
    <w:rsid w:val="00F76C14"/>
    <w:rsid w:val="00F7725D"/>
    <w:rsid w:val="00F85F17"/>
    <w:rsid w:val="00F964F4"/>
    <w:rsid w:val="00FA60CE"/>
    <w:rsid w:val="00FB118F"/>
    <w:rsid w:val="00FB37D1"/>
    <w:rsid w:val="00FB433B"/>
    <w:rsid w:val="00FB645A"/>
    <w:rsid w:val="00FC0215"/>
    <w:rsid w:val="00FC05EA"/>
    <w:rsid w:val="00FC49D7"/>
    <w:rsid w:val="00FD6587"/>
    <w:rsid w:val="00FE0535"/>
    <w:rsid w:val="00FE2A8F"/>
    <w:rsid w:val="00FE47C2"/>
    <w:rsid w:val="00FF2E65"/>
    <w:rsid w:val="00FF660D"/>
    <w:rsid w:val="00FF690A"/>
    <w:rsid w:val="011E303E"/>
    <w:rsid w:val="015C5B44"/>
    <w:rsid w:val="01752FD1"/>
    <w:rsid w:val="019959E4"/>
    <w:rsid w:val="01BD2DF8"/>
    <w:rsid w:val="01C869DE"/>
    <w:rsid w:val="01DE1145"/>
    <w:rsid w:val="0211139A"/>
    <w:rsid w:val="02392F95"/>
    <w:rsid w:val="023A748F"/>
    <w:rsid w:val="02440A3B"/>
    <w:rsid w:val="025B7FEF"/>
    <w:rsid w:val="027F1674"/>
    <w:rsid w:val="0285372F"/>
    <w:rsid w:val="02B8719D"/>
    <w:rsid w:val="02B9468A"/>
    <w:rsid w:val="02DD1B28"/>
    <w:rsid w:val="02FA032C"/>
    <w:rsid w:val="02FA62E8"/>
    <w:rsid w:val="037C38B2"/>
    <w:rsid w:val="03F95503"/>
    <w:rsid w:val="03FA1AFD"/>
    <w:rsid w:val="04434331"/>
    <w:rsid w:val="045D3E93"/>
    <w:rsid w:val="046A3DD8"/>
    <w:rsid w:val="049E412A"/>
    <w:rsid w:val="04E463C9"/>
    <w:rsid w:val="051178D4"/>
    <w:rsid w:val="051F3D6B"/>
    <w:rsid w:val="05513A86"/>
    <w:rsid w:val="05EB2AC3"/>
    <w:rsid w:val="05FA4D3A"/>
    <w:rsid w:val="060C3C84"/>
    <w:rsid w:val="0617059C"/>
    <w:rsid w:val="06AA7620"/>
    <w:rsid w:val="06DD552E"/>
    <w:rsid w:val="07004CBE"/>
    <w:rsid w:val="0702237F"/>
    <w:rsid w:val="075640F0"/>
    <w:rsid w:val="07A87EC3"/>
    <w:rsid w:val="07BA249D"/>
    <w:rsid w:val="07CD57DA"/>
    <w:rsid w:val="07ED6E20"/>
    <w:rsid w:val="080D188F"/>
    <w:rsid w:val="08304D20"/>
    <w:rsid w:val="087B6AF2"/>
    <w:rsid w:val="08852A73"/>
    <w:rsid w:val="08903497"/>
    <w:rsid w:val="08B876AA"/>
    <w:rsid w:val="08D24A5C"/>
    <w:rsid w:val="08F97591"/>
    <w:rsid w:val="091711A7"/>
    <w:rsid w:val="09370633"/>
    <w:rsid w:val="093D030E"/>
    <w:rsid w:val="09650802"/>
    <w:rsid w:val="09964C43"/>
    <w:rsid w:val="09B904F1"/>
    <w:rsid w:val="09C01CF9"/>
    <w:rsid w:val="09C92BEA"/>
    <w:rsid w:val="09E4546A"/>
    <w:rsid w:val="09FC0947"/>
    <w:rsid w:val="09FC60FC"/>
    <w:rsid w:val="0A0C784E"/>
    <w:rsid w:val="0A1902B8"/>
    <w:rsid w:val="0A3C39FB"/>
    <w:rsid w:val="0A3C78D3"/>
    <w:rsid w:val="0A9F2179"/>
    <w:rsid w:val="0AC6621E"/>
    <w:rsid w:val="0ACC6769"/>
    <w:rsid w:val="0B34158A"/>
    <w:rsid w:val="0BD72955"/>
    <w:rsid w:val="0C02282E"/>
    <w:rsid w:val="0C0A2227"/>
    <w:rsid w:val="0C14072C"/>
    <w:rsid w:val="0C564D91"/>
    <w:rsid w:val="0C8E56E7"/>
    <w:rsid w:val="0D056A19"/>
    <w:rsid w:val="0D102A07"/>
    <w:rsid w:val="0D417230"/>
    <w:rsid w:val="0D592017"/>
    <w:rsid w:val="0D5C7C0B"/>
    <w:rsid w:val="0D6354F9"/>
    <w:rsid w:val="0D8A45A9"/>
    <w:rsid w:val="0DD15B2D"/>
    <w:rsid w:val="0DD71A57"/>
    <w:rsid w:val="0DFC1B69"/>
    <w:rsid w:val="0E351911"/>
    <w:rsid w:val="0E5C5F5A"/>
    <w:rsid w:val="0E5F0878"/>
    <w:rsid w:val="0E666E68"/>
    <w:rsid w:val="0EAF38F4"/>
    <w:rsid w:val="0F103C65"/>
    <w:rsid w:val="0F324093"/>
    <w:rsid w:val="0F366CAE"/>
    <w:rsid w:val="0F5D4F78"/>
    <w:rsid w:val="0FA82B87"/>
    <w:rsid w:val="0FDA34AF"/>
    <w:rsid w:val="0FDE4D1D"/>
    <w:rsid w:val="0FE122F0"/>
    <w:rsid w:val="1012475D"/>
    <w:rsid w:val="10310CE1"/>
    <w:rsid w:val="10705C71"/>
    <w:rsid w:val="108F7B53"/>
    <w:rsid w:val="10AF1E7E"/>
    <w:rsid w:val="11147E38"/>
    <w:rsid w:val="1173286D"/>
    <w:rsid w:val="11832AAA"/>
    <w:rsid w:val="11E4524D"/>
    <w:rsid w:val="11E828AD"/>
    <w:rsid w:val="12155F1B"/>
    <w:rsid w:val="1242001A"/>
    <w:rsid w:val="129B60B2"/>
    <w:rsid w:val="129C6A34"/>
    <w:rsid w:val="1323696B"/>
    <w:rsid w:val="13873FFF"/>
    <w:rsid w:val="139435AA"/>
    <w:rsid w:val="13972586"/>
    <w:rsid w:val="13CA7B7C"/>
    <w:rsid w:val="147C1535"/>
    <w:rsid w:val="14F97443"/>
    <w:rsid w:val="14FE6E50"/>
    <w:rsid w:val="155A26B9"/>
    <w:rsid w:val="15DD31CA"/>
    <w:rsid w:val="16070AD4"/>
    <w:rsid w:val="16484369"/>
    <w:rsid w:val="164E4FB5"/>
    <w:rsid w:val="166E248D"/>
    <w:rsid w:val="16F552CB"/>
    <w:rsid w:val="16F969A4"/>
    <w:rsid w:val="17345684"/>
    <w:rsid w:val="17AA68CA"/>
    <w:rsid w:val="17DD7B31"/>
    <w:rsid w:val="17E644A6"/>
    <w:rsid w:val="17FB4CC6"/>
    <w:rsid w:val="180470B1"/>
    <w:rsid w:val="18C7278F"/>
    <w:rsid w:val="18C87A94"/>
    <w:rsid w:val="18EC6B05"/>
    <w:rsid w:val="195D0EC1"/>
    <w:rsid w:val="19902E43"/>
    <w:rsid w:val="199625B9"/>
    <w:rsid w:val="19A90A40"/>
    <w:rsid w:val="1A285CF8"/>
    <w:rsid w:val="1A415231"/>
    <w:rsid w:val="1A4861DE"/>
    <w:rsid w:val="1A4E0574"/>
    <w:rsid w:val="1A7724B9"/>
    <w:rsid w:val="1ADD1279"/>
    <w:rsid w:val="1AE6457A"/>
    <w:rsid w:val="1AEF5662"/>
    <w:rsid w:val="1AF84E76"/>
    <w:rsid w:val="1B09287A"/>
    <w:rsid w:val="1B222CBF"/>
    <w:rsid w:val="1B244C1E"/>
    <w:rsid w:val="1B3B28A2"/>
    <w:rsid w:val="1B702954"/>
    <w:rsid w:val="1BC02242"/>
    <w:rsid w:val="1BC46DF2"/>
    <w:rsid w:val="1BCB546D"/>
    <w:rsid w:val="1C146144"/>
    <w:rsid w:val="1C1C5292"/>
    <w:rsid w:val="1C2716D5"/>
    <w:rsid w:val="1C2926E7"/>
    <w:rsid w:val="1C3C62AC"/>
    <w:rsid w:val="1C475D49"/>
    <w:rsid w:val="1C6D688A"/>
    <w:rsid w:val="1CA40C0C"/>
    <w:rsid w:val="1CAB71FB"/>
    <w:rsid w:val="1D0A3E6C"/>
    <w:rsid w:val="1D1216B4"/>
    <w:rsid w:val="1D227BE3"/>
    <w:rsid w:val="1DD74AC9"/>
    <w:rsid w:val="1DE9363F"/>
    <w:rsid w:val="1E514CB1"/>
    <w:rsid w:val="1E7C6C6E"/>
    <w:rsid w:val="1E906C66"/>
    <w:rsid w:val="1EBA5D77"/>
    <w:rsid w:val="1F483DFA"/>
    <w:rsid w:val="1F893F34"/>
    <w:rsid w:val="1F936808"/>
    <w:rsid w:val="1FC57BA2"/>
    <w:rsid w:val="1FCC1B36"/>
    <w:rsid w:val="1FFC273C"/>
    <w:rsid w:val="200D0481"/>
    <w:rsid w:val="20302543"/>
    <w:rsid w:val="203B777C"/>
    <w:rsid w:val="20472A98"/>
    <w:rsid w:val="204A0840"/>
    <w:rsid w:val="20C0511D"/>
    <w:rsid w:val="212C3222"/>
    <w:rsid w:val="22951D88"/>
    <w:rsid w:val="22A60343"/>
    <w:rsid w:val="22BD4E21"/>
    <w:rsid w:val="232141A1"/>
    <w:rsid w:val="237B7B2E"/>
    <w:rsid w:val="238C7388"/>
    <w:rsid w:val="23D265A4"/>
    <w:rsid w:val="24707AFF"/>
    <w:rsid w:val="24721F01"/>
    <w:rsid w:val="247362FD"/>
    <w:rsid w:val="247F3198"/>
    <w:rsid w:val="24FB4D65"/>
    <w:rsid w:val="251D707B"/>
    <w:rsid w:val="259602D1"/>
    <w:rsid w:val="25EE61CF"/>
    <w:rsid w:val="25EF320E"/>
    <w:rsid w:val="2650145E"/>
    <w:rsid w:val="26630316"/>
    <w:rsid w:val="26D646AF"/>
    <w:rsid w:val="271C138A"/>
    <w:rsid w:val="27467A9A"/>
    <w:rsid w:val="27576C25"/>
    <w:rsid w:val="27712389"/>
    <w:rsid w:val="27B47BDC"/>
    <w:rsid w:val="28000A3C"/>
    <w:rsid w:val="2802331C"/>
    <w:rsid w:val="282A6930"/>
    <w:rsid w:val="283F4C1E"/>
    <w:rsid w:val="287119C6"/>
    <w:rsid w:val="289E05D0"/>
    <w:rsid w:val="28B14E1A"/>
    <w:rsid w:val="2921410C"/>
    <w:rsid w:val="2941544D"/>
    <w:rsid w:val="29771718"/>
    <w:rsid w:val="298C2854"/>
    <w:rsid w:val="29A335A7"/>
    <w:rsid w:val="2A001052"/>
    <w:rsid w:val="2A167E8D"/>
    <w:rsid w:val="2A253540"/>
    <w:rsid w:val="2A387442"/>
    <w:rsid w:val="2A5F6B1D"/>
    <w:rsid w:val="2ACB3B4E"/>
    <w:rsid w:val="2ADA0864"/>
    <w:rsid w:val="2AE04844"/>
    <w:rsid w:val="2AEB5088"/>
    <w:rsid w:val="2B0D3FC1"/>
    <w:rsid w:val="2B501A21"/>
    <w:rsid w:val="2B513CEA"/>
    <w:rsid w:val="2B64029A"/>
    <w:rsid w:val="2B83652C"/>
    <w:rsid w:val="2B89407B"/>
    <w:rsid w:val="2BAC472E"/>
    <w:rsid w:val="2BB102A5"/>
    <w:rsid w:val="2BD53FDF"/>
    <w:rsid w:val="2C121FF6"/>
    <w:rsid w:val="2C1A0F14"/>
    <w:rsid w:val="2C2301A5"/>
    <w:rsid w:val="2C242D87"/>
    <w:rsid w:val="2C6344C5"/>
    <w:rsid w:val="2C8C7221"/>
    <w:rsid w:val="2CCA58B8"/>
    <w:rsid w:val="2CF27585"/>
    <w:rsid w:val="2D2B53E8"/>
    <w:rsid w:val="2D436947"/>
    <w:rsid w:val="2D653DEA"/>
    <w:rsid w:val="2DA80D94"/>
    <w:rsid w:val="2DBF3F0E"/>
    <w:rsid w:val="2DD130BE"/>
    <w:rsid w:val="2DD84447"/>
    <w:rsid w:val="2DDA08D1"/>
    <w:rsid w:val="2E3F0AA7"/>
    <w:rsid w:val="2E532A54"/>
    <w:rsid w:val="2E675F11"/>
    <w:rsid w:val="2E882962"/>
    <w:rsid w:val="2E8E4454"/>
    <w:rsid w:val="2E936775"/>
    <w:rsid w:val="2E984598"/>
    <w:rsid w:val="2EA40E89"/>
    <w:rsid w:val="2EC963DB"/>
    <w:rsid w:val="2F06007B"/>
    <w:rsid w:val="2F5525B8"/>
    <w:rsid w:val="2F6B32A7"/>
    <w:rsid w:val="2F9E3934"/>
    <w:rsid w:val="2FBF2EAD"/>
    <w:rsid w:val="2FFB174A"/>
    <w:rsid w:val="301E3DC7"/>
    <w:rsid w:val="30204ECF"/>
    <w:rsid w:val="302E1BB4"/>
    <w:rsid w:val="307C7068"/>
    <w:rsid w:val="30B632D1"/>
    <w:rsid w:val="318070DA"/>
    <w:rsid w:val="31A327B3"/>
    <w:rsid w:val="31F142A0"/>
    <w:rsid w:val="32145EED"/>
    <w:rsid w:val="3248794F"/>
    <w:rsid w:val="32AC0031"/>
    <w:rsid w:val="32B92BDD"/>
    <w:rsid w:val="32FC4667"/>
    <w:rsid w:val="33217509"/>
    <w:rsid w:val="333F7A9C"/>
    <w:rsid w:val="33702626"/>
    <w:rsid w:val="338E486E"/>
    <w:rsid w:val="3412518B"/>
    <w:rsid w:val="34320E5E"/>
    <w:rsid w:val="34963299"/>
    <w:rsid w:val="35041434"/>
    <w:rsid w:val="3512029A"/>
    <w:rsid w:val="351C0C6B"/>
    <w:rsid w:val="354E7A75"/>
    <w:rsid w:val="359370F3"/>
    <w:rsid w:val="35A90361"/>
    <w:rsid w:val="36146035"/>
    <w:rsid w:val="362822B7"/>
    <w:rsid w:val="363F348A"/>
    <w:rsid w:val="365F0BDF"/>
    <w:rsid w:val="366A5810"/>
    <w:rsid w:val="36BE4E31"/>
    <w:rsid w:val="36C90EDF"/>
    <w:rsid w:val="370137E2"/>
    <w:rsid w:val="3716031A"/>
    <w:rsid w:val="3726424A"/>
    <w:rsid w:val="3769285D"/>
    <w:rsid w:val="378D7FA7"/>
    <w:rsid w:val="37984251"/>
    <w:rsid w:val="37E56D94"/>
    <w:rsid w:val="38041E73"/>
    <w:rsid w:val="380C5BB7"/>
    <w:rsid w:val="38445ACF"/>
    <w:rsid w:val="38592DAB"/>
    <w:rsid w:val="38A31986"/>
    <w:rsid w:val="38C35F90"/>
    <w:rsid w:val="39082DC1"/>
    <w:rsid w:val="394B1EF2"/>
    <w:rsid w:val="39A322D6"/>
    <w:rsid w:val="39A83757"/>
    <w:rsid w:val="39AC7639"/>
    <w:rsid w:val="39AE44B0"/>
    <w:rsid w:val="39AF5C1C"/>
    <w:rsid w:val="39CA7E63"/>
    <w:rsid w:val="39DC4821"/>
    <w:rsid w:val="39F02F9F"/>
    <w:rsid w:val="3A210CC7"/>
    <w:rsid w:val="3B330924"/>
    <w:rsid w:val="3B5B5915"/>
    <w:rsid w:val="3B64373D"/>
    <w:rsid w:val="3B704BB5"/>
    <w:rsid w:val="3B751C47"/>
    <w:rsid w:val="3BC10B6D"/>
    <w:rsid w:val="3C0C5FDC"/>
    <w:rsid w:val="3C1056A6"/>
    <w:rsid w:val="3C2E72F1"/>
    <w:rsid w:val="3C601379"/>
    <w:rsid w:val="3C6038D5"/>
    <w:rsid w:val="3C660A28"/>
    <w:rsid w:val="3C70080A"/>
    <w:rsid w:val="3C80741F"/>
    <w:rsid w:val="3CC32B75"/>
    <w:rsid w:val="3CDB10EB"/>
    <w:rsid w:val="3CDF25E7"/>
    <w:rsid w:val="3CE633A5"/>
    <w:rsid w:val="3D1E09AC"/>
    <w:rsid w:val="3D2936E3"/>
    <w:rsid w:val="3D3868B6"/>
    <w:rsid w:val="3D6C59BB"/>
    <w:rsid w:val="3D7572FD"/>
    <w:rsid w:val="3D975A93"/>
    <w:rsid w:val="3DE05632"/>
    <w:rsid w:val="3E095C44"/>
    <w:rsid w:val="3E4932F3"/>
    <w:rsid w:val="3E545CF9"/>
    <w:rsid w:val="3E7365DF"/>
    <w:rsid w:val="3E816F07"/>
    <w:rsid w:val="3ED86F96"/>
    <w:rsid w:val="3F194F42"/>
    <w:rsid w:val="3F200D7A"/>
    <w:rsid w:val="3F340E0C"/>
    <w:rsid w:val="3F52628E"/>
    <w:rsid w:val="3F6E68F8"/>
    <w:rsid w:val="3FCE2DD7"/>
    <w:rsid w:val="3FE27137"/>
    <w:rsid w:val="40504A21"/>
    <w:rsid w:val="40C41779"/>
    <w:rsid w:val="4149740F"/>
    <w:rsid w:val="41545B3E"/>
    <w:rsid w:val="41862B91"/>
    <w:rsid w:val="419E117C"/>
    <w:rsid w:val="41AB1B31"/>
    <w:rsid w:val="41D51EEA"/>
    <w:rsid w:val="41E478CB"/>
    <w:rsid w:val="42421D42"/>
    <w:rsid w:val="42791369"/>
    <w:rsid w:val="428772D4"/>
    <w:rsid w:val="429E790F"/>
    <w:rsid w:val="42A26C2F"/>
    <w:rsid w:val="42E638E4"/>
    <w:rsid w:val="431D38D3"/>
    <w:rsid w:val="432F29EF"/>
    <w:rsid w:val="43314FF1"/>
    <w:rsid w:val="43373007"/>
    <w:rsid w:val="435242B1"/>
    <w:rsid w:val="435A41B7"/>
    <w:rsid w:val="436672DD"/>
    <w:rsid w:val="436B6D19"/>
    <w:rsid w:val="43B00785"/>
    <w:rsid w:val="43C05C37"/>
    <w:rsid w:val="43D65BF9"/>
    <w:rsid w:val="43DF2CEF"/>
    <w:rsid w:val="44200FBC"/>
    <w:rsid w:val="44220E2D"/>
    <w:rsid w:val="444E1B12"/>
    <w:rsid w:val="446140F8"/>
    <w:rsid w:val="447244FF"/>
    <w:rsid w:val="44840051"/>
    <w:rsid w:val="44AC5151"/>
    <w:rsid w:val="44CD61E2"/>
    <w:rsid w:val="44FC0351"/>
    <w:rsid w:val="45073727"/>
    <w:rsid w:val="45485400"/>
    <w:rsid w:val="454B70FE"/>
    <w:rsid w:val="45620446"/>
    <w:rsid w:val="45661658"/>
    <w:rsid w:val="45723239"/>
    <w:rsid w:val="45761D23"/>
    <w:rsid w:val="45A5398B"/>
    <w:rsid w:val="45B500C8"/>
    <w:rsid w:val="45CE79C6"/>
    <w:rsid w:val="461A32C5"/>
    <w:rsid w:val="461F4148"/>
    <w:rsid w:val="46595EFF"/>
    <w:rsid w:val="46990175"/>
    <w:rsid w:val="46AE6378"/>
    <w:rsid w:val="46B939BD"/>
    <w:rsid w:val="46F0297D"/>
    <w:rsid w:val="46F13151"/>
    <w:rsid w:val="471E214A"/>
    <w:rsid w:val="471F5313"/>
    <w:rsid w:val="472E51CF"/>
    <w:rsid w:val="474A0E93"/>
    <w:rsid w:val="476B62FB"/>
    <w:rsid w:val="47AA4615"/>
    <w:rsid w:val="47B24EBC"/>
    <w:rsid w:val="47D2185C"/>
    <w:rsid w:val="482D17AC"/>
    <w:rsid w:val="488440F7"/>
    <w:rsid w:val="48950A61"/>
    <w:rsid w:val="48AB604B"/>
    <w:rsid w:val="49084D16"/>
    <w:rsid w:val="491F428A"/>
    <w:rsid w:val="493E1644"/>
    <w:rsid w:val="49431B5E"/>
    <w:rsid w:val="499E7F4F"/>
    <w:rsid w:val="49D971D7"/>
    <w:rsid w:val="4A6D5997"/>
    <w:rsid w:val="4A714588"/>
    <w:rsid w:val="4A8A4B7B"/>
    <w:rsid w:val="4A8F124B"/>
    <w:rsid w:val="4A9347D2"/>
    <w:rsid w:val="4AA7430D"/>
    <w:rsid w:val="4AB33959"/>
    <w:rsid w:val="4AC03A96"/>
    <w:rsid w:val="4AD60162"/>
    <w:rsid w:val="4B0D6E91"/>
    <w:rsid w:val="4B3C5EA8"/>
    <w:rsid w:val="4B445D0F"/>
    <w:rsid w:val="4B614F22"/>
    <w:rsid w:val="4C04408E"/>
    <w:rsid w:val="4C260A03"/>
    <w:rsid w:val="4C965505"/>
    <w:rsid w:val="4CB14546"/>
    <w:rsid w:val="4CBC48D4"/>
    <w:rsid w:val="4CFD06D2"/>
    <w:rsid w:val="4D170F4B"/>
    <w:rsid w:val="4D283CFF"/>
    <w:rsid w:val="4D7C4D2C"/>
    <w:rsid w:val="4DA631A4"/>
    <w:rsid w:val="4DD770CE"/>
    <w:rsid w:val="4DE93E1D"/>
    <w:rsid w:val="4DFF3DE9"/>
    <w:rsid w:val="4E126D1D"/>
    <w:rsid w:val="4E1C228F"/>
    <w:rsid w:val="4E345696"/>
    <w:rsid w:val="4E361EFE"/>
    <w:rsid w:val="4E595FCB"/>
    <w:rsid w:val="4EA415F4"/>
    <w:rsid w:val="4EAF456E"/>
    <w:rsid w:val="4ED36427"/>
    <w:rsid w:val="4ED60814"/>
    <w:rsid w:val="4EE34B5F"/>
    <w:rsid w:val="4F101271"/>
    <w:rsid w:val="4F351B13"/>
    <w:rsid w:val="4F591749"/>
    <w:rsid w:val="4FC97630"/>
    <w:rsid w:val="4FD97C4C"/>
    <w:rsid w:val="4FE600C8"/>
    <w:rsid w:val="4FFF7FF5"/>
    <w:rsid w:val="501131F9"/>
    <w:rsid w:val="50896DC6"/>
    <w:rsid w:val="50DA418E"/>
    <w:rsid w:val="511D0DA4"/>
    <w:rsid w:val="51896A9C"/>
    <w:rsid w:val="519C73B8"/>
    <w:rsid w:val="51BA21A5"/>
    <w:rsid w:val="51D4045E"/>
    <w:rsid w:val="51DB3DE3"/>
    <w:rsid w:val="51E420F6"/>
    <w:rsid w:val="524F031C"/>
    <w:rsid w:val="529A6116"/>
    <w:rsid w:val="52B003B1"/>
    <w:rsid w:val="52B93C3A"/>
    <w:rsid w:val="52D37C62"/>
    <w:rsid w:val="531443F8"/>
    <w:rsid w:val="532C740E"/>
    <w:rsid w:val="538116EE"/>
    <w:rsid w:val="53825D3D"/>
    <w:rsid w:val="53B73913"/>
    <w:rsid w:val="53F56FDE"/>
    <w:rsid w:val="547A7FFD"/>
    <w:rsid w:val="54EA7EA8"/>
    <w:rsid w:val="54F90C8E"/>
    <w:rsid w:val="5523137A"/>
    <w:rsid w:val="55284A45"/>
    <w:rsid w:val="55516029"/>
    <w:rsid w:val="55721AFF"/>
    <w:rsid w:val="5574300F"/>
    <w:rsid w:val="557A3539"/>
    <w:rsid w:val="55946B95"/>
    <w:rsid w:val="55C27A84"/>
    <w:rsid w:val="55F71479"/>
    <w:rsid w:val="565B3FA5"/>
    <w:rsid w:val="56BB36D6"/>
    <w:rsid w:val="570E1C52"/>
    <w:rsid w:val="574C493C"/>
    <w:rsid w:val="57A1464C"/>
    <w:rsid w:val="582F1394"/>
    <w:rsid w:val="583159DC"/>
    <w:rsid w:val="583409D1"/>
    <w:rsid w:val="58385351"/>
    <w:rsid w:val="5851323D"/>
    <w:rsid w:val="5886745B"/>
    <w:rsid w:val="58883C96"/>
    <w:rsid w:val="589245F9"/>
    <w:rsid w:val="589F39F2"/>
    <w:rsid w:val="58DB11D6"/>
    <w:rsid w:val="58E0104F"/>
    <w:rsid w:val="58E300E2"/>
    <w:rsid w:val="58E73C76"/>
    <w:rsid w:val="59930E2B"/>
    <w:rsid w:val="59BD0388"/>
    <w:rsid w:val="5A0B29EC"/>
    <w:rsid w:val="5A3B2A5B"/>
    <w:rsid w:val="5A742A94"/>
    <w:rsid w:val="5A7B0FFA"/>
    <w:rsid w:val="5ABD4B43"/>
    <w:rsid w:val="5ACC106A"/>
    <w:rsid w:val="5AF902EA"/>
    <w:rsid w:val="5B5C5CAA"/>
    <w:rsid w:val="5B5D0F98"/>
    <w:rsid w:val="5B950720"/>
    <w:rsid w:val="5BE425D2"/>
    <w:rsid w:val="5C1C0DC2"/>
    <w:rsid w:val="5C2D434C"/>
    <w:rsid w:val="5C5C1460"/>
    <w:rsid w:val="5CA57727"/>
    <w:rsid w:val="5CE974FB"/>
    <w:rsid w:val="5D2C296D"/>
    <w:rsid w:val="5D347F50"/>
    <w:rsid w:val="5D7430C1"/>
    <w:rsid w:val="5DE95FD8"/>
    <w:rsid w:val="5DFA0F43"/>
    <w:rsid w:val="5E0B039E"/>
    <w:rsid w:val="5EF50DF6"/>
    <w:rsid w:val="5F2D53C8"/>
    <w:rsid w:val="5F726A8E"/>
    <w:rsid w:val="5FAD0584"/>
    <w:rsid w:val="5FC3180F"/>
    <w:rsid w:val="5FC86911"/>
    <w:rsid w:val="5FD508D8"/>
    <w:rsid w:val="5FD66016"/>
    <w:rsid w:val="5FDA46EA"/>
    <w:rsid w:val="60191EF1"/>
    <w:rsid w:val="608D7E38"/>
    <w:rsid w:val="609458C7"/>
    <w:rsid w:val="60EE7AD5"/>
    <w:rsid w:val="60F77C8C"/>
    <w:rsid w:val="60FA505B"/>
    <w:rsid w:val="619B2180"/>
    <w:rsid w:val="61B43E56"/>
    <w:rsid w:val="61DF5194"/>
    <w:rsid w:val="61EB5B9E"/>
    <w:rsid w:val="622E5EDE"/>
    <w:rsid w:val="62472686"/>
    <w:rsid w:val="62535B09"/>
    <w:rsid w:val="628C4192"/>
    <w:rsid w:val="6293185C"/>
    <w:rsid w:val="62A512D3"/>
    <w:rsid w:val="62AC2166"/>
    <w:rsid w:val="62D40BE4"/>
    <w:rsid w:val="62F12B24"/>
    <w:rsid w:val="633955F2"/>
    <w:rsid w:val="63505A64"/>
    <w:rsid w:val="63FD1601"/>
    <w:rsid w:val="640A7244"/>
    <w:rsid w:val="64132107"/>
    <w:rsid w:val="642A195B"/>
    <w:rsid w:val="643B3AAA"/>
    <w:rsid w:val="644449D4"/>
    <w:rsid w:val="64EA4301"/>
    <w:rsid w:val="651E12F4"/>
    <w:rsid w:val="65673998"/>
    <w:rsid w:val="6573706B"/>
    <w:rsid w:val="658A3F7A"/>
    <w:rsid w:val="65AA0EBC"/>
    <w:rsid w:val="66881957"/>
    <w:rsid w:val="66CA2B88"/>
    <w:rsid w:val="67486E63"/>
    <w:rsid w:val="676F199A"/>
    <w:rsid w:val="6785514C"/>
    <w:rsid w:val="67BD112B"/>
    <w:rsid w:val="67FC525D"/>
    <w:rsid w:val="68B129FB"/>
    <w:rsid w:val="68B61C24"/>
    <w:rsid w:val="68DE2167"/>
    <w:rsid w:val="68EB778F"/>
    <w:rsid w:val="696908DE"/>
    <w:rsid w:val="69B24401"/>
    <w:rsid w:val="69B851DD"/>
    <w:rsid w:val="69C35F80"/>
    <w:rsid w:val="6A5743EE"/>
    <w:rsid w:val="6A6A369E"/>
    <w:rsid w:val="6B274E04"/>
    <w:rsid w:val="6B5269DE"/>
    <w:rsid w:val="6B597C19"/>
    <w:rsid w:val="6B980C66"/>
    <w:rsid w:val="6BA4274F"/>
    <w:rsid w:val="6BA61A0A"/>
    <w:rsid w:val="6BA626AE"/>
    <w:rsid w:val="6BEF45D6"/>
    <w:rsid w:val="6BF04A43"/>
    <w:rsid w:val="6BFA3B11"/>
    <w:rsid w:val="6C114BDD"/>
    <w:rsid w:val="6C5C50F8"/>
    <w:rsid w:val="6C712AD5"/>
    <w:rsid w:val="6C7B6C6B"/>
    <w:rsid w:val="6CA634DD"/>
    <w:rsid w:val="6CD103AD"/>
    <w:rsid w:val="6CDD61B5"/>
    <w:rsid w:val="6CDE0BFB"/>
    <w:rsid w:val="6D2A3C4E"/>
    <w:rsid w:val="6D315BEC"/>
    <w:rsid w:val="6D3325F7"/>
    <w:rsid w:val="6D3B2D24"/>
    <w:rsid w:val="6D452DF6"/>
    <w:rsid w:val="6DA619DA"/>
    <w:rsid w:val="6DBC5A1C"/>
    <w:rsid w:val="6DCA4DEE"/>
    <w:rsid w:val="6DFE7649"/>
    <w:rsid w:val="6E3A52B4"/>
    <w:rsid w:val="6E5D7FB2"/>
    <w:rsid w:val="6E6069E9"/>
    <w:rsid w:val="6E644DA8"/>
    <w:rsid w:val="6EDC1243"/>
    <w:rsid w:val="6EDF7670"/>
    <w:rsid w:val="6EE65392"/>
    <w:rsid w:val="6F0E3A1E"/>
    <w:rsid w:val="6F142EFA"/>
    <w:rsid w:val="6F2F5280"/>
    <w:rsid w:val="6F626EAF"/>
    <w:rsid w:val="6F7F3B81"/>
    <w:rsid w:val="6FBA79D0"/>
    <w:rsid w:val="6FD97DB2"/>
    <w:rsid w:val="701C1543"/>
    <w:rsid w:val="70764852"/>
    <w:rsid w:val="708354D6"/>
    <w:rsid w:val="70D3066F"/>
    <w:rsid w:val="70EB1493"/>
    <w:rsid w:val="71022A3F"/>
    <w:rsid w:val="712B67BB"/>
    <w:rsid w:val="71697A56"/>
    <w:rsid w:val="71B83114"/>
    <w:rsid w:val="720975C2"/>
    <w:rsid w:val="72DC0D6D"/>
    <w:rsid w:val="72F51A2C"/>
    <w:rsid w:val="73471F7B"/>
    <w:rsid w:val="735E4160"/>
    <w:rsid w:val="73DF56FE"/>
    <w:rsid w:val="73E76D45"/>
    <w:rsid w:val="73F8755B"/>
    <w:rsid w:val="747A70D0"/>
    <w:rsid w:val="747E573C"/>
    <w:rsid w:val="74BE51F5"/>
    <w:rsid w:val="74D51EAF"/>
    <w:rsid w:val="75232137"/>
    <w:rsid w:val="754414B0"/>
    <w:rsid w:val="756915BB"/>
    <w:rsid w:val="75842440"/>
    <w:rsid w:val="75B4389D"/>
    <w:rsid w:val="75B65540"/>
    <w:rsid w:val="75E22558"/>
    <w:rsid w:val="75EB4DEB"/>
    <w:rsid w:val="760D4E00"/>
    <w:rsid w:val="7610779A"/>
    <w:rsid w:val="769B0AFA"/>
    <w:rsid w:val="76C7111B"/>
    <w:rsid w:val="76F0789B"/>
    <w:rsid w:val="76F46BCA"/>
    <w:rsid w:val="76F86476"/>
    <w:rsid w:val="770324E9"/>
    <w:rsid w:val="77102706"/>
    <w:rsid w:val="776C2094"/>
    <w:rsid w:val="77AF060D"/>
    <w:rsid w:val="7858429B"/>
    <w:rsid w:val="78644635"/>
    <w:rsid w:val="78995035"/>
    <w:rsid w:val="78AE4337"/>
    <w:rsid w:val="78C1123C"/>
    <w:rsid w:val="78C676C3"/>
    <w:rsid w:val="78D76CE2"/>
    <w:rsid w:val="78E71995"/>
    <w:rsid w:val="79391F1B"/>
    <w:rsid w:val="793C566C"/>
    <w:rsid w:val="79427E8D"/>
    <w:rsid w:val="795F0F0D"/>
    <w:rsid w:val="79901B69"/>
    <w:rsid w:val="79C33A07"/>
    <w:rsid w:val="79C64401"/>
    <w:rsid w:val="7A043733"/>
    <w:rsid w:val="7A415A81"/>
    <w:rsid w:val="7A500107"/>
    <w:rsid w:val="7AAC3D0D"/>
    <w:rsid w:val="7AB94B18"/>
    <w:rsid w:val="7B7F481D"/>
    <w:rsid w:val="7BA573A2"/>
    <w:rsid w:val="7C170FB9"/>
    <w:rsid w:val="7C704D38"/>
    <w:rsid w:val="7C8B03E2"/>
    <w:rsid w:val="7C8C12A6"/>
    <w:rsid w:val="7C981DBC"/>
    <w:rsid w:val="7CE95D56"/>
    <w:rsid w:val="7D090192"/>
    <w:rsid w:val="7D9B6FFB"/>
    <w:rsid w:val="7E0A5992"/>
    <w:rsid w:val="7E1848D1"/>
    <w:rsid w:val="7E660F03"/>
    <w:rsid w:val="7EA348AB"/>
    <w:rsid w:val="7EAF78D8"/>
    <w:rsid w:val="7F4D6628"/>
    <w:rsid w:val="7F641DA4"/>
    <w:rsid w:val="7F6550FE"/>
    <w:rsid w:val="7F686407"/>
    <w:rsid w:val="7F816C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8" w:lineRule="auto"/>
      <w:outlineLvl w:val="0"/>
    </w:pPr>
    <w:rPr>
      <w:rFonts w:ascii="Verdana" w:hAnsi="Verdana"/>
      <w:b/>
      <w:bCs/>
      <w:kern w:val="44"/>
      <w:sz w:val="44"/>
      <w:szCs w:val="44"/>
      <w:lang w:eastAsia="en-US"/>
    </w:rPr>
  </w:style>
  <w:style w:type="paragraph" w:styleId="5">
    <w:name w:val="heading 2"/>
    <w:basedOn w:val="1"/>
    <w:next w:val="1"/>
    <w:link w:val="38"/>
    <w:qFormat/>
    <w:uiPriority w:val="99"/>
    <w:pPr>
      <w:keepNext/>
      <w:keepLines/>
      <w:spacing w:before="260" w:after="260" w:line="416" w:lineRule="auto"/>
      <w:outlineLvl w:val="1"/>
    </w:pPr>
    <w:rPr>
      <w:rFonts w:ascii="Cambria" w:hAnsi="Cambria"/>
      <w:b/>
      <w:bCs/>
      <w:sz w:val="32"/>
      <w:szCs w:val="32"/>
      <w:lang w:eastAsia="en-US"/>
    </w:rPr>
  </w:style>
  <w:style w:type="paragraph" w:styleId="6">
    <w:name w:val="heading 3"/>
    <w:basedOn w:val="1"/>
    <w:next w:val="1"/>
    <w:link w:val="39"/>
    <w:qFormat/>
    <w:uiPriority w:val="99"/>
    <w:pPr>
      <w:keepNext/>
      <w:keepLines/>
      <w:spacing w:before="260" w:after="260" w:line="416" w:lineRule="auto"/>
      <w:outlineLvl w:val="2"/>
    </w:pPr>
    <w:rPr>
      <w:rFonts w:ascii="Verdana" w:hAnsi="Verdana"/>
      <w:b/>
      <w:bCs/>
      <w:sz w:val="32"/>
      <w:szCs w:val="32"/>
      <w:lang w:eastAsia="en-US"/>
    </w:rPr>
  </w:style>
  <w:style w:type="paragraph" w:styleId="7">
    <w:name w:val="heading 4"/>
    <w:basedOn w:val="1"/>
    <w:next w:val="1"/>
    <w:link w:val="40"/>
    <w:qFormat/>
    <w:uiPriority w:val="99"/>
    <w:pPr>
      <w:keepNext/>
      <w:keepLines/>
      <w:spacing w:before="280" w:after="290" w:line="372" w:lineRule="auto"/>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99"/>
    <w:pPr>
      <w:spacing w:after="120"/>
    </w:pPr>
  </w:style>
  <w:style w:type="paragraph" w:customStyle="1" w:styleId="3">
    <w:name w:val="明显引用1"/>
    <w:basedOn w:val="1"/>
    <w:next w:val="1"/>
    <w:qFormat/>
    <w:uiPriority w:val="0"/>
    <w:pPr>
      <w:pBdr>
        <w:bottom w:val="single" w:color="4F81BD" w:sz="4" w:space="4"/>
      </w:pBdr>
      <w:spacing w:before="200" w:after="280"/>
      <w:ind w:left="936" w:right="936"/>
    </w:pPr>
    <w:rPr>
      <w:b/>
      <w:bCs/>
      <w:i/>
      <w:iCs/>
      <w:color w:val="4F81BD"/>
    </w:rPr>
  </w:style>
  <w:style w:type="paragraph" w:styleId="8">
    <w:name w:val="table of authorities"/>
    <w:basedOn w:val="1"/>
    <w:next w:val="1"/>
    <w:qFormat/>
    <w:uiPriority w:val="99"/>
    <w:pPr>
      <w:ind w:left="420" w:leftChars="200"/>
    </w:pPr>
    <w:rPr>
      <w:rFonts w:eastAsia="楷体_GB2312"/>
      <w:sz w:val="28"/>
      <w:szCs w:val="20"/>
    </w:rPr>
  </w:style>
  <w:style w:type="paragraph" w:styleId="9">
    <w:name w:val="Normal Indent"/>
    <w:basedOn w:val="1"/>
    <w:next w:val="1"/>
    <w:link w:val="85"/>
    <w:qFormat/>
    <w:uiPriority w:val="99"/>
    <w:pPr>
      <w:widowControl/>
      <w:ind w:firstLine="420"/>
      <w:jc w:val="left"/>
    </w:pPr>
    <w:rPr>
      <w:rFonts w:ascii="Verdana" w:hAnsi="Verdana"/>
      <w:kern w:val="0"/>
      <w:sz w:val="20"/>
      <w:szCs w:val="20"/>
      <w:lang w:eastAsia="en-US"/>
    </w:rPr>
  </w:style>
  <w:style w:type="paragraph" w:styleId="10">
    <w:name w:val="Document Map"/>
    <w:basedOn w:val="1"/>
    <w:link w:val="43"/>
    <w:semiHidden/>
    <w:qFormat/>
    <w:uiPriority w:val="99"/>
    <w:pPr>
      <w:shd w:val="clear" w:color="auto" w:fill="000080"/>
    </w:pPr>
  </w:style>
  <w:style w:type="paragraph" w:styleId="11">
    <w:name w:val="annotation text"/>
    <w:basedOn w:val="1"/>
    <w:link w:val="44"/>
    <w:qFormat/>
    <w:uiPriority w:val="99"/>
    <w:pPr>
      <w:jc w:val="left"/>
    </w:pPr>
  </w:style>
  <w:style w:type="paragraph" w:styleId="12">
    <w:name w:val="Body Text Indent"/>
    <w:basedOn w:val="1"/>
    <w:link w:val="41"/>
    <w:qFormat/>
    <w:uiPriority w:val="99"/>
    <w:pPr>
      <w:spacing w:after="120"/>
      <w:ind w:left="420" w:leftChars="200"/>
    </w:pPr>
    <w:rPr>
      <w:rFonts w:ascii="Verdana" w:hAnsi="Verdana"/>
      <w:szCs w:val="20"/>
      <w:lang w:eastAsia="en-US"/>
    </w:rPr>
  </w:style>
  <w:style w:type="paragraph" w:styleId="13">
    <w:name w:val="toc 3"/>
    <w:basedOn w:val="1"/>
    <w:next w:val="1"/>
    <w:qFormat/>
    <w:uiPriority w:val="99"/>
    <w:pPr>
      <w:ind w:left="840" w:leftChars="400"/>
    </w:pPr>
  </w:style>
  <w:style w:type="paragraph" w:styleId="14">
    <w:name w:val="Plain Text"/>
    <w:basedOn w:val="1"/>
    <w:link w:val="46"/>
    <w:qFormat/>
    <w:uiPriority w:val="99"/>
    <w:pPr>
      <w:spacing w:line="360" w:lineRule="auto"/>
    </w:pPr>
    <w:rPr>
      <w:rFonts w:ascii="宋体" w:hAnsi="Courier New"/>
      <w:spacing w:val="-8"/>
      <w:sz w:val="24"/>
      <w:szCs w:val="20"/>
      <w:lang w:eastAsia="en-US"/>
    </w:rPr>
  </w:style>
  <w:style w:type="paragraph" w:styleId="15">
    <w:name w:val="Date"/>
    <w:basedOn w:val="1"/>
    <w:next w:val="1"/>
    <w:link w:val="47"/>
    <w:qFormat/>
    <w:uiPriority w:val="99"/>
    <w:rPr>
      <w:rFonts w:eastAsia="仿宋_GB2312"/>
      <w:sz w:val="32"/>
    </w:rPr>
  </w:style>
  <w:style w:type="paragraph" w:styleId="16">
    <w:name w:val="Body Text Indent 2"/>
    <w:basedOn w:val="1"/>
    <w:link w:val="48"/>
    <w:qFormat/>
    <w:uiPriority w:val="99"/>
    <w:pPr>
      <w:spacing w:after="120" w:line="480" w:lineRule="auto"/>
      <w:ind w:left="420" w:leftChars="200"/>
    </w:pPr>
    <w:rPr>
      <w:rFonts w:ascii="Verdana" w:hAnsi="Verdana"/>
      <w:lang w:eastAsia="en-US"/>
    </w:rPr>
  </w:style>
  <w:style w:type="paragraph" w:styleId="17">
    <w:name w:val="Balloon Text"/>
    <w:basedOn w:val="1"/>
    <w:link w:val="49"/>
    <w:qFormat/>
    <w:uiPriority w:val="99"/>
    <w:rPr>
      <w:rFonts w:ascii="Verdana" w:hAnsi="Verdana"/>
      <w:sz w:val="18"/>
      <w:szCs w:val="18"/>
      <w:lang w:eastAsia="en-US"/>
    </w:rPr>
  </w:style>
  <w:style w:type="paragraph" w:styleId="18">
    <w:name w:val="footer"/>
    <w:basedOn w:val="1"/>
    <w:link w:val="50"/>
    <w:qFormat/>
    <w:uiPriority w:val="99"/>
    <w:pPr>
      <w:tabs>
        <w:tab w:val="center" w:pos="4153"/>
        <w:tab w:val="right" w:pos="8306"/>
      </w:tabs>
      <w:snapToGrid w:val="0"/>
      <w:jc w:val="left"/>
    </w:pPr>
    <w:rPr>
      <w:rFonts w:ascii="Verdana" w:hAnsi="Verdana"/>
      <w:sz w:val="18"/>
      <w:szCs w:val="18"/>
      <w:lang w:eastAsia="en-US"/>
    </w:rPr>
  </w:style>
  <w:style w:type="paragraph" w:styleId="19">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b/>
      <w:bCs/>
      <w:caps/>
      <w:sz w:val="20"/>
      <w:szCs w:val="20"/>
    </w:rPr>
  </w:style>
  <w:style w:type="paragraph" w:styleId="21">
    <w:name w:val="Subtitle"/>
    <w:basedOn w:val="1"/>
    <w:next w:val="1"/>
    <w:link w:val="52"/>
    <w:qFormat/>
    <w:uiPriority w:val="99"/>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99"/>
    <w:pPr>
      <w:ind w:left="210"/>
      <w:jc w:val="left"/>
    </w:pPr>
    <w:rPr>
      <w:smallCaps/>
      <w:sz w:val="20"/>
      <w:szCs w:val="20"/>
    </w:rPr>
  </w:style>
  <w:style w:type="paragraph" w:styleId="23">
    <w:name w:val="Body Text 2"/>
    <w:basedOn w:val="1"/>
    <w:link w:val="53"/>
    <w:qFormat/>
    <w:uiPriority w:val="99"/>
    <w:pPr>
      <w:spacing w:after="120" w:line="480" w:lineRule="auto"/>
    </w:pPr>
    <w:rPr>
      <w:rFonts w:ascii="Verdana" w:hAnsi="Verdana"/>
      <w:lang w:eastAsia="en-US"/>
    </w:rPr>
  </w:style>
  <w:style w:type="paragraph" w:styleId="2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Title"/>
    <w:basedOn w:val="1"/>
    <w:next w:val="1"/>
    <w:link w:val="54"/>
    <w:qFormat/>
    <w:uiPriority w:val="99"/>
    <w:pPr>
      <w:spacing w:before="240" w:after="60"/>
      <w:jc w:val="center"/>
      <w:outlineLvl w:val="0"/>
    </w:pPr>
    <w:rPr>
      <w:rFonts w:ascii="Cambria" w:hAnsi="Cambria"/>
      <w:b/>
      <w:bCs/>
      <w:sz w:val="32"/>
      <w:szCs w:val="32"/>
      <w:lang w:eastAsia="en-US"/>
    </w:rPr>
  </w:style>
  <w:style w:type="paragraph" w:styleId="26">
    <w:name w:val="annotation subject"/>
    <w:basedOn w:val="11"/>
    <w:next w:val="11"/>
    <w:link w:val="55"/>
    <w:qFormat/>
    <w:uiPriority w:val="99"/>
    <w:rPr>
      <w:b/>
      <w:bCs/>
    </w:rPr>
  </w:style>
  <w:style w:type="paragraph" w:styleId="27">
    <w:name w:val="Body Text First Indent 2"/>
    <w:basedOn w:val="12"/>
    <w:next w:val="1"/>
    <w:link w:val="42"/>
    <w:qFormat/>
    <w:uiPriority w:val="99"/>
    <w:pPr>
      <w:widowControl/>
      <w:ind w:firstLine="420" w:firstLineChars="200"/>
      <w:jc w:val="left"/>
    </w:pPr>
    <w:rPr>
      <w:rFonts w:ascii="Calibri" w:hAnsi="Calibri"/>
      <w:szCs w:val="22"/>
    </w:r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99"/>
    <w:rPr>
      <w:rFonts w:ascii="Calibri" w:hAnsi="Calibri" w:eastAsia="微软雅黑" w:cs="Times New Roman"/>
      <w:b/>
    </w:rPr>
  </w:style>
  <w:style w:type="character" w:styleId="32">
    <w:name w:val="page number"/>
    <w:basedOn w:val="30"/>
    <w:qFormat/>
    <w:uiPriority w:val="99"/>
    <w:rPr>
      <w:rFonts w:cs="Times New Roman"/>
    </w:rPr>
  </w:style>
  <w:style w:type="character" w:styleId="33">
    <w:name w:val="FollowedHyperlink"/>
    <w:basedOn w:val="30"/>
    <w:semiHidden/>
    <w:unhideWhenUsed/>
    <w:qFormat/>
    <w:locked/>
    <w:uiPriority w:val="99"/>
    <w:rPr>
      <w:color w:val="333333"/>
      <w:sz w:val="18"/>
      <w:szCs w:val="18"/>
      <w:u w:val="none"/>
    </w:rPr>
  </w:style>
  <w:style w:type="character" w:styleId="34">
    <w:name w:val="Emphasis"/>
    <w:basedOn w:val="30"/>
    <w:qFormat/>
    <w:locked/>
    <w:uiPriority w:val="20"/>
  </w:style>
  <w:style w:type="character" w:styleId="35">
    <w:name w:val="Hyperlink"/>
    <w:basedOn w:val="30"/>
    <w:qFormat/>
    <w:uiPriority w:val="99"/>
    <w:rPr>
      <w:rFonts w:ascii="Verdana" w:hAnsi="Verdana" w:cs="Times New Roman"/>
      <w:color w:val="0000FF"/>
      <w:kern w:val="0"/>
      <w:sz w:val="20"/>
      <w:szCs w:val="20"/>
      <w:u w:val="single"/>
      <w:lang w:eastAsia="en-US"/>
    </w:rPr>
  </w:style>
  <w:style w:type="character" w:styleId="36">
    <w:name w:val="annotation reference"/>
    <w:basedOn w:val="30"/>
    <w:qFormat/>
    <w:uiPriority w:val="99"/>
    <w:rPr>
      <w:rFonts w:cs="Times New Roman"/>
      <w:sz w:val="21"/>
    </w:rPr>
  </w:style>
  <w:style w:type="character" w:customStyle="1" w:styleId="37">
    <w:name w:val="标题 1 Char"/>
    <w:basedOn w:val="30"/>
    <w:link w:val="4"/>
    <w:qFormat/>
    <w:locked/>
    <w:uiPriority w:val="99"/>
    <w:rPr>
      <w:rFonts w:ascii="Verdana" w:hAnsi="Verdana" w:cs="Times New Roman"/>
      <w:b/>
      <w:kern w:val="44"/>
      <w:sz w:val="44"/>
      <w:lang w:eastAsia="en-US"/>
    </w:rPr>
  </w:style>
  <w:style w:type="character" w:customStyle="1" w:styleId="38">
    <w:name w:val="标题 2 Char"/>
    <w:basedOn w:val="30"/>
    <w:link w:val="5"/>
    <w:qFormat/>
    <w:locked/>
    <w:uiPriority w:val="99"/>
    <w:rPr>
      <w:rFonts w:ascii="Cambria" w:hAnsi="Cambria" w:cs="Times New Roman"/>
      <w:b/>
      <w:kern w:val="2"/>
      <w:sz w:val="32"/>
      <w:lang w:eastAsia="en-US"/>
    </w:rPr>
  </w:style>
  <w:style w:type="character" w:customStyle="1" w:styleId="39">
    <w:name w:val="标题 3 Char"/>
    <w:basedOn w:val="30"/>
    <w:link w:val="6"/>
    <w:qFormat/>
    <w:locked/>
    <w:uiPriority w:val="99"/>
    <w:rPr>
      <w:rFonts w:ascii="Verdana" w:hAnsi="Verdana" w:cs="Times New Roman"/>
      <w:b/>
      <w:kern w:val="2"/>
      <w:sz w:val="32"/>
      <w:lang w:eastAsia="en-US"/>
    </w:rPr>
  </w:style>
  <w:style w:type="character" w:customStyle="1" w:styleId="40">
    <w:name w:val="标题 4 Char"/>
    <w:basedOn w:val="30"/>
    <w:link w:val="7"/>
    <w:semiHidden/>
    <w:qFormat/>
    <w:locked/>
    <w:uiPriority w:val="99"/>
    <w:rPr>
      <w:rFonts w:ascii="Cambria" w:hAnsi="Cambria" w:eastAsia="宋体" w:cs="Times New Roman"/>
      <w:b/>
      <w:bCs/>
      <w:sz w:val="28"/>
      <w:szCs w:val="28"/>
    </w:rPr>
  </w:style>
  <w:style w:type="character" w:customStyle="1" w:styleId="41">
    <w:name w:val="正文文本缩进 Char"/>
    <w:basedOn w:val="30"/>
    <w:link w:val="12"/>
    <w:qFormat/>
    <w:locked/>
    <w:uiPriority w:val="99"/>
    <w:rPr>
      <w:rFonts w:ascii="Verdana" w:hAnsi="Verdana" w:cs="Times New Roman"/>
      <w:kern w:val="2"/>
      <w:sz w:val="20"/>
      <w:lang w:eastAsia="en-US"/>
    </w:rPr>
  </w:style>
  <w:style w:type="character" w:customStyle="1" w:styleId="42">
    <w:name w:val="正文首行缩进 2 Char"/>
    <w:basedOn w:val="41"/>
    <w:link w:val="27"/>
    <w:semiHidden/>
    <w:qFormat/>
    <w:locked/>
    <w:uiPriority w:val="99"/>
    <w:rPr>
      <w:sz w:val="24"/>
      <w:szCs w:val="24"/>
    </w:rPr>
  </w:style>
  <w:style w:type="character" w:customStyle="1" w:styleId="43">
    <w:name w:val="文档结构图 Char"/>
    <w:basedOn w:val="30"/>
    <w:link w:val="10"/>
    <w:semiHidden/>
    <w:qFormat/>
    <w:locked/>
    <w:uiPriority w:val="99"/>
    <w:rPr>
      <w:rFonts w:cs="Times New Roman"/>
      <w:sz w:val="2"/>
    </w:rPr>
  </w:style>
  <w:style w:type="character" w:customStyle="1" w:styleId="44">
    <w:name w:val="批注文字 Char"/>
    <w:basedOn w:val="30"/>
    <w:link w:val="11"/>
    <w:qFormat/>
    <w:locked/>
    <w:uiPriority w:val="99"/>
    <w:rPr>
      <w:rFonts w:ascii="Times New Roman" w:hAnsi="Times New Roman" w:cs="Times New Roman"/>
      <w:kern w:val="2"/>
      <w:sz w:val="24"/>
    </w:rPr>
  </w:style>
  <w:style w:type="character" w:customStyle="1" w:styleId="45">
    <w:name w:val="正文文本 Char"/>
    <w:basedOn w:val="30"/>
    <w:link w:val="2"/>
    <w:semiHidden/>
    <w:qFormat/>
    <w:locked/>
    <w:uiPriority w:val="99"/>
    <w:rPr>
      <w:rFonts w:cs="Times New Roman"/>
      <w:sz w:val="24"/>
      <w:szCs w:val="24"/>
    </w:rPr>
  </w:style>
  <w:style w:type="character" w:customStyle="1" w:styleId="46">
    <w:name w:val="纯文本 Char"/>
    <w:basedOn w:val="30"/>
    <w:link w:val="14"/>
    <w:qFormat/>
    <w:locked/>
    <w:uiPriority w:val="99"/>
    <w:rPr>
      <w:rFonts w:ascii="宋体" w:hAnsi="Courier New" w:eastAsia="宋体" w:cs="Times New Roman"/>
      <w:spacing w:val="-8"/>
      <w:kern w:val="2"/>
      <w:sz w:val="20"/>
      <w:lang w:eastAsia="en-US"/>
    </w:rPr>
  </w:style>
  <w:style w:type="character" w:customStyle="1" w:styleId="47">
    <w:name w:val="日期 Char"/>
    <w:basedOn w:val="30"/>
    <w:link w:val="15"/>
    <w:semiHidden/>
    <w:qFormat/>
    <w:locked/>
    <w:uiPriority w:val="99"/>
    <w:rPr>
      <w:rFonts w:cs="Times New Roman"/>
      <w:sz w:val="24"/>
      <w:szCs w:val="24"/>
    </w:rPr>
  </w:style>
  <w:style w:type="character" w:customStyle="1" w:styleId="48">
    <w:name w:val="正文文本缩进 2 Char"/>
    <w:basedOn w:val="30"/>
    <w:link w:val="16"/>
    <w:qFormat/>
    <w:locked/>
    <w:uiPriority w:val="99"/>
    <w:rPr>
      <w:rFonts w:ascii="Verdana" w:hAnsi="Verdana" w:cs="Times New Roman"/>
      <w:kern w:val="2"/>
      <w:sz w:val="24"/>
      <w:lang w:eastAsia="en-US"/>
    </w:rPr>
  </w:style>
  <w:style w:type="character" w:customStyle="1" w:styleId="49">
    <w:name w:val="批注框文本 Char"/>
    <w:basedOn w:val="30"/>
    <w:link w:val="17"/>
    <w:qFormat/>
    <w:locked/>
    <w:uiPriority w:val="99"/>
    <w:rPr>
      <w:rFonts w:ascii="Verdana" w:hAnsi="Verdana" w:cs="Times New Roman"/>
      <w:kern w:val="2"/>
      <w:sz w:val="18"/>
      <w:lang w:eastAsia="en-US"/>
    </w:rPr>
  </w:style>
  <w:style w:type="character" w:customStyle="1" w:styleId="50">
    <w:name w:val="页脚 Char"/>
    <w:basedOn w:val="30"/>
    <w:link w:val="18"/>
    <w:qFormat/>
    <w:locked/>
    <w:uiPriority w:val="99"/>
    <w:rPr>
      <w:rFonts w:ascii="Verdana" w:hAnsi="Verdana" w:cs="Times New Roman"/>
      <w:kern w:val="2"/>
      <w:sz w:val="18"/>
      <w:lang w:eastAsia="en-US"/>
    </w:rPr>
  </w:style>
  <w:style w:type="character" w:customStyle="1" w:styleId="51">
    <w:name w:val="页眉 Char"/>
    <w:basedOn w:val="30"/>
    <w:link w:val="19"/>
    <w:semiHidden/>
    <w:qFormat/>
    <w:locked/>
    <w:uiPriority w:val="99"/>
    <w:rPr>
      <w:rFonts w:cs="Times New Roman"/>
      <w:sz w:val="18"/>
      <w:szCs w:val="18"/>
    </w:rPr>
  </w:style>
  <w:style w:type="character" w:customStyle="1" w:styleId="52">
    <w:name w:val="副标题 Char"/>
    <w:basedOn w:val="30"/>
    <w:link w:val="21"/>
    <w:qFormat/>
    <w:locked/>
    <w:uiPriority w:val="99"/>
    <w:rPr>
      <w:rFonts w:ascii="Cambria" w:hAnsi="Cambria" w:cs="Times New Roman"/>
      <w:b/>
      <w:bCs/>
      <w:kern w:val="28"/>
      <w:sz w:val="32"/>
      <w:szCs w:val="32"/>
    </w:rPr>
  </w:style>
  <w:style w:type="character" w:customStyle="1" w:styleId="53">
    <w:name w:val="正文文本 2 Char"/>
    <w:basedOn w:val="30"/>
    <w:link w:val="23"/>
    <w:qFormat/>
    <w:locked/>
    <w:uiPriority w:val="99"/>
    <w:rPr>
      <w:rFonts w:ascii="Verdana" w:hAnsi="Verdana" w:cs="Times New Roman"/>
      <w:kern w:val="2"/>
      <w:sz w:val="24"/>
      <w:lang w:eastAsia="en-US"/>
    </w:rPr>
  </w:style>
  <w:style w:type="character" w:customStyle="1" w:styleId="54">
    <w:name w:val="标题 Char"/>
    <w:basedOn w:val="30"/>
    <w:link w:val="25"/>
    <w:qFormat/>
    <w:locked/>
    <w:uiPriority w:val="99"/>
    <w:rPr>
      <w:rFonts w:ascii="Cambria" w:hAnsi="Cambria" w:cs="Times New Roman"/>
      <w:b/>
      <w:kern w:val="2"/>
      <w:sz w:val="32"/>
      <w:lang w:eastAsia="en-US"/>
    </w:rPr>
  </w:style>
  <w:style w:type="character" w:customStyle="1" w:styleId="55">
    <w:name w:val="批注主题 Char"/>
    <w:basedOn w:val="44"/>
    <w:link w:val="26"/>
    <w:qFormat/>
    <w:locked/>
    <w:uiPriority w:val="99"/>
    <w:rPr>
      <w:b/>
    </w:rPr>
  </w:style>
  <w:style w:type="paragraph" w:customStyle="1" w:styleId="56">
    <w:name w:val="首行缩进"/>
    <w:basedOn w:val="1"/>
    <w:qFormat/>
    <w:uiPriority w:val="99"/>
    <w:pPr>
      <w:ind w:firstLine="480" w:firstLineChars="200"/>
    </w:pPr>
    <w:rPr>
      <w:lang w:val="zh-CN"/>
    </w:rPr>
  </w:style>
  <w:style w:type="paragraph" w:customStyle="1" w:styleId="57">
    <w:name w:val="_Style 3"/>
    <w:basedOn w:val="4"/>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styleId="58">
    <w:name w:val="List Paragraph"/>
    <w:basedOn w:val="1"/>
    <w:qFormat/>
    <w:uiPriority w:val="99"/>
    <w:pPr>
      <w:widowControl/>
      <w:ind w:firstLine="420" w:firstLineChars="200"/>
      <w:jc w:val="left"/>
    </w:pPr>
    <w:rPr>
      <w:kern w:val="0"/>
      <w:szCs w:val="20"/>
    </w:rPr>
  </w:style>
  <w:style w:type="paragraph" w:customStyle="1" w:styleId="59">
    <w:name w:val="_Style 30"/>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Table Paragraph"/>
    <w:basedOn w:val="1"/>
    <w:qFormat/>
    <w:uiPriority w:val="99"/>
    <w:pPr>
      <w:spacing w:line="360" w:lineRule="auto"/>
    </w:pPr>
    <w:rPr>
      <w:rFonts w:ascii="PMingLiUfalt" w:hAnsi="PMingLiUfalt" w:eastAsia="PMingLiUfalt" w:cs="PMingLiUfalt"/>
      <w:sz w:val="24"/>
    </w:rPr>
  </w:style>
  <w:style w:type="paragraph" w:customStyle="1" w:styleId="63">
    <w:name w:val="my正文"/>
    <w:basedOn w:val="1"/>
    <w:qFormat/>
    <w:uiPriority w:val="99"/>
    <w:pPr>
      <w:spacing w:line="360" w:lineRule="auto"/>
      <w:ind w:firstLine="480" w:firstLineChars="200"/>
    </w:pPr>
    <w:rPr>
      <w:sz w:val="24"/>
    </w:rPr>
  </w:style>
  <w:style w:type="paragraph" w:customStyle="1" w:styleId="64">
    <w:name w:val="Z-正文小4号"/>
    <w:basedOn w:val="1"/>
    <w:qFormat/>
    <w:uiPriority w:val="99"/>
    <w:pPr>
      <w:spacing w:line="360" w:lineRule="auto"/>
      <w:ind w:firstLine="480" w:firstLineChars="200"/>
    </w:pPr>
    <w:rPr>
      <w:rFonts w:ascii="宋体" w:hAnsi="宋体"/>
      <w:sz w:val="24"/>
      <w:lang w:val="zh-CN"/>
    </w:rPr>
  </w:style>
  <w:style w:type="paragraph" w:customStyle="1" w:styleId="65">
    <w:name w:val="段标题1"/>
    <w:basedOn w:val="1"/>
    <w:qFormat/>
    <w:uiPriority w:val="99"/>
    <w:pPr>
      <w:tabs>
        <w:tab w:val="left" w:pos="420"/>
        <w:tab w:val="left" w:pos="1080"/>
      </w:tabs>
      <w:adjustRightInd w:val="0"/>
      <w:snapToGrid w:val="0"/>
      <w:spacing w:line="480" w:lineRule="auto"/>
      <w:ind w:left="420" w:hanging="420"/>
      <w:textAlignment w:val="baseline"/>
    </w:pPr>
    <w:rPr>
      <w:sz w:val="24"/>
      <w:szCs w:val="20"/>
    </w:rPr>
  </w:style>
  <w:style w:type="paragraph" w:customStyle="1" w:styleId="6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67">
    <w:name w:val="正文 New New New New New New New New"/>
    <w:basedOn w:val="1"/>
    <w:qFormat/>
    <w:uiPriority w:val="99"/>
    <w:pPr>
      <w:spacing w:line="360" w:lineRule="auto"/>
      <w:ind w:firstLine="200" w:firstLineChars="200"/>
    </w:pPr>
    <w:rPr>
      <w:szCs w:val="20"/>
    </w:rPr>
  </w:style>
  <w:style w:type="paragraph" w:customStyle="1" w:styleId="68">
    <w:name w:val="p0"/>
    <w:basedOn w:val="1"/>
    <w:qFormat/>
    <w:uiPriority w:val="99"/>
    <w:pPr>
      <w:widowControl/>
    </w:pPr>
    <w:rPr>
      <w:rFonts w:ascii="Calibri" w:hAnsi="Calibri"/>
      <w:kern w:val="0"/>
      <w:szCs w:val="21"/>
    </w:rPr>
  </w:style>
  <w:style w:type="paragraph" w:customStyle="1" w:styleId="69">
    <w:name w:val="_Style 1"/>
    <w:basedOn w:val="1"/>
    <w:next w:val="1"/>
    <w:qFormat/>
    <w:uiPriority w:val="99"/>
    <w:pPr>
      <w:ind w:firstLine="420" w:firstLineChars="200"/>
    </w:pPr>
  </w:style>
  <w:style w:type="paragraph" w:customStyle="1" w:styleId="70">
    <w:name w:val="List Paragraph1"/>
    <w:basedOn w:val="1"/>
    <w:qFormat/>
    <w:uiPriority w:val="99"/>
    <w:pPr>
      <w:ind w:firstLine="420" w:firstLineChars="200"/>
    </w:pPr>
    <w:rPr>
      <w:rFonts w:ascii="Calibri" w:hAnsi="Calibri"/>
      <w:szCs w:val="22"/>
    </w:rPr>
  </w:style>
  <w:style w:type="paragraph" w:customStyle="1" w:styleId="71">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2">
    <w:name w:val="彩色列表 - 着色 11"/>
    <w:basedOn w:val="1"/>
    <w:qFormat/>
    <w:uiPriority w:val="99"/>
    <w:pPr>
      <w:widowControl/>
      <w:ind w:firstLine="420" w:firstLineChars="200"/>
      <w:jc w:val="left"/>
    </w:pPr>
    <w:rPr>
      <w:kern w:val="0"/>
      <w:szCs w:val="20"/>
    </w:rPr>
  </w:style>
  <w:style w:type="paragraph" w:customStyle="1" w:styleId="73">
    <w:name w:val="章节题目"/>
    <w:basedOn w:val="74"/>
    <w:next w:val="1"/>
    <w:qFormat/>
    <w:uiPriority w:val="99"/>
    <w:pPr>
      <w:spacing w:before="720" w:after="400" w:line="540" w:lineRule="atLeast"/>
      <w:ind w:right="2160"/>
    </w:pPr>
    <w:rPr>
      <w:rFonts w:ascii="Times New Roman" w:hAnsi="Times New Roman"/>
      <w:spacing w:val="-40"/>
      <w:sz w:val="60"/>
    </w:rPr>
  </w:style>
  <w:style w:type="paragraph" w:customStyle="1" w:styleId="74">
    <w:name w:val="基准标题"/>
    <w:basedOn w:val="1"/>
    <w:next w:val="2"/>
    <w:qFormat/>
    <w:uiPriority w:val="99"/>
    <w:pPr>
      <w:keepNext/>
      <w:keepLines/>
      <w:spacing w:before="140" w:line="220" w:lineRule="atLeast"/>
    </w:pPr>
    <w:rPr>
      <w:rFonts w:ascii="Arial" w:hAnsi="Arial"/>
      <w:spacing w:val="-4"/>
      <w:kern w:val="28"/>
      <w:sz w:val="22"/>
    </w:rPr>
  </w:style>
  <w:style w:type="paragraph" w:customStyle="1" w:styleId="75">
    <w:name w:val="￥正文"/>
    <w:basedOn w:val="1"/>
    <w:qFormat/>
    <w:uiPriority w:val="99"/>
    <w:pPr>
      <w:spacing w:line="360" w:lineRule="auto"/>
      <w:ind w:firstLine="200" w:firstLineChars="200"/>
    </w:pPr>
    <w:rPr>
      <w:rFonts w:ascii="Calibri" w:hAnsi="Calibri"/>
      <w:sz w:val="24"/>
    </w:rPr>
  </w:style>
  <w:style w:type="paragraph" w:customStyle="1" w:styleId="76">
    <w:name w:val="xl32"/>
    <w:basedOn w:val="1"/>
    <w:qFormat/>
    <w:uiPriority w:val="99"/>
    <w:pPr>
      <w:pBdr>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cs="Arial Unicode MS"/>
      <w:szCs w:val="21"/>
    </w:rPr>
  </w:style>
  <w:style w:type="paragraph" w:customStyle="1" w:styleId="77">
    <w:name w:val="msolistparagraph"/>
    <w:basedOn w:val="1"/>
    <w:qFormat/>
    <w:uiPriority w:val="99"/>
    <w:pPr>
      <w:spacing w:line="360" w:lineRule="auto"/>
      <w:ind w:firstLine="420" w:firstLineChars="200"/>
    </w:pPr>
  </w:style>
  <w:style w:type="paragraph" w:customStyle="1" w:styleId="78">
    <w:name w:val="Char Char Char"/>
    <w:basedOn w:val="1"/>
    <w:qFormat/>
    <w:uiPriority w:val="99"/>
    <w:pPr>
      <w:widowControl/>
      <w:spacing w:after="160" w:line="240" w:lineRule="exact"/>
      <w:jc w:val="left"/>
    </w:pPr>
  </w:style>
  <w:style w:type="paragraph" w:customStyle="1" w:styleId="79">
    <w:name w:val="newstyle16"/>
    <w:basedOn w:val="1"/>
    <w:qFormat/>
    <w:uiPriority w:val="99"/>
    <w:pPr>
      <w:widowControl/>
      <w:jc w:val="left"/>
    </w:pPr>
    <w:rPr>
      <w:rFonts w:ascii="宋体" w:hAnsi="宋体" w:cs="宋体"/>
      <w:kern w:val="0"/>
      <w:sz w:val="24"/>
    </w:rPr>
  </w:style>
  <w:style w:type="paragraph" w:customStyle="1" w:styleId="80">
    <w:name w:val="图例"/>
    <w:basedOn w:val="1"/>
    <w:qFormat/>
    <w:uiPriority w:val="99"/>
    <w:pPr>
      <w:spacing w:before="120" w:after="120" w:line="360" w:lineRule="auto"/>
      <w:jc w:val="center"/>
    </w:pPr>
    <w:rPr>
      <w:rFonts w:eastAsia="仿宋_GB2312"/>
      <w:b/>
      <w:szCs w:val="20"/>
    </w:rPr>
  </w:style>
  <w:style w:type="paragraph" w:customStyle="1" w:styleId="81">
    <w:name w:val="列出段落1"/>
    <w:basedOn w:val="1"/>
    <w:qFormat/>
    <w:uiPriority w:val="99"/>
    <w:pPr>
      <w:ind w:firstLine="420" w:firstLineChars="200"/>
    </w:pPr>
  </w:style>
  <w:style w:type="paragraph" w:customStyle="1" w:styleId="82">
    <w:name w:val="表格文字"/>
    <w:basedOn w:val="1"/>
    <w:qFormat/>
    <w:uiPriority w:val="99"/>
    <w:pPr>
      <w:jc w:val="left"/>
    </w:pPr>
    <w:rPr>
      <w:bCs/>
      <w:spacing w:val="10"/>
      <w:kern w:val="0"/>
      <w:sz w:val="24"/>
      <w:szCs w:val="20"/>
    </w:rPr>
  </w:style>
  <w:style w:type="paragraph" w:customStyle="1" w:styleId="83">
    <w:name w:val="333"/>
    <w:basedOn w:val="5"/>
    <w:next w:val="5"/>
    <w:qFormat/>
    <w:uiPriority w:val="99"/>
    <w:pPr>
      <w:numPr>
        <w:ilvl w:val="0"/>
        <w:numId w:val="1"/>
      </w:numPr>
      <w:tabs>
        <w:tab w:val="left" w:pos="360"/>
      </w:tabs>
      <w:spacing w:before="140" w:after="140" w:line="240" w:lineRule="auto"/>
      <w:ind w:left="0" w:firstLine="0"/>
      <w:outlineLvl w:val="2"/>
    </w:pPr>
    <w:rPr>
      <w:rFonts w:ascii="仿宋" w:hAnsi="仿宋" w:eastAsia="仿宋"/>
      <w:bCs w:val="0"/>
      <w:sz w:val="21"/>
      <w:szCs w:val="28"/>
    </w:rPr>
  </w:style>
  <w:style w:type="character" w:customStyle="1" w:styleId="84">
    <w:name w:val="font41"/>
    <w:basedOn w:val="30"/>
    <w:qFormat/>
    <w:uiPriority w:val="99"/>
    <w:rPr>
      <w:rFonts w:ascii="宋体" w:hAnsi="宋体" w:eastAsia="宋体" w:cs="宋体"/>
      <w:color w:val="000000"/>
      <w:kern w:val="0"/>
      <w:sz w:val="18"/>
      <w:szCs w:val="18"/>
      <w:u w:val="none"/>
      <w:lang w:eastAsia="en-US"/>
    </w:rPr>
  </w:style>
  <w:style w:type="character" w:customStyle="1" w:styleId="85">
    <w:name w:val="正文缩进 Char"/>
    <w:link w:val="9"/>
    <w:qFormat/>
    <w:locked/>
    <w:uiPriority w:val="99"/>
    <w:rPr>
      <w:rFonts w:ascii="Verdana" w:hAnsi="Verdana"/>
      <w:kern w:val="0"/>
      <w:sz w:val="20"/>
      <w:lang w:eastAsia="en-US"/>
    </w:rPr>
  </w:style>
  <w:style w:type="character" w:customStyle="1" w:styleId="86">
    <w:name w:val="font31"/>
    <w:qFormat/>
    <w:uiPriority w:val="99"/>
    <w:rPr>
      <w:rFonts w:ascii="宋体" w:hAnsi="宋体" w:eastAsia="宋体"/>
      <w:color w:val="000000"/>
      <w:kern w:val="0"/>
      <w:sz w:val="20"/>
      <w:u w:val="none"/>
      <w:lang w:eastAsia="en-US"/>
    </w:rPr>
  </w:style>
  <w:style w:type="character" w:customStyle="1" w:styleId="87">
    <w:name w:val="font01"/>
    <w:basedOn w:val="30"/>
    <w:qFormat/>
    <w:uiPriority w:val="99"/>
    <w:rPr>
      <w:rFonts w:ascii="宋体" w:hAnsi="宋体" w:eastAsia="宋体" w:cs="宋体"/>
      <w:color w:val="000000"/>
      <w:kern w:val="0"/>
      <w:sz w:val="20"/>
      <w:szCs w:val="20"/>
      <w:u w:val="none"/>
      <w:lang w:eastAsia="en-US"/>
    </w:rPr>
  </w:style>
  <w:style w:type="character" w:customStyle="1" w:styleId="88">
    <w:name w:val="font21"/>
    <w:qFormat/>
    <w:uiPriority w:val="99"/>
    <w:rPr>
      <w:rFonts w:ascii="宋体" w:hAnsi="宋体" w:eastAsia="宋体"/>
      <w:color w:val="000000"/>
      <w:kern w:val="0"/>
      <w:sz w:val="21"/>
      <w:u w:val="none"/>
      <w:lang w:eastAsia="en-US"/>
    </w:rPr>
  </w:style>
  <w:style w:type="character" w:customStyle="1" w:styleId="89">
    <w:name w:val="font11"/>
    <w:qFormat/>
    <w:uiPriority w:val="99"/>
    <w:rPr>
      <w:rFonts w:ascii="宋体" w:hAnsi="宋体" w:eastAsia="宋体"/>
      <w:color w:val="000000"/>
      <w:kern w:val="0"/>
      <w:sz w:val="24"/>
      <w:u w:val="none"/>
      <w:lang w:eastAsia="en-US"/>
    </w:rPr>
  </w:style>
  <w:style w:type="character" w:customStyle="1" w:styleId="90">
    <w:name w:val="main_tdbg_760"/>
    <w:basedOn w:val="30"/>
    <w:qFormat/>
    <w:uiPriority w:val="99"/>
    <w:rPr>
      <w:rFonts w:cs="Times New Roman"/>
    </w:rPr>
  </w:style>
  <w:style w:type="character" w:customStyle="1" w:styleId="91">
    <w:name w:val="font71"/>
    <w:qFormat/>
    <w:uiPriority w:val="99"/>
    <w:rPr>
      <w:rFonts w:ascii="宋体" w:hAnsi="宋体" w:eastAsia="宋体"/>
      <w:color w:val="000000"/>
      <w:kern w:val="0"/>
      <w:sz w:val="18"/>
      <w:u w:val="none"/>
      <w:lang w:eastAsia="en-US"/>
    </w:rPr>
  </w:style>
  <w:style w:type="character" w:customStyle="1" w:styleId="92">
    <w:name w:val="font51"/>
    <w:qFormat/>
    <w:uiPriority w:val="99"/>
    <w:rPr>
      <w:rFonts w:ascii="宋体" w:hAnsi="宋体" w:eastAsia="宋体"/>
      <w:color w:val="000000"/>
      <w:kern w:val="0"/>
      <w:sz w:val="20"/>
      <w:u w:val="none"/>
      <w:lang w:eastAsia="en-US"/>
    </w:rPr>
  </w:style>
  <w:style w:type="character" w:customStyle="1" w:styleId="93">
    <w:name w:val="font81"/>
    <w:basedOn w:val="30"/>
    <w:qFormat/>
    <w:uiPriority w:val="99"/>
    <w:rPr>
      <w:rFonts w:ascii="新宋体" w:hAnsi="新宋体" w:eastAsia="新宋体" w:cs="新宋体"/>
      <w:color w:val="000000"/>
      <w:kern w:val="0"/>
      <w:sz w:val="20"/>
      <w:szCs w:val="20"/>
      <w:u w:val="none"/>
      <w:lang w:eastAsia="en-US"/>
    </w:rPr>
  </w:style>
  <w:style w:type="character" w:customStyle="1" w:styleId="94">
    <w:name w:val="font61"/>
    <w:qFormat/>
    <w:uiPriority w:val="99"/>
    <w:rPr>
      <w:rFonts w:ascii="宋体" w:hAnsi="宋体" w:eastAsia="宋体"/>
      <w:color w:val="000000"/>
      <w:kern w:val="0"/>
      <w:sz w:val="20"/>
      <w:u w:val="none"/>
      <w:lang w:eastAsia="en-US"/>
    </w:rPr>
  </w:style>
  <w:style w:type="paragraph" w:customStyle="1" w:styleId="95">
    <w:name w:val="Body text|1"/>
    <w:basedOn w:val="1"/>
    <w:qFormat/>
    <w:uiPriority w:val="99"/>
    <w:pPr>
      <w:spacing w:after="240" w:line="480" w:lineRule="auto"/>
      <w:ind w:firstLine="400"/>
    </w:pPr>
    <w:rPr>
      <w:rFonts w:ascii="宋体" w:hAnsi="宋体" w:cs="宋体"/>
      <w:lang w:val="zh-TW" w:eastAsia="zh-TW"/>
    </w:rPr>
  </w:style>
  <w:style w:type="paragraph" w:customStyle="1" w:styleId="96">
    <w:name w:val="样式1"/>
    <w:basedOn w:val="1"/>
    <w:qFormat/>
    <w:uiPriority w:val="99"/>
    <w:pPr>
      <w:numPr>
        <w:ilvl w:val="0"/>
        <w:numId w:val="2"/>
      </w:numPr>
      <w:tabs>
        <w:tab w:val="left" w:pos="709"/>
      </w:tabs>
    </w:pPr>
    <w:rPr>
      <w:rFonts w:ascii="宋体" w:hAnsi="宋体"/>
      <w:szCs w:val="21"/>
    </w:rPr>
  </w:style>
  <w:style w:type="paragraph" w:customStyle="1" w:styleId="97">
    <w:name w:val="*正文"/>
    <w:basedOn w:val="1"/>
    <w:qFormat/>
    <w:uiPriority w:val="99"/>
    <w:pPr>
      <w:spacing w:line="360" w:lineRule="auto"/>
      <w:ind w:firstLine="200" w:firstLineChars="200"/>
    </w:pPr>
    <w:rPr>
      <w:rFonts w:ascii="宋体" w:hAnsi="宋体" w:cs="仿宋_GB2312"/>
      <w:kern w:val="0"/>
      <w:sz w:val="24"/>
    </w:rPr>
  </w:style>
  <w:style w:type="paragraph" w:customStyle="1" w:styleId="98">
    <w:name w:val="样式2"/>
    <w:basedOn w:val="13"/>
    <w:qFormat/>
    <w:uiPriority w:val="99"/>
    <w:pPr>
      <w:tabs>
        <w:tab w:val="right" w:leader="dot" w:pos="9458"/>
      </w:tabs>
      <w:ind w:left="420" w:leftChars="0"/>
      <w:jc w:val="left"/>
    </w:pPr>
    <w:rPr>
      <w:rFonts w:ascii="Arial" w:hAnsi="Calibri" w:cs="Arial"/>
      <w:i/>
      <w:iCs/>
      <w:sz w:val="20"/>
    </w:rPr>
  </w:style>
  <w:style w:type="character" w:customStyle="1" w:styleId="99">
    <w:name w:val="正文文本 Char1"/>
    <w:qFormat/>
    <w:uiPriority w:val="99"/>
    <w:rPr>
      <w:rFonts w:ascii="宋体" w:eastAsia="宋体"/>
      <w:sz w:val="22"/>
      <w:u w:val="none"/>
      <w:lang w:val="zh-CN" w:eastAsia="zh-CN"/>
    </w:rPr>
  </w:style>
  <w:style w:type="paragraph" w:customStyle="1" w:styleId="10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_Style 2"/>
    <w:basedOn w:val="1"/>
    <w:qFormat/>
    <w:uiPriority w:val="99"/>
    <w:pPr>
      <w:ind w:firstLine="420" w:firstLineChars="200"/>
    </w:pPr>
  </w:style>
  <w:style w:type="paragraph" w:customStyle="1" w:styleId="102">
    <w:name w:val="dt2"/>
    <w:basedOn w:val="1"/>
    <w:qFormat/>
    <w:uiPriority w:val="99"/>
    <w:pPr>
      <w:jc w:val="left"/>
    </w:pPr>
    <w:rPr>
      <w:kern w:val="0"/>
    </w:rPr>
  </w:style>
  <w:style w:type="character" w:customStyle="1" w:styleId="103">
    <w:name w:val="font91"/>
    <w:basedOn w:val="30"/>
    <w:qFormat/>
    <w:uiPriority w:val="99"/>
    <w:rPr>
      <w:rFonts w:ascii="宋体" w:hAnsi="宋体" w:eastAsia="宋体" w:cs="宋体"/>
      <w:color w:val="000000"/>
      <w:sz w:val="20"/>
      <w:szCs w:val="20"/>
      <w:u w:val="none"/>
    </w:rPr>
  </w:style>
  <w:style w:type="character" w:customStyle="1" w:styleId="104">
    <w:name w:val="font121"/>
    <w:basedOn w:val="30"/>
    <w:qFormat/>
    <w:uiPriority w:val="99"/>
    <w:rPr>
      <w:rFonts w:ascii="宋体" w:hAnsi="宋体" w:eastAsia="宋体" w:cs="宋体"/>
      <w:color w:val="333333"/>
      <w:sz w:val="20"/>
      <w:szCs w:val="20"/>
      <w:u w:val="none"/>
    </w:rPr>
  </w:style>
  <w:style w:type="character" w:customStyle="1" w:styleId="105">
    <w:name w:val="font112"/>
    <w:basedOn w:val="30"/>
    <w:qFormat/>
    <w:uiPriority w:val="99"/>
    <w:rPr>
      <w:rFonts w:ascii="宋体" w:hAnsi="宋体" w:eastAsia="宋体" w:cs="宋体"/>
      <w:color w:val="000000"/>
      <w:sz w:val="20"/>
      <w:szCs w:val="20"/>
      <w:u w:val="none"/>
    </w:rPr>
  </w:style>
  <w:style w:type="character" w:customStyle="1" w:styleId="106">
    <w:name w:val="font131"/>
    <w:basedOn w:val="30"/>
    <w:qFormat/>
    <w:uiPriority w:val="99"/>
    <w:rPr>
      <w:rFonts w:ascii="Calibri" w:hAnsi="Calibri" w:cs="Calibri"/>
      <w:color w:val="000000"/>
      <w:sz w:val="20"/>
      <w:szCs w:val="20"/>
      <w:u w:val="none"/>
    </w:rPr>
  </w:style>
  <w:style w:type="character" w:customStyle="1" w:styleId="107">
    <w:name w:val="time"/>
    <w:basedOn w:val="30"/>
    <w:qFormat/>
    <w:uiPriority w:val="0"/>
  </w:style>
  <w:style w:type="character" w:customStyle="1" w:styleId="108">
    <w:name w:val="time1"/>
    <w:basedOn w:val="30"/>
    <w:qFormat/>
    <w:uiPriority w:val="0"/>
  </w:style>
  <w:style w:type="character" w:customStyle="1" w:styleId="109">
    <w:name w:val="time2"/>
    <w:basedOn w:val="30"/>
    <w:qFormat/>
    <w:uiPriority w:val="0"/>
  </w:style>
  <w:style w:type="character" w:customStyle="1" w:styleId="110">
    <w:name w:val="english"/>
    <w:basedOn w:val="30"/>
    <w:qFormat/>
    <w:uiPriority w:val="0"/>
    <w:rPr>
      <w:rFonts w:ascii="微软雅黑" w:hAnsi="微软雅黑" w:eastAsia="微软雅黑" w:cs="微软雅黑"/>
      <w:color w:val="000000"/>
      <w:sz w:val="12"/>
      <w:szCs w:val="12"/>
    </w:rPr>
  </w:style>
  <w:style w:type="character" w:customStyle="1" w:styleId="111">
    <w:name w:val="english1"/>
    <w:basedOn w:val="30"/>
    <w:qFormat/>
    <w:uiPriority w:val="0"/>
    <w:rPr>
      <w:rFonts w:hint="eastAsia" w:ascii="微软雅黑" w:hAnsi="微软雅黑" w:eastAsia="微软雅黑" w:cs="微软雅黑"/>
      <w:i/>
      <w:iCs/>
      <w:caps/>
      <w:color w:val="9E9E9E"/>
      <w:sz w:val="21"/>
      <w:szCs w:val="21"/>
    </w:rPr>
  </w:style>
  <w:style w:type="character" w:customStyle="1" w:styleId="112">
    <w:name w:val="english2"/>
    <w:basedOn w:val="30"/>
    <w:qFormat/>
    <w:uiPriority w:val="0"/>
    <w:rPr>
      <w:rFonts w:hint="eastAsia" w:ascii="微软雅黑" w:hAnsi="微软雅黑" w:eastAsia="微软雅黑" w:cs="微软雅黑"/>
      <w:i/>
      <w:iCs/>
      <w:caps/>
      <w:color w:val="9E9E9E"/>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36</Pages>
  <Words>2755</Words>
  <Characters>15707</Characters>
  <Lines>130</Lines>
  <Paragraphs>36</Paragraphs>
  <TotalTime>7</TotalTime>
  <ScaleCrop>false</ScaleCrop>
  <LinksUpToDate>false</LinksUpToDate>
  <CharactersWithSpaces>18426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2021-10-12T00:51:00Z</dcterms:created>
  <dc:creator>微软用户</dc:creator>
  <cp:lastModifiedBy>Administrator</cp:lastModifiedBy>
  <cp:lastPrinted>2021-04-29T01:19:00Z</cp:lastPrinted>
  <dcterms:modified xsi:type="dcterms:W3CDTF">2021-10-25T08:08:33Z</dcterms:modified>
  <dc:title>海南省森林公安局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C3B122EFD0BD482CB27CF1A97158FCF0</vt:lpwstr>
  </property>
</Properties>
</file>