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highlight w:val="none"/>
          <w:lang w:eastAsia="zh-CN"/>
        </w:rPr>
      </w:pPr>
      <w:bookmarkStart w:id="0" w:name="_Toc246825790"/>
      <w:bookmarkStart w:id="1" w:name="_Toc25707519"/>
      <w:bookmarkStart w:id="2" w:name="_Toc14340873"/>
      <w:bookmarkStart w:id="3" w:name="_Toc14162962"/>
      <w:bookmarkStart w:id="4" w:name="_Toc16602581"/>
      <w:bookmarkStart w:id="5" w:name="_Toc245888261"/>
      <w:bookmarkStart w:id="6" w:name="_Toc246826095"/>
      <w:bookmarkStart w:id="7" w:name="_Toc14162459"/>
      <w:bookmarkStart w:id="8" w:name="_Toc48568216"/>
      <w:r>
        <w:rPr>
          <w:rFonts w:hint="eastAsia" w:ascii="仿宋" w:hAnsi="仿宋" w:eastAsia="仿宋" w:cs="仿宋"/>
          <w:b/>
          <w:color w:val="auto"/>
          <w:sz w:val="30"/>
          <w:szCs w:val="30"/>
          <w:highlight w:val="none"/>
        </w:rPr>
        <w:t>项目编号：</w:t>
      </w:r>
      <w:r>
        <w:rPr>
          <w:rFonts w:hint="eastAsia" w:ascii="仿宋" w:hAnsi="仿宋" w:eastAsia="仿宋" w:cs="仿宋"/>
          <w:color w:val="auto"/>
          <w:sz w:val="32"/>
          <w:szCs w:val="32"/>
          <w:highlight w:val="none"/>
          <w:lang w:eastAsia="zh-CN"/>
        </w:rPr>
        <w:t>HNXT2021-T018</w:t>
      </w:r>
    </w:p>
    <w:p>
      <w:pPr>
        <w:pStyle w:val="2"/>
        <w:rPr>
          <w:rFonts w:hint="eastAsia"/>
          <w:lang w:eastAsia="zh-CN"/>
        </w:rPr>
      </w:pPr>
      <w:bookmarkStart w:id="84" w:name="_GoBack"/>
      <w:bookmarkEnd w:id="84"/>
    </w:p>
    <w:p>
      <w:pPr>
        <w:spacing w:line="360" w:lineRule="auto"/>
        <w:jc w:val="left"/>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白沙县政府2号办公楼加装电梯工程</w:t>
      </w:r>
    </w:p>
    <w:p>
      <w:pPr>
        <w:pStyle w:val="2"/>
        <w:rPr>
          <w:rFonts w:hint="eastAsia" w:ascii="仿宋" w:hAnsi="仿宋" w:eastAsia="仿宋" w:cs="仿宋"/>
          <w:b/>
          <w:bCs/>
          <w:color w:val="auto"/>
          <w:sz w:val="56"/>
          <w:szCs w:val="56"/>
          <w:highlight w:val="none"/>
        </w:rPr>
      </w:pPr>
    </w:p>
    <w:p>
      <w:pPr>
        <w:pStyle w:val="2"/>
        <w:ind w:left="0" w:leftChars="0" w:firstLine="0" w:firstLineChars="0"/>
        <w:rPr>
          <w:rFonts w:hint="eastAsia"/>
          <w:lang w:val="en-US" w:eastAsia="zh-CN"/>
        </w:rPr>
      </w:pPr>
    </w:p>
    <w:p>
      <w:pPr>
        <w:spacing w:line="360" w:lineRule="auto"/>
        <w:jc w:val="center"/>
        <w:rPr>
          <w:rFonts w:hint="eastAsia" w:ascii="仿宋" w:hAnsi="仿宋" w:eastAsia="仿宋" w:cs="仿宋"/>
          <w:b/>
          <w:color w:val="auto"/>
          <w:sz w:val="70"/>
          <w:szCs w:val="72"/>
          <w:highlight w:val="none"/>
          <w:lang w:val="en-US" w:eastAsia="zh-CN"/>
        </w:rPr>
      </w:pPr>
      <w:r>
        <w:rPr>
          <w:rFonts w:hint="eastAsia" w:ascii="仿宋" w:hAnsi="仿宋" w:eastAsia="仿宋" w:cs="仿宋"/>
          <w:b/>
          <w:color w:val="auto"/>
          <w:sz w:val="70"/>
          <w:szCs w:val="72"/>
          <w:highlight w:val="none"/>
          <w:lang w:val="en-US" w:eastAsia="zh-CN"/>
        </w:rPr>
        <w:t>谈</w:t>
      </w:r>
    </w:p>
    <w:p>
      <w:pPr>
        <w:spacing w:line="360" w:lineRule="auto"/>
        <w:jc w:val="center"/>
        <w:rPr>
          <w:rFonts w:hint="eastAsia" w:ascii="仿宋" w:hAnsi="仿宋" w:eastAsia="仿宋" w:cs="仿宋"/>
          <w:b/>
          <w:color w:val="auto"/>
          <w:sz w:val="70"/>
          <w:szCs w:val="72"/>
          <w:highlight w:val="none"/>
          <w:lang w:val="en-US" w:eastAsia="zh-CN"/>
        </w:rPr>
      </w:pPr>
      <w:r>
        <w:rPr>
          <w:rFonts w:hint="eastAsia" w:ascii="仿宋" w:hAnsi="仿宋" w:eastAsia="仿宋" w:cs="仿宋"/>
          <w:b/>
          <w:color w:val="auto"/>
          <w:sz w:val="70"/>
          <w:szCs w:val="72"/>
          <w:highlight w:val="none"/>
          <w:lang w:val="en-US" w:eastAsia="zh-CN"/>
        </w:rPr>
        <w:t>判</w:t>
      </w:r>
    </w:p>
    <w:p>
      <w:pPr>
        <w:spacing w:line="360" w:lineRule="auto"/>
        <w:jc w:val="center"/>
        <w:rPr>
          <w:rFonts w:hint="eastAsia" w:ascii="仿宋" w:hAnsi="仿宋" w:eastAsia="仿宋" w:cs="仿宋"/>
          <w:b/>
          <w:color w:val="auto"/>
          <w:sz w:val="70"/>
          <w:szCs w:val="72"/>
          <w:highlight w:val="none"/>
        </w:rPr>
      </w:pPr>
      <w:r>
        <w:rPr>
          <w:rFonts w:hint="eastAsia" w:ascii="仿宋" w:hAnsi="仿宋" w:eastAsia="仿宋" w:cs="仿宋"/>
          <w:b/>
          <w:color w:val="auto"/>
          <w:sz w:val="70"/>
          <w:szCs w:val="72"/>
          <w:highlight w:val="none"/>
        </w:rPr>
        <w:t>文</w:t>
      </w:r>
    </w:p>
    <w:p>
      <w:pPr>
        <w:spacing w:line="360" w:lineRule="auto"/>
        <w:jc w:val="center"/>
        <w:rPr>
          <w:rFonts w:hint="eastAsia" w:ascii="仿宋" w:hAnsi="仿宋" w:eastAsia="仿宋" w:cs="仿宋"/>
          <w:b/>
          <w:color w:val="auto"/>
          <w:sz w:val="70"/>
          <w:szCs w:val="72"/>
          <w:highlight w:val="none"/>
        </w:rPr>
      </w:pPr>
      <w:r>
        <w:rPr>
          <w:rFonts w:hint="eastAsia" w:ascii="仿宋" w:hAnsi="仿宋" w:eastAsia="仿宋" w:cs="仿宋"/>
          <w:b/>
          <w:color w:val="auto"/>
          <w:sz w:val="70"/>
          <w:szCs w:val="72"/>
          <w:highlight w:val="none"/>
        </w:rPr>
        <w:t>件</w:t>
      </w:r>
    </w:p>
    <w:p>
      <w:pPr>
        <w:spacing w:line="360" w:lineRule="auto"/>
        <w:jc w:val="right"/>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ind w:firstLine="1446" w:firstLineChars="4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采购单位：白沙黎族自治县机关事务服务中心    </w:t>
      </w:r>
    </w:p>
    <w:p>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代理机构：海南</w:t>
      </w:r>
      <w:r>
        <w:rPr>
          <w:rFonts w:hint="eastAsia" w:ascii="仿宋" w:hAnsi="仿宋" w:eastAsia="仿宋" w:cs="仿宋"/>
          <w:b/>
          <w:bCs/>
          <w:color w:val="auto"/>
          <w:sz w:val="36"/>
          <w:szCs w:val="36"/>
          <w:highlight w:val="none"/>
          <w:lang w:val="en-US" w:eastAsia="zh-CN"/>
        </w:rPr>
        <w:t>秀泰</w:t>
      </w:r>
      <w:r>
        <w:rPr>
          <w:rFonts w:hint="eastAsia" w:ascii="仿宋" w:hAnsi="仿宋" w:eastAsia="仿宋" w:cs="仿宋"/>
          <w:b/>
          <w:bCs/>
          <w:color w:val="auto"/>
          <w:sz w:val="36"/>
          <w:szCs w:val="36"/>
          <w:highlight w:val="none"/>
        </w:rPr>
        <w:t xml:space="preserve">项目管理有限公司 </w:t>
      </w:r>
    </w:p>
    <w:p>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2021年0</w:t>
      </w:r>
      <w:r>
        <w:rPr>
          <w:rFonts w:hint="eastAsia" w:ascii="仿宋" w:hAnsi="仿宋" w:eastAsia="仿宋" w:cs="仿宋"/>
          <w:b/>
          <w:bCs/>
          <w:color w:val="auto"/>
          <w:sz w:val="36"/>
          <w:szCs w:val="36"/>
          <w:highlight w:val="none"/>
          <w:lang w:val="en-US" w:eastAsia="zh-CN"/>
        </w:rPr>
        <w:t>9</w:t>
      </w:r>
      <w:r>
        <w:rPr>
          <w:rFonts w:hint="eastAsia" w:ascii="仿宋" w:hAnsi="仿宋" w:eastAsia="仿宋" w:cs="仿宋"/>
          <w:b/>
          <w:bCs/>
          <w:color w:val="auto"/>
          <w:sz w:val="36"/>
          <w:szCs w:val="36"/>
          <w:highlight w:val="none"/>
        </w:rPr>
        <w:t>月</w:t>
      </w:r>
    </w:p>
    <w:p>
      <w:pPr>
        <w:spacing w:line="360" w:lineRule="auto"/>
        <w:jc w:val="center"/>
        <w:rPr>
          <w:rFonts w:hint="eastAsia" w:ascii="仿宋" w:hAnsi="仿宋" w:eastAsia="仿宋" w:cs="仿宋"/>
          <w:b/>
          <w:bCs/>
          <w:color w:val="auto"/>
          <w:sz w:val="32"/>
          <w:highlight w:val="none"/>
        </w:rPr>
        <w:sectPr>
          <w:footerReference r:id="rId8" w:type="first"/>
          <w:headerReference r:id="rId4" w:type="default"/>
          <w:footerReference r:id="rId6" w:type="default"/>
          <w:headerReference r:id="rId5" w:type="even"/>
          <w:footerReference r:id="rId7" w:type="even"/>
          <w:pgSz w:w="11907" w:h="16840"/>
          <w:pgMar w:top="1418" w:right="1417" w:bottom="1418" w:left="1417" w:header="851" w:footer="992" w:gutter="0"/>
          <w:pgNumType w:start="1"/>
          <w:cols w:space="720" w:num="1"/>
          <w:titlePg/>
          <w:docGrid w:linePitch="312" w:charSpace="0"/>
        </w:sectPr>
      </w:pPr>
    </w:p>
    <w:p>
      <w:pPr>
        <w:pStyle w:val="15"/>
        <w:jc w:val="center"/>
        <w:outlineLvl w:val="0"/>
        <w:rPr>
          <w:rFonts w:ascii="黑体" w:hAnsi="黑体" w:eastAsia="黑体" w:cs="黑体"/>
          <w:b/>
          <w:sz w:val="36"/>
          <w:szCs w:val="36"/>
        </w:rPr>
      </w:pPr>
      <w:r>
        <w:rPr>
          <w:rFonts w:hint="eastAsia" w:ascii="黑体" w:hAnsi="黑体" w:eastAsia="黑体" w:cs="黑体"/>
          <w:b/>
          <w:sz w:val="36"/>
          <w:szCs w:val="36"/>
        </w:rPr>
        <w:t>目  录</w:t>
      </w:r>
      <w:bookmarkEnd w:id="0"/>
      <w:bookmarkEnd w:id="1"/>
      <w:bookmarkEnd w:id="2"/>
      <w:bookmarkEnd w:id="3"/>
      <w:bookmarkEnd w:id="4"/>
      <w:bookmarkEnd w:id="5"/>
      <w:bookmarkEnd w:id="6"/>
      <w:bookmarkEnd w:id="7"/>
      <w:bookmarkEnd w:id="8"/>
    </w:p>
    <w:p>
      <w:pPr>
        <w:pStyle w:val="22"/>
        <w:rPr>
          <w:rFonts w:asciiTheme="minorHAnsi" w:hAnsiTheme="minorHAnsi" w:eastAsiaTheme="minorEastAsia" w:cstheme="minorBidi"/>
          <w:b w:val="0"/>
          <w:bCs w:val="0"/>
          <w:color w:val="auto"/>
          <w:sz w:val="21"/>
          <w:szCs w:val="22"/>
        </w:rPr>
      </w:pPr>
      <w:r>
        <w:rPr>
          <w:rFonts w:hAnsi="黑体" w:cs="黑体"/>
          <w:b w:val="0"/>
        </w:rPr>
        <w:fldChar w:fldCharType="begin"/>
      </w:r>
      <w:r>
        <w:rPr>
          <w:rFonts w:hAnsi="黑体" w:cs="黑体"/>
          <w:b w:val="0"/>
        </w:rPr>
        <w:instrText xml:space="preserve"> TOC \o "1-1" \h \z \u </w:instrText>
      </w:r>
      <w:r>
        <w:rPr>
          <w:rFonts w:hAnsi="黑体" w:cs="黑体"/>
          <w:b w:val="0"/>
        </w:rPr>
        <w:fldChar w:fldCharType="separate"/>
      </w:r>
    </w:p>
    <w:p>
      <w:pPr>
        <w:pStyle w:val="22"/>
        <w:snapToGrid w:val="0"/>
        <w:spacing w:line="480" w:lineRule="auto"/>
        <w:rPr>
          <w:rFonts w:asciiTheme="minorHAnsi" w:hAnsiTheme="minorHAnsi" w:eastAsiaTheme="minorEastAsia" w:cstheme="minorBidi"/>
          <w:b w:val="0"/>
          <w:bCs w:val="0"/>
          <w:color w:val="auto"/>
          <w:sz w:val="21"/>
          <w:szCs w:val="22"/>
        </w:rPr>
      </w:pPr>
      <w:r>
        <w:fldChar w:fldCharType="begin"/>
      </w:r>
      <w:r>
        <w:instrText xml:space="preserve"> HYPERLINK \l "_Toc48568217" </w:instrText>
      </w:r>
      <w:r>
        <w:fldChar w:fldCharType="separate"/>
      </w:r>
      <w:r>
        <w:rPr>
          <w:rStyle w:val="42"/>
        </w:rPr>
        <w:t>第一章  竞争性谈判公告</w:t>
      </w:r>
      <w:r>
        <w:tab/>
      </w:r>
      <w:r>
        <w:fldChar w:fldCharType="begin"/>
      </w:r>
      <w:r>
        <w:instrText xml:space="preserve"> PAGEREF _Toc48568217 \h </w:instrText>
      </w:r>
      <w:r>
        <w:fldChar w:fldCharType="separate"/>
      </w:r>
      <w:r>
        <w:t>1</w:t>
      </w:r>
      <w:r>
        <w:fldChar w:fldCharType="end"/>
      </w:r>
      <w:r>
        <w:fldChar w:fldCharType="end"/>
      </w:r>
    </w:p>
    <w:p>
      <w:pPr>
        <w:pStyle w:val="22"/>
        <w:snapToGrid w:val="0"/>
        <w:spacing w:line="480" w:lineRule="auto"/>
        <w:rPr>
          <w:rFonts w:asciiTheme="minorHAnsi" w:hAnsiTheme="minorHAnsi" w:eastAsiaTheme="minorEastAsia" w:cstheme="minorBidi"/>
          <w:b w:val="0"/>
          <w:bCs w:val="0"/>
          <w:color w:val="auto"/>
          <w:sz w:val="21"/>
          <w:szCs w:val="22"/>
        </w:rPr>
      </w:pPr>
      <w:r>
        <w:fldChar w:fldCharType="begin"/>
      </w:r>
      <w:r>
        <w:instrText xml:space="preserve"> HYPERLINK \l "_Toc48568218" </w:instrText>
      </w:r>
      <w:r>
        <w:fldChar w:fldCharType="separate"/>
      </w:r>
      <w:r>
        <w:rPr>
          <w:rStyle w:val="42"/>
        </w:rPr>
        <w:t>第二章  供应商须知</w:t>
      </w:r>
      <w:r>
        <w:tab/>
      </w:r>
      <w:r>
        <w:fldChar w:fldCharType="begin"/>
      </w:r>
      <w:r>
        <w:instrText xml:space="preserve"> PAGEREF _Toc48568218 \h </w:instrText>
      </w:r>
      <w:r>
        <w:fldChar w:fldCharType="separate"/>
      </w:r>
      <w:r>
        <w:t>4</w:t>
      </w:r>
      <w:r>
        <w:fldChar w:fldCharType="end"/>
      </w:r>
      <w:r>
        <w:fldChar w:fldCharType="end"/>
      </w:r>
    </w:p>
    <w:p>
      <w:pPr>
        <w:pStyle w:val="22"/>
        <w:snapToGrid w:val="0"/>
        <w:spacing w:line="480" w:lineRule="auto"/>
        <w:rPr>
          <w:rFonts w:asciiTheme="minorHAnsi" w:hAnsiTheme="minorHAnsi" w:eastAsiaTheme="minorEastAsia" w:cstheme="minorBidi"/>
          <w:b w:val="0"/>
          <w:bCs w:val="0"/>
          <w:color w:val="auto"/>
          <w:sz w:val="21"/>
          <w:szCs w:val="22"/>
        </w:rPr>
      </w:pPr>
      <w:r>
        <w:fldChar w:fldCharType="begin"/>
      </w:r>
      <w:r>
        <w:instrText xml:space="preserve"> HYPERLINK \l "_Toc48568219" </w:instrText>
      </w:r>
      <w:r>
        <w:fldChar w:fldCharType="separate"/>
      </w:r>
      <w:r>
        <w:rPr>
          <w:rStyle w:val="42"/>
        </w:rPr>
        <w:t>第三章  采购需求</w:t>
      </w:r>
      <w:r>
        <w:tab/>
      </w:r>
      <w:r>
        <w:fldChar w:fldCharType="begin"/>
      </w:r>
      <w:r>
        <w:instrText xml:space="preserve"> PAGEREF _Toc48568219 \h </w:instrText>
      </w:r>
      <w:r>
        <w:fldChar w:fldCharType="separate"/>
      </w:r>
      <w:r>
        <w:t>15</w:t>
      </w:r>
      <w:r>
        <w:fldChar w:fldCharType="end"/>
      </w:r>
      <w:r>
        <w:fldChar w:fldCharType="end"/>
      </w:r>
    </w:p>
    <w:p>
      <w:pPr>
        <w:pStyle w:val="22"/>
        <w:snapToGrid w:val="0"/>
        <w:spacing w:line="480" w:lineRule="auto"/>
        <w:rPr>
          <w:rFonts w:asciiTheme="minorHAnsi" w:hAnsiTheme="minorHAnsi" w:eastAsiaTheme="minorEastAsia" w:cstheme="minorBidi"/>
          <w:b w:val="0"/>
          <w:bCs w:val="0"/>
          <w:color w:val="auto"/>
          <w:sz w:val="21"/>
          <w:szCs w:val="22"/>
        </w:rPr>
      </w:pPr>
      <w:r>
        <w:fldChar w:fldCharType="begin"/>
      </w:r>
      <w:r>
        <w:instrText xml:space="preserve"> HYPERLINK \l "_Toc48568220" </w:instrText>
      </w:r>
      <w:r>
        <w:fldChar w:fldCharType="separate"/>
      </w:r>
      <w:r>
        <w:rPr>
          <w:rStyle w:val="42"/>
        </w:rPr>
        <w:t>第四章  审查及评审标准</w:t>
      </w:r>
      <w:r>
        <w:tab/>
      </w:r>
      <w:r>
        <w:fldChar w:fldCharType="begin"/>
      </w:r>
      <w:r>
        <w:instrText xml:space="preserve"> PAGEREF _Toc48568220 \h </w:instrText>
      </w:r>
      <w:r>
        <w:fldChar w:fldCharType="separate"/>
      </w:r>
      <w:r>
        <w:t>18</w:t>
      </w:r>
      <w:r>
        <w:fldChar w:fldCharType="end"/>
      </w:r>
      <w:r>
        <w:fldChar w:fldCharType="end"/>
      </w:r>
    </w:p>
    <w:p>
      <w:pPr>
        <w:pStyle w:val="22"/>
        <w:snapToGrid w:val="0"/>
        <w:spacing w:line="480" w:lineRule="auto"/>
        <w:rPr>
          <w:rFonts w:asciiTheme="minorHAnsi" w:hAnsiTheme="minorHAnsi" w:eastAsiaTheme="minorEastAsia" w:cstheme="minorBidi"/>
          <w:b w:val="0"/>
          <w:bCs w:val="0"/>
          <w:color w:val="auto"/>
          <w:sz w:val="21"/>
          <w:szCs w:val="22"/>
        </w:rPr>
      </w:pPr>
      <w:r>
        <w:fldChar w:fldCharType="begin"/>
      </w:r>
      <w:r>
        <w:instrText xml:space="preserve"> HYPERLINK \l "_Toc48568221" </w:instrText>
      </w:r>
      <w:r>
        <w:fldChar w:fldCharType="separate"/>
      </w:r>
      <w:r>
        <w:rPr>
          <w:rStyle w:val="42"/>
        </w:rPr>
        <w:t>第五章  拟签订的合同文本</w:t>
      </w:r>
      <w:r>
        <w:tab/>
      </w:r>
      <w:r>
        <w:fldChar w:fldCharType="begin"/>
      </w:r>
      <w:r>
        <w:instrText xml:space="preserve"> PAGEREF _Toc48568221 \h </w:instrText>
      </w:r>
      <w:r>
        <w:fldChar w:fldCharType="separate"/>
      </w:r>
      <w:r>
        <w:t>21</w:t>
      </w:r>
      <w:r>
        <w:fldChar w:fldCharType="end"/>
      </w:r>
      <w:r>
        <w:fldChar w:fldCharType="end"/>
      </w:r>
    </w:p>
    <w:p>
      <w:pPr>
        <w:pStyle w:val="22"/>
        <w:snapToGrid w:val="0"/>
        <w:spacing w:line="480" w:lineRule="auto"/>
        <w:rPr>
          <w:rFonts w:asciiTheme="minorHAnsi" w:hAnsiTheme="minorHAnsi" w:eastAsiaTheme="minorEastAsia" w:cstheme="minorBidi"/>
          <w:b w:val="0"/>
          <w:bCs w:val="0"/>
          <w:color w:val="auto"/>
          <w:sz w:val="21"/>
          <w:szCs w:val="22"/>
        </w:rPr>
      </w:pPr>
      <w:r>
        <w:fldChar w:fldCharType="begin"/>
      </w:r>
      <w:r>
        <w:instrText xml:space="preserve"> HYPERLINK \l "_Toc48568222" </w:instrText>
      </w:r>
      <w:r>
        <w:fldChar w:fldCharType="separate"/>
      </w:r>
      <w:r>
        <w:rPr>
          <w:rStyle w:val="42"/>
        </w:rPr>
        <w:t>第六章  响应文件格式</w:t>
      </w:r>
      <w:r>
        <w:tab/>
      </w:r>
      <w:r>
        <w:fldChar w:fldCharType="begin"/>
      </w:r>
      <w:r>
        <w:instrText xml:space="preserve"> PAGEREF _Toc48568222 \h </w:instrText>
      </w:r>
      <w:r>
        <w:fldChar w:fldCharType="separate"/>
      </w:r>
      <w:r>
        <w:t>25</w:t>
      </w:r>
      <w:r>
        <w:fldChar w:fldCharType="end"/>
      </w:r>
      <w:r>
        <w:fldChar w:fldCharType="end"/>
      </w:r>
    </w:p>
    <w:p>
      <w:pPr>
        <w:pStyle w:val="26"/>
        <w:snapToGrid w:val="0"/>
        <w:spacing w:line="480" w:lineRule="auto"/>
        <w:ind w:left="0" w:leftChars="0"/>
        <w:rPr>
          <w:rFonts w:hAnsi="黑体" w:cs="黑体"/>
          <w:b/>
        </w:rPr>
      </w:pPr>
      <w:r>
        <w:rPr>
          <w:rFonts w:hAnsi="黑体" w:cs="黑体"/>
          <w:b/>
        </w:rPr>
        <w:fldChar w:fldCharType="end"/>
      </w:r>
    </w:p>
    <w:p>
      <w:pPr>
        <w:sectPr>
          <w:footerReference r:id="rId9" w:type="default"/>
          <w:pgSz w:w="11906" w:h="16838"/>
          <w:pgMar w:top="1418" w:right="1474" w:bottom="1418" w:left="1474" w:header="851" w:footer="992" w:gutter="0"/>
          <w:pgNumType w:start="1"/>
          <w:cols w:space="720" w:num="1"/>
          <w:docGrid w:linePitch="579" w:charSpace="-1429"/>
        </w:sectPr>
      </w:pPr>
    </w:p>
    <w:p>
      <w:pPr>
        <w:pStyle w:val="3"/>
        <w:snapToGrid w:val="0"/>
        <w:spacing w:before="0" w:after="0" w:line="360" w:lineRule="auto"/>
        <w:jc w:val="center"/>
      </w:pPr>
      <w:bookmarkStart w:id="9" w:name="_Toc48568217"/>
      <w:r>
        <w:rPr>
          <w:rFonts w:hint="eastAsia"/>
        </w:rPr>
        <w:t>第一章  竞争性谈判公告</w:t>
      </w:r>
      <w:bookmarkEnd w:id="9"/>
    </w:p>
    <w:p>
      <w:pPr>
        <w:snapToGrid w:val="0"/>
        <w:spacing w:line="360" w:lineRule="auto"/>
        <w:rPr>
          <w:rFonts w:ascii="仿宋" w:hAnsi="仿宋" w:eastAsia="仿宋"/>
          <w:sz w:val="24"/>
        </w:rPr>
      </w:pPr>
      <w:r>
        <w:rPr>
          <w:rFonts w:hint="eastAsia" w:ascii="仿宋" w:hAnsi="仿宋" w:eastAsia="仿宋"/>
          <w:sz w:val="24"/>
        </w:rPr>
        <w:t>项目概况</w:t>
      </w:r>
    </w:p>
    <w:p>
      <w:pPr>
        <w:snapToGrid w:val="0"/>
        <w:spacing w:line="360" w:lineRule="auto"/>
        <w:ind w:firstLine="480" w:firstLineChars="200"/>
        <w:rPr>
          <w:rFonts w:ascii="仿宋" w:hAnsi="仿宋" w:eastAsia="仿宋"/>
          <w:sz w:val="24"/>
        </w:rPr>
      </w:pPr>
      <w:r>
        <w:rPr>
          <w:rFonts w:hint="eastAsia" w:ascii="仿宋" w:hAnsi="仿宋" w:eastAsia="仿宋"/>
          <w:sz w:val="24"/>
          <w:highlight w:val="yellow"/>
          <w:u w:val="single"/>
          <w:lang w:eastAsia="zh-CN"/>
        </w:rPr>
        <w:t>白沙县政府2号办公楼加装电梯工程</w:t>
      </w:r>
      <w:r>
        <w:rPr>
          <w:rFonts w:hint="eastAsia" w:ascii="仿宋" w:hAnsi="仿宋" w:eastAsia="仿宋"/>
          <w:sz w:val="24"/>
        </w:rPr>
        <w:t>采购项目的潜在供应商应在</w:t>
      </w:r>
      <w:r>
        <w:rPr>
          <w:rFonts w:hint="eastAsia" w:ascii="仿宋" w:hAnsi="仿宋" w:eastAsia="仿宋"/>
          <w:sz w:val="24"/>
          <w:highlight w:val="yellow"/>
          <w:u w:val="single"/>
          <w:lang w:eastAsia="zh-CN"/>
        </w:rPr>
        <w:t>海口市秀英区南海大道143号湖南师大附中海口中学教师公寓楼2号楼6B房</w:t>
      </w:r>
      <w:r>
        <w:rPr>
          <w:rFonts w:hint="eastAsia" w:ascii="仿宋" w:hAnsi="仿宋" w:eastAsia="仿宋"/>
          <w:sz w:val="24"/>
          <w:highlight w:val="yellow"/>
          <w:u w:val="single"/>
        </w:rPr>
        <w:t>(</w:t>
      </w:r>
      <w:r>
        <w:rPr>
          <w:rFonts w:hint="eastAsia" w:ascii="仿宋" w:hAnsi="仿宋" w:eastAsia="仿宋"/>
          <w:sz w:val="24"/>
          <w:highlight w:val="yellow"/>
          <w:u w:val="single"/>
          <w:lang w:eastAsia="zh-CN"/>
        </w:rPr>
        <w:t>海南秀泰项目管理有限公司</w:t>
      </w:r>
      <w:r>
        <w:rPr>
          <w:rFonts w:hint="eastAsia" w:ascii="仿宋" w:hAnsi="仿宋" w:eastAsia="仿宋"/>
          <w:sz w:val="24"/>
          <w:highlight w:val="yellow"/>
          <w:u w:val="single"/>
        </w:rPr>
        <w:t>)</w:t>
      </w:r>
      <w:r>
        <w:rPr>
          <w:rFonts w:hint="eastAsia" w:ascii="仿宋" w:hAnsi="仿宋" w:eastAsia="仿宋"/>
          <w:sz w:val="24"/>
        </w:rPr>
        <w:t>获取采购文件，并</w:t>
      </w:r>
      <w:r>
        <w:rPr>
          <w:rFonts w:hint="eastAsia" w:ascii="仿宋" w:hAnsi="仿宋" w:eastAsia="仿宋"/>
          <w:sz w:val="24"/>
          <w:u w:val="single"/>
        </w:rPr>
        <w:t>于</w:t>
      </w:r>
      <w:r>
        <w:rPr>
          <w:rFonts w:hint="eastAsia" w:ascii="仿宋" w:hAnsi="仿宋" w:eastAsia="仿宋" w:cs="仿宋_GB2312"/>
          <w:sz w:val="24"/>
          <w:highlight w:val="yellow"/>
          <w:u w:val="single"/>
          <w:lang w:eastAsia="zh-CN"/>
        </w:rPr>
        <w:t>2021</w:t>
      </w:r>
      <w:r>
        <w:rPr>
          <w:rFonts w:hint="eastAsia" w:ascii="仿宋" w:hAnsi="仿宋" w:eastAsia="仿宋" w:cs="仿宋_GB2312"/>
          <w:sz w:val="24"/>
          <w:highlight w:val="yellow"/>
          <w:u w:val="single"/>
        </w:rPr>
        <w:t>年</w:t>
      </w:r>
      <w:r>
        <w:rPr>
          <w:rFonts w:hint="eastAsia" w:ascii="仿宋" w:hAnsi="仿宋" w:eastAsia="仿宋" w:cs="仿宋_GB2312"/>
          <w:sz w:val="24"/>
          <w:highlight w:val="yellow"/>
          <w:u w:val="single"/>
          <w:lang w:val="en-US" w:eastAsia="zh-CN"/>
        </w:rPr>
        <w:t>09</w:t>
      </w:r>
      <w:r>
        <w:rPr>
          <w:rFonts w:hint="eastAsia" w:ascii="仿宋" w:hAnsi="仿宋" w:eastAsia="仿宋" w:cs="仿宋_GB2312"/>
          <w:sz w:val="24"/>
          <w:highlight w:val="yellow"/>
          <w:u w:val="single"/>
        </w:rPr>
        <w:t>月</w:t>
      </w:r>
      <w:r>
        <w:rPr>
          <w:rFonts w:hint="eastAsia" w:ascii="仿宋" w:hAnsi="仿宋" w:eastAsia="仿宋" w:cs="仿宋_GB2312"/>
          <w:sz w:val="24"/>
          <w:highlight w:val="yellow"/>
          <w:u w:val="single"/>
          <w:lang w:val="en-US" w:eastAsia="zh-CN"/>
        </w:rPr>
        <w:t>24</w:t>
      </w:r>
      <w:r>
        <w:rPr>
          <w:rFonts w:hint="eastAsia" w:ascii="仿宋" w:hAnsi="仿宋" w:eastAsia="仿宋" w:cs="仿宋_GB2312"/>
          <w:sz w:val="24"/>
          <w:highlight w:val="yellow"/>
          <w:u w:val="single"/>
        </w:rPr>
        <w:t>日</w:t>
      </w:r>
      <w:r>
        <w:rPr>
          <w:rFonts w:hint="eastAsia" w:ascii="仿宋" w:hAnsi="仿宋" w:eastAsia="仿宋" w:cs="仿宋_GB2312"/>
          <w:sz w:val="24"/>
          <w:highlight w:val="yellow"/>
          <w:u w:val="single"/>
          <w:lang w:val="en-US" w:eastAsia="zh-CN"/>
        </w:rPr>
        <w:t>14</w:t>
      </w:r>
      <w:r>
        <w:rPr>
          <w:rFonts w:hint="eastAsia" w:ascii="仿宋" w:hAnsi="仿宋" w:eastAsia="仿宋" w:cs="仿宋_GB2312"/>
          <w:sz w:val="24"/>
          <w:highlight w:val="yellow"/>
          <w:u w:val="single"/>
        </w:rPr>
        <w:t>点</w:t>
      </w:r>
      <w:r>
        <w:rPr>
          <w:rFonts w:hint="eastAsia" w:ascii="仿宋" w:hAnsi="仿宋" w:eastAsia="仿宋" w:cs="仿宋_GB2312"/>
          <w:sz w:val="24"/>
          <w:highlight w:val="yellow"/>
          <w:u w:val="single"/>
          <w:lang w:val="en-US" w:eastAsia="zh-CN"/>
        </w:rPr>
        <w:t>4</w:t>
      </w:r>
      <w:r>
        <w:rPr>
          <w:rFonts w:hint="eastAsia" w:ascii="仿宋" w:hAnsi="仿宋" w:eastAsia="仿宋" w:cs="仿宋_GB2312"/>
          <w:sz w:val="24"/>
          <w:highlight w:val="yellow"/>
          <w:u w:val="single"/>
        </w:rPr>
        <w:t>0</w:t>
      </w:r>
      <w:r>
        <w:rPr>
          <w:rFonts w:hint="eastAsia" w:ascii="仿宋" w:hAnsi="仿宋" w:eastAsia="仿宋"/>
          <w:sz w:val="24"/>
          <w:u w:val="single"/>
        </w:rPr>
        <w:t>分</w:t>
      </w:r>
      <w:r>
        <w:rPr>
          <w:rFonts w:hint="eastAsia" w:ascii="仿宋" w:hAnsi="仿宋" w:eastAsia="仿宋"/>
          <w:sz w:val="24"/>
        </w:rPr>
        <w:t>（北京时间）前提交响应文件</w:t>
      </w:r>
    </w:p>
    <w:p>
      <w:pPr>
        <w:pStyle w:val="15"/>
        <w:tabs>
          <w:tab w:val="left" w:pos="8360"/>
        </w:tabs>
        <w:snapToGrid w:val="0"/>
        <w:spacing w:line="360" w:lineRule="auto"/>
        <w:jc w:val="left"/>
        <w:rPr>
          <w:rFonts w:ascii="仿宋" w:hAnsi="仿宋" w:eastAsia="仿宋" w:cs="仿宋"/>
          <w:b/>
          <w:sz w:val="24"/>
          <w:szCs w:val="24"/>
        </w:rPr>
      </w:pPr>
      <w:bookmarkStart w:id="10" w:name="_Toc14162460"/>
      <w:r>
        <w:rPr>
          <w:rFonts w:hint="eastAsia" w:ascii="仿宋" w:hAnsi="仿宋" w:eastAsia="仿宋" w:cs="仿宋"/>
          <w:b/>
          <w:sz w:val="24"/>
          <w:szCs w:val="24"/>
        </w:rPr>
        <w:t>一、项目</w:t>
      </w:r>
      <w:bookmarkEnd w:id="10"/>
      <w:r>
        <w:rPr>
          <w:rFonts w:hint="eastAsia" w:ascii="仿宋" w:hAnsi="仿宋" w:eastAsia="仿宋" w:cs="仿宋"/>
          <w:b/>
          <w:sz w:val="24"/>
          <w:szCs w:val="24"/>
        </w:rPr>
        <w:t>基本情况</w:t>
      </w:r>
    </w:p>
    <w:p>
      <w:pPr>
        <w:snapToGrid w:val="0"/>
        <w:spacing w:line="360" w:lineRule="auto"/>
        <w:ind w:firstLine="480" w:firstLineChars="200"/>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highlight w:val="yellow"/>
          <w:lang w:eastAsia="zh-CN"/>
        </w:rPr>
        <w:t>HNXT2021-T018</w:t>
      </w:r>
    </w:p>
    <w:p>
      <w:pPr>
        <w:snapToGrid w:val="0"/>
        <w:spacing w:line="360" w:lineRule="auto"/>
        <w:ind w:firstLine="480" w:firstLineChars="200"/>
        <w:rPr>
          <w:rFonts w:hint="eastAsia" w:ascii="仿宋" w:hAnsi="仿宋" w:eastAsia="仿宋"/>
          <w:sz w:val="24"/>
          <w:lang w:eastAsia="zh-CN"/>
        </w:rPr>
      </w:pPr>
      <w:r>
        <w:rPr>
          <w:rFonts w:hint="eastAsia" w:ascii="仿宋" w:hAnsi="仿宋" w:eastAsia="仿宋"/>
          <w:sz w:val="24"/>
        </w:rPr>
        <w:t>项目名称:</w:t>
      </w:r>
      <w:r>
        <w:rPr>
          <w:rFonts w:hint="eastAsia" w:ascii="仿宋" w:hAnsi="仿宋" w:eastAsia="仿宋"/>
          <w:sz w:val="24"/>
          <w:highlight w:val="yellow"/>
          <w:lang w:eastAsia="zh-CN"/>
        </w:rPr>
        <w:t>白沙县政府2号办公楼加装电梯工程</w:t>
      </w:r>
    </w:p>
    <w:p>
      <w:pPr>
        <w:snapToGrid w:val="0"/>
        <w:spacing w:line="360" w:lineRule="auto"/>
        <w:ind w:firstLine="480" w:firstLineChars="200"/>
        <w:rPr>
          <w:rFonts w:ascii="仿宋" w:hAnsi="仿宋" w:eastAsia="仿宋"/>
          <w:sz w:val="24"/>
        </w:rPr>
      </w:pPr>
      <w:r>
        <w:rPr>
          <w:rFonts w:hint="eastAsia" w:ascii="仿宋" w:hAnsi="仿宋" w:eastAsia="仿宋"/>
          <w:sz w:val="24"/>
        </w:rPr>
        <w:t>采购方式：竞争性谈判</w:t>
      </w:r>
    </w:p>
    <w:p>
      <w:pPr>
        <w:snapToGrid w:val="0"/>
        <w:spacing w:line="360" w:lineRule="auto"/>
        <w:ind w:firstLine="480" w:firstLineChars="200"/>
        <w:rPr>
          <w:rFonts w:ascii="仿宋" w:hAnsi="仿宋" w:eastAsia="仿宋"/>
          <w:sz w:val="24"/>
        </w:rPr>
      </w:pPr>
      <w:r>
        <w:rPr>
          <w:rFonts w:hint="eastAsia" w:ascii="仿宋" w:hAnsi="仿宋" w:eastAsia="仿宋"/>
          <w:sz w:val="24"/>
        </w:rPr>
        <w:t>预算金额：</w:t>
      </w:r>
      <w:r>
        <w:rPr>
          <w:rFonts w:hint="eastAsia" w:ascii="仿宋" w:hAnsi="仿宋" w:eastAsia="仿宋"/>
          <w:sz w:val="24"/>
          <w:highlight w:val="yellow"/>
          <w:lang w:eastAsia="zh-CN"/>
        </w:rPr>
        <w:t>50.3</w:t>
      </w:r>
      <w:r>
        <w:rPr>
          <w:rFonts w:hint="eastAsia" w:ascii="仿宋" w:hAnsi="仿宋" w:eastAsia="仿宋"/>
          <w:sz w:val="24"/>
          <w:highlight w:val="yellow"/>
        </w:rPr>
        <w:t>万元</w:t>
      </w:r>
    </w:p>
    <w:p>
      <w:pPr>
        <w:snapToGrid w:val="0"/>
        <w:spacing w:line="360" w:lineRule="auto"/>
        <w:ind w:firstLine="480" w:firstLineChars="200"/>
        <w:rPr>
          <w:rFonts w:ascii="仿宋" w:hAnsi="仿宋" w:eastAsia="仿宋"/>
          <w:sz w:val="24"/>
        </w:rPr>
      </w:pPr>
      <w:r>
        <w:rPr>
          <w:rFonts w:hint="eastAsia" w:ascii="仿宋" w:hAnsi="仿宋" w:eastAsia="仿宋"/>
          <w:sz w:val="24"/>
          <w:highlight w:val="yellow"/>
        </w:rPr>
        <w:t>最高限价（如有）：</w:t>
      </w:r>
      <w:r>
        <w:rPr>
          <w:rFonts w:hint="eastAsia" w:ascii="仿宋" w:hAnsi="仿宋" w:eastAsia="仿宋"/>
          <w:sz w:val="24"/>
          <w:highlight w:val="yellow"/>
          <w:lang w:eastAsia="zh-CN"/>
        </w:rPr>
        <w:t>50.3</w:t>
      </w:r>
      <w:r>
        <w:rPr>
          <w:rFonts w:hint="eastAsia" w:ascii="仿宋" w:hAnsi="仿宋" w:eastAsia="仿宋"/>
          <w:sz w:val="24"/>
          <w:highlight w:val="yellow"/>
        </w:rPr>
        <w:t>万元</w:t>
      </w:r>
    </w:p>
    <w:p>
      <w:pPr>
        <w:adjustRightInd w:val="0"/>
        <w:snapToGrid w:val="0"/>
        <w:spacing w:line="360" w:lineRule="auto"/>
        <w:ind w:firstLine="480" w:firstLineChars="200"/>
        <w:rPr>
          <w:rFonts w:ascii="仿宋" w:hAnsi="仿宋" w:eastAsia="仿宋"/>
          <w:bCs/>
          <w:sz w:val="24"/>
        </w:rPr>
      </w:pPr>
      <w:r>
        <w:rPr>
          <w:rFonts w:hint="eastAsia" w:ascii="仿宋" w:hAnsi="仿宋" w:eastAsia="仿宋"/>
          <w:sz w:val="24"/>
          <w:highlight w:val="yellow"/>
        </w:rPr>
        <w:t xml:space="preserve">采购需求：白沙黎族自治县人民政府2号办公楼电梯 </w:t>
      </w:r>
      <w:r>
        <w:rPr>
          <w:rFonts w:ascii="仿宋" w:hAnsi="仿宋" w:eastAsia="仿宋"/>
          <w:sz w:val="24"/>
          <w:highlight w:val="yellow"/>
        </w:rPr>
        <w:t xml:space="preserve"> </w:t>
      </w:r>
      <w:r>
        <w:rPr>
          <w:rFonts w:hint="eastAsia" w:ascii="仿宋" w:hAnsi="仿宋" w:eastAsia="仿宋"/>
          <w:bCs/>
          <w:sz w:val="24"/>
          <w:highlight w:val="yellow"/>
        </w:rPr>
        <w:t>。</w:t>
      </w:r>
    </w:p>
    <w:p>
      <w:pPr>
        <w:adjustRightInd w:val="0"/>
        <w:snapToGrid w:val="0"/>
        <w:spacing w:line="360" w:lineRule="auto"/>
        <w:ind w:firstLine="480" w:firstLineChars="200"/>
        <w:rPr>
          <w:rFonts w:hint="eastAsia" w:ascii="仿宋" w:hAnsi="仿宋" w:eastAsia="仿宋"/>
          <w:sz w:val="24"/>
          <w:lang w:eastAsia="zh-CN"/>
        </w:rPr>
      </w:pPr>
      <w:r>
        <w:rPr>
          <w:rFonts w:hint="eastAsia" w:ascii="仿宋" w:hAnsi="仿宋" w:eastAsia="仿宋"/>
          <w:sz w:val="24"/>
        </w:rPr>
        <w:t>合同履行期限：</w:t>
      </w:r>
      <w:r>
        <w:rPr>
          <w:rFonts w:hint="eastAsia" w:ascii="仿宋" w:hAnsi="仿宋" w:eastAsia="仿宋"/>
          <w:sz w:val="24"/>
          <w:highlight w:val="yellow"/>
          <w:lang w:eastAsia="zh-CN"/>
        </w:rPr>
        <w:t xml:space="preserve">合同签订之日起 100 日历天内，安装调试并通过验收。  </w:t>
      </w:r>
    </w:p>
    <w:p>
      <w:pPr>
        <w:pStyle w:val="15"/>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本项目（是/否）接受联合体：不接受</w:t>
      </w:r>
    </w:p>
    <w:p>
      <w:pPr>
        <w:pStyle w:val="15"/>
        <w:tabs>
          <w:tab w:val="left" w:pos="8360"/>
        </w:tabs>
        <w:snapToGrid w:val="0"/>
        <w:spacing w:line="360" w:lineRule="auto"/>
        <w:jc w:val="left"/>
        <w:rPr>
          <w:rFonts w:ascii="仿宋" w:hAnsi="仿宋" w:eastAsia="仿宋" w:cs="仿宋"/>
          <w:b/>
          <w:sz w:val="24"/>
          <w:szCs w:val="24"/>
        </w:rPr>
      </w:pPr>
      <w:bookmarkStart w:id="11" w:name="_Toc14162461"/>
      <w:r>
        <w:rPr>
          <w:rFonts w:hint="eastAsia" w:ascii="仿宋" w:hAnsi="仿宋" w:eastAsia="仿宋" w:cs="仿宋"/>
          <w:b/>
          <w:sz w:val="24"/>
          <w:szCs w:val="24"/>
        </w:rPr>
        <w:t>二、</w:t>
      </w:r>
      <w:bookmarkEnd w:id="11"/>
      <w:r>
        <w:rPr>
          <w:rFonts w:hint="eastAsia" w:ascii="仿宋" w:hAnsi="仿宋" w:eastAsia="仿宋"/>
          <w:b/>
          <w:sz w:val="24"/>
          <w:szCs w:val="24"/>
        </w:rPr>
        <w:t>申请人的资格要求</w:t>
      </w:r>
      <w:r>
        <w:rPr>
          <w:rFonts w:ascii="仿宋" w:hAnsi="仿宋" w:eastAsia="仿宋"/>
          <w:b/>
          <w:sz w:val="24"/>
          <w:szCs w:val="24"/>
          <w:highlight w:val="yellow"/>
        </w:rPr>
        <w:t>：</w:t>
      </w:r>
    </w:p>
    <w:p>
      <w:pPr>
        <w:pStyle w:val="15"/>
        <w:snapToGrid w:val="0"/>
        <w:spacing w:line="360" w:lineRule="auto"/>
        <w:ind w:firstLine="480" w:firstLineChars="200"/>
        <w:rPr>
          <w:rFonts w:ascii="仿宋" w:hAnsi="仿宋" w:eastAsia="仿宋"/>
          <w:sz w:val="24"/>
          <w:szCs w:val="22"/>
        </w:rPr>
      </w:pPr>
      <w:r>
        <w:rPr>
          <w:rFonts w:ascii="仿宋" w:hAnsi="仿宋" w:eastAsia="仿宋"/>
          <w:sz w:val="24"/>
          <w:szCs w:val="22"/>
        </w:rPr>
        <w:t>1、</w:t>
      </w:r>
      <w:r>
        <w:rPr>
          <w:rFonts w:hint="eastAsia" w:ascii="仿宋" w:hAnsi="仿宋" w:eastAsia="仿宋"/>
          <w:sz w:val="24"/>
          <w:szCs w:val="22"/>
        </w:rPr>
        <w:t>符合《中华人民共和国政府采购法》第二十二条规定的供应商条件。</w:t>
      </w:r>
    </w:p>
    <w:p>
      <w:pPr>
        <w:snapToGrid w:val="0"/>
        <w:spacing w:line="360" w:lineRule="auto"/>
        <w:ind w:firstLine="480" w:firstLineChars="200"/>
        <w:rPr>
          <w:rFonts w:ascii="仿宋" w:hAnsi="仿宋" w:eastAsia="仿宋"/>
          <w:sz w:val="24"/>
        </w:rPr>
      </w:pPr>
      <w:r>
        <w:rPr>
          <w:rFonts w:hint="eastAsia" w:ascii="仿宋" w:hAnsi="仿宋" w:eastAsia="仿宋"/>
          <w:sz w:val="24"/>
          <w:highlight w:val="yellow"/>
          <w:lang w:val="en-US" w:eastAsia="zh-CN"/>
        </w:rPr>
        <w:t>2</w:t>
      </w:r>
      <w:r>
        <w:rPr>
          <w:rFonts w:hint="eastAsia" w:ascii="仿宋" w:hAnsi="仿宋" w:eastAsia="仿宋"/>
          <w:sz w:val="24"/>
          <w:highlight w:val="yellow"/>
        </w:rPr>
        <w:t>.本项目的特定资格要求：供应商具备《特种设备安装改造维修许可证》（电梯），（提供证书复印件加盖公章）。</w:t>
      </w:r>
    </w:p>
    <w:p>
      <w:pPr>
        <w:snapToGrid w:val="0"/>
        <w:spacing w:line="360" w:lineRule="auto"/>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.未被列入失信被执行人、重大税收违法案件当事人名单、政府采购严重违法失信行为记录名单。</w:t>
      </w:r>
    </w:p>
    <w:p>
      <w:pPr>
        <w:pStyle w:val="15"/>
        <w:tabs>
          <w:tab w:val="left" w:pos="8360"/>
        </w:tabs>
        <w:spacing w:line="360" w:lineRule="auto"/>
        <w:jc w:val="left"/>
        <w:rPr>
          <w:rFonts w:ascii="仿宋" w:hAnsi="仿宋" w:eastAsia="仿宋" w:cs="仿宋"/>
          <w:b/>
          <w:sz w:val="24"/>
          <w:szCs w:val="24"/>
        </w:rPr>
      </w:pPr>
      <w:r>
        <w:rPr>
          <w:rFonts w:hint="eastAsia" w:ascii="仿宋" w:hAnsi="仿宋" w:eastAsia="仿宋" w:cs="仿宋"/>
          <w:b/>
          <w:sz w:val="24"/>
          <w:szCs w:val="24"/>
        </w:rPr>
        <w:t>三、</w:t>
      </w:r>
      <w:r>
        <w:rPr>
          <w:rFonts w:hint="eastAsia"/>
          <w:b/>
          <w:bCs/>
          <w:sz w:val="24"/>
          <w:szCs w:val="24"/>
        </w:rPr>
        <w:t>获取采购文件</w:t>
      </w:r>
      <w:r>
        <w:rPr>
          <w:rFonts w:hint="eastAsia" w:ascii="仿宋" w:hAnsi="仿宋" w:eastAsia="仿宋" w:cs="仿宋"/>
          <w:b/>
          <w:sz w:val="24"/>
          <w:szCs w:val="24"/>
        </w:rPr>
        <w:t>：</w:t>
      </w:r>
    </w:p>
    <w:p>
      <w:pPr>
        <w:spacing w:line="360" w:lineRule="auto"/>
        <w:ind w:left="420"/>
        <w:rPr>
          <w:rFonts w:ascii="仿宋" w:hAnsi="仿宋" w:eastAsia="仿宋" w:cs="宋体"/>
          <w:sz w:val="24"/>
        </w:rPr>
      </w:pPr>
      <w:r>
        <w:rPr>
          <w:rFonts w:hint="eastAsia" w:ascii="仿宋" w:hAnsi="仿宋" w:eastAsia="仿宋" w:cs="宋体"/>
          <w:sz w:val="24"/>
        </w:rPr>
        <w:t>时间：</w:t>
      </w:r>
      <w:r>
        <w:rPr>
          <w:rFonts w:hint="eastAsia" w:ascii="仿宋" w:hAnsi="仿宋" w:eastAsia="仿宋" w:cs="宋体"/>
          <w:sz w:val="24"/>
          <w:highlight w:val="yellow"/>
          <w:u w:val="single"/>
          <w:lang w:eastAsia="zh-CN"/>
        </w:rPr>
        <w:t>2021</w:t>
      </w:r>
      <w:r>
        <w:rPr>
          <w:rFonts w:hint="eastAsia" w:ascii="仿宋" w:hAnsi="仿宋" w:eastAsia="仿宋" w:cs="宋体"/>
          <w:sz w:val="24"/>
          <w:highlight w:val="yellow"/>
          <w:u w:val="single"/>
        </w:rPr>
        <w:t>年</w:t>
      </w:r>
      <w:r>
        <w:rPr>
          <w:rFonts w:hint="eastAsia" w:ascii="仿宋" w:hAnsi="仿宋" w:eastAsia="仿宋" w:cs="宋体"/>
          <w:sz w:val="24"/>
          <w:highlight w:val="yellow"/>
          <w:u w:val="single"/>
          <w:lang w:val="en-US" w:eastAsia="zh-CN"/>
        </w:rPr>
        <w:t>09</w:t>
      </w:r>
      <w:r>
        <w:rPr>
          <w:rFonts w:hint="eastAsia" w:ascii="仿宋" w:hAnsi="仿宋" w:eastAsia="仿宋" w:cs="宋体"/>
          <w:sz w:val="24"/>
          <w:highlight w:val="yellow"/>
          <w:u w:val="single"/>
        </w:rPr>
        <w:t>月</w:t>
      </w:r>
      <w:r>
        <w:rPr>
          <w:rFonts w:hint="eastAsia" w:ascii="仿宋" w:hAnsi="仿宋" w:eastAsia="仿宋" w:cs="宋体"/>
          <w:sz w:val="24"/>
          <w:highlight w:val="yellow"/>
          <w:u w:val="single"/>
          <w:lang w:val="en-US" w:eastAsia="zh-CN"/>
        </w:rPr>
        <w:t>17</w:t>
      </w:r>
      <w:r>
        <w:rPr>
          <w:rFonts w:hint="eastAsia" w:ascii="仿宋" w:hAnsi="仿宋" w:eastAsia="仿宋" w:cs="宋体"/>
          <w:sz w:val="24"/>
          <w:highlight w:val="yellow"/>
          <w:u w:val="single"/>
        </w:rPr>
        <w:t>日</w:t>
      </w:r>
      <w:r>
        <w:rPr>
          <w:rFonts w:hint="eastAsia" w:ascii="仿宋" w:hAnsi="仿宋" w:eastAsia="仿宋" w:cs="宋体"/>
          <w:sz w:val="24"/>
          <w:highlight w:val="yellow"/>
        </w:rPr>
        <w:t>至</w:t>
      </w:r>
      <w:r>
        <w:rPr>
          <w:rFonts w:hint="eastAsia" w:ascii="仿宋" w:hAnsi="仿宋" w:eastAsia="仿宋" w:cs="宋体"/>
          <w:sz w:val="24"/>
          <w:highlight w:val="yellow"/>
          <w:u w:val="single"/>
          <w:lang w:eastAsia="zh-CN"/>
        </w:rPr>
        <w:t>2021</w:t>
      </w:r>
      <w:r>
        <w:rPr>
          <w:rFonts w:hint="eastAsia" w:ascii="仿宋" w:hAnsi="仿宋" w:eastAsia="仿宋" w:cs="宋体"/>
          <w:sz w:val="24"/>
          <w:highlight w:val="yellow"/>
          <w:u w:val="single"/>
        </w:rPr>
        <w:t>年</w:t>
      </w:r>
      <w:r>
        <w:rPr>
          <w:rFonts w:hint="eastAsia" w:ascii="仿宋" w:hAnsi="仿宋" w:eastAsia="仿宋" w:cs="宋体"/>
          <w:sz w:val="24"/>
          <w:highlight w:val="yellow"/>
          <w:u w:val="single"/>
          <w:lang w:val="en-US" w:eastAsia="zh-CN"/>
        </w:rPr>
        <w:t>09</w:t>
      </w:r>
      <w:r>
        <w:rPr>
          <w:rFonts w:hint="eastAsia" w:ascii="仿宋" w:hAnsi="仿宋" w:eastAsia="仿宋" w:cs="宋体"/>
          <w:sz w:val="24"/>
          <w:highlight w:val="yellow"/>
          <w:u w:val="single"/>
        </w:rPr>
        <w:t>月</w:t>
      </w:r>
      <w:r>
        <w:rPr>
          <w:rFonts w:hint="eastAsia" w:ascii="仿宋" w:hAnsi="仿宋" w:eastAsia="仿宋" w:cs="宋体"/>
          <w:sz w:val="24"/>
          <w:highlight w:val="yellow"/>
          <w:u w:val="single"/>
          <w:lang w:val="en-US" w:eastAsia="zh-CN"/>
        </w:rPr>
        <w:t>22</w:t>
      </w:r>
      <w:r>
        <w:rPr>
          <w:rFonts w:hint="eastAsia" w:ascii="仿宋" w:hAnsi="仿宋" w:eastAsia="仿宋" w:cs="宋体"/>
          <w:sz w:val="24"/>
          <w:highlight w:val="yellow"/>
          <w:u w:val="single"/>
        </w:rPr>
        <w:t>日</w:t>
      </w:r>
      <w:r>
        <w:rPr>
          <w:rFonts w:hint="eastAsia" w:ascii="仿宋" w:hAnsi="仿宋" w:eastAsia="仿宋" w:cs="宋体"/>
          <w:sz w:val="24"/>
          <w:highlight w:val="yellow"/>
        </w:rPr>
        <w:t>，</w:t>
      </w:r>
      <w:r>
        <w:rPr>
          <w:rFonts w:hint="eastAsia" w:ascii="仿宋" w:hAnsi="仿宋" w:eastAsia="仿宋" w:cs="宋体"/>
          <w:sz w:val="24"/>
        </w:rPr>
        <w:t>每天上午</w:t>
      </w:r>
      <w:r>
        <w:rPr>
          <w:rFonts w:hint="eastAsia" w:ascii="仿宋" w:hAnsi="仿宋" w:eastAsia="仿宋" w:cs="宋体"/>
          <w:sz w:val="24"/>
          <w:u w:val="single"/>
        </w:rPr>
        <w:t>　0</w:t>
      </w:r>
      <w:r>
        <w:rPr>
          <w:rFonts w:ascii="仿宋" w:hAnsi="仿宋" w:eastAsia="仿宋" w:cs="宋体"/>
          <w:sz w:val="24"/>
          <w:u w:val="single"/>
        </w:rPr>
        <w:t>9</w:t>
      </w:r>
      <w:r>
        <w:rPr>
          <w:rFonts w:hint="eastAsia" w:ascii="仿宋" w:hAnsi="仿宋" w:eastAsia="仿宋" w:cs="宋体"/>
          <w:sz w:val="24"/>
          <w:u w:val="single"/>
        </w:rPr>
        <w:t>：0</w:t>
      </w:r>
      <w:r>
        <w:rPr>
          <w:rFonts w:ascii="仿宋" w:hAnsi="仿宋" w:eastAsia="仿宋" w:cs="宋体"/>
          <w:sz w:val="24"/>
          <w:u w:val="single"/>
        </w:rPr>
        <w:t xml:space="preserve">0 </w:t>
      </w:r>
      <w:r>
        <w:rPr>
          <w:rFonts w:hint="eastAsia" w:ascii="仿宋" w:hAnsi="仿宋" w:eastAsia="仿宋" w:cs="宋体"/>
          <w:sz w:val="24"/>
        </w:rPr>
        <w:t>至</w:t>
      </w:r>
      <w:r>
        <w:rPr>
          <w:rFonts w:hint="eastAsia" w:ascii="仿宋" w:hAnsi="仿宋" w:eastAsia="仿宋" w:cs="宋体"/>
          <w:sz w:val="24"/>
          <w:u w:val="single"/>
        </w:rPr>
        <w:t>1</w:t>
      </w:r>
      <w:r>
        <w:rPr>
          <w:rFonts w:hint="eastAsia" w:ascii="仿宋" w:hAnsi="仿宋" w:eastAsia="仿宋" w:cs="宋体"/>
          <w:sz w:val="24"/>
          <w:u w:val="single"/>
          <w:lang w:val="en-US" w:eastAsia="zh-CN"/>
        </w:rPr>
        <w:t>1</w:t>
      </w:r>
      <w:r>
        <w:rPr>
          <w:rFonts w:hint="eastAsia" w:ascii="仿宋" w:hAnsi="仿宋" w:eastAsia="仿宋" w:cs="宋体"/>
          <w:sz w:val="24"/>
          <w:u w:val="single"/>
        </w:rPr>
        <w:t>：</w:t>
      </w:r>
      <w:r>
        <w:rPr>
          <w:rFonts w:ascii="仿宋" w:hAnsi="仿宋" w:eastAsia="仿宋" w:cs="宋体"/>
          <w:sz w:val="24"/>
          <w:u w:val="single"/>
        </w:rPr>
        <w:t>00</w:t>
      </w:r>
      <w:r>
        <w:rPr>
          <w:rFonts w:hint="eastAsia" w:ascii="仿宋" w:hAnsi="仿宋" w:eastAsia="仿宋" w:cs="宋体"/>
          <w:sz w:val="24"/>
        </w:rPr>
        <w:t>，下午</w:t>
      </w:r>
      <w:r>
        <w:rPr>
          <w:rFonts w:hint="eastAsia" w:ascii="仿宋" w:hAnsi="仿宋" w:eastAsia="仿宋" w:cs="宋体"/>
          <w:sz w:val="24"/>
          <w:u w:val="single"/>
        </w:rPr>
        <w:t>1</w:t>
      </w:r>
      <w:r>
        <w:rPr>
          <w:rFonts w:ascii="仿宋" w:hAnsi="仿宋" w:eastAsia="仿宋" w:cs="宋体"/>
          <w:sz w:val="24"/>
          <w:u w:val="single"/>
        </w:rPr>
        <w:t>4</w:t>
      </w:r>
      <w:r>
        <w:rPr>
          <w:rFonts w:hint="eastAsia" w:ascii="仿宋" w:hAnsi="仿宋" w:eastAsia="仿宋" w:cs="宋体"/>
          <w:sz w:val="24"/>
          <w:u w:val="single"/>
        </w:rPr>
        <w:t>：3</w:t>
      </w:r>
      <w:r>
        <w:rPr>
          <w:rFonts w:ascii="仿宋" w:hAnsi="仿宋" w:eastAsia="仿宋" w:cs="宋体"/>
          <w:sz w:val="24"/>
          <w:u w:val="single"/>
        </w:rPr>
        <w:t>0</w:t>
      </w:r>
      <w:r>
        <w:rPr>
          <w:rFonts w:hint="eastAsia" w:ascii="仿宋" w:hAnsi="仿宋" w:eastAsia="仿宋" w:cs="宋体"/>
          <w:sz w:val="24"/>
        </w:rPr>
        <w:t>至</w:t>
      </w:r>
      <w:r>
        <w:rPr>
          <w:rFonts w:hint="eastAsia" w:ascii="仿宋" w:hAnsi="仿宋" w:eastAsia="仿宋" w:cs="宋体"/>
          <w:sz w:val="24"/>
          <w:u w:val="single"/>
        </w:rPr>
        <w:t>1</w:t>
      </w:r>
      <w:r>
        <w:rPr>
          <w:rFonts w:hint="eastAsia" w:ascii="仿宋" w:hAnsi="仿宋" w:eastAsia="仿宋" w:cs="宋体"/>
          <w:sz w:val="24"/>
          <w:u w:val="single"/>
          <w:lang w:val="en-US" w:eastAsia="zh-CN"/>
        </w:rPr>
        <w:t>6</w:t>
      </w:r>
      <w:r>
        <w:rPr>
          <w:rFonts w:hint="eastAsia" w:ascii="仿宋" w:hAnsi="仿宋" w:eastAsia="仿宋" w:cs="宋体"/>
          <w:sz w:val="24"/>
          <w:u w:val="single"/>
        </w:rPr>
        <w:t>：</w:t>
      </w:r>
      <w:r>
        <w:rPr>
          <w:rFonts w:hint="eastAsia" w:ascii="仿宋" w:hAnsi="仿宋" w:eastAsia="仿宋" w:cs="宋体"/>
          <w:sz w:val="24"/>
          <w:u w:val="single"/>
          <w:lang w:val="en-US" w:eastAsia="zh-CN"/>
        </w:rPr>
        <w:t>3</w:t>
      </w:r>
      <w:r>
        <w:rPr>
          <w:rFonts w:ascii="仿宋" w:hAnsi="仿宋" w:eastAsia="仿宋" w:cs="宋体"/>
          <w:sz w:val="24"/>
          <w:u w:val="single"/>
        </w:rPr>
        <w:t>0</w:t>
      </w:r>
      <w:r>
        <w:rPr>
          <w:rFonts w:hint="eastAsia" w:ascii="仿宋" w:hAnsi="仿宋" w:eastAsia="仿宋" w:cs="宋体"/>
          <w:sz w:val="24"/>
        </w:rPr>
        <w:t>（北京时间，</w:t>
      </w:r>
      <w:r>
        <w:rPr>
          <w:rFonts w:ascii="仿宋" w:hAnsi="仿宋" w:eastAsia="仿宋" w:cs="宋体"/>
          <w:sz w:val="24"/>
        </w:rPr>
        <w:t>法定节假日</w:t>
      </w:r>
      <w:r>
        <w:rPr>
          <w:rFonts w:hint="eastAsia" w:ascii="仿宋" w:hAnsi="仿宋" w:eastAsia="仿宋" w:cs="宋体"/>
          <w:sz w:val="24"/>
        </w:rPr>
        <w:t>除外 ）</w:t>
      </w:r>
    </w:p>
    <w:p>
      <w:pPr>
        <w:spacing w:line="360" w:lineRule="auto"/>
        <w:ind w:left="420"/>
        <w:rPr>
          <w:rFonts w:ascii="仿宋" w:hAnsi="仿宋" w:eastAsia="仿宋" w:cs="宋体"/>
          <w:sz w:val="24"/>
        </w:rPr>
      </w:pPr>
      <w:r>
        <w:rPr>
          <w:rFonts w:hint="eastAsia" w:ascii="仿宋" w:hAnsi="仿宋" w:eastAsia="仿宋" w:cs="宋体"/>
          <w:sz w:val="24"/>
        </w:rPr>
        <w:t>地点：</w:t>
      </w:r>
      <w:r>
        <w:rPr>
          <w:rFonts w:hint="eastAsia" w:ascii="仿宋" w:hAnsi="仿宋" w:eastAsia="仿宋"/>
          <w:sz w:val="24"/>
          <w:highlight w:val="yellow"/>
          <w:lang w:eastAsia="zh-CN"/>
        </w:rPr>
        <w:t>海南秀泰项目管理有限公司</w:t>
      </w:r>
      <w:r>
        <w:rPr>
          <w:rFonts w:hint="eastAsia" w:ascii="仿宋" w:hAnsi="仿宋" w:eastAsia="仿宋"/>
          <w:sz w:val="24"/>
          <w:highlight w:val="yellow"/>
        </w:rPr>
        <w:t>（</w:t>
      </w:r>
      <w:r>
        <w:rPr>
          <w:rFonts w:hint="eastAsia" w:ascii="仿宋" w:hAnsi="仿宋" w:eastAsia="仿宋"/>
          <w:sz w:val="24"/>
          <w:highlight w:val="yellow"/>
          <w:lang w:eastAsia="zh-CN"/>
        </w:rPr>
        <w:t>海口市秀英区南海大道143号湖南师大附中海口中学教师公寓楼2号楼6B房</w:t>
      </w:r>
      <w:r>
        <w:rPr>
          <w:rFonts w:hint="eastAsia" w:ascii="仿宋" w:hAnsi="仿宋" w:eastAsia="仿宋"/>
          <w:sz w:val="24"/>
          <w:highlight w:val="yellow"/>
        </w:rPr>
        <w:t>）</w:t>
      </w:r>
    </w:p>
    <w:p>
      <w:pPr>
        <w:spacing w:line="360" w:lineRule="auto"/>
        <w:ind w:left="420"/>
        <w:rPr>
          <w:rFonts w:ascii="仿宋" w:hAnsi="仿宋" w:eastAsia="仿宋" w:cs="宋体"/>
          <w:sz w:val="24"/>
          <w:u w:val="single"/>
        </w:rPr>
      </w:pPr>
      <w:r>
        <w:rPr>
          <w:rFonts w:hint="eastAsia" w:ascii="仿宋" w:hAnsi="仿宋" w:eastAsia="仿宋" w:cs="宋体"/>
          <w:sz w:val="24"/>
        </w:rPr>
        <w:t>方式：</w:t>
      </w:r>
      <w:r>
        <w:rPr>
          <w:rFonts w:hint="eastAsia" w:ascii="仿宋" w:hAnsi="仿宋" w:eastAsia="仿宋" w:cs="宋体"/>
          <w:sz w:val="24"/>
          <w:highlight w:val="yellow"/>
        </w:rPr>
        <w:t>现场购买，购买人持介绍信、法定代表人身份证、经办人身份证和营业执照复印件加盖鲜章留底</w:t>
      </w:r>
      <w:r>
        <w:rPr>
          <w:rFonts w:hint="eastAsia" w:ascii="仿宋" w:hAnsi="仿宋" w:eastAsia="仿宋" w:cs="宋体"/>
          <w:sz w:val="24"/>
        </w:rPr>
        <w:t>，原件备查。</w:t>
      </w:r>
    </w:p>
    <w:p>
      <w:pPr>
        <w:spacing w:line="360" w:lineRule="auto"/>
        <w:ind w:left="420"/>
        <w:rPr>
          <w:rFonts w:ascii="仿宋" w:hAnsi="仿宋" w:eastAsia="仿宋" w:cs="宋体"/>
          <w:sz w:val="24"/>
        </w:rPr>
      </w:pPr>
      <w:r>
        <w:rPr>
          <w:rFonts w:hint="eastAsia" w:ascii="仿宋" w:hAnsi="仿宋" w:eastAsia="仿宋" w:cs="宋体"/>
          <w:sz w:val="24"/>
        </w:rPr>
        <w:t>售价：人民币</w:t>
      </w:r>
      <w:r>
        <w:rPr>
          <w:rFonts w:ascii="仿宋" w:hAnsi="仿宋" w:eastAsia="仿宋" w:cs="宋体"/>
          <w:sz w:val="24"/>
          <w:highlight w:val="yellow"/>
        </w:rPr>
        <w:t>5</w:t>
      </w:r>
      <w:r>
        <w:rPr>
          <w:rFonts w:hint="eastAsia" w:ascii="仿宋" w:hAnsi="仿宋" w:eastAsia="仿宋" w:cs="宋体"/>
          <w:sz w:val="24"/>
          <w:highlight w:val="yellow"/>
        </w:rPr>
        <w:t>00.00</w:t>
      </w:r>
      <w:r>
        <w:rPr>
          <w:rFonts w:hint="eastAsia" w:ascii="仿宋" w:hAnsi="仿宋" w:eastAsia="仿宋" w:cs="宋体"/>
          <w:sz w:val="24"/>
        </w:rPr>
        <w:t>元</w:t>
      </w:r>
    </w:p>
    <w:p>
      <w:pPr>
        <w:pStyle w:val="15"/>
        <w:numPr>
          <w:ilvl w:val="0"/>
          <w:numId w:val="2"/>
        </w:numPr>
        <w:tabs>
          <w:tab w:val="left" w:pos="8360"/>
        </w:tabs>
        <w:spacing w:line="360" w:lineRule="auto"/>
        <w:rPr>
          <w:rFonts w:ascii="仿宋" w:hAnsi="仿宋" w:eastAsia="仿宋" w:cs="仿宋_GB2312"/>
          <w:b/>
          <w:sz w:val="24"/>
        </w:rPr>
      </w:pPr>
      <w:r>
        <w:rPr>
          <w:rFonts w:hint="eastAsia" w:ascii="仿宋" w:hAnsi="仿宋" w:eastAsia="仿宋" w:cs="仿宋_GB2312"/>
          <w:b/>
          <w:sz w:val="24"/>
        </w:rPr>
        <w:t>响应文件提交截止时间、谈判时间及地点:</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截止时间：</w:t>
      </w:r>
      <w:r>
        <w:rPr>
          <w:rFonts w:hint="eastAsia" w:ascii="仿宋" w:hAnsi="仿宋" w:eastAsia="仿宋" w:cs="仿宋_GB2312"/>
          <w:sz w:val="24"/>
          <w:highlight w:val="yellow"/>
          <w:u w:val="single"/>
          <w:lang w:eastAsia="zh-CN"/>
        </w:rPr>
        <w:t>2021</w:t>
      </w:r>
      <w:r>
        <w:rPr>
          <w:rFonts w:hint="eastAsia" w:ascii="仿宋" w:hAnsi="仿宋" w:eastAsia="仿宋" w:cs="仿宋_GB2312"/>
          <w:sz w:val="24"/>
          <w:highlight w:val="yellow"/>
          <w:u w:val="single"/>
        </w:rPr>
        <w:t>年</w:t>
      </w:r>
      <w:r>
        <w:rPr>
          <w:rFonts w:hint="eastAsia" w:ascii="仿宋" w:hAnsi="仿宋" w:eastAsia="仿宋" w:cs="仿宋_GB2312"/>
          <w:sz w:val="24"/>
          <w:highlight w:val="yellow"/>
          <w:u w:val="single"/>
          <w:lang w:val="en-US" w:eastAsia="zh-CN"/>
        </w:rPr>
        <w:t>09</w:t>
      </w:r>
      <w:r>
        <w:rPr>
          <w:rFonts w:hint="eastAsia" w:ascii="仿宋" w:hAnsi="仿宋" w:eastAsia="仿宋" w:cs="仿宋_GB2312"/>
          <w:sz w:val="24"/>
          <w:highlight w:val="yellow"/>
          <w:u w:val="single"/>
        </w:rPr>
        <w:t>月</w:t>
      </w:r>
      <w:r>
        <w:rPr>
          <w:rFonts w:hint="eastAsia" w:ascii="仿宋" w:hAnsi="仿宋" w:eastAsia="仿宋" w:cs="仿宋_GB2312"/>
          <w:sz w:val="24"/>
          <w:highlight w:val="yellow"/>
          <w:u w:val="single"/>
          <w:lang w:val="en-US" w:eastAsia="zh-CN"/>
        </w:rPr>
        <w:t>24</w:t>
      </w:r>
      <w:r>
        <w:rPr>
          <w:rFonts w:hint="eastAsia" w:ascii="仿宋" w:hAnsi="仿宋" w:eastAsia="仿宋" w:cs="仿宋_GB2312"/>
          <w:sz w:val="24"/>
          <w:highlight w:val="yellow"/>
          <w:u w:val="single"/>
        </w:rPr>
        <w:t>日</w:t>
      </w:r>
      <w:r>
        <w:rPr>
          <w:rFonts w:hint="eastAsia" w:ascii="仿宋" w:hAnsi="仿宋" w:eastAsia="仿宋" w:cs="仿宋_GB2312"/>
          <w:sz w:val="24"/>
          <w:highlight w:val="yellow"/>
          <w:u w:val="single"/>
          <w:lang w:val="en-US" w:eastAsia="zh-CN"/>
        </w:rPr>
        <w:t>14</w:t>
      </w:r>
      <w:r>
        <w:rPr>
          <w:rFonts w:hint="eastAsia" w:ascii="仿宋" w:hAnsi="仿宋" w:eastAsia="仿宋" w:cs="仿宋_GB2312"/>
          <w:sz w:val="24"/>
          <w:highlight w:val="yellow"/>
          <w:u w:val="single"/>
        </w:rPr>
        <w:t>点</w:t>
      </w:r>
      <w:r>
        <w:rPr>
          <w:rFonts w:hint="eastAsia" w:ascii="仿宋" w:hAnsi="仿宋" w:eastAsia="仿宋" w:cs="仿宋_GB2312"/>
          <w:sz w:val="24"/>
          <w:highlight w:val="yellow"/>
          <w:u w:val="single"/>
          <w:lang w:val="en-US" w:eastAsia="zh-CN"/>
        </w:rPr>
        <w:t>4</w:t>
      </w:r>
      <w:r>
        <w:rPr>
          <w:rFonts w:hint="eastAsia" w:ascii="仿宋" w:hAnsi="仿宋" w:eastAsia="仿宋" w:cs="仿宋_GB2312"/>
          <w:sz w:val="24"/>
          <w:highlight w:val="yellow"/>
          <w:u w:val="single"/>
        </w:rPr>
        <w:t>0</w:t>
      </w:r>
      <w:r>
        <w:rPr>
          <w:rFonts w:hint="eastAsia" w:ascii="仿宋" w:hAnsi="仿宋" w:eastAsia="仿宋"/>
          <w:sz w:val="24"/>
          <w:u w:val="single"/>
        </w:rPr>
        <w:t>分</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地点：</w:t>
      </w:r>
      <w:r>
        <w:rPr>
          <w:rFonts w:hint="eastAsia" w:ascii="仿宋" w:hAnsi="仿宋" w:eastAsia="仿宋"/>
          <w:sz w:val="24"/>
          <w:highlight w:val="yellow"/>
          <w:lang w:eastAsia="zh-CN"/>
        </w:rPr>
        <w:t>海口市美兰区国兴大道11号国瑞大厦C座（东塔）8楼公共会议室</w:t>
      </w:r>
      <w:r>
        <w:rPr>
          <w:rFonts w:hint="eastAsia" w:ascii="仿宋" w:hAnsi="仿宋" w:eastAsia="仿宋" w:cs="仿宋_GB2312"/>
          <w:sz w:val="24"/>
        </w:rPr>
        <w:t>。</w:t>
      </w:r>
    </w:p>
    <w:p>
      <w:pPr>
        <w:spacing w:line="360" w:lineRule="auto"/>
        <w:rPr>
          <w:rFonts w:ascii="仿宋" w:hAnsi="仿宋" w:eastAsia="仿宋" w:cs="仿宋"/>
          <w:b/>
          <w:sz w:val="24"/>
        </w:rPr>
      </w:pPr>
      <w:r>
        <w:rPr>
          <w:rFonts w:hint="eastAsia" w:ascii="仿宋" w:hAnsi="仿宋" w:eastAsia="仿宋" w:cs="仿宋"/>
          <w:b/>
          <w:sz w:val="24"/>
        </w:rPr>
        <w:t>五、开启</w:t>
      </w:r>
    </w:p>
    <w:p>
      <w:pPr>
        <w:pStyle w:val="9"/>
        <w:spacing w:line="360" w:lineRule="auto"/>
        <w:ind w:firstLine="480" w:firstLineChars="200"/>
        <w:rPr>
          <w:rFonts w:ascii="仿宋" w:hAnsi="仿宋" w:eastAsia="仿宋" w:cs="仿宋"/>
          <w:sz w:val="24"/>
          <w:u w:color="000000"/>
        </w:rPr>
      </w:pPr>
      <w:r>
        <w:rPr>
          <w:rFonts w:hint="eastAsia" w:ascii="仿宋" w:hAnsi="仿宋" w:eastAsia="仿宋" w:cs="仿宋_GB2312"/>
          <w:sz w:val="24"/>
        </w:rPr>
        <w:t>时间：</w:t>
      </w:r>
      <w:r>
        <w:rPr>
          <w:rFonts w:hint="eastAsia" w:ascii="仿宋" w:hAnsi="仿宋" w:eastAsia="仿宋" w:cs="仿宋_GB2312"/>
          <w:sz w:val="24"/>
          <w:highlight w:val="yellow"/>
          <w:u w:val="single"/>
          <w:lang w:eastAsia="zh-CN"/>
        </w:rPr>
        <w:t>2021</w:t>
      </w:r>
      <w:r>
        <w:rPr>
          <w:rFonts w:hint="eastAsia" w:ascii="仿宋" w:hAnsi="仿宋" w:eastAsia="仿宋" w:cs="仿宋_GB2312"/>
          <w:sz w:val="24"/>
          <w:highlight w:val="yellow"/>
          <w:u w:val="single"/>
        </w:rPr>
        <w:t>年</w:t>
      </w:r>
      <w:r>
        <w:rPr>
          <w:rFonts w:hint="eastAsia" w:ascii="仿宋" w:hAnsi="仿宋" w:eastAsia="仿宋" w:cs="仿宋_GB2312"/>
          <w:sz w:val="24"/>
          <w:highlight w:val="yellow"/>
          <w:u w:val="single"/>
          <w:lang w:val="en-US" w:eastAsia="zh-CN"/>
        </w:rPr>
        <w:t>09</w:t>
      </w:r>
      <w:r>
        <w:rPr>
          <w:rFonts w:hint="eastAsia" w:ascii="仿宋" w:hAnsi="仿宋" w:eastAsia="仿宋" w:cs="仿宋_GB2312"/>
          <w:sz w:val="24"/>
          <w:highlight w:val="yellow"/>
          <w:u w:val="single"/>
        </w:rPr>
        <w:t>月</w:t>
      </w:r>
      <w:r>
        <w:rPr>
          <w:rFonts w:hint="eastAsia" w:ascii="仿宋" w:hAnsi="仿宋" w:eastAsia="仿宋" w:cs="仿宋_GB2312"/>
          <w:sz w:val="24"/>
          <w:highlight w:val="yellow"/>
          <w:u w:val="single"/>
          <w:lang w:val="en-US" w:eastAsia="zh-CN"/>
        </w:rPr>
        <w:t>24</w:t>
      </w:r>
      <w:r>
        <w:rPr>
          <w:rFonts w:hint="eastAsia" w:ascii="仿宋" w:hAnsi="仿宋" w:eastAsia="仿宋" w:cs="仿宋_GB2312"/>
          <w:sz w:val="24"/>
          <w:highlight w:val="yellow"/>
          <w:u w:val="single"/>
        </w:rPr>
        <w:t>日</w:t>
      </w:r>
      <w:r>
        <w:rPr>
          <w:rFonts w:hint="eastAsia" w:ascii="仿宋" w:hAnsi="仿宋" w:eastAsia="仿宋" w:cs="仿宋_GB2312"/>
          <w:sz w:val="24"/>
          <w:highlight w:val="yellow"/>
          <w:u w:val="single"/>
          <w:lang w:val="en-US" w:eastAsia="zh-CN"/>
        </w:rPr>
        <w:t>14</w:t>
      </w:r>
      <w:r>
        <w:rPr>
          <w:rFonts w:hint="eastAsia" w:ascii="仿宋" w:hAnsi="仿宋" w:eastAsia="仿宋" w:cs="仿宋_GB2312"/>
          <w:sz w:val="24"/>
          <w:highlight w:val="yellow"/>
          <w:u w:val="single"/>
        </w:rPr>
        <w:t>点</w:t>
      </w:r>
      <w:r>
        <w:rPr>
          <w:rFonts w:hint="eastAsia" w:ascii="仿宋" w:hAnsi="仿宋" w:eastAsia="仿宋" w:cs="仿宋_GB2312"/>
          <w:sz w:val="24"/>
          <w:highlight w:val="yellow"/>
          <w:u w:val="single"/>
          <w:lang w:val="en-US" w:eastAsia="zh-CN"/>
        </w:rPr>
        <w:t>4</w:t>
      </w:r>
      <w:r>
        <w:rPr>
          <w:rFonts w:hint="eastAsia" w:ascii="仿宋" w:hAnsi="仿宋" w:eastAsia="仿宋" w:cs="仿宋_GB2312"/>
          <w:sz w:val="24"/>
          <w:highlight w:val="yellow"/>
          <w:u w:val="single"/>
        </w:rPr>
        <w:t>0</w:t>
      </w:r>
      <w:r>
        <w:rPr>
          <w:rFonts w:hint="eastAsia" w:ascii="仿宋" w:hAnsi="仿宋" w:eastAsia="仿宋"/>
          <w:sz w:val="24"/>
          <w:u w:val="single"/>
        </w:rPr>
        <w:t>分</w:t>
      </w:r>
      <w:r>
        <w:rPr>
          <w:rFonts w:hint="eastAsia" w:ascii="仿宋" w:hAnsi="仿宋" w:eastAsia="仿宋" w:cs="仿宋"/>
          <w:sz w:val="24"/>
          <w:u w:color="000000"/>
        </w:rPr>
        <w:t xml:space="preserve"> </w:t>
      </w:r>
    </w:p>
    <w:p>
      <w:pPr>
        <w:pStyle w:val="9"/>
        <w:spacing w:line="360" w:lineRule="auto"/>
        <w:ind w:firstLine="480" w:firstLineChars="200"/>
        <w:rPr>
          <w:rFonts w:ascii="仿宋" w:hAnsi="仿宋" w:eastAsia="仿宋" w:cs="仿宋"/>
          <w:sz w:val="24"/>
          <w:u w:color="000000"/>
        </w:rPr>
      </w:pPr>
      <w:r>
        <w:rPr>
          <w:rFonts w:hint="eastAsia" w:ascii="仿宋" w:hAnsi="仿宋" w:eastAsia="仿宋" w:cs="仿宋_GB2312"/>
          <w:sz w:val="24"/>
        </w:rPr>
        <w:t>地点：</w:t>
      </w:r>
      <w:r>
        <w:rPr>
          <w:rFonts w:hint="eastAsia" w:ascii="仿宋" w:hAnsi="仿宋" w:eastAsia="仿宋"/>
          <w:sz w:val="24"/>
          <w:highlight w:val="yellow"/>
          <w:lang w:eastAsia="zh-CN"/>
        </w:rPr>
        <w:t>海口市美兰区国兴大道11号国瑞大厦C座（东塔）8楼公共会议室</w:t>
      </w:r>
      <w:r>
        <w:rPr>
          <w:rFonts w:hint="eastAsia" w:ascii="仿宋" w:hAnsi="仿宋" w:eastAsia="仿宋" w:cs="仿宋_GB2312"/>
          <w:sz w:val="24"/>
        </w:rPr>
        <w:t>。</w:t>
      </w:r>
    </w:p>
    <w:p>
      <w:pPr>
        <w:spacing w:line="360" w:lineRule="auto"/>
        <w:rPr>
          <w:rFonts w:ascii="仿宋" w:hAnsi="仿宋" w:eastAsia="仿宋" w:cs="仿宋"/>
          <w:b/>
          <w:sz w:val="24"/>
        </w:rPr>
      </w:pPr>
      <w:r>
        <w:rPr>
          <w:rFonts w:hint="eastAsia" w:ascii="仿宋" w:hAnsi="仿宋" w:eastAsia="仿宋" w:cs="仿宋"/>
          <w:b/>
          <w:sz w:val="24"/>
        </w:rPr>
        <w:t>六、公告期限</w:t>
      </w:r>
    </w:p>
    <w:p>
      <w:pPr>
        <w:spacing w:line="360" w:lineRule="auto"/>
        <w:ind w:firstLine="480" w:firstLineChars="200"/>
        <w:rPr>
          <w:rFonts w:ascii="仿宋" w:hAnsi="仿宋" w:eastAsia="仿宋" w:cs="仿宋"/>
          <w:sz w:val="24"/>
          <w:u w:color="000000"/>
        </w:rPr>
      </w:pPr>
      <w:r>
        <w:rPr>
          <w:rFonts w:hint="eastAsia" w:ascii="仿宋" w:hAnsi="仿宋" w:eastAsia="仿宋" w:cs="仿宋"/>
          <w:sz w:val="24"/>
          <w:u w:color="000000"/>
        </w:rPr>
        <w:t>自本公告发布之日起3个工作日。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u w:color="000000"/>
        </w:rPr>
      </w:pPr>
      <w:r>
        <w:rPr>
          <w:rFonts w:hint="eastAsia" w:ascii="仿宋" w:hAnsi="仿宋" w:eastAsia="仿宋" w:cs="仿宋"/>
          <w:sz w:val="24"/>
          <w:u w:color="000000"/>
        </w:rPr>
        <w:t>1、本项目采购信息指定发布媒体</w:t>
      </w:r>
      <w:r>
        <w:rPr>
          <w:rFonts w:hint="eastAsia" w:ascii="仿宋" w:hAnsi="仿宋" w:eastAsia="仿宋" w:cs="仿宋"/>
          <w:sz w:val="24"/>
          <w:highlight w:val="yellow"/>
          <w:u w:color="000000"/>
        </w:rPr>
        <w:t>为中国海南政府采购网（http://www.ccgp-hainan.gov.cn）/全国公共资源交易平台（海南省）(http://zw.hainan.gov.cn/ggzy/)</w:t>
      </w:r>
      <w:r>
        <w:rPr>
          <w:rFonts w:hint="eastAsia" w:ascii="仿宋" w:hAnsi="仿宋" w:eastAsia="仿宋" w:cs="仿宋"/>
          <w:sz w:val="24"/>
          <w:u w:color="000000"/>
        </w:rPr>
        <w:t>。</w:t>
      </w:r>
    </w:p>
    <w:p>
      <w:pPr>
        <w:spacing w:line="360" w:lineRule="auto"/>
        <w:ind w:firstLine="480" w:firstLineChars="200"/>
        <w:rPr>
          <w:rFonts w:ascii="仿宋" w:hAnsi="仿宋" w:eastAsia="仿宋" w:cs="仿宋"/>
          <w:sz w:val="24"/>
          <w:u w:color="000000"/>
        </w:rPr>
      </w:pPr>
      <w:r>
        <w:rPr>
          <w:rFonts w:hint="eastAsia" w:ascii="仿宋" w:hAnsi="仿宋" w:eastAsia="仿宋" w:cs="仿宋"/>
          <w:sz w:val="24"/>
          <w:u w:color="000000"/>
        </w:rPr>
        <w:t>2、有关本项目竞争性谈判文件的补遗、澄清及变更信息以上述网站公告与下载为准，采购代理机构不再另行通知，竞争性谈判文件与更正公告的内容相互矛盾时，以最后发出的更正公告内容为准。</w:t>
      </w:r>
    </w:p>
    <w:p>
      <w:pPr>
        <w:spacing w:line="360" w:lineRule="auto"/>
        <w:ind w:firstLine="480" w:firstLineChars="200"/>
        <w:rPr>
          <w:rFonts w:ascii="仿宋" w:hAnsi="仿宋" w:eastAsia="仿宋" w:cs="仿宋"/>
          <w:sz w:val="24"/>
          <w:u w:color="000000"/>
        </w:rPr>
      </w:pPr>
      <w:r>
        <w:rPr>
          <w:rFonts w:ascii="仿宋" w:hAnsi="仿宋" w:eastAsia="仿宋" w:cs="仿宋"/>
          <w:sz w:val="24"/>
          <w:u w:color="000000"/>
        </w:rPr>
        <w:t>3</w:t>
      </w:r>
      <w:r>
        <w:rPr>
          <w:rFonts w:hint="eastAsia" w:ascii="仿宋" w:hAnsi="仿宋" w:eastAsia="仿宋" w:cs="仿宋"/>
          <w:sz w:val="24"/>
          <w:u w:color="000000"/>
        </w:rPr>
        <w:t>、本项目落实政府采购政策</w:t>
      </w:r>
    </w:p>
    <w:p>
      <w:pPr>
        <w:spacing w:line="360" w:lineRule="auto"/>
        <w:ind w:firstLine="480" w:firstLineChars="200"/>
        <w:rPr>
          <w:rFonts w:ascii="仿宋" w:hAnsi="仿宋" w:eastAsia="仿宋" w:cs="仿宋"/>
          <w:sz w:val="24"/>
          <w:u w:color="000000"/>
        </w:rPr>
      </w:pPr>
      <w:r>
        <w:rPr>
          <w:rFonts w:hint="eastAsia" w:ascii="仿宋" w:hAnsi="仿宋" w:eastAsia="仿宋" w:cs="仿宋"/>
          <w:sz w:val="24"/>
          <w:u w:color="000000"/>
        </w:rPr>
        <w:t>《政府采购促进中小企业发展暂行办法》、《关于促进残疾人就业政府采购政策的通知》、《财政部 司法部关于政府采购支持监狱企业发展有关问题的通知书》、《财政部 发展改革委 生态环境部 市场监管总局 关于调整优化节能产品、环境标志产品政府采购执行机制的通知》。</w:t>
      </w:r>
    </w:p>
    <w:p>
      <w:pPr>
        <w:spacing w:line="360" w:lineRule="auto"/>
        <w:rPr>
          <w:rFonts w:ascii="仿宋" w:hAnsi="仿宋" w:eastAsia="仿宋" w:cs="仿宋"/>
          <w:b/>
          <w:sz w:val="24"/>
        </w:rPr>
      </w:pPr>
      <w:bookmarkStart w:id="12" w:name="_Toc35393636"/>
      <w:bookmarkStart w:id="13" w:name="_Toc28359095"/>
      <w:bookmarkStart w:id="14" w:name="_Toc35393805"/>
      <w:bookmarkStart w:id="15" w:name="_Toc28359018"/>
      <w:r>
        <w:rPr>
          <w:rFonts w:hint="eastAsia" w:ascii="仿宋" w:hAnsi="仿宋" w:eastAsia="仿宋" w:cs="仿宋"/>
          <w:b/>
          <w:sz w:val="24"/>
        </w:rPr>
        <w:t>八、凡对本次采购提出询问，请按</w:t>
      </w:r>
      <w:r>
        <w:rPr>
          <w:rFonts w:ascii="仿宋" w:hAnsi="仿宋" w:eastAsia="仿宋" w:cs="仿宋"/>
          <w:b/>
          <w:sz w:val="24"/>
        </w:rPr>
        <w:t>以下方式</w:t>
      </w:r>
      <w:r>
        <w:rPr>
          <w:rFonts w:hint="eastAsia" w:ascii="仿宋" w:hAnsi="仿宋" w:eastAsia="仿宋" w:cs="仿宋"/>
          <w:b/>
          <w:sz w:val="24"/>
        </w:rPr>
        <w:t>联系。</w:t>
      </w:r>
      <w:bookmarkEnd w:id="12"/>
      <w:bookmarkEnd w:id="13"/>
      <w:bookmarkEnd w:id="14"/>
      <w:bookmarkEnd w:id="15"/>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1.采购人信息</w:t>
      </w:r>
    </w:p>
    <w:p>
      <w:p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名 </w:t>
      </w:r>
      <w:r>
        <w:rPr>
          <w:rFonts w:ascii="仿宋_GB2312" w:hAnsi="仿宋_GB2312" w:eastAsia="仿宋_GB2312" w:cs="仿宋_GB2312"/>
          <w:sz w:val="24"/>
        </w:rPr>
        <w:t xml:space="preserve">   </w:t>
      </w:r>
      <w:r>
        <w:rPr>
          <w:rFonts w:hint="eastAsia" w:ascii="仿宋_GB2312" w:hAnsi="仿宋_GB2312" w:eastAsia="仿宋_GB2312" w:cs="仿宋_GB2312"/>
          <w:sz w:val="24"/>
        </w:rPr>
        <w:t>称：</w:t>
      </w:r>
      <w:bookmarkStart w:id="16" w:name="OLE_LINK2"/>
      <w:r>
        <w:rPr>
          <w:rFonts w:hint="eastAsia" w:ascii="仿宋_GB2312" w:hAnsi="仿宋_GB2312" w:eastAsia="仿宋_GB2312" w:cs="仿宋_GB2312"/>
          <w:sz w:val="24"/>
          <w:highlight w:val="yellow"/>
          <w:lang w:eastAsia="zh-CN"/>
        </w:rPr>
        <w:t xml:space="preserve">白沙黎族自治县机关事务服务中心 </w:t>
      </w:r>
    </w:p>
    <w:p>
      <w:p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地    址：</w:t>
      </w:r>
      <w:r>
        <w:rPr>
          <w:rFonts w:hint="eastAsia" w:ascii="仿宋_GB2312" w:hAnsi="仿宋_GB2312" w:eastAsia="仿宋_GB2312" w:cs="仿宋_GB2312"/>
          <w:sz w:val="24"/>
          <w:highlight w:val="yellow"/>
          <w:lang w:eastAsia="zh-CN"/>
        </w:rPr>
        <w:t>白沙黎族自治县委办公大楼</w:t>
      </w:r>
    </w:p>
    <w:p>
      <w:p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联系方式：</w:t>
      </w:r>
      <w:bookmarkEnd w:id="16"/>
      <w:r>
        <w:rPr>
          <w:rFonts w:hint="eastAsia" w:ascii="仿宋_GB2312" w:hAnsi="仿宋_GB2312" w:eastAsia="仿宋_GB2312" w:cs="仿宋_GB2312"/>
          <w:sz w:val="24"/>
          <w:highlight w:val="yellow"/>
          <w:lang w:eastAsia="zh-CN"/>
        </w:rPr>
        <w:t>0898-27723989</w:t>
      </w:r>
    </w:p>
    <w:p>
      <w:pPr>
        <w:spacing w:line="360" w:lineRule="auto"/>
        <w:ind w:firstLine="480" w:firstLineChars="200"/>
        <w:rPr>
          <w:rFonts w:ascii="仿宋" w:hAnsi="仿宋" w:eastAsia="仿宋" w:cs="仿宋"/>
          <w:sz w:val="24"/>
          <w:u w:color="000000"/>
        </w:rPr>
      </w:pPr>
      <w:r>
        <w:rPr>
          <w:rFonts w:hint="eastAsia" w:ascii="仿宋" w:hAnsi="仿宋" w:eastAsia="仿宋" w:cs="仿宋"/>
          <w:sz w:val="24"/>
          <w:u w:color="000000"/>
        </w:rPr>
        <w:t>2</w:t>
      </w:r>
      <w:r>
        <w:rPr>
          <w:rFonts w:ascii="仿宋" w:hAnsi="仿宋" w:eastAsia="仿宋" w:cs="仿宋"/>
          <w:sz w:val="24"/>
          <w:u w:color="000000"/>
        </w:rPr>
        <w:t>.</w:t>
      </w:r>
      <w:r>
        <w:rPr>
          <w:rFonts w:hint="eastAsia" w:ascii="仿宋" w:hAnsi="仿宋" w:eastAsia="仿宋" w:cs="仿宋"/>
          <w:sz w:val="24"/>
          <w:u w:color="000000"/>
        </w:rPr>
        <w:t>采购代理机构信息</w:t>
      </w:r>
    </w:p>
    <w:p>
      <w:pPr>
        <w:spacing w:line="360" w:lineRule="auto"/>
        <w:ind w:firstLine="480" w:firstLineChars="200"/>
        <w:rPr>
          <w:rFonts w:hint="eastAsia" w:ascii="仿宋" w:hAnsi="仿宋" w:eastAsia="仿宋" w:cs="仿宋"/>
          <w:sz w:val="24"/>
          <w:u w:color="000000"/>
          <w:lang w:eastAsia="zh-CN"/>
        </w:rPr>
      </w:pPr>
      <w:r>
        <w:rPr>
          <w:rFonts w:hint="eastAsia" w:ascii="仿宋" w:hAnsi="仿宋" w:eastAsia="仿宋" w:cs="仿宋"/>
          <w:sz w:val="24"/>
          <w:u w:color="000000"/>
        </w:rPr>
        <w:t xml:space="preserve">名 </w:t>
      </w:r>
      <w:r>
        <w:rPr>
          <w:rFonts w:ascii="仿宋" w:hAnsi="仿宋" w:eastAsia="仿宋" w:cs="仿宋"/>
          <w:sz w:val="24"/>
          <w:u w:color="000000"/>
        </w:rPr>
        <w:t xml:space="preserve">   </w:t>
      </w:r>
      <w:r>
        <w:rPr>
          <w:rFonts w:hint="eastAsia" w:ascii="仿宋" w:hAnsi="仿宋" w:eastAsia="仿宋" w:cs="仿宋"/>
          <w:sz w:val="24"/>
          <w:u w:color="000000"/>
        </w:rPr>
        <w:t>称：</w:t>
      </w:r>
      <w:r>
        <w:rPr>
          <w:rFonts w:hint="eastAsia" w:ascii="仿宋" w:hAnsi="仿宋" w:eastAsia="仿宋" w:cs="仿宋"/>
          <w:sz w:val="24"/>
          <w:highlight w:val="yellow"/>
          <w:u w:color="000000"/>
          <w:lang w:eastAsia="zh-CN"/>
        </w:rPr>
        <w:t>海南秀泰项目管理有限公司</w:t>
      </w:r>
    </w:p>
    <w:p>
      <w:pPr>
        <w:spacing w:line="360" w:lineRule="auto"/>
        <w:ind w:firstLine="480" w:firstLineChars="200"/>
        <w:rPr>
          <w:rFonts w:hint="eastAsia" w:ascii="仿宋" w:hAnsi="仿宋" w:eastAsia="仿宋" w:cs="仿宋"/>
          <w:sz w:val="24"/>
          <w:u w:color="000000"/>
          <w:lang w:eastAsia="zh-CN"/>
        </w:rPr>
      </w:pPr>
      <w:r>
        <w:rPr>
          <w:rFonts w:hint="eastAsia" w:ascii="仿宋" w:hAnsi="仿宋" w:eastAsia="仿宋" w:cs="仿宋"/>
          <w:sz w:val="24"/>
          <w:u w:color="000000"/>
        </w:rPr>
        <w:t>地    址：</w:t>
      </w:r>
      <w:r>
        <w:rPr>
          <w:rFonts w:hint="eastAsia" w:ascii="仿宋" w:hAnsi="仿宋" w:eastAsia="仿宋" w:cs="仿宋"/>
          <w:sz w:val="24"/>
          <w:highlight w:val="yellow"/>
          <w:u w:color="000000"/>
          <w:lang w:eastAsia="zh-CN"/>
        </w:rPr>
        <w:t>海口市秀英区南海大道143号湖南师大附中海口中学教师公寓楼2号楼6B房</w:t>
      </w:r>
    </w:p>
    <w:p>
      <w:pPr>
        <w:spacing w:line="360" w:lineRule="auto"/>
        <w:ind w:firstLine="480" w:firstLineChars="200"/>
        <w:rPr>
          <w:rFonts w:hint="eastAsia" w:ascii="仿宋" w:hAnsi="仿宋" w:eastAsia="仿宋" w:cs="仿宋"/>
          <w:sz w:val="24"/>
          <w:u w:color="000000"/>
          <w:lang w:eastAsia="zh-CN"/>
        </w:rPr>
      </w:pPr>
      <w:r>
        <w:rPr>
          <w:rFonts w:hint="eastAsia" w:ascii="仿宋" w:hAnsi="仿宋" w:eastAsia="仿宋" w:cs="仿宋"/>
          <w:sz w:val="24"/>
          <w:u w:color="000000"/>
        </w:rPr>
        <w:t>联系方式：</w:t>
      </w:r>
      <w:r>
        <w:rPr>
          <w:rFonts w:ascii="仿宋" w:hAnsi="仿宋" w:eastAsia="仿宋" w:cs="仿宋"/>
          <w:sz w:val="24"/>
          <w:u w:color="000000"/>
        </w:rPr>
        <w:t xml:space="preserve"> </w:t>
      </w:r>
      <w:r>
        <w:rPr>
          <w:rFonts w:hint="eastAsia" w:ascii="仿宋" w:hAnsi="仿宋" w:eastAsia="仿宋" w:cs="仿宋"/>
          <w:sz w:val="24"/>
          <w:highlight w:val="yellow"/>
          <w:u w:color="000000"/>
          <w:lang w:eastAsia="zh-CN"/>
        </w:rPr>
        <w:t>19946697311</w:t>
      </w:r>
    </w:p>
    <w:p>
      <w:pPr>
        <w:spacing w:line="360" w:lineRule="auto"/>
        <w:ind w:firstLine="480" w:firstLineChars="200"/>
        <w:rPr>
          <w:rFonts w:ascii="仿宋" w:hAnsi="仿宋" w:eastAsia="仿宋" w:cs="仿宋"/>
          <w:sz w:val="24"/>
          <w:u w:color="000000"/>
        </w:rPr>
      </w:pPr>
      <w:bookmarkStart w:id="17" w:name="_Toc28359098"/>
      <w:bookmarkStart w:id="18" w:name="_Toc35393808"/>
      <w:bookmarkStart w:id="19" w:name="_Toc28359021"/>
      <w:bookmarkStart w:id="20" w:name="_Toc35393639"/>
      <w:r>
        <w:rPr>
          <w:rFonts w:hint="eastAsia" w:ascii="仿宋" w:hAnsi="仿宋" w:eastAsia="仿宋" w:cs="仿宋"/>
          <w:sz w:val="24"/>
          <w:u w:color="000000"/>
        </w:rPr>
        <w:t>3.项目联系</w:t>
      </w:r>
      <w:r>
        <w:rPr>
          <w:rFonts w:ascii="仿宋" w:hAnsi="仿宋" w:eastAsia="仿宋" w:cs="仿宋"/>
          <w:sz w:val="24"/>
          <w:u w:color="000000"/>
        </w:rPr>
        <w:t>方式</w:t>
      </w:r>
      <w:bookmarkEnd w:id="17"/>
      <w:bookmarkEnd w:id="18"/>
      <w:bookmarkEnd w:id="19"/>
      <w:bookmarkEnd w:id="20"/>
    </w:p>
    <w:p>
      <w:pPr>
        <w:spacing w:line="360" w:lineRule="auto"/>
        <w:ind w:firstLine="480" w:firstLineChars="200"/>
        <w:rPr>
          <w:rFonts w:hint="eastAsia" w:ascii="仿宋" w:hAnsi="仿宋" w:eastAsia="仿宋" w:cs="仿宋"/>
          <w:sz w:val="24"/>
          <w:u w:color="000000"/>
          <w:lang w:eastAsia="zh-CN"/>
        </w:rPr>
      </w:pPr>
      <w:r>
        <w:rPr>
          <w:rFonts w:hint="eastAsia" w:ascii="仿宋" w:hAnsi="仿宋" w:eastAsia="仿宋" w:cs="仿宋"/>
          <w:sz w:val="24"/>
          <w:u w:color="000000"/>
        </w:rPr>
        <w:t>项目联系人：</w:t>
      </w:r>
      <w:r>
        <w:rPr>
          <w:rFonts w:hint="eastAsia" w:ascii="仿宋" w:hAnsi="仿宋" w:eastAsia="仿宋" w:cs="仿宋"/>
          <w:sz w:val="24"/>
          <w:highlight w:val="yellow"/>
          <w:u w:color="000000"/>
          <w:lang w:eastAsia="zh-CN"/>
        </w:rPr>
        <w:t>闻工</w:t>
      </w:r>
    </w:p>
    <w:p>
      <w:pPr>
        <w:snapToGrid w:val="0"/>
        <w:spacing w:line="360" w:lineRule="auto"/>
        <w:ind w:firstLine="480" w:firstLineChars="200"/>
        <w:jc w:val="left"/>
        <w:rPr>
          <w:rFonts w:ascii="黑体" w:hAnsi="黑体" w:eastAsia="黑体" w:cs="黑体"/>
          <w:b/>
          <w:sz w:val="32"/>
          <w:szCs w:val="32"/>
        </w:rPr>
        <w:sectPr>
          <w:footerReference r:id="rId10" w:type="default"/>
          <w:pgSz w:w="11906" w:h="16838"/>
          <w:pgMar w:top="1418" w:right="1474" w:bottom="1418" w:left="1474" w:header="851" w:footer="992" w:gutter="0"/>
          <w:pgNumType w:start="1"/>
          <w:cols w:space="720" w:num="1"/>
          <w:docGrid w:linePitch="579" w:charSpace="-1429"/>
        </w:sectPr>
      </w:pPr>
      <w:r>
        <w:rPr>
          <w:rFonts w:hint="eastAsia" w:ascii="仿宋" w:hAnsi="仿宋" w:eastAsia="仿宋" w:cs="仿宋"/>
          <w:sz w:val="24"/>
          <w:u w:color="000000"/>
        </w:rPr>
        <w:t>电　　  话：</w:t>
      </w:r>
      <w:r>
        <w:rPr>
          <w:rFonts w:ascii="仿宋" w:hAnsi="仿宋" w:eastAsia="仿宋" w:cs="仿宋"/>
          <w:sz w:val="24"/>
          <w:highlight w:val="yellow"/>
          <w:u w:color="000000"/>
        </w:rPr>
        <w:t xml:space="preserve"> </w:t>
      </w:r>
      <w:r>
        <w:rPr>
          <w:rFonts w:hint="eastAsia" w:ascii="仿宋" w:hAnsi="仿宋" w:eastAsia="仿宋" w:cs="仿宋"/>
          <w:sz w:val="24"/>
          <w:highlight w:val="yellow"/>
          <w:u w:color="000000"/>
          <w:lang w:eastAsia="zh-CN"/>
        </w:rPr>
        <w:t>19946697311</w:t>
      </w:r>
      <w:r>
        <w:rPr>
          <w:rFonts w:hint="eastAsia" w:ascii="仿宋" w:hAnsi="仿宋" w:eastAsia="仿宋" w:cs="仿宋"/>
          <w:sz w:val="24"/>
          <w:u w:color="000000"/>
        </w:rPr>
        <w:t>　</w:t>
      </w:r>
      <w:bookmarkStart w:id="21" w:name="_Toc246826104"/>
      <w:r>
        <w:rPr>
          <w:rFonts w:hint="eastAsia" w:ascii="黑体" w:hAnsi="黑体" w:eastAsia="黑体" w:cs="黑体"/>
          <w:b/>
          <w:sz w:val="32"/>
          <w:szCs w:val="32"/>
        </w:rPr>
        <w:br w:type="page"/>
      </w:r>
    </w:p>
    <w:bookmarkEnd w:id="21"/>
    <w:p>
      <w:pPr>
        <w:pStyle w:val="3"/>
        <w:snapToGrid w:val="0"/>
        <w:spacing w:before="0" w:after="0" w:line="480" w:lineRule="auto"/>
        <w:jc w:val="center"/>
      </w:pPr>
      <w:bookmarkStart w:id="22" w:name="_Toc48568218"/>
      <w:r>
        <w:rPr>
          <w:rFonts w:hint="eastAsia"/>
        </w:rPr>
        <w:t>第二章  供应商须知</w:t>
      </w:r>
      <w:bookmarkEnd w:id="22"/>
    </w:p>
    <w:p>
      <w:pPr>
        <w:spacing w:line="460" w:lineRule="exact"/>
        <w:jc w:val="center"/>
        <w:outlineLvl w:val="1"/>
        <w:rPr>
          <w:rFonts w:ascii="宋体" w:hAnsi="宋体" w:cs="宋体"/>
          <w:b/>
          <w:bCs/>
          <w:kern w:val="0"/>
          <w:sz w:val="24"/>
        </w:rPr>
      </w:pPr>
      <w:bookmarkStart w:id="23" w:name="_Toc246826115"/>
      <w:r>
        <w:rPr>
          <w:rFonts w:hint="eastAsia" w:ascii="黑体" w:hAnsi="黑体" w:eastAsia="黑体" w:cs="黑体"/>
          <w:b/>
          <w:kern w:val="0"/>
          <w:sz w:val="24"/>
        </w:rPr>
        <w:t>一、总则</w:t>
      </w:r>
    </w:p>
    <w:p>
      <w:pPr>
        <w:spacing w:line="360" w:lineRule="auto"/>
        <w:rPr>
          <w:rFonts w:ascii="仿宋" w:hAnsi="仿宋" w:eastAsia="仿宋" w:cs="仿宋"/>
          <w:b/>
          <w:sz w:val="24"/>
        </w:rPr>
      </w:pPr>
      <w:r>
        <w:rPr>
          <w:rFonts w:hint="eastAsia" w:ascii="仿宋" w:hAnsi="仿宋" w:eastAsia="仿宋" w:cs="仿宋"/>
          <w:b/>
          <w:sz w:val="24"/>
        </w:rPr>
        <w:t>1、综合说明</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1.1采购人：</w:t>
      </w:r>
      <w:r>
        <w:rPr>
          <w:rFonts w:hint="eastAsia" w:ascii="仿宋" w:hAnsi="仿宋" w:eastAsia="仿宋" w:cs="仿宋"/>
          <w:sz w:val="24"/>
          <w:highlight w:val="yellow"/>
          <w:u w:color="000000"/>
          <w:lang w:eastAsia="zh-CN"/>
        </w:rPr>
        <w:t xml:space="preserve">白沙黎族自治县机关事务服务中心 </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1.2采购代理机构：</w:t>
      </w:r>
      <w:r>
        <w:rPr>
          <w:rFonts w:hint="eastAsia" w:ascii="仿宋" w:hAnsi="仿宋" w:eastAsia="仿宋"/>
          <w:sz w:val="24"/>
          <w:highlight w:val="yellow"/>
          <w:lang w:eastAsia="zh-CN"/>
        </w:rPr>
        <w:t>海南秀泰项目管理有限公司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1.3供应商：已从采购代理机构购买谈判文件并提交响应文件的法人、其他组织。</w:t>
      </w:r>
    </w:p>
    <w:p>
      <w:pPr>
        <w:spacing w:line="360" w:lineRule="auto"/>
        <w:ind w:firstLine="480" w:firstLineChars="200"/>
        <w:rPr>
          <w:rFonts w:ascii="仿宋" w:hAnsi="仿宋" w:eastAsia="仿宋" w:cs="仿宋"/>
          <w:sz w:val="24"/>
        </w:rPr>
      </w:pPr>
      <w:r>
        <w:rPr>
          <w:rFonts w:hint="eastAsia" w:ascii="仿宋" w:hAnsi="仿宋" w:eastAsia="仿宋" w:cs="仿宋"/>
          <w:sz w:val="24"/>
        </w:rPr>
        <w:t>1.4成交供应商：经过采购确定的提供货物或服务的供应商。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1.5本谈判文件仅适用于采购人组织的本次采购活动。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1.6本谈判文件包括本文所列内容及按本须知发出的全部和补充资料。供应商应认真阅读本谈判文件中所有的事项、格式、条款、技术规范等实质性的条件和要求。供应商被视为充分熟悉本采购项目的全部内容及与履行合同有关的全部内容，熟悉谈判文件的格式、条件和范围。供应商没有按照谈判文件的要求提交相关资料，或者供应商没有对谈判文件相关内容都做出实质性响应是供应商的风险，并可能导致其响应无效。</w:t>
      </w:r>
    </w:p>
    <w:p>
      <w:pPr>
        <w:pStyle w:val="2"/>
        <w:snapToGrid w:val="0"/>
        <w:spacing w:line="360" w:lineRule="auto"/>
        <w:ind w:firstLine="0"/>
        <w:rPr>
          <w:rFonts w:ascii="仿宋" w:hAnsi="仿宋" w:eastAsia="仿宋" w:cs="仿宋"/>
          <w:b/>
          <w:sz w:val="24"/>
          <w:szCs w:val="24"/>
        </w:rPr>
      </w:pPr>
      <w:bookmarkStart w:id="24" w:name="_Toc267320062"/>
      <w:r>
        <w:rPr>
          <w:rFonts w:ascii="仿宋" w:hAnsi="仿宋" w:eastAsia="仿宋" w:cs="仿宋"/>
          <w:b/>
          <w:sz w:val="24"/>
          <w:szCs w:val="24"/>
        </w:rPr>
        <w:t>2</w:t>
      </w:r>
      <w:r>
        <w:rPr>
          <w:rFonts w:hint="eastAsia" w:ascii="仿宋" w:hAnsi="仿宋" w:eastAsia="仿宋" w:cs="仿宋"/>
          <w:b/>
          <w:sz w:val="24"/>
          <w:szCs w:val="24"/>
        </w:rPr>
        <w:t>、</w:t>
      </w:r>
      <w:bookmarkEnd w:id="24"/>
      <w:r>
        <w:rPr>
          <w:rFonts w:hint="eastAsia" w:ascii="仿宋" w:hAnsi="仿宋" w:eastAsia="仿宋" w:cs="仿宋"/>
          <w:b/>
          <w:sz w:val="24"/>
          <w:szCs w:val="24"/>
        </w:rPr>
        <w:t>供应商资格要求</w:t>
      </w:r>
    </w:p>
    <w:p>
      <w:pPr>
        <w:snapToGrid w:val="0"/>
        <w:spacing w:line="360" w:lineRule="auto"/>
        <w:ind w:firstLine="480" w:firstLineChars="200"/>
        <w:rPr>
          <w:rFonts w:ascii="仿宋" w:hAnsi="仿宋" w:eastAsia="仿宋" w:cs="仿宋"/>
          <w:sz w:val="24"/>
        </w:rPr>
      </w:pPr>
      <w:r>
        <w:rPr>
          <w:rFonts w:ascii="仿宋" w:hAnsi="仿宋" w:eastAsia="仿宋" w:cs="仿宋"/>
          <w:sz w:val="24"/>
          <w:highlight w:val="yellow"/>
        </w:rPr>
        <w:t>2</w:t>
      </w:r>
      <w:r>
        <w:rPr>
          <w:rFonts w:hint="eastAsia" w:ascii="仿宋" w:hAnsi="仿宋" w:eastAsia="仿宋" w:cs="仿宋"/>
          <w:sz w:val="24"/>
          <w:highlight w:val="yellow"/>
        </w:rPr>
        <w:t>.1《中华人民共和国政府采购法》第二十二条资格证明材料（均提供复印件加盖公章）：</w:t>
      </w:r>
    </w:p>
    <w:p>
      <w:pPr>
        <w:spacing w:line="360" w:lineRule="auto"/>
        <w:ind w:firstLine="480" w:firstLineChars="200"/>
        <w:rPr>
          <w:rFonts w:ascii="仿宋" w:hAnsi="仿宋" w:eastAsia="仿宋" w:cs="仿宋"/>
          <w:sz w:val="24"/>
        </w:rPr>
      </w:pPr>
      <w:r>
        <w:rPr>
          <w:rFonts w:hint="eastAsia" w:ascii="仿宋" w:hAnsi="仿宋" w:eastAsia="仿宋" w:cs="仿宋"/>
          <w:sz w:val="24"/>
        </w:rPr>
        <w:t>（1）在中华人民共和国注册，具有独立承担民事责任的能力的证明材料：①供应商若为企业法人：提供有效的“统一社会信用代码营业执照”；未换证的提供有效的“营业执照、税务登记证、组织机构代码证”；②若为事业法人：提供“统一社会信用代码法人登记证书”；未换证的提交“事业法人登记证书、组织机构代码证”；③若为其他组织：提供“对应主管部门颁发的准许执业证明文件或营业执照”；</w:t>
      </w:r>
    </w:p>
    <w:p>
      <w:pPr>
        <w:spacing w:line="360" w:lineRule="auto"/>
        <w:ind w:firstLine="480" w:firstLineChars="200"/>
        <w:rPr>
          <w:rFonts w:ascii="仿宋" w:hAnsi="仿宋" w:eastAsia="仿宋" w:cs="仿宋"/>
          <w:sz w:val="24"/>
        </w:rPr>
      </w:pPr>
      <w:r>
        <w:rPr>
          <w:rFonts w:hint="eastAsia" w:ascii="仿宋" w:hAnsi="仿宋" w:eastAsia="仿宋" w:cs="仿宋"/>
          <w:sz w:val="24"/>
        </w:rPr>
        <w:t>（2）提供经会计师事务所出具的20</w:t>
      </w:r>
      <w:r>
        <w:rPr>
          <w:rFonts w:hint="eastAsia" w:ascii="仿宋" w:hAnsi="仿宋" w:eastAsia="仿宋" w:cs="仿宋"/>
          <w:sz w:val="24"/>
          <w:lang w:val="en-US" w:eastAsia="zh-CN"/>
        </w:rPr>
        <w:t>20</w:t>
      </w:r>
      <w:r>
        <w:rPr>
          <w:rFonts w:hint="eastAsia" w:ascii="仿宋" w:hAnsi="仿宋" w:eastAsia="仿宋" w:cs="仿宋"/>
          <w:sz w:val="24"/>
        </w:rPr>
        <w:t>年度的财务审计报告或</w:t>
      </w:r>
      <w:r>
        <w:rPr>
          <w:rFonts w:hint="eastAsia" w:ascii="仿宋" w:hAnsi="仿宋" w:eastAsia="仿宋" w:cs="仿宋"/>
          <w:sz w:val="24"/>
          <w:lang w:eastAsia="zh-CN"/>
        </w:rPr>
        <w:t>2021</w:t>
      </w:r>
      <w:r>
        <w:rPr>
          <w:rFonts w:hint="eastAsia" w:ascii="仿宋" w:hAnsi="仿宋" w:eastAsia="仿宋" w:cs="仿宋"/>
          <w:sz w:val="24"/>
        </w:rPr>
        <w:t>年1月至今任意1个月或季度财务报表(提供资产负债表、利润表）；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eastAsia="zh-CN"/>
        </w:rPr>
        <w:t>2021</w:t>
      </w:r>
      <w:r>
        <w:rPr>
          <w:rFonts w:hint="eastAsia" w:ascii="仿宋" w:hAnsi="仿宋" w:eastAsia="仿宋" w:cs="仿宋"/>
          <w:sz w:val="24"/>
        </w:rPr>
        <w:t>年1月至今任意1个月或季度的缴纳税收和社会保障资金良好记录的有关文件。（供应商是零报税的，应提供由税务部门盖章的纳税申报表；依法免税或不需要缴纳社会保障资金的供应商，提供相应文件证明其依法免税或不需要缴纳社会保障资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（4）参加政府采购活动前三年内（成立不足三年的以实际年限计算），在经营活动中没有重大违法记录的声明函原件；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w:t>
      </w:r>
      <w:r>
        <w:rPr>
          <w:rFonts w:hint="eastAsia" w:ascii="仿宋" w:hAnsi="仿宋" w:eastAsia="仿宋" w:cs="仿宋"/>
          <w:sz w:val="24"/>
        </w:rPr>
        <w:t>在信用中国网站（www.creditchina.gov.cn）中没有列入重大税收违法案件当事人名单及政府采购严重违法失信名单；在中国政府采购网（www.ccgp.gov.cn）中没有被列入政府采购严重违法失信行为信息记录名单；中国执行信息公开网（http://zxgk.court.gov.cn/）没有被列入失信被执行人（提供承诺函，评审时网上查验合格）；</w:t>
      </w:r>
    </w:p>
    <w:p>
      <w:pPr>
        <w:snapToGrid w:val="0"/>
        <w:spacing w:line="360" w:lineRule="auto"/>
        <w:ind w:firstLine="480" w:firstLineChars="200"/>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缴交谈判保证金的有效证明文件并加盖单位公章（非原件票据适用）。</w:t>
      </w:r>
    </w:p>
    <w:p>
      <w:pPr>
        <w:spacing w:line="360" w:lineRule="auto"/>
        <w:rPr>
          <w:rFonts w:ascii="仿宋" w:hAnsi="仿宋" w:eastAsia="仿宋" w:cs="仿宋"/>
          <w:b/>
          <w:sz w:val="24"/>
        </w:rPr>
      </w:pPr>
      <w:r>
        <w:rPr>
          <w:rFonts w:hint="eastAsia" w:ascii="仿宋" w:hAnsi="仿宋" w:eastAsia="仿宋" w:cs="仿宋"/>
          <w:b/>
          <w:sz w:val="24"/>
        </w:rPr>
        <w:t>3、供应商限制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3.1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spacing w:line="360" w:lineRule="auto"/>
        <w:ind w:firstLine="480" w:firstLineChars="200"/>
        <w:rPr>
          <w:rFonts w:ascii="仿宋" w:hAnsi="仿宋" w:eastAsia="仿宋" w:cs="仿宋"/>
          <w:sz w:val="24"/>
        </w:rPr>
      </w:pPr>
      <w:r>
        <w:rPr>
          <w:rFonts w:hint="eastAsia" w:ascii="仿宋" w:hAnsi="仿宋" w:eastAsia="仿宋" w:cs="仿宋"/>
          <w:sz w:val="24"/>
        </w:rPr>
        <w:t>3.2利害关系代理人处理，2家以上的供应商不得在同一合同项下的采购项目中，同时委托同一个自然人、同一家庭的人员、同一单位的人员作为其代理人，否则，其响应文件作为无效处理。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.3</w:t>
      </w:r>
      <w:r>
        <w:rPr>
          <w:rFonts w:hint="eastAsia" w:ascii="仿宋" w:hAnsi="仿宋" w:eastAsia="仿宋" w:cs="仿宋"/>
          <w:sz w:val="24"/>
        </w:rPr>
        <w:t>单位负责人为同一人或者存在直接控股、管理关系的不同供应商，不得参加同一合同项下的政府采购活动；为本项目提供整体设计、规范编制或者项目管理、监理、检测等服务的供应商，不得再参加该项目的其他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3.4谈判文件中未明确规定允许进口产品参加的，均视为拒绝进口产品参加。（进口产品是指通过中国海关报关验放进入中国境内且产自关境外的产品，不包括香港、澳门和台湾金马等单独关境地区）。</w:t>
      </w:r>
    </w:p>
    <w:p>
      <w:pPr>
        <w:spacing w:line="360" w:lineRule="auto"/>
        <w:ind w:firstLine="480" w:firstLineChars="200"/>
        <w:rPr>
          <w:rFonts w:ascii="仿宋" w:hAnsi="仿宋" w:eastAsia="仿宋" w:cs="仿宋"/>
          <w:sz w:val="24"/>
        </w:rPr>
      </w:pPr>
      <w:r>
        <w:rPr>
          <w:rFonts w:hint="eastAsia" w:ascii="仿宋" w:hAnsi="仿宋" w:eastAsia="仿宋" w:cs="仿宋"/>
          <w:sz w:val="24"/>
        </w:rPr>
        <w:t>3.5采购需求确定的核心产品（如有），提供核心产品都是相同品牌产品且通过资格审查、符合性审查的不同供应商参加同一合同项下谈判的，按一家供应商计算，评审后最终报价最低的同品牌供应商获得成交候选人推荐资格；最终报价相同的，采取随机抽取方式确定一个供应商获得成交候选人推荐资格，其他同品牌供应商不作为成交候选人。</w:t>
      </w:r>
    </w:p>
    <w:p>
      <w:pPr>
        <w:spacing w:line="360" w:lineRule="auto"/>
        <w:ind w:firstLine="482" w:firstLineChars="200"/>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、供应商的风险</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.1如响应代表是法定代表人</w:t>
      </w:r>
      <w:r>
        <w:rPr>
          <w:rFonts w:hint="eastAsia" w:ascii="仿宋" w:hAnsi="仿宋" w:eastAsia="仿宋" w:cs="仿宋"/>
          <w:kern w:val="0"/>
          <w:sz w:val="24"/>
        </w:rPr>
        <w:t>/主要</w:t>
      </w:r>
      <w:r>
        <w:rPr>
          <w:rFonts w:hint="eastAsia" w:ascii="仿宋" w:hAnsi="仿宋" w:eastAsia="仿宋" w:cs="仿宋"/>
          <w:kern w:val="0"/>
          <w:sz w:val="24"/>
          <w:lang w:val="zh-CN"/>
        </w:rPr>
        <w:t>负责人</w:t>
      </w:r>
      <w:r>
        <w:rPr>
          <w:rFonts w:hint="eastAsia" w:ascii="仿宋" w:hAnsi="仿宋" w:eastAsia="仿宋" w:cs="仿宋"/>
          <w:sz w:val="24"/>
        </w:rPr>
        <w:t>，在递交响应文件时须出示身份证原件，并递交身份证复印件、法定代表人</w:t>
      </w:r>
      <w:r>
        <w:rPr>
          <w:rFonts w:hint="eastAsia" w:ascii="仿宋" w:hAnsi="仿宋" w:eastAsia="仿宋" w:cs="仿宋"/>
          <w:kern w:val="0"/>
          <w:sz w:val="24"/>
        </w:rPr>
        <w:t>/主要</w:t>
      </w:r>
      <w:r>
        <w:rPr>
          <w:rFonts w:hint="eastAsia" w:ascii="仿宋" w:hAnsi="仿宋" w:eastAsia="仿宋" w:cs="仿宋"/>
          <w:kern w:val="0"/>
          <w:sz w:val="24"/>
          <w:lang w:val="zh-CN"/>
        </w:rPr>
        <w:t>负责人身份证明书原件</w:t>
      </w:r>
      <w:r>
        <w:rPr>
          <w:rFonts w:hint="eastAsia" w:ascii="仿宋" w:hAnsi="仿宋" w:eastAsia="仿宋" w:cs="仿宋"/>
          <w:sz w:val="24"/>
        </w:rPr>
        <w:t>，否则采购人有权拒绝响应文件。</w:t>
      </w:r>
    </w:p>
    <w:p>
      <w:pPr>
        <w:spacing w:line="360" w:lineRule="auto"/>
        <w:ind w:firstLine="480" w:firstLineChars="200"/>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如响应代表不是法定代表人</w:t>
      </w:r>
      <w:r>
        <w:rPr>
          <w:rFonts w:hint="eastAsia" w:ascii="仿宋" w:hAnsi="仿宋" w:eastAsia="仿宋" w:cs="仿宋"/>
          <w:kern w:val="0"/>
          <w:sz w:val="24"/>
        </w:rPr>
        <w:t>/主要</w:t>
      </w:r>
      <w:r>
        <w:rPr>
          <w:rFonts w:hint="eastAsia" w:ascii="仿宋" w:hAnsi="仿宋" w:eastAsia="仿宋" w:cs="仿宋"/>
          <w:kern w:val="0"/>
          <w:sz w:val="24"/>
          <w:lang w:val="zh-CN"/>
        </w:rPr>
        <w:t>负责人</w:t>
      </w:r>
      <w:r>
        <w:rPr>
          <w:rFonts w:hint="eastAsia" w:ascii="仿宋" w:hAnsi="仿宋" w:eastAsia="仿宋" w:cs="仿宋"/>
          <w:sz w:val="24"/>
        </w:rPr>
        <w:t>，在递交响应文件时须出示身份证原件，并递交身份证复印件、法定代表人</w:t>
      </w:r>
      <w:r>
        <w:rPr>
          <w:rFonts w:hint="eastAsia" w:ascii="仿宋" w:hAnsi="仿宋" w:eastAsia="仿宋" w:cs="仿宋"/>
          <w:kern w:val="0"/>
          <w:sz w:val="24"/>
        </w:rPr>
        <w:t>/主要</w:t>
      </w:r>
      <w:r>
        <w:rPr>
          <w:rFonts w:hint="eastAsia" w:ascii="仿宋" w:hAnsi="仿宋" w:eastAsia="仿宋" w:cs="仿宋"/>
          <w:kern w:val="0"/>
          <w:sz w:val="24"/>
          <w:lang w:val="zh-CN"/>
        </w:rPr>
        <w:t>负责人身份证明书原件、</w:t>
      </w:r>
      <w:r>
        <w:rPr>
          <w:rFonts w:hint="eastAsia" w:ascii="仿宋" w:hAnsi="仿宋" w:eastAsia="仿宋" w:cs="仿宋"/>
          <w:sz w:val="24"/>
        </w:rPr>
        <w:t>法定代表人</w:t>
      </w:r>
      <w:r>
        <w:rPr>
          <w:rFonts w:hint="eastAsia" w:ascii="仿宋" w:hAnsi="仿宋" w:eastAsia="仿宋" w:cs="仿宋"/>
          <w:kern w:val="0"/>
          <w:sz w:val="24"/>
        </w:rPr>
        <w:t>/主要</w:t>
      </w:r>
      <w:r>
        <w:rPr>
          <w:rFonts w:hint="eastAsia" w:ascii="仿宋" w:hAnsi="仿宋" w:eastAsia="仿宋" w:cs="仿宋"/>
          <w:kern w:val="0"/>
          <w:sz w:val="24"/>
          <w:lang w:val="zh-CN"/>
        </w:rPr>
        <w:t>负责人</w:t>
      </w:r>
      <w:r>
        <w:rPr>
          <w:rFonts w:hint="eastAsia" w:ascii="仿宋" w:hAnsi="仿宋" w:eastAsia="仿宋" w:cs="仿宋"/>
          <w:sz w:val="24"/>
        </w:rPr>
        <w:t>授权委托书原件（按谈判文件格式填写），否则采购人有权拒绝响应文件。</w:t>
      </w:r>
    </w:p>
    <w:p>
      <w:pPr>
        <w:spacing w:line="360" w:lineRule="auto"/>
        <w:ind w:firstLine="480" w:firstLineChars="200"/>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供应商没有按照竞争性谈判文件的要求编制、签署、密封、标记、递交及修正响应文件的，自行承担响应无效的风险。</w:t>
      </w:r>
    </w:p>
    <w:p>
      <w:pPr>
        <w:spacing w:line="360" w:lineRule="auto"/>
        <w:ind w:firstLine="480" w:firstLineChars="200"/>
        <w:rPr>
          <w:rFonts w:ascii="仿宋" w:hAnsi="仿宋" w:eastAsia="仿宋" w:cs="仿宋"/>
          <w:sz w:val="24"/>
        </w:rPr>
      </w:pPr>
      <w:r>
        <w:rPr>
          <w:rFonts w:ascii="仿宋" w:hAnsi="仿宋" w:eastAsia="仿宋" w:cs="仿宋"/>
          <w:sz w:val="24"/>
        </w:rPr>
        <w:t>4.4</w:t>
      </w:r>
      <w:r>
        <w:rPr>
          <w:rFonts w:hint="eastAsia" w:ascii="仿宋" w:hAnsi="仿宋" w:eastAsia="仿宋" w:cs="仿宋"/>
          <w:sz w:val="24"/>
        </w:rPr>
        <w:t>供应商没有对竞争性谈判文件的实质性内容作出响应的，视为不合格供应商。</w:t>
      </w:r>
    </w:p>
    <w:p>
      <w:pPr>
        <w:spacing w:line="360" w:lineRule="auto"/>
        <w:ind w:firstLine="480" w:firstLineChars="200"/>
        <w:rPr>
          <w:rFonts w:ascii="仿宋" w:hAnsi="仿宋" w:eastAsia="仿宋" w:cs="仿宋"/>
          <w:sz w:val="24"/>
        </w:rPr>
      </w:pPr>
      <w:r>
        <w:rPr>
          <w:rFonts w:ascii="仿宋" w:hAnsi="仿宋" w:eastAsia="仿宋" w:cs="仿宋"/>
          <w:sz w:val="24"/>
        </w:rPr>
        <w:t>4.5</w:t>
      </w:r>
      <w:r>
        <w:rPr>
          <w:rFonts w:hint="eastAsia" w:ascii="仿宋" w:hAnsi="仿宋" w:eastAsia="仿宋" w:cs="仿宋"/>
          <w:sz w:val="24"/>
        </w:rPr>
        <w:t>供应商提交的响应文件内容有下列情形之一的，一经发现，采购代理机构或采购人在任何时候都有权依法追究供应商的责任：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（1）提供虚假的资料。</w:t>
      </w:r>
    </w:p>
    <w:p>
      <w:pPr>
        <w:spacing w:line="360" w:lineRule="auto"/>
        <w:ind w:firstLine="480" w:firstLineChars="200"/>
        <w:rPr>
          <w:rFonts w:ascii="仿宋" w:hAnsi="仿宋" w:eastAsia="仿宋" w:cs="仿宋"/>
          <w:sz w:val="24"/>
        </w:rPr>
      </w:pPr>
      <w:r>
        <w:rPr>
          <w:rFonts w:hint="eastAsia" w:ascii="仿宋" w:hAnsi="仿宋" w:eastAsia="仿宋" w:cs="仿宋"/>
          <w:sz w:val="24"/>
        </w:rPr>
        <w:t>（2）在实质性方面失实。</w:t>
      </w:r>
    </w:p>
    <w:p>
      <w:pPr>
        <w:spacing w:line="360" w:lineRule="auto"/>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w:t>
      </w:r>
      <w:r>
        <w:rPr>
          <w:rFonts w:ascii="仿宋" w:hAnsi="仿宋" w:eastAsia="仿宋" w:cs="仿宋"/>
          <w:b/>
          <w:sz w:val="24"/>
        </w:rPr>
        <w:t>政府采购政策</w:t>
      </w:r>
      <w:r>
        <w:rPr>
          <w:rFonts w:hint="eastAsia" w:ascii="仿宋" w:hAnsi="仿宋" w:eastAsia="仿宋" w:cs="仿宋"/>
          <w:b/>
          <w:sz w:val="24"/>
        </w:rPr>
        <w:t>政府采购政策</w:t>
      </w:r>
    </w:p>
    <w:p>
      <w:pPr>
        <w:spacing w:line="360" w:lineRule="auto"/>
        <w:ind w:firstLine="480" w:firstLineChars="200"/>
        <w:rPr>
          <w:rFonts w:ascii="仿宋" w:hAnsi="仿宋" w:eastAsia="仿宋" w:cs="仿宋"/>
          <w:sz w:val="24"/>
        </w:rPr>
      </w:pPr>
      <w:r>
        <w:rPr>
          <w:rFonts w:ascii="仿宋" w:hAnsi="仿宋" w:eastAsia="仿宋" w:cs="仿宋"/>
          <w:sz w:val="24"/>
        </w:rPr>
        <w:t>5.1小微企业（监狱企业、残疾人福利性单位视同小微企业）价格扣除</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根据《政府采购促进中小企业发展管理办法》的规定，对符合要求的小型和微型企业投标人的报价</w:t>
      </w:r>
      <w:r>
        <w:rPr>
          <w:rFonts w:hint="eastAsia" w:ascii="仿宋" w:hAnsi="仿宋" w:eastAsia="仿宋" w:cs="仿宋"/>
          <w:sz w:val="24"/>
          <w:highlight w:val="yellow"/>
        </w:rPr>
        <w:t>给予6%的价格扣除</w:t>
      </w:r>
      <w:r>
        <w:rPr>
          <w:rFonts w:hint="eastAsia" w:ascii="仿宋" w:hAnsi="仿宋" w:eastAsia="仿宋" w:cs="仿宋"/>
          <w:sz w:val="24"/>
        </w:rPr>
        <w:t>，用扣除后的价格参与评审。享受政策优惠的小型、微型投标人须提供《中小企业声明函》原件，未提供的视为放弃享受小微企业价格扣除优惠政策。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pPr>
        <w:spacing w:line="360" w:lineRule="auto"/>
        <w:ind w:firstLine="480" w:firstLineChars="200"/>
        <w:rPr>
          <w:rFonts w:ascii="仿宋" w:hAnsi="仿宋" w:eastAsia="仿宋" w:cs="仿宋"/>
          <w:sz w:val="24"/>
        </w:rPr>
      </w:pPr>
      <w:r>
        <w:rPr>
          <w:rFonts w:ascii="仿宋" w:hAnsi="仿宋" w:eastAsia="仿宋" w:cs="仿宋"/>
          <w:sz w:val="24"/>
        </w:rPr>
        <w:t>5.2</w:t>
      </w:r>
      <w:r>
        <w:rPr>
          <w:rFonts w:hint="eastAsia" w:ascii="仿宋" w:hAnsi="仿宋" w:eastAsia="仿宋" w:cs="仿宋"/>
          <w:sz w:val="24"/>
        </w:rPr>
        <w:t>参加政府采购活动的残疾人福利性单位应当提供《残疾人福利性单位声明函》原件，未提供的视为放弃享受小微企业价格扣除优惠政策。残疾人福利性单位属于小型、微型企业的，不重复享受政策。</w:t>
      </w:r>
    </w:p>
    <w:p>
      <w:pPr>
        <w:spacing w:line="360" w:lineRule="auto"/>
        <w:ind w:firstLine="480" w:firstLineChars="200"/>
        <w:rPr>
          <w:rFonts w:ascii="仿宋" w:hAnsi="仿宋" w:eastAsia="仿宋" w:cs="仿宋"/>
          <w:sz w:val="24"/>
        </w:rPr>
      </w:pPr>
      <w:r>
        <w:rPr>
          <w:rFonts w:ascii="仿宋" w:hAnsi="仿宋" w:eastAsia="仿宋" w:cs="仿宋"/>
          <w:sz w:val="24"/>
        </w:rPr>
        <w:t>5.3</w:t>
      </w:r>
      <w:r>
        <w:rPr>
          <w:rFonts w:hint="eastAsia" w:ascii="仿宋" w:hAnsi="仿宋" w:eastAsia="仿宋" w:cs="仿宋"/>
          <w:sz w:val="24"/>
        </w:rPr>
        <w:t>根据《关于促进残疾人就业政府采购政策的通知》的规定，在政府采购活动中，监狱企业视同小型、微型企业。（提供由省级以上监狱管理局、戒毒管理局（含新疆生产建设兵团）出具的属于监狱企业的证明文件）。</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5.4</w:t>
      </w:r>
      <w:r>
        <w:rPr>
          <w:rFonts w:hint="eastAsia" w:ascii="仿宋" w:hAnsi="仿宋" w:eastAsia="仿宋" w:cs="仿宋"/>
          <w:color w:val="000000"/>
          <w:sz w:val="24"/>
        </w:rPr>
        <w:t>严格执行《财政部 发展改革委 生态环境部 市场监管总局关于调整优化节能产品、环境标志产品政府采购执行机制的通知》（财库〔2019〕9号），本次采购产品类别属于政府强制采购产品类别的，须按照要求提供依据国家确定的认证机构出具的、处于有效期之内的节能产品或环境标志产品认证证书，否则报价无效；属于政府优先采购产品类别的，须按照要求提供依据国家确定的认证机构出具的、处于有效期之内的节能产品或环境标志产品认证证书，否则不予认定。</w:t>
      </w:r>
    </w:p>
    <w:p>
      <w:pPr>
        <w:snapToGrid w:val="0"/>
        <w:spacing w:line="360" w:lineRule="auto"/>
        <w:rPr>
          <w:rFonts w:ascii="Arial" w:hAnsi="Arial" w:eastAsia="仿宋"/>
          <w:color w:val="000000"/>
          <w:sz w:val="31"/>
        </w:rPr>
      </w:pPr>
      <w:r>
        <w:rPr>
          <w:rFonts w:hint="eastAsia" w:ascii="仿宋" w:hAnsi="仿宋" w:eastAsia="仿宋" w:cs="仿宋"/>
          <w:color w:val="FF0000"/>
          <w:sz w:val="24"/>
        </w:rPr>
        <w:t xml:space="preserve">    </w:t>
      </w:r>
      <w:r>
        <w:rPr>
          <w:rFonts w:hint="eastAsia" w:ascii="仿宋" w:hAnsi="仿宋" w:eastAsia="仿宋" w:cs="仿宋"/>
          <w:color w:val="000000"/>
          <w:sz w:val="24"/>
        </w:rPr>
        <w:t>所投产品属于政府优先采购产品类别的，其</w:t>
      </w:r>
      <w:r>
        <w:rPr>
          <w:rFonts w:hint="eastAsia" w:ascii="仿宋" w:hAnsi="仿宋" w:eastAsia="仿宋" w:cs="仿宋"/>
          <w:color w:val="000000"/>
          <w:sz w:val="24"/>
          <w:highlight w:val="yellow"/>
        </w:rPr>
        <w:t>产品报价给予</w:t>
      </w:r>
      <w:r>
        <w:rPr>
          <w:rFonts w:ascii="仿宋" w:hAnsi="仿宋" w:eastAsia="仿宋" w:cs="仿宋"/>
          <w:color w:val="000000"/>
          <w:sz w:val="24"/>
          <w:highlight w:val="yellow"/>
        </w:rPr>
        <w:t>1</w:t>
      </w:r>
      <w:r>
        <w:rPr>
          <w:rFonts w:hint="eastAsia" w:ascii="仿宋" w:hAnsi="仿宋" w:eastAsia="仿宋" w:cs="仿宋"/>
          <w:color w:val="000000"/>
          <w:sz w:val="24"/>
          <w:highlight w:val="yellow"/>
        </w:rPr>
        <w:t>%的价格扣除</w:t>
      </w:r>
      <w:r>
        <w:rPr>
          <w:rFonts w:hint="eastAsia" w:ascii="仿宋" w:hAnsi="仿宋" w:eastAsia="仿宋" w:cs="仿宋"/>
          <w:color w:val="000000"/>
          <w:sz w:val="24"/>
        </w:rPr>
        <w:t>，用扣除后的价格参与评审。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w:t>
      </w:r>
      <w:r>
        <w:rPr>
          <w:rFonts w:ascii="仿宋" w:hAnsi="仿宋" w:eastAsia="仿宋" w:cs="仿宋"/>
          <w:color w:val="000000"/>
          <w:sz w:val="24"/>
        </w:rPr>
        <w:t>5</w:t>
      </w:r>
      <w:r>
        <w:rPr>
          <w:rFonts w:hint="eastAsia" w:ascii="仿宋" w:hAnsi="仿宋" w:eastAsia="仿宋" w:cs="仿宋"/>
          <w:color w:val="000000"/>
          <w:sz w:val="24"/>
        </w:rPr>
        <w:t>信息安全产品，需提供由中国信息安全认证中心按国家标准认证颁发的有效认证证书，响应应符合《关于信息安全产品实施政府采购的通知》（财库【2010】48号）要求。</w:t>
      </w:r>
    </w:p>
    <w:p>
      <w:pPr>
        <w:spacing w:line="360" w:lineRule="auto"/>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、费用</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.1供应商应承担其编制响应文件与递交响应文件等谈判过程中所涉及的一切费用，不论谈判结果如何，采购人及采购代理机构将不予承担。</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.2供应商的报价须充分考虑采购过程中产生的费用，不论成交与否，采购人均不予以补偿。</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.3</w:t>
      </w:r>
      <w:r>
        <w:rPr>
          <w:rFonts w:hint="eastAsia" w:ascii="仿宋" w:hAnsi="仿宋" w:eastAsia="仿宋"/>
          <w:sz w:val="24"/>
        </w:rPr>
        <w:t>根据国家发展计划委员会计价格〔2002〕1980号及琼价费管〔2011〕225 号通知规定，</w:t>
      </w:r>
      <w:r>
        <w:rPr>
          <w:rFonts w:hint="eastAsia" w:ascii="仿宋" w:hAnsi="仿宋" w:eastAsia="仿宋" w:cs="仿宋"/>
          <w:sz w:val="24"/>
        </w:rPr>
        <w:t>本项目向</w:t>
      </w:r>
      <w:r>
        <w:rPr>
          <w:rFonts w:hint="eastAsia" w:ascii="仿宋" w:hAnsi="仿宋" w:eastAsia="仿宋" w:cs="仿宋"/>
          <w:sz w:val="24"/>
          <w:highlight w:val="yellow"/>
        </w:rPr>
        <w:t>成交供应商收取采购代理服务费</w:t>
      </w:r>
      <w:r>
        <w:rPr>
          <w:rFonts w:hint="eastAsia" w:ascii="仿宋" w:hAnsi="仿宋" w:eastAsia="仿宋" w:cs="仿宋"/>
          <w:sz w:val="24"/>
        </w:rPr>
        <w:t>。支付时间：在</w:t>
      </w:r>
      <w:r>
        <w:rPr>
          <w:rFonts w:hint="eastAsia" w:ascii="仿宋" w:hAnsi="仿宋" w:eastAsia="仿宋" w:cs="仿宋"/>
          <w:sz w:val="24"/>
          <w:highlight w:val="yellow"/>
        </w:rPr>
        <w:t>签发成交通知书前</w:t>
      </w:r>
      <w:r>
        <w:rPr>
          <w:rFonts w:hint="eastAsia" w:ascii="仿宋" w:hAnsi="仿宋" w:eastAsia="仿宋" w:cs="仿宋"/>
          <w:sz w:val="24"/>
        </w:rPr>
        <w:t>。</w:t>
      </w:r>
    </w:p>
    <w:p>
      <w:pPr>
        <w:spacing w:line="460" w:lineRule="exact"/>
        <w:jc w:val="center"/>
        <w:outlineLvl w:val="1"/>
        <w:rPr>
          <w:rFonts w:ascii="黑体" w:hAnsi="黑体" w:eastAsia="黑体" w:cs="黑体"/>
          <w:b/>
          <w:kern w:val="0"/>
          <w:sz w:val="24"/>
        </w:rPr>
      </w:pPr>
      <w:bookmarkStart w:id="25" w:name="_Toc246826107"/>
      <w:r>
        <w:rPr>
          <w:rFonts w:hint="eastAsia" w:ascii="黑体" w:hAnsi="黑体" w:eastAsia="黑体" w:cs="黑体"/>
          <w:b/>
          <w:kern w:val="0"/>
          <w:sz w:val="24"/>
        </w:rPr>
        <w:t>二、</w:t>
      </w:r>
      <w:bookmarkEnd w:id="25"/>
      <w:r>
        <w:rPr>
          <w:rFonts w:hint="eastAsia" w:ascii="黑体" w:hAnsi="黑体" w:eastAsia="黑体" w:cs="黑体"/>
          <w:b/>
          <w:kern w:val="0"/>
          <w:sz w:val="24"/>
        </w:rPr>
        <w:t>竞争性谈判文件</w:t>
      </w:r>
    </w:p>
    <w:p>
      <w:pPr>
        <w:spacing w:line="360" w:lineRule="auto"/>
        <w:rPr>
          <w:rFonts w:ascii="仿宋" w:hAnsi="仿宋" w:eastAsia="仿宋" w:cs="仿宋"/>
          <w:b/>
          <w:bCs/>
          <w:sz w:val="24"/>
        </w:rPr>
      </w:pPr>
      <w:r>
        <w:rPr>
          <w:rFonts w:ascii="仿宋" w:hAnsi="仿宋" w:eastAsia="仿宋" w:cs="仿宋"/>
          <w:b/>
          <w:bCs/>
          <w:sz w:val="24"/>
        </w:rPr>
        <w:t>1</w:t>
      </w:r>
      <w:r>
        <w:rPr>
          <w:rFonts w:hint="eastAsia" w:ascii="仿宋" w:hAnsi="仿宋" w:eastAsia="仿宋" w:cs="仿宋"/>
          <w:b/>
          <w:bCs/>
          <w:sz w:val="24"/>
        </w:rPr>
        <w:t>、竞争性谈判文件的组成</w:t>
      </w:r>
    </w:p>
    <w:p>
      <w:pPr>
        <w:spacing w:line="360" w:lineRule="auto"/>
        <w:ind w:firstLine="480" w:firstLineChars="200"/>
        <w:rPr>
          <w:rFonts w:ascii="仿宋" w:hAnsi="仿宋" w:eastAsia="仿宋" w:cs="仿宋"/>
          <w:sz w:val="24"/>
        </w:rPr>
      </w:pPr>
      <w:r>
        <w:rPr>
          <w:rFonts w:hint="eastAsia" w:ascii="仿宋" w:hAnsi="仿宋" w:eastAsia="仿宋" w:cs="仿宋"/>
          <w:sz w:val="24"/>
        </w:rPr>
        <w:t>竞争性谈判文件用以阐明供应商准备响应文件所必须的信息，以及响应、谈判、评审和签订合同等有关规定。请仔细检查谈判文件是否齐全，如有缺漏，请立即与采购代理机构联系解决。竞争性谈判文件由下述部分组成：</w:t>
      </w:r>
    </w:p>
    <w:p>
      <w:pPr>
        <w:spacing w:line="360" w:lineRule="auto"/>
        <w:ind w:firstLine="480" w:firstLineChars="200"/>
        <w:rPr>
          <w:rFonts w:ascii="仿宋" w:hAnsi="仿宋" w:eastAsia="仿宋" w:cs="仿宋"/>
          <w:sz w:val="24"/>
        </w:rPr>
      </w:pPr>
      <w:r>
        <w:rPr>
          <w:rFonts w:hint="eastAsia" w:ascii="仿宋" w:hAnsi="仿宋" w:eastAsia="仿宋" w:cs="仿宋"/>
          <w:sz w:val="24"/>
        </w:rPr>
        <w:t>（1）竞争性谈判公告</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（2）供应商须知</w:t>
      </w:r>
    </w:p>
    <w:p>
      <w:pPr>
        <w:spacing w:line="360" w:lineRule="auto"/>
        <w:ind w:firstLine="480" w:firstLineChars="200"/>
        <w:rPr>
          <w:rFonts w:ascii="仿宋" w:hAnsi="仿宋" w:eastAsia="仿宋" w:cs="仿宋"/>
          <w:sz w:val="24"/>
        </w:rPr>
      </w:pPr>
      <w:r>
        <w:rPr>
          <w:rFonts w:hint="eastAsia" w:ascii="仿宋" w:hAnsi="仿宋" w:eastAsia="仿宋" w:cs="仿宋"/>
          <w:sz w:val="24"/>
        </w:rPr>
        <w:t>（3）采购需求</w:t>
      </w:r>
    </w:p>
    <w:p>
      <w:pPr>
        <w:spacing w:line="360" w:lineRule="auto"/>
        <w:ind w:firstLine="480" w:firstLineChars="200"/>
        <w:rPr>
          <w:rFonts w:ascii="仿宋" w:hAnsi="仿宋" w:eastAsia="仿宋" w:cs="仿宋"/>
          <w:sz w:val="24"/>
        </w:rPr>
      </w:pPr>
      <w:r>
        <w:rPr>
          <w:rFonts w:hint="eastAsia" w:ascii="仿宋" w:hAnsi="仿宋" w:eastAsia="仿宋" w:cs="仿宋"/>
          <w:sz w:val="24"/>
        </w:rPr>
        <w:t>（4）审查标准和评审标准</w:t>
      </w:r>
    </w:p>
    <w:p>
      <w:pPr>
        <w:spacing w:line="360" w:lineRule="auto"/>
        <w:ind w:firstLine="480" w:firstLineChars="200"/>
        <w:rPr>
          <w:rFonts w:ascii="仿宋" w:hAnsi="仿宋" w:eastAsia="仿宋" w:cs="仿宋"/>
          <w:sz w:val="24"/>
        </w:rPr>
      </w:pPr>
      <w:r>
        <w:rPr>
          <w:rFonts w:hint="eastAsia" w:ascii="仿宋" w:hAnsi="仿宋" w:eastAsia="仿宋" w:cs="仿宋"/>
          <w:sz w:val="24"/>
        </w:rPr>
        <w:t>（5）拟签订的合同文本（参考文本）</w:t>
      </w:r>
    </w:p>
    <w:p>
      <w:pPr>
        <w:spacing w:line="360" w:lineRule="auto"/>
        <w:ind w:firstLine="480" w:firstLineChars="200"/>
        <w:rPr>
          <w:rFonts w:ascii="仿宋" w:hAnsi="仿宋" w:eastAsia="仿宋" w:cs="仿宋"/>
          <w:sz w:val="24"/>
        </w:rPr>
      </w:pPr>
      <w:r>
        <w:rPr>
          <w:rFonts w:hint="eastAsia" w:ascii="仿宋" w:hAnsi="仿宋" w:eastAsia="仿宋" w:cs="仿宋"/>
          <w:sz w:val="24"/>
        </w:rPr>
        <w:t>（6）响应文件格式及附件</w:t>
      </w:r>
    </w:p>
    <w:p>
      <w:pPr>
        <w:spacing w:line="360" w:lineRule="auto"/>
        <w:rPr>
          <w:rFonts w:ascii="仿宋" w:hAnsi="仿宋" w:eastAsia="仿宋" w:cs="仿宋"/>
          <w:b/>
          <w:bCs/>
          <w:sz w:val="24"/>
        </w:rPr>
      </w:pPr>
      <w:bookmarkStart w:id="26" w:name="_Toc183582211"/>
      <w:bookmarkStart w:id="27" w:name="_Toc183682348"/>
      <w:bookmarkStart w:id="28" w:name="_Toc217446040"/>
      <w:r>
        <w:rPr>
          <w:rFonts w:ascii="仿宋" w:hAnsi="仿宋" w:eastAsia="仿宋" w:cs="仿宋"/>
          <w:b/>
          <w:bCs/>
          <w:sz w:val="24"/>
        </w:rPr>
        <w:t>2</w:t>
      </w:r>
      <w:r>
        <w:rPr>
          <w:rFonts w:hint="eastAsia" w:ascii="仿宋" w:hAnsi="仿宋" w:eastAsia="仿宋" w:cs="仿宋"/>
          <w:b/>
          <w:bCs/>
          <w:sz w:val="24"/>
        </w:rPr>
        <w:t>、竞争性谈判文件的澄清</w:t>
      </w:r>
      <w:bookmarkEnd w:id="26"/>
      <w:bookmarkEnd w:id="27"/>
      <w:r>
        <w:rPr>
          <w:rFonts w:hint="eastAsia" w:ascii="仿宋" w:hAnsi="仿宋" w:eastAsia="仿宋" w:cs="仿宋"/>
          <w:b/>
          <w:bCs/>
          <w:sz w:val="24"/>
        </w:rPr>
        <w:t>和修改</w:t>
      </w:r>
      <w:bookmarkEnd w:id="28"/>
    </w:p>
    <w:p>
      <w:pPr>
        <w:spacing w:line="360" w:lineRule="auto"/>
        <w:ind w:firstLine="480" w:firstLineChars="200"/>
        <w:rPr>
          <w:rFonts w:ascii="仿宋" w:hAnsi="仿宋" w:eastAsia="仿宋" w:cs="仿宋"/>
          <w:sz w:val="24"/>
        </w:rPr>
      </w:pPr>
      <w:bookmarkStart w:id="29" w:name="OLE_LINK5"/>
      <w:bookmarkStart w:id="30" w:name="OLE_LINK4"/>
      <w:bookmarkStart w:id="31" w:name="_Toc217446041"/>
      <w:bookmarkStart w:id="32" w:name="_Toc208848971"/>
      <w:r>
        <w:rPr>
          <w:rFonts w:hint="eastAsia" w:ascii="仿宋" w:hAnsi="仿宋" w:eastAsia="仿宋" w:cs="仿宋"/>
          <w:sz w:val="24"/>
        </w:rPr>
        <w:t>2.1在提交首次响应文件截止之日前，采购人、采购代理机构可以对竞争性谈判文件进行必要的补遗、澄清或修改；补遗、澄清或修改内容可能影响响应文件编制的，采购代理机构须在首次递交响应文件截止时间至少三个工作日前，在原公告发布媒体上发布澄清公告；</w:t>
      </w:r>
    </w:p>
    <w:p>
      <w:pPr>
        <w:spacing w:line="360" w:lineRule="auto"/>
        <w:ind w:firstLine="480" w:firstLineChars="200"/>
        <w:rPr>
          <w:rFonts w:ascii="仿宋" w:hAnsi="仿宋" w:eastAsia="仿宋" w:cs="仿宋"/>
          <w:sz w:val="24"/>
        </w:rPr>
      </w:pPr>
      <w:r>
        <w:rPr>
          <w:rFonts w:hint="eastAsia" w:ascii="仿宋" w:hAnsi="仿宋" w:eastAsia="仿宋" w:cs="仿宋"/>
          <w:sz w:val="24"/>
        </w:rPr>
        <w:t>2.2谈判文件与更正公告的内容相互矛盾时，以最后发出的更正公告为准。</w:t>
      </w:r>
      <w:bookmarkEnd w:id="29"/>
      <w:bookmarkEnd w:id="30"/>
    </w:p>
    <w:bookmarkEnd w:id="31"/>
    <w:bookmarkEnd w:id="32"/>
    <w:p>
      <w:pPr>
        <w:spacing w:line="460" w:lineRule="exact"/>
        <w:jc w:val="center"/>
        <w:outlineLvl w:val="1"/>
        <w:rPr>
          <w:rFonts w:ascii="黑体" w:hAnsi="黑体" w:eastAsia="黑体" w:cs="黑体"/>
          <w:b/>
          <w:kern w:val="0"/>
          <w:sz w:val="24"/>
        </w:rPr>
      </w:pPr>
      <w:r>
        <w:rPr>
          <w:rFonts w:hint="eastAsia" w:ascii="黑体" w:hAnsi="黑体" w:eastAsia="黑体" w:cs="黑体"/>
          <w:b/>
          <w:kern w:val="0"/>
          <w:sz w:val="24"/>
        </w:rPr>
        <w:t>三、响应文件</w:t>
      </w:r>
    </w:p>
    <w:p>
      <w:pPr>
        <w:pStyle w:val="63"/>
        <w:spacing w:line="360" w:lineRule="auto"/>
        <w:ind w:firstLine="0" w:firstLineChars="0"/>
        <w:rPr>
          <w:rFonts w:ascii="仿宋" w:hAnsi="仿宋" w:eastAsia="仿宋" w:cs="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、响应文件的语言和计量单位</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.2计量单位：除技术规格及要求中另有规定外，本采购项下的响应均采用国家法定的计量单位。</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.3货币单位：本次采购项目的响应均以人民币报价。</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4 本谈判文件所表述的时间均为北京时间。</w:t>
      </w:r>
    </w:p>
    <w:p>
      <w:pPr>
        <w:pStyle w:val="63"/>
        <w:spacing w:line="360" w:lineRule="auto"/>
        <w:ind w:firstLine="0" w:firstLineChars="0"/>
        <w:rPr>
          <w:rFonts w:ascii="仿宋" w:hAnsi="仿宋" w:eastAsia="仿宋" w:cs="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、响应文件编制</w:t>
      </w:r>
    </w:p>
    <w:p>
      <w:pPr>
        <w:spacing w:line="360" w:lineRule="auto"/>
        <w:ind w:firstLine="480" w:firstLineChars="200"/>
        <w:rPr>
          <w:rFonts w:ascii="仿宋" w:hAnsi="仿宋" w:eastAsia="仿宋" w:cs="仿宋"/>
          <w:sz w:val="24"/>
        </w:rPr>
      </w:pPr>
      <w:r>
        <w:rPr>
          <w:rFonts w:ascii="仿宋" w:hAnsi="仿宋" w:eastAsia="仿宋" w:cs="仿宋"/>
          <w:sz w:val="24"/>
        </w:rPr>
        <w:t>2.1</w:t>
      </w:r>
      <w:r>
        <w:rPr>
          <w:rFonts w:hint="eastAsia" w:ascii="仿宋" w:hAnsi="仿宋" w:eastAsia="仿宋" w:cs="仿宋"/>
          <w:sz w:val="24"/>
        </w:rPr>
        <w:t>响应文件的组成见第六章“响应文件格式”，供应商应按谈判文件第六章“响应文件格式”要求编制，胶装牢固不可拆卸。由于编排混乱导致响应文件被误读或查找不到，责任应当由供应商承担。</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2供应商必须保证响应文件所提供的全部资料真实可靠，并接受采购代理机构对其中任何资料进一步审查的要求。如果响应文件填报的内容不详，或没有提供谈判文件中所要求的全部资料及数据，使谈判小组无法正常评审的，由此产生的结果由供应商承担。</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响应文件所使用的印章必须为企业公章，且与供应商名称完全一致，不能以其它业务章或附属机构印章代替。需签名之处必须由当事人亲笔签署或盖私章。</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2.4</w:t>
      </w:r>
      <w:r>
        <w:rPr>
          <w:rFonts w:hint="eastAsia" w:ascii="仿宋" w:hAnsi="仿宋" w:eastAsia="仿宋" w:cs="仿宋"/>
          <w:sz w:val="24"/>
          <w:szCs w:val="24"/>
        </w:rPr>
        <w:t>响应文件如有改动，必须在改动之处加盖单位公章或响应代表签字摁手印；</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2.5</w:t>
      </w:r>
      <w:r>
        <w:rPr>
          <w:rFonts w:hint="eastAsia" w:ascii="仿宋" w:hAnsi="仿宋" w:eastAsia="仿宋" w:cs="仿宋"/>
          <w:sz w:val="24"/>
          <w:szCs w:val="24"/>
        </w:rPr>
        <w:t>响应文件数量为纸质正本一本、副本二本，电子版一份（U盘或光盘），纸质文件打印胶装，副本可以用正本的完整复印件，并在封面标明“正本”、“副本”字样。正本与副本如有不一致，则以正本为准。</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2.6</w:t>
      </w:r>
      <w:r>
        <w:rPr>
          <w:rFonts w:hint="eastAsia" w:ascii="仿宋" w:hAnsi="仿宋" w:eastAsia="仿宋" w:cs="仿宋"/>
          <w:sz w:val="24"/>
          <w:szCs w:val="24"/>
        </w:rPr>
        <w:t>因响应文件字迹潦草或表达不清所引起的不利后果由供应商自行承担。</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2.7</w:t>
      </w:r>
      <w:r>
        <w:rPr>
          <w:rFonts w:hint="eastAsia" w:ascii="仿宋" w:hAnsi="仿宋" w:eastAsia="仿宋" w:cs="仿宋"/>
          <w:sz w:val="24"/>
          <w:szCs w:val="24"/>
        </w:rPr>
        <w:t>供应商应按照竞争性谈判文件第六章中提供的“响应文件格式”编制响应文件，如自有格式并按其格式编制的响应文件，其内容必须包含“响应文件格式”中所有的实质性内容并受其约束。</w:t>
      </w:r>
    </w:p>
    <w:p>
      <w:pPr>
        <w:snapToGrid w:val="0"/>
        <w:spacing w:line="360" w:lineRule="auto"/>
        <w:rPr>
          <w:rFonts w:ascii="仿宋" w:hAnsi="仿宋" w:eastAsia="仿宋"/>
          <w:b/>
          <w:sz w:val="24"/>
        </w:rPr>
      </w:pPr>
      <w:r>
        <w:rPr>
          <w:rFonts w:ascii="仿宋" w:hAnsi="仿宋" w:eastAsia="仿宋"/>
          <w:b/>
          <w:sz w:val="24"/>
        </w:rPr>
        <w:t>3</w:t>
      </w:r>
      <w:r>
        <w:rPr>
          <w:rFonts w:hint="eastAsia" w:ascii="仿宋" w:hAnsi="仿宋" w:eastAsia="仿宋"/>
          <w:b/>
          <w:sz w:val="24"/>
        </w:rPr>
        <w:t>、谈判保证金</w:t>
      </w:r>
    </w:p>
    <w:p>
      <w:pPr>
        <w:pStyle w:val="63"/>
        <w:snapToGrid w:val="0"/>
        <w:spacing w:line="360" w:lineRule="auto"/>
        <w:ind w:firstLine="480"/>
        <w:rPr>
          <w:rFonts w:ascii="仿宋" w:hAnsi="仿宋" w:eastAsia="仿宋" w:cs="仿宋"/>
          <w:sz w:val="24"/>
          <w:szCs w:val="24"/>
        </w:rPr>
      </w:pPr>
      <w:r>
        <w:rPr>
          <w:rFonts w:ascii="仿宋" w:hAnsi="仿宋" w:eastAsia="仿宋" w:cs="仿宋"/>
          <w:sz w:val="24"/>
          <w:szCs w:val="24"/>
        </w:rPr>
        <w:t>3.1</w:t>
      </w:r>
      <w:r>
        <w:rPr>
          <w:rFonts w:hint="eastAsia" w:ascii="仿宋" w:hAnsi="仿宋" w:eastAsia="仿宋" w:cs="仿宋"/>
          <w:sz w:val="24"/>
          <w:szCs w:val="24"/>
        </w:rPr>
        <w:t>谈判保证金：人民币：</w:t>
      </w:r>
      <w:r>
        <w:rPr>
          <w:rFonts w:hint="eastAsia" w:ascii="仿宋" w:hAnsi="仿宋" w:eastAsia="仿宋" w:cs="仿宋"/>
          <w:sz w:val="24"/>
          <w:szCs w:val="24"/>
          <w:highlight w:val="yellow"/>
          <w:lang w:val="en-US" w:eastAsia="zh-CN"/>
        </w:rPr>
        <w:t>叁仟</w:t>
      </w:r>
      <w:r>
        <w:rPr>
          <w:rFonts w:hint="eastAsia" w:ascii="仿宋" w:hAnsi="仿宋" w:eastAsia="仿宋" w:cs="仿宋"/>
          <w:sz w:val="24"/>
          <w:szCs w:val="24"/>
          <w:highlight w:val="yellow"/>
        </w:rPr>
        <w:t>元整（¥</w:t>
      </w:r>
      <w:r>
        <w:rPr>
          <w:rFonts w:hint="eastAsia" w:ascii="仿宋" w:hAnsi="仿宋" w:eastAsia="仿宋" w:cs="仿宋"/>
          <w:sz w:val="24"/>
          <w:szCs w:val="24"/>
          <w:highlight w:val="yellow"/>
          <w:lang w:val="en-US" w:eastAsia="zh-CN"/>
        </w:rPr>
        <w:t>3000</w:t>
      </w:r>
      <w:r>
        <w:rPr>
          <w:rFonts w:hint="eastAsia" w:ascii="仿宋" w:hAnsi="仿宋" w:eastAsia="仿宋" w:cs="仿宋"/>
          <w:sz w:val="24"/>
          <w:szCs w:val="24"/>
          <w:highlight w:val="yellow"/>
        </w:rPr>
        <w:t>.00元）</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3.2</w:t>
      </w:r>
      <w:r>
        <w:rPr>
          <w:rFonts w:hint="eastAsia" w:ascii="仿宋" w:hAnsi="仿宋" w:eastAsia="仿宋" w:cs="仿宋"/>
          <w:sz w:val="24"/>
          <w:szCs w:val="24"/>
        </w:rPr>
        <w:t>交纳谈判保证金截止时间：同响应文件递交截止时间</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3.3</w:t>
      </w:r>
      <w:r>
        <w:rPr>
          <w:rFonts w:hint="eastAsia" w:ascii="仿宋" w:hAnsi="仿宋" w:eastAsia="仿宋" w:cs="仿宋"/>
          <w:sz w:val="24"/>
          <w:szCs w:val="24"/>
        </w:rPr>
        <w:t>保证金账户：</w:t>
      </w:r>
    </w:p>
    <w:p>
      <w:pPr>
        <w:pStyle w:val="63"/>
        <w:spacing w:line="360" w:lineRule="auto"/>
        <w:ind w:firstLine="960" w:firstLineChars="400"/>
        <w:rPr>
          <w:rFonts w:hint="eastAsia" w:ascii="仿宋" w:hAnsi="仿宋" w:eastAsia="仿宋" w:cs="仿宋"/>
          <w:sz w:val="24"/>
          <w:szCs w:val="24"/>
          <w:lang w:eastAsia="zh-CN"/>
        </w:rPr>
      </w:pPr>
      <w:r>
        <w:rPr>
          <w:rFonts w:hint="eastAsia" w:ascii="仿宋" w:hAnsi="仿宋" w:eastAsia="仿宋" w:cs="仿宋"/>
          <w:sz w:val="24"/>
          <w:szCs w:val="24"/>
        </w:rPr>
        <w:t>账户名称：</w:t>
      </w:r>
      <w:r>
        <w:rPr>
          <w:rFonts w:hint="eastAsia" w:ascii="仿宋" w:hAnsi="仿宋" w:eastAsia="仿宋" w:cs="仿宋"/>
          <w:sz w:val="24"/>
          <w:szCs w:val="24"/>
          <w:highlight w:val="yellow"/>
          <w:lang w:eastAsia="zh-CN"/>
        </w:rPr>
        <w:t>海南秀泰项目管理有限公司</w:t>
      </w:r>
    </w:p>
    <w:p>
      <w:pPr>
        <w:pStyle w:val="63"/>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highlight w:val="yellow"/>
        </w:rPr>
        <w:t>8989 0122 5210 902</w:t>
      </w:r>
    </w:p>
    <w:p>
      <w:pPr>
        <w:pStyle w:val="63"/>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开户行：</w:t>
      </w:r>
      <w:r>
        <w:rPr>
          <w:rFonts w:hint="eastAsia" w:ascii="仿宋" w:hAnsi="仿宋" w:eastAsia="仿宋" w:cs="仿宋"/>
          <w:sz w:val="24"/>
          <w:szCs w:val="24"/>
          <w:highlight w:val="yellow"/>
        </w:rPr>
        <w:t>招商银行股份有限公司海口分行</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3.4</w:t>
      </w:r>
      <w:r>
        <w:rPr>
          <w:rFonts w:hint="eastAsia" w:ascii="仿宋" w:hAnsi="仿宋" w:eastAsia="仿宋" w:cs="仿宋"/>
          <w:sz w:val="24"/>
          <w:szCs w:val="24"/>
        </w:rPr>
        <w:t>交纳方式：转帐或银行保函形式，转账形式交纳时间以保证金到账时间为准，银行保函形式在递交响应文件的同时递交银行保函原件。</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3.5</w:t>
      </w:r>
      <w:r>
        <w:rPr>
          <w:rFonts w:hint="eastAsia" w:ascii="仿宋" w:hAnsi="仿宋" w:eastAsia="仿宋" w:cs="仿宋"/>
          <w:sz w:val="24"/>
          <w:szCs w:val="24"/>
        </w:rPr>
        <w:t>提交保证金的付款人名称、供应商的公司名称须一致，否则视为无效响应。</w:t>
      </w:r>
    </w:p>
    <w:p>
      <w:pPr>
        <w:spacing w:line="360" w:lineRule="auto"/>
        <w:ind w:firstLine="480" w:firstLineChars="200"/>
        <w:rPr>
          <w:rFonts w:ascii="仿宋" w:hAnsi="仿宋" w:eastAsia="仿宋" w:cs="仿宋"/>
          <w:sz w:val="24"/>
        </w:rPr>
      </w:pPr>
      <w:r>
        <w:rPr>
          <w:rFonts w:ascii="仿宋" w:hAnsi="仿宋" w:eastAsia="仿宋" w:cs="仿宋"/>
          <w:sz w:val="24"/>
        </w:rPr>
        <w:t>3.6</w:t>
      </w:r>
      <w:r>
        <w:rPr>
          <w:rFonts w:hint="eastAsia" w:ascii="仿宋" w:hAnsi="仿宋" w:eastAsia="仿宋" w:cs="仿宋"/>
          <w:sz w:val="24"/>
        </w:rPr>
        <w:t>发生违反相关法律法规的规定行为，谈判保证金可以不予退还，给采购代理机构造成损失的，还要承担赔偿责任。</w:t>
      </w:r>
    </w:p>
    <w:p>
      <w:pPr>
        <w:pStyle w:val="63"/>
        <w:spacing w:line="360" w:lineRule="auto"/>
        <w:ind w:firstLine="0" w:firstLineChars="0"/>
        <w:rPr>
          <w:rFonts w:ascii="仿宋" w:hAnsi="仿宋" w:eastAsia="仿宋" w:cs="仿宋"/>
          <w:b/>
          <w:bCs/>
          <w:sz w:val="24"/>
          <w:szCs w:val="24"/>
        </w:rPr>
      </w:pPr>
      <w:r>
        <w:rPr>
          <w:rFonts w:ascii="仿宋" w:hAnsi="仿宋" w:eastAsia="仿宋" w:cs="仿宋"/>
          <w:b/>
          <w:bCs/>
          <w:sz w:val="24"/>
          <w:szCs w:val="24"/>
        </w:rPr>
        <w:t>4</w:t>
      </w:r>
      <w:r>
        <w:rPr>
          <w:rFonts w:hint="eastAsia" w:ascii="仿宋" w:hAnsi="仿宋" w:eastAsia="仿宋" w:cs="仿宋"/>
          <w:b/>
          <w:bCs/>
          <w:sz w:val="24"/>
          <w:szCs w:val="24"/>
        </w:rPr>
        <w:t>、响应报价</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供应商的报价应包括本项目全部货物、服务的价格及相关税费、运输到指定地点的装运费用、安装调试、等其他有关的所有费用，由于分项报价填报不完整、不清楚或存在其他任何失误，所导致的任何不利后果均应当由供应商自行承担。</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供应商应按第六章分项报价明细表的内容填写内容、总价及其他事项。</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除报价优惠外，任何超出谈判文件要求而额外赠送的货物、免费培训等其他形式的优惠，在评审时将不具有竞争优势。</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供应商不能恶意报低价，谈判小组认为供应商的报价明显低于其他通过符合性审查供应商的报价，有可能影响项目质量或者不能诚信履约的，应当要求其在评审现场合理的时间内提供书面说明，必要时提交相关证明材料；供应商不能证明其报价合理性的，谈判小组应当将其作为无效响应处理；采购人有权要求成交供应商提供合同金额的10%作为履约保证金，同时预付款比例调整为0%。如成交供应商在实施过程中不按服务期限完成项目，则采购人有权终止合同，没收履约保证金，并报主管部门严肃处理。</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4.5</w:t>
      </w:r>
      <w:r>
        <w:rPr>
          <w:rFonts w:hint="eastAsia" w:ascii="仿宋" w:hAnsi="仿宋" w:eastAsia="仿宋" w:cs="仿宋"/>
          <w:sz w:val="24"/>
          <w:szCs w:val="24"/>
        </w:rPr>
        <w:t>响应文件报价出现前后不一致的，按照下列规定修正：</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（1）响应文件中报价一览表内容与响应文件中相应内容不一致的，以报价一览表为准； </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（2）大写金额和小写金额不一致的，以大写金额为准；</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（3）单价金额小数点或者百分比有明显错位的，以报价一览表的总价为准，并修改单价；</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同时出现两种以上不一致的，按照前款规定的顺序修正。修正后的报价经供应商确认后产生约束力，供应商不确认的，其响应无效。</w:t>
      </w:r>
    </w:p>
    <w:p>
      <w:pPr>
        <w:pStyle w:val="63"/>
        <w:spacing w:line="360" w:lineRule="auto"/>
        <w:ind w:firstLine="0" w:firstLineChars="0"/>
        <w:rPr>
          <w:rFonts w:ascii="仿宋" w:hAnsi="仿宋" w:eastAsia="仿宋" w:cs="仿宋"/>
          <w:b/>
          <w:bCs/>
          <w:sz w:val="24"/>
          <w:szCs w:val="24"/>
        </w:rPr>
      </w:pPr>
      <w:r>
        <w:rPr>
          <w:rFonts w:ascii="仿宋" w:hAnsi="仿宋" w:eastAsia="仿宋" w:cs="仿宋"/>
          <w:b/>
          <w:bCs/>
          <w:sz w:val="24"/>
          <w:szCs w:val="24"/>
        </w:rPr>
        <w:t>5</w:t>
      </w:r>
      <w:r>
        <w:rPr>
          <w:rFonts w:hint="eastAsia" w:ascii="仿宋" w:hAnsi="仿宋" w:eastAsia="仿宋" w:cs="仿宋"/>
          <w:b/>
          <w:bCs/>
          <w:sz w:val="24"/>
          <w:szCs w:val="24"/>
        </w:rPr>
        <w:t>、响应文件的有效期</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.1本项目响应文件的有效期为</w:t>
      </w:r>
      <w:r>
        <w:rPr>
          <w:rFonts w:hint="eastAsia" w:ascii="仿宋" w:hAnsi="仿宋" w:eastAsia="仿宋" w:cs="仿宋"/>
          <w:sz w:val="24"/>
          <w:szCs w:val="24"/>
          <w:highlight w:val="yellow"/>
        </w:rPr>
        <w:t>6</w:t>
      </w:r>
      <w:r>
        <w:rPr>
          <w:rFonts w:ascii="仿宋" w:hAnsi="仿宋" w:eastAsia="仿宋" w:cs="仿宋"/>
          <w:sz w:val="24"/>
          <w:szCs w:val="24"/>
          <w:highlight w:val="yellow"/>
        </w:rPr>
        <w:t>0</w:t>
      </w:r>
      <w:r>
        <w:rPr>
          <w:rFonts w:hint="eastAsia" w:ascii="仿宋" w:hAnsi="仿宋" w:eastAsia="仿宋" w:cs="仿宋"/>
          <w:sz w:val="24"/>
          <w:szCs w:val="24"/>
          <w:highlight w:val="yellow"/>
        </w:rPr>
        <w:t>日历天</w:t>
      </w:r>
      <w:r>
        <w:rPr>
          <w:rFonts w:hint="eastAsia" w:ascii="仿宋" w:hAnsi="仿宋" w:eastAsia="仿宋" w:cs="仿宋"/>
          <w:sz w:val="24"/>
          <w:szCs w:val="24"/>
        </w:rPr>
        <w:t>。有效期不足将导致其响应无效。响应截止时间后，供应商在响应有效期内不得撤销响应文件。</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 xml:space="preserve">.2特殊情况下采购代理机构可于响应有效期满之前书面要求供应商同意延长有效期，供应商应在采购代理机构规定的期限内以书面形式予以答复，供应商答复不明确或者逾期未答复的，均视为拒绝上述要求，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spacing w:line="360" w:lineRule="auto"/>
        <w:rPr>
          <w:rFonts w:ascii="仿宋" w:hAnsi="仿宋" w:eastAsia="仿宋" w:cs="仿宋"/>
          <w:b/>
          <w:sz w:val="24"/>
        </w:rPr>
      </w:pPr>
      <w:r>
        <w:rPr>
          <w:rFonts w:ascii="仿宋" w:hAnsi="仿宋" w:eastAsia="仿宋" w:cs="仿宋"/>
          <w:b/>
          <w:sz w:val="24"/>
        </w:rPr>
        <w:t>6</w:t>
      </w:r>
      <w:r>
        <w:rPr>
          <w:rFonts w:hint="eastAsia" w:ascii="仿宋" w:hAnsi="仿宋" w:eastAsia="仿宋" w:cs="仿宋"/>
          <w:b/>
          <w:sz w:val="24"/>
        </w:rPr>
        <w:t>、响应文件的密封和递交</w:t>
      </w:r>
    </w:p>
    <w:p>
      <w:pPr>
        <w:spacing w:line="360" w:lineRule="auto"/>
        <w:ind w:firstLine="480" w:firstLineChars="200"/>
        <w:rPr>
          <w:rFonts w:ascii="仿宋" w:hAnsi="仿宋" w:eastAsia="仿宋" w:cs="仿宋"/>
          <w:b/>
          <w:bCs/>
          <w:sz w:val="24"/>
        </w:rPr>
      </w:pPr>
      <w:r>
        <w:rPr>
          <w:rFonts w:ascii="仿宋" w:hAnsi="仿宋" w:eastAsia="仿宋" w:cs="仿宋"/>
          <w:bCs/>
          <w:sz w:val="24"/>
        </w:rPr>
        <w:t>6</w:t>
      </w:r>
      <w:r>
        <w:rPr>
          <w:rFonts w:hint="eastAsia" w:ascii="仿宋" w:hAnsi="仿宋" w:eastAsia="仿宋" w:cs="仿宋"/>
          <w:bCs/>
          <w:sz w:val="24"/>
        </w:rPr>
        <w:t>.1响应文件的密封</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供应商须提供密封的响应文件正本、密封的全部副本、单独密封的电子版响应文件。响应文件须密封并在</w:t>
      </w:r>
      <w:r>
        <w:rPr>
          <w:rFonts w:hint="eastAsia" w:ascii="仿宋" w:hAnsi="仿宋" w:eastAsia="仿宋" w:cs="仿宋"/>
          <w:sz w:val="24"/>
          <w:highlight w:val="red"/>
        </w:rPr>
        <w:t>封套的封口处加盖供应商单位公章</w:t>
      </w:r>
      <w:r>
        <w:rPr>
          <w:rFonts w:hint="eastAsia" w:ascii="仿宋" w:hAnsi="仿宋" w:eastAsia="仿宋" w:cs="仿宋"/>
          <w:sz w:val="24"/>
        </w:rPr>
        <w:t>。封套上应清楚地标记“正本”、“副本”、“电子版响应文件”字样。</w:t>
      </w:r>
    </w:p>
    <w:p>
      <w:pPr>
        <w:spacing w:line="360" w:lineRule="auto"/>
        <w:ind w:firstLine="480" w:firstLineChars="200"/>
        <w:rPr>
          <w:rFonts w:ascii="仿宋" w:hAnsi="仿宋" w:eastAsia="仿宋" w:cs="仿宋"/>
          <w:bCs/>
          <w:sz w:val="24"/>
        </w:rPr>
      </w:pPr>
      <w:r>
        <w:rPr>
          <w:rFonts w:ascii="仿宋" w:hAnsi="仿宋" w:eastAsia="仿宋" w:cs="仿宋"/>
          <w:bCs/>
          <w:sz w:val="24"/>
        </w:rPr>
        <w:t>6</w:t>
      </w:r>
      <w:r>
        <w:rPr>
          <w:rFonts w:hint="eastAsia" w:ascii="仿宋" w:hAnsi="仿宋" w:eastAsia="仿宋" w:cs="仿宋"/>
          <w:bCs/>
          <w:sz w:val="24"/>
        </w:rPr>
        <w:t>.2密封专用袋（箱）上须按采购代理机构提供的格式注明：</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（l）项目编号及项目名称；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（2）分包号（如有）；</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（3）供应商的名称、地址、联系人、电话；</w:t>
      </w:r>
    </w:p>
    <w:p>
      <w:pPr>
        <w:spacing w:line="360" w:lineRule="auto"/>
        <w:ind w:firstLine="480" w:firstLineChars="200"/>
        <w:rPr>
          <w:rFonts w:ascii="仿宋" w:hAnsi="仿宋" w:eastAsia="仿宋" w:cs="仿宋"/>
          <w:bCs/>
        </w:rPr>
      </w:pPr>
      <w:r>
        <w:rPr>
          <w:rFonts w:hint="eastAsia" w:ascii="仿宋" w:hAnsi="仿宋" w:eastAsia="仿宋" w:cs="仿宋"/>
          <w:bCs/>
          <w:sz w:val="24"/>
        </w:rPr>
        <w:t>（4）于    年   月   日   时   分前（递交截止时间）不得开启。</w:t>
      </w:r>
    </w:p>
    <w:p>
      <w:pPr>
        <w:spacing w:line="360" w:lineRule="auto"/>
        <w:ind w:firstLine="480" w:firstLineChars="200"/>
        <w:rPr>
          <w:rFonts w:ascii="仿宋" w:hAnsi="仿宋" w:eastAsia="仿宋" w:cs="仿宋"/>
          <w:sz w:val="24"/>
        </w:rPr>
      </w:pPr>
      <w:r>
        <w:rPr>
          <w:rFonts w:ascii="仿宋" w:hAnsi="仿宋" w:eastAsia="仿宋" w:cs="仿宋"/>
          <w:sz w:val="24"/>
        </w:rPr>
        <w:t>6.3</w:t>
      </w:r>
      <w:r>
        <w:rPr>
          <w:rFonts w:hint="eastAsia" w:ascii="仿宋" w:hAnsi="仿宋" w:eastAsia="仿宋" w:cs="仿宋"/>
          <w:sz w:val="24"/>
        </w:rPr>
        <w:t>响应文件的递交方式：</w:t>
      </w:r>
    </w:p>
    <w:p>
      <w:pPr>
        <w:spacing w:line="360" w:lineRule="auto"/>
        <w:ind w:firstLine="480" w:firstLineChars="200"/>
        <w:rPr>
          <w:rFonts w:ascii="仿宋" w:hAnsi="仿宋" w:eastAsia="仿宋" w:cs="仿宋"/>
          <w:sz w:val="24"/>
        </w:rPr>
      </w:pPr>
      <w:r>
        <w:rPr>
          <w:rFonts w:hint="eastAsia" w:ascii="仿宋" w:hAnsi="仿宋" w:eastAsia="仿宋" w:cs="仿宋"/>
          <w:sz w:val="24"/>
        </w:rPr>
        <w:t>竞争性谈判文件规定的提交响应文件截止时间前送到指定的地址交予采购代理机构，不接受邮寄或传真的响应文件。如果未按上述规定进行密封和标记，或者在规定的提交响应文件截止时间后送达，采购人、采购代理机构不予接收其任何文件。</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6.4</w:t>
      </w:r>
      <w:r>
        <w:rPr>
          <w:rFonts w:hint="eastAsia" w:ascii="仿宋" w:hAnsi="仿宋" w:eastAsia="仿宋" w:cs="仿宋"/>
          <w:sz w:val="24"/>
          <w:szCs w:val="24"/>
        </w:rPr>
        <w:t>提交响应文件的供应商数量满足三家或以上的，在响应文件提交截止同一时间予以开始谈判会议，谈判会后，响应文件一律不予退还。</w:t>
      </w:r>
    </w:p>
    <w:p>
      <w:pPr>
        <w:pStyle w:val="63"/>
        <w:spacing w:line="360" w:lineRule="auto"/>
        <w:ind w:firstLine="0" w:firstLineChars="0"/>
        <w:rPr>
          <w:rFonts w:ascii="仿宋" w:hAnsi="仿宋" w:eastAsia="仿宋" w:cs="仿宋"/>
          <w:b/>
          <w:bCs/>
          <w:sz w:val="24"/>
          <w:szCs w:val="24"/>
        </w:rPr>
      </w:pPr>
      <w:r>
        <w:rPr>
          <w:rFonts w:ascii="仿宋" w:hAnsi="仿宋" w:eastAsia="仿宋" w:cs="仿宋"/>
          <w:b/>
          <w:bCs/>
          <w:sz w:val="24"/>
          <w:szCs w:val="24"/>
        </w:rPr>
        <w:t>7</w:t>
      </w:r>
      <w:r>
        <w:rPr>
          <w:rFonts w:hint="eastAsia" w:ascii="仿宋" w:hAnsi="仿宋" w:eastAsia="仿宋" w:cs="仿宋"/>
          <w:b/>
          <w:bCs/>
          <w:sz w:val="24"/>
          <w:szCs w:val="24"/>
        </w:rPr>
        <w:t>、响应文件补充、修改和撤回</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.l 供应商在响应文件提交截止时间前，可以对所提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.2 响应文件的修改文件应按谈判文件的规定密封和提交，还须注明“修改响应文件”字样。修改文件须在响应截止时间前送达规定的递交地点。上述补充或修改若涉及响应报价，必须注明“最终唯一报价”字样，否则将视为有选择的报价。</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.3 供应商不得在响应截止时间以后修改或/和撤回响应文件。</w:t>
      </w:r>
    </w:p>
    <w:p>
      <w:pPr>
        <w:spacing w:line="460" w:lineRule="exact"/>
        <w:jc w:val="center"/>
        <w:outlineLvl w:val="1"/>
        <w:rPr>
          <w:rFonts w:ascii="黑体" w:hAnsi="黑体" w:eastAsia="黑体" w:cs="黑体"/>
          <w:b/>
          <w:kern w:val="0"/>
          <w:sz w:val="24"/>
        </w:rPr>
      </w:pPr>
      <w:r>
        <w:rPr>
          <w:rFonts w:hint="eastAsia" w:ascii="黑体" w:hAnsi="黑体" w:eastAsia="黑体" w:cs="黑体"/>
          <w:b/>
          <w:kern w:val="0"/>
          <w:sz w:val="24"/>
        </w:rPr>
        <w:t>四、谈判会议</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1、采购代理机构按照相关规定，在谈判文件确定的时间、地点主持谈判会议，并邀请供应商代表参加。如果不参加谈判会议的，则视同该供应商承认谈判记录，且不得事后对谈判会议记录提出任何质疑，否则，其响应将作无效响应。</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、供应商应委派授权代表参加谈判活动，参加谈判的代表须持本人身份证件签名报到以证明其出席。未派授权代表或不能证明其授权代表身份的，采购代理机构对响应文件的处理不承担责任。</w:t>
      </w:r>
    </w:p>
    <w:p>
      <w:pPr>
        <w:pStyle w:val="63"/>
        <w:snapToGrid w:val="0"/>
        <w:spacing w:line="360" w:lineRule="auto"/>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、谈判会议时由采购代理机构、公证员（如有）或供应商代表查验响应文件密封情况。若响应文件未按要求密封，采购代理机构有权拒绝接受该供应商的响应文件。</w:t>
      </w:r>
    </w:p>
    <w:p>
      <w:pPr>
        <w:snapToGrid w:val="0"/>
        <w:spacing w:line="360" w:lineRule="auto"/>
        <w:jc w:val="center"/>
        <w:outlineLvl w:val="1"/>
        <w:rPr>
          <w:rFonts w:ascii="黑体" w:hAnsi="黑体" w:eastAsia="黑体" w:cs="黑体"/>
          <w:b/>
          <w:kern w:val="0"/>
          <w:sz w:val="24"/>
        </w:rPr>
      </w:pPr>
      <w:bookmarkStart w:id="33" w:name="_Toc246826113"/>
      <w:r>
        <w:rPr>
          <w:rFonts w:hint="eastAsia" w:ascii="黑体" w:hAnsi="黑体" w:eastAsia="黑体" w:cs="黑体"/>
          <w:b/>
          <w:kern w:val="0"/>
          <w:sz w:val="24"/>
        </w:rPr>
        <w:t>五、定标、合同</w:t>
      </w:r>
      <w:bookmarkEnd w:id="33"/>
      <w:r>
        <w:rPr>
          <w:rFonts w:hint="eastAsia" w:ascii="黑体" w:hAnsi="黑体" w:eastAsia="黑体" w:cs="黑体"/>
          <w:b/>
          <w:kern w:val="0"/>
          <w:sz w:val="24"/>
        </w:rPr>
        <w:t>与验收</w:t>
      </w:r>
    </w:p>
    <w:p>
      <w:pPr>
        <w:snapToGrid w:val="0"/>
        <w:spacing w:line="360" w:lineRule="auto"/>
        <w:jc w:val="left"/>
        <w:rPr>
          <w:rFonts w:ascii="仿宋" w:hAnsi="仿宋" w:eastAsia="仿宋" w:cs="仿宋"/>
          <w:b/>
          <w:sz w:val="24"/>
        </w:rPr>
      </w:pPr>
      <w:r>
        <w:rPr>
          <w:rFonts w:ascii="仿宋" w:hAnsi="仿宋" w:eastAsia="仿宋" w:cs="仿宋"/>
          <w:b/>
          <w:sz w:val="24"/>
        </w:rPr>
        <w:t>1</w:t>
      </w:r>
      <w:r>
        <w:rPr>
          <w:rFonts w:hint="eastAsia" w:ascii="仿宋" w:hAnsi="仿宋" w:eastAsia="仿宋" w:cs="仿宋"/>
          <w:b/>
          <w:sz w:val="24"/>
        </w:rPr>
        <w:t>、确定成交候选供应商原则</w:t>
      </w:r>
    </w:p>
    <w:p>
      <w:pPr>
        <w:pStyle w:val="63"/>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谈判小组将严格按照谈判文件的要求和条件进行评审,根据评审方法推荐出一至三人为成交候选供应商，并标明排列顺序。采购人将确定排名第一的成交候选供应商为成交供应商并向其授予合同。</w:t>
      </w:r>
    </w:p>
    <w:p>
      <w:pPr>
        <w:spacing w:line="360" w:lineRule="auto"/>
        <w:rPr>
          <w:rFonts w:ascii="仿宋" w:hAnsi="仿宋" w:eastAsia="仿宋" w:cs="仿宋"/>
          <w:b/>
          <w:sz w:val="24"/>
        </w:rPr>
      </w:pPr>
      <w:r>
        <w:rPr>
          <w:rFonts w:ascii="仿宋" w:hAnsi="仿宋" w:eastAsia="仿宋" w:cs="仿宋"/>
          <w:b/>
          <w:sz w:val="24"/>
        </w:rPr>
        <w:t>2</w:t>
      </w:r>
      <w:r>
        <w:rPr>
          <w:rFonts w:hint="eastAsia" w:ascii="仿宋" w:hAnsi="仿宋" w:eastAsia="仿宋" w:cs="仿宋"/>
          <w:b/>
          <w:sz w:val="24"/>
        </w:rPr>
        <w:t>、成交通知</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.1由采购代理机构在指定媒体上公布成交结果，向成交供应商发送《成交通知书》，但该成交结果的有效性不依赖于未成交的供应商是否已经收到该通知；</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.2成交通知书是采购合同的有效组成部分；</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.3成交供应商的响应文件如属于本应作为无效响应处理或者有关法律法规规章制度规定成交无效情形的，采购人依法重新确定成交供应商或者重新开展采购活动。</w:t>
      </w:r>
    </w:p>
    <w:p>
      <w:pPr>
        <w:spacing w:line="360" w:lineRule="auto"/>
        <w:rPr>
          <w:rFonts w:ascii="仿宋" w:hAnsi="仿宋" w:eastAsia="仿宋" w:cs="仿宋"/>
          <w:b/>
          <w:sz w:val="24"/>
        </w:rPr>
      </w:pPr>
      <w:r>
        <w:rPr>
          <w:rFonts w:ascii="仿宋" w:hAnsi="仿宋" w:eastAsia="仿宋" w:cs="仿宋"/>
          <w:b/>
          <w:sz w:val="24"/>
        </w:rPr>
        <w:t>3</w:t>
      </w:r>
      <w:r>
        <w:rPr>
          <w:rFonts w:hint="eastAsia" w:ascii="仿宋" w:hAnsi="仿宋" w:eastAsia="仿宋" w:cs="仿宋"/>
          <w:b/>
          <w:sz w:val="24"/>
        </w:rPr>
        <w:t>、合同签订</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.1成交人在收到《成交通知书》后，应在规定的时间内与采购人签订采购合同。由于成交人的原因逾期未与采购人签订采购合同的，将视为放弃成交，取消其成交资格并将按相关规定进行处理。</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.2采购人不得向成交人提出任何不合理的要求作为签订合同的条件，不得与成交人私下订立背离合同实质性内容的任何协议，所签订的合同不得对竞争性谈判文件和成交人响应文件作实质性修改。</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.3供应商成交及签订合同后，不得擅自转包。</w:t>
      </w:r>
    </w:p>
    <w:p>
      <w:pPr>
        <w:pStyle w:val="63"/>
        <w:spacing w:line="360" w:lineRule="auto"/>
        <w:ind w:firstLine="0" w:firstLineChars="0"/>
        <w:rPr>
          <w:rFonts w:ascii="仿宋" w:hAnsi="仿宋" w:eastAsia="仿宋" w:cs="仿宋"/>
          <w:b/>
          <w:sz w:val="24"/>
          <w:szCs w:val="24"/>
        </w:rPr>
      </w:pPr>
      <w:bookmarkStart w:id="34" w:name="_Toc217446070"/>
      <w:r>
        <w:rPr>
          <w:rFonts w:ascii="仿宋" w:hAnsi="仿宋" w:eastAsia="仿宋" w:cs="仿宋"/>
          <w:b/>
          <w:sz w:val="24"/>
          <w:szCs w:val="24"/>
        </w:rPr>
        <w:t>4</w:t>
      </w:r>
      <w:r>
        <w:rPr>
          <w:rFonts w:hint="eastAsia" w:ascii="仿宋" w:hAnsi="仿宋" w:eastAsia="仿宋" w:cs="仿宋"/>
          <w:b/>
          <w:sz w:val="24"/>
          <w:szCs w:val="24"/>
        </w:rPr>
        <w:t>、验收</w:t>
      </w:r>
      <w:bookmarkEnd w:id="34"/>
    </w:p>
    <w:p>
      <w:pPr>
        <w:spacing w:line="360" w:lineRule="auto"/>
        <w:ind w:firstLine="480" w:firstLineChars="200"/>
        <w:rPr>
          <w:rFonts w:ascii="仿宋" w:hAnsi="仿宋" w:eastAsia="仿宋" w:cs="仿宋"/>
          <w:sz w:val="24"/>
        </w:rPr>
      </w:pPr>
      <w:r>
        <w:rPr>
          <w:rFonts w:hint="eastAsia" w:ascii="仿宋" w:hAnsi="仿宋" w:eastAsia="仿宋" w:cs="仿宋"/>
          <w:sz w:val="24"/>
        </w:rPr>
        <w:t>由采购人组织，供应商配合，根据对本项目采购需求响应情况及国家行业标准进行验收。采购人可以邀请参加本项目的其他供应商或者第三方机构参与验收。</w:t>
      </w:r>
    </w:p>
    <w:p>
      <w:pPr>
        <w:spacing w:line="460" w:lineRule="exact"/>
        <w:jc w:val="center"/>
        <w:outlineLvl w:val="1"/>
        <w:rPr>
          <w:rFonts w:ascii="黑体" w:hAnsi="黑体" w:eastAsia="黑体" w:cs="黑体"/>
          <w:b/>
          <w:kern w:val="0"/>
          <w:sz w:val="24"/>
        </w:rPr>
      </w:pPr>
      <w:r>
        <w:rPr>
          <w:rFonts w:hint="eastAsia" w:ascii="黑体" w:hAnsi="黑体" w:eastAsia="黑体" w:cs="黑体"/>
          <w:b/>
          <w:kern w:val="0"/>
          <w:sz w:val="24"/>
        </w:rPr>
        <w:t>六、质疑</w:t>
      </w:r>
    </w:p>
    <w:p>
      <w:pPr>
        <w:pStyle w:val="63"/>
        <w:spacing w:line="360" w:lineRule="auto"/>
        <w:ind w:firstLine="0" w:firstLineChars="0"/>
        <w:rPr>
          <w:rFonts w:ascii="仿宋" w:hAnsi="仿宋" w:eastAsia="仿宋" w:cs="仿宋"/>
          <w:b/>
          <w:sz w:val="24"/>
          <w:szCs w:val="24"/>
        </w:rPr>
      </w:pPr>
      <w:r>
        <w:rPr>
          <w:rFonts w:ascii="仿宋" w:hAnsi="仿宋" w:eastAsia="仿宋" w:cs="仿宋"/>
          <w:b/>
          <w:sz w:val="24"/>
          <w:szCs w:val="24"/>
        </w:rPr>
        <w:t>1</w:t>
      </w:r>
      <w:r>
        <w:rPr>
          <w:rFonts w:hint="eastAsia" w:ascii="仿宋" w:hAnsi="仿宋" w:eastAsia="仿宋" w:cs="仿宋"/>
          <w:b/>
          <w:sz w:val="24"/>
          <w:szCs w:val="24"/>
        </w:rPr>
        <w:t>、质疑提出</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.1供应商认为竞争性谈判文件、采购过程和成交结果使自己的合法权益受到损害的，可以在知道或者应知其权益受到损害之日起七个工作日内，以书面形式向采购人、采购代理机构提出质疑。</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.2供应商在法定质疑期内须一次性提出针对同一采购程序环节的质疑，采购人、采购代理机构在任何情况下有权拒绝接受供应商在法定质疑期多次性提出针对同一采购程序环节的质疑。</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63"/>
        <w:spacing w:line="360" w:lineRule="auto"/>
        <w:ind w:firstLine="0" w:firstLineChars="0"/>
        <w:rPr>
          <w:rFonts w:ascii="仿宋" w:hAnsi="仿宋" w:eastAsia="仿宋" w:cs="仿宋"/>
          <w:b/>
          <w:sz w:val="24"/>
          <w:szCs w:val="24"/>
        </w:rPr>
      </w:pPr>
      <w:r>
        <w:rPr>
          <w:rFonts w:ascii="仿宋" w:hAnsi="仿宋" w:eastAsia="仿宋" w:cs="仿宋"/>
          <w:b/>
          <w:sz w:val="24"/>
          <w:szCs w:val="24"/>
        </w:rPr>
        <w:t>2</w:t>
      </w:r>
      <w:r>
        <w:rPr>
          <w:rFonts w:hint="eastAsia" w:ascii="仿宋" w:hAnsi="仿宋" w:eastAsia="仿宋" w:cs="仿宋"/>
          <w:b/>
          <w:sz w:val="24"/>
          <w:szCs w:val="24"/>
        </w:rPr>
        <w:t>、质疑函</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.1 质疑函须使用财政部制定的政府采购供应商质疑函范本进行编写。</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.2质疑函包括下列内容：</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（1）供应商的姓名或者名称、地址、邮编、联系人及联系电话；</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（2）质疑项目的名称、编号；</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（3）具体、明确的质疑事项和与质疑事项相关的请求；</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（4）事实依据；</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（5）必要的法律依据；</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（6）提出质疑的日期。</w:t>
      </w:r>
    </w:p>
    <w:p>
      <w:pPr>
        <w:pStyle w:val="63"/>
        <w:spacing w:line="360" w:lineRule="auto"/>
        <w:ind w:firstLine="480"/>
        <w:rPr>
          <w:rFonts w:ascii="仿宋" w:hAnsi="仿宋" w:eastAsia="仿宋" w:cs="仿宋"/>
          <w:sz w:val="24"/>
          <w:szCs w:val="24"/>
        </w:rPr>
      </w:pPr>
      <w:r>
        <w:rPr>
          <w:rFonts w:hint="eastAsia" w:ascii="仿宋" w:hAnsi="仿宋" w:eastAsia="仿宋" w:cs="仿宋"/>
          <w:sz w:val="24"/>
          <w:szCs w:val="24"/>
        </w:rPr>
        <w:t>按照“谁主张、谁举证”的原则，质疑书应当附上相关证明材料，否则质疑将视为无有效证据支持，将被予以驳回。</w:t>
      </w:r>
    </w:p>
    <w:p>
      <w:pPr>
        <w:pStyle w:val="63"/>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.3供应商为自然人的，应当由本人签字；供应商为法人或者其他组织的，应当由法定代表人/主要负责人，或者其响应代表签字或者盖章，并加盖单位公章，不得加盖合同专用章、投标专用章等各种形式的专用章。</w:t>
      </w:r>
    </w:p>
    <w:p>
      <w:pPr>
        <w:pStyle w:val="63"/>
        <w:spacing w:line="360" w:lineRule="auto"/>
        <w:ind w:firstLine="0" w:firstLineChars="0"/>
        <w:rPr>
          <w:rFonts w:ascii="仿宋" w:hAnsi="仿宋" w:eastAsia="仿宋" w:cs="仿宋"/>
          <w:b/>
          <w:sz w:val="24"/>
          <w:szCs w:val="24"/>
        </w:rPr>
      </w:pPr>
      <w:r>
        <w:rPr>
          <w:rFonts w:ascii="仿宋" w:hAnsi="仿宋" w:eastAsia="仿宋" w:cs="仿宋"/>
          <w:b/>
          <w:sz w:val="24"/>
          <w:szCs w:val="24"/>
        </w:rPr>
        <w:t>3</w:t>
      </w:r>
      <w:r>
        <w:rPr>
          <w:rFonts w:hint="eastAsia" w:ascii="仿宋" w:hAnsi="仿宋" w:eastAsia="仿宋" w:cs="仿宋"/>
          <w:b/>
          <w:sz w:val="24"/>
          <w:szCs w:val="24"/>
        </w:rPr>
        <w:t>、质疑受理</w:t>
      </w:r>
    </w:p>
    <w:p>
      <w:pPr>
        <w:pStyle w:val="63"/>
        <w:spacing w:line="360" w:lineRule="auto"/>
        <w:ind w:firstLine="480"/>
        <w:rPr>
          <w:rFonts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以邮寄、快递方式递交质疑函的，质疑人可以在质疑有效期内以清晰扫描及时将质疑事项告知代理机构，并提供邮寄件、快递件的有效查询方式。</w:t>
      </w:r>
    </w:p>
    <w:p>
      <w:pPr>
        <w:pStyle w:val="63"/>
        <w:spacing w:line="360" w:lineRule="auto"/>
        <w:ind w:firstLine="480"/>
        <w:rPr>
          <w:rFonts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.2 质疑函接收信息</w:t>
      </w:r>
    </w:p>
    <w:p>
      <w:pPr>
        <w:pStyle w:val="63"/>
        <w:spacing w:line="360" w:lineRule="auto"/>
        <w:ind w:firstLine="480"/>
        <w:rPr>
          <w:rFonts w:ascii="仿宋" w:hAnsi="仿宋" w:eastAsia="仿宋" w:cs="仿宋"/>
          <w:bCs/>
          <w:sz w:val="24"/>
          <w:szCs w:val="24"/>
        </w:rPr>
      </w:pPr>
      <w:r>
        <w:rPr>
          <w:rFonts w:hint="eastAsia" w:ascii="仿宋" w:hAnsi="仿宋" w:eastAsia="仿宋" w:cs="仿宋"/>
          <w:bCs/>
          <w:sz w:val="24"/>
          <w:szCs w:val="24"/>
        </w:rPr>
        <w:t>联系部门：</w:t>
      </w:r>
      <w:r>
        <w:rPr>
          <w:rFonts w:hint="eastAsia" w:ascii="仿宋" w:hAnsi="仿宋" w:eastAsia="仿宋" w:cs="仿宋"/>
          <w:bCs/>
          <w:sz w:val="24"/>
          <w:szCs w:val="24"/>
          <w:highlight w:val="yellow"/>
          <w:lang w:eastAsia="zh-CN"/>
        </w:rPr>
        <w:t>海南秀泰项目管理有限公司</w:t>
      </w:r>
      <w:r>
        <w:rPr>
          <w:rFonts w:hint="eastAsia" w:ascii="仿宋" w:hAnsi="仿宋" w:eastAsia="仿宋" w:cs="仿宋"/>
          <w:bCs/>
          <w:sz w:val="24"/>
          <w:szCs w:val="24"/>
          <w:highlight w:val="yellow"/>
        </w:rPr>
        <w:t>—项目部</w:t>
      </w:r>
    </w:p>
    <w:p>
      <w:pPr>
        <w:pStyle w:val="63"/>
        <w:spacing w:line="360" w:lineRule="auto"/>
        <w:ind w:firstLine="480"/>
        <w:rPr>
          <w:rFonts w:ascii="仿宋" w:hAnsi="仿宋" w:eastAsia="仿宋" w:cs="仿宋"/>
          <w:bCs/>
          <w:sz w:val="24"/>
          <w:szCs w:val="24"/>
        </w:rPr>
      </w:pPr>
      <w:r>
        <w:rPr>
          <w:rFonts w:hint="eastAsia" w:ascii="仿宋" w:hAnsi="仿宋" w:eastAsia="仿宋" w:cs="仿宋"/>
          <w:bCs/>
          <w:sz w:val="24"/>
          <w:szCs w:val="24"/>
        </w:rPr>
        <w:t>联系电话及联系人：</w:t>
      </w:r>
      <w:r>
        <w:rPr>
          <w:rFonts w:hint="eastAsia" w:ascii="仿宋" w:hAnsi="仿宋" w:eastAsia="仿宋" w:cs="仿宋"/>
          <w:bCs/>
          <w:sz w:val="24"/>
          <w:szCs w:val="24"/>
          <w:highlight w:val="yellow"/>
          <w:lang w:val="en-US" w:eastAsia="zh-CN"/>
        </w:rPr>
        <w:t>闻春风</w:t>
      </w:r>
      <w:r>
        <w:rPr>
          <w:rFonts w:hint="eastAsia" w:ascii="仿宋" w:hAnsi="仿宋" w:eastAsia="仿宋" w:cs="仿宋"/>
          <w:bCs/>
          <w:sz w:val="24"/>
          <w:szCs w:val="24"/>
          <w:highlight w:val="yellow"/>
          <w:lang w:eastAsia="zh-CN"/>
        </w:rPr>
        <w:t>19946697311</w:t>
      </w:r>
      <w:r>
        <w:rPr>
          <w:rFonts w:ascii="仿宋" w:hAnsi="仿宋" w:eastAsia="仿宋" w:cs="仿宋"/>
          <w:bCs/>
          <w:sz w:val="24"/>
          <w:szCs w:val="24"/>
        </w:rPr>
        <w:t xml:space="preserve"> </w:t>
      </w:r>
    </w:p>
    <w:p>
      <w:pPr>
        <w:pStyle w:val="63"/>
        <w:spacing w:line="360" w:lineRule="auto"/>
        <w:ind w:firstLine="480"/>
        <w:rPr>
          <w:rFonts w:hint="eastAsia" w:ascii="仿宋" w:hAnsi="仿宋" w:eastAsia="仿宋" w:cs="仿宋"/>
          <w:bCs/>
          <w:sz w:val="24"/>
          <w:szCs w:val="24"/>
          <w:lang w:eastAsia="zh-CN"/>
        </w:rPr>
      </w:pPr>
      <w:r>
        <w:rPr>
          <w:rFonts w:hint="eastAsia" w:ascii="仿宋" w:hAnsi="仿宋" w:eastAsia="仿宋" w:cs="仿宋"/>
          <w:bCs/>
          <w:sz w:val="24"/>
          <w:szCs w:val="24"/>
        </w:rPr>
        <w:t>通讯地址：</w:t>
      </w:r>
      <w:r>
        <w:rPr>
          <w:rFonts w:hint="eastAsia" w:ascii="仿宋" w:hAnsi="仿宋" w:eastAsia="仿宋" w:cs="仿宋"/>
          <w:bCs/>
          <w:sz w:val="24"/>
          <w:szCs w:val="24"/>
          <w:highlight w:val="yellow"/>
          <w:lang w:eastAsia="zh-CN"/>
        </w:rPr>
        <w:t>海口市秀英区南海大道143号湖南师大附中海口中学教师公寓楼2号楼6B房</w:t>
      </w:r>
    </w:p>
    <w:p>
      <w:pPr>
        <w:pStyle w:val="63"/>
        <w:spacing w:line="360" w:lineRule="auto"/>
        <w:ind w:firstLine="480"/>
        <w:rPr>
          <w:rFonts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.3有下列情形之一的，属于无效质疑，采购人或采购代理机构可不予受理：</w:t>
      </w:r>
    </w:p>
    <w:p>
      <w:pPr>
        <w:pStyle w:val="63"/>
        <w:spacing w:line="360" w:lineRule="auto"/>
        <w:ind w:firstLine="480"/>
        <w:rPr>
          <w:rFonts w:ascii="仿宋" w:hAnsi="仿宋" w:eastAsia="仿宋" w:cs="仿宋"/>
          <w:bCs/>
          <w:sz w:val="24"/>
          <w:szCs w:val="24"/>
        </w:rPr>
      </w:pPr>
      <w:r>
        <w:rPr>
          <w:rFonts w:hint="eastAsia" w:ascii="仿宋" w:hAnsi="仿宋" w:eastAsia="仿宋" w:cs="仿宋"/>
          <w:bCs/>
          <w:sz w:val="24"/>
          <w:szCs w:val="24"/>
        </w:rPr>
        <w:t>（1）未在有效期限内提出质疑的；</w:t>
      </w:r>
    </w:p>
    <w:p>
      <w:pPr>
        <w:pStyle w:val="63"/>
        <w:spacing w:line="360" w:lineRule="auto"/>
        <w:ind w:firstLine="480"/>
        <w:rPr>
          <w:rFonts w:ascii="仿宋" w:hAnsi="仿宋" w:eastAsia="仿宋" w:cs="仿宋"/>
          <w:bCs/>
          <w:sz w:val="24"/>
          <w:szCs w:val="24"/>
        </w:rPr>
      </w:pPr>
      <w:r>
        <w:rPr>
          <w:rFonts w:hint="eastAsia" w:ascii="仿宋" w:hAnsi="仿宋" w:eastAsia="仿宋" w:cs="仿宋"/>
          <w:bCs/>
          <w:sz w:val="24"/>
          <w:szCs w:val="24"/>
        </w:rPr>
        <w:t>（2）质疑未以书面形式提出的；</w:t>
      </w:r>
    </w:p>
    <w:p>
      <w:pPr>
        <w:pStyle w:val="63"/>
        <w:spacing w:line="360" w:lineRule="auto"/>
        <w:ind w:firstLine="480"/>
        <w:rPr>
          <w:rFonts w:ascii="仿宋" w:hAnsi="仿宋" w:eastAsia="仿宋" w:cs="仿宋"/>
          <w:bCs/>
          <w:sz w:val="24"/>
          <w:szCs w:val="24"/>
        </w:rPr>
      </w:pPr>
      <w:r>
        <w:rPr>
          <w:rFonts w:hint="eastAsia" w:ascii="仿宋" w:hAnsi="仿宋" w:eastAsia="仿宋" w:cs="仿宋"/>
          <w:bCs/>
          <w:sz w:val="24"/>
          <w:szCs w:val="24"/>
        </w:rPr>
        <w:t>（3）所提交材料未明示属于质疑材料的；</w:t>
      </w:r>
    </w:p>
    <w:p>
      <w:pPr>
        <w:pStyle w:val="63"/>
        <w:spacing w:line="360" w:lineRule="auto"/>
        <w:ind w:firstLine="480"/>
        <w:rPr>
          <w:rFonts w:ascii="仿宋" w:hAnsi="仿宋" w:eastAsia="仿宋" w:cs="仿宋"/>
          <w:bCs/>
          <w:sz w:val="24"/>
          <w:szCs w:val="24"/>
        </w:rPr>
      </w:pPr>
      <w:r>
        <w:rPr>
          <w:rFonts w:hint="eastAsia" w:ascii="仿宋" w:hAnsi="仿宋" w:eastAsia="仿宋" w:cs="仿宋"/>
          <w:bCs/>
          <w:sz w:val="24"/>
          <w:szCs w:val="24"/>
        </w:rPr>
        <w:t>（4）质疑事项已经进入投诉或者诉讼程序的；</w:t>
      </w:r>
    </w:p>
    <w:p>
      <w:pPr>
        <w:pStyle w:val="63"/>
        <w:spacing w:line="360" w:lineRule="auto"/>
        <w:ind w:firstLine="480"/>
        <w:rPr>
          <w:rFonts w:ascii="仿宋" w:hAnsi="仿宋" w:eastAsia="仿宋" w:cs="仿宋"/>
          <w:bCs/>
          <w:sz w:val="24"/>
          <w:szCs w:val="24"/>
        </w:rPr>
      </w:pPr>
      <w:r>
        <w:rPr>
          <w:rFonts w:hint="eastAsia" w:ascii="仿宋" w:hAnsi="仿宋" w:eastAsia="仿宋" w:cs="仿宋"/>
          <w:bCs/>
          <w:sz w:val="24"/>
          <w:szCs w:val="24"/>
        </w:rPr>
        <w:t>（5）其它不符合受理条件的情形。</w:t>
      </w:r>
    </w:p>
    <w:p>
      <w:pPr>
        <w:snapToGrid w:val="0"/>
        <w:spacing w:line="360" w:lineRule="auto"/>
        <w:jc w:val="center"/>
        <w:outlineLvl w:val="1"/>
        <w:rPr>
          <w:rFonts w:ascii="黑体" w:hAnsi="黑体" w:eastAsia="黑体" w:cs="黑体"/>
          <w:b/>
          <w:kern w:val="0"/>
          <w:sz w:val="24"/>
        </w:rPr>
      </w:pPr>
      <w:r>
        <w:rPr>
          <w:rFonts w:hint="eastAsia" w:ascii="黑体" w:hAnsi="黑体" w:eastAsia="黑体" w:cs="黑体"/>
          <w:b/>
          <w:kern w:val="0"/>
          <w:sz w:val="24"/>
        </w:rPr>
        <w:t>七、其他</w:t>
      </w:r>
    </w:p>
    <w:p>
      <w:pPr>
        <w:pStyle w:val="63"/>
        <w:snapToGrid w:val="0"/>
        <w:spacing w:line="360" w:lineRule="auto"/>
        <w:ind w:firstLine="48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、信用信息查询的查询渠道：“信用中国”网站（www.creditchina.gov.cn）、中国政府采购网（</w:t>
      </w:r>
      <w:r>
        <w:fldChar w:fldCharType="begin"/>
      </w:r>
      <w:r>
        <w:instrText xml:space="preserve"> HYPERLINK "http://www.ccgp.gov.cn" </w:instrText>
      </w:r>
      <w:r>
        <w:fldChar w:fldCharType="separate"/>
      </w:r>
      <w:r>
        <w:rPr>
          <w:rFonts w:hint="eastAsia" w:ascii="仿宋" w:hAnsi="仿宋" w:eastAsia="仿宋" w:cs="仿宋"/>
          <w:bCs/>
          <w:sz w:val="24"/>
          <w:szCs w:val="24"/>
        </w:rPr>
        <w:t>www.ccgp.gov.cn</w:t>
      </w:r>
      <w:r>
        <w:rPr>
          <w:rFonts w:hint="eastAsia" w:ascii="仿宋" w:hAnsi="仿宋" w:eastAsia="仿宋" w:cs="仿宋"/>
          <w:bCs/>
          <w:sz w:val="24"/>
          <w:szCs w:val="24"/>
        </w:rPr>
        <w:fldChar w:fldCharType="end"/>
      </w:r>
      <w:r>
        <w:rPr>
          <w:rFonts w:hint="eastAsia" w:ascii="仿宋" w:hAnsi="仿宋" w:eastAsia="仿宋" w:cs="仿宋"/>
          <w:bCs/>
          <w:sz w:val="24"/>
          <w:szCs w:val="24"/>
        </w:rPr>
        <w:t>）、中国执行信息公开网（http://zxgk.court.gov.cn/）。</w:t>
      </w:r>
    </w:p>
    <w:p>
      <w:pPr>
        <w:pStyle w:val="63"/>
        <w:snapToGrid w:val="0"/>
        <w:spacing w:line="360" w:lineRule="auto"/>
        <w:ind w:firstLine="480"/>
        <w:rPr>
          <w:rFonts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、信用信息查询的截止时点：谈判截止时间前。</w:t>
      </w:r>
    </w:p>
    <w:p>
      <w:pPr>
        <w:pStyle w:val="63"/>
        <w:snapToGrid w:val="0"/>
        <w:spacing w:line="360" w:lineRule="auto"/>
        <w:ind w:firstLine="480"/>
        <w:rPr>
          <w:rFonts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pPr>
        <w:pStyle w:val="63"/>
        <w:spacing w:line="360" w:lineRule="auto"/>
        <w:ind w:firstLine="480"/>
        <w:rPr>
          <w:rFonts w:ascii="仿宋" w:hAnsi="仿宋" w:eastAsia="仿宋" w:cs="仿宋"/>
          <w:bCs/>
          <w:sz w:val="24"/>
          <w:szCs w:val="24"/>
        </w:rPr>
      </w:pPr>
      <w:r>
        <w:rPr>
          <w:rFonts w:ascii="仿宋" w:hAnsi="仿宋" w:eastAsia="仿宋" w:cs="仿宋"/>
          <w:bCs/>
          <w:sz w:val="24"/>
          <w:szCs w:val="24"/>
        </w:rPr>
        <w:t>4</w:t>
      </w:r>
      <w:r>
        <w:rPr>
          <w:rFonts w:hint="eastAsia" w:ascii="仿宋" w:hAnsi="仿宋" w:eastAsia="仿宋" w:cs="仿宋"/>
          <w:bCs/>
          <w:sz w:val="24"/>
          <w:szCs w:val="24"/>
        </w:rPr>
        <w:t>、</w:t>
      </w:r>
      <w:r>
        <w:rPr>
          <w:rFonts w:ascii="仿宋" w:hAnsi="仿宋" w:eastAsia="仿宋" w:cs="仿宋"/>
          <w:bCs/>
          <w:sz w:val="24"/>
          <w:szCs w:val="24"/>
        </w:rPr>
        <w:t>两个以上的自然人、法人或者其他组织组成一个联合体，以一个</w:t>
      </w:r>
      <w:r>
        <w:rPr>
          <w:rFonts w:hint="eastAsia" w:ascii="仿宋" w:hAnsi="仿宋" w:eastAsia="仿宋" w:cs="仿宋"/>
          <w:bCs/>
          <w:sz w:val="24"/>
          <w:szCs w:val="24"/>
        </w:rPr>
        <w:t>供应商</w:t>
      </w:r>
      <w:r>
        <w:rPr>
          <w:rFonts w:ascii="仿宋" w:hAnsi="仿宋" w:eastAsia="仿宋" w:cs="仿宋"/>
          <w:bCs/>
          <w:sz w:val="24"/>
          <w:szCs w:val="24"/>
        </w:rPr>
        <w:t>的身份共同参加政府采购活动的，应当对所有联合体成员进行信用记录查询，联合体成员存在不良信用记录的，视同联合体存在不良信用记录</w:t>
      </w:r>
      <w:r>
        <w:rPr>
          <w:rFonts w:hint="eastAsia" w:ascii="仿宋" w:hAnsi="仿宋" w:eastAsia="仿宋" w:cs="仿宋"/>
          <w:bCs/>
          <w:sz w:val="24"/>
          <w:szCs w:val="24"/>
        </w:rPr>
        <w:t>。</w:t>
      </w:r>
    </w:p>
    <w:p>
      <w:pPr>
        <w:pStyle w:val="63"/>
        <w:spacing w:line="360" w:lineRule="auto"/>
        <w:ind w:firstLine="480"/>
        <w:rPr>
          <w:rFonts w:ascii="仿宋" w:hAnsi="仿宋" w:eastAsia="仿宋" w:cs="仿宋"/>
          <w:bCs/>
          <w:sz w:val="24"/>
          <w:szCs w:val="24"/>
        </w:rPr>
      </w:pPr>
      <w:r>
        <w:rPr>
          <w:rFonts w:ascii="仿宋" w:hAnsi="仿宋" w:eastAsia="仿宋" w:cs="仿宋"/>
          <w:bCs/>
          <w:sz w:val="24"/>
          <w:szCs w:val="24"/>
        </w:rPr>
        <w:t>5</w:t>
      </w:r>
      <w:r>
        <w:rPr>
          <w:rFonts w:hint="eastAsia" w:ascii="仿宋" w:hAnsi="仿宋" w:eastAsia="仿宋" w:cs="仿宋"/>
          <w:bCs/>
          <w:sz w:val="24"/>
          <w:szCs w:val="24"/>
        </w:rPr>
        <w:t>、若供应商为其他组织或个体工商户等非法人供应商，其他组织的负责人、个体工商户的经营者等同于谈判文件中规定的法定代表人，其他组织的负责人、个体工商户经营者的签名同于谈判文件中规定的法定代表人签名。供应商也可以对响应文件中格式进行相应的修改。</w:t>
      </w:r>
    </w:p>
    <w:p>
      <w:pPr>
        <w:pStyle w:val="63"/>
        <w:spacing w:line="360" w:lineRule="auto"/>
        <w:ind w:firstLine="480"/>
        <w:rPr>
          <w:rFonts w:ascii="仿宋" w:hAnsi="仿宋" w:eastAsia="仿宋" w:cs="仿宋"/>
          <w:bCs/>
          <w:sz w:val="24"/>
          <w:szCs w:val="24"/>
        </w:rPr>
      </w:pPr>
    </w:p>
    <w:p>
      <w:pPr>
        <w:pStyle w:val="3"/>
        <w:snapToGrid w:val="0"/>
        <w:spacing w:before="0" w:after="0" w:line="480" w:lineRule="auto"/>
        <w:jc w:val="center"/>
        <w:rPr>
          <w:sz w:val="32"/>
          <w:szCs w:val="32"/>
        </w:rPr>
      </w:pPr>
      <w:r>
        <w:rPr>
          <w:rFonts w:ascii="黑体" w:hAnsi="黑体" w:eastAsia="黑体" w:cs="黑体"/>
          <w:b w:val="0"/>
          <w:bCs w:val="0"/>
          <w:sz w:val="30"/>
          <w:szCs w:val="30"/>
        </w:rPr>
        <w:br w:type="page"/>
      </w:r>
      <w:bookmarkStart w:id="35" w:name="_Toc14162462"/>
      <w:bookmarkStart w:id="36" w:name="_Toc48568219"/>
      <w:r>
        <w:rPr>
          <w:rFonts w:hint="eastAsia"/>
          <w:sz w:val="32"/>
          <w:szCs w:val="32"/>
        </w:rPr>
        <w:t>第三章  采购需求</w:t>
      </w:r>
      <w:bookmarkEnd w:id="35"/>
      <w:bookmarkEnd w:id="36"/>
    </w:p>
    <w:p>
      <w:pPr>
        <w:adjustRightInd w:val="0"/>
        <w:snapToGrid w:val="0"/>
        <w:spacing w:line="360" w:lineRule="auto"/>
        <w:outlineLvl w:val="1"/>
        <w:rPr>
          <w:rFonts w:ascii="仿宋" w:hAnsi="仿宋" w:eastAsia="仿宋" w:cs="仿宋"/>
          <w:b/>
          <w:sz w:val="32"/>
          <w:szCs w:val="32"/>
        </w:rPr>
      </w:pPr>
      <w:bookmarkStart w:id="37" w:name="_Toc14162463"/>
      <w:r>
        <w:rPr>
          <w:rFonts w:hint="eastAsia" w:ascii="仿宋" w:hAnsi="仿宋" w:eastAsia="仿宋" w:cs="仿宋"/>
          <w:b/>
          <w:sz w:val="32"/>
          <w:szCs w:val="32"/>
          <w:highlight w:val="yellow"/>
        </w:rPr>
        <w:t>一、项目概述</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1.项目名称：白沙县政府2号办公楼加装电梯工程</w:t>
      </w:r>
    </w:p>
    <w:p>
      <w:pPr>
        <w:pStyle w:val="2"/>
        <w:rPr>
          <w:rFonts w:hint="eastAsia" w:ascii="仿宋" w:hAnsi="仿宋" w:eastAsia="仿宋" w:cs="仿宋"/>
          <w:sz w:val="24"/>
          <w:szCs w:val="24"/>
          <w:lang w:val="en-US" w:eastAsia="zh-CN"/>
        </w:rPr>
      </w:pPr>
    </w:p>
    <w:p>
      <w:pPr>
        <w:keepNext w:val="0"/>
        <w:keepLines w:val="0"/>
        <w:widowControl/>
        <w:numPr>
          <w:ilvl w:val="0"/>
          <w:numId w:val="3"/>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预算金额：人民币¥50.3 万元,超过预算金额为无效报价。</w:t>
      </w:r>
    </w:p>
    <w:p>
      <w:pPr>
        <w:pStyle w:val="2"/>
        <w:numPr>
          <w:ilvl w:val="0"/>
          <w:numId w:val="0"/>
        </w:numPr>
        <w:rPr>
          <w:rFonts w:hint="eastAsia" w:ascii="仿宋" w:hAnsi="仿宋" w:eastAsia="仿宋" w:cs="仿宋"/>
          <w:sz w:val="24"/>
          <w:szCs w:val="24"/>
          <w:lang w:val="en-US" w:eastAsia="zh-CN"/>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3.采购内容：白沙黎族自治县人民政府2号办公楼电梯</w:t>
      </w:r>
    </w:p>
    <w:p>
      <w:pPr>
        <w:pStyle w:val="63"/>
        <w:spacing w:line="360" w:lineRule="auto"/>
        <w:ind w:firstLine="480"/>
        <w:rPr>
          <w:rFonts w:ascii="仿宋" w:hAnsi="仿宋" w:eastAsia="仿宋" w:cs="仿宋"/>
          <w:bCs/>
          <w:sz w:val="32"/>
          <w:szCs w:val="32"/>
        </w:rPr>
      </w:pPr>
    </w:p>
    <w:bookmarkEnd w:id="37"/>
    <w:p>
      <w:pPr>
        <w:pStyle w:val="63"/>
        <w:numPr>
          <w:ilvl w:val="0"/>
          <w:numId w:val="4"/>
        </w:numPr>
        <w:spacing w:line="360" w:lineRule="auto"/>
        <w:ind w:left="0" w:leftChars="0" w:firstLine="0" w:firstLineChars="0"/>
        <w:rPr>
          <w:rFonts w:hint="eastAsia" w:ascii="仿宋" w:hAnsi="仿宋" w:eastAsia="仿宋" w:cs="仿宋"/>
          <w:b/>
          <w:sz w:val="32"/>
          <w:szCs w:val="32"/>
          <w:highlight w:val="yellow"/>
        </w:rPr>
      </w:pPr>
      <w:r>
        <w:rPr>
          <w:rFonts w:hint="eastAsia" w:ascii="仿宋" w:hAnsi="仿宋" w:eastAsia="仿宋" w:cs="仿宋"/>
          <w:b/>
          <w:sz w:val="32"/>
          <w:szCs w:val="32"/>
          <w:highlight w:val="yellow"/>
        </w:rPr>
        <w:t>参数技术及要求</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tbl>
      <w:tblPr>
        <w:tblStyle w:val="32"/>
        <w:tblW w:w="0" w:type="auto"/>
        <w:tblInd w:w="0" w:type="dxa"/>
        <w:tblLayout w:type="fixed"/>
        <w:tblCellMar>
          <w:top w:w="15" w:type="dxa"/>
          <w:left w:w="15" w:type="dxa"/>
          <w:bottom w:w="15" w:type="dxa"/>
          <w:right w:w="15" w:type="dxa"/>
        </w:tblCellMar>
      </w:tblPr>
      <w:tblGrid>
        <w:gridCol w:w="803"/>
        <w:gridCol w:w="1480"/>
        <w:gridCol w:w="1276"/>
        <w:gridCol w:w="1134"/>
        <w:gridCol w:w="709"/>
        <w:gridCol w:w="1078"/>
        <w:gridCol w:w="3240"/>
      </w:tblGrid>
      <w:tr>
        <w:tblPrEx>
          <w:tblCellMar>
            <w:top w:w="15" w:type="dxa"/>
            <w:left w:w="15" w:type="dxa"/>
            <w:bottom w:w="15" w:type="dxa"/>
            <w:right w:w="15" w:type="dxa"/>
          </w:tblCellMar>
        </w:tblPrEx>
        <w:trPr>
          <w:trHeight w:val="300" w:hRule="atLeast"/>
        </w:trPr>
        <w:tc>
          <w:tcPr>
            <w:tcW w:w="803"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梯号</w:t>
            </w:r>
          </w:p>
        </w:tc>
        <w:tc>
          <w:tcPr>
            <w:tcW w:w="1480" w:type="dxa"/>
            <w:tcBorders>
              <w:top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eastAsia="zh-CN" w:bidi="ar"/>
              </w:rPr>
              <w:t>内容</w:t>
            </w:r>
          </w:p>
        </w:tc>
        <w:tc>
          <w:tcPr>
            <w:tcW w:w="1276" w:type="dxa"/>
            <w:tcBorders>
              <w:top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载重（kg）</w:t>
            </w:r>
          </w:p>
        </w:tc>
        <w:tc>
          <w:tcPr>
            <w:tcW w:w="1134" w:type="dxa"/>
            <w:tcBorders>
              <w:top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速度（m/s</w:t>
            </w:r>
            <w:r>
              <w:rPr>
                <w:rFonts w:ascii="宋体" w:hAnsi="宋体" w:cs="宋体"/>
                <w:color w:val="000000"/>
                <w:kern w:val="0"/>
                <w:sz w:val="24"/>
                <w:szCs w:val="24"/>
                <w:lang w:bidi="ar"/>
              </w:rPr>
              <w:t>）</w:t>
            </w:r>
          </w:p>
        </w:tc>
        <w:tc>
          <w:tcPr>
            <w:tcW w:w="709" w:type="dxa"/>
            <w:tcBorders>
              <w:top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1078" w:type="dxa"/>
            <w:tcBorders>
              <w:top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层站</w:t>
            </w:r>
          </w:p>
        </w:tc>
        <w:tc>
          <w:tcPr>
            <w:tcW w:w="3240" w:type="dxa"/>
            <w:tcBorders>
              <w:top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轿厢内</w:t>
            </w:r>
            <w:r>
              <w:rPr>
                <w:rFonts w:hint="eastAsia" w:ascii="宋体" w:hAnsi="宋体" w:cs="宋体"/>
                <w:color w:val="000000"/>
                <w:kern w:val="0"/>
                <w:sz w:val="24"/>
                <w:szCs w:val="24"/>
                <w:lang w:eastAsia="zh-CN" w:bidi="ar"/>
              </w:rPr>
              <w:t>尺寸（</w:t>
            </w:r>
            <w:r>
              <w:rPr>
                <w:rFonts w:hint="eastAsia" w:ascii="宋体" w:hAnsi="宋体" w:cs="宋体"/>
                <w:color w:val="000000"/>
                <w:kern w:val="0"/>
                <w:sz w:val="24"/>
                <w:szCs w:val="24"/>
                <w:lang w:val="en-US" w:eastAsia="zh-CN" w:bidi="ar"/>
              </w:rPr>
              <w:t>宽*深*高</w:t>
            </w:r>
            <w:r>
              <w:rPr>
                <w:rFonts w:hint="eastAsia" w:ascii="宋体" w:hAnsi="宋体" w:cs="宋体"/>
                <w:color w:val="000000"/>
                <w:kern w:val="0"/>
                <w:sz w:val="24"/>
                <w:szCs w:val="24"/>
                <w:lang w:eastAsia="zh-CN" w:bidi="ar"/>
              </w:rPr>
              <w:t>）</w:t>
            </w:r>
          </w:p>
        </w:tc>
      </w:tr>
      <w:tr>
        <w:tblPrEx>
          <w:tblCellMar>
            <w:top w:w="15" w:type="dxa"/>
            <w:left w:w="15" w:type="dxa"/>
            <w:bottom w:w="15" w:type="dxa"/>
            <w:right w:w="15" w:type="dxa"/>
          </w:tblCellMar>
        </w:tblPrEx>
        <w:trPr>
          <w:trHeight w:val="709" w:hRule="atLeast"/>
        </w:trPr>
        <w:tc>
          <w:tcPr>
            <w:tcW w:w="803"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1</w:t>
            </w:r>
          </w:p>
        </w:tc>
        <w:tc>
          <w:tcPr>
            <w:tcW w:w="1480" w:type="dxa"/>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 乘客电梯</w:t>
            </w:r>
          </w:p>
        </w:tc>
        <w:tc>
          <w:tcPr>
            <w:tcW w:w="1276" w:type="dxa"/>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800Kg</w:t>
            </w:r>
          </w:p>
        </w:tc>
        <w:tc>
          <w:tcPr>
            <w:tcW w:w="1134" w:type="dxa"/>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1.5m/s</w:t>
            </w:r>
          </w:p>
        </w:tc>
        <w:tc>
          <w:tcPr>
            <w:tcW w:w="709" w:type="dxa"/>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1</w:t>
            </w:r>
          </w:p>
        </w:tc>
        <w:tc>
          <w:tcPr>
            <w:tcW w:w="1078" w:type="dxa"/>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6/6/6</w:t>
            </w:r>
          </w:p>
        </w:tc>
        <w:tc>
          <w:tcPr>
            <w:tcW w:w="3240" w:type="dxa"/>
            <w:tcBorders>
              <w:bottom w:val="single" w:color="000000" w:sz="12" w:space="0"/>
              <w:right w:val="single" w:color="000000" w:sz="12" w:space="0"/>
            </w:tcBorders>
            <w:noWrap w:val="0"/>
            <w:vAlign w:val="center"/>
          </w:tcPr>
          <w:p>
            <w:pPr>
              <w:jc w:val="center"/>
              <w:rPr>
                <w:rFonts w:hint="default" w:ascii="宋体" w:hAnsi="宋体" w:cs="宋体"/>
                <w:b/>
                <w:kern w:val="0"/>
                <w:sz w:val="24"/>
                <w:szCs w:val="24"/>
                <w:lang w:val="en-US" w:eastAsia="zh-CN"/>
              </w:rPr>
            </w:pPr>
            <w:r>
              <w:rPr>
                <w:rFonts w:hint="eastAsia" w:ascii="宋体" w:hAnsi="宋体" w:cs="宋体"/>
                <w:b/>
                <w:kern w:val="0"/>
                <w:sz w:val="24"/>
                <w:szCs w:val="24"/>
                <w:lang w:val="zh-CN" w:eastAsia="zh-CN"/>
              </w:rPr>
              <w:t>1400×1350×</w:t>
            </w:r>
            <w:r>
              <w:rPr>
                <w:rFonts w:hint="eastAsia" w:ascii="宋体" w:hAnsi="宋体" w:cs="宋体"/>
                <w:b/>
                <w:kern w:val="0"/>
                <w:sz w:val="24"/>
                <w:szCs w:val="24"/>
                <w:lang w:val="en-US" w:eastAsia="zh-CN"/>
              </w:rPr>
              <w:t>2395</w:t>
            </w:r>
          </w:p>
        </w:tc>
      </w:tr>
    </w:tbl>
    <w:tbl>
      <w:tblPr>
        <w:tblStyle w:val="32"/>
        <w:tblpPr w:leftFromText="180" w:rightFromText="180" w:vertAnchor="text" w:horzAnchor="page" w:tblpX="1516" w:tblpY="143"/>
        <w:tblOverlap w:val="never"/>
        <w:tblW w:w="9675" w:type="dxa"/>
        <w:tblInd w:w="0" w:type="dxa"/>
        <w:tblLayout w:type="fixed"/>
        <w:tblCellMar>
          <w:top w:w="15" w:type="dxa"/>
          <w:left w:w="15" w:type="dxa"/>
          <w:bottom w:w="15" w:type="dxa"/>
          <w:right w:w="15" w:type="dxa"/>
        </w:tblCellMar>
      </w:tblPr>
      <w:tblGrid>
        <w:gridCol w:w="1056"/>
        <w:gridCol w:w="3890"/>
        <w:gridCol w:w="4729"/>
      </w:tblGrid>
      <w:tr>
        <w:tblPrEx>
          <w:tblCellMar>
            <w:top w:w="15" w:type="dxa"/>
            <w:left w:w="15" w:type="dxa"/>
            <w:bottom w:w="15" w:type="dxa"/>
            <w:right w:w="15" w:type="dxa"/>
          </w:tblCellMar>
        </w:tblPrEx>
        <w:trPr>
          <w:trHeight w:val="481" w:hRule="atLeast"/>
        </w:trPr>
        <w:tc>
          <w:tcPr>
            <w:tcW w:w="1056" w:type="dxa"/>
            <w:tcBorders>
              <w:top w:val="single" w:color="auto" w:sz="4" w:space="0"/>
              <w:left w:val="single" w:color="auto" w:sz="4" w:space="0"/>
              <w:bottom w:val="single" w:color="auto" w:sz="4"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序号</w:t>
            </w:r>
          </w:p>
        </w:tc>
        <w:tc>
          <w:tcPr>
            <w:tcW w:w="8619"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其他分项</w:t>
            </w:r>
          </w:p>
        </w:tc>
      </w:tr>
      <w:tr>
        <w:tblPrEx>
          <w:tblCellMar>
            <w:top w:w="15" w:type="dxa"/>
            <w:left w:w="15" w:type="dxa"/>
            <w:bottom w:w="15" w:type="dxa"/>
            <w:right w:w="15" w:type="dxa"/>
          </w:tblCellMar>
        </w:tblPrEx>
        <w:trPr>
          <w:trHeight w:val="300" w:hRule="atLeast"/>
        </w:trPr>
        <w:tc>
          <w:tcPr>
            <w:tcW w:w="1056"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2</w:t>
            </w:r>
          </w:p>
        </w:tc>
        <w:tc>
          <w:tcPr>
            <w:tcW w:w="8619" w:type="dxa"/>
            <w:gridSpan w:val="2"/>
            <w:tcBorders>
              <w:top w:val="single" w:color="auto" w:sz="4"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更改一楼消防管和电箱</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3</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拆除一楼电梯井道位置上的房子和防水梁</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4</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开挖底坑后完成钢筋混凝土基础；</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5</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拆除一至六楼外墙上的窗台</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6</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一至六层层门侧砖墙封堵，涂料装饰</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7</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一至六层铝合金窗口封堵，包不锈钢门套</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8</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从配电房布置三相五线电源线至电梯控制柜</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9</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六层整层楼钢构</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10</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六层砌墙把房间隔离</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11</w:t>
            </w:r>
          </w:p>
        </w:tc>
        <w:tc>
          <w:tcPr>
            <w:tcW w:w="8619" w:type="dxa"/>
            <w:gridSpan w:val="2"/>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电梯空调1台</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default" w:ascii="宋体" w:hAnsi="宋体" w:cs="宋体"/>
                <w:b/>
                <w:kern w:val="0"/>
                <w:sz w:val="24"/>
                <w:szCs w:val="24"/>
                <w:lang w:val="en-US" w:eastAsia="zh-CN"/>
              </w:rPr>
            </w:pPr>
            <w:r>
              <w:rPr>
                <w:rFonts w:hint="eastAsia" w:ascii="宋体" w:hAnsi="宋体" w:cs="宋体"/>
                <w:b/>
                <w:kern w:val="0"/>
                <w:sz w:val="24"/>
                <w:szCs w:val="24"/>
                <w:lang w:val="en-US" w:eastAsia="zh-CN"/>
              </w:rPr>
              <w:t>12</w:t>
            </w:r>
          </w:p>
        </w:tc>
        <w:tc>
          <w:tcPr>
            <w:tcW w:w="8619" w:type="dxa"/>
            <w:gridSpan w:val="2"/>
            <w:tcBorders>
              <w:bottom w:val="single" w:color="000000" w:sz="12" w:space="0"/>
              <w:right w:val="single" w:color="000000" w:sz="12" w:space="0"/>
            </w:tcBorders>
            <w:noWrap w:val="0"/>
            <w:vAlign w:val="center"/>
          </w:tcPr>
          <w:p>
            <w:pPr>
              <w:jc w:val="center"/>
              <w:rPr>
                <w:rFonts w:hint="default" w:ascii="宋体" w:hAnsi="宋体" w:cs="宋体"/>
                <w:b/>
                <w:kern w:val="0"/>
                <w:sz w:val="24"/>
                <w:szCs w:val="24"/>
                <w:lang w:val="en-US" w:eastAsia="zh-CN"/>
              </w:rPr>
            </w:pPr>
            <w:r>
              <w:rPr>
                <w:rFonts w:hint="eastAsia" w:ascii="宋体" w:hAnsi="宋体" w:cs="宋体"/>
                <w:b/>
                <w:kern w:val="0"/>
                <w:sz w:val="24"/>
                <w:szCs w:val="24"/>
                <w:lang w:val="en-US" w:eastAsia="zh-CN"/>
              </w:rPr>
              <w:t>无机房</w:t>
            </w:r>
          </w:p>
        </w:tc>
      </w:tr>
      <w:tr>
        <w:tblPrEx>
          <w:tblCellMar>
            <w:top w:w="15" w:type="dxa"/>
            <w:left w:w="15" w:type="dxa"/>
            <w:bottom w:w="15" w:type="dxa"/>
            <w:right w:w="15" w:type="dxa"/>
          </w:tblCellMar>
        </w:tblPrEx>
        <w:trPr>
          <w:trHeight w:val="300" w:hRule="atLeast"/>
        </w:trPr>
        <w:tc>
          <w:tcPr>
            <w:tcW w:w="1056" w:type="dxa"/>
            <w:tcBorders>
              <w:left w:val="single" w:color="000000" w:sz="12" w:space="0"/>
              <w:bottom w:val="single" w:color="000000" w:sz="12" w:space="0"/>
              <w:right w:val="single" w:color="000000" w:sz="12" w:space="0"/>
            </w:tcBorders>
            <w:noWrap w:val="0"/>
            <w:vAlign w:val="center"/>
          </w:tcPr>
          <w:p>
            <w:pPr>
              <w:jc w:val="center"/>
              <w:rPr>
                <w:rFonts w:hint="default" w:ascii="宋体" w:hAnsi="宋体" w:cs="宋体"/>
                <w:b/>
                <w:kern w:val="0"/>
                <w:sz w:val="24"/>
                <w:szCs w:val="24"/>
                <w:lang w:val="en-US" w:eastAsia="zh-CN"/>
              </w:rPr>
            </w:pPr>
            <w:r>
              <w:rPr>
                <w:rFonts w:hint="eastAsia" w:ascii="宋体" w:hAnsi="宋体" w:cs="宋体"/>
                <w:b/>
                <w:kern w:val="0"/>
                <w:sz w:val="24"/>
                <w:szCs w:val="24"/>
                <w:lang w:val="en-US" w:eastAsia="zh-CN"/>
              </w:rPr>
              <w:t>13</w:t>
            </w:r>
          </w:p>
        </w:tc>
        <w:tc>
          <w:tcPr>
            <w:tcW w:w="8619" w:type="dxa"/>
            <w:gridSpan w:val="2"/>
            <w:tcBorders>
              <w:bottom w:val="single" w:color="000000" w:sz="12" w:space="0"/>
              <w:right w:val="single" w:color="000000" w:sz="12" w:space="0"/>
            </w:tcBorders>
            <w:noWrap w:val="0"/>
            <w:vAlign w:val="center"/>
          </w:tcPr>
          <w:p>
            <w:pPr>
              <w:jc w:val="center"/>
              <w:rPr>
                <w:rFonts w:hint="default" w:ascii="宋体" w:hAnsi="宋体" w:cs="宋体"/>
                <w:b/>
                <w:kern w:val="0"/>
                <w:sz w:val="24"/>
                <w:szCs w:val="24"/>
                <w:lang w:val="en-US" w:eastAsia="zh-CN"/>
              </w:rPr>
            </w:pPr>
            <w:r>
              <w:rPr>
                <w:rFonts w:hint="eastAsia" w:ascii="宋体" w:hAnsi="宋体" w:cs="宋体"/>
                <w:b/>
                <w:kern w:val="0"/>
                <w:sz w:val="24"/>
                <w:szCs w:val="24"/>
                <w:lang w:val="en-US" w:eastAsia="zh-CN"/>
              </w:rPr>
              <w:t>轿厢发纹不锈钢，厅门发纹不锈钢小门套</w:t>
            </w:r>
          </w:p>
        </w:tc>
      </w:tr>
      <w:tr>
        <w:tblPrEx>
          <w:tblCellMar>
            <w:top w:w="15" w:type="dxa"/>
            <w:left w:w="15" w:type="dxa"/>
            <w:bottom w:w="15" w:type="dxa"/>
            <w:right w:w="15" w:type="dxa"/>
          </w:tblCellMar>
        </w:tblPrEx>
        <w:trPr>
          <w:trHeight w:val="563" w:hRule="atLeast"/>
        </w:trPr>
        <w:tc>
          <w:tcPr>
            <w:tcW w:w="9675" w:type="dxa"/>
            <w:gridSpan w:val="3"/>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zh-CN" w:eastAsia="zh-CN"/>
              </w:rPr>
            </w:pPr>
            <w:r>
              <w:rPr>
                <w:rFonts w:hint="eastAsia" w:ascii="宋体" w:hAnsi="宋体" w:cs="宋体"/>
                <w:b/>
                <w:kern w:val="0"/>
                <w:sz w:val="24"/>
                <w:szCs w:val="24"/>
                <w:lang w:val="en-US" w:eastAsia="zh-CN"/>
              </w:rPr>
              <w:t xml:space="preserve">备注： </w:t>
            </w:r>
          </w:p>
        </w:tc>
      </w:tr>
      <w:tr>
        <w:tblPrEx>
          <w:tblCellMar>
            <w:top w:w="15" w:type="dxa"/>
            <w:left w:w="15" w:type="dxa"/>
            <w:bottom w:w="15" w:type="dxa"/>
            <w:right w:w="15" w:type="dxa"/>
          </w:tblCellMar>
        </w:tblPrEx>
        <w:trPr>
          <w:trHeight w:val="300" w:hRule="atLeast"/>
        </w:trPr>
        <w:tc>
          <w:tcPr>
            <w:tcW w:w="4946" w:type="dxa"/>
            <w:gridSpan w:val="2"/>
            <w:tcBorders>
              <w:left w:val="single" w:color="000000" w:sz="12" w:space="0"/>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合计</w:t>
            </w:r>
          </w:p>
        </w:tc>
        <w:tc>
          <w:tcPr>
            <w:tcW w:w="4729" w:type="dxa"/>
            <w:tcBorders>
              <w:bottom w:val="single" w:color="000000" w:sz="12" w:space="0"/>
              <w:right w:val="single" w:color="000000" w:sz="12" w:space="0"/>
            </w:tcBorders>
            <w:noWrap w:val="0"/>
            <w:vAlign w:val="center"/>
          </w:tcPr>
          <w:p>
            <w:pPr>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元</w:t>
            </w:r>
          </w:p>
        </w:tc>
      </w:tr>
    </w:tbl>
    <w:p>
      <w:pPr>
        <w:pStyle w:val="63"/>
        <w:numPr>
          <w:ilvl w:val="0"/>
          <w:numId w:val="0"/>
        </w:numPr>
        <w:spacing w:line="360" w:lineRule="auto"/>
        <w:ind w:leftChars="0"/>
        <w:rPr>
          <w:rFonts w:hint="eastAsia" w:ascii="仿宋" w:hAnsi="仿宋" w:eastAsia="仿宋" w:cs="仿宋"/>
          <w:b/>
          <w:sz w:val="28"/>
          <w:highlight w:val="yellow"/>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6221095</wp:posOffset>
                </wp:positionV>
                <wp:extent cx="1714500" cy="0"/>
                <wp:effectExtent l="0" t="0" r="0" b="0"/>
                <wp:wrapNone/>
                <wp:docPr id="4" name="直接连接符 4"/>
                <wp:cNvGraphicFramePr/>
                <a:graphic xmlns:a="http://schemas.openxmlformats.org/drawingml/2006/main">
                  <a:graphicData uri="http://schemas.microsoft.com/office/word/2010/wordprocessingShape">
                    <wps:wsp>
                      <wps:cNvCnPr/>
                      <wps:spPr>
                        <a:xfrm>
                          <a:off x="881380" y="656209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1pt;margin-top:489.85pt;height:0pt;width:135pt;z-index:251658240;mso-width-relative:page;mso-height-relative:page;" filled="f" stroked="t" coordsize="21600,21600" o:gfxdata="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3qO8toAAAALAQAADwAAAAAAAAABACAAAAAiAAAAZHJz&#10;L2Rvd25yZXYueG1sUEsBAhQAFAAAAAgAh07iQHrt6kkCAgAA3gMAAA4AAAAAAAAAAQAgAAAAKQEA&#10;AGRycy9lMm9Eb2MueG1sUEsFBgAAAAAGAAYAWQEAAJ0FAAAAAA==&#10;">
                <v:fill on="f" focussize="0,0"/>
                <v:stroke color="#4A7EBB [3204]" joinstyle="round"/>
                <v:imagedata o:title=""/>
                <o:lock v:ext="edit" aspectratio="f"/>
              </v:line>
            </w:pict>
          </mc:Fallback>
        </mc:AlternateContent>
      </w:r>
    </w:p>
    <w:tbl>
      <w:tblPr>
        <w:tblStyle w:val="32"/>
        <w:tblpPr w:leftFromText="180" w:rightFromText="180" w:vertAnchor="page" w:horzAnchor="margin" w:tblpY="1170"/>
        <w:tblW w:w="0" w:type="auto"/>
        <w:tblInd w:w="0" w:type="dxa"/>
        <w:tblLayout w:type="fixed"/>
        <w:tblCellMar>
          <w:top w:w="0" w:type="dxa"/>
          <w:left w:w="108" w:type="dxa"/>
          <w:bottom w:w="0" w:type="dxa"/>
          <w:right w:w="108" w:type="dxa"/>
        </w:tblCellMar>
      </w:tblPr>
      <w:tblGrid>
        <w:gridCol w:w="2700"/>
        <w:gridCol w:w="6153"/>
      </w:tblGrid>
      <w:tr>
        <w:tblPrEx>
          <w:tblCellMar>
            <w:top w:w="0" w:type="dxa"/>
            <w:left w:w="108" w:type="dxa"/>
            <w:bottom w:w="0" w:type="dxa"/>
            <w:right w:w="108" w:type="dxa"/>
          </w:tblCellMar>
        </w:tblPrEx>
        <w:trPr>
          <w:trHeight w:val="685" w:hRule="atLeast"/>
        </w:trPr>
        <w:tc>
          <w:tcPr>
            <w:tcW w:w="2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b/>
                <w:bCs/>
                <w:kern w:val="0"/>
                <w:sz w:val="24"/>
                <w:szCs w:val="24"/>
              </w:rPr>
            </w:pPr>
            <w:r>
              <w:rPr>
                <w:rFonts w:hint="eastAsia" w:ascii="宋体" w:hAnsi="宋体" w:cs="Arial"/>
                <w:b/>
                <w:bCs/>
                <w:kern w:val="0"/>
                <w:sz w:val="24"/>
                <w:szCs w:val="24"/>
              </w:rPr>
              <w:t>项目</w:t>
            </w:r>
            <w:r>
              <w:rPr>
                <w:rFonts w:ascii="Arial" w:hAnsi="Arial" w:cs="Arial"/>
                <w:b/>
                <w:bCs/>
                <w:kern w:val="0"/>
                <w:sz w:val="24"/>
                <w:szCs w:val="24"/>
              </w:rPr>
              <w:t xml:space="preserve"> </w:t>
            </w:r>
          </w:p>
        </w:tc>
        <w:tc>
          <w:tcPr>
            <w:tcW w:w="6153" w:type="dxa"/>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Arial"/>
                <w:b/>
                <w:bCs/>
                <w:kern w:val="0"/>
                <w:sz w:val="24"/>
                <w:szCs w:val="24"/>
              </w:rPr>
            </w:pPr>
            <w:r>
              <w:rPr>
                <w:rFonts w:hint="eastAsia" w:ascii="宋体" w:hAnsi="宋体" w:cs="Arial"/>
                <w:b/>
                <w:bCs/>
                <w:kern w:val="0"/>
                <w:sz w:val="24"/>
                <w:szCs w:val="24"/>
                <w:lang w:eastAsia="zh-CN"/>
              </w:rPr>
              <w:t>要求</w:t>
            </w:r>
            <w:r>
              <w:rPr>
                <w:rFonts w:ascii="Arial" w:hAnsi="Arial" w:cs="Arial"/>
                <w:b/>
                <w:bCs/>
                <w:kern w:val="0"/>
                <w:sz w:val="24"/>
                <w:szCs w:val="24"/>
              </w:rPr>
              <w:t xml:space="preserve">   </w:t>
            </w:r>
          </w:p>
        </w:tc>
      </w:tr>
      <w:tr>
        <w:tblPrEx>
          <w:tblCellMar>
            <w:top w:w="0" w:type="dxa"/>
            <w:left w:w="108" w:type="dxa"/>
            <w:bottom w:w="0" w:type="dxa"/>
            <w:right w:w="108" w:type="dxa"/>
          </w:tblCellMar>
        </w:tblPrEx>
        <w:trPr>
          <w:trHeight w:val="1340" w:hRule="atLeast"/>
        </w:trPr>
        <w:tc>
          <w:tcPr>
            <w:tcW w:w="270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Arial"/>
                <w:b/>
                <w:bCs/>
                <w:kern w:val="0"/>
                <w:sz w:val="24"/>
                <w:szCs w:val="24"/>
              </w:rPr>
            </w:pPr>
            <w:r>
              <w:rPr>
                <w:rFonts w:hint="eastAsia" w:ascii="宋体" w:hAnsi="宋体" w:cs="Arial"/>
                <w:b/>
                <w:bCs/>
                <w:kern w:val="0"/>
                <w:sz w:val="24"/>
                <w:szCs w:val="24"/>
              </w:rPr>
              <w:t>Ⅰ</w:t>
            </w:r>
            <w:r>
              <w:rPr>
                <w:rFonts w:ascii="Arial" w:hAnsi="Arial" w:cs="Arial"/>
                <w:b/>
                <w:bCs/>
                <w:kern w:val="0"/>
                <w:sz w:val="24"/>
                <w:szCs w:val="24"/>
              </w:rPr>
              <w:t xml:space="preserve"> </w:t>
            </w:r>
            <w:r>
              <w:rPr>
                <w:rFonts w:hint="eastAsia" w:ascii="宋体" w:hAnsi="宋体" w:cs="Arial"/>
                <w:b/>
                <w:bCs/>
                <w:kern w:val="0"/>
                <w:sz w:val="24"/>
                <w:szCs w:val="24"/>
              </w:rPr>
              <w:t>控制系统</w:t>
            </w:r>
            <w:r>
              <w:rPr>
                <w:rFonts w:ascii="Arial" w:hAnsi="Arial" w:cs="Arial"/>
                <w:b/>
                <w:bCs/>
                <w:kern w:val="0"/>
                <w:sz w:val="24"/>
                <w:szCs w:val="24"/>
              </w:rPr>
              <w:br w:type="textWrapping"/>
            </w:r>
          </w:p>
        </w:tc>
        <w:tc>
          <w:tcPr>
            <w:tcW w:w="6153" w:type="dxa"/>
            <w:tcBorders>
              <w:top w:val="single" w:color="auto" w:sz="8" w:space="0"/>
              <w:left w:val="nil"/>
              <w:bottom w:val="single" w:color="auto" w:sz="4" w:space="0"/>
              <w:right w:val="single" w:color="000000" w:sz="4" w:space="0"/>
            </w:tcBorders>
            <w:noWrap w:val="0"/>
            <w:vAlign w:val="center"/>
          </w:tcPr>
          <w:p>
            <w:pPr>
              <w:widowControl/>
              <w:jc w:val="both"/>
              <w:rPr>
                <w:rFonts w:hint="eastAsia" w:ascii="宋体" w:hAnsi="宋体" w:cs="Arial"/>
                <w:kern w:val="0"/>
                <w:sz w:val="24"/>
                <w:szCs w:val="24"/>
              </w:rPr>
            </w:pPr>
            <w:r>
              <w:rPr>
                <w:rFonts w:hint="eastAsia" w:ascii="宋体" w:hAnsi="宋体" w:cs="Arial"/>
                <w:kern w:val="0"/>
                <w:sz w:val="24"/>
                <w:szCs w:val="24"/>
              </w:rPr>
              <w:t>控制柜</w:t>
            </w:r>
            <w:r>
              <w:rPr>
                <w:rFonts w:hint="eastAsia" w:ascii="宋体" w:hAnsi="宋体" w:cs="Arial"/>
                <w:kern w:val="0"/>
                <w:sz w:val="24"/>
                <w:szCs w:val="24"/>
                <w:lang w:eastAsia="zh-CN"/>
              </w:rPr>
              <w:t>、</w:t>
            </w:r>
            <w:r>
              <w:rPr>
                <w:rFonts w:hint="eastAsia" w:ascii="宋体" w:hAnsi="宋体" w:cs="Arial"/>
                <w:kern w:val="0"/>
                <w:sz w:val="24"/>
                <w:szCs w:val="24"/>
              </w:rPr>
              <w:t>微机控制板</w:t>
            </w:r>
            <w:r>
              <w:rPr>
                <w:rFonts w:hint="eastAsia" w:ascii="宋体" w:hAnsi="宋体" w:cs="Arial"/>
                <w:kern w:val="0"/>
                <w:sz w:val="24"/>
                <w:szCs w:val="24"/>
                <w:lang w:eastAsia="zh-CN"/>
              </w:rPr>
              <w:t>、</w:t>
            </w:r>
            <w:r>
              <w:rPr>
                <w:rFonts w:hint="eastAsia" w:ascii="宋体" w:hAnsi="宋体" w:cs="Arial"/>
                <w:kern w:val="0"/>
                <w:sz w:val="24"/>
                <w:szCs w:val="24"/>
              </w:rPr>
              <w:t>驱动器</w:t>
            </w:r>
          </w:p>
          <w:p>
            <w:pPr>
              <w:widowControl/>
              <w:jc w:val="both"/>
              <w:rPr>
                <w:rFonts w:hint="eastAsia" w:ascii="宋体" w:hAnsi="宋体" w:cs="Arial"/>
                <w:kern w:val="0"/>
                <w:sz w:val="24"/>
                <w:szCs w:val="24"/>
              </w:rPr>
            </w:pPr>
            <w:r>
              <w:rPr>
                <w:rFonts w:hint="eastAsia" w:ascii="宋体" w:hAnsi="宋体" w:cs="Arial"/>
                <w:kern w:val="0"/>
                <w:sz w:val="24"/>
                <w:szCs w:val="24"/>
              </w:rPr>
              <w:t>应采用全电脑集散模块化串行通讯网络控制系统，供方应说明系统产地、制造 厂商</w:t>
            </w:r>
          </w:p>
          <w:p>
            <w:pPr>
              <w:widowControl/>
              <w:jc w:val="both"/>
              <w:rPr>
                <w:rFonts w:hint="eastAsia" w:ascii="宋体" w:hAnsi="宋体" w:cs="Arial"/>
                <w:kern w:val="0"/>
                <w:sz w:val="24"/>
                <w:szCs w:val="24"/>
              </w:rPr>
            </w:pPr>
          </w:p>
        </w:tc>
      </w:tr>
      <w:tr>
        <w:tblPrEx>
          <w:tblCellMar>
            <w:top w:w="0" w:type="dxa"/>
            <w:left w:w="108" w:type="dxa"/>
            <w:bottom w:w="0" w:type="dxa"/>
            <w:right w:w="108" w:type="dxa"/>
          </w:tblCellMar>
        </w:tblPrEx>
        <w:trPr>
          <w:trHeight w:val="967" w:hRule="atLeast"/>
        </w:trPr>
        <w:tc>
          <w:tcPr>
            <w:tcW w:w="270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Arial"/>
                <w:b/>
                <w:bCs/>
                <w:kern w:val="0"/>
                <w:sz w:val="24"/>
                <w:szCs w:val="24"/>
              </w:rPr>
            </w:pPr>
            <w:r>
              <w:rPr>
                <w:rFonts w:hint="eastAsia" w:ascii="宋体" w:hAnsi="宋体" w:cs="Arial"/>
                <w:b/>
                <w:bCs/>
                <w:kern w:val="0"/>
                <w:sz w:val="24"/>
                <w:szCs w:val="24"/>
              </w:rPr>
              <w:t>Ⅱ</w:t>
            </w:r>
            <w:r>
              <w:rPr>
                <w:rFonts w:ascii="Arial" w:hAnsi="Arial" w:cs="Arial"/>
                <w:b/>
                <w:bCs/>
                <w:kern w:val="0"/>
                <w:sz w:val="24"/>
                <w:szCs w:val="24"/>
              </w:rPr>
              <w:t xml:space="preserve"> </w:t>
            </w:r>
            <w:r>
              <w:rPr>
                <w:rFonts w:hint="eastAsia" w:ascii="宋体" w:hAnsi="宋体" w:cs="Arial"/>
                <w:b/>
                <w:bCs/>
                <w:kern w:val="0"/>
                <w:sz w:val="24"/>
                <w:szCs w:val="24"/>
              </w:rPr>
              <w:t>曳引机</w:t>
            </w:r>
            <w:r>
              <w:rPr>
                <w:rFonts w:ascii="Arial" w:hAnsi="Arial" w:cs="Arial"/>
                <w:b/>
                <w:bCs/>
                <w:kern w:val="0"/>
                <w:sz w:val="24"/>
                <w:szCs w:val="24"/>
              </w:rPr>
              <w:br w:type="textWrapping"/>
            </w:r>
          </w:p>
        </w:tc>
        <w:tc>
          <w:tcPr>
            <w:tcW w:w="6153" w:type="dxa"/>
            <w:tcBorders>
              <w:top w:val="single" w:color="auto" w:sz="4" w:space="0"/>
              <w:left w:val="nil"/>
              <w:bottom w:val="nil"/>
              <w:right w:val="single" w:color="auto" w:sz="4" w:space="0"/>
            </w:tcBorders>
            <w:noWrap w:val="0"/>
            <w:vAlign w:val="center"/>
          </w:tcPr>
          <w:p>
            <w:pPr>
              <w:widowControl/>
              <w:jc w:val="both"/>
              <w:rPr>
                <w:rFonts w:hint="eastAsia" w:ascii="宋体" w:hAnsi="宋体" w:cs="Arial"/>
                <w:kern w:val="0"/>
                <w:sz w:val="24"/>
                <w:szCs w:val="24"/>
              </w:rPr>
            </w:pPr>
            <w:r>
              <w:rPr>
                <w:rFonts w:hint="eastAsia" w:ascii="宋体" w:hAnsi="宋体" w:cs="Arial"/>
                <w:kern w:val="0"/>
                <w:sz w:val="24"/>
                <w:szCs w:val="24"/>
              </w:rPr>
              <w:t>无齿轮曳引机</w:t>
            </w:r>
            <w:r>
              <w:rPr>
                <w:rFonts w:hint="eastAsia" w:ascii="Arial" w:hAnsi="Arial" w:cs="Arial"/>
                <w:kern w:val="0"/>
                <w:sz w:val="24"/>
                <w:szCs w:val="24"/>
                <w:lang w:eastAsia="zh-CN"/>
              </w:rPr>
              <w:t>、</w:t>
            </w:r>
            <w:r>
              <w:rPr>
                <w:rFonts w:ascii="Arial" w:hAnsi="Arial" w:cs="Arial"/>
                <w:kern w:val="0"/>
                <w:sz w:val="24"/>
                <w:szCs w:val="24"/>
              </w:rPr>
              <w:t>正余弦编码器</w:t>
            </w:r>
            <w:r>
              <w:rPr>
                <w:rFonts w:hint="eastAsia" w:ascii="Arial" w:hAnsi="Arial" w:cs="Arial"/>
                <w:kern w:val="0"/>
                <w:sz w:val="24"/>
                <w:szCs w:val="24"/>
                <w:lang w:eastAsia="zh-CN"/>
              </w:rPr>
              <w:t>、</w:t>
            </w:r>
            <w:r>
              <w:rPr>
                <w:rFonts w:hint="eastAsia" w:ascii="宋体" w:hAnsi="宋体" w:cs="Arial"/>
                <w:kern w:val="0"/>
                <w:sz w:val="24"/>
                <w:szCs w:val="24"/>
              </w:rPr>
              <w:t>承载轴承</w:t>
            </w:r>
            <w:r>
              <w:rPr>
                <w:rFonts w:hint="eastAsia" w:ascii="宋体" w:hAnsi="宋体" w:cs="Arial"/>
                <w:kern w:val="0"/>
                <w:sz w:val="24"/>
                <w:szCs w:val="24"/>
                <w:lang w:eastAsia="zh-CN"/>
              </w:rPr>
              <w:t>、</w:t>
            </w:r>
            <w:r>
              <w:rPr>
                <w:rFonts w:hint="eastAsia" w:ascii="宋体" w:hAnsi="宋体" w:cs="Arial"/>
                <w:kern w:val="0"/>
                <w:sz w:val="24"/>
                <w:szCs w:val="24"/>
              </w:rPr>
              <w:t>制动器装置</w:t>
            </w:r>
          </w:p>
          <w:p>
            <w:pPr>
              <w:widowControl/>
              <w:jc w:val="both"/>
              <w:rPr>
                <w:rFonts w:hint="eastAsia" w:ascii="宋体" w:hAnsi="宋体" w:cs="Arial"/>
                <w:kern w:val="0"/>
                <w:sz w:val="24"/>
                <w:szCs w:val="24"/>
              </w:rPr>
            </w:pPr>
            <w:r>
              <w:rPr>
                <w:rFonts w:hint="eastAsia" w:ascii="宋体" w:hAnsi="宋体" w:cs="Arial"/>
                <w:kern w:val="0"/>
                <w:sz w:val="24"/>
                <w:szCs w:val="24"/>
              </w:rPr>
              <w:t>必须采用永磁同步无齿轮曳引机。</w:t>
            </w:r>
          </w:p>
        </w:tc>
      </w:tr>
      <w:tr>
        <w:tblPrEx>
          <w:tblCellMar>
            <w:top w:w="0" w:type="dxa"/>
            <w:left w:w="108" w:type="dxa"/>
            <w:bottom w:w="0" w:type="dxa"/>
            <w:right w:w="108" w:type="dxa"/>
          </w:tblCellMar>
        </w:tblPrEx>
        <w:trPr>
          <w:trHeight w:val="1178" w:hRule="atLeast"/>
        </w:trPr>
        <w:tc>
          <w:tcPr>
            <w:tcW w:w="2700" w:type="dxa"/>
            <w:tcBorders>
              <w:top w:val="nil"/>
              <w:left w:val="single" w:color="auto" w:sz="8" w:space="0"/>
              <w:bottom w:val="single" w:color="000000" w:sz="4" w:space="0"/>
              <w:right w:val="single" w:color="auto" w:sz="4" w:space="0"/>
            </w:tcBorders>
            <w:shd w:val="clear" w:color="000000" w:fill="FFFFFF"/>
            <w:noWrap w:val="0"/>
            <w:vAlign w:val="center"/>
          </w:tcPr>
          <w:p>
            <w:pPr>
              <w:widowControl/>
              <w:jc w:val="center"/>
              <w:rPr>
                <w:rFonts w:ascii="宋体" w:hAnsi="宋体" w:cs="Arial"/>
                <w:b/>
                <w:bCs/>
                <w:kern w:val="0"/>
                <w:sz w:val="24"/>
                <w:szCs w:val="24"/>
              </w:rPr>
            </w:pPr>
            <w:r>
              <w:rPr>
                <w:rFonts w:hint="eastAsia" w:ascii="宋体" w:hAnsi="宋体" w:cs="Arial"/>
                <w:b/>
                <w:bCs/>
                <w:kern w:val="0"/>
                <w:sz w:val="24"/>
                <w:szCs w:val="24"/>
              </w:rPr>
              <w:t>Ⅲ</w:t>
            </w:r>
            <w:r>
              <w:rPr>
                <w:rFonts w:ascii="Arial" w:hAnsi="Arial" w:cs="Arial"/>
                <w:b/>
                <w:bCs/>
                <w:kern w:val="0"/>
                <w:sz w:val="24"/>
                <w:szCs w:val="24"/>
              </w:rPr>
              <w:t xml:space="preserve"> </w:t>
            </w:r>
            <w:r>
              <w:rPr>
                <w:rFonts w:hint="eastAsia" w:ascii="宋体" w:hAnsi="宋体" w:cs="Arial"/>
                <w:b/>
                <w:bCs/>
                <w:kern w:val="0"/>
                <w:sz w:val="24"/>
                <w:szCs w:val="24"/>
              </w:rPr>
              <w:t>门系统</w:t>
            </w:r>
            <w:r>
              <w:rPr>
                <w:rFonts w:hint="eastAsia" w:ascii="宋体" w:hAnsi="宋体" w:cs="Arial"/>
                <w:b/>
                <w:bCs/>
                <w:kern w:val="0"/>
                <w:sz w:val="24"/>
                <w:szCs w:val="24"/>
              </w:rPr>
              <w:br w:type="textWrapping"/>
            </w:r>
          </w:p>
        </w:tc>
        <w:tc>
          <w:tcPr>
            <w:tcW w:w="6153"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cs="Arial"/>
                <w:kern w:val="0"/>
                <w:sz w:val="24"/>
                <w:szCs w:val="24"/>
              </w:rPr>
            </w:pPr>
            <w:r>
              <w:rPr>
                <w:rFonts w:hint="eastAsia" w:ascii="宋体" w:hAnsi="宋体" w:cs="Arial"/>
                <w:kern w:val="0"/>
                <w:sz w:val="24"/>
                <w:szCs w:val="24"/>
              </w:rPr>
              <w:t>永磁变频门机</w:t>
            </w:r>
            <w:r>
              <w:rPr>
                <w:rFonts w:hint="eastAsia" w:ascii="宋体" w:hAnsi="宋体" w:cs="Arial"/>
                <w:kern w:val="0"/>
                <w:sz w:val="24"/>
                <w:szCs w:val="24"/>
                <w:lang w:eastAsia="zh-CN"/>
              </w:rPr>
              <w:t>、</w:t>
            </w:r>
            <w:r>
              <w:rPr>
                <w:rFonts w:hint="eastAsia" w:ascii="宋体" w:hAnsi="宋体" w:cs="Arial"/>
                <w:kern w:val="0"/>
                <w:sz w:val="24"/>
                <w:szCs w:val="24"/>
              </w:rPr>
              <w:t>门机主控处理器</w:t>
            </w:r>
            <w:r>
              <w:rPr>
                <w:rFonts w:hint="eastAsia" w:ascii="宋体" w:hAnsi="宋体" w:cs="Arial"/>
                <w:kern w:val="0"/>
                <w:sz w:val="24"/>
                <w:szCs w:val="24"/>
                <w:lang w:eastAsia="zh-CN"/>
              </w:rPr>
              <w:t>、</w:t>
            </w:r>
            <w:r>
              <w:rPr>
                <w:rFonts w:hint="eastAsia" w:ascii="宋体" w:hAnsi="宋体" w:cs="Arial"/>
                <w:kern w:val="0"/>
                <w:sz w:val="24"/>
                <w:szCs w:val="24"/>
              </w:rPr>
              <w:t>厅门</w:t>
            </w:r>
            <w:r>
              <w:rPr>
                <w:rFonts w:hint="eastAsia" w:ascii="宋体" w:hAnsi="宋体" w:cs="Arial"/>
                <w:kern w:val="0"/>
                <w:sz w:val="24"/>
                <w:szCs w:val="24"/>
                <w:lang w:eastAsia="zh-CN"/>
              </w:rPr>
              <w:t>、</w:t>
            </w:r>
            <w:r>
              <w:rPr>
                <w:rFonts w:hint="eastAsia" w:ascii="宋体" w:hAnsi="宋体" w:cs="Arial"/>
                <w:kern w:val="0"/>
                <w:sz w:val="24"/>
                <w:szCs w:val="24"/>
              </w:rPr>
              <w:t>增强型地坎部件</w:t>
            </w:r>
          </w:p>
          <w:p>
            <w:pPr>
              <w:widowControl/>
              <w:jc w:val="both"/>
              <w:rPr>
                <w:rFonts w:hint="eastAsia" w:ascii="宋体" w:hAnsi="宋体" w:cs="Arial"/>
                <w:kern w:val="0"/>
                <w:sz w:val="24"/>
                <w:szCs w:val="24"/>
              </w:rPr>
            </w:pPr>
            <w:r>
              <w:rPr>
                <w:rFonts w:hint="eastAsia" w:ascii="宋体" w:hAnsi="宋体" w:cs="Arial"/>
                <w:kern w:val="0"/>
                <w:sz w:val="24"/>
                <w:szCs w:val="24"/>
              </w:rPr>
              <w:t>采用永磁同步无齿轮交流变压变频（VVVF）门机系统。</w:t>
            </w:r>
          </w:p>
        </w:tc>
      </w:tr>
      <w:tr>
        <w:tblPrEx>
          <w:tblCellMar>
            <w:top w:w="0" w:type="dxa"/>
            <w:left w:w="108" w:type="dxa"/>
            <w:bottom w:w="0" w:type="dxa"/>
            <w:right w:w="108" w:type="dxa"/>
          </w:tblCellMar>
        </w:tblPrEx>
        <w:trPr>
          <w:trHeight w:val="1430" w:hRule="atLeast"/>
        </w:trPr>
        <w:tc>
          <w:tcPr>
            <w:tcW w:w="270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Arial"/>
                <w:b/>
                <w:bCs/>
                <w:kern w:val="0"/>
                <w:sz w:val="24"/>
                <w:szCs w:val="24"/>
              </w:rPr>
            </w:pPr>
            <w:r>
              <w:rPr>
                <w:rFonts w:hint="eastAsia" w:ascii="宋体" w:hAnsi="宋体" w:cs="Arial"/>
                <w:b/>
                <w:bCs/>
                <w:kern w:val="0"/>
                <w:sz w:val="24"/>
                <w:szCs w:val="24"/>
              </w:rPr>
              <w:t>Ⅳ</w:t>
            </w:r>
            <w:r>
              <w:rPr>
                <w:rFonts w:ascii="Arial" w:hAnsi="Arial" w:cs="Arial"/>
                <w:b/>
                <w:bCs/>
                <w:kern w:val="0"/>
                <w:sz w:val="24"/>
                <w:szCs w:val="24"/>
              </w:rPr>
              <w:t xml:space="preserve"> </w:t>
            </w:r>
            <w:r>
              <w:rPr>
                <w:rFonts w:hint="eastAsia" w:ascii="宋体" w:hAnsi="宋体" w:cs="Arial"/>
                <w:b/>
                <w:bCs/>
                <w:kern w:val="0"/>
                <w:sz w:val="24"/>
                <w:szCs w:val="24"/>
              </w:rPr>
              <w:t>主要控制与安全部件</w:t>
            </w:r>
            <w:r>
              <w:rPr>
                <w:rFonts w:hint="eastAsia" w:ascii="宋体" w:hAnsi="宋体" w:cs="Arial"/>
                <w:b/>
                <w:bCs/>
                <w:kern w:val="0"/>
                <w:sz w:val="24"/>
                <w:szCs w:val="24"/>
              </w:rPr>
              <w:br w:type="textWrapping"/>
            </w:r>
          </w:p>
        </w:tc>
        <w:tc>
          <w:tcPr>
            <w:tcW w:w="6153"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cs="Arial"/>
                <w:kern w:val="0"/>
                <w:sz w:val="24"/>
                <w:szCs w:val="24"/>
              </w:rPr>
            </w:pPr>
            <w:r>
              <w:rPr>
                <w:rFonts w:hint="eastAsia" w:ascii="宋体" w:hAnsi="宋体" w:cs="Arial"/>
                <w:kern w:val="0"/>
                <w:sz w:val="24"/>
                <w:szCs w:val="24"/>
              </w:rPr>
              <w:t>安全钳</w:t>
            </w:r>
            <w:r>
              <w:rPr>
                <w:rFonts w:hint="eastAsia" w:ascii="宋体" w:hAnsi="宋体" w:cs="Arial"/>
                <w:kern w:val="0"/>
                <w:sz w:val="24"/>
                <w:szCs w:val="24"/>
                <w:lang w:eastAsia="zh-CN"/>
              </w:rPr>
              <w:t>、</w:t>
            </w:r>
            <w:r>
              <w:rPr>
                <w:rFonts w:hint="eastAsia" w:ascii="宋体" w:hAnsi="宋体" w:cs="Arial"/>
                <w:kern w:val="0"/>
                <w:sz w:val="24"/>
                <w:szCs w:val="24"/>
              </w:rPr>
              <w:t>限速器</w:t>
            </w:r>
            <w:r>
              <w:rPr>
                <w:rFonts w:hint="eastAsia" w:ascii="宋体" w:hAnsi="宋体" w:cs="Arial"/>
                <w:kern w:val="0"/>
                <w:sz w:val="24"/>
                <w:szCs w:val="24"/>
                <w:lang w:eastAsia="zh-CN"/>
              </w:rPr>
              <w:t>、</w:t>
            </w:r>
            <w:r>
              <w:rPr>
                <w:rFonts w:hint="eastAsia" w:ascii="宋体" w:hAnsi="宋体" w:cs="Arial"/>
                <w:kern w:val="0"/>
                <w:sz w:val="24"/>
                <w:szCs w:val="24"/>
              </w:rPr>
              <w:t>缓冲器</w:t>
            </w:r>
            <w:r>
              <w:rPr>
                <w:rFonts w:hint="eastAsia" w:ascii="宋体" w:hAnsi="宋体" w:cs="Arial"/>
                <w:kern w:val="0"/>
                <w:sz w:val="24"/>
                <w:szCs w:val="24"/>
                <w:lang w:eastAsia="zh-CN"/>
              </w:rPr>
              <w:t>、</w:t>
            </w:r>
            <w:r>
              <w:rPr>
                <w:rFonts w:hint="eastAsia" w:ascii="宋体" w:hAnsi="宋体" w:cs="Arial"/>
                <w:kern w:val="0"/>
                <w:sz w:val="24"/>
                <w:szCs w:val="24"/>
              </w:rPr>
              <w:t>光幕</w:t>
            </w:r>
          </w:p>
          <w:p>
            <w:pPr>
              <w:widowControl/>
              <w:jc w:val="both"/>
              <w:rPr>
                <w:rFonts w:hint="eastAsia" w:ascii="宋体" w:hAnsi="宋体" w:eastAsia="宋体" w:cs="Arial"/>
                <w:kern w:val="0"/>
                <w:sz w:val="24"/>
                <w:szCs w:val="24"/>
                <w:lang w:eastAsia="zh-CN"/>
              </w:rPr>
            </w:pPr>
            <w:r>
              <w:rPr>
                <w:rFonts w:hint="eastAsia" w:ascii="宋体" w:hAnsi="宋体" w:cs="Arial"/>
                <w:kern w:val="0"/>
                <w:sz w:val="24"/>
                <w:szCs w:val="24"/>
              </w:rPr>
              <w:t>应采用全电脑集散模块化串行通讯网络控制系统，供方应说明系统产地、制造厂商</w:t>
            </w:r>
            <w:r>
              <w:rPr>
                <w:rFonts w:hint="eastAsia" w:ascii="宋体" w:hAnsi="宋体" w:cs="Arial"/>
                <w:kern w:val="0"/>
                <w:sz w:val="24"/>
                <w:szCs w:val="24"/>
                <w:lang w:eastAsia="zh-CN"/>
              </w:rPr>
              <w:t>。</w:t>
            </w:r>
          </w:p>
          <w:p>
            <w:pPr>
              <w:widowControl/>
              <w:jc w:val="both"/>
              <w:rPr>
                <w:rFonts w:hint="eastAsia" w:ascii="宋体" w:hAnsi="宋体" w:cs="Arial"/>
                <w:kern w:val="0"/>
                <w:sz w:val="24"/>
                <w:szCs w:val="24"/>
              </w:rPr>
            </w:pPr>
            <w:r>
              <w:rPr>
                <w:rFonts w:hint="eastAsia" w:ascii="宋体" w:hAnsi="宋体" w:cs="Arial"/>
                <w:kern w:val="0"/>
                <w:sz w:val="24"/>
                <w:szCs w:val="24"/>
              </w:rPr>
              <w:t>核心五大件：主机、控制柜、门机，安全钳，限速器必须为原厂原品牌。</w:t>
            </w:r>
          </w:p>
        </w:tc>
      </w:tr>
      <w:tr>
        <w:tblPrEx>
          <w:tblCellMar>
            <w:top w:w="0" w:type="dxa"/>
            <w:left w:w="108" w:type="dxa"/>
            <w:bottom w:w="0" w:type="dxa"/>
            <w:right w:w="108" w:type="dxa"/>
          </w:tblCellMar>
        </w:tblPrEx>
        <w:trPr>
          <w:trHeight w:val="1406" w:hRule="atLeast"/>
        </w:trPr>
        <w:tc>
          <w:tcPr>
            <w:tcW w:w="2700" w:type="dxa"/>
            <w:tcBorders>
              <w:top w:val="nil"/>
              <w:left w:val="single" w:color="auto" w:sz="8" w:space="0"/>
              <w:bottom w:val="single" w:color="000000" w:sz="8" w:space="0"/>
              <w:right w:val="single" w:color="auto" w:sz="4" w:space="0"/>
            </w:tcBorders>
            <w:noWrap w:val="0"/>
            <w:vAlign w:val="center"/>
          </w:tcPr>
          <w:p>
            <w:pPr>
              <w:widowControl/>
              <w:jc w:val="center"/>
              <w:rPr>
                <w:rFonts w:ascii="宋体" w:hAnsi="宋体" w:cs="Arial"/>
                <w:b/>
                <w:bCs/>
                <w:kern w:val="0"/>
                <w:sz w:val="24"/>
                <w:szCs w:val="24"/>
              </w:rPr>
            </w:pPr>
            <w:r>
              <w:rPr>
                <w:rFonts w:hint="eastAsia" w:ascii="宋体" w:hAnsi="宋体" w:cs="Arial"/>
                <w:b/>
                <w:bCs/>
                <w:kern w:val="0"/>
                <w:sz w:val="24"/>
                <w:szCs w:val="24"/>
              </w:rPr>
              <w:t>Ⅴ</w:t>
            </w:r>
            <w:r>
              <w:rPr>
                <w:rFonts w:ascii="Arial" w:hAnsi="Arial" w:cs="Arial"/>
                <w:b/>
                <w:bCs/>
                <w:kern w:val="0"/>
                <w:sz w:val="24"/>
                <w:szCs w:val="24"/>
              </w:rPr>
              <w:t xml:space="preserve"> </w:t>
            </w:r>
            <w:r>
              <w:rPr>
                <w:rFonts w:hint="eastAsia" w:ascii="宋体" w:hAnsi="宋体" w:cs="Arial"/>
                <w:b/>
                <w:bCs/>
                <w:kern w:val="0"/>
                <w:sz w:val="24"/>
                <w:szCs w:val="24"/>
              </w:rPr>
              <w:t>分散控制系统</w:t>
            </w:r>
            <w:r>
              <w:rPr>
                <w:rFonts w:ascii="Arial" w:hAnsi="Arial" w:cs="Arial"/>
                <w:b/>
                <w:bCs/>
                <w:kern w:val="0"/>
                <w:sz w:val="24"/>
                <w:szCs w:val="24"/>
              </w:rPr>
              <w:br w:type="textWrapping"/>
            </w:r>
          </w:p>
        </w:tc>
        <w:tc>
          <w:tcPr>
            <w:tcW w:w="6153" w:type="dxa"/>
            <w:tcBorders>
              <w:top w:val="single" w:color="auto" w:sz="4" w:space="0"/>
              <w:left w:val="nil"/>
              <w:bottom w:val="single" w:color="auto" w:sz="4" w:space="0"/>
              <w:right w:val="single" w:color="auto" w:sz="4" w:space="0"/>
            </w:tcBorders>
            <w:noWrap w:val="0"/>
            <w:vAlign w:val="center"/>
          </w:tcPr>
          <w:p>
            <w:pPr>
              <w:widowControl/>
              <w:jc w:val="both"/>
              <w:rPr>
                <w:rFonts w:ascii="宋体" w:hAnsi="宋体" w:cs="Arial"/>
                <w:kern w:val="0"/>
                <w:sz w:val="24"/>
                <w:szCs w:val="24"/>
              </w:rPr>
            </w:pPr>
            <w:r>
              <w:rPr>
                <w:rFonts w:hint="eastAsia" w:ascii="宋体" w:hAnsi="宋体" w:cs="Arial"/>
                <w:kern w:val="0"/>
                <w:sz w:val="24"/>
                <w:szCs w:val="24"/>
              </w:rPr>
              <w:t>轿厢操纵器</w:t>
            </w:r>
            <w:r>
              <w:rPr>
                <w:rFonts w:hint="eastAsia" w:ascii="宋体" w:hAnsi="宋体" w:cs="Arial"/>
                <w:kern w:val="0"/>
                <w:sz w:val="24"/>
                <w:szCs w:val="24"/>
                <w:lang w:eastAsia="zh-CN"/>
              </w:rPr>
              <w:t>、</w:t>
            </w:r>
            <w:r>
              <w:rPr>
                <w:rFonts w:hint="eastAsia" w:ascii="宋体" w:hAnsi="宋体" w:cs="Arial"/>
                <w:kern w:val="0"/>
                <w:sz w:val="24"/>
                <w:szCs w:val="24"/>
              </w:rPr>
              <w:t>厅外召唤盒</w:t>
            </w:r>
            <w:r>
              <w:rPr>
                <w:rFonts w:hint="eastAsia" w:ascii="宋体" w:hAnsi="宋体" w:cs="Arial"/>
                <w:kern w:val="0"/>
                <w:sz w:val="24"/>
                <w:szCs w:val="24"/>
                <w:lang w:eastAsia="zh-CN"/>
              </w:rPr>
              <w:t>、</w:t>
            </w:r>
            <w:r>
              <w:rPr>
                <w:rFonts w:hint="eastAsia" w:ascii="宋体" w:hAnsi="宋体" w:cs="Arial"/>
                <w:kern w:val="0"/>
                <w:sz w:val="24"/>
                <w:szCs w:val="24"/>
              </w:rPr>
              <w:t>载荷传感装置</w:t>
            </w:r>
          </w:p>
        </w:tc>
      </w:tr>
      <w:tr>
        <w:tblPrEx>
          <w:tblCellMar>
            <w:top w:w="0" w:type="dxa"/>
            <w:left w:w="108" w:type="dxa"/>
            <w:bottom w:w="0" w:type="dxa"/>
            <w:right w:w="108" w:type="dxa"/>
          </w:tblCellMar>
        </w:tblPrEx>
        <w:trPr>
          <w:trHeight w:val="1275" w:hRule="atLeast"/>
        </w:trPr>
        <w:tc>
          <w:tcPr>
            <w:tcW w:w="270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Arial"/>
                <w:b/>
                <w:bCs/>
                <w:kern w:val="0"/>
                <w:sz w:val="24"/>
                <w:szCs w:val="24"/>
              </w:rPr>
            </w:pPr>
            <w:r>
              <w:rPr>
                <w:rFonts w:hint="eastAsia" w:ascii="宋体" w:hAnsi="宋体" w:cs="Arial"/>
                <w:b/>
                <w:bCs/>
                <w:kern w:val="0"/>
                <w:sz w:val="24"/>
                <w:szCs w:val="24"/>
              </w:rPr>
              <w:t>Ⅵ</w:t>
            </w:r>
            <w:r>
              <w:rPr>
                <w:rFonts w:ascii="Arial" w:hAnsi="Arial" w:cs="Arial"/>
                <w:b/>
                <w:bCs/>
                <w:kern w:val="0"/>
                <w:sz w:val="24"/>
                <w:szCs w:val="24"/>
              </w:rPr>
              <w:t xml:space="preserve"> </w:t>
            </w:r>
            <w:r>
              <w:rPr>
                <w:rFonts w:hint="eastAsia" w:ascii="宋体" w:hAnsi="宋体" w:cs="Arial"/>
                <w:b/>
                <w:bCs/>
                <w:kern w:val="0"/>
                <w:sz w:val="24"/>
                <w:szCs w:val="24"/>
              </w:rPr>
              <w:t>轿厢</w:t>
            </w:r>
            <w:r>
              <w:rPr>
                <w:rFonts w:ascii="Arial" w:hAnsi="Arial" w:cs="Arial"/>
                <w:b/>
                <w:bCs/>
                <w:kern w:val="0"/>
                <w:sz w:val="24"/>
                <w:szCs w:val="24"/>
              </w:rPr>
              <w:br w:type="textWrapping"/>
            </w:r>
          </w:p>
        </w:tc>
        <w:tc>
          <w:tcPr>
            <w:tcW w:w="6153" w:type="dxa"/>
            <w:tcBorders>
              <w:top w:val="nil"/>
              <w:left w:val="nil"/>
              <w:bottom w:val="single" w:color="auto" w:sz="4" w:space="0"/>
              <w:right w:val="single" w:color="auto" w:sz="4" w:space="0"/>
            </w:tcBorders>
            <w:noWrap w:val="0"/>
            <w:vAlign w:val="center"/>
          </w:tcPr>
          <w:p>
            <w:pPr>
              <w:widowControl/>
              <w:jc w:val="both"/>
              <w:rPr>
                <w:rFonts w:hint="eastAsia" w:ascii="宋体" w:hAnsi="宋体" w:cs="Arial"/>
                <w:kern w:val="0"/>
                <w:sz w:val="24"/>
                <w:szCs w:val="24"/>
              </w:rPr>
            </w:pPr>
            <w:r>
              <w:rPr>
                <w:rFonts w:hint="eastAsia" w:ascii="宋体" w:hAnsi="宋体" w:cs="Arial"/>
                <w:kern w:val="0"/>
                <w:sz w:val="24"/>
                <w:szCs w:val="24"/>
              </w:rPr>
              <w:t>轿厢</w:t>
            </w:r>
            <w:r>
              <w:rPr>
                <w:rFonts w:hint="eastAsia" w:ascii="宋体" w:hAnsi="宋体" w:cs="Arial"/>
                <w:kern w:val="0"/>
                <w:sz w:val="24"/>
                <w:szCs w:val="24"/>
                <w:lang w:eastAsia="zh-CN"/>
              </w:rPr>
              <w:t>、</w:t>
            </w:r>
            <w:r>
              <w:rPr>
                <w:rFonts w:hint="eastAsia" w:ascii="宋体" w:hAnsi="宋体" w:cs="Arial"/>
                <w:kern w:val="0"/>
                <w:sz w:val="24"/>
                <w:szCs w:val="24"/>
              </w:rPr>
              <w:t>静音型通风系统</w:t>
            </w:r>
            <w:r>
              <w:rPr>
                <w:rFonts w:hint="eastAsia" w:ascii="宋体" w:hAnsi="宋体" w:cs="Arial"/>
                <w:kern w:val="0"/>
                <w:sz w:val="24"/>
                <w:szCs w:val="24"/>
                <w:lang w:eastAsia="zh-CN"/>
              </w:rPr>
              <w:t>、</w:t>
            </w:r>
            <w:r>
              <w:rPr>
                <w:rFonts w:hint="eastAsia" w:ascii="宋体" w:hAnsi="宋体" w:cs="Arial"/>
                <w:kern w:val="0"/>
                <w:sz w:val="24"/>
                <w:szCs w:val="24"/>
              </w:rPr>
              <w:t>宽幅轿厢减震系统</w:t>
            </w:r>
          </w:p>
          <w:p>
            <w:pPr>
              <w:widowControl/>
              <w:jc w:val="both"/>
              <w:rPr>
                <w:rFonts w:hint="eastAsia" w:ascii="宋体" w:hAnsi="宋体" w:cs="Arial"/>
                <w:kern w:val="0"/>
                <w:sz w:val="24"/>
                <w:szCs w:val="24"/>
              </w:rPr>
            </w:pPr>
            <w:r>
              <w:rPr>
                <w:rFonts w:hint="eastAsia" w:ascii="宋体" w:hAnsi="宋体" w:cs="Arial"/>
                <w:kern w:val="0"/>
                <w:sz w:val="24"/>
                <w:szCs w:val="24"/>
              </w:rPr>
              <w:t>经过统计由厅外召唤引起的开门等待时间会比由轿内指令引起的开门等待时间要长，此功能通过独立调整电梯在响应召唤和指令时的开门保持时间，来提高整体的运行效率。</w:t>
            </w:r>
          </w:p>
        </w:tc>
      </w:tr>
      <w:tr>
        <w:tblPrEx>
          <w:tblCellMar>
            <w:top w:w="0" w:type="dxa"/>
            <w:left w:w="108" w:type="dxa"/>
            <w:bottom w:w="0" w:type="dxa"/>
            <w:right w:w="108" w:type="dxa"/>
          </w:tblCellMar>
        </w:tblPrEx>
        <w:trPr>
          <w:trHeight w:val="1123" w:hRule="atLeast"/>
        </w:trPr>
        <w:tc>
          <w:tcPr>
            <w:tcW w:w="2700" w:type="dxa"/>
            <w:tcBorders>
              <w:top w:val="nil"/>
              <w:left w:val="single" w:color="auto" w:sz="8" w:space="0"/>
              <w:bottom w:val="nil"/>
              <w:right w:val="single" w:color="auto" w:sz="4" w:space="0"/>
            </w:tcBorders>
            <w:noWrap w:val="0"/>
            <w:vAlign w:val="center"/>
          </w:tcPr>
          <w:p>
            <w:pPr>
              <w:jc w:val="center"/>
              <w:rPr>
                <w:rFonts w:ascii="宋体" w:hAnsi="宋体" w:cs="Arial"/>
                <w:b/>
                <w:bCs/>
                <w:kern w:val="0"/>
                <w:sz w:val="24"/>
                <w:szCs w:val="24"/>
                <w:u w:val="single"/>
              </w:rPr>
            </w:pPr>
            <w:r>
              <w:rPr>
                <w:rFonts w:hint="eastAsia" w:ascii="宋体" w:hAnsi="宋体" w:cs="Arial"/>
                <w:b/>
                <w:bCs/>
                <w:kern w:val="0"/>
                <w:sz w:val="24"/>
                <w:szCs w:val="24"/>
              </w:rPr>
              <w:t>Ⅶ 井道部件</w:t>
            </w:r>
            <w:r>
              <w:rPr>
                <w:rFonts w:hint="eastAsia" w:ascii="宋体" w:hAnsi="宋体" w:cs="Arial"/>
                <w:b/>
                <w:bCs/>
                <w:kern w:val="0"/>
                <w:sz w:val="24"/>
                <w:szCs w:val="24"/>
              </w:rPr>
              <w:br w:type="textWrapping"/>
            </w:r>
          </w:p>
        </w:tc>
        <w:tc>
          <w:tcPr>
            <w:tcW w:w="6153" w:type="dxa"/>
            <w:tcBorders>
              <w:top w:val="single" w:color="auto" w:sz="4" w:space="0"/>
              <w:left w:val="nil"/>
              <w:bottom w:val="single" w:color="auto" w:sz="4" w:space="0"/>
              <w:right w:val="single" w:color="000000" w:sz="4" w:space="0"/>
            </w:tcBorders>
            <w:noWrap w:val="0"/>
            <w:vAlign w:val="center"/>
          </w:tcPr>
          <w:p>
            <w:pPr>
              <w:widowControl/>
              <w:jc w:val="both"/>
              <w:rPr>
                <w:rFonts w:hint="eastAsia" w:ascii="宋体" w:hAnsi="宋体" w:cs="Arial"/>
                <w:kern w:val="0"/>
                <w:sz w:val="24"/>
                <w:szCs w:val="24"/>
              </w:rPr>
            </w:pPr>
            <w:r>
              <w:rPr>
                <w:rFonts w:hint="eastAsia" w:ascii="宋体" w:hAnsi="宋体" w:cs="Arial"/>
                <w:kern w:val="0"/>
                <w:sz w:val="24"/>
                <w:szCs w:val="24"/>
              </w:rPr>
              <w:t>井道内固定件</w:t>
            </w:r>
            <w:r>
              <w:rPr>
                <w:rFonts w:hint="eastAsia" w:ascii="宋体" w:hAnsi="宋体" w:cs="Arial"/>
                <w:kern w:val="0"/>
                <w:sz w:val="24"/>
                <w:szCs w:val="24"/>
                <w:lang w:eastAsia="zh-CN"/>
              </w:rPr>
              <w:t>：</w:t>
            </w:r>
            <w:r>
              <w:rPr>
                <w:rFonts w:hint="eastAsia" w:ascii="宋体" w:hAnsi="宋体" w:cs="Arial"/>
                <w:kern w:val="0"/>
                <w:sz w:val="24"/>
                <w:szCs w:val="24"/>
              </w:rPr>
              <w:t>要求其零部件结构合理，牢固耐用，抗锈蚀能力强。</w:t>
            </w:r>
          </w:p>
          <w:p>
            <w:pPr>
              <w:widowControl/>
              <w:jc w:val="both"/>
              <w:rPr>
                <w:rFonts w:hint="eastAsia" w:ascii="宋体" w:hAnsi="宋体" w:cs="Arial"/>
                <w:kern w:val="0"/>
                <w:sz w:val="24"/>
                <w:szCs w:val="24"/>
              </w:rPr>
            </w:pPr>
            <w:r>
              <w:rPr>
                <w:rFonts w:hint="eastAsia" w:ascii="宋体" w:hAnsi="宋体" w:cs="Arial"/>
                <w:kern w:val="0"/>
                <w:sz w:val="24"/>
                <w:szCs w:val="24"/>
              </w:rPr>
              <w:t>井道照明</w:t>
            </w:r>
            <w:r>
              <w:rPr>
                <w:rFonts w:hint="eastAsia" w:ascii="宋体" w:hAnsi="宋体" w:cs="Arial"/>
                <w:kern w:val="0"/>
                <w:sz w:val="24"/>
                <w:szCs w:val="24"/>
                <w:lang w:eastAsia="zh-CN"/>
              </w:rPr>
              <w:t>：</w:t>
            </w:r>
            <w:r>
              <w:rPr>
                <w:rFonts w:hint="eastAsia" w:ascii="宋体" w:hAnsi="宋体" w:cs="Arial"/>
                <w:kern w:val="0"/>
                <w:sz w:val="24"/>
                <w:szCs w:val="24"/>
              </w:rPr>
              <w:t>要求每部电梯井道设低压照明装置。安装要求符合国家规范。</w:t>
            </w:r>
          </w:p>
        </w:tc>
      </w:tr>
    </w:tbl>
    <w:p>
      <w:pPr>
        <w:keepNext w:val="0"/>
        <w:keepLines w:val="0"/>
        <w:widowControl/>
        <w:suppressLineNumbers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其他要求：在满足国内各项法定规范的前提下，请各厂商在电梯运行操作管理功能中按最高标准的基本规格。</w:t>
      </w:r>
    </w:p>
    <w:p>
      <w:pPr>
        <w:keepNext w:val="0"/>
        <w:keepLines w:val="0"/>
        <w:widowControl/>
        <w:suppressLineNumbers w:val="0"/>
        <w:jc w:val="left"/>
        <w:rPr>
          <w:rFonts w:hint="eastAsia" w:ascii="仿宋" w:hAnsi="仿宋" w:eastAsia="仿宋" w:cs="仿宋"/>
          <w:sz w:val="24"/>
          <w:szCs w:val="24"/>
          <w:lang w:eastAsia="zh-CN"/>
        </w:rPr>
      </w:pPr>
    </w:p>
    <w:p>
      <w:pPr>
        <w:keepNext w:val="0"/>
        <w:keepLines w:val="0"/>
        <w:widowControl/>
        <w:suppressLineNumbers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电梯部件应按照 GB/T10058-2009 提供有效的型式试验证明。生产厂的部件试验： （1）试验部件：液压泵、阀、油缸、限速器、安全钳、缓冲器、门和开门机、门锁、绳头 结合、选层器、钢带、安全保护开关、底坑缓冲器、操纵盘等。 （2）试验内容：方法、设备、时间、次数和结果等均应符合我国的现行法律、法规、规章 和安全技术规范，并向招标人提供检查报告。</w:t>
      </w:r>
    </w:p>
    <w:p>
      <w:pPr>
        <w:keepNext w:val="0"/>
        <w:keepLines w:val="0"/>
        <w:widowControl/>
        <w:suppressLineNumbers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安装现场性能试验： （1）按照 GB7588-2003，GB10060-2005 进行安装检验。 （2）按照 GB/T10059-2009 进行振动加速度、机房、轿厢噪声试验及相应规定的测试项目。 （3）按技术条件要求进行使用功能试验，并向招标人提供检测报告。</w:t>
      </w:r>
    </w:p>
    <w:p>
      <w:pPr>
        <w:keepNext w:val="0"/>
        <w:keepLines w:val="0"/>
        <w:widowControl/>
        <w:suppressLineNumbers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投标人应提供以下服务项目（不限于此）： （1）执行和监督所提供设备的现场安装和调试。 （2）提供安装和维修工具。 （3）提供设备主要部件的详细操作手册和维修手册。 （4）投标人应为招标人提供设备正常运行两年的易损件和常用备件。</w:t>
      </w:r>
    </w:p>
    <w:p>
      <w:pPr>
        <w:pStyle w:val="2"/>
        <w:rPr>
          <w:rFonts w:hint="eastAsia" w:ascii="仿宋" w:hAnsi="仿宋" w:eastAsia="仿宋" w:cs="仿宋"/>
          <w:sz w:val="24"/>
          <w:szCs w:val="24"/>
          <w:lang w:eastAsia="zh-CN"/>
        </w:rPr>
      </w:pPr>
    </w:p>
    <w:p>
      <w:pPr>
        <w:pStyle w:val="2"/>
        <w:numPr>
          <w:ilvl w:val="0"/>
          <w:numId w:val="5"/>
        </w:numPr>
        <w:ind w:left="0" w:leftChars="0" w:firstLine="0" w:firstLineChars="0"/>
        <w:jc w:val="left"/>
        <w:rPr>
          <w:rFonts w:hint="eastAsia" w:ascii="仿宋" w:hAnsi="仿宋" w:eastAsia="仿宋" w:cs="仿宋"/>
          <w:b/>
          <w:kern w:val="2"/>
          <w:sz w:val="32"/>
          <w:szCs w:val="32"/>
          <w:highlight w:val="yellow"/>
          <w:lang w:val="en-US" w:eastAsia="zh-CN" w:bidi="ar-SA"/>
        </w:rPr>
      </w:pPr>
      <w:r>
        <w:rPr>
          <w:rFonts w:hint="eastAsia" w:ascii="仿宋" w:hAnsi="仿宋" w:eastAsia="仿宋" w:cs="仿宋"/>
          <w:b/>
          <w:kern w:val="2"/>
          <w:sz w:val="32"/>
          <w:szCs w:val="32"/>
          <w:highlight w:val="yellow"/>
          <w:lang w:val="en-US" w:eastAsia="zh-CN" w:bidi="ar-SA"/>
        </w:rPr>
        <w:t>商务要求</w:t>
      </w:r>
    </w:p>
    <w:p>
      <w:pPr>
        <w:rPr>
          <w:rFonts w:hint="eastAsia"/>
          <w:lang w:val="en-US" w:eastAsia="zh-CN"/>
        </w:rPr>
      </w:pPr>
    </w:p>
    <w:p>
      <w:pPr>
        <w:numPr>
          <w:ilvl w:val="0"/>
          <w:numId w:val="6"/>
        </w:numPr>
        <w:rPr>
          <w:rFonts w:hint="eastAsia" w:hAnsi="宋体" w:cs="宋体"/>
          <w:b/>
          <w:sz w:val="24"/>
        </w:rPr>
      </w:pPr>
      <w:r>
        <w:rPr>
          <w:rFonts w:hint="eastAsia" w:hAnsi="宋体" w:cs="宋体"/>
          <w:b/>
          <w:sz w:val="24"/>
          <w:lang w:val="en-US" w:eastAsia="zh-CN"/>
        </w:rPr>
        <w:t>交付</w:t>
      </w:r>
      <w:r>
        <w:rPr>
          <w:rFonts w:hint="eastAsia" w:hAnsi="宋体" w:cs="宋体"/>
          <w:b/>
          <w:sz w:val="24"/>
        </w:rPr>
        <w:t>期和地点及付款条件</w:t>
      </w:r>
    </w:p>
    <w:p>
      <w:pPr>
        <w:pStyle w:val="2"/>
        <w:numPr>
          <w:ilvl w:val="0"/>
          <w:numId w:val="0"/>
        </w:numPr>
        <w:rPr>
          <w:rFonts w:hint="eastAsia"/>
          <w:sz w:val="24"/>
          <w:szCs w:val="24"/>
          <w:lang w:val="en-US" w:eastAsia="zh-CN"/>
        </w:rPr>
      </w:pP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1、合同履行期限：合同签订之日起 100 日历天内，安装调试并通过验收。  </w:t>
      </w:r>
    </w:p>
    <w:p>
      <w:pPr>
        <w:keepNext w:val="0"/>
        <w:keepLines w:val="0"/>
        <w:widowControl/>
        <w:suppressLineNumbers w:val="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2、交付地点：白沙黎族自治县。 </w:t>
      </w: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3、支付方式：合同签订付总价：30%，井道完成具备安装电梯支付合同总价50%，验收完成付合同总价17%，剩余3%作为质量保证金（具体细节以合同签订为准） </w:t>
      </w:r>
    </w:p>
    <w:p>
      <w:pPr>
        <w:pStyle w:val="2"/>
        <w:rPr>
          <w:rFonts w:hint="eastAsia"/>
          <w:lang w:val="en-US" w:eastAsia="zh-CN"/>
        </w:rPr>
      </w:pPr>
    </w:p>
    <w:p>
      <w:pPr>
        <w:numPr>
          <w:ilvl w:val="0"/>
          <w:numId w:val="6"/>
        </w:numPr>
        <w:spacing w:line="360" w:lineRule="auto"/>
        <w:ind w:left="0" w:leftChars="0" w:firstLine="0" w:firstLineChars="0"/>
        <w:rPr>
          <w:rFonts w:hint="eastAsia" w:hAnsi="宋体" w:cs="宋体"/>
          <w:b/>
          <w:color w:val="auto"/>
          <w:sz w:val="24"/>
          <w:highlight w:val="none"/>
        </w:rPr>
      </w:pPr>
      <w:r>
        <w:rPr>
          <w:rFonts w:hint="eastAsia" w:hAnsi="宋体" w:cs="宋体"/>
          <w:b/>
          <w:color w:val="auto"/>
          <w:sz w:val="24"/>
          <w:highlight w:val="none"/>
        </w:rPr>
        <w:t>售后服务要求</w:t>
      </w:r>
    </w:p>
    <w:p>
      <w:pPr>
        <w:pStyle w:val="2"/>
        <w:numPr>
          <w:ilvl w:val="0"/>
          <w:numId w:val="0"/>
        </w:numPr>
        <w:ind w:leftChars="0"/>
        <w:rPr>
          <w:rFonts w:hint="eastAsia"/>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w:t>
      </w:r>
      <w:r>
        <w:rPr>
          <w:rFonts w:hint="eastAsia" w:ascii="仿宋" w:hAnsi="仿宋" w:eastAsia="仿宋" w:cs="仿宋"/>
          <w:sz w:val="24"/>
          <w:szCs w:val="24"/>
          <w:lang w:val="en-US" w:eastAsia="zh-CN"/>
        </w:rPr>
        <w:t>售后服务要求：售后服务要求提供不少于一年的免费维护，设备按原厂商标准提供维护。</w:t>
      </w:r>
      <w:r>
        <w:rPr>
          <w:rFonts w:hint="eastAsia" w:ascii="宋体" w:hAnsi="宋体" w:eastAsia="宋体" w:cs="宋体"/>
          <w:color w:val="000000"/>
          <w:kern w:val="0"/>
          <w:sz w:val="28"/>
          <w:szCs w:val="28"/>
          <w:lang w:val="en-US" w:eastAsia="zh-CN" w:bidi="ar"/>
        </w:rPr>
        <w:t xml:space="preserve"> </w:t>
      </w:r>
    </w:p>
    <w:p>
      <w:pPr>
        <w:pStyle w:val="2"/>
        <w:rPr>
          <w:rFonts w:hint="eastAsia"/>
          <w:lang w:val="en-US" w:eastAsia="zh-CN"/>
        </w:rPr>
      </w:pPr>
    </w:p>
    <w:p>
      <w:pPr>
        <w:pStyle w:val="2"/>
        <w:numPr>
          <w:ilvl w:val="0"/>
          <w:numId w:val="6"/>
        </w:numPr>
        <w:ind w:left="0" w:leftChars="0" w:firstLine="0" w:firstLineChars="0"/>
        <w:rPr>
          <w:rFonts w:hint="eastAsia" w:hAnsi="宋体" w:cs="宋体"/>
          <w:b/>
          <w:sz w:val="24"/>
        </w:rPr>
      </w:pPr>
      <w:r>
        <w:rPr>
          <w:rFonts w:hint="eastAsia" w:hAnsi="宋体" w:cs="宋体"/>
          <w:b/>
          <w:sz w:val="24"/>
        </w:rPr>
        <w:t>验收</w:t>
      </w:r>
    </w:p>
    <w:p>
      <w:pPr>
        <w:numPr>
          <w:ilvl w:val="0"/>
          <w:numId w:val="0"/>
        </w:numPr>
        <w:ind w:leftChars="0"/>
        <w:rPr>
          <w:rFonts w:hint="eastAsia"/>
        </w:rPr>
      </w:pP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验收以国家和海南省现行规程规范标准及谈判文件采购需求的要求进行验收。</w:t>
      </w:r>
    </w:p>
    <w:p>
      <w:pPr>
        <w:pStyle w:val="2"/>
        <w:rPr>
          <w:rFonts w:hint="eastAsia"/>
          <w:lang w:val="en-US" w:eastAsia="zh-CN"/>
        </w:rPr>
      </w:pPr>
    </w:p>
    <w:p>
      <w:pPr>
        <w:numPr>
          <w:ilvl w:val="0"/>
          <w:numId w:val="6"/>
        </w:numPr>
        <w:spacing w:line="360" w:lineRule="auto"/>
        <w:ind w:left="0" w:leftChars="0" w:firstLine="0" w:firstLineChars="0"/>
        <w:rPr>
          <w:rFonts w:hint="eastAsia" w:hAnsi="宋体" w:cs="宋体"/>
          <w:b/>
          <w:color w:val="auto"/>
          <w:sz w:val="24"/>
          <w:highlight w:val="none"/>
          <w:lang w:val="en-US" w:eastAsia="zh-CN"/>
        </w:rPr>
      </w:pPr>
      <w:r>
        <w:rPr>
          <w:rFonts w:hint="eastAsia" w:hAnsi="宋体" w:cs="宋体"/>
          <w:b/>
          <w:color w:val="auto"/>
          <w:sz w:val="24"/>
          <w:highlight w:val="none"/>
          <w:lang w:val="en-US" w:eastAsia="zh-CN"/>
        </w:rPr>
        <w:t xml:space="preserve">其他要求： </w:t>
      </w:r>
    </w:p>
    <w:p>
      <w:pPr>
        <w:pStyle w:val="2"/>
        <w:numPr>
          <w:ilvl w:val="0"/>
          <w:numId w:val="0"/>
        </w:numPr>
        <w:ind w:leftChars="0"/>
        <w:rPr>
          <w:rFonts w:hint="eastAsia"/>
          <w:lang w:val="en-US" w:eastAsia="zh-CN"/>
        </w:rPr>
      </w:pPr>
    </w:p>
    <w:p>
      <w:pPr>
        <w:keepNext w:val="0"/>
        <w:keepLines w:val="0"/>
        <w:widowControl/>
        <w:suppressLineNumbers w:val="0"/>
        <w:jc w:val="left"/>
        <w:rPr>
          <w:rFonts w:hint="eastAsia" w:ascii="仿宋" w:hAnsi="仿宋" w:eastAsia="仿宋" w:cs="仿宋"/>
          <w:sz w:val="24"/>
          <w:szCs w:val="24"/>
          <w:lang w:val="en-US" w:eastAsia="zh-CN"/>
        </w:rPr>
      </w:pPr>
      <w:r>
        <w:rPr>
          <w:rFonts w:hint="eastAsia" w:ascii="宋体" w:hAnsi="宋体" w:eastAsia="宋体" w:cs="宋体"/>
          <w:color w:val="000000"/>
          <w:kern w:val="0"/>
          <w:sz w:val="28"/>
          <w:szCs w:val="28"/>
          <w:lang w:val="en-US" w:eastAsia="zh-CN" w:bidi="ar"/>
        </w:rPr>
        <w:t xml:space="preserve"> 1</w:t>
      </w:r>
      <w:r>
        <w:rPr>
          <w:rFonts w:hint="eastAsia" w:ascii="仿宋" w:hAnsi="仿宋" w:eastAsia="仿宋" w:cs="仿宋"/>
          <w:sz w:val="24"/>
          <w:szCs w:val="24"/>
          <w:lang w:val="en-US" w:eastAsia="zh-CN"/>
        </w:rPr>
        <w:t>、其他未尽事宜以合同约定为准。</w:t>
      </w: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投标人必须根据所投产品的技术参数、资质资料编写投标文件。在成交公告公示期间，采购人有权对成交候选人所投货物的技术指标、资质证书资料等进行核查，如发现与其投标文件中的描述不一的，采购人有权取消其中标资格，没收投标保证金，并报政府采购主管部门严肃处理。</w:t>
      </w: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投标人不能低于成本价恶意报价，如中标人的报价过低，明显不符合市场价格，则采购人有权要求成交供应商提供预算金额的10%作为履约保证金，同时预付款比例调整为0%。如成交供应商在实施过程中偷工减料、不按交付期完成项目，则采购人有权终止合同，没收履约保证金，并报主管部门严肃处理。</w:t>
      </w: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firstLine="480"/>
        <w:rPr>
          <w:rFonts w:ascii="仿宋" w:hAnsi="仿宋" w:eastAsia="仿宋" w:cs="仿宋"/>
          <w:bCs/>
          <w:sz w:val="24"/>
          <w:szCs w:val="24"/>
        </w:rPr>
      </w:pPr>
    </w:p>
    <w:p>
      <w:pPr>
        <w:pStyle w:val="63"/>
        <w:spacing w:line="360" w:lineRule="auto"/>
        <w:ind w:left="0" w:leftChars="0" w:firstLine="0" w:firstLineChars="0"/>
        <w:rPr>
          <w:rFonts w:ascii="仿宋" w:hAnsi="仿宋" w:eastAsia="仿宋" w:cs="仿宋"/>
          <w:bCs/>
          <w:sz w:val="24"/>
          <w:szCs w:val="24"/>
        </w:rPr>
      </w:pPr>
    </w:p>
    <w:p>
      <w:pPr>
        <w:pStyle w:val="3"/>
        <w:snapToGrid w:val="0"/>
        <w:spacing w:before="0" w:after="0" w:line="480" w:lineRule="auto"/>
        <w:jc w:val="center"/>
      </w:pPr>
      <w:bookmarkStart w:id="38" w:name="_Toc14162464"/>
      <w:bookmarkStart w:id="39" w:name="_Toc48568220"/>
      <w:r>
        <w:rPr>
          <w:rFonts w:hint="eastAsia"/>
          <w:highlight w:val="yellow"/>
        </w:rPr>
        <w:t>第四章  审查及评审标准</w:t>
      </w:r>
      <w:bookmarkEnd w:id="23"/>
      <w:bookmarkEnd w:id="38"/>
      <w:bookmarkEnd w:id="39"/>
    </w:p>
    <w:p>
      <w:pPr>
        <w:snapToGrid w:val="0"/>
        <w:spacing w:line="360" w:lineRule="auto"/>
        <w:jc w:val="left"/>
        <w:outlineLvl w:val="1"/>
        <w:rPr>
          <w:rFonts w:ascii="黑体" w:hAnsi="黑体" w:eastAsia="黑体" w:cs="黑体"/>
          <w:b/>
          <w:kern w:val="0"/>
          <w:sz w:val="24"/>
        </w:rPr>
      </w:pPr>
      <w:r>
        <w:rPr>
          <w:rFonts w:hint="eastAsia" w:ascii="黑体" w:hAnsi="黑体" w:eastAsia="黑体" w:cs="黑体"/>
          <w:b/>
          <w:kern w:val="0"/>
          <w:sz w:val="24"/>
        </w:rPr>
        <w:t>一、组建谈判小组</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采购代理机构根据有关法律法规和本谈判文件的规定，结合本谈判项目的特点组建谈判小组。谈判小组由三人以上单数组成，其中评审专家人数不少于谈判小组成员总数的三分之二。</w:t>
      </w:r>
    </w:p>
    <w:p>
      <w:pPr>
        <w:snapToGrid w:val="0"/>
        <w:spacing w:line="360" w:lineRule="auto"/>
        <w:jc w:val="left"/>
        <w:outlineLvl w:val="1"/>
        <w:rPr>
          <w:rFonts w:ascii="黑体" w:hAnsi="黑体" w:eastAsia="黑体" w:cs="黑体"/>
          <w:b/>
          <w:kern w:val="0"/>
          <w:sz w:val="24"/>
        </w:rPr>
      </w:pPr>
      <w:bookmarkStart w:id="40" w:name="_Toc328815997"/>
      <w:r>
        <w:rPr>
          <w:rFonts w:hint="eastAsia" w:ascii="黑体" w:hAnsi="黑体" w:eastAsia="黑体" w:cs="黑体"/>
          <w:b/>
          <w:kern w:val="0"/>
          <w:sz w:val="24"/>
        </w:rPr>
        <w:t>二、评审方法</w:t>
      </w:r>
    </w:p>
    <w:p>
      <w:pPr>
        <w:snapToGrid w:val="0"/>
        <w:spacing w:line="360" w:lineRule="auto"/>
        <w:ind w:firstLine="480" w:firstLineChars="200"/>
        <w:rPr>
          <w:rFonts w:ascii="仿宋" w:hAnsi="仿宋" w:eastAsia="仿宋"/>
          <w:sz w:val="24"/>
        </w:rPr>
      </w:pPr>
      <w:r>
        <w:rPr>
          <w:rFonts w:hint="eastAsia" w:ascii="仿宋" w:hAnsi="仿宋" w:eastAsia="仿宋"/>
          <w:sz w:val="24"/>
        </w:rPr>
        <w:t>1、评审方法采用最低价法。</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评审步骤：先进行资格符合性的初步审查，再进行谈判和最终报价。只有通过初步审查的供应商才能进入谈判环节。审查内容凡涉及到提供合同、资质证书或认证等证明材料的，须提供清晰可见的复印件加盖供应商单位公章。如有与原件不一致的，无论是在评审过程中乃至成交后，其响应将以无效响应或取消成交资格。</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3、评审结果统计：谈判小组与供应商代表进行谈判，并确定最终报价。按照最终评审报价由低到高顺序排列，谈判小组可根据报价情况推荐评审结果排列顺序或予以授标建议。评审价格最低的供应商为第一成交候选供应商，评审价格次低的供应商为第二成交候选供应商，依此类推。最终评审价格相同的，按技术指标由优至劣顺序排列。</w:t>
      </w:r>
    </w:p>
    <w:p>
      <w:pPr>
        <w:snapToGrid w:val="0"/>
        <w:spacing w:line="360" w:lineRule="auto"/>
        <w:jc w:val="left"/>
        <w:outlineLvl w:val="1"/>
        <w:rPr>
          <w:rFonts w:ascii="黑体" w:hAnsi="黑体" w:eastAsia="黑体" w:cs="黑体"/>
          <w:b/>
          <w:kern w:val="0"/>
          <w:sz w:val="24"/>
        </w:rPr>
      </w:pPr>
      <w:r>
        <w:rPr>
          <w:rFonts w:hint="eastAsia" w:ascii="黑体" w:hAnsi="黑体" w:eastAsia="黑体" w:cs="黑体"/>
          <w:b/>
          <w:kern w:val="0"/>
          <w:sz w:val="24"/>
        </w:rPr>
        <w:t>三、初步审查</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谈判小组根据“初步审查表”对响应文件进行评审，只有对“初步审查表”所列各项作出实质性响应的响应文件才能通过审查。对是否实质性响应谈判文件的要求有争议的响应内容，谈判小组将以记名方式表决，得票超过半数的供应商有资格进入最后报价阶段，否则将视为无效响应。</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2、响应文件的澄清：</w:t>
      </w:r>
    </w:p>
    <w:p>
      <w:pPr>
        <w:spacing w:line="360" w:lineRule="auto"/>
        <w:ind w:firstLine="480" w:firstLineChars="200"/>
        <w:rPr>
          <w:rFonts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.1在评审期间，谈判小组有权要求供应商对其响应文件中含义不明确、同类问题表述不一致或者有明显文字和计算错误的内容进行澄清。供应商应派授权代表和技术人员按谈判小组通知的时间和地点接受询标。</w:t>
      </w:r>
    </w:p>
    <w:p>
      <w:pPr>
        <w:spacing w:line="360" w:lineRule="auto"/>
        <w:ind w:firstLine="480" w:firstLineChars="200"/>
        <w:rPr>
          <w:rFonts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2谈判小组认为有必要，可要求供应商对某些问题作出必要的澄清、说明和纠正。供应商的澄清、说明或者补正应当采用书面形式，由其授权的代表签字，并不得超出响应文件的范围或者改变响应文件的实质性内容。供应商的书面澄清材料作为响应文件的补充，</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2.3供应商不按谈判小组规定的时间和地点作书面澄清，将视为放弃该权利。</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2.4 并非每个供应商都将被询标。</w:t>
      </w:r>
    </w:p>
    <w:p>
      <w:pPr>
        <w:spacing w:line="360" w:lineRule="auto"/>
        <w:ind w:firstLine="480" w:firstLineChars="200"/>
        <w:rPr>
          <w:rFonts w:ascii="仿宋" w:hAnsi="仿宋" w:eastAsia="仿宋" w:cs="仿宋"/>
          <w:bCs/>
          <w:sz w:val="24"/>
        </w:rPr>
      </w:pPr>
      <w:r>
        <w:rPr>
          <w:rFonts w:ascii="仿宋" w:hAnsi="仿宋" w:eastAsia="仿宋" w:cs="仿宋"/>
          <w:bCs/>
          <w:sz w:val="24"/>
        </w:rPr>
        <w:t>3</w:t>
      </w:r>
      <w:r>
        <w:rPr>
          <w:rFonts w:hint="eastAsia" w:ascii="仿宋" w:hAnsi="仿宋" w:eastAsia="仿宋" w:cs="仿宋"/>
          <w:bCs/>
          <w:sz w:val="24"/>
        </w:rPr>
        <w:t>、无效响应的认定</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响应文件出现但不限于下列情况的将被认定为无效谈判。</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.1</w:t>
      </w:r>
      <w:r>
        <w:rPr>
          <w:rFonts w:hint="eastAsia" w:ascii="仿宋" w:hAnsi="仿宋" w:eastAsia="仿宋" w:cs="仿宋"/>
          <w:bCs/>
          <w:sz w:val="24"/>
        </w:rPr>
        <w:t>未按照谈判文件的规定提交谈判保证金的；</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.2</w:t>
      </w:r>
      <w:r>
        <w:rPr>
          <w:rFonts w:hint="eastAsia" w:ascii="仿宋" w:hAnsi="仿宋" w:eastAsia="仿宋" w:cs="仿宋"/>
          <w:bCs/>
          <w:sz w:val="24"/>
        </w:rPr>
        <w:t>响应文件未按谈判文件要求签署、盖章、装订的；</w:t>
      </w:r>
    </w:p>
    <w:p>
      <w:pPr>
        <w:spacing w:line="360" w:lineRule="auto"/>
        <w:ind w:firstLine="480" w:firstLineChars="200"/>
        <w:rPr>
          <w:rFonts w:ascii="仿宋" w:hAnsi="仿宋" w:eastAsia="仿宋" w:cs="仿宋"/>
          <w:bCs/>
          <w:sz w:val="24"/>
        </w:rPr>
      </w:pPr>
      <w:r>
        <w:rPr>
          <w:rFonts w:ascii="仿宋" w:hAnsi="仿宋" w:eastAsia="仿宋" w:cs="仿宋"/>
          <w:bCs/>
          <w:sz w:val="24"/>
        </w:rPr>
        <w:t>3.3</w:t>
      </w:r>
      <w:r>
        <w:rPr>
          <w:rFonts w:hint="eastAsia" w:ascii="仿宋" w:hAnsi="仿宋" w:eastAsia="仿宋" w:cs="仿宋"/>
          <w:bCs/>
          <w:sz w:val="24"/>
        </w:rPr>
        <w:t>不具备谈判文件中规定的资格要求的；</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.4</w:t>
      </w:r>
      <w:r>
        <w:rPr>
          <w:rFonts w:hint="eastAsia" w:ascii="仿宋" w:hAnsi="仿宋" w:eastAsia="仿宋" w:cs="仿宋"/>
          <w:bCs/>
          <w:sz w:val="24"/>
        </w:rPr>
        <w:t>报价超过谈判文件中规定的预算金额或者最高限价的；</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.5</w:t>
      </w:r>
      <w:r>
        <w:rPr>
          <w:rFonts w:hint="eastAsia" w:ascii="仿宋" w:hAnsi="仿宋" w:eastAsia="仿宋" w:cs="仿宋"/>
          <w:bCs/>
          <w:sz w:val="24"/>
        </w:rPr>
        <w:t>响应文件含有采购人不能接受的附加条件的；</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.6</w:t>
      </w:r>
      <w:r>
        <w:rPr>
          <w:rFonts w:hint="eastAsia" w:ascii="仿宋" w:hAnsi="仿宋" w:eastAsia="仿宋" w:cs="仿宋"/>
          <w:bCs/>
          <w:sz w:val="24"/>
        </w:rPr>
        <w:t>法律、法规和谈判文件规定的其他无效情形。</w:t>
      </w:r>
    </w:p>
    <w:p>
      <w:pPr>
        <w:snapToGrid w:val="0"/>
        <w:spacing w:line="360" w:lineRule="auto"/>
        <w:ind w:firstLine="480" w:firstLineChars="200"/>
        <w:rPr>
          <w:rFonts w:ascii="仿宋" w:hAnsi="仿宋" w:eastAsia="仿宋" w:cs="仿宋"/>
          <w:bCs/>
          <w:sz w:val="24"/>
        </w:rPr>
      </w:pPr>
      <w:r>
        <w:rPr>
          <w:rFonts w:ascii="仿宋" w:hAnsi="仿宋" w:eastAsia="仿宋" w:cs="仿宋"/>
          <w:bCs/>
          <w:sz w:val="24"/>
        </w:rPr>
        <w:t>4</w:t>
      </w:r>
      <w:r>
        <w:rPr>
          <w:rFonts w:hint="eastAsia" w:ascii="仿宋" w:hAnsi="仿宋" w:eastAsia="仿宋" w:cs="仿宋"/>
          <w:bCs/>
          <w:sz w:val="24"/>
        </w:rPr>
        <w:t>、已提交响应文件的响应人，在提交最终报价之前，可以根据谈判情况退出谈判。采购人、采购代理机构应当退还退出谈判的响应人的响应保证金。</w:t>
      </w:r>
    </w:p>
    <w:p>
      <w:pPr>
        <w:snapToGrid w:val="0"/>
        <w:spacing w:line="360" w:lineRule="auto"/>
        <w:ind w:firstLine="480" w:firstLineChars="200"/>
        <w:rPr>
          <w:rFonts w:ascii="仿宋" w:hAnsi="仿宋" w:eastAsia="仿宋" w:cs="仿宋"/>
          <w:bCs/>
          <w:sz w:val="24"/>
        </w:rPr>
      </w:pPr>
      <w:r>
        <w:rPr>
          <w:rFonts w:ascii="仿宋" w:hAnsi="仿宋" w:eastAsia="仿宋" w:cs="仿宋"/>
          <w:bCs/>
          <w:sz w:val="24"/>
        </w:rPr>
        <w:t>5</w:t>
      </w:r>
      <w:r>
        <w:rPr>
          <w:rFonts w:hint="eastAsia" w:ascii="仿宋" w:hAnsi="仿宋" w:eastAsia="仿宋" w:cs="仿宋"/>
          <w:bCs/>
          <w:sz w:val="24"/>
        </w:rPr>
        <w:t>、判断响应文件的响应与否只根据响应文件本身，而不寻求外部证据。</w:t>
      </w:r>
    </w:p>
    <w:p>
      <w:pPr>
        <w:snapToGrid w:val="0"/>
        <w:spacing w:line="360" w:lineRule="auto"/>
        <w:jc w:val="left"/>
        <w:outlineLvl w:val="1"/>
        <w:rPr>
          <w:rFonts w:ascii="黑体" w:hAnsi="黑体" w:eastAsia="黑体" w:cs="黑体"/>
          <w:b/>
          <w:kern w:val="0"/>
          <w:sz w:val="24"/>
        </w:rPr>
      </w:pPr>
      <w:r>
        <w:rPr>
          <w:rFonts w:hint="eastAsia" w:ascii="黑体" w:hAnsi="黑体" w:eastAsia="黑体" w:cs="黑体"/>
          <w:b/>
          <w:kern w:val="0"/>
          <w:sz w:val="24"/>
        </w:rPr>
        <w:t>四、详细评审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在谈判过程中，谈判小组可以根据谈判文件和谈判情况实质性变动采购需求中的技术、服务要求以及合同草案条款，但不得变动谈判文件中的其他内容。实质性变动的内容，须经采购人的代表确认。对谈判文件作出的实质性变动是谈判文件的有效组成部分，谈判小组应当及时以书面形式同时通知所有参加谈判的响应人。响应人应当按照谈判文件的变动情况和谈判小组的要求重新提交响应文件，并由其法定代表人或授权代表签字或者加盖公章。由授权代表签字的，应当附法定代表人授权书。响应人为自然人的，应当由本人签字并附身份证明。</w:t>
      </w:r>
    </w:p>
    <w:p>
      <w:pPr>
        <w:spacing w:line="360" w:lineRule="auto"/>
        <w:ind w:firstLine="480" w:firstLineChars="200"/>
        <w:rPr>
          <w:rFonts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、谈判小组依次与通过初步评审的供应商代表进行谈判，经谈判确定最终采购需求后由供应商代表提交最终报价，由谈判小组对提交最后报价的供应商的响应文件和最终评审报价进行评审。</w:t>
      </w:r>
    </w:p>
    <w:p>
      <w:pPr>
        <w:spacing w:line="360" w:lineRule="auto"/>
        <w:ind w:firstLine="480" w:firstLineChars="200"/>
        <w:rPr>
          <w:rFonts w:ascii="仿宋" w:hAnsi="仿宋" w:eastAsia="仿宋" w:cs="仿宋"/>
          <w:bCs/>
          <w:sz w:val="24"/>
        </w:rPr>
      </w:pPr>
      <w:r>
        <w:rPr>
          <w:rFonts w:ascii="仿宋" w:hAnsi="仿宋" w:eastAsia="仿宋" w:cs="仿宋"/>
          <w:bCs/>
          <w:sz w:val="24"/>
        </w:rPr>
        <w:t>3</w:t>
      </w:r>
      <w:r>
        <w:rPr>
          <w:rFonts w:hint="eastAsia" w:ascii="仿宋" w:hAnsi="仿宋" w:eastAsia="仿宋" w:cs="仿宋"/>
          <w:bCs/>
          <w:sz w:val="24"/>
        </w:rPr>
        <w:t>、谈判小组只对实质上响应谈判文件的响应进行评价和比较，评审应严格按照谈判文件的要求和条件进行。</w:t>
      </w:r>
    </w:p>
    <w:p>
      <w:pPr>
        <w:snapToGrid w:val="0"/>
        <w:spacing w:line="360" w:lineRule="auto"/>
        <w:jc w:val="left"/>
        <w:outlineLvl w:val="1"/>
        <w:rPr>
          <w:rFonts w:ascii="黑体" w:hAnsi="黑体" w:eastAsia="黑体" w:cs="黑体"/>
          <w:b/>
          <w:kern w:val="0"/>
          <w:sz w:val="24"/>
        </w:rPr>
      </w:pPr>
      <w:r>
        <w:rPr>
          <w:rFonts w:hint="eastAsia" w:ascii="黑体" w:hAnsi="黑体" w:eastAsia="黑体" w:cs="黑体"/>
          <w:b/>
          <w:kern w:val="0"/>
          <w:sz w:val="24"/>
        </w:rPr>
        <w:t>五、确定成交供应商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1、谈判小组应当根据评审情况，按照评审标准推荐成交候选人。</w:t>
      </w:r>
    </w:p>
    <w:p>
      <w:pPr>
        <w:spacing w:line="360" w:lineRule="auto"/>
        <w:ind w:firstLine="480" w:firstLineChars="200"/>
        <w:rPr>
          <w:rFonts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评审报告应当由谈判小组全体人员签字认可。谈判小组成员对评审报告有异议的，谈判小组按照少数服从多数的原则推荐成交候选响应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仿宋" w:hAnsi="仿宋" w:eastAsia="仿宋" w:cs="仿宋"/>
          <w:bCs/>
          <w:sz w:val="24"/>
        </w:rPr>
      </w:pPr>
      <w:r>
        <w:rPr>
          <w:rFonts w:ascii="仿宋" w:hAnsi="仿宋" w:eastAsia="仿宋" w:cs="仿宋"/>
          <w:bCs/>
          <w:sz w:val="24"/>
        </w:rPr>
        <w:t>3</w:t>
      </w:r>
      <w:r>
        <w:rPr>
          <w:rFonts w:hint="eastAsia" w:ascii="仿宋" w:hAnsi="仿宋" w:eastAsia="仿宋" w:cs="仿宋"/>
          <w:bCs/>
          <w:sz w:val="24"/>
        </w:rPr>
        <w:t>、采购人将确定排名第一的成交候选人为成交供应商并向其授予合同。</w:t>
      </w:r>
    </w:p>
    <w:bookmarkEnd w:id="40"/>
    <w:p>
      <w:pPr>
        <w:snapToGrid w:val="0"/>
        <w:spacing w:line="360" w:lineRule="auto"/>
        <w:jc w:val="left"/>
        <w:rPr>
          <w:rFonts w:ascii="仿宋" w:hAnsi="仿宋" w:eastAsia="仿宋" w:cs="仿宋"/>
          <w:b/>
        </w:rPr>
      </w:pPr>
      <w:r>
        <w:rPr>
          <w:rFonts w:hint="eastAsia" w:ascii="仿宋" w:hAnsi="仿宋" w:eastAsia="仿宋" w:cs="仿宋"/>
          <w:b/>
        </w:rPr>
        <w:t>表1：初步审查表</w:t>
      </w:r>
    </w:p>
    <w:tbl>
      <w:tblPr>
        <w:tblStyle w:val="3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35"/>
        <w:gridCol w:w="3613"/>
        <w:gridCol w:w="36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13" w:hRule="atLeast"/>
          <w:tblHeader/>
          <w:jc w:val="center"/>
        </w:trPr>
        <w:tc>
          <w:tcPr>
            <w:tcW w:w="635" w:type="dxa"/>
            <w:vAlign w:val="center"/>
          </w:tcPr>
          <w:p>
            <w:pPr>
              <w:snapToGrid w:val="0"/>
              <w:jc w:val="center"/>
              <w:rPr>
                <w:rFonts w:ascii="仿宋" w:hAnsi="仿宋" w:eastAsia="仿宋" w:cs="仿宋"/>
                <w:b/>
                <w:szCs w:val="21"/>
              </w:rPr>
            </w:pPr>
            <w:bookmarkStart w:id="41" w:name="_Hlk496220134"/>
            <w:r>
              <w:rPr>
                <w:rFonts w:hint="eastAsia" w:ascii="仿宋" w:hAnsi="仿宋" w:eastAsia="仿宋" w:cs="仿宋"/>
                <w:b/>
                <w:szCs w:val="21"/>
              </w:rPr>
              <w:t>序号</w:t>
            </w:r>
          </w:p>
        </w:tc>
        <w:tc>
          <w:tcPr>
            <w:tcW w:w="3613" w:type="dxa"/>
            <w:vAlign w:val="center"/>
          </w:tcPr>
          <w:p>
            <w:pPr>
              <w:snapToGrid w:val="0"/>
              <w:rPr>
                <w:rFonts w:ascii="仿宋" w:hAnsi="仿宋" w:eastAsia="仿宋" w:cs="仿宋"/>
                <w:b/>
                <w:szCs w:val="21"/>
              </w:rPr>
            </w:pPr>
            <w:r>
              <w:rPr>
                <w:rFonts w:hint="eastAsia" w:ascii="仿宋" w:hAnsi="仿宋" w:eastAsia="仿宋" w:cs="仿宋"/>
                <w:b/>
                <w:szCs w:val="21"/>
              </w:rPr>
              <w:t>审查项目</w:t>
            </w:r>
          </w:p>
        </w:tc>
        <w:tc>
          <w:tcPr>
            <w:tcW w:w="3685" w:type="dxa"/>
            <w:vAlign w:val="center"/>
          </w:tcPr>
          <w:p>
            <w:pPr>
              <w:snapToGrid w:val="0"/>
              <w:rPr>
                <w:rFonts w:ascii="仿宋" w:hAnsi="仿宋" w:eastAsia="仿宋" w:cs="仿宋"/>
                <w:b/>
                <w:szCs w:val="21"/>
              </w:rPr>
            </w:pPr>
            <w:r>
              <w:rPr>
                <w:rFonts w:hint="eastAsia" w:ascii="仿宋" w:hAnsi="仿宋" w:eastAsia="仿宋" w:cs="仿宋"/>
                <w:b/>
                <w:szCs w:val="21"/>
              </w:rPr>
              <w:t>评议内容</w:t>
            </w:r>
          </w:p>
        </w:tc>
        <w:tc>
          <w:tcPr>
            <w:tcW w:w="840" w:type="dxa"/>
            <w:vAlign w:val="center"/>
          </w:tcPr>
          <w:p>
            <w:pPr>
              <w:snapToGrid w:val="0"/>
              <w:rPr>
                <w:rFonts w:ascii="仿宋" w:hAnsi="仿宋" w:eastAsia="仿宋" w:cs="仿宋"/>
                <w:b/>
                <w:szCs w:val="21"/>
              </w:rPr>
            </w:pPr>
            <w:r>
              <w:rPr>
                <w:rFonts w:hint="eastAsia" w:ascii="仿宋" w:hAnsi="仿宋" w:eastAsia="仿宋" w:cs="仿宋"/>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19" w:hRule="atLeast"/>
          <w:tblHeader/>
          <w:jc w:val="center"/>
        </w:trPr>
        <w:tc>
          <w:tcPr>
            <w:tcW w:w="635" w:type="dxa"/>
            <w:vAlign w:val="center"/>
          </w:tcPr>
          <w:p>
            <w:pPr>
              <w:snapToGrid w:val="0"/>
              <w:jc w:val="center"/>
              <w:rPr>
                <w:rFonts w:ascii="仿宋" w:hAnsi="仿宋" w:eastAsia="仿宋"/>
                <w:szCs w:val="21"/>
              </w:rPr>
            </w:pPr>
            <w:r>
              <w:rPr>
                <w:rFonts w:ascii="仿宋" w:hAnsi="仿宋" w:eastAsia="仿宋"/>
                <w:szCs w:val="21"/>
              </w:rPr>
              <w:t>1</w:t>
            </w:r>
          </w:p>
        </w:tc>
        <w:tc>
          <w:tcPr>
            <w:tcW w:w="3613" w:type="dxa"/>
            <w:vAlign w:val="center"/>
          </w:tcPr>
          <w:p>
            <w:pPr>
              <w:snapToGrid w:val="0"/>
              <w:rPr>
                <w:rFonts w:ascii="仿宋" w:hAnsi="仿宋" w:eastAsia="仿宋"/>
                <w:szCs w:val="21"/>
              </w:rPr>
            </w:pPr>
            <w:r>
              <w:rPr>
                <w:rFonts w:hint="eastAsia" w:ascii="仿宋" w:hAnsi="仿宋" w:eastAsia="仿宋"/>
                <w:szCs w:val="21"/>
              </w:rPr>
              <w:t>供应商的资格</w:t>
            </w:r>
          </w:p>
        </w:tc>
        <w:tc>
          <w:tcPr>
            <w:tcW w:w="3685" w:type="dxa"/>
            <w:vAlign w:val="center"/>
          </w:tcPr>
          <w:p>
            <w:pPr>
              <w:snapToGrid w:val="0"/>
              <w:rPr>
                <w:rFonts w:ascii="仿宋" w:hAnsi="仿宋" w:eastAsia="仿宋"/>
                <w:szCs w:val="21"/>
              </w:rPr>
            </w:pPr>
            <w:r>
              <w:rPr>
                <w:rFonts w:hint="eastAsia" w:ascii="仿宋" w:hAnsi="仿宋" w:eastAsia="仿宋"/>
                <w:szCs w:val="21"/>
              </w:rPr>
              <w:t>符合供应商资格要求</w:t>
            </w:r>
          </w:p>
        </w:tc>
        <w:tc>
          <w:tcPr>
            <w:tcW w:w="840" w:type="dxa"/>
            <w:vAlign w:val="center"/>
          </w:tcPr>
          <w:p>
            <w:pPr>
              <w:snapToGrid w:val="0"/>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96" w:hRule="atLeast"/>
          <w:tblHeader/>
          <w:jc w:val="center"/>
        </w:trPr>
        <w:tc>
          <w:tcPr>
            <w:tcW w:w="635" w:type="dxa"/>
            <w:vAlign w:val="center"/>
          </w:tcPr>
          <w:p>
            <w:pPr>
              <w:snapToGrid w:val="0"/>
              <w:jc w:val="center"/>
              <w:rPr>
                <w:rFonts w:ascii="仿宋" w:hAnsi="仿宋" w:eastAsia="仿宋" w:cs="仿宋"/>
                <w:szCs w:val="21"/>
              </w:rPr>
            </w:pPr>
            <w:r>
              <w:rPr>
                <w:rFonts w:ascii="仿宋" w:hAnsi="仿宋" w:eastAsia="仿宋" w:cs="仿宋"/>
                <w:szCs w:val="21"/>
              </w:rPr>
              <w:t>2</w:t>
            </w:r>
          </w:p>
        </w:tc>
        <w:tc>
          <w:tcPr>
            <w:tcW w:w="3613" w:type="dxa"/>
            <w:vAlign w:val="center"/>
          </w:tcPr>
          <w:p>
            <w:pPr>
              <w:snapToGrid w:val="0"/>
              <w:rPr>
                <w:rFonts w:ascii="仿宋" w:hAnsi="仿宋" w:eastAsia="仿宋" w:cs="仿宋"/>
                <w:szCs w:val="21"/>
              </w:rPr>
            </w:pPr>
            <w:r>
              <w:rPr>
                <w:rFonts w:hint="eastAsia" w:ascii="仿宋" w:hAnsi="仿宋" w:eastAsia="仿宋" w:cs="仿宋"/>
                <w:bCs/>
                <w:szCs w:val="21"/>
              </w:rPr>
              <w:t>响应文件的有效性、完整性</w:t>
            </w:r>
          </w:p>
        </w:tc>
        <w:tc>
          <w:tcPr>
            <w:tcW w:w="3685" w:type="dxa"/>
            <w:vAlign w:val="center"/>
          </w:tcPr>
          <w:p>
            <w:pPr>
              <w:snapToGrid w:val="0"/>
              <w:rPr>
                <w:rFonts w:ascii="仿宋" w:hAnsi="仿宋" w:eastAsia="仿宋" w:cs="仿宋"/>
                <w:szCs w:val="21"/>
              </w:rPr>
            </w:pPr>
            <w:r>
              <w:rPr>
                <w:rFonts w:hint="eastAsia" w:ascii="仿宋" w:hAnsi="仿宋" w:eastAsia="仿宋" w:cs="仿宋"/>
                <w:szCs w:val="21"/>
              </w:rPr>
              <w:t>符合谈判文件的格式和签署要求且内容完整无缺漏</w:t>
            </w:r>
          </w:p>
        </w:tc>
        <w:tc>
          <w:tcPr>
            <w:tcW w:w="840" w:type="dxa"/>
            <w:vAlign w:val="center"/>
          </w:tcPr>
          <w:p>
            <w:pPr>
              <w:snapToGrid w:val="0"/>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96" w:hRule="atLeast"/>
          <w:tblHeader/>
          <w:jc w:val="center"/>
        </w:trPr>
        <w:tc>
          <w:tcPr>
            <w:tcW w:w="635" w:type="dxa"/>
            <w:vAlign w:val="center"/>
          </w:tcPr>
          <w:p>
            <w:pPr>
              <w:snapToGrid w:val="0"/>
              <w:jc w:val="center"/>
              <w:rPr>
                <w:rFonts w:ascii="仿宋" w:hAnsi="仿宋" w:eastAsia="仿宋" w:cs="仿宋"/>
                <w:szCs w:val="21"/>
              </w:rPr>
            </w:pPr>
            <w:r>
              <w:rPr>
                <w:rFonts w:ascii="仿宋" w:hAnsi="仿宋" w:eastAsia="仿宋" w:cs="仿宋"/>
                <w:szCs w:val="21"/>
              </w:rPr>
              <w:t>3</w:t>
            </w:r>
          </w:p>
        </w:tc>
        <w:tc>
          <w:tcPr>
            <w:tcW w:w="3613" w:type="dxa"/>
            <w:vAlign w:val="center"/>
          </w:tcPr>
          <w:p>
            <w:pPr>
              <w:snapToGrid w:val="0"/>
              <w:rPr>
                <w:rFonts w:ascii="仿宋" w:hAnsi="仿宋" w:eastAsia="仿宋" w:cs="仿宋"/>
                <w:szCs w:val="21"/>
              </w:rPr>
            </w:pPr>
            <w:r>
              <w:rPr>
                <w:rFonts w:hint="eastAsia" w:ascii="仿宋" w:hAnsi="仿宋" w:eastAsia="仿宋" w:cs="仿宋"/>
                <w:bCs/>
                <w:szCs w:val="21"/>
              </w:rPr>
              <w:t>报价项目完整性</w:t>
            </w:r>
          </w:p>
        </w:tc>
        <w:tc>
          <w:tcPr>
            <w:tcW w:w="3685" w:type="dxa"/>
            <w:vAlign w:val="center"/>
          </w:tcPr>
          <w:p>
            <w:pPr>
              <w:snapToGrid w:val="0"/>
              <w:rPr>
                <w:rFonts w:ascii="仿宋" w:hAnsi="仿宋" w:eastAsia="仿宋" w:cs="仿宋"/>
                <w:szCs w:val="21"/>
              </w:rPr>
            </w:pPr>
            <w:r>
              <w:rPr>
                <w:rFonts w:hint="eastAsia" w:ascii="仿宋" w:hAnsi="仿宋" w:eastAsia="仿宋" w:cs="仿宋"/>
                <w:szCs w:val="21"/>
              </w:rPr>
              <w:t>对本项目内所有的内容进行响应，漏报其响应将被拒绝</w:t>
            </w:r>
          </w:p>
        </w:tc>
        <w:tc>
          <w:tcPr>
            <w:tcW w:w="840" w:type="dxa"/>
            <w:vAlign w:val="center"/>
          </w:tcPr>
          <w:p>
            <w:pPr>
              <w:snapToGrid w:val="0"/>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16" w:hRule="atLeast"/>
          <w:tblHeader/>
          <w:jc w:val="center"/>
        </w:trPr>
        <w:tc>
          <w:tcPr>
            <w:tcW w:w="635" w:type="dxa"/>
            <w:vAlign w:val="center"/>
          </w:tcPr>
          <w:p>
            <w:pPr>
              <w:snapToGrid w:val="0"/>
              <w:jc w:val="center"/>
              <w:rPr>
                <w:rFonts w:ascii="仿宋" w:hAnsi="仿宋" w:eastAsia="仿宋" w:cs="仿宋"/>
                <w:szCs w:val="21"/>
              </w:rPr>
            </w:pPr>
            <w:r>
              <w:rPr>
                <w:rFonts w:ascii="仿宋" w:hAnsi="仿宋" w:eastAsia="仿宋" w:cs="仿宋"/>
                <w:szCs w:val="21"/>
              </w:rPr>
              <w:t>4</w:t>
            </w:r>
          </w:p>
        </w:tc>
        <w:tc>
          <w:tcPr>
            <w:tcW w:w="3613" w:type="dxa"/>
            <w:vAlign w:val="center"/>
          </w:tcPr>
          <w:p>
            <w:pPr>
              <w:snapToGrid w:val="0"/>
              <w:rPr>
                <w:rFonts w:ascii="仿宋" w:hAnsi="仿宋" w:eastAsia="仿宋" w:cs="仿宋"/>
                <w:szCs w:val="21"/>
              </w:rPr>
            </w:pPr>
            <w:r>
              <w:rPr>
                <w:rFonts w:hint="eastAsia" w:ascii="仿宋" w:hAnsi="仿宋" w:eastAsia="仿宋" w:cs="仿宋"/>
                <w:szCs w:val="21"/>
              </w:rPr>
              <w:t>谈判有效期</w:t>
            </w:r>
          </w:p>
        </w:tc>
        <w:tc>
          <w:tcPr>
            <w:tcW w:w="3685" w:type="dxa"/>
            <w:vAlign w:val="center"/>
          </w:tcPr>
          <w:p>
            <w:pPr>
              <w:snapToGrid w:val="0"/>
              <w:rPr>
                <w:rFonts w:ascii="仿宋" w:hAnsi="仿宋" w:eastAsia="仿宋" w:cs="仿宋"/>
                <w:szCs w:val="21"/>
              </w:rPr>
            </w:pPr>
            <w:r>
              <w:rPr>
                <w:rFonts w:hint="eastAsia" w:ascii="仿宋" w:hAnsi="仿宋" w:eastAsia="仿宋" w:cs="仿宋"/>
                <w:szCs w:val="21"/>
              </w:rPr>
              <w:t>满足谈判文件要求</w:t>
            </w:r>
          </w:p>
        </w:tc>
        <w:tc>
          <w:tcPr>
            <w:tcW w:w="840" w:type="dxa"/>
            <w:vAlign w:val="center"/>
          </w:tcPr>
          <w:p>
            <w:pPr>
              <w:snapToGrid w:val="0"/>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2" w:hRule="exact"/>
          <w:jc w:val="center"/>
        </w:trPr>
        <w:tc>
          <w:tcPr>
            <w:tcW w:w="635" w:type="dxa"/>
            <w:vAlign w:val="center"/>
          </w:tcPr>
          <w:p>
            <w:pPr>
              <w:snapToGrid w:val="0"/>
              <w:jc w:val="center"/>
              <w:rPr>
                <w:rFonts w:ascii="仿宋" w:hAnsi="仿宋" w:eastAsia="仿宋" w:cs="仿宋"/>
                <w:szCs w:val="21"/>
              </w:rPr>
            </w:pPr>
            <w:r>
              <w:rPr>
                <w:rFonts w:ascii="仿宋" w:hAnsi="仿宋" w:eastAsia="仿宋" w:cs="仿宋"/>
                <w:szCs w:val="21"/>
              </w:rPr>
              <w:t>5</w:t>
            </w:r>
          </w:p>
        </w:tc>
        <w:tc>
          <w:tcPr>
            <w:tcW w:w="3613" w:type="dxa"/>
            <w:vAlign w:val="center"/>
          </w:tcPr>
          <w:p>
            <w:pPr>
              <w:snapToGrid w:val="0"/>
              <w:rPr>
                <w:rFonts w:ascii="仿宋" w:hAnsi="仿宋" w:eastAsia="仿宋" w:cs="仿宋"/>
                <w:szCs w:val="21"/>
              </w:rPr>
            </w:pPr>
            <w:r>
              <w:rPr>
                <w:rFonts w:hint="eastAsia" w:ascii="仿宋" w:hAnsi="仿宋" w:eastAsia="仿宋" w:cs="仿宋"/>
                <w:kern w:val="0"/>
                <w:szCs w:val="21"/>
                <w:lang w:val="zh-CN"/>
              </w:rPr>
              <w:t>谈判保证金</w:t>
            </w:r>
          </w:p>
        </w:tc>
        <w:tc>
          <w:tcPr>
            <w:tcW w:w="3685" w:type="dxa"/>
            <w:vAlign w:val="center"/>
          </w:tcPr>
          <w:p>
            <w:pPr>
              <w:snapToGrid w:val="0"/>
              <w:rPr>
                <w:rFonts w:ascii="仿宋" w:hAnsi="仿宋" w:eastAsia="仿宋" w:cs="仿宋"/>
                <w:szCs w:val="21"/>
              </w:rPr>
            </w:pPr>
            <w:r>
              <w:rPr>
                <w:rFonts w:hint="eastAsia" w:ascii="仿宋" w:hAnsi="仿宋" w:eastAsia="仿宋" w:cs="仿宋"/>
                <w:szCs w:val="21"/>
              </w:rPr>
              <w:t>满足谈判文件要求</w:t>
            </w:r>
          </w:p>
        </w:tc>
        <w:tc>
          <w:tcPr>
            <w:tcW w:w="840" w:type="dxa"/>
            <w:vAlign w:val="center"/>
          </w:tcPr>
          <w:p>
            <w:pPr>
              <w:snapToGrid w:val="0"/>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11" w:hRule="exact"/>
          <w:jc w:val="center"/>
        </w:trPr>
        <w:tc>
          <w:tcPr>
            <w:tcW w:w="635" w:type="dxa"/>
            <w:vAlign w:val="center"/>
          </w:tcPr>
          <w:p>
            <w:pPr>
              <w:snapToGrid w:val="0"/>
              <w:jc w:val="center"/>
              <w:rPr>
                <w:rFonts w:ascii="仿宋" w:hAnsi="仿宋" w:eastAsia="仿宋" w:cs="仿宋"/>
                <w:szCs w:val="21"/>
              </w:rPr>
            </w:pPr>
            <w:r>
              <w:rPr>
                <w:rFonts w:ascii="仿宋" w:hAnsi="仿宋" w:eastAsia="仿宋" w:cs="仿宋"/>
                <w:szCs w:val="21"/>
              </w:rPr>
              <w:t>6</w:t>
            </w:r>
          </w:p>
        </w:tc>
        <w:tc>
          <w:tcPr>
            <w:tcW w:w="3613" w:type="dxa"/>
            <w:vAlign w:val="center"/>
          </w:tcPr>
          <w:p>
            <w:pPr>
              <w:snapToGrid w:val="0"/>
              <w:rPr>
                <w:rFonts w:ascii="仿宋" w:hAnsi="仿宋" w:eastAsia="仿宋" w:cs="仿宋"/>
                <w:szCs w:val="21"/>
              </w:rPr>
            </w:pPr>
            <w:r>
              <w:rPr>
                <w:rFonts w:hint="eastAsia" w:ascii="仿宋" w:hAnsi="仿宋" w:eastAsia="仿宋" w:cs="仿宋"/>
                <w:szCs w:val="21"/>
              </w:rPr>
              <w:t>响应文件数量</w:t>
            </w:r>
          </w:p>
        </w:tc>
        <w:tc>
          <w:tcPr>
            <w:tcW w:w="3685" w:type="dxa"/>
            <w:vAlign w:val="center"/>
          </w:tcPr>
          <w:p>
            <w:pPr>
              <w:widowControl/>
              <w:tabs>
                <w:tab w:val="left" w:pos="360"/>
              </w:tabs>
              <w:snapToGrid w:val="0"/>
              <w:rPr>
                <w:rFonts w:ascii="仿宋" w:hAnsi="仿宋" w:eastAsia="仿宋" w:cs="仿宋"/>
                <w:szCs w:val="21"/>
              </w:rPr>
            </w:pPr>
            <w:r>
              <w:rPr>
                <w:rFonts w:hint="eastAsia" w:ascii="仿宋" w:hAnsi="仿宋" w:eastAsia="仿宋" w:cs="仿宋"/>
                <w:szCs w:val="21"/>
              </w:rPr>
              <w:t>满足谈判文件要求</w:t>
            </w:r>
          </w:p>
        </w:tc>
        <w:tc>
          <w:tcPr>
            <w:tcW w:w="840" w:type="dxa"/>
            <w:vAlign w:val="center"/>
          </w:tcPr>
          <w:p>
            <w:pPr>
              <w:snapToGrid w:val="0"/>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30" w:hRule="exact"/>
          <w:jc w:val="center"/>
        </w:trPr>
        <w:tc>
          <w:tcPr>
            <w:tcW w:w="635" w:type="dxa"/>
            <w:vAlign w:val="center"/>
          </w:tcPr>
          <w:p>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7</w:t>
            </w:r>
          </w:p>
        </w:tc>
        <w:tc>
          <w:tcPr>
            <w:tcW w:w="3613" w:type="dxa"/>
            <w:vAlign w:val="center"/>
          </w:tcPr>
          <w:p>
            <w:pPr>
              <w:snapToGrid w:val="0"/>
              <w:rPr>
                <w:rFonts w:ascii="仿宋" w:hAnsi="仿宋" w:eastAsia="仿宋" w:cs="仿宋"/>
                <w:szCs w:val="21"/>
              </w:rPr>
            </w:pPr>
            <w:r>
              <w:rPr>
                <w:rFonts w:hint="eastAsia" w:ascii="仿宋" w:hAnsi="仿宋" w:eastAsia="仿宋" w:cs="仿宋"/>
                <w:szCs w:val="21"/>
              </w:rPr>
              <w:t>其它</w:t>
            </w:r>
          </w:p>
        </w:tc>
        <w:tc>
          <w:tcPr>
            <w:tcW w:w="3685" w:type="dxa"/>
            <w:vAlign w:val="center"/>
          </w:tcPr>
          <w:p>
            <w:pPr>
              <w:snapToGrid w:val="0"/>
              <w:rPr>
                <w:rFonts w:ascii="仿宋" w:hAnsi="仿宋" w:eastAsia="仿宋" w:cs="仿宋"/>
                <w:szCs w:val="21"/>
              </w:rPr>
            </w:pPr>
            <w:r>
              <w:rPr>
                <w:rFonts w:hint="eastAsia" w:ascii="仿宋" w:hAnsi="仿宋" w:eastAsia="仿宋" w:cs="仿宋"/>
                <w:szCs w:val="21"/>
              </w:rPr>
              <w:t>无其它无效响应认定条件</w:t>
            </w:r>
          </w:p>
        </w:tc>
        <w:tc>
          <w:tcPr>
            <w:tcW w:w="840" w:type="dxa"/>
            <w:vAlign w:val="center"/>
          </w:tcPr>
          <w:p>
            <w:pPr>
              <w:snapToGrid w:val="0"/>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30" w:hRule="exact"/>
          <w:jc w:val="center"/>
        </w:trPr>
        <w:tc>
          <w:tcPr>
            <w:tcW w:w="7933" w:type="dxa"/>
            <w:gridSpan w:val="3"/>
            <w:vAlign w:val="center"/>
          </w:tcPr>
          <w:p>
            <w:pPr>
              <w:snapToGrid w:val="0"/>
              <w:rPr>
                <w:rFonts w:ascii="仿宋" w:hAnsi="仿宋" w:eastAsia="仿宋" w:cs="仿宋"/>
                <w:szCs w:val="21"/>
              </w:rPr>
            </w:pPr>
            <w:r>
              <w:rPr>
                <w:rFonts w:hint="eastAsia" w:ascii="仿宋" w:hAnsi="仿宋" w:eastAsia="仿宋" w:cs="仿宋"/>
                <w:szCs w:val="21"/>
              </w:rPr>
              <w:t>结         论</w:t>
            </w:r>
          </w:p>
        </w:tc>
        <w:tc>
          <w:tcPr>
            <w:tcW w:w="840" w:type="dxa"/>
            <w:vAlign w:val="center"/>
          </w:tcPr>
          <w:p>
            <w:pPr>
              <w:snapToGrid w:val="0"/>
              <w:ind w:firstLine="420" w:firstLineChars="200"/>
              <w:rPr>
                <w:rFonts w:ascii="仿宋" w:hAnsi="仿宋" w:eastAsia="仿宋" w:cs="仿宋"/>
                <w:kern w:val="0"/>
                <w:szCs w:val="21"/>
              </w:rPr>
            </w:pPr>
          </w:p>
        </w:tc>
      </w:tr>
      <w:bookmarkEnd w:id="41"/>
    </w:tbl>
    <w:p>
      <w:pPr>
        <w:snapToGrid w:val="0"/>
        <w:spacing w:line="360" w:lineRule="auto"/>
        <w:ind w:firstLine="525" w:firstLineChars="250"/>
        <w:jc w:val="left"/>
        <w:rPr>
          <w:rFonts w:ascii="仿宋" w:hAnsi="仿宋" w:eastAsia="仿宋" w:cs="仿宋"/>
        </w:rPr>
      </w:pPr>
    </w:p>
    <w:p>
      <w:pPr>
        <w:snapToGrid w:val="0"/>
        <w:spacing w:line="360" w:lineRule="auto"/>
        <w:ind w:firstLine="525" w:firstLineChars="250"/>
        <w:jc w:val="left"/>
        <w:rPr>
          <w:rFonts w:ascii="仿宋" w:hAnsi="仿宋" w:eastAsia="仿宋" w:cs="仿宋"/>
        </w:rPr>
      </w:pPr>
      <w:r>
        <w:rPr>
          <w:rFonts w:hint="eastAsia" w:ascii="仿宋" w:hAnsi="仿宋" w:eastAsia="仿宋" w:cs="仿宋"/>
        </w:rPr>
        <w:t>注: 1、表中只需填写“√/通过”或“×/不通过”。</w:t>
      </w:r>
    </w:p>
    <w:p>
      <w:pPr>
        <w:snapToGrid w:val="0"/>
        <w:spacing w:line="360" w:lineRule="auto"/>
        <w:ind w:firstLine="525" w:firstLineChars="250"/>
        <w:jc w:val="left"/>
        <w:rPr>
          <w:rFonts w:ascii="仿宋" w:hAnsi="仿宋" w:eastAsia="仿宋" w:cs="仿宋"/>
        </w:rPr>
      </w:pPr>
      <w:r>
        <w:rPr>
          <w:rFonts w:hint="eastAsia" w:ascii="仿宋" w:hAnsi="仿宋" w:eastAsia="仿宋" w:cs="仿宋"/>
        </w:rPr>
        <w:t>2、在结论中按“一项否决”的原则，只有全部是√/通过的，填写“合格”；只要其中有一项是×/不通过的，填写“不合格”。</w:t>
      </w:r>
    </w:p>
    <w:p>
      <w:pPr>
        <w:widowControl/>
        <w:jc w:val="left"/>
        <w:rPr>
          <w:b/>
          <w:bCs/>
          <w:kern w:val="44"/>
          <w:sz w:val="44"/>
          <w:szCs w:val="44"/>
        </w:rPr>
      </w:pPr>
      <w:r>
        <w:br w:type="page"/>
      </w:r>
    </w:p>
    <w:p>
      <w:pPr>
        <w:pStyle w:val="3"/>
        <w:snapToGrid w:val="0"/>
        <w:spacing w:before="0" w:after="0" w:line="480" w:lineRule="auto"/>
        <w:jc w:val="center"/>
      </w:pPr>
      <w:bookmarkStart w:id="42" w:name="_Toc48568221"/>
      <w:r>
        <w:rPr>
          <w:rFonts w:hint="eastAsia"/>
        </w:rPr>
        <w:t>第五章  拟签订的合同文本</w:t>
      </w:r>
      <w:bookmarkEnd w:id="42"/>
    </w:p>
    <w:p>
      <w:pPr>
        <w:pStyle w:val="63"/>
        <w:spacing w:line="360" w:lineRule="auto"/>
        <w:ind w:firstLine="480"/>
        <w:jc w:val="center"/>
        <w:rPr>
          <w:rFonts w:ascii="仿宋" w:hAnsi="仿宋" w:eastAsia="仿宋" w:cs="仿宋"/>
          <w:bCs/>
          <w:sz w:val="24"/>
          <w:szCs w:val="24"/>
        </w:rPr>
      </w:pPr>
      <w:r>
        <w:rPr>
          <w:rFonts w:hint="eastAsia" w:ascii="仿宋" w:hAnsi="仿宋" w:eastAsia="仿宋" w:cs="仿宋"/>
          <w:bCs/>
          <w:sz w:val="24"/>
          <w:szCs w:val="24"/>
        </w:rPr>
        <w:t>（参考文本格式）</w:t>
      </w:r>
    </w:p>
    <w:p>
      <w:pPr>
        <w:pStyle w:val="63"/>
        <w:spacing w:line="360" w:lineRule="auto"/>
        <w:ind w:firstLine="480"/>
        <w:rPr>
          <w:rFonts w:ascii="仿宋" w:hAnsi="仿宋" w:eastAsia="仿宋" w:cs="仿宋"/>
          <w:bCs/>
          <w:sz w:val="24"/>
          <w:szCs w:val="24"/>
        </w:rPr>
      </w:pPr>
    </w:p>
    <w:p>
      <w:pPr>
        <w:pStyle w:val="98"/>
        <w:spacing w:line="360" w:lineRule="auto"/>
        <w:ind w:firstLine="480"/>
        <w:rPr>
          <w:rFonts w:ascii="仿宋" w:hAnsi="仿宋" w:eastAsia="仿宋"/>
          <w:sz w:val="24"/>
          <w:szCs w:val="24"/>
        </w:rPr>
      </w:pPr>
      <w:r>
        <w:rPr>
          <w:rFonts w:hint="eastAsia" w:ascii="仿宋" w:hAnsi="仿宋" w:eastAsia="仿宋"/>
          <w:sz w:val="24"/>
          <w:szCs w:val="24"/>
        </w:rPr>
        <w:t>合同编号：</w:t>
      </w:r>
      <w:r>
        <w:rPr>
          <w:rFonts w:ascii="仿宋" w:hAnsi="仿宋" w:eastAsia="仿宋"/>
          <w:sz w:val="24"/>
          <w:szCs w:val="24"/>
        </w:rPr>
        <w:t xml:space="preserve"> </w:t>
      </w:r>
      <w:r>
        <w:rPr>
          <w:rFonts w:hint="eastAsia" w:ascii="仿宋" w:hAnsi="仿宋" w:eastAsia="仿宋"/>
          <w:sz w:val="24"/>
          <w:szCs w:val="24"/>
        </w:rPr>
        <w:t>XXXX。</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p>
    <w:p>
      <w:pPr>
        <w:pStyle w:val="98"/>
        <w:spacing w:line="360" w:lineRule="auto"/>
        <w:ind w:firstLine="480"/>
        <w:rPr>
          <w:rFonts w:ascii="仿宋" w:hAnsi="仿宋" w:eastAsia="仿宋"/>
          <w:sz w:val="24"/>
          <w:szCs w:val="24"/>
        </w:rPr>
      </w:pPr>
      <w:r>
        <w:rPr>
          <w:rFonts w:hint="eastAsia" w:ascii="仿宋" w:hAnsi="仿宋" w:eastAsia="仿宋"/>
          <w:sz w:val="24"/>
          <w:szCs w:val="24"/>
        </w:rPr>
        <w:t>签订地点：</w:t>
      </w:r>
      <w:r>
        <w:rPr>
          <w:rFonts w:ascii="仿宋" w:hAnsi="仿宋" w:eastAsia="仿宋"/>
          <w:sz w:val="24"/>
          <w:szCs w:val="24"/>
        </w:rPr>
        <w:t xml:space="preserve"> </w:t>
      </w:r>
      <w:r>
        <w:rPr>
          <w:rFonts w:hint="eastAsia" w:ascii="仿宋" w:hAnsi="仿宋" w:eastAsia="仿宋"/>
          <w:sz w:val="24"/>
          <w:szCs w:val="24"/>
        </w:rPr>
        <w:t>XXXX。</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p>
    <w:p>
      <w:pPr>
        <w:pStyle w:val="98"/>
        <w:spacing w:line="360" w:lineRule="auto"/>
        <w:ind w:firstLine="480"/>
        <w:rPr>
          <w:rFonts w:ascii="仿宋" w:hAnsi="仿宋" w:eastAsia="仿宋"/>
          <w:sz w:val="24"/>
          <w:szCs w:val="24"/>
        </w:rPr>
      </w:pPr>
      <w:r>
        <w:rPr>
          <w:rFonts w:hint="eastAsia" w:ascii="仿宋" w:hAnsi="仿宋" w:eastAsia="仿宋"/>
          <w:sz w:val="24"/>
          <w:szCs w:val="24"/>
        </w:rPr>
        <w:t>签订时间：</w:t>
      </w:r>
      <w:r>
        <w:rPr>
          <w:rFonts w:ascii="仿宋" w:hAnsi="仿宋" w:eastAsia="仿宋"/>
          <w:sz w:val="24"/>
          <w:szCs w:val="24"/>
        </w:rPr>
        <w:t xml:space="preserve"> </w:t>
      </w:r>
      <w:r>
        <w:rPr>
          <w:rFonts w:hint="eastAsia" w:ascii="仿宋" w:hAnsi="仿宋" w:eastAsia="仿宋"/>
          <w:sz w:val="24"/>
          <w:szCs w:val="24"/>
        </w:rPr>
        <w:t>XXXX年XX月XX日。</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p>
    <w:p>
      <w:pPr>
        <w:pStyle w:val="98"/>
        <w:spacing w:line="360" w:lineRule="auto"/>
        <w:ind w:firstLine="480"/>
        <w:rPr>
          <w:rFonts w:ascii="仿宋" w:hAnsi="仿宋" w:eastAsia="仿宋"/>
          <w:sz w:val="24"/>
          <w:szCs w:val="24"/>
        </w:rPr>
      </w:pPr>
      <w:r>
        <w:rPr>
          <w:rFonts w:hint="eastAsia" w:ascii="仿宋" w:hAnsi="仿宋" w:eastAsia="仿宋"/>
          <w:sz w:val="24"/>
          <w:szCs w:val="24"/>
        </w:rPr>
        <w:t>采购人（甲方）：</w:t>
      </w:r>
      <w:r>
        <w:rPr>
          <w:rFonts w:hint="eastAsia"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p>
    <w:p>
      <w:pPr>
        <w:pStyle w:val="98"/>
        <w:spacing w:line="360" w:lineRule="auto"/>
        <w:ind w:firstLine="480"/>
        <w:rPr>
          <w:rFonts w:ascii="仿宋" w:hAnsi="仿宋" w:eastAsia="仿宋"/>
          <w:sz w:val="24"/>
          <w:szCs w:val="24"/>
        </w:rPr>
      </w:pPr>
      <w:r>
        <w:rPr>
          <w:rFonts w:hint="eastAsia" w:ascii="仿宋" w:hAnsi="仿宋" w:eastAsia="仿宋"/>
          <w:sz w:val="24"/>
          <w:szCs w:val="24"/>
        </w:rPr>
        <w:t>供应商（乙方）：</w:t>
      </w:r>
      <w:r>
        <w:rPr>
          <w:rFonts w:hint="eastAsia"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p>
    <w:p>
      <w:pPr>
        <w:spacing w:line="360" w:lineRule="auto"/>
        <w:rPr>
          <w:rFonts w:ascii="仿宋" w:hAnsi="仿宋" w:eastAsia="仿宋"/>
          <w:sz w:val="24"/>
        </w:rPr>
      </w:pPr>
    </w:p>
    <w:p>
      <w:pPr>
        <w:pStyle w:val="98"/>
        <w:spacing w:line="360" w:lineRule="auto"/>
        <w:ind w:firstLine="480"/>
        <w:rPr>
          <w:rFonts w:ascii="仿宋" w:hAnsi="仿宋" w:eastAsia="仿宋"/>
          <w:sz w:val="24"/>
          <w:szCs w:val="24"/>
        </w:rPr>
      </w:pPr>
      <w:r>
        <w:rPr>
          <w:rFonts w:hint="eastAsia" w:ascii="仿宋" w:hAnsi="仿宋" w:eastAsia="仿宋"/>
          <w:sz w:val="24"/>
          <w:szCs w:val="24"/>
        </w:rPr>
        <w:t>根据《中华人民共和国政府采购法》、《中华人民共和国民法典》及</w:t>
      </w:r>
      <w:r>
        <w:rPr>
          <w:rFonts w:hint="eastAsia" w:ascii="仿宋" w:hAnsi="仿宋" w:eastAsia="仿宋"/>
          <w:sz w:val="24"/>
          <w:szCs w:val="24"/>
          <w:highlight w:val="yellow"/>
          <w:lang w:eastAsia="zh-CN"/>
        </w:rPr>
        <w:t>海南秀泰项目管理有限公司</w:t>
      </w:r>
      <w:r>
        <w:rPr>
          <w:rFonts w:hint="eastAsia" w:ascii="仿宋" w:hAnsi="仿宋" w:eastAsia="仿宋"/>
          <w:sz w:val="24"/>
          <w:szCs w:val="24"/>
          <w:u w:val="single"/>
        </w:rPr>
        <w:t xml:space="preserve">         </w:t>
      </w:r>
      <w:r>
        <w:rPr>
          <w:rFonts w:hint="eastAsia" w:ascii="仿宋" w:hAnsi="仿宋" w:eastAsia="仿宋"/>
          <w:sz w:val="24"/>
          <w:szCs w:val="24"/>
        </w:rPr>
        <w:t>采购项目（项目编号：</w:t>
      </w:r>
      <w:r>
        <w:rPr>
          <w:rFonts w:ascii="仿宋" w:hAnsi="仿宋" w:eastAsia="仿宋"/>
          <w:sz w:val="24"/>
          <w:szCs w:val="24"/>
        </w:rPr>
        <w:t xml:space="preserve">      </w:t>
      </w:r>
      <w:r>
        <w:rPr>
          <w:rFonts w:hint="eastAsia" w:ascii="仿宋" w:hAnsi="仿宋" w:eastAsia="仿宋"/>
          <w:sz w:val="24"/>
          <w:szCs w:val="24"/>
        </w:rPr>
        <w:t>）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spacing w:line="360" w:lineRule="auto"/>
        <w:rPr>
          <w:rFonts w:ascii="仿宋" w:hAnsi="仿宋" w:eastAsia="仿宋"/>
          <w:b/>
          <w:bCs/>
          <w:sz w:val="24"/>
        </w:rPr>
      </w:pPr>
      <w:r>
        <w:rPr>
          <w:rFonts w:hint="eastAsia" w:ascii="仿宋" w:hAnsi="仿宋" w:eastAsia="仿宋"/>
          <w:b/>
          <w:bCs/>
          <w:sz w:val="24"/>
        </w:rPr>
        <w:t>一、合同设备</w:t>
      </w:r>
    </w:p>
    <w:tbl>
      <w:tblPr>
        <w:tblStyle w:val="32"/>
        <w:tblW w:w="8759"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0"/>
        <w:gridCol w:w="1126"/>
        <w:gridCol w:w="698"/>
        <w:gridCol w:w="873"/>
        <w:gridCol w:w="1048"/>
        <w:gridCol w:w="1150"/>
        <w:gridCol w:w="1222"/>
        <w:gridCol w:w="12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仿宋" w:hAnsi="仿宋" w:eastAsia="仿宋"/>
              </w:rPr>
            </w:pPr>
            <w:r>
              <w:rPr>
                <w:rFonts w:hint="eastAsia" w:ascii="仿宋" w:hAnsi="仿宋" w:eastAsia="仿宋" w:cs="Arial"/>
              </w:rPr>
              <w:t>设备品名</w:t>
            </w:r>
          </w:p>
        </w:tc>
        <w:tc>
          <w:tcPr>
            <w:tcW w:w="1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cs="Arial"/>
              </w:rPr>
              <w:t>规格</w:t>
            </w:r>
          </w:p>
          <w:p>
            <w:pPr>
              <w:spacing w:line="360" w:lineRule="auto"/>
              <w:jc w:val="center"/>
              <w:rPr>
                <w:rFonts w:ascii="仿宋" w:hAnsi="仿宋" w:eastAsia="仿宋"/>
              </w:rPr>
            </w:pPr>
            <w:r>
              <w:rPr>
                <w:rFonts w:hint="eastAsia" w:ascii="仿宋" w:hAnsi="仿宋" w:eastAsia="仿宋" w:cs="Arial"/>
              </w:rPr>
              <w:t>型号</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Arial"/>
              </w:rPr>
              <w:t>单位</w:t>
            </w: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rPr>
                <w:rFonts w:ascii="仿宋" w:hAnsi="仿宋" w:eastAsia="仿宋"/>
              </w:rPr>
            </w:pPr>
            <w:r>
              <w:rPr>
                <w:rFonts w:hint="eastAsia" w:ascii="仿宋" w:hAnsi="仿宋" w:eastAsia="仿宋" w:cs="Arial"/>
              </w:rPr>
              <w:t>数量</w:t>
            </w:r>
          </w:p>
        </w:tc>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仿宋" w:hAnsi="仿宋" w:eastAsia="仿宋" w:cs="Arial"/>
              </w:rPr>
            </w:pPr>
            <w:r>
              <w:rPr>
                <w:rFonts w:hint="eastAsia" w:ascii="仿宋" w:hAnsi="仿宋" w:eastAsia="仿宋" w:cs="Arial"/>
              </w:rPr>
              <w:t>单价</w:t>
            </w:r>
          </w:p>
          <w:p>
            <w:pPr>
              <w:spacing w:line="360" w:lineRule="auto"/>
              <w:jc w:val="center"/>
              <w:rPr>
                <w:rFonts w:ascii="仿宋" w:hAnsi="仿宋" w:eastAsia="仿宋" w:cs="Arial"/>
              </w:rPr>
            </w:pPr>
            <w:r>
              <w:rPr>
                <w:rFonts w:hint="eastAsia" w:ascii="仿宋" w:hAnsi="仿宋" w:eastAsia="仿宋" w:cs="Arial"/>
              </w:rPr>
              <w:t>（万元）</w:t>
            </w:r>
          </w:p>
        </w:tc>
        <w:tc>
          <w:tcPr>
            <w:tcW w:w="11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仿宋" w:hAnsi="仿宋" w:eastAsia="仿宋" w:cs="Arial"/>
              </w:rPr>
            </w:pPr>
            <w:r>
              <w:rPr>
                <w:rFonts w:hint="eastAsia" w:ascii="仿宋" w:hAnsi="仿宋" w:eastAsia="仿宋" w:cs="Arial"/>
              </w:rPr>
              <w:t>总价</w:t>
            </w:r>
          </w:p>
          <w:p>
            <w:pPr>
              <w:spacing w:line="360" w:lineRule="auto"/>
              <w:rPr>
                <w:rFonts w:ascii="仿宋" w:hAnsi="仿宋" w:eastAsia="仿宋"/>
              </w:rPr>
            </w:pPr>
            <w:r>
              <w:rPr>
                <w:rFonts w:hint="eastAsia" w:ascii="仿宋" w:hAnsi="仿宋" w:eastAsia="仿宋" w:cs="Arial"/>
              </w:rPr>
              <w:t>（万元）</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cs="Arial"/>
              </w:rPr>
              <w:t>随机</w:t>
            </w:r>
          </w:p>
          <w:p>
            <w:pPr>
              <w:spacing w:line="360" w:lineRule="auto"/>
              <w:jc w:val="center"/>
              <w:rPr>
                <w:rFonts w:ascii="仿宋" w:hAnsi="仿宋" w:eastAsia="仿宋"/>
              </w:rPr>
            </w:pPr>
            <w:r>
              <w:rPr>
                <w:rFonts w:hint="eastAsia" w:ascii="仿宋" w:hAnsi="仿宋" w:eastAsia="仿宋" w:cs="Arial"/>
              </w:rPr>
              <w:t>配件</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rPr>
                <w:rFonts w:ascii="仿宋" w:hAnsi="仿宋" w:eastAsia="仿宋"/>
              </w:rPr>
            </w:pPr>
            <w:r>
              <w:rPr>
                <w:rFonts w:hint="eastAsia" w:ascii="仿宋" w:hAnsi="仿宋" w:eastAsia="仿宋" w:cs="Arial"/>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Calibri" w:hAnsi="Calibri" w:eastAsia="仿宋" w:cs="Calibri"/>
              </w:rPr>
              <w:t> </w:t>
            </w:r>
          </w:p>
        </w:tc>
        <w:tc>
          <w:tcPr>
            <w:tcW w:w="1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Calibri" w:hAnsi="Calibri" w:eastAsia="仿宋" w:cs="Calibri"/>
              </w:rPr>
              <w:t> </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Calibri" w:hAnsi="Calibri" w:eastAsia="仿宋" w:cs="Calibri"/>
              </w:rPr>
              <w:t> </w:t>
            </w: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Calibri" w:hAnsi="Calibri" w:eastAsia="仿宋" w:cs="Calibri"/>
              </w:rPr>
              <w:t> </w:t>
            </w:r>
          </w:p>
        </w:tc>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Calibri" w:hAnsi="Calibri" w:eastAsia="仿宋" w:cs="Calibri"/>
              </w:rPr>
              <w:t> </w:t>
            </w:r>
          </w:p>
        </w:tc>
        <w:tc>
          <w:tcPr>
            <w:tcW w:w="11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Calibri" w:hAnsi="Calibri" w:eastAsia="仿宋" w:cs="Calibri"/>
              </w:rPr>
              <w:t> </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Calibri" w:hAnsi="Calibri" w:eastAsia="仿宋" w:cs="Calibri"/>
              </w:rPr>
              <w:t> </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Calibri" w:hAnsi="Calibri" w:eastAsia="仿宋" w:cs="Calibri"/>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rPr>
            </w:pPr>
            <w:r>
              <w:rPr>
                <w:rFonts w:ascii="Calibri" w:hAnsi="Calibri" w:eastAsia="仿宋" w:cs="Calibri"/>
              </w:rPr>
              <w:t> </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rPr>
            </w:pPr>
            <w:r>
              <w:rPr>
                <w:rFonts w:ascii="Calibri" w:hAnsi="Calibri" w:eastAsia="仿宋" w:cs="Calibri"/>
              </w:rPr>
              <w:t> </w:t>
            </w: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rPr>
            </w:pPr>
            <w:r>
              <w:rPr>
                <w:rFonts w:ascii="Calibri" w:hAnsi="Calibri" w:eastAsia="仿宋" w:cs="Calibri"/>
              </w:rPr>
              <w:t> </w:t>
            </w:r>
          </w:p>
        </w:tc>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rPr>
            </w:pPr>
            <w:r>
              <w:rPr>
                <w:rFonts w:ascii="Calibri" w:hAnsi="Calibri" w:eastAsia="仿宋" w:cs="Calibri"/>
              </w:rPr>
              <w:t> </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rPr>
            </w:pPr>
            <w:r>
              <w:rPr>
                <w:rFonts w:ascii="Calibri" w:hAnsi="Calibri" w:eastAsia="仿宋" w:cs="Calibri"/>
              </w:rPr>
              <w:t> </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rPr>
            </w:pPr>
            <w:r>
              <w:rPr>
                <w:rFonts w:ascii="Calibri" w:hAnsi="Calibri" w:eastAsia="仿宋" w:cs="Calibri"/>
              </w:rPr>
              <w:t> </w:t>
            </w: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rPr>
            </w:pPr>
            <w:r>
              <w:rPr>
                <w:rFonts w:ascii="Calibri" w:hAnsi="Calibri" w:eastAsia="仿宋" w:cs="Calibri"/>
              </w:rPr>
              <w:t> </w:t>
            </w: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rPr>
            </w:pPr>
            <w:r>
              <w:rPr>
                <w:rFonts w:ascii="Calibri" w:hAnsi="Calibri" w:eastAsia="仿宋" w:cs="Calibri"/>
              </w:rPr>
              <w:t> </w:t>
            </w:r>
          </w:p>
        </w:tc>
      </w:tr>
    </w:tbl>
    <w:p>
      <w:pPr>
        <w:spacing w:line="360" w:lineRule="auto"/>
        <w:rPr>
          <w:rFonts w:ascii="仿宋" w:hAnsi="仿宋" w:eastAsia="仿宋"/>
          <w:b/>
          <w:bCs/>
          <w:sz w:val="24"/>
        </w:rPr>
      </w:pPr>
      <w:r>
        <w:rPr>
          <w:rFonts w:hint="eastAsia" w:ascii="仿宋" w:hAnsi="仿宋" w:eastAsia="仿宋"/>
          <w:b/>
          <w:bCs/>
          <w:sz w:val="24"/>
        </w:rPr>
        <w:t>二、合同总价</w:t>
      </w:r>
    </w:p>
    <w:p>
      <w:pPr>
        <w:pStyle w:val="2"/>
        <w:snapToGrid w:val="0"/>
        <w:spacing w:line="360" w:lineRule="auto"/>
        <w:ind w:firstLineChars="175"/>
        <w:rPr>
          <w:rFonts w:ascii="仿宋" w:hAnsi="仿宋" w:eastAsia="仿宋"/>
          <w:sz w:val="24"/>
          <w:szCs w:val="24"/>
        </w:rPr>
      </w:pPr>
      <w:r>
        <w:rPr>
          <w:rFonts w:hint="eastAsia" w:ascii="仿宋" w:hAnsi="仿宋" w:eastAsia="仿宋"/>
          <w:sz w:val="24"/>
          <w:szCs w:val="24"/>
        </w:rPr>
        <w:t>合同总价为人民币大写：</w:t>
      </w:r>
      <w:r>
        <w:rPr>
          <w:rFonts w:ascii="仿宋" w:hAnsi="仿宋" w:eastAsia="仿宋"/>
          <w:sz w:val="24"/>
          <w:szCs w:val="24"/>
          <w:u w:val="single"/>
        </w:rPr>
        <w:t xml:space="preserve">                </w:t>
      </w:r>
      <w:r>
        <w:rPr>
          <w:rFonts w:hint="eastAsia" w:ascii="仿宋" w:hAnsi="仿宋" w:eastAsia="仿宋"/>
          <w:sz w:val="24"/>
          <w:szCs w:val="24"/>
        </w:rPr>
        <w:t>元，即</w:t>
      </w:r>
      <w:r>
        <w:rPr>
          <w:rFonts w:ascii="仿宋" w:hAnsi="仿宋" w:eastAsia="仿宋"/>
          <w:sz w:val="24"/>
          <w:szCs w:val="24"/>
        </w:rPr>
        <w:t>RMB</w:t>
      </w:r>
      <w:r>
        <w:rPr>
          <w:rFonts w:ascii="Calibri" w:hAnsi="Calibri" w:eastAsia="仿宋" w:cs="Calibri"/>
          <w:sz w:val="24"/>
          <w:szCs w:val="24"/>
        </w:rPr>
        <w:t>¥</w:t>
      </w:r>
      <w:r>
        <w:rPr>
          <w:rFonts w:ascii="仿宋" w:hAnsi="仿宋" w:eastAsia="仿宋"/>
          <w:sz w:val="24"/>
          <w:szCs w:val="24"/>
          <w:u w:val="single"/>
        </w:rPr>
        <w:t xml:space="preserve">        </w:t>
      </w:r>
      <w:r>
        <w:rPr>
          <w:rFonts w:hint="eastAsia" w:ascii="仿宋" w:hAnsi="仿宋" w:eastAsia="仿宋"/>
          <w:sz w:val="24"/>
          <w:szCs w:val="24"/>
        </w:rPr>
        <w:t>元；该合同总价已包括设备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spacing w:line="360" w:lineRule="auto"/>
        <w:rPr>
          <w:rFonts w:ascii="仿宋" w:hAnsi="仿宋" w:eastAsia="仿宋"/>
          <w:b/>
          <w:bCs/>
          <w:sz w:val="24"/>
        </w:rPr>
      </w:pPr>
      <w:r>
        <w:rPr>
          <w:rFonts w:hint="eastAsia" w:ascii="仿宋" w:hAnsi="仿宋" w:eastAsia="仿宋"/>
          <w:b/>
          <w:bCs/>
          <w:sz w:val="24"/>
        </w:rPr>
        <w:t>三、设备要求</w:t>
      </w:r>
    </w:p>
    <w:p>
      <w:pPr>
        <w:snapToGrid w:val="0"/>
        <w:spacing w:line="360" w:lineRule="auto"/>
        <w:ind w:firstLine="480" w:firstLineChars="200"/>
        <w:rPr>
          <w:rFonts w:ascii="仿宋" w:hAnsi="仿宋" w:eastAsia="仿宋"/>
          <w:sz w:val="24"/>
        </w:rPr>
      </w:pPr>
      <w:r>
        <w:rPr>
          <w:rFonts w:hint="eastAsia" w:ascii="仿宋" w:hAnsi="仿宋" w:eastAsia="仿宋"/>
          <w:sz w:val="24"/>
        </w:rPr>
        <w:t>1.设备为原制造商制造的全新产品，整机无污染，无侵权行为、表面无划损、无任何缺陷隐患，在中国境内可依常规安全合法使用。</w:t>
      </w:r>
    </w:p>
    <w:p>
      <w:pPr>
        <w:snapToGrid w:val="0"/>
        <w:spacing w:line="360" w:lineRule="auto"/>
        <w:ind w:firstLine="480" w:firstLineChars="200"/>
        <w:rPr>
          <w:rFonts w:ascii="仿宋" w:hAnsi="仿宋" w:eastAsia="仿宋"/>
          <w:sz w:val="24"/>
        </w:rPr>
      </w:pPr>
      <w:r>
        <w:rPr>
          <w:rFonts w:hint="eastAsia" w:ascii="仿宋" w:hAnsi="仿宋" w:eastAsia="仿宋"/>
          <w:sz w:val="24"/>
        </w:rPr>
        <w:t>2.交付验收标准</w:t>
      </w:r>
      <w:r>
        <w:rPr>
          <w:rFonts w:hint="eastAsia" w:ascii="仿宋" w:hAnsi="仿宋" w:eastAsia="仿宋"/>
          <w:sz w:val="24"/>
          <w:lang w:val="en-GB"/>
        </w:rPr>
        <w:t>依次序对照适用标准为：</w:t>
      </w:r>
      <w:r>
        <w:rPr>
          <w:rFonts w:hint="eastAsia" w:ascii="仿宋" w:hAnsi="仿宋" w:eastAsia="仿宋"/>
          <w:sz w:val="24"/>
        </w:rPr>
        <w:t xml:space="preserve">①符合中华人民共和国国家安全质量标准、环保标准或行业标准；②符合采购文件和响应承诺中甲方认可的合理最佳配置、参数及各项要求；③设备来源国官方标准。    </w:t>
      </w:r>
    </w:p>
    <w:p>
      <w:pPr>
        <w:snapToGrid w:val="0"/>
        <w:spacing w:line="360" w:lineRule="auto"/>
        <w:ind w:firstLine="480" w:firstLineChars="200"/>
        <w:rPr>
          <w:rFonts w:ascii="仿宋" w:hAnsi="仿宋" w:eastAsia="仿宋"/>
          <w:sz w:val="24"/>
        </w:rPr>
      </w:pPr>
      <w:r>
        <w:rPr>
          <w:rFonts w:hint="eastAsia" w:ascii="仿宋" w:hAnsi="仿宋" w:eastAsia="仿宋"/>
          <w:sz w:val="24"/>
        </w:rPr>
        <w:t>3.进口产品必须具备原产地证明和商检局的检验证明及合法进货渠道证明。</w:t>
      </w:r>
    </w:p>
    <w:p>
      <w:pPr>
        <w:tabs>
          <w:tab w:val="left" w:pos="735"/>
        </w:tabs>
        <w:snapToGrid w:val="0"/>
        <w:spacing w:line="360" w:lineRule="auto"/>
        <w:ind w:firstLine="480" w:firstLineChars="200"/>
        <w:rPr>
          <w:rFonts w:ascii="仿宋" w:hAnsi="仿宋" w:eastAsia="仿宋"/>
          <w:sz w:val="24"/>
        </w:rPr>
      </w:pPr>
      <w:r>
        <w:rPr>
          <w:rFonts w:hint="eastAsia" w:ascii="仿宋" w:hAnsi="仿宋" w:eastAsia="仿宋"/>
          <w:sz w:val="24"/>
        </w:rPr>
        <w:t>4.设备为原厂商未启封全新包装，具出厂合格证，序列号、包装箱号与出厂批号一致，并可追索查阅。</w:t>
      </w:r>
    </w:p>
    <w:p>
      <w:pPr>
        <w:tabs>
          <w:tab w:val="left" w:pos="360"/>
        </w:tabs>
        <w:snapToGrid w:val="0"/>
        <w:spacing w:line="360" w:lineRule="auto"/>
        <w:ind w:firstLine="480" w:firstLineChars="200"/>
        <w:rPr>
          <w:rFonts w:ascii="仿宋" w:hAnsi="仿宋" w:eastAsia="仿宋"/>
          <w:sz w:val="24"/>
        </w:rPr>
      </w:pPr>
      <w:r>
        <w:rPr>
          <w:rFonts w:hint="eastAsia" w:ascii="仿宋" w:hAnsi="仿宋" w:eastAsia="仿宋"/>
          <w:sz w:val="24"/>
        </w:rPr>
        <w:t>5.乙方应将关键设备的用户手册、保修手册、有关单证资料及配备件、随机工具等交付给甲方，使用操作及安全须知等重要资料应附有中文说明。</w:t>
      </w:r>
    </w:p>
    <w:p>
      <w:pPr>
        <w:spacing w:line="360" w:lineRule="auto"/>
        <w:rPr>
          <w:rFonts w:ascii="仿宋" w:hAnsi="仿宋" w:eastAsia="仿宋"/>
          <w:b/>
          <w:bCs/>
          <w:sz w:val="24"/>
        </w:rPr>
      </w:pPr>
      <w:r>
        <w:rPr>
          <w:rFonts w:hint="eastAsia" w:ascii="仿宋" w:hAnsi="仿宋" w:eastAsia="仿宋"/>
          <w:b/>
          <w:bCs/>
          <w:sz w:val="24"/>
        </w:rPr>
        <w:t>四、交货期、交货方式及交货地点</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1.交货期： </w:t>
      </w:r>
    </w:p>
    <w:p>
      <w:pPr>
        <w:snapToGrid w:val="0"/>
        <w:spacing w:line="360" w:lineRule="auto"/>
        <w:ind w:firstLine="480" w:firstLineChars="200"/>
        <w:rPr>
          <w:rFonts w:ascii="仿宋" w:hAnsi="仿宋" w:eastAsia="仿宋"/>
          <w:sz w:val="24"/>
        </w:rPr>
      </w:pPr>
      <w:r>
        <w:rPr>
          <w:rFonts w:hint="eastAsia" w:ascii="仿宋" w:hAnsi="仿宋" w:eastAsia="仿宋"/>
          <w:sz w:val="24"/>
        </w:rPr>
        <w:t>2.交货方式：</w:t>
      </w:r>
    </w:p>
    <w:p>
      <w:pPr>
        <w:snapToGrid w:val="0"/>
        <w:spacing w:line="360" w:lineRule="auto"/>
        <w:ind w:firstLine="480" w:firstLineChars="200"/>
        <w:rPr>
          <w:rFonts w:ascii="仿宋" w:hAnsi="仿宋" w:eastAsia="仿宋"/>
          <w:sz w:val="24"/>
        </w:rPr>
      </w:pPr>
      <w:r>
        <w:rPr>
          <w:rFonts w:hint="eastAsia" w:ascii="仿宋" w:hAnsi="仿宋" w:eastAsia="仿宋"/>
          <w:sz w:val="24"/>
        </w:rPr>
        <w:t>3.交货地点</w:t>
      </w:r>
    </w:p>
    <w:p>
      <w:pPr>
        <w:spacing w:line="360" w:lineRule="auto"/>
        <w:rPr>
          <w:rFonts w:ascii="仿宋" w:hAnsi="仿宋" w:eastAsia="仿宋"/>
          <w:b/>
          <w:bCs/>
          <w:sz w:val="24"/>
        </w:rPr>
      </w:pPr>
      <w:r>
        <w:rPr>
          <w:rFonts w:hint="eastAsia" w:ascii="仿宋" w:hAnsi="仿宋" w:eastAsia="仿宋"/>
          <w:b/>
          <w:bCs/>
          <w:sz w:val="24"/>
        </w:rPr>
        <w:t>五、付款方式</w:t>
      </w:r>
    </w:p>
    <w:p>
      <w:pPr>
        <w:spacing w:line="360" w:lineRule="auto"/>
        <w:ind w:firstLine="480" w:firstLineChars="200"/>
        <w:rPr>
          <w:rFonts w:ascii="仿宋" w:hAnsi="仿宋" w:eastAsia="仿宋"/>
          <w:sz w:val="24"/>
        </w:rPr>
      </w:pPr>
      <w:r>
        <w:rPr>
          <w:rFonts w:hint="eastAsia" w:ascii="仿宋" w:hAnsi="仿宋" w:eastAsia="仿宋"/>
          <w:sz w:val="24"/>
        </w:rPr>
        <w:t>本项目签订合同后，支付合同总价的</w:t>
      </w:r>
      <w:r>
        <w:rPr>
          <w:rFonts w:hint="eastAsia" w:ascii="仿宋" w:hAnsi="仿宋" w:eastAsia="仿宋"/>
          <w:sz w:val="24"/>
          <w:u w:val="single"/>
        </w:rPr>
        <w:t xml:space="preserve">    </w:t>
      </w:r>
      <w:r>
        <w:rPr>
          <w:rFonts w:hint="eastAsia" w:ascii="仿宋" w:hAnsi="仿宋" w:eastAsia="仿宋"/>
          <w:sz w:val="24"/>
        </w:rPr>
        <w:t>，货到施工现场后，支付合同总价的</w:t>
      </w:r>
      <w:r>
        <w:rPr>
          <w:rFonts w:hint="eastAsia" w:ascii="仿宋" w:hAnsi="仿宋" w:eastAsia="仿宋"/>
          <w:sz w:val="24"/>
          <w:u w:val="single"/>
        </w:rPr>
        <w:t xml:space="preserve">    </w:t>
      </w:r>
      <w:r>
        <w:rPr>
          <w:rFonts w:hint="eastAsia" w:ascii="仿宋" w:hAnsi="仿宋" w:eastAsia="仿宋"/>
          <w:sz w:val="24"/>
        </w:rPr>
        <w:t>,项目验收合格后，支付至合同结算总价的</w:t>
      </w:r>
      <w:r>
        <w:rPr>
          <w:rFonts w:hint="eastAsia" w:ascii="仿宋" w:hAnsi="仿宋" w:eastAsia="仿宋"/>
          <w:sz w:val="24"/>
          <w:u w:val="single"/>
        </w:rPr>
        <w:t xml:space="preserve">   </w:t>
      </w:r>
      <w:r>
        <w:rPr>
          <w:rFonts w:hint="eastAsia" w:ascii="仿宋" w:hAnsi="仿宋" w:eastAsia="仿宋"/>
          <w:sz w:val="24"/>
        </w:rPr>
        <w:t xml:space="preserve"> ，合同总价</w:t>
      </w:r>
      <w:r>
        <w:rPr>
          <w:rFonts w:hint="eastAsia" w:ascii="仿宋" w:hAnsi="仿宋" w:eastAsia="仿宋"/>
          <w:sz w:val="24"/>
          <w:u w:val="single"/>
        </w:rPr>
        <w:t xml:space="preserve">    </w:t>
      </w:r>
      <w:r>
        <w:rPr>
          <w:rFonts w:hint="eastAsia" w:ascii="仿宋" w:hAnsi="仿宋" w:eastAsia="仿宋"/>
          <w:sz w:val="24"/>
        </w:rPr>
        <w:t>的质保金待保修期到后一次性无息支付。</w:t>
      </w:r>
    </w:p>
    <w:p>
      <w:pPr>
        <w:spacing w:line="360" w:lineRule="auto"/>
        <w:rPr>
          <w:rFonts w:ascii="仿宋" w:hAnsi="仿宋" w:eastAsia="仿宋"/>
          <w:b/>
          <w:bCs/>
          <w:sz w:val="24"/>
        </w:rPr>
      </w:pPr>
      <w:r>
        <w:rPr>
          <w:rFonts w:hint="eastAsia" w:ascii="仿宋" w:hAnsi="仿宋" w:eastAsia="仿宋"/>
          <w:b/>
          <w:bCs/>
          <w:sz w:val="24"/>
        </w:rPr>
        <w:t>六、质保期及售后服务要求</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1.本合同的质量保证期（简称“质保期”）为 </w:t>
      </w:r>
      <w:r>
        <w:rPr>
          <w:rFonts w:hint="eastAsia" w:ascii="仿宋" w:hAnsi="仿宋" w:eastAsia="仿宋"/>
          <w:sz w:val="24"/>
          <w:u w:val="single"/>
        </w:rPr>
        <w:t xml:space="preserve">  </w:t>
      </w:r>
      <w:r>
        <w:rPr>
          <w:rFonts w:hint="eastAsia" w:ascii="仿宋" w:hAnsi="仿宋" w:eastAsia="仿宋"/>
          <w:sz w:val="24"/>
        </w:rPr>
        <w:t xml:space="preserve"> 年，质保期内乙方对所供设备实行包修、包换、包退、包维护保养，期满后可提供终身有偿维修保养服务。</w:t>
      </w:r>
    </w:p>
    <w:p>
      <w:pPr>
        <w:snapToGrid w:val="0"/>
        <w:spacing w:line="360" w:lineRule="auto"/>
        <w:ind w:firstLine="480" w:firstLineChars="200"/>
        <w:rPr>
          <w:rFonts w:ascii="仿宋" w:hAnsi="仿宋" w:eastAsia="仿宋"/>
          <w:sz w:val="24"/>
        </w:rPr>
      </w:pPr>
      <w:r>
        <w:rPr>
          <w:rFonts w:hint="eastAsia" w:ascii="仿宋" w:hAnsi="仿宋" w:eastAsia="仿宋"/>
          <w:sz w:val="24"/>
        </w:rPr>
        <w:t>2.质保期内，如设备或零部件因非人为因素出现故障而造成短期停用时，则质保期和免费维修期相应顺延。如停用时间累计超过60天则质保期重新计算。</w:t>
      </w:r>
    </w:p>
    <w:p>
      <w:pPr>
        <w:snapToGrid w:val="0"/>
        <w:spacing w:line="360" w:lineRule="auto"/>
        <w:ind w:firstLine="480" w:firstLineChars="200"/>
        <w:rPr>
          <w:rFonts w:ascii="仿宋" w:hAnsi="仿宋" w:eastAsia="仿宋"/>
          <w:sz w:val="24"/>
        </w:rPr>
      </w:pPr>
      <w:r>
        <w:rPr>
          <w:rFonts w:hint="eastAsia" w:ascii="仿宋" w:hAnsi="仿宋" w:eastAsia="仿宋"/>
          <w:sz w:val="24"/>
        </w:rPr>
        <w:t>3.对甲方的服务通知，乙方在接报后1小时内响应，8小时内到达现场，24小时内处理完毕。若在24小时内仍未能有效解决，乙方须免费提供同档次的设备予甲方临时使用。</w:t>
      </w:r>
    </w:p>
    <w:p>
      <w:pPr>
        <w:spacing w:line="360" w:lineRule="auto"/>
        <w:rPr>
          <w:rFonts w:ascii="仿宋" w:hAnsi="仿宋" w:eastAsia="仿宋"/>
          <w:b/>
          <w:bCs/>
          <w:sz w:val="24"/>
        </w:rPr>
      </w:pPr>
      <w:r>
        <w:rPr>
          <w:rFonts w:hint="eastAsia" w:ascii="仿宋" w:hAnsi="仿宋" w:eastAsia="仿宋"/>
          <w:b/>
          <w:bCs/>
          <w:sz w:val="24"/>
        </w:rPr>
        <w:t>七、安装与调试</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乙方必须依照谈判文件的要求和响应文件的承诺，将设备、系统安装并调试至正常运行的最佳状态。</w:t>
      </w:r>
    </w:p>
    <w:p>
      <w:pPr>
        <w:spacing w:line="360" w:lineRule="auto"/>
        <w:rPr>
          <w:rFonts w:ascii="仿宋" w:hAnsi="仿宋" w:eastAsia="仿宋"/>
          <w:b/>
          <w:bCs/>
          <w:sz w:val="24"/>
        </w:rPr>
      </w:pPr>
      <w:r>
        <w:rPr>
          <w:rFonts w:hint="eastAsia" w:ascii="仿宋" w:hAnsi="仿宋" w:eastAsia="仿宋"/>
          <w:b/>
          <w:bCs/>
          <w:sz w:val="24"/>
        </w:rPr>
        <w:t>八、验收：</w:t>
      </w:r>
    </w:p>
    <w:p>
      <w:pPr>
        <w:tabs>
          <w:tab w:val="left" w:pos="900"/>
        </w:tabs>
        <w:snapToGrid w:val="0"/>
        <w:spacing w:line="360" w:lineRule="auto"/>
        <w:ind w:firstLine="480" w:firstLineChars="200"/>
        <w:rPr>
          <w:rFonts w:ascii="仿宋" w:hAnsi="仿宋" w:eastAsia="仿宋"/>
          <w:sz w:val="24"/>
        </w:rPr>
      </w:pPr>
      <w:r>
        <w:rPr>
          <w:rFonts w:hint="eastAsia" w:ascii="仿宋" w:hAnsi="仿宋" w:eastAsia="仿宋"/>
          <w:sz w:val="24"/>
        </w:rPr>
        <w:t xml:space="preserve">1）设备若有国家标准按照国家标准验收，若无国家标准按行业标准验收，为原制造商制造的全新产品，整机无污染，无侵权行为、表面无划损、无任何缺陷隐患，在中国境内可依常规安全合法使用。 </w:t>
      </w:r>
    </w:p>
    <w:p>
      <w:pPr>
        <w:tabs>
          <w:tab w:val="left" w:pos="900"/>
        </w:tabs>
        <w:snapToGrid w:val="0"/>
        <w:spacing w:line="360" w:lineRule="auto"/>
        <w:ind w:firstLine="480" w:firstLineChars="200"/>
        <w:rPr>
          <w:rFonts w:ascii="仿宋" w:hAnsi="仿宋" w:eastAsia="仿宋"/>
          <w:sz w:val="24"/>
        </w:rPr>
      </w:pPr>
      <w:r>
        <w:rPr>
          <w:rFonts w:hint="eastAsia" w:ascii="仿宋" w:hAnsi="仿宋" w:eastAsia="仿宋"/>
          <w:sz w:val="24"/>
        </w:rPr>
        <w:t>2）进口产品必须具备原产地证明和商检局的检验证明及合法进货渠道证明。</w:t>
      </w:r>
    </w:p>
    <w:p>
      <w:pPr>
        <w:tabs>
          <w:tab w:val="left" w:pos="900"/>
        </w:tabs>
        <w:snapToGrid w:val="0"/>
        <w:spacing w:line="360" w:lineRule="auto"/>
        <w:ind w:firstLine="480" w:firstLineChars="200"/>
        <w:rPr>
          <w:rFonts w:ascii="仿宋" w:hAnsi="仿宋" w:eastAsia="仿宋"/>
          <w:sz w:val="24"/>
        </w:rPr>
      </w:pPr>
      <w:r>
        <w:rPr>
          <w:rFonts w:hint="eastAsia" w:ascii="仿宋" w:hAnsi="仿宋" w:eastAsia="仿宋"/>
          <w:sz w:val="24"/>
        </w:rPr>
        <w:t>3）设备为原厂商未启封全新包装，具出厂合格证，序列号、包装箱号与出厂批号一致，并可追索查阅。所有随设备的附件必须齐全。</w:t>
      </w:r>
    </w:p>
    <w:p>
      <w:pPr>
        <w:tabs>
          <w:tab w:val="left" w:pos="900"/>
        </w:tabs>
        <w:snapToGrid w:val="0"/>
        <w:spacing w:line="360" w:lineRule="auto"/>
        <w:ind w:firstLine="480" w:firstLineChars="200"/>
        <w:rPr>
          <w:rFonts w:ascii="仿宋" w:hAnsi="仿宋" w:eastAsia="仿宋"/>
          <w:sz w:val="24"/>
        </w:rPr>
      </w:pPr>
      <w:r>
        <w:rPr>
          <w:rFonts w:hint="eastAsia" w:ascii="仿宋" w:hAnsi="仿宋" w:eastAsia="仿宋"/>
          <w:sz w:val="24"/>
        </w:rPr>
        <w:t>4）乙方应将关键主机设备的用户手册、保修手册、有关单证资料及配备件、随机工具等交付给甲方，使用操作及安全须知等重要资料应附有中文说明。</w:t>
      </w:r>
    </w:p>
    <w:p>
      <w:pPr>
        <w:tabs>
          <w:tab w:val="left" w:pos="900"/>
        </w:tabs>
        <w:snapToGrid w:val="0"/>
        <w:spacing w:line="360" w:lineRule="auto"/>
        <w:ind w:firstLine="480" w:firstLineChars="200"/>
        <w:rPr>
          <w:rFonts w:ascii="仿宋" w:hAnsi="仿宋" w:eastAsia="仿宋"/>
          <w:sz w:val="24"/>
        </w:rPr>
      </w:pPr>
      <w:r>
        <w:rPr>
          <w:rFonts w:hint="eastAsia" w:ascii="仿宋" w:hAnsi="仿宋" w:eastAsia="仿宋"/>
          <w:sz w:val="24"/>
        </w:rPr>
        <w:t>5）甲方组成验收小组按国家有关规定、规范进行验收，必要时邀请相关的专业人员或机构参与验收。因设备质量问题发生争议时，由本地质量技术监督部门鉴定。设备符合质量技术标准的，鉴定费由甲方承担；否则鉴定费由乙方承担。</w:t>
      </w:r>
    </w:p>
    <w:p>
      <w:pPr>
        <w:spacing w:line="360" w:lineRule="auto"/>
        <w:rPr>
          <w:rFonts w:ascii="仿宋" w:hAnsi="仿宋" w:eastAsia="仿宋"/>
          <w:b/>
          <w:bCs/>
          <w:sz w:val="24"/>
        </w:rPr>
      </w:pPr>
      <w:r>
        <w:rPr>
          <w:rFonts w:hint="eastAsia" w:ascii="仿宋" w:hAnsi="仿宋" w:eastAsia="仿宋"/>
          <w:b/>
          <w:bCs/>
          <w:sz w:val="24"/>
        </w:rPr>
        <w:t>九、违约责任与赔偿损失</w:t>
      </w:r>
    </w:p>
    <w:p>
      <w:pPr>
        <w:tabs>
          <w:tab w:val="left" w:pos="900"/>
        </w:tabs>
        <w:spacing w:line="360" w:lineRule="auto"/>
        <w:ind w:firstLine="480" w:firstLineChars="200"/>
        <w:rPr>
          <w:rFonts w:ascii="仿宋" w:hAnsi="仿宋" w:eastAsia="仿宋"/>
          <w:sz w:val="24"/>
        </w:rPr>
      </w:pPr>
      <w:r>
        <w:rPr>
          <w:rFonts w:hint="eastAsia" w:ascii="仿宋" w:hAnsi="仿宋" w:eastAsia="仿宋"/>
          <w:sz w:val="24"/>
        </w:rPr>
        <w:t>1) 乙方交付的设备不符合采购文件、响应文件或本合同规定的，甲方有权拒收，并且乙方须向甲方支付本合同总价5%的违约金。</w:t>
      </w:r>
    </w:p>
    <w:p>
      <w:pPr>
        <w:tabs>
          <w:tab w:val="left" w:pos="720"/>
          <w:tab w:val="left" w:pos="900"/>
        </w:tabs>
        <w:spacing w:line="360" w:lineRule="auto"/>
        <w:ind w:firstLine="480" w:firstLineChars="200"/>
        <w:rPr>
          <w:rFonts w:ascii="仿宋" w:hAnsi="仿宋" w:eastAsia="仿宋"/>
          <w:sz w:val="24"/>
        </w:rPr>
      </w:pPr>
      <w:r>
        <w:rPr>
          <w:rFonts w:hint="eastAsia" w:ascii="仿宋" w:hAnsi="仿宋" w:eastAsia="仿宋"/>
          <w:sz w:val="24"/>
        </w:rPr>
        <w:t>2) 乙方未能按本合同规定的交货时间交付设备，从逾期之日起每日按本合同总价3‰的数额向甲方支付违约金；逾期半个月以上的，甲方有权终止合同，由此造成的甲方经济损失由乙方承担。</w:t>
      </w:r>
    </w:p>
    <w:p>
      <w:pPr>
        <w:spacing w:line="360" w:lineRule="auto"/>
        <w:ind w:firstLine="480" w:firstLineChars="200"/>
        <w:rPr>
          <w:rFonts w:ascii="仿宋" w:hAnsi="仿宋" w:eastAsia="仿宋"/>
          <w:sz w:val="24"/>
        </w:rPr>
      </w:pPr>
      <w:r>
        <w:rPr>
          <w:rFonts w:hint="eastAsia" w:ascii="仿宋" w:hAnsi="仿宋" w:eastAsia="仿宋"/>
          <w:sz w:val="24"/>
        </w:rPr>
        <w:t>3) 甲方无正当理由拒收设备，到期拒付设备款项的，甲方向乙方偿付本合同总的5%的违约金。甲方人逾期付款，则每日按本合同总价的3‰向乙方偿付违约金。</w:t>
      </w:r>
    </w:p>
    <w:p>
      <w:pPr>
        <w:spacing w:line="360" w:lineRule="auto"/>
        <w:ind w:firstLine="480" w:firstLineChars="200"/>
        <w:rPr>
          <w:rFonts w:ascii="仿宋" w:hAnsi="仿宋" w:eastAsia="仿宋"/>
          <w:sz w:val="24"/>
        </w:rPr>
      </w:pPr>
      <w:r>
        <w:rPr>
          <w:rFonts w:hint="eastAsia" w:ascii="仿宋" w:hAnsi="仿宋" w:eastAsia="仿宋"/>
          <w:sz w:val="24"/>
        </w:rPr>
        <w:t>4) 其它违约责任按《中华人民共和国民法典》处理。</w:t>
      </w:r>
    </w:p>
    <w:p>
      <w:pPr>
        <w:spacing w:line="360" w:lineRule="auto"/>
        <w:rPr>
          <w:rFonts w:ascii="仿宋" w:hAnsi="仿宋" w:eastAsia="仿宋"/>
          <w:b/>
          <w:bCs/>
          <w:sz w:val="24"/>
        </w:rPr>
      </w:pPr>
      <w:r>
        <w:rPr>
          <w:rFonts w:hint="eastAsia" w:ascii="仿宋" w:hAnsi="仿宋" w:eastAsia="仿宋"/>
          <w:b/>
          <w:bCs/>
          <w:sz w:val="24"/>
        </w:rPr>
        <w:t>十、争议的解决</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1)合同执行过程中发生的任何争议，如双方不能通过友好协商解决，按相关法律法规处理。</w:t>
      </w:r>
    </w:p>
    <w:p>
      <w:pPr>
        <w:spacing w:line="360" w:lineRule="auto"/>
        <w:rPr>
          <w:rFonts w:ascii="仿宋" w:hAnsi="仿宋" w:eastAsia="仿宋"/>
          <w:b/>
          <w:bCs/>
          <w:sz w:val="24"/>
        </w:rPr>
      </w:pPr>
      <w:r>
        <w:rPr>
          <w:rFonts w:hint="eastAsia" w:ascii="仿宋" w:hAnsi="仿宋" w:eastAsia="仿宋"/>
          <w:b/>
          <w:bCs/>
          <w:sz w:val="24"/>
        </w:rPr>
        <w:t>十一、不可抗力</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仿宋" w:hAnsi="仿宋" w:eastAsia="仿宋"/>
          <w:b/>
          <w:bCs/>
          <w:sz w:val="24"/>
        </w:rPr>
      </w:pPr>
      <w:r>
        <w:rPr>
          <w:rFonts w:hint="eastAsia" w:ascii="仿宋" w:hAnsi="仿宋" w:eastAsia="仿宋"/>
          <w:b/>
          <w:bCs/>
          <w:sz w:val="24"/>
        </w:rPr>
        <w:t>十二、税费</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在中国境内、外发生的与本合同执行有关的一切税费均由乙方负担。</w:t>
      </w:r>
    </w:p>
    <w:p>
      <w:pPr>
        <w:spacing w:line="360" w:lineRule="auto"/>
        <w:rPr>
          <w:rFonts w:ascii="仿宋" w:hAnsi="仿宋" w:eastAsia="仿宋"/>
          <w:b/>
          <w:bCs/>
          <w:sz w:val="24"/>
        </w:rPr>
      </w:pPr>
      <w:r>
        <w:rPr>
          <w:rFonts w:hint="eastAsia" w:ascii="仿宋" w:hAnsi="仿宋" w:eastAsia="仿宋"/>
          <w:b/>
          <w:bCs/>
          <w:sz w:val="24"/>
        </w:rPr>
        <w:t>十三、其它</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1) 本合同所有附件、谈判文件、响应文件、成交通知书通知书均为合同的有效组成部分，与本合同具有同等法律效力。</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2) 在执行本合同的过程中，所有经双方签署确认的文件（包括会议纪要、补充协议、往来信函）即成为本合同的有效组成部分。</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 xml:space="preserve">3) 如一方地址、电话、传真号码有变更，应在变更当日内书面通知对方，否则，应承担相应责任。 </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4) 除甲方事先书面同意外，乙方不得部分或全部转让其应履行的合同项下的义务。</w:t>
      </w:r>
    </w:p>
    <w:p>
      <w:pPr>
        <w:spacing w:line="360" w:lineRule="auto"/>
        <w:rPr>
          <w:rFonts w:ascii="仿宋" w:hAnsi="仿宋" w:eastAsia="仿宋"/>
          <w:b/>
          <w:bCs/>
          <w:sz w:val="24"/>
        </w:rPr>
      </w:pPr>
      <w:r>
        <w:rPr>
          <w:rFonts w:hint="eastAsia" w:ascii="仿宋" w:hAnsi="仿宋" w:eastAsia="仿宋"/>
          <w:b/>
          <w:bCs/>
          <w:sz w:val="24"/>
        </w:rPr>
        <w:t>十四、合同生效：</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1）本合同在甲乙双方法人代表或其授权代表签字盖章后生效。</w:t>
      </w:r>
    </w:p>
    <w:p>
      <w:pPr>
        <w:tabs>
          <w:tab w:val="left" w:pos="824"/>
        </w:tabs>
        <w:spacing w:line="360" w:lineRule="auto"/>
        <w:ind w:firstLine="480" w:firstLineChars="200"/>
        <w:rPr>
          <w:rFonts w:ascii="仿宋" w:hAnsi="仿宋" w:eastAsia="仿宋"/>
          <w:sz w:val="24"/>
        </w:rPr>
      </w:pPr>
      <w:r>
        <w:rPr>
          <w:rFonts w:hint="eastAsia" w:ascii="仿宋" w:hAnsi="仿宋" w:eastAsia="仿宋"/>
          <w:sz w:val="24"/>
        </w:rPr>
        <w:t>2）合同一式五份。甲、乙方双方各执两份，（监管部门）和采购代理机构各一份。</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甲方：   （盖章）</w:t>
      </w:r>
      <w:r>
        <w:rPr>
          <w:rFonts w:ascii="仿宋" w:hAnsi="仿宋" w:eastAsia="仿宋"/>
          <w:sz w:val="24"/>
        </w:rPr>
        <w:t xml:space="preserve">   </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 xml:space="preserve">   </w:t>
      </w:r>
      <w:r>
        <w:rPr>
          <w:rFonts w:hint="eastAsia" w:ascii="仿宋" w:hAnsi="仿宋" w:eastAsia="仿宋"/>
          <w:sz w:val="24"/>
        </w:rPr>
        <w:t>乙方：</w:t>
      </w:r>
      <w:r>
        <w:rPr>
          <w:rFonts w:ascii="仿宋" w:hAnsi="仿宋" w:eastAsia="仿宋"/>
          <w:sz w:val="24"/>
        </w:rPr>
        <w:t xml:space="preserve">   </w:t>
      </w:r>
      <w:r>
        <w:rPr>
          <w:rFonts w:hint="eastAsia" w:ascii="仿宋" w:hAnsi="仿宋" w:eastAsia="仿宋"/>
          <w:sz w:val="24"/>
        </w:rPr>
        <w:t>（盖章）</w:t>
      </w:r>
    </w:p>
    <w:p>
      <w:pPr>
        <w:spacing w:line="360" w:lineRule="auto"/>
        <w:ind w:firstLine="480" w:firstLineChars="200"/>
        <w:rPr>
          <w:rFonts w:ascii="仿宋" w:hAnsi="仿宋" w:eastAsia="仿宋"/>
          <w:sz w:val="24"/>
        </w:rPr>
      </w:pPr>
      <w:r>
        <w:rPr>
          <w:rFonts w:hint="eastAsia" w:ascii="仿宋" w:hAnsi="仿宋" w:eastAsia="仿宋"/>
          <w:sz w:val="24"/>
        </w:rPr>
        <w:t>法定代表人（授权代表）：</w:t>
      </w:r>
      <w:r>
        <w:rPr>
          <w:rFonts w:ascii="仿宋" w:hAnsi="仿宋" w:eastAsia="仿宋"/>
          <w:sz w:val="24"/>
        </w:rPr>
        <w:t xml:space="preserve">           </w:t>
      </w:r>
      <w:r>
        <w:rPr>
          <w:rFonts w:hint="eastAsia" w:ascii="仿宋" w:hAnsi="仿宋" w:eastAsia="仿宋"/>
          <w:sz w:val="24"/>
        </w:rPr>
        <w:t>法定代表人（授权代表）：</w:t>
      </w:r>
    </w:p>
    <w:p>
      <w:pPr>
        <w:spacing w:line="360" w:lineRule="auto"/>
        <w:ind w:firstLine="480" w:firstLineChars="200"/>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rPr>
        <w:t xml:space="preserve">                         </w:t>
      </w: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p>
    <w:p>
      <w:pPr>
        <w:spacing w:line="360" w:lineRule="auto"/>
        <w:ind w:firstLine="480" w:firstLineChars="200"/>
        <w:rPr>
          <w:rFonts w:ascii="仿宋" w:hAnsi="仿宋" w:eastAsia="仿宋"/>
          <w:sz w:val="24"/>
        </w:rPr>
      </w:pPr>
      <w:r>
        <w:rPr>
          <w:rFonts w:hint="eastAsia" w:ascii="仿宋" w:hAnsi="仿宋" w:eastAsia="仿宋"/>
          <w:sz w:val="24"/>
        </w:rPr>
        <w:t>开户银行：</w:t>
      </w:r>
      <w:r>
        <w:rPr>
          <w:rFonts w:ascii="仿宋" w:hAnsi="仿宋" w:eastAsia="仿宋"/>
          <w:sz w:val="24"/>
        </w:rPr>
        <w:t xml:space="preserve">                         </w:t>
      </w:r>
      <w:r>
        <w:rPr>
          <w:rFonts w:hint="eastAsia" w:ascii="仿宋" w:hAnsi="仿宋" w:eastAsia="仿宋"/>
          <w:sz w:val="24"/>
        </w:rPr>
        <w:t>开户银行：</w:t>
      </w:r>
    </w:p>
    <w:p>
      <w:pPr>
        <w:spacing w:line="360" w:lineRule="auto"/>
        <w:ind w:firstLine="480" w:firstLineChars="200"/>
        <w:rPr>
          <w:rFonts w:ascii="仿宋" w:hAnsi="仿宋" w:eastAsia="仿宋"/>
          <w:sz w:val="24"/>
        </w:rPr>
      </w:pPr>
      <w:r>
        <w:rPr>
          <w:rFonts w:hint="eastAsia" w:ascii="仿宋" w:hAnsi="仿宋" w:eastAsia="仿宋"/>
          <w:sz w:val="24"/>
        </w:rPr>
        <w:t>账号：</w:t>
      </w:r>
      <w:r>
        <w:rPr>
          <w:rFonts w:ascii="仿宋" w:hAnsi="仿宋" w:eastAsia="仿宋"/>
          <w:sz w:val="24"/>
        </w:rPr>
        <w:t xml:space="preserve">                             </w:t>
      </w:r>
      <w:r>
        <w:rPr>
          <w:rFonts w:hint="eastAsia" w:ascii="仿宋" w:hAnsi="仿宋" w:eastAsia="仿宋"/>
          <w:sz w:val="24"/>
        </w:rPr>
        <w:t>账号：</w:t>
      </w:r>
    </w:p>
    <w:p>
      <w:pPr>
        <w:spacing w:line="360" w:lineRule="auto"/>
        <w:ind w:firstLine="480" w:firstLineChars="200"/>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ind w:firstLine="480" w:firstLineChars="200"/>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ind w:firstLine="480" w:firstLineChars="200"/>
        <w:rPr>
          <w:rFonts w:ascii="仿宋" w:hAnsi="仿宋" w:eastAsia="仿宋"/>
          <w:sz w:val="24"/>
        </w:rPr>
      </w:pPr>
      <w:r>
        <w:rPr>
          <w:rFonts w:hint="eastAsia" w:ascii="仿宋" w:hAnsi="仿宋" w:eastAsia="仿宋"/>
          <w:sz w:val="24"/>
        </w:rPr>
        <w:t>签约日期：XX年XX月XX日</w:t>
      </w:r>
      <w:r>
        <w:rPr>
          <w:rFonts w:ascii="仿宋" w:hAnsi="仿宋" w:eastAsia="仿宋"/>
          <w:sz w:val="24"/>
        </w:rPr>
        <w:t xml:space="preserve"> </w:t>
      </w:r>
      <w:r>
        <w:rPr>
          <w:rFonts w:ascii="仿宋" w:hAnsi="仿宋" w:eastAsia="仿宋"/>
          <w:sz w:val="24"/>
        </w:rPr>
        <w:tab/>
      </w:r>
      <w:r>
        <w:rPr>
          <w:rFonts w:ascii="仿宋" w:hAnsi="仿宋" w:eastAsia="仿宋"/>
          <w:sz w:val="24"/>
        </w:rPr>
        <w:tab/>
      </w:r>
      <w:r>
        <w:rPr>
          <w:rFonts w:ascii="仿宋" w:hAnsi="仿宋" w:eastAsia="仿宋"/>
          <w:sz w:val="24"/>
        </w:rPr>
        <w:tab/>
      </w:r>
      <w:r>
        <w:rPr>
          <w:rFonts w:hint="eastAsia" w:ascii="仿宋" w:hAnsi="仿宋" w:eastAsia="仿宋"/>
          <w:sz w:val="24"/>
        </w:rPr>
        <w:t>签约日期：XX年XX月XX日</w:t>
      </w:r>
    </w:p>
    <w:p>
      <w:pPr>
        <w:spacing w:line="560" w:lineRule="exact"/>
        <w:jc w:val="left"/>
        <w:rPr>
          <w:rFonts w:ascii="黑体" w:hAnsi="黑体" w:eastAsia="黑体" w:cs="黑体"/>
          <w:bCs/>
          <w:kern w:val="0"/>
          <w:sz w:val="32"/>
          <w:szCs w:val="32"/>
        </w:rPr>
      </w:pPr>
    </w:p>
    <w:p>
      <w:pPr>
        <w:spacing w:line="560" w:lineRule="exact"/>
        <w:jc w:val="left"/>
        <w:rPr>
          <w:sz w:val="28"/>
        </w:rPr>
      </w:pPr>
    </w:p>
    <w:p>
      <w:pPr>
        <w:pStyle w:val="2"/>
        <w:sectPr>
          <w:pgSz w:w="11906" w:h="16838"/>
          <w:pgMar w:top="1418" w:right="1474" w:bottom="1418" w:left="1474" w:header="851" w:footer="992" w:gutter="0"/>
          <w:cols w:space="720" w:num="1"/>
          <w:docGrid w:linePitch="579" w:charSpace="-1429"/>
        </w:sectPr>
      </w:pPr>
    </w:p>
    <w:p>
      <w:pPr>
        <w:pStyle w:val="3"/>
        <w:snapToGrid w:val="0"/>
        <w:spacing w:before="0" w:after="0" w:line="480" w:lineRule="auto"/>
        <w:jc w:val="center"/>
      </w:pPr>
      <w:bookmarkStart w:id="43" w:name="_Toc48568222"/>
      <w:r>
        <w:rPr>
          <w:rFonts w:hint="eastAsia"/>
        </w:rPr>
        <w:t>第六章  响应文件格式</w:t>
      </w:r>
      <w:bookmarkEnd w:id="43"/>
    </w:p>
    <w:p>
      <w:pPr>
        <w:jc w:val="center"/>
        <w:rPr>
          <w:rFonts w:hAnsi="宋体"/>
          <w:b/>
          <w:sz w:val="52"/>
          <w:szCs w:val="52"/>
        </w:rPr>
      </w:pPr>
    </w:p>
    <w:p>
      <w:pPr>
        <w:pStyle w:val="2"/>
      </w:pPr>
    </w:p>
    <w:p>
      <w:pPr>
        <w:jc w:val="center"/>
        <w:rPr>
          <w:rFonts w:ascii="仿宋" w:hAnsi="仿宋" w:eastAsia="仿宋"/>
          <w:b/>
          <w:sz w:val="44"/>
          <w:szCs w:val="44"/>
        </w:rPr>
      </w:pPr>
      <w:r>
        <w:rPr>
          <w:rFonts w:hint="eastAsia" w:ascii="仿宋" w:hAnsi="仿宋" w:eastAsia="仿宋"/>
          <w:b/>
          <w:sz w:val="44"/>
          <w:szCs w:val="44"/>
        </w:rPr>
        <w:t>响 应 文 件</w:t>
      </w:r>
    </w:p>
    <w:p/>
    <w:p/>
    <w:p/>
    <w:p>
      <w:pPr>
        <w:snapToGrid w:val="0"/>
        <w:spacing w:line="360" w:lineRule="auto"/>
        <w:rPr>
          <w:rFonts w:ascii="仿宋" w:hAnsi="仿宋" w:eastAsia="仿宋"/>
          <w:sz w:val="48"/>
          <w:szCs w:val="48"/>
        </w:rPr>
      </w:pPr>
      <w:r>
        <w:rPr>
          <w:rFonts w:hint="eastAsia" w:ascii="仿宋" w:hAnsi="仿宋" w:eastAsia="仿宋"/>
          <w:sz w:val="48"/>
          <w:szCs w:val="48"/>
        </w:rPr>
        <w:t xml:space="preserve">项目名称：               </w:t>
      </w:r>
    </w:p>
    <w:p>
      <w:pPr>
        <w:snapToGrid w:val="0"/>
        <w:spacing w:line="360" w:lineRule="auto"/>
        <w:rPr>
          <w:rFonts w:ascii="仿宋" w:hAnsi="仿宋" w:eastAsia="仿宋"/>
          <w:sz w:val="48"/>
          <w:szCs w:val="48"/>
        </w:rPr>
      </w:pPr>
      <w:r>
        <w:rPr>
          <w:rFonts w:hint="eastAsia" w:ascii="仿宋" w:hAnsi="仿宋" w:eastAsia="仿宋"/>
          <w:sz w:val="48"/>
          <w:szCs w:val="48"/>
        </w:rPr>
        <w:t xml:space="preserve">项目编号：               </w:t>
      </w:r>
    </w:p>
    <w:p/>
    <w:p/>
    <w:p/>
    <w:p>
      <w:pPr>
        <w:pStyle w:val="2"/>
      </w:pPr>
    </w:p>
    <w:p>
      <w:pPr>
        <w:pStyle w:val="2"/>
      </w:pPr>
    </w:p>
    <w:p>
      <w:pPr>
        <w:jc w:val="center"/>
        <w:rPr>
          <w:rFonts w:ascii="仿宋" w:hAnsi="仿宋" w:eastAsia="仿宋"/>
          <w:sz w:val="32"/>
          <w:szCs w:val="30"/>
        </w:rPr>
      </w:pPr>
      <w:r>
        <w:rPr>
          <w:rFonts w:hint="eastAsia" w:ascii="仿宋" w:hAnsi="仿宋" w:eastAsia="仿宋"/>
          <w:sz w:val="32"/>
          <w:szCs w:val="30"/>
        </w:rPr>
        <w:t>（正本/副本）</w:t>
      </w:r>
    </w:p>
    <w:p>
      <w:pPr>
        <w:rPr>
          <w:rFonts w:ascii="仿宋" w:hAnsi="仿宋" w:eastAsia="仿宋"/>
          <w:sz w:val="32"/>
          <w:szCs w:val="30"/>
        </w:rPr>
      </w:pPr>
    </w:p>
    <w:p>
      <w:pPr>
        <w:rPr>
          <w:rFonts w:ascii="仿宋" w:hAnsi="仿宋" w:eastAsia="仿宋"/>
          <w:sz w:val="32"/>
          <w:szCs w:val="30"/>
        </w:rPr>
      </w:pPr>
    </w:p>
    <w:p>
      <w:pPr>
        <w:snapToGrid w:val="0"/>
        <w:spacing w:line="480" w:lineRule="auto"/>
        <w:rPr>
          <w:rFonts w:ascii="仿宋" w:hAnsi="仿宋" w:eastAsia="仿宋"/>
          <w:sz w:val="32"/>
          <w:szCs w:val="30"/>
        </w:rPr>
      </w:pPr>
    </w:p>
    <w:p>
      <w:pPr>
        <w:snapToGrid w:val="0"/>
        <w:spacing w:line="480" w:lineRule="auto"/>
        <w:rPr>
          <w:rFonts w:ascii="仿宋" w:hAnsi="仿宋" w:eastAsia="仿宋"/>
          <w:sz w:val="32"/>
          <w:szCs w:val="30"/>
        </w:rPr>
      </w:pPr>
      <w:r>
        <w:rPr>
          <w:rFonts w:hint="eastAsia" w:ascii="仿宋" w:hAnsi="仿宋" w:eastAsia="仿宋"/>
          <w:sz w:val="32"/>
          <w:szCs w:val="30"/>
        </w:rPr>
        <w:t xml:space="preserve">供应商名称：                                </w:t>
      </w:r>
    </w:p>
    <w:p>
      <w:pPr>
        <w:snapToGrid w:val="0"/>
        <w:spacing w:line="480" w:lineRule="auto"/>
        <w:rPr>
          <w:rFonts w:ascii="仿宋" w:hAnsi="仿宋" w:eastAsia="仿宋"/>
          <w:sz w:val="32"/>
          <w:szCs w:val="30"/>
        </w:rPr>
      </w:pPr>
      <w:r>
        <w:rPr>
          <w:rFonts w:hint="eastAsia" w:ascii="仿宋" w:hAnsi="仿宋" w:eastAsia="仿宋"/>
          <w:sz w:val="32"/>
          <w:szCs w:val="30"/>
        </w:rPr>
        <w:t xml:space="preserve">地  </w:t>
      </w:r>
      <w:r>
        <w:rPr>
          <w:rFonts w:ascii="仿宋" w:hAnsi="仿宋" w:eastAsia="仿宋"/>
          <w:sz w:val="32"/>
          <w:szCs w:val="30"/>
        </w:rPr>
        <w:t xml:space="preserve">  </w:t>
      </w:r>
      <w:r>
        <w:rPr>
          <w:rFonts w:hint="eastAsia" w:ascii="仿宋" w:hAnsi="仿宋" w:eastAsia="仿宋"/>
          <w:sz w:val="32"/>
          <w:szCs w:val="30"/>
        </w:rPr>
        <w:t xml:space="preserve">址：                                                                                                               </w:t>
      </w:r>
    </w:p>
    <w:p>
      <w:pPr>
        <w:snapToGrid w:val="0"/>
        <w:spacing w:line="480" w:lineRule="auto"/>
        <w:rPr>
          <w:rFonts w:ascii="仿宋" w:hAnsi="仿宋" w:eastAsia="仿宋"/>
          <w:sz w:val="32"/>
          <w:szCs w:val="30"/>
        </w:rPr>
      </w:pPr>
      <w:r>
        <w:rPr>
          <w:rFonts w:hint="eastAsia" w:ascii="仿宋" w:hAnsi="仿宋" w:eastAsia="仿宋"/>
          <w:sz w:val="32"/>
          <w:szCs w:val="30"/>
        </w:rPr>
        <w:t xml:space="preserve">响应代表：                  </w:t>
      </w:r>
    </w:p>
    <w:p>
      <w:pPr>
        <w:snapToGrid w:val="0"/>
        <w:spacing w:line="480" w:lineRule="auto"/>
        <w:rPr>
          <w:rFonts w:ascii="仿宋" w:hAnsi="仿宋" w:eastAsia="仿宋"/>
          <w:sz w:val="32"/>
          <w:szCs w:val="30"/>
        </w:rPr>
      </w:pPr>
      <w:r>
        <w:rPr>
          <w:rFonts w:hint="eastAsia" w:ascii="仿宋" w:hAnsi="仿宋" w:eastAsia="仿宋"/>
          <w:sz w:val="32"/>
          <w:szCs w:val="30"/>
        </w:rPr>
        <w:t xml:space="preserve">手 </w:t>
      </w:r>
      <w:r>
        <w:rPr>
          <w:rFonts w:ascii="仿宋" w:hAnsi="仿宋" w:eastAsia="仿宋"/>
          <w:sz w:val="32"/>
          <w:szCs w:val="30"/>
        </w:rPr>
        <w:t xml:space="preserve">   </w:t>
      </w:r>
      <w:r>
        <w:rPr>
          <w:rFonts w:hint="eastAsia" w:ascii="仿宋" w:hAnsi="仿宋" w:eastAsia="仿宋"/>
          <w:sz w:val="32"/>
          <w:szCs w:val="30"/>
        </w:rPr>
        <w:t xml:space="preserve">机：               </w:t>
      </w:r>
    </w:p>
    <w:p>
      <w:pPr>
        <w:snapToGrid w:val="0"/>
        <w:spacing w:line="480" w:lineRule="auto"/>
        <w:jc w:val="left"/>
        <w:rPr>
          <w:rFonts w:ascii="仿宋" w:hAnsi="仿宋" w:eastAsia="仿宋"/>
          <w:sz w:val="32"/>
          <w:szCs w:val="30"/>
        </w:rPr>
      </w:pPr>
      <w:r>
        <w:rPr>
          <w:rFonts w:hint="eastAsia" w:ascii="仿宋" w:hAnsi="仿宋" w:eastAsia="仿宋"/>
          <w:sz w:val="32"/>
          <w:szCs w:val="30"/>
        </w:rPr>
        <w:t xml:space="preserve">日 </w:t>
      </w:r>
      <w:r>
        <w:rPr>
          <w:rFonts w:ascii="仿宋" w:hAnsi="仿宋" w:eastAsia="仿宋"/>
          <w:sz w:val="32"/>
          <w:szCs w:val="30"/>
        </w:rPr>
        <w:t xml:space="preserve">   </w:t>
      </w:r>
      <w:r>
        <w:rPr>
          <w:rFonts w:hint="eastAsia" w:ascii="仿宋" w:hAnsi="仿宋" w:eastAsia="仿宋"/>
          <w:sz w:val="32"/>
          <w:szCs w:val="30"/>
        </w:rPr>
        <w:t>期 ：</w:t>
      </w:r>
      <w:r>
        <w:rPr>
          <w:rFonts w:ascii="仿宋" w:hAnsi="仿宋" w:eastAsia="仿宋"/>
          <w:sz w:val="32"/>
          <w:szCs w:val="30"/>
        </w:rPr>
        <w:t xml:space="preserve"> </w:t>
      </w:r>
      <w:r>
        <w:rPr>
          <w:rFonts w:hint="eastAsia" w:ascii="仿宋" w:hAnsi="仿宋" w:eastAsia="仿宋"/>
          <w:sz w:val="32"/>
          <w:szCs w:val="30"/>
        </w:rPr>
        <w:t xml:space="preserve">  年   月   日</w:t>
      </w:r>
    </w:p>
    <w:p>
      <w:pPr>
        <w:pStyle w:val="4"/>
        <w:jc w:val="center"/>
      </w:pPr>
      <w:r>
        <w:rPr>
          <w:rFonts w:hAnsi="宋体"/>
          <w:b w:val="0"/>
          <w:sz w:val="72"/>
        </w:rPr>
        <w:br w:type="page"/>
      </w:r>
      <w:bookmarkStart w:id="44" w:name="_Toc7509243"/>
      <w:bookmarkStart w:id="45" w:name="_Toc217446085"/>
      <w:bookmarkStart w:id="46" w:name="_Toc3838"/>
      <w:bookmarkStart w:id="47" w:name="_Toc7531346"/>
      <w:bookmarkStart w:id="48" w:name="_Toc490919966"/>
      <w:bookmarkStart w:id="49" w:name="_Toc32706"/>
      <w:r>
        <w:rPr>
          <w:rFonts w:hint="eastAsia"/>
        </w:rPr>
        <w:t>1</w:t>
      </w:r>
      <w:r>
        <w:t>、</w:t>
      </w:r>
      <w:bookmarkStart w:id="50" w:name="_Toc15873"/>
      <w:bookmarkStart w:id="51" w:name="_Toc490919983"/>
      <w:r>
        <w:rPr>
          <w:rFonts w:hint="eastAsia"/>
        </w:rPr>
        <w:t>报价一览表</w:t>
      </w:r>
    </w:p>
    <w:tbl>
      <w:tblPr>
        <w:tblStyle w:val="32"/>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3401"/>
        <w:gridCol w:w="177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29" w:type="dxa"/>
            <w:vAlign w:val="center"/>
          </w:tcPr>
          <w:p>
            <w:pPr>
              <w:spacing w:line="360" w:lineRule="auto"/>
              <w:jc w:val="center"/>
              <w:outlineLvl w:val="1"/>
              <w:rPr>
                <w:rFonts w:ascii="仿宋" w:hAnsi="仿宋" w:eastAsia="仿宋" w:cs="仿宋"/>
                <w:bCs/>
                <w:sz w:val="24"/>
              </w:rPr>
            </w:pPr>
            <w:r>
              <w:rPr>
                <w:rFonts w:hint="eastAsia" w:ascii="仿宋" w:hAnsi="仿宋" w:eastAsia="仿宋"/>
              </w:rPr>
              <w:t>项目名称</w:t>
            </w:r>
          </w:p>
        </w:tc>
        <w:tc>
          <w:tcPr>
            <w:tcW w:w="3401" w:type="dxa"/>
            <w:vAlign w:val="center"/>
          </w:tcPr>
          <w:p>
            <w:pPr>
              <w:spacing w:line="360" w:lineRule="auto"/>
              <w:jc w:val="center"/>
              <w:outlineLvl w:val="1"/>
              <w:rPr>
                <w:rFonts w:ascii="仿宋" w:hAnsi="仿宋" w:eastAsia="仿宋" w:cs="仿宋"/>
                <w:bCs/>
                <w:sz w:val="24"/>
              </w:rPr>
            </w:pPr>
            <w:r>
              <w:rPr>
                <w:rFonts w:hint="eastAsia" w:ascii="仿宋" w:hAnsi="仿宋" w:eastAsia="仿宋" w:cs="仿宋"/>
                <w:bCs/>
                <w:sz w:val="24"/>
              </w:rPr>
              <w:t>响应报价</w:t>
            </w:r>
          </w:p>
          <w:p>
            <w:pPr>
              <w:spacing w:line="360" w:lineRule="auto"/>
              <w:jc w:val="center"/>
              <w:outlineLvl w:val="1"/>
              <w:rPr>
                <w:rFonts w:ascii="仿宋" w:hAnsi="仿宋" w:eastAsia="仿宋" w:cs="仿宋"/>
                <w:bCs/>
                <w:sz w:val="24"/>
              </w:rPr>
            </w:pPr>
            <w:r>
              <w:rPr>
                <w:rFonts w:hint="eastAsia" w:ascii="仿宋" w:hAnsi="仿宋" w:eastAsia="仿宋" w:cs="仿宋"/>
                <w:bCs/>
                <w:sz w:val="24"/>
              </w:rPr>
              <w:t>（人民币/元）</w:t>
            </w:r>
          </w:p>
        </w:tc>
        <w:tc>
          <w:tcPr>
            <w:tcW w:w="1771" w:type="dxa"/>
            <w:vAlign w:val="center"/>
          </w:tcPr>
          <w:p>
            <w:pPr>
              <w:spacing w:line="360" w:lineRule="auto"/>
              <w:jc w:val="center"/>
              <w:outlineLvl w:val="1"/>
              <w:rPr>
                <w:rFonts w:ascii="仿宋" w:hAnsi="仿宋" w:eastAsia="仿宋" w:cs="仿宋"/>
                <w:bCs/>
                <w:sz w:val="24"/>
              </w:rPr>
            </w:pPr>
            <w:r>
              <w:rPr>
                <w:rFonts w:hint="eastAsia" w:ascii="仿宋" w:hAnsi="仿宋" w:eastAsia="仿宋" w:cs="仿宋"/>
                <w:sz w:val="24"/>
              </w:rPr>
              <w:t>合同履行期限</w:t>
            </w:r>
          </w:p>
        </w:tc>
        <w:tc>
          <w:tcPr>
            <w:tcW w:w="1527" w:type="dxa"/>
            <w:vAlign w:val="center"/>
          </w:tcPr>
          <w:p>
            <w:pPr>
              <w:spacing w:line="360" w:lineRule="auto"/>
              <w:jc w:val="center"/>
              <w:outlineLvl w:val="1"/>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329" w:type="dxa"/>
            <w:shd w:val="solid" w:color="FFFFFF" w:fill="auto"/>
            <w:vAlign w:val="center"/>
          </w:tcPr>
          <w:p>
            <w:pPr>
              <w:jc w:val="center"/>
              <w:rPr>
                <w:rFonts w:ascii="仿宋" w:hAnsi="仿宋" w:eastAsia="仿宋" w:cs="仿宋"/>
                <w:sz w:val="24"/>
              </w:rPr>
            </w:pPr>
          </w:p>
        </w:tc>
        <w:tc>
          <w:tcPr>
            <w:tcW w:w="3401" w:type="dxa"/>
            <w:shd w:val="solid" w:color="FFFFFF" w:fill="auto"/>
            <w:vAlign w:val="center"/>
          </w:tcPr>
          <w:p>
            <w:pPr>
              <w:spacing w:line="360" w:lineRule="auto"/>
              <w:outlineLvl w:val="1"/>
              <w:rPr>
                <w:rFonts w:ascii="仿宋" w:hAnsi="仿宋" w:eastAsia="仿宋" w:cs="仿宋"/>
                <w:bCs/>
                <w:sz w:val="24"/>
              </w:rPr>
            </w:pPr>
            <w:r>
              <w:rPr>
                <w:rFonts w:hint="eastAsia" w:ascii="仿宋" w:hAnsi="仿宋" w:eastAsia="仿宋" w:cs="仿宋"/>
                <w:bCs/>
                <w:sz w:val="24"/>
              </w:rPr>
              <w:t>大写：</w:t>
            </w:r>
          </w:p>
          <w:p>
            <w:pPr>
              <w:pStyle w:val="2"/>
              <w:ind w:firstLine="0"/>
              <w:rPr>
                <w:rFonts w:ascii="仿宋" w:hAnsi="仿宋" w:eastAsia="仿宋" w:cs="仿宋"/>
                <w:sz w:val="24"/>
                <w:szCs w:val="24"/>
              </w:rPr>
            </w:pPr>
            <w:r>
              <w:rPr>
                <w:rFonts w:hint="eastAsia" w:ascii="仿宋" w:hAnsi="仿宋" w:eastAsia="仿宋" w:cs="仿宋"/>
                <w:bCs/>
                <w:sz w:val="24"/>
                <w:szCs w:val="24"/>
              </w:rPr>
              <w:t>小写：</w:t>
            </w:r>
          </w:p>
        </w:tc>
        <w:tc>
          <w:tcPr>
            <w:tcW w:w="1771" w:type="dxa"/>
            <w:vAlign w:val="center"/>
          </w:tcPr>
          <w:p>
            <w:pPr>
              <w:spacing w:line="360" w:lineRule="auto"/>
              <w:ind w:firstLine="561"/>
              <w:outlineLvl w:val="1"/>
              <w:rPr>
                <w:rFonts w:ascii="仿宋" w:hAnsi="仿宋" w:eastAsia="仿宋" w:cs="仿宋"/>
                <w:bCs/>
                <w:sz w:val="24"/>
              </w:rPr>
            </w:pPr>
          </w:p>
        </w:tc>
        <w:tc>
          <w:tcPr>
            <w:tcW w:w="1527" w:type="dxa"/>
            <w:vAlign w:val="center"/>
          </w:tcPr>
          <w:p>
            <w:pPr>
              <w:spacing w:line="360" w:lineRule="auto"/>
              <w:ind w:firstLine="561"/>
              <w:outlineLvl w:val="1"/>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28" w:type="dxa"/>
            <w:gridSpan w:val="4"/>
            <w:shd w:val="solid" w:color="FFFFFF" w:fill="auto"/>
            <w:vAlign w:val="center"/>
          </w:tcPr>
          <w:p>
            <w:pPr>
              <w:spacing w:line="360" w:lineRule="auto"/>
              <w:outlineLvl w:val="1"/>
              <w:rPr>
                <w:rFonts w:ascii="仿宋" w:hAnsi="仿宋" w:eastAsia="仿宋" w:cs="仿宋"/>
                <w:bCs/>
                <w:sz w:val="24"/>
              </w:rPr>
            </w:pPr>
            <w:r>
              <w:rPr>
                <w:rFonts w:hint="eastAsia" w:ascii="仿宋" w:hAnsi="仿宋" w:eastAsia="仿宋" w:cs="仿宋"/>
                <w:bCs/>
                <w:sz w:val="24"/>
              </w:rPr>
              <w:t xml:space="preserve">温馨提示：请注意核对并确保报价信息正确且大小写一致。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28" w:type="dxa"/>
            <w:gridSpan w:val="4"/>
            <w:shd w:val="solid" w:color="FFFFFF" w:fill="auto"/>
            <w:vAlign w:val="center"/>
          </w:tcPr>
          <w:p>
            <w:pPr>
              <w:spacing w:line="360" w:lineRule="auto"/>
              <w:rPr>
                <w:rFonts w:ascii="仿宋" w:hAnsi="仿宋" w:eastAsia="仿宋" w:cs="仿宋"/>
                <w:bCs/>
                <w:sz w:val="24"/>
              </w:rPr>
            </w:pPr>
            <w:r>
              <w:rPr>
                <w:rFonts w:hint="eastAsia" w:ascii="仿宋" w:hAnsi="仿宋" w:eastAsia="仿宋" w:cs="仿宋"/>
                <w:bCs/>
                <w:sz w:val="24"/>
              </w:rPr>
              <w:t>是否小微型企业产品：是（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28" w:type="dxa"/>
            <w:gridSpan w:val="4"/>
            <w:shd w:val="solid" w:color="FFFFFF" w:fill="auto"/>
            <w:vAlign w:val="center"/>
          </w:tcPr>
          <w:p>
            <w:pPr>
              <w:spacing w:line="360" w:lineRule="auto"/>
              <w:rPr>
                <w:rFonts w:ascii="仿宋" w:hAnsi="仿宋" w:eastAsia="仿宋" w:cs="仿宋"/>
                <w:bCs/>
                <w:sz w:val="24"/>
              </w:rPr>
            </w:pPr>
            <w:r>
              <w:rPr>
                <w:rFonts w:hint="eastAsia" w:ascii="仿宋" w:hAnsi="仿宋" w:eastAsia="仿宋" w:cs="仿宋"/>
                <w:bCs/>
                <w:sz w:val="24"/>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28" w:type="dxa"/>
            <w:gridSpan w:val="4"/>
            <w:shd w:val="solid" w:color="FFFFFF" w:fill="auto"/>
            <w:vAlign w:val="center"/>
          </w:tcPr>
          <w:p>
            <w:pPr>
              <w:spacing w:line="360" w:lineRule="auto"/>
              <w:rPr>
                <w:rFonts w:ascii="仿宋" w:hAnsi="仿宋" w:eastAsia="仿宋" w:cs="仿宋"/>
                <w:bCs/>
                <w:sz w:val="24"/>
              </w:rPr>
            </w:pPr>
            <w:r>
              <w:rPr>
                <w:rFonts w:hint="eastAsia" w:ascii="仿宋" w:hAnsi="仿宋" w:eastAsia="仿宋" w:cs="仿宋"/>
                <w:bCs/>
                <w:sz w:val="24"/>
              </w:rPr>
              <w:t>是否残疾人福利性单位参加采购活动：是（   ）；否（   ）</w:t>
            </w:r>
          </w:p>
        </w:tc>
      </w:tr>
    </w:tbl>
    <w:p>
      <w:pPr>
        <w:adjustRightInd w:val="0"/>
        <w:spacing w:line="400" w:lineRule="exact"/>
        <w:ind w:firstLine="420" w:firstLineChars="175"/>
        <w:rPr>
          <w:rFonts w:ascii="仿宋" w:hAnsi="仿宋" w:eastAsia="仿宋" w:cs="仿宋"/>
          <w:sz w:val="24"/>
        </w:rPr>
      </w:pPr>
      <w:r>
        <w:rPr>
          <w:rFonts w:hint="eastAsia" w:ascii="仿宋" w:hAnsi="仿宋" w:eastAsia="仿宋" w:cs="仿宋"/>
          <w:sz w:val="24"/>
        </w:rPr>
        <w:t xml:space="preserve">注：1. 报价须是最终用户验收合格后的总价，否则视为不合格供应商。 </w:t>
      </w:r>
    </w:p>
    <w:p>
      <w:pPr>
        <w:adjustRightInd w:val="0"/>
        <w:spacing w:line="400" w:lineRule="exact"/>
        <w:ind w:firstLine="420" w:firstLineChars="175"/>
        <w:rPr>
          <w:rFonts w:ascii="仿宋" w:hAnsi="仿宋" w:eastAsia="仿宋" w:cs="仿宋"/>
          <w:sz w:val="24"/>
        </w:rPr>
      </w:pPr>
      <w:r>
        <w:rPr>
          <w:rFonts w:hint="eastAsia" w:ascii="仿宋" w:hAnsi="仿宋" w:eastAsia="仿宋" w:cs="仿宋"/>
          <w:sz w:val="24"/>
        </w:rPr>
        <w:t xml:space="preserve"> 2.“报价一览表”为多页的，每页均需由响应代表签字并盖供应商印章。</w:t>
      </w:r>
    </w:p>
    <w:p>
      <w:pPr>
        <w:adjustRightInd w:val="0"/>
        <w:spacing w:line="400" w:lineRule="exact"/>
        <w:ind w:firstLine="420" w:firstLineChars="175"/>
        <w:rPr>
          <w:rFonts w:ascii="仿宋" w:hAnsi="仿宋" w:eastAsia="仿宋" w:cs="仿宋"/>
          <w:sz w:val="24"/>
        </w:rPr>
      </w:pPr>
      <w:r>
        <w:rPr>
          <w:rFonts w:hint="eastAsia" w:ascii="仿宋" w:hAnsi="仿宋" w:eastAsia="仿宋" w:cs="仿宋"/>
          <w:sz w:val="24"/>
        </w:rPr>
        <w:t>3、是否小微型企业栏、是否监狱企业栏及是否残疾人福利性单位栏，在相应的括弧里打勾（√）。</w:t>
      </w:r>
    </w:p>
    <w:p>
      <w:pPr>
        <w:adjustRightInd w:val="0"/>
        <w:spacing w:line="400" w:lineRule="exact"/>
        <w:ind w:firstLine="420" w:firstLineChars="175"/>
        <w:rPr>
          <w:rFonts w:ascii="仿宋" w:hAnsi="仿宋" w:eastAsia="仿宋" w:cs="仿宋"/>
          <w:sz w:val="24"/>
        </w:rPr>
      </w:pPr>
    </w:p>
    <w:p>
      <w:pPr>
        <w:adjustRightInd w:val="0"/>
        <w:spacing w:line="400" w:lineRule="exact"/>
        <w:ind w:firstLine="420" w:firstLineChars="175"/>
        <w:rPr>
          <w:rFonts w:ascii="仿宋" w:hAnsi="仿宋" w:eastAsia="仿宋" w:cs="仿宋"/>
          <w:sz w:val="24"/>
        </w:rPr>
      </w:pPr>
    </w:p>
    <w:p>
      <w:pPr>
        <w:adjustRightInd w:val="0"/>
        <w:spacing w:line="400" w:lineRule="exact"/>
        <w:ind w:firstLine="420" w:firstLineChars="175"/>
        <w:rPr>
          <w:rFonts w:ascii="仿宋" w:hAnsi="仿宋" w:eastAsia="仿宋" w:cs="仿宋"/>
          <w:sz w:val="24"/>
        </w:rPr>
      </w:pPr>
    </w:p>
    <w:p>
      <w:pPr>
        <w:adjustRightInd w:val="0"/>
        <w:spacing w:line="400" w:lineRule="exact"/>
        <w:ind w:firstLine="420" w:firstLineChars="175"/>
        <w:rPr>
          <w:rFonts w:ascii="仿宋" w:hAnsi="仿宋" w:eastAsia="仿宋" w:cs="仿宋"/>
          <w:sz w:val="24"/>
        </w:rPr>
      </w:pPr>
    </w:p>
    <w:p>
      <w:pPr>
        <w:adjustRightInd w:val="0"/>
        <w:spacing w:line="400" w:lineRule="exact"/>
        <w:ind w:firstLine="420" w:firstLineChars="175"/>
        <w:rPr>
          <w:rFonts w:ascii="仿宋" w:hAnsi="仿宋" w:eastAsia="仿宋" w:cs="仿宋"/>
          <w:sz w:val="24"/>
        </w:rPr>
      </w:pPr>
    </w:p>
    <w:p>
      <w:pPr>
        <w:adjustRightInd w:val="0"/>
        <w:spacing w:line="400" w:lineRule="exact"/>
        <w:ind w:firstLine="420" w:firstLineChars="175"/>
        <w:rPr>
          <w:rFonts w:ascii="仿宋" w:hAnsi="仿宋" w:eastAsia="仿宋" w:cs="仿宋"/>
          <w:sz w:val="24"/>
        </w:rPr>
      </w:pPr>
    </w:p>
    <w:p>
      <w:pPr>
        <w:adjustRightInd w:val="0"/>
        <w:spacing w:line="400" w:lineRule="exact"/>
        <w:ind w:firstLine="420" w:firstLineChars="175"/>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供应商名称（加盖公章）：</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   年   月   日</w:t>
      </w:r>
    </w:p>
    <w:p>
      <w:pPr>
        <w:pStyle w:val="11"/>
        <w:rPr>
          <w:rFonts w:ascii="仿宋" w:hAnsi="仿宋" w:eastAsia="仿宋" w:cs="仿宋"/>
          <w:color w:val="auto"/>
          <w:sz w:val="24"/>
          <w:szCs w:val="24"/>
        </w:rPr>
      </w:pPr>
      <w:r>
        <w:rPr>
          <w:rFonts w:hint="eastAsia" w:ascii="仿宋" w:hAnsi="仿宋" w:eastAsia="仿宋" w:cs="仿宋"/>
          <w:color w:val="auto"/>
          <w:sz w:val="24"/>
          <w:szCs w:val="24"/>
        </w:rPr>
        <w:br w:type="page"/>
      </w:r>
    </w:p>
    <w:p>
      <w:pPr>
        <w:pStyle w:val="4"/>
        <w:jc w:val="center"/>
      </w:pPr>
      <w:r>
        <w:rPr>
          <w:rFonts w:hint="eastAsia"/>
        </w:rPr>
        <w:t>1</w:t>
      </w:r>
      <w:r>
        <w:t>.1</w:t>
      </w:r>
      <w:r>
        <w:rPr>
          <w:rFonts w:hint="eastAsia"/>
        </w:rPr>
        <w:t>、分项报价明细表</w:t>
      </w:r>
    </w:p>
    <w:p>
      <w:pPr>
        <w:adjustRightInd w:val="0"/>
        <w:spacing w:line="400" w:lineRule="exact"/>
        <w:ind w:firstLine="420" w:firstLineChars="175"/>
        <w:rPr>
          <w:rFonts w:ascii="仿宋" w:hAnsi="仿宋" w:eastAsia="仿宋"/>
          <w:sz w:val="24"/>
        </w:rPr>
      </w:pPr>
    </w:p>
    <w:tbl>
      <w:tblPr>
        <w:tblStyle w:val="32"/>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559"/>
        <w:gridCol w:w="851"/>
        <w:gridCol w:w="851"/>
        <w:gridCol w:w="187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报价标的名称</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生产厂家及规格型号</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单位</w:t>
            </w: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384" w:leftChars="-183" w:firstLine="441" w:firstLineChars="210"/>
              <w:jc w:val="center"/>
              <w:rPr>
                <w:rFonts w:ascii="仿宋" w:hAnsi="仿宋" w:eastAsia="仿宋" w:cs="仿宋"/>
                <w:bCs/>
                <w:szCs w:val="21"/>
              </w:rPr>
            </w:pPr>
            <w:r>
              <w:rPr>
                <w:rFonts w:hint="eastAsia" w:ascii="仿宋" w:hAnsi="仿宋" w:eastAsia="仿宋" w:cs="仿宋"/>
                <w:bCs/>
                <w:szCs w:val="21"/>
              </w:rPr>
              <w:t>单价（元）</w:t>
            </w: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5" w:firstLineChars="50"/>
              <w:jc w:val="center"/>
              <w:rPr>
                <w:rFonts w:ascii="仿宋" w:hAnsi="仿宋" w:eastAsia="仿宋" w:cs="仿宋"/>
                <w:kern w:val="0"/>
                <w:szCs w:val="21"/>
              </w:rPr>
            </w:pPr>
            <w:r>
              <w:rPr>
                <w:rFonts w:hint="eastAsia" w:ascii="仿宋" w:hAnsi="仿宋" w:eastAsia="仿宋" w:cs="仿宋"/>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552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r>
              <w:rPr>
                <w:rFonts w:hint="eastAsia" w:ascii="仿宋" w:hAnsi="仿宋" w:eastAsia="仿宋" w:cs="仿宋"/>
                <w:bCs/>
                <w:szCs w:val="21"/>
              </w:rPr>
              <w:t>响应报价合计（人民币/元）：</w:t>
            </w:r>
          </w:p>
        </w:tc>
        <w:tc>
          <w:tcPr>
            <w:tcW w:w="293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Cs w:val="21"/>
              </w:rPr>
            </w:pPr>
          </w:p>
        </w:tc>
      </w:tr>
    </w:tbl>
    <w:p>
      <w:pPr>
        <w:adjustRightInd w:val="0"/>
        <w:spacing w:line="400" w:lineRule="exact"/>
        <w:rPr>
          <w:rFonts w:ascii="仿宋" w:hAnsi="仿宋" w:eastAsia="仿宋"/>
          <w:sz w:val="24"/>
        </w:rPr>
      </w:pPr>
      <w:r>
        <w:rPr>
          <w:rFonts w:hint="eastAsia" w:ascii="仿宋" w:hAnsi="仿宋" w:eastAsia="仿宋"/>
          <w:sz w:val="24"/>
        </w:rPr>
        <w:t>注：1、供应商必须按“分项报价明细表”的格式详细报出总价的各个组成部分的报价。</w:t>
      </w:r>
    </w:p>
    <w:p>
      <w:pPr>
        <w:adjustRightInd w:val="0"/>
        <w:spacing w:line="400" w:lineRule="exact"/>
        <w:ind w:firstLine="424" w:firstLineChars="177"/>
        <w:rPr>
          <w:rFonts w:ascii="仿宋" w:hAnsi="仿宋" w:eastAsia="仿宋"/>
          <w:sz w:val="24"/>
        </w:rPr>
      </w:pPr>
      <w:r>
        <w:rPr>
          <w:rFonts w:hint="eastAsia" w:ascii="仿宋" w:hAnsi="仿宋" w:eastAsia="仿宋"/>
          <w:sz w:val="24"/>
        </w:rPr>
        <w:t>2、“分项报价明细表”各分项报价合计应当与“报价一览表”报价合计相等。</w:t>
      </w:r>
    </w:p>
    <w:p>
      <w:pPr>
        <w:adjustRightInd w:val="0"/>
        <w:spacing w:line="400" w:lineRule="exact"/>
        <w:ind w:firstLine="424" w:firstLineChars="177"/>
        <w:rPr>
          <w:rFonts w:ascii="仿宋" w:hAnsi="仿宋" w:eastAsia="仿宋"/>
          <w:sz w:val="24"/>
        </w:rPr>
      </w:pPr>
      <w:r>
        <w:rPr>
          <w:rFonts w:hint="eastAsia" w:ascii="仿宋" w:hAnsi="仿宋" w:eastAsia="仿宋"/>
          <w:sz w:val="24"/>
        </w:rPr>
        <w:t>3、供应商可根据实际情况进行调整。</w:t>
      </w:r>
    </w:p>
    <w:p>
      <w:pPr>
        <w:adjustRightInd w:val="0"/>
        <w:spacing w:line="400" w:lineRule="exact"/>
        <w:ind w:firstLine="420" w:firstLineChars="175"/>
        <w:rPr>
          <w:rFonts w:ascii="仿宋" w:hAnsi="仿宋" w:eastAsia="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供应商名称（加盖公章）：</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   年   月   日</w:t>
      </w:r>
    </w:p>
    <w:p>
      <w:pPr>
        <w:adjustRightInd w:val="0"/>
        <w:spacing w:line="400" w:lineRule="exact"/>
        <w:ind w:firstLine="420" w:firstLineChars="175"/>
        <w:rPr>
          <w:rFonts w:ascii="仿宋" w:hAnsi="仿宋" w:eastAsia="仿宋"/>
          <w:sz w:val="24"/>
        </w:rPr>
      </w:pPr>
      <w:r>
        <w:rPr>
          <w:rFonts w:hint="eastAsia" w:ascii="仿宋" w:hAnsi="仿宋" w:eastAsia="仿宋"/>
          <w:sz w:val="24"/>
        </w:rPr>
        <w:br w:type="page"/>
      </w:r>
    </w:p>
    <w:bookmarkEnd w:id="44"/>
    <w:bookmarkEnd w:id="45"/>
    <w:bookmarkEnd w:id="46"/>
    <w:bookmarkEnd w:id="47"/>
    <w:bookmarkEnd w:id="48"/>
    <w:bookmarkEnd w:id="49"/>
    <w:bookmarkEnd w:id="50"/>
    <w:bookmarkEnd w:id="51"/>
    <w:p>
      <w:pPr>
        <w:pStyle w:val="4"/>
        <w:jc w:val="center"/>
      </w:pPr>
      <w:bookmarkStart w:id="52" w:name="_Toc35856208"/>
      <w:bookmarkStart w:id="53" w:name="_Toc35856335"/>
      <w:bookmarkStart w:id="54" w:name="_Toc48044714"/>
      <w:bookmarkStart w:id="55" w:name="_Toc35856331"/>
      <w:bookmarkStart w:id="56" w:name="_Toc35856204"/>
      <w:r>
        <w:t>2</w:t>
      </w:r>
      <w:r>
        <w:rPr>
          <w:rFonts w:hint="eastAsia"/>
        </w:rPr>
        <w:t>、法定代表人/主要负责人身份证明书</w:t>
      </w:r>
      <w:bookmarkEnd w:id="52"/>
      <w:bookmarkEnd w:id="53"/>
      <w:bookmarkEnd w:id="54"/>
    </w:p>
    <w:p>
      <w:pPr>
        <w:spacing w:line="360" w:lineRule="auto"/>
        <w:rPr>
          <w:rFonts w:ascii="仿宋" w:hAnsi="仿宋" w:eastAsia="仿宋"/>
          <w:sz w:val="24"/>
        </w:rPr>
      </w:pPr>
      <w:r>
        <w:rPr>
          <w:rFonts w:hint="eastAsia" w:ascii="仿宋" w:hAnsi="仿宋" w:eastAsia="仿宋"/>
          <w:sz w:val="24"/>
        </w:rPr>
        <w:t>供应商名称：</w:t>
      </w:r>
    </w:p>
    <w:p>
      <w:pPr>
        <w:spacing w:line="360" w:lineRule="auto"/>
        <w:rPr>
          <w:rFonts w:ascii="仿宋" w:hAnsi="仿宋" w:eastAsia="仿宋"/>
          <w:sz w:val="24"/>
        </w:rPr>
      </w:pPr>
      <w:r>
        <w:rPr>
          <w:rFonts w:hint="eastAsia" w:ascii="仿宋" w:hAnsi="仿宋" w:eastAsia="仿宋"/>
          <w:sz w:val="24"/>
        </w:rPr>
        <w:t>单位性质：</w:t>
      </w:r>
    </w:p>
    <w:p>
      <w:pPr>
        <w:spacing w:line="360" w:lineRule="auto"/>
        <w:rPr>
          <w:rFonts w:ascii="仿宋" w:hAnsi="仿宋" w:eastAsia="仿宋"/>
          <w:sz w:val="24"/>
        </w:rPr>
      </w:pPr>
      <w:r>
        <w:rPr>
          <w:rFonts w:hint="eastAsia" w:ascii="仿宋" w:hAnsi="仿宋" w:eastAsia="仿宋"/>
          <w:sz w:val="24"/>
        </w:rPr>
        <w:t>地址：</w:t>
      </w:r>
    </w:p>
    <w:p>
      <w:pPr>
        <w:spacing w:line="360" w:lineRule="auto"/>
        <w:rPr>
          <w:rFonts w:ascii="仿宋" w:hAnsi="仿宋" w:eastAsia="仿宋"/>
          <w:sz w:val="24"/>
        </w:rPr>
      </w:pPr>
      <w:r>
        <w:rPr>
          <w:rFonts w:hint="eastAsia" w:ascii="仿宋" w:hAnsi="仿宋" w:eastAsia="仿宋"/>
          <w:sz w:val="24"/>
        </w:rPr>
        <w:t>成立时间： 年  月  日</w:t>
      </w:r>
    </w:p>
    <w:p>
      <w:pPr>
        <w:spacing w:line="360" w:lineRule="auto"/>
        <w:rPr>
          <w:rFonts w:ascii="仿宋" w:hAnsi="仿宋" w:eastAsia="仿宋"/>
          <w:sz w:val="24"/>
        </w:rPr>
      </w:pPr>
      <w:r>
        <w:rPr>
          <w:rFonts w:hint="eastAsia" w:ascii="仿宋" w:hAnsi="仿宋" w:eastAsia="仿宋"/>
          <w:sz w:val="24"/>
        </w:rPr>
        <w:t>经营期限：</w:t>
      </w:r>
    </w:p>
    <w:p>
      <w:pPr>
        <w:spacing w:line="360" w:lineRule="auto"/>
        <w:rPr>
          <w:rFonts w:ascii="仿宋" w:hAnsi="仿宋" w:eastAsia="仿宋"/>
          <w:sz w:val="24"/>
        </w:rPr>
      </w:pPr>
      <w:r>
        <w:rPr>
          <w:rFonts w:hint="eastAsia" w:ascii="仿宋" w:hAnsi="仿宋" w:eastAsia="仿宋"/>
          <w:sz w:val="24"/>
        </w:rPr>
        <w:t>姓名：   性别：     年龄：     职务：</w:t>
      </w:r>
    </w:p>
    <w:p>
      <w:pPr>
        <w:spacing w:line="360" w:lineRule="auto"/>
        <w:rPr>
          <w:rFonts w:ascii="仿宋" w:hAnsi="仿宋" w:eastAsia="仿宋"/>
          <w:sz w:val="24"/>
        </w:rPr>
      </w:pPr>
      <w:r>
        <w:rPr>
          <w:rFonts w:hint="eastAsia" w:ascii="仿宋" w:hAnsi="仿宋" w:eastAsia="仿宋"/>
          <w:sz w:val="24"/>
        </w:rPr>
        <w:t>系</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供应商名称）  </w:t>
      </w:r>
      <w:r>
        <w:rPr>
          <w:rFonts w:hint="eastAsia" w:ascii="仿宋" w:hAnsi="仿宋" w:eastAsia="仿宋"/>
          <w:sz w:val="24"/>
        </w:rPr>
        <w:t>的法定代表人/主要负责人。</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特此证明。</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供应商名称（加盖公章）：</w:t>
      </w:r>
    </w:p>
    <w:p>
      <w:pPr>
        <w:spacing w:line="360" w:lineRule="auto"/>
        <w:rPr>
          <w:rFonts w:ascii="仿宋" w:hAnsi="仿宋" w:eastAsia="仿宋"/>
          <w:bCs/>
          <w:sz w:val="24"/>
        </w:rPr>
      </w:pPr>
      <w:r>
        <w:rPr>
          <w:rFonts w:hint="eastAsia" w:ascii="仿宋" w:hAnsi="仿宋" w:eastAsia="仿宋"/>
          <w:sz w:val="24"/>
        </w:rPr>
        <w:t xml:space="preserve">日期：    年      月    日  </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附：法定代表人/主要负责人身份证正反面复印件。</w:t>
      </w:r>
    </w:p>
    <w:p>
      <w:pPr>
        <w:spacing w:line="360" w:lineRule="auto"/>
        <w:rPr>
          <w:rFonts w:ascii="仿宋" w:hAnsi="仿宋" w:eastAsia="仿宋"/>
        </w:rPr>
      </w:pPr>
    </w:p>
    <w:p>
      <w:pPr>
        <w:spacing w:line="360" w:lineRule="auto"/>
        <w:rPr>
          <w:rFonts w:ascii="仿宋" w:hAnsi="仿宋" w:eastAsia="仿宋"/>
        </w:rPr>
      </w:pPr>
    </w:p>
    <w:p>
      <w:pPr>
        <w:spacing w:line="460" w:lineRule="exact"/>
        <w:ind w:firstLine="561"/>
        <w:outlineLvl w:val="1"/>
        <w:rPr>
          <w:rFonts w:ascii="仿宋" w:hAnsi="仿宋" w:eastAsia="仿宋" w:cs="宋体"/>
          <w:bCs/>
        </w:rPr>
      </w:pPr>
      <w:r>
        <w:rPr>
          <w:rFonts w:hint="eastAsia" w:ascii="仿宋" w:hAnsi="仿宋" w:eastAsia="仿宋" w:cs="宋体"/>
          <w:bCs/>
        </w:rPr>
        <w:br w:type="page"/>
      </w:r>
    </w:p>
    <w:p>
      <w:pPr>
        <w:pStyle w:val="4"/>
        <w:jc w:val="center"/>
        <w:rPr>
          <w:rFonts w:ascii="仿宋" w:hAnsi="仿宋" w:eastAsia="仿宋"/>
        </w:rPr>
      </w:pPr>
      <w:bookmarkStart w:id="57" w:name="_Toc35856209"/>
      <w:bookmarkStart w:id="58" w:name="_Toc35856336"/>
      <w:bookmarkStart w:id="59" w:name="_Toc48044715"/>
      <w:r>
        <w:rPr>
          <w:rFonts w:hint="eastAsia" w:ascii="仿宋" w:hAnsi="仿宋" w:eastAsia="仿宋"/>
        </w:rPr>
        <w:t>3、法定代表人/主要负责人授权书</w:t>
      </w:r>
      <w:bookmarkEnd w:id="57"/>
      <w:bookmarkEnd w:id="58"/>
      <w:bookmarkEnd w:id="59"/>
    </w:p>
    <w:p>
      <w:pPr>
        <w:adjustRightInd w:val="0"/>
        <w:snapToGrid w:val="0"/>
        <w:spacing w:line="360" w:lineRule="auto"/>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（采购代理机构）</w:t>
      </w:r>
      <w:r>
        <w:rPr>
          <w:rFonts w:hint="eastAsia" w:ascii="仿宋" w:hAnsi="仿宋" w:eastAsia="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 xml:space="preserve">         （供应商名称）</w:t>
      </w:r>
      <w:r>
        <w:rPr>
          <w:rFonts w:hint="eastAsia" w:ascii="仿宋" w:hAnsi="仿宋" w:eastAsia="仿宋" w:cs="仿宋"/>
          <w:sz w:val="24"/>
        </w:rPr>
        <w:t>法定代表人/主要负责人：</w:t>
      </w:r>
      <w:r>
        <w:rPr>
          <w:rFonts w:hint="eastAsia" w:ascii="仿宋" w:hAnsi="仿宋" w:eastAsia="仿宋" w:cs="仿宋"/>
          <w:sz w:val="24"/>
          <w:u w:val="single"/>
        </w:rPr>
        <w:t xml:space="preserve">   （姓名）</w:t>
      </w:r>
      <w:r>
        <w:rPr>
          <w:rFonts w:hint="eastAsia" w:ascii="仿宋" w:hAnsi="仿宋" w:eastAsia="仿宋" w:cs="仿宋"/>
          <w:sz w:val="24"/>
        </w:rPr>
        <w:t>授权</w:t>
      </w:r>
      <w:r>
        <w:rPr>
          <w:rFonts w:hint="eastAsia" w:ascii="仿宋" w:hAnsi="仿宋" w:eastAsia="仿宋" w:cs="仿宋"/>
          <w:sz w:val="24"/>
          <w:u w:val="single"/>
        </w:rPr>
        <w:t xml:space="preserve">          （被授权人姓名、职务）</w:t>
      </w:r>
      <w:r>
        <w:rPr>
          <w:rFonts w:hint="eastAsia" w:ascii="仿宋" w:hAnsi="仿宋" w:eastAsia="仿宋" w:cs="仿宋"/>
          <w:sz w:val="24"/>
        </w:rPr>
        <w:t xml:space="preserve">为我方 “ </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（项目名称）</w:t>
      </w:r>
      <w:r>
        <w:rPr>
          <w:rFonts w:hint="eastAsia" w:ascii="仿宋" w:hAnsi="仿宋" w:eastAsia="仿宋" w:cs="仿宋"/>
          <w:sz w:val="24"/>
        </w:rPr>
        <w:t>” 项目</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项目编号）</w:t>
      </w:r>
      <w:r>
        <w:rPr>
          <w:rFonts w:hint="eastAsia" w:ascii="仿宋" w:hAnsi="仿宋" w:eastAsia="仿宋" w:cs="仿宋"/>
          <w:sz w:val="24"/>
        </w:rPr>
        <w:t>响应活动的合法代表，以我方名义全权处理该项目有关响应、签订合同以及执行合同等一切事宜。</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 ：响应代表身份证</w:t>
      </w:r>
      <w:r>
        <w:rPr>
          <w:rFonts w:hint="eastAsia" w:ascii="仿宋" w:hAnsi="仿宋" w:eastAsia="仿宋" w:cs="仿宋"/>
          <w:bCs/>
          <w:sz w:val="24"/>
        </w:rPr>
        <w:t>正反面</w:t>
      </w:r>
      <w:r>
        <w:rPr>
          <w:rFonts w:hint="eastAsia" w:ascii="仿宋" w:hAnsi="仿宋" w:eastAsia="仿宋" w:cs="仿宋"/>
          <w:sz w:val="24"/>
        </w:rPr>
        <w:t>复印件</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bCs/>
          <w:sz w:val="24"/>
        </w:rPr>
        <w:t>（加盖公章）</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bCs/>
          <w:sz w:val="24"/>
        </w:rPr>
        <w:t>（签字或盖名章）</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   年   月  日</w:t>
      </w:r>
    </w:p>
    <w:p>
      <w:pPr>
        <w:pStyle w:val="4"/>
        <w:jc w:val="center"/>
      </w:pPr>
      <w:r>
        <w:rPr>
          <w:rFonts w:hint="eastAsia" w:ascii="仿宋" w:hAnsi="仿宋" w:eastAsia="仿宋" w:cs="仿宋"/>
        </w:rPr>
        <w:br w:type="page"/>
      </w:r>
      <w:bookmarkStart w:id="60" w:name="_Toc48044716"/>
      <w:bookmarkStart w:id="61" w:name="_Toc35856333"/>
      <w:bookmarkStart w:id="62" w:name="_Toc35856206"/>
      <w:r>
        <w:t>4</w:t>
      </w:r>
      <w:r>
        <w:rPr>
          <w:rFonts w:hint="eastAsia"/>
        </w:rPr>
        <w:t>、响 应 函</w:t>
      </w:r>
      <w:bookmarkEnd w:id="60"/>
      <w:bookmarkEnd w:id="61"/>
      <w:bookmarkEnd w:id="62"/>
    </w:p>
    <w:p>
      <w:pPr>
        <w:adjustRightInd w:val="0"/>
        <w:spacing w:line="360" w:lineRule="auto"/>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（采购代理机构）</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根据贵公司</w:t>
      </w:r>
      <w:r>
        <w:rPr>
          <w:rFonts w:hint="eastAsia" w:ascii="仿宋" w:hAnsi="仿宋" w:eastAsia="仿宋"/>
          <w:sz w:val="24"/>
          <w:u w:val="single"/>
        </w:rPr>
        <w:t xml:space="preserve">              （项目名称） </w:t>
      </w:r>
      <w:r>
        <w:rPr>
          <w:rFonts w:hint="eastAsia" w:ascii="仿宋" w:hAnsi="仿宋" w:eastAsia="仿宋"/>
          <w:sz w:val="24"/>
        </w:rPr>
        <w:t>项目（项目编号</w:t>
      </w:r>
      <w:r>
        <w:rPr>
          <w:rFonts w:hint="eastAsia" w:ascii="仿宋" w:hAnsi="仿宋" w:eastAsia="仿宋"/>
          <w:sz w:val="24"/>
          <w:u w:val="single"/>
        </w:rPr>
        <w:t xml:space="preserve">：        </w:t>
      </w:r>
      <w:r>
        <w:rPr>
          <w:rFonts w:hint="eastAsia" w:ascii="仿宋" w:hAnsi="仿宋" w:eastAsia="仿宋"/>
          <w:sz w:val="24"/>
        </w:rPr>
        <w:t>）的采购邀请，本响应代表</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（全名/职务：）</w:t>
      </w:r>
      <w:r>
        <w:rPr>
          <w:rFonts w:hint="eastAsia" w:ascii="仿宋" w:hAnsi="仿宋" w:eastAsia="仿宋"/>
          <w:sz w:val="24"/>
        </w:rPr>
        <w:t>代表本公司（企业）</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（供应商单位名称 ）</w:t>
      </w:r>
      <w:r>
        <w:rPr>
          <w:rFonts w:hint="eastAsia" w:ascii="仿宋" w:hAnsi="仿宋" w:eastAsia="仿宋"/>
          <w:sz w:val="24"/>
        </w:rPr>
        <w:t>提交下述文件正本</w:t>
      </w:r>
      <w:r>
        <w:rPr>
          <w:rFonts w:hint="eastAsia" w:ascii="仿宋" w:hAnsi="仿宋" w:eastAsia="仿宋"/>
          <w:sz w:val="24"/>
          <w:highlight w:val="yellow"/>
        </w:rPr>
        <w:t>一份和副本二份及电子版一份</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据此函，响应代表承诺如下内容（本承诺内容为响应基本要求，如不满足或有缺漏项的，视为响应无效）：</w:t>
      </w:r>
    </w:p>
    <w:p>
      <w:pPr>
        <w:spacing w:line="360" w:lineRule="auto"/>
        <w:ind w:firstLine="480" w:firstLineChars="200"/>
        <w:rPr>
          <w:rFonts w:ascii="仿宋" w:hAnsi="仿宋" w:eastAsia="仿宋"/>
          <w:sz w:val="24"/>
        </w:rPr>
      </w:pPr>
      <w:r>
        <w:rPr>
          <w:rFonts w:hint="eastAsia" w:ascii="仿宋" w:hAnsi="仿宋" w:eastAsia="仿宋"/>
          <w:sz w:val="24"/>
        </w:rPr>
        <w:t>1、同意在本项目采购文件中规定的提交响应文件之日起</w:t>
      </w:r>
      <w:r>
        <w:rPr>
          <w:rFonts w:ascii="仿宋" w:hAnsi="仿宋" w:eastAsia="仿宋"/>
          <w:sz w:val="24"/>
        </w:rPr>
        <w:t>60</w:t>
      </w:r>
      <w:r>
        <w:rPr>
          <w:rFonts w:hint="eastAsia" w:ascii="仿宋" w:hAnsi="仿宋" w:eastAsia="仿宋"/>
          <w:sz w:val="24"/>
        </w:rPr>
        <w:t>日历天内遵守本响应文件中的承诺且在此期限期满之前均具有约束力。</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、完全理解谈判文件的要求，若有偏差，已在响应文件中予以明确特别说明。</w:t>
      </w:r>
    </w:p>
    <w:p>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、我方完全理解采购人不一定将合同授予最低报价的供应商的行为。</w:t>
      </w:r>
    </w:p>
    <w:p>
      <w:pPr>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、愿意向贵公司提供任何与本项响应有关的数据、情况和技术资料。若贵公司需要，我方愿意提供我方作出的一切承诺的证明材料。</w:t>
      </w:r>
    </w:p>
    <w:p>
      <w:pPr>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我方已详细研究并接受谈判文件的所有内容包括修改文件(如果有)、所有已提供的参考资料以及有关附件，并完全明白此谈判文件没有倾向性及排斥潜在供应商的内容，以及谈判文件关于实质性要求的内容，我方放弃在此方面提出含糊意见或误解的一切权力。</w:t>
      </w:r>
    </w:p>
    <w:p>
      <w:pPr>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、采购人若需追加采购本项目谈判文件所列相关货物和服务，在不改变合同其他实质性条款的前提下，按相同或更优惠的折扣率保证质量。</w:t>
      </w:r>
    </w:p>
    <w:p>
      <w:pPr>
        <w:spacing w:line="360" w:lineRule="auto"/>
        <w:ind w:firstLine="480" w:firstLineChars="200"/>
        <w:rPr>
          <w:rFonts w:ascii="仿宋" w:hAnsi="仿宋" w:eastAsia="仿宋"/>
          <w:sz w:val="24"/>
        </w:rPr>
      </w:pPr>
      <w:r>
        <w:rPr>
          <w:rFonts w:hint="eastAsia" w:ascii="仿宋" w:hAnsi="仿宋" w:eastAsia="仿宋"/>
          <w:sz w:val="24"/>
        </w:rPr>
        <w:t>如果我方违反上述承诺，或承诺内容不属实，我方愿意承担一切不利的法律后果。</w:t>
      </w:r>
    </w:p>
    <w:p>
      <w:pPr>
        <w:spacing w:line="360" w:lineRule="auto"/>
        <w:ind w:firstLine="480" w:firstLineChars="200"/>
        <w:rPr>
          <w:rFonts w:ascii="仿宋" w:hAnsi="仿宋" w:eastAsia="仿宋"/>
          <w:sz w:val="24"/>
        </w:rPr>
      </w:pPr>
      <w:r>
        <w:rPr>
          <w:rFonts w:hint="eastAsia" w:ascii="仿宋" w:hAnsi="仿宋" w:eastAsia="仿宋"/>
          <w:sz w:val="24"/>
        </w:rPr>
        <w:t xml:space="preserve">供应商名称（加盖公章）： </w:t>
      </w:r>
    </w:p>
    <w:p>
      <w:pPr>
        <w:spacing w:line="360" w:lineRule="auto"/>
        <w:ind w:firstLine="480" w:firstLineChars="200"/>
        <w:rPr>
          <w:rFonts w:ascii="仿宋" w:hAnsi="仿宋" w:eastAsia="仿宋"/>
          <w:sz w:val="24"/>
        </w:rPr>
      </w:pPr>
      <w:r>
        <w:rPr>
          <w:rFonts w:hint="eastAsia" w:ascii="仿宋" w:hAnsi="仿宋" w:eastAsia="仿宋"/>
          <w:sz w:val="24"/>
        </w:rPr>
        <w:t>响应代表（签字或盖章）：</w:t>
      </w:r>
    </w:p>
    <w:p>
      <w:pPr>
        <w:spacing w:line="360" w:lineRule="auto"/>
        <w:ind w:firstLine="480" w:firstLineChars="200"/>
        <w:rPr>
          <w:rFonts w:ascii="仿宋" w:hAnsi="仿宋" w:eastAsia="仿宋"/>
          <w:sz w:val="24"/>
        </w:rPr>
      </w:pPr>
      <w:r>
        <w:rPr>
          <w:rFonts w:hint="eastAsia" w:ascii="仿宋" w:hAnsi="仿宋" w:eastAsia="仿宋"/>
          <w:sz w:val="24"/>
        </w:rPr>
        <w:t xml:space="preserve">日 </w:t>
      </w:r>
      <w:r>
        <w:rPr>
          <w:rFonts w:ascii="仿宋" w:hAnsi="仿宋" w:eastAsia="仿宋"/>
          <w:sz w:val="24"/>
        </w:rPr>
        <w:t xml:space="preserve">   </w:t>
      </w:r>
      <w:r>
        <w:rPr>
          <w:rFonts w:hint="eastAsia" w:ascii="仿宋" w:hAnsi="仿宋" w:eastAsia="仿宋"/>
          <w:sz w:val="24"/>
        </w:rPr>
        <w:t>期：   年   月  日</w:t>
      </w:r>
    </w:p>
    <w:p>
      <w:pPr>
        <w:widowControl/>
        <w:jc w:val="left"/>
        <w:rPr>
          <w:rFonts w:ascii="Arial" w:hAnsi="Arial" w:eastAsia="黑体"/>
          <w:b/>
          <w:bCs/>
          <w:sz w:val="32"/>
          <w:szCs w:val="32"/>
        </w:rPr>
      </w:pPr>
      <w:bookmarkStart w:id="63" w:name="_Toc48044717"/>
      <w:r>
        <w:br w:type="page"/>
      </w:r>
    </w:p>
    <w:p>
      <w:pPr>
        <w:pStyle w:val="4"/>
        <w:jc w:val="center"/>
      </w:pPr>
      <w:r>
        <w:rPr>
          <w:rFonts w:hint="eastAsia"/>
        </w:rPr>
        <w:t>5、资格</w:t>
      </w:r>
      <w:bookmarkEnd w:id="55"/>
      <w:bookmarkEnd w:id="56"/>
      <w:r>
        <w:rPr>
          <w:rFonts w:hint="eastAsia"/>
        </w:rPr>
        <w:t>审查资料</w:t>
      </w:r>
      <w:bookmarkEnd w:id="63"/>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1、具有独立承担民事责任的能力的证明材料；</w:t>
      </w:r>
    </w:p>
    <w:p>
      <w:pPr>
        <w:snapToGrid w:val="0"/>
        <w:spacing w:line="360" w:lineRule="auto"/>
        <w:ind w:firstLine="516" w:firstLineChars="215"/>
        <w:rPr>
          <w:rFonts w:ascii="仿宋" w:hAnsi="仿宋" w:eastAsia="仿宋" w:cs="仿宋"/>
          <w:sz w:val="24"/>
        </w:rPr>
      </w:pPr>
      <w:r>
        <w:rPr>
          <w:rFonts w:hint="eastAsia" w:ascii="仿宋" w:hAnsi="仿宋" w:eastAsia="仿宋" w:cs="仿宋"/>
          <w:sz w:val="24"/>
        </w:rPr>
        <w:t>2、财务报表；</w:t>
      </w:r>
    </w:p>
    <w:p>
      <w:pPr>
        <w:snapToGrid w:val="0"/>
        <w:spacing w:line="360" w:lineRule="auto"/>
        <w:ind w:firstLine="516" w:firstLineChars="215"/>
        <w:rPr>
          <w:rFonts w:ascii="仿宋" w:hAnsi="仿宋" w:eastAsia="仿宋" w:cs="仿宋"/>
          <w:sz w:val="24"/>
        </w:rPr>
      </w:pPr>
      <w:r>
        <w:rPr>
          <w:rFonts w:hint="eastAsia" w:ascii="仿宋" w:hAnsi="仿宋" w:eastAsia="仿宋" w:cs="仿宋"/>
          <w:sz w:val="24"/>
        </w:rPr>
        <w:t>3、缴纳税收和社会保障资金良好记录的有关文件；</w:t>
      </w:r>
    </w:p>
    <w:p>
      <w:pPr>
        <w:snapToGrid w:val="0"/>
        <w:spacing w:line="360" w:lineRule="auto"/>
        <w:ind w:firstLine="516" w:firstLineChars="215"/>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、参加政府采购活动前三年内（成立不足三年的以实际年限计算），在经营活动中没有重大违法记录的声明函原件；</w:t>
      </w:r>
    </w:p>
    <w:p>
      <w:pPr>
        <w:snapToGrid w:val="0"/>
        <w:spacing w:line="360" w:lineRule="auto"/>
        <w:ind w:firstLine="516" w:firstLineChars="215"/>
        <w:rPr>
          <w:rFonts w:ascii="仿宋" w:hAnsi="仿宋" w:eastAsia="仿宋" w:cs="仿宋"/>
          <w:sz w:val="24"/>
        </w:rPr>
      </w:pPr>
      <w:r>
        <w:rPr>
          <w:rFonts w:hint="eastAsia" w:ascii="仿宋" w:hAnsi="仿宋" w:eastAsia="仿宋" w:cs="仿宋"/>
          <w:sz w:val="24"/>
          <w:highlight w:val="yellow"/>
        </w:rPr>
        <w:t>5、在“信用中国”网站、中国政府采购网、中国执行信息公开网信用记录自查承诺函；</w:t>
      </w:r>
    </w:p>
    <w:p>
      <w:pPr>
        <w:snapToGrid w:val="0"/>
        <w:spacing w:line="360" w:lineRule="auto"/>
        <w:ind w:firstLine="516" w:firstLineChars="215"/>
        <w:rPr>
          <w:rFonts w:ascii="仿宋" w:hAnsi="仿宋" w:eastAsia="仿宋" w:cs="仿宋"/>
          <w:sz w:val="24"/>
        </w:rPr>
      </w:pPr>
      <w:r>
        <w:rPr>
          <w:rFonts w:hint="eastAsia" w:ascii="仿宋" w:hAnsi="仿宋" w:eastAsia="仿宋" w:cs="仿宋"/>
          <w:sz w:val="24"/>
        </w:rPr>
        <w:t>6、谈判保证金。</w:t>
      </w:r>
    </w:p>
    <w:p>
      <w:pPr>
        <w:widowControl/>
        <w:jc w:val="left"/>
        <w:rPr>
          <w:rFonts w:ascii="黑体" w:hAnsi="黑体" w:eastAsia="黑体" w:cs="黑体"/>
          <w:sz w:val="32"/>
          <w:szCs w:val="32"/>
        </w:rPr>
      </w:pPr>
      <w:r>
        <w:rPr>
          <w:rFonts w:ascii="黑体" w:hAnsi="黑体" w:eastAsia="黑体" w:cs="黑体"/>
          <w:sz w:val="32"/>
          <w:szCs w:val="32"/>
        </w:rPr>
        <w:br w:type="page"/>
      </w:r>
    </w:p>
    <w:p>
      <w:pPr>
        <w:snapToGrid w:val="0"/>
        <w:spacing w:line="360" w:lineRule="auto"/>
        <w:jc w:val="center"/>
        <w:rPr>
          <w:rFonts w:ascii="仿宋" w:hAnsi="仿宋" w:eastAsia="仿宋" w:cs="仿宋"/>
          <w:sz w:val="32"/>
          <w:szCs w:val="32"/>
        </w:rPr>
      </w:pPr>
      <w:bookmarkStart w:id="64" w:name="_Toc490919977"/>
      <w:bookmarkStart w:id="65" w:name="_Toc24181"/>
      <w:bookmarkStart w:id="66" w:name="_Toc7509255"/>
      <w:r>
        <w:rPr>
          <w:rFonts w:hint="eastAsia" w:ascii="仿宋" w:hAnsi="仿宋" w:eastAsia="仿宋" w:cs="仿宋"/>
          <w:sz w:val="32"/>
          <w:szCs w:val="32"/>
        </w:rPr>
        <w:t>无重大违法记录的声明函</w:t>
      </w:r>
      <w:bookmarkEnd w:id="64"/>
      <w:bookmarkEnd w:id="65"/>
      <w:bookmarkEnd w:id="66"/>
    </w:p>
    <w:p>
      <w:pPr>
        <w:adjustRightInd w:val="0"/>
        <w:spacing w:line="360" w:lineRule="auto"/>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（采购代理机构）</w:t>
      </w:r>
      <w:r>
        <w:rPr>
          <w:rFonts w:hint="eastAsia" w:ascii="仿宋" w:hAnsi="仿宋" w:eastAsia="仿宋"/>
          <w:sz w:val="24"/>
        </w:rPr>
        <w:t>：</w:t>
      </w:r>
    </w:p>
    <w:p>
      <w:pPr>
        <w:pStyle w:val="114"/>
        <w:snapToGrid w:val="0"/>
        <w:spacing w:after="0" w:line="360" w:lineRule="auto"/>
        <w:ind w:left="0" w:leftChars="0" w:firstLine="540" w:firstLineChars="225"/>
        <w:rPr>
          <w:rFonts w:ascii="仿宋" w:hAnsi="仿宋" w:eastAsia="仿宋" w:cs="仿宋"/>
          <w:sz w:val="24"/>
          <w:szCs w:val="24"/>
        </w:rPr>
      </w:pPr>
      <w:r>
        <w:rPr>
          <w:rFonts w:hint="eastAsia" w:ascii="仿宋" w:hAnsi="仿宋" w:eastAsia="仿宋" w:cs="仿宋"/>
          <w:sz w:val="24"/>
          <w:szCs w:val="24"/>
        </w:rPr>
        <w:t>本公司</w:t>
      </w:r>
      <w:r>
        <w:rPr>
          <w:rFonts w:hint="eastAsia" w:ascii="仿宋" w:hAnsi="仿宋" w:eastAsia="仿宋" w:cs="仿宋"/>
          <w:sz w:val="24"/>
          <w:szCs w:val="24"/>
          <w:u w:val="single"/>
        </w:rPr>
        <w:t xml:space="preserve">                   （公司名称）</w:t>
      </w:r>
      <w:r>
        <w:rPr>
          <w:rFonts w:hint="eastAsia" w:ascii="仿宋" w:hAnsi="仿宋" w:eastAsia="仿宋" w:cs="仿宋"/>
          <w:sz w:val="24"/>
          <w:szCs w:val="24"/>
        </w:rPr>
        <w:t>参加</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的采购活动，现承诺：</w:t>
      </w:r>
    </w:p>
    <w:p>
      <w:pPr>
        <w:pStyle w:val="114"/>
        <w:snapToGrid w:val="0"/>
        <w:spacing w:after="0" w:line="360" w:lineRule="auto"/>
        <w:ind w:left="0" w:leftChars="0" w:firstLine="480"/>
        <w:rPr>
          <w:rFonts w:ascii="仿宋" w:hAnsi="仿宋" w:eastAsia="仿宋" w:cs="仿宋"/>
          <w:sz w:val="24"/>
          <w:szCs w:val="24"/>
        </w:rPr>
      </w:pPr>
      <w:r>
        <w:rPr>
          <w:rFonts w:hint="eastAsia" w:ascii="仿宋" w:hAnsi="仿宋" w:eastAsia="仿宋" w:cs="仿宋"/>
          <w:sz w:val="24"/>
          <w:szCs w:val="24"/>
        </w:rPr>
        <w:t xml:space="preserve">我公司参加采购活动前三年内，在经营活动中没有重大违法记录。 </w:t>
      </w:r>
    </w:p>
    <w:p>
      <w:pPr>
        <w:pStyle w:val="114"/>
        <w:snapToGrid w:val="0"/>
        <w:spacing w:after="0" w:line="360" w:lineRule="auto"/>
        <w:ind w:left="0" w:leftChars="0" w:firstLine="480"/>
        <w:rPr>
          <w:rFonts w:ascii="仿宋" w:hAnsi="仿宋" w:eastAsia="仿宋" w:cs="仿宋"/>
          <w:sz w:val="24"/>
          <w:szCs w:val="24"/>
        </w:rPr>
      </w:pPr>
      <w:r>
        <w:rPr>
          <w:rFonts w:hint="eastAsia" w:ascii="仿宋" w:hAnsi="仿宋" w:eastAsia="仿宋" w:cs="仿宋"/>
          <w:sz w:val="24"/>
          <w:szCs w:val="24"/>
        </w:rPr>
        <w:t>同时也满足本项目法律法规规章规定关于供应商的其他资格性条件，未参与本采购项目前期咨询论证，不属于禁止参加投标的供应商。</w:t>
      </w:r>
    </w:p>
    <w:p>
      <w:pPr>
        <w:pStyle w:val="114"/>
        <w:snapToGrid w:val="0"/>
        <w:spacing w:after="0" w:line="360" w:lineRule="auto"/>
        <w:ind w:left="0" w:leftChars="0" w:firstLine="540" w:firstLineChars="225"/>
        <w:rPr>
          <w:rFonts w:ascii="仿宋" w:hAnsi="仿宋" w:eastAsia="仿宋" w:cs="仿宋"/>
          <w:sz w:val="24"/>
          <w:szCs w:val="24"/>
        </w:rPr>
      </w:pPr>
      <w:r>
        <w:rPr>
          <w:rFonts w:hint="eastAsia" w:ascii="仿宋" w:hAnsi="仿宋" w:eastAsia="仿宋" w:cs="仿宋"/>
          <w:sz w:val="24"/>
          <w:szCs w:val="24"/>
        </w:rPr>
        <w:t>如违反以上承诺，本公司愿承担一切法律责任。</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pacing w:line="360" w:lineRule="auto"/>
        <w:ind w:firstLine="480" w:firstLineChars="200"/>
        <w:rPr>
          <w:rFonts w:ascii="仿宋" w:hAnsi="仿宋" w:eastAsia="仿宋"/>
          <w:sz w:val="24"/>
        </w:rPr>
      </w:pPr>
      <w:r>
        <w:rPr>
          <w:rFonts w:hint="eastAsia" w:ascii="仿宋" w:hAnsi="仿宋" w:eastAsia="仿宋"/>
          <w:sz w:val="24"/>
        </w:rPr>
        <w:t xml:space="preserve">供应商名称（加盖公章）： </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日    期：   年   月  日</w:t>
      </w:r>
    </w:p>
    <w:p>
      <w:pPr>
        <w:spacing w:line="360" w:lineRule="auto"/>
        <w:ind w:firstLine="640" w:firstLineChars="200"/>
        <w:jc w:val="center"/>
        <w:rPr>
          <w:rFonts w:ascii="黑体" w:hAnsi="黑体" w:eastAsia="黑体" w:cs="黑体"/>
          <w:sz w:val="32"/>
          <w:szCs w:val="32"/>
        </w:rPr>
      </w:pPr>
    </w:p>
    <w:p>
      <w:pPr>
        <w:widowControl/>
        <w:jc w:val="left"/>
        <w:rPr>
          <w:rFonts w:ascii="仿宋" w:hAnsi="仿宋" w:eastAsia="仿宋"/>
          <w:sz w:val="32"/>
        </w:rPr>
      </w:pPr>
      <w:bookmarkStart w:id="67" w:name="_Toc35856332"/>
      <w:bookmarkStart w:id="68" w:name="_Toc35856205"/>
      <w:r>
        <w:rPr>
          <w:rFonts w:ascii="仿宋" w:hAnsi="仿宋" w:eastAsia="仿宋"/>
          <w:sz w:val="32"/>
        </w:rPr>
        <w:br w:type="page"/>
      </w:r>
    </w:p>
    <w:p>
      <w:pPr>
        <w:adjustRightInd w:val="0"/>
        <w:spacing w:line="360" w:lineRule="auto"/>
        <w:jc w:val="center"/>
        <w:rPr>
          <w:rFonts w:ascii="仿宋" w:hAnsi="仿宋" w:eastAsia="仿宋"/>
          <w:sz w:val="32"/>
        </w:rPr>
      </w:pPr>
      <w:r>
        <w:rPr>
          <w:rFonts w:hint="eastAsia" w:ascii="仿宋" w:hAnsi="仿宋" w:eastAsia="仿宋"/>
          <w:sz w:val="32"/>
        </w:rPr>
        <w:t>信用记录自查承诺函</w:t>
      </w:r>
      <w:bookmarkEnd w:id="67"/>
      <w:bookmarkEnd w:id="68"/>
    </w:p>
    <w:p>
      <w:pPr>
        <w:adjustRightInd w:val="0"/>
        <w:snapToGrid w:val="0"/>
        <w:spacing w:line="360" w:lineRule="auto"/>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（采购代理机构）</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本公司（企业）信用情况，经对信用中国网站（www.creditchina.gov.cn）、中国政府采购网（www.ccgp.gov.cn）、中国执行信息公开网（http://zxgk.court.gov.cn/）中的网上查询，截至规定的谈判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adjustRightInd w:val="0"/>
        <w:snapToGrid w:val="0"/>
        <w:spacing w:line="360" w:lineRule="auto"/>
        <w:ind w:firstLine="480" w:firstLineChars="200"/>
        <w:rPr>
          <w:rFonts w:ascii="仿宋" w:hAnsi="仿宋" w:eastAsia="仿宋"/>
          <w:sz w:val="24"/>
        </w:rPr>
      </w:pPr>
    </w:p>
    <w:p>
      <w:pPr>
        <w:adjustRightInd w:val="0"/>
        <w:snapToGrid w:val="0"/>
        <w:spacing w:line="360" w:lineRule="auto"/>
        <w:ind w:firstLine="480" w:firstLineChars="200"/>
        <w:rPr>
          <w:rFonts w:ascii="仿宋" w:hAnsi="仿宋" w:eastAsia="仿宋"/>
          <w:sz w:val="24"/>
        </w:rPr>
      </w:pP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特此承诺！</w:t>
      </w:r>
    </w:p>
    <w:p>
      <w:pPr>
        <w:adjustRightInd w:val="0"/>
        <w:snapToGrid w:val="0"/>
        <w:spacing w:line="360" w:lineRule="auto"/>
        <w:ind w:firstLine="480" w:firstLineChars="200"/>
        <w:rPr>
          <w:rFonts w:ascii="仿宋" w:hAnsi="仿宋" w:eastAsia="仿宋"/>
          <w:sz w:val="24"/>
        </w:rPr>
      </w:pPr>
    </w:p>
    <w:p>
      <w:pPr>
        <w:adjustRightInd w:val="0"/>
        <w:snapToGrid w:val="0"/>
        <w:spacing w:line="360" w:lineRule="auto"/>
        <w:ind w:firstLine="480" w:firstLineChars="200"/>
        <w:rPr>
          <w:rFonts w:ascii="仿宋" w:hAnsi="仿宋" w:eastAsia="仿宋"/>
          <w:sz w:val="24"/>
        </w:rPr>
      </w:pPr>
    </w:p>
    <w:p>
      <w:pPr>
        <w:adjustRightInd w:val="0"/>
        <w:snapToGrid w:val="0"/>
        <w:spacing w:line="360" w:lineRule="auto"/>
        <w:ind w:firstLine="480" w:firstLineChars="200"/>
        <w:rPr>
          <w:rFonts w:ascii="仿宋" w:hAnsi="仿宋" w:eastAsia="仿宋"/>
          <w:sz w:val="24"/>
        </w:rPr>
      </w:pPr>
    </w:p>
    <w:p>
      <w:pPr>
        <w:adjustRightInd w:val="0"/>
        <w:snapToGrid w:val="0"/>
        <w:spacing w:line="360" w:lineRule="auto"/>
        <w:ind w:firstLine="480" w:firstLineChars="200"/>
        <w:rPr>
          <w:rFonts w:ascii="仿宋" w:hAnsi="仿宋" w:eastAsia="仿宋"/>
          <w:sz w:val="24"/>
        </w:rPr>
      </w:pPr>
    </w:p>
    <w:p>
      <w:pPr>
        <w:adjustRightInd w:val="0"/>
        <w:snapToGrid w:val="0"/>
        <w:spacing w:line="360" w:lineRule="auto"/>
        <w:ind w:firstLine="480" w:firstLineChars="200"/>
        <w:rPr>
          <w:rFonts w:ascii="仿宋" w:hAnsi="仿宋" w:eastAsia="仿宋"/>
          <w:sz w:val="24"/>
        </w:rPr>
      </w:pPr>
    </w:p>
    <w:p>
      <w:pPr>
        <w:adjustRightInd w:val="0"/>
        <w:snapToGrid w:val="0"/>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 xml:space="preserve">供应商名称（加盖公章）： </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日    期：   年   月  日</w:t>
      </w:r>
    </w:p>
    <w:p>
      <w:r>
        <w:br w:type="page"/>
      </w:r>
    </w:p>
    <w:p>
      <w:pPr>
        <w:pStyle w:val="4"/>
        <w:jc w:val="center"/>
      </w:pPr>
      <w:bookmarkStart w:id="69" w:name="_Toc35856338"/>
      <w:bookmarkStart w:id="70" w:name="_Toc48044719"/>
      <w:bookmarkStart w:id="71" w:name="_Toc35856211"/>
      <w:r>
        <w:t>6</w:t>
      </w:r>
      <w:r>
        <w:rPr>
          <w:rFonts w:hint="eastAsia"/>
        </w:rPr>
        <w:t>、商务要求响应表</w:t>
      </w:r>
      <w:bookmarkEnd w:id="69"/>
      <w:bookmarkEnd w:id="70"/>
      <w:bookmarkEnd w:id="71"/>
    </w:p>
    <w:p>
      <w:pPr>
        <w:adjustRightInd w:val="0"/>
        <w:snapToGrid w:val="0"/>
        <w:spacing w:line="360" w:lineRule="auto"/>
        <w:rPr>
          <w:rFonts w:ascii="仿宋" w:hAnsi="仿宋" w:eastAsia="仿宋"/>
          <w:sz w:val="24"/>
        </w:rPr>
      </w:pPr>
      <w:r>
        <w:rPr>
          <w:rFonts w:hint="eastAsia" w:ascii="仿宋" w:hAnsi="仿宋" w:eastAsia="仿宋"/>
          <w:sz w:val="24"/>
        </w:rPr>
        <w:t xml:space="preserve"> 本表编制说明：</w:t>
      </w:r>
    </w:p>
    <w:p>
      <w:pPr>
        <w:snapToGrid w:val="0"/>
        <w:spacing w:line="360" w:lineRule="auto"/>
        <w:rPr>
          <w:rFonts w:ascii="仿宋" w:hAnsi="仿宋" w:eastAsia="仿宋"/>
          <w:sz w:val="24"/>
        </w:rPr>
      </w:pPr>
      <w:r>
        <w:rPr>
          <w:rFonts w:hint="eastAsia" w:ascii="仿宋" w:hAnsi="仿宋" w:eastAsia="仿宋"/>
          <w:sz w:val="24"/>
        </w:rPr>
        <w:t xml:space="preserve"> 1.供应商须把第三章：采购需求的“三、商务要求”按顺序列入此表对应逐条应答。</w:t>
      </w:r>
    </w:p>
    <w:tbl>
      <w:tblPr>
        <w:tblStyle w:val="32"/>
        <w:tblW w:w="8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835"/>
        <w:gridCol w:w="2835"/>
        <w:gridCol w:w="127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38" w:type="dxa"/>
            <w:vAlign w:val="center"/>
          </w:tcPr>
          <w:p>
            <w:pPr>
              <w:snapToGrid w:val="0"/>
              <w:jc w:val="center"/>
              <w:rPr>
                <w:rFonts w:ascii="仿宋" w:hAnsi="仿宋" w:eastAsia="仿宋"/>
              </w:rPr>
            </w:pPr>
            <w:r>
              <w:rPr>
                <w:rFonts w:hint="eastAsia" w:ascii="仿宋" w:hAnsi="仿宋" w:eastAsia="仿宋"/>
              </w:rPr>
              <w:t>序号</w:t>
            </w:r>
          </w:p>
        </w:tc>
        <w:tc>
          <w:tcPr>
            <w:tcW w:w="2835" w:type="dxa"/>
            <w:vAlign w:val="center"/>
          </w:tcPr>
          <w:p>
            <w:pPr>
              <w:snapToGrid w:val="0"/>
              <w:jc w:val="center"/>
              <w:rPr>
                <w:rFonts w:ascii="仿宋" w:hAnsi="仿宋" w:eastAsia="仿宋"/>
              </w:rPr>
            </w:pPr>
            <w:r>
              <w:rPr>
                <w:rFonts w:hint="eastAsia" w:ascii="仿宋" w:hAnsi="仿宋" w:eastAsia="仿宋"/>
              </w:rPr>
              <w:t>商务要求</w:t>
            </w:r>
          </w:p>
        </w:tc>
        <w:tc>
          <w:tcPr>
            <w:tcW w:w="2835" w:type="dxa"/>
            <w:vAlign w:val="center"/>
          </w:tcPr>
          <w:p>
            <w:pPr>
              <w:snapToGrid w:val="0"/>
              <w:jc w:val="center"/>
              <w:rPr>
                <w:rFonts w:ascii="仿宋" w:hAnsi="仿宋" w:eastAsia="仿宋"/>
              </w:rPr>
            </w:pPr>
            <w:r>
              <w:rPr>
                <w:rFonts w:hint="eastAsia" w:ascii="仿宋" w:hAnsi="仿宋" w:eastAsia="仿宋"/>
              </w:rPr>
              <w:t>响应文件的应答</w:t>
            </w:r>
          </w:p>
        </w:tc>
        <w:tc>
          <w:tcPr>
            <w:tcW w:w="1276" w:type="dxa"/>
            <w:vAlign w:val="center"/>
          </w:tcPr>
          <w:p>
            <w:pPr>
              <w:snapToGrid w:val="0"/>
              <w:jc w:val="center"/>
              <w:rPr>
                <w:rFonts w:ascii="仿宋" w:hAnsi="仿宋" w:eastAsia="仿宋"/>
              </w:rPr>
            </w:pPr>
            <w:r>
              <w:rPr>
                <w:rFonts w:hint="eastAsia" w:ascii="仿宋" w:hAnsi="仿宋" w:eastAsia="仿宋"/>
              </w:rPr>
              <w:t>响应/偏离</w:t>
            </w:r>
          </w:p>
        </w:tc>
        <w:tc>
          <w:tcPr>
            <w:tcW w:w="973" w:type="dxa"/>
            <w:vAlign w:val="center"/>
          </w:tcPr>
          <w:p>
            <w:pPr>
              <w:snapToGrid w:val="0"/>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spacing w:line="360" w:lineRule="auto"/>
              <w:ind w:firstLine="561"/>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spacing w:line="360" w:lineRule="auto"/>
              <w:ind w:firstLine="561"/>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spacing w:line="360" w:lineRule="auto"/>
              <w:ind w:firstLine="561"/>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spacing w:line="360" w:lineRule="auto"/>
              <w:ind w:firstLine="561"/>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spacing w:line="360" w:lineRule="auto"/>
              <w:ind w:firstLine="561"/>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spacing w:line="360" w:lineRule="auto"/>
              <w:ind w:firstLine="561"/>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spacing w:line="360" w:lineRule="auto"/>
              <w:ind w:firstLine="561"/>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8"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outlineLvl w:val="1"/>
              <w:rPr>
                <w:rFonts w:ascii="仿宋" w:hAnsi="仿宋" w:eastAsia="仿宋" w:cs="仿宋"/>
                <w:bCs/>
              </w:rPr>
            </w:pPr>
          </w:p>
        </w:tc>
        <w:tc>
          <w:tcPr>
            <w:tcW w:w="2835"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973" w:type="dxa"/>
            <w:vAlign w:val="center"/>
          </w:tcPr>
          <w:p>
            <w:pPr>
              <w:spacing w:line="360" w:lineRule="auto"/>
              <w:ind w:firstLine="561"/>
              <w:jc w:val="center"/>
              <w:outlineLvl w:val="1"/>
              <w:rPr>
                <w:rFonts w:ascii="仿宋" w:hAnsi="仿宋" w:eastAsia="仿宋" w:cs="仿宋"/>
                <w:bCs/>
              </w:rPr>
            </w:pPr>
          </w:p>
        </w:tc>
      </w:tr>
    </w:tbl>
    <w:p/>
    <w:p/>
    <w:p>
      <w:pPr>
        <w:spacing w:line="360" w:lineRule="auto"/>
        <w:ind w:firstLine="480" w:firstLineChars="200"/>
        <w:rPr>
          <w:rFonts w:ascii="仿宋" w:hAnsi="仿宋" w:eastAsia="仿宋"/>
          <w:sz w:val="24"/>
        </w:rPr>
      </w:pPr>
      <w:r>
        <w:rPr>
          <w:rFonts w:hint="eastAsia" w:ascii="仿宋" w:hAnsi="仿宋" w:eastAsia="仿宋"/>
          <w:sz w:val="24"/>
        </w:rPr>
        <w:t xml:space="preserve">供应商名称（加盖公章）：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   年   月  日</w:t>
      </w:r>
    </w:p>
    <w:p>
      <w:pPr>
        <w:pStyle w:val="2"/>
      </w:pPr>
      <w:r>
        <w:br w:type="page"/>
      </w:r>
    </w:p>
    <w:p>
      <w:pPr>
        <w:pStyle w:val="4"/>
        <w:jc w:val="center"/>
      </w:pPr>
      <w:bookmarkStart w:id="72" w:name="_Toc35856212"/>
      <w:bookmarkStart w:id="73" w:name="_Toc35856339"/>
      <w:bookmarkStart w:id="74" w:name="_Toc48044720"/>
      <w:r>
        <w:t>7</w:t>
      </w:r>
      <w:r>
        <w:rPr>
          <w:rFonts w:hint="eastAsia"/>
        </w:rPr>
        <w:t>、技术要求响应表</w:t>
      </w:r>
      <w:bookmarkEnd w:id="72"/>
      <w:bookmarkEnd w:id="73"/>
      <w:bookmarkEnd w:id="74"/>
    </w:p>
    <w:p>
      <w:pPr>
        <w:adjustRightInd w:val="0"/>
        <w:snapToGrid w:val="0"/>
        <w:spacing w:line="360" w:lineRule="auto"/>
        <w:rPr>
          <w:rFonts w:ascii="仿宋" w:hAnsi="仿宋" w:eastAsia="仿宋"/>
          <w:sz w:val="24"/>
        </w:rPr>
      </w:pPr>
      <w:r>
        <w:rPr>
          <w:rFonts w:hint="eastAsia" w:ascii="仿宋" w:hAnsi="仿宋" w:eastAsia="仿宋"/>
          <w:sz w:val="24"/>
        </w:rPr>
        <w:t>本表编制说明：</w:t>
      </w:r>
    </w:p>
    <w:p>
      <w:pPr>
        <w:adjustRightInd w:val="0"/>
        <w:snapToGrid w:val="0"/>
        <w:spacing w:line="360" w:lineRule="auto"/>
        <w:rPr>
          <w:rFonts w:ascii="仿宋" w:hAnsi="仿宋" w:eastAsia="仿宋"/>
          <w:sz w:val="24"/>
        </w:rPr>
      </w:pPr>
      <w:r>
        <w:rPr>
          <w:rFonts w:hint="eastAsia" w:ascii="仿宋" w:hAnsi="仿宋" w:eastAsia="仿宋"/>
          <w:sz w:val="24"/>
        </w:rPr>
        <w:t xml:space="preserve"> 1.供应商须把第三章：采购需求的“</w:t>
      </w:r>
      <w:r>
        <w:rPr>
          <w:rFonts w:hint="eastAsia" w:ascii="仿宋" w:hAnsi="仿宋" w:eastAsia="仿宋"/>
          <w:sz w:val="24"/>
          <w:highlight w:val="yellow"/>
        </w:rPr>
        <w:t>技术要求</w:t>
      </w:r>
      <w:r>
        <w:rPr>
          <w:rFonts w:hint="eastAsia" w:ascii="仿宋" w:hAnsi="仿宋" w:eastAsia="仿宋"/>
          <w:sz w:val="24"/>
        </w:rPr>
        <w:t>”按顺序列入此表对应逐条应答。</w:t>
      </w:r>
    </w:p>
    <w:tbl>
      <w:tblPr>
        <w:tblStyle w:val="32"/>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08"/>
        <w:gridCol w:w="2608"/>
        <w:gridCol w:w="161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04" w:type="dxa"/>
            <w:vAlign w:val="center"/>
          </w:tcPr>
          <w:p>
            <w:pPr>
              <w:jc w:val="center"/>
              <w:rPr>
                <w:rFonts w:ascii="仿宋" w:hAnsi="仿宋" w:eastAsia="仿宋"/>
              </w:rPr>
            </w:pPr>
            <w:bookmarkStart w:id="75" w:name="_Toc35856213"/>
            <w:r>
              <w:rPr>
                <w:rFonts w:hint="eastAsia" w:ascii="仿宋" w:hAnsi="仿宋" w:eastAsia="仿宋"/>
              </w:rPr>
              <w:t>序号</w:t>
            </w:r>
            <w:bookmarkEnd w:id="75"/>
          </w:p>
        </w:tc>
        <w:tc>
          <w:tcPr>
            <w:tcW w:w="2608" w:type="dxa"/>
            <w:vAlign w:val="center"/>
          </w:tcPr>
          <w:p>
            <w:pPr>
              <w:jc w:val="center"/>
              <w:rPr>
                <w:rFonts w:ascii="仿宋" w:hAnsi="仿宋" w:eastAsia="仿宋"/>
              </w:rPr>
            </w:pPr>
            <w:bookmarkStart w:id="76" w:name="_Toc35856214"/>
            <w:r>
              <w:rPr>
                <w:rFonts w:hint="eastAsia" w:ascii="仿宋" w:hAnsi="仿宋" w:eastAsia="仿宋"/>
                <w:highlight w:val="yellow"/>
              </w:rPr>
              <w:t>技术要求</w:t>
            </w:r>
            <w:bookmarkEnd w:id="76"/>
          </w:p>
        </w:tc>
        <w:tc>
          <w:tcPr>
            <w:tcW w:w="2608" w:type="dxa"/>
            <w:vAlign w:val="center"/>
          </w:tcPr>
          <w:p>
            <w:pPr>
              <w:adjustRightInd w:val="0"/>
              <w:snapToGrid w:val="0"/>
              <w:jc w:val="center"/>
              <w:rPr>
                <w:rFonts w:ascii="仿宋" w:hAnsi="仿宋" w:eastAsia="仿宋"/>
              </w:rPr>
            </w:pPr>
            <w:r>
              <w:rPr>
                <w:rFonts w:hint="eastAsia" w:ascii="仿宋" w:hAnsi="仿宋" w:eastAsia="仿宋"/>
              </w:rPr>
              <w:t>响应文件的应答</w:t>
            </w:r>
          </w:p>
        </w:tc>
        <w:tc>
          <w:tcPr>
            <w:tcW w:w="1616" w:type="dxa"/>
            <w:vAlign w:val="center"/>
          </w:tcPr>
          <w:p>
            <w:pPr>
              <w:jc w:val="center"/>
              <w:rPr>
                <w:rFonts w:ascii="仿宋" w:hAnsi="仿宋" w:eastAsia="仿宋"/>
              </w:rPr>
            </w:pPr>
            <w:r>
              <w:rPr>
                <w:rFonts w:hint="eastAsia" w:ascii="仿宋" w:hAnsi="仿宋" w:eastAsia="仿宋"/>
              </w:rPr>
              <w:t>响应/偏离</w:t>
            </w:r>
          </w:p>
        </w:tc>
        <w:tc>
          <w:tcPr>
            <w:tcW w:w="796" w:type="dxa"/>
            <w:vAlign w:val="center"/>
          </w:tcPr>
          <w:p>
            <w:pPr>
              <w:jc w:val="center"/>
              <w:rPr>
                <w:rFonts w:ascii="仿宋" w:hAnsi="仿宋" w:eastAsia="仿宋"/>
              </w:rPr>
            </w:pPr>
            <w:bookmarkStart w:id="77" w:name="_Toc35856217"/>
            <w:r>
              <w:rPr>
                <w:rFonts w:hint="eastAsia" w:ascii="仿宋" w:hAnsi="仿宋" w:eastAsia="仿宋"/>
              </w:rPr>
              <w:t>备注</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04" w:type="dxa"/>
            <w:vAlign w:val="center"/>
          </w:tcPr>
          <w:p>
            <w:pPr>
              <w:spacing w:line="460" w:lineRule="exact"/>
              <w:jc w:val="center"/>
              <w:outlineLvl w:val="1"/>
              <w:rPr>
                <w:rFonts w:ascii="仿宋" w:hAnsi="仿宋" w:eastAsia="仿宋" w:cs="仿宋"/>
                <w:bCs/>
              </w:rPr>
            </w:pPr>
          </w:p>
        </w:tc>
        <w:tc>
          <w:tcPr>
            <w:tcW w:w="2608" w:type="dxa"/>
            <w:vAlign w:val="center"/>
          </w:tcPr>
          <w:p>
            <w:pPr>
              <w:spacing w:line="360" w:lineRule="auto"/>
              <w:jc w:val="center"/>
              <w:rPr>
                <w:rFonts w:ascii="仿宋" w:hAnsi="仿宋" w:eastAsia="仿宋" w:cs="仿宋"/>
                <w:bCs/>
              </w:rPr>
            </w:pPr>
          </w:p>
        </w:tc>
        <w:tc>
          <w:tcPr>
            <w:tcW w:w="2608" w:type="dxa"/>
            <w:vAlign w:val="center"/>
          </w:tcPr>
          <w:p>
            <w:pPr>
              <w:spacing w:line="360" w:lineRule="auto"/>
              <w:jc w:val="center"/>
              <w:rPr>
                <w:rFonts w:ascii="仿宋" w:hAnsi="仿宋" w:eastAsia="仿宋"/>
              </w:rPr>
            </w:pPr>
          </w:p>
        </w:tc>
        <w:tc>
          <w:tcPr>
            <w:tcW w:w="1616" w:type="dxa"/>
            <w:vAlign w:val="center"/>
          </w:tcPr>
          <w:p>
            <w:pPr>
              <w:spacing w:line="360" w:lineRule="auto"/>
              <w:jc w:val="center"/>
              <w:rPr>
                <w:rFonts w:ascii="仿宋" w:hAnsi="仿宋" w:eastAsia="仿宋"/>
              </w:rPr>
            </w:pPr>
          </w:p>
        </w:tc>
        <w:tc>
          <w:tcPr>
            <w:tcW w:w="796" w:type="dxa"/>
            <w:vAlign w:val="center"/>
          </w:tcPr>
          <w:p>
            <w:pPr>
              <w:spacing w:line="460" w:lineRule="exact"/>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4" w:type="dxa"/>
            <w:vAlign w:val="center"/>
          </w:tcPr>
          <w:p>
            <w:pPr>
              <w:spacing w:line="460" w:lineRule="exact"/>
              <w:jc w:val="center"/>
              <w:outlineLvl w:val="1"/>
              <w:rPr>
                <w:rFonts w:ascii="仿宋" w:hAnsi="仿宋" w:eastAsia="仿宋" w:cs="仿宋"/>
                <w:bCs/>
              </w:rPr>
            </w:pPr>
          </w:p>
        </w:tc>
        <w:tc>
          <w:tcPr>
            <w:tcW w:w="2608" w:type="dxa"/>
            <w:vAlign w:val="center"/>
          </w:tcPr>
          <w:p>
            <w:pPr>
              <w:spacing w:line="360" w:lineRule="auto"/>
              <w:jc w:val="center"/>
              <w:rPr>
                <w:rFonts w:ascii="仿宋" w:hAnsi="仿宋" w:eastAsia="仿宋" w:cs="仿宋"/>
                <w:bCs/>
              </w:rPr>
            </w:pPr>
          </w:p>
        </w:tc>
        <w:tc>
          <w:tcPr>
            <w:tcW w:w="2608" w:type="dxa"/>
            <w:vAlign w:val="center"/>
          </w:tcPr>
          <w:p>
            <w:pPr>
              <w:spacing w:line="360" w:lineRule="auto"/>
              <w:jc w:val="center"/>
              <w:rPr>
                <w:rFonts w:ascii="仿宋" w:hAnsi="仿宋" w:eastAsia="仿宋"/>
              </w:rPr>
            </w:pPr>
          </w:p>
        </w:tc>
        <w:tc>
          <w:tcPr>
            <w:tcW w:w="1616" w:type="dxa"/>
            <w:vAlign w:val="center"/>
          </w:tcPr>
          <w:p>
            <w:pPr>
              <w:spacing w:line="360" w:lineRule="auto"/>
              <w:jc w:val="center"/>
              <w:rPr>
                <w:rFonts w:ascii="仿宋" w:hAnsi="仿宋" w:eastAsia="仿宋"/>
              </w:rPr>
            </w:pPr>
          </w:p>
        </w:tc>
        <w:tc>
          <w:tcPr>
            <w:tcW w:w="796" w:type="dxa"/>
            <w:vAlign w:val="center"/>
          </w:tcPr>
          <w:p>
            <w:pPr>
              <w:spacing w:line="460" w:lineRule="exact"/>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4" w:type="dxa"/>
            <w:vAlign w:val="center"/>
          </w:tcPr>
          <w:p>
            <w:pPr>
              <w:spacing w:line="460" w:lineRule="exact"/>
              <w:jc w:val="center"/>
              <w:outlineLvl w:val="1"/>
              <w:rPr>
                <w:rFonts w:ascii="仿宋" w:hAnsi="仿宋" w:eastAsia="仿宋" w:cs="仿宋"/>
                <w:bCs/>
              </w:rPr>
            </w:pPr>
          </w:p>
        </w:tc>
        <w:tc>
          <w:tcPr>
            <w:tcW w:w="2608" w:type="dxa"/>
            <w:vAlign w:val="center"/>
          </w:tcPr>
          <w:p>
            <w:pPr>
              <w:spacing w:line="360" w:lineRule="auto"/>
              <w:jc w:val="center"/>
              <w:rPr>
                <w:rFonts w:ascii="仿宋" w:hAnsi="仿宋" w:eastAsia="仿宋" w:cs="仿宋"/>
                <w:bCs/>
              </w:rPr>
            </w:pPr>
          </w:p>
        </w:tc>
        <w:tc>
          <w:tcPr>
            <w:tcW w:w="2608" w:type="dxa"/>
            <w:vAlign w:val="center"/>
          </w:tcPr>
          <w:p>
            <w:pPr>
              <w:spacing w:line="360" w:lineRule="auto"/>
              <w:jc w:val="center"/>
              <w:rPr>
                <w:rFonts w:ascii="仿宋" w:hAnsi="仿宋" w:eastAsia="仿宋"/>
              </w:rPr>
            </w:pPr>
          </w:p>
        </w:tc>
        <w:tc>
          <w:tcPr>
            <w:tcW w:w="1616" w:type="dxa"/>
            <w:vAlign w:val="center"/>
          </w:tcPr>
          <w:p>
            <w:pPr>
              <w:spacing w:line="360" w:lineRule="auto"/>
              <w:jc w:val="center"/>
              <w:rPr>
                <w:rFonts w:ascii="仿宋" w:hAnsi="仿宋" w:eastAsia="仿宋"/>
              </w:rPr>
            </w:pPr>
          </w:p>
        </w:tc>
        <w:tc>
          <w:tcPr>
            <w:tcW w:w="796" w:type="dxa"/>
            <w:vAlign w:val="center"/>
          </w:tcPr>
          <w:p>
            <w:pPr>
              <w:spacing w:line="460" w:lineRule="exact"/>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4" w:type="dxa"/>
            <w:vAlign w:val="center"/>
          </w:tcPr>
          <w:p>
            <w:pPr>
              <w:spacing w:line="460" w:lineRule="exact"/>
              <w:jc w:val="center"/>
              <w:outlineLvl w:val="1"/>
              <w:rPr>
                <w:rFonts w:ascii="仿宋" w:hAnsi="仿宋" w:eastAsia="仿宋" w:cs="仿宋"/>
                <w:bCs/>
              </w:rPr>
            </w:pPr>
          </w:p>
        </w:tc>
        <w:tc>
          <w:tcPr>
            <w:tcW w:w="2608" w:type="dxa"/>
            <w:vAlign w:val="center"/>
          </w:tcPr>
          <w:p>
            <w:pPr>
              <w:spacing w:line="360" w:lineRule="auto"/>
              <w:jc w:val="center"/>
              <w:rPr>
                <w:rFonts w:ascii="仿宋" w:hAnsi="仿宋" w:eastAsia="仿宋" w:cs="仿宋"/>
                <w:bCs/>
              </w:rPr>
            </w:pPr>
          </w:p>
        </w:tc>
        <w:tc>
          <w:tcPr>
            <w:tcW w:w="2608" w:type="dxa"/>
            <w:vAlign w:val="center"/>
          </w:tcPr>
          <w:p>
            <w:pPr>
              <w:spacing w:line="360" w:lineRule="auto"/>
              <w:jc w:val="center"/>
              <w:rPr>
                <w:rFonts w:ascii="仿宋" w:hAnsi="仿宋" w:eastAsia="仿宋"/>
              </w:rPr>
            </w:pPr>
          </w:p>
        </w:tc>
        <w:tc>
          <w:tcPr>
            <w:tcW w:w="1616" w:type="dxa"/>
            <w:vAlign w:val="center"/>
          </w:tcPr>
          <w:p>
            <w:pPr>
              <w:spacing w:line="360" w:lineRule="auto"/>
              <w:jc w:val="center"/>
              <w:rPr>
                <w:rFonts w:ascii="仿宋" w:hAnsi="仿宋" w:eastAsia="仿宋"/>
              </w:rPr>
            </w:pPr>
          </w:p>
        </w:tc>
        <w:tc>
          <w:tcPr>
            <w:tcW w:w="796" w:type="dxa"/>
            <w:vAlign w:val="center"/>
          </w:tcPr>
          <w:p>
            <w:pPr>
              <w:spacing w:line="460" w:lineRule="exact"/>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4" w:type="dxa"/>
            <w:vAlign w:val="center"/>
          </w:tcPr>
          <w:p>
            <w:pPr>
              <w:spacing w:line="460" w:lineRule="exact"/>
              <w:jc w:val="center"/>
              <w:outlineLvl w:val="1"/>
              <w:rPr>
                <w:rFonts w:ascii="仿宋" w:hAnsi="仿宋" w:eastAsia="仿宋" w:cs="仿宋"/>
                <w:bCs/>
              </w:rPr>
            </w:pPr>
          </w:p>
        </w:tc>
        <w:tc>
          <w:tcPr>
            <w:tcW w:w="2608" w:type="dxa"/>
            <w:vAlign w:val="center"/>
          </w:tcPr>
          <w:p>
            <w:pPr>
              <w:spacing w:line="360" w:lineRule="auto"/>
              <w:jc w:val="center"/>
              <w:rPr>
                <w:rFonts w:ascii="仿宋" w:hAnsi="仿宋" w:eastAsia="仿宋" w:cs="仿宋"/>
                <w:bCs/>
              </w:rPr>
            </w:pPr>
          </w:p>
        </w:tc>
        <w:tc>
          <w:tcPr>
            <w:tcW w:w="2608" w:type="dxa"/>
            <w:vAlign w:val="center"/>
          </w:tcPr>
          <w:p>
            <w:pPr>
              <w:spacing w:line="360" w:lineRule="auto"/>
              <w:jc w:val="center"/>
              <w:rPr>
                <w:rFonts w:ascii="仿宋" w:hAnsi="仿宋" w:eastAsia="仿宋"/>
              </w:rPr>
            </w:pPr>
          </w:p>
        </w:tc>
        <w:tc>
          <w:tcPr>
            <w:tcW w:w="1616" w:type="dxa"/>
            <w:vAlign w:val="center"/>
          </w:tcPr>
          <w:p>
            <w:pPr>
              <w:spacing w:line="360" w:lineRule="auto"/>
              <w:jc w:val="center"/>
              <w:rPr>
                <w:rFonts w:ascii="仿宋" w:hAnsi="仿宋" w:eastAsia="仿宋"/>
              </w:rPr>
            </w:pPr>
          </w:p>
        </w:tc>
        <w:tc>
          <w:tcPr>
            <w:tcW w:w="796" w:type="dxa"/>
            <w:vAlign w:val="center"/>
          </w:tcPr>
          <w:p>
            <w:pPr>
              <w:spacing w:line="460" w:lineRule="exact"/>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4" w:type="dxa"/>
            <w:vAlign w:val="center"/>
          </w:tcPr>
          <w:p>
            <w:pPr>
              <w:spacing w:line="460" w:lineRule="exact"/>
              <w:jc w:val="center"/>
              <w:outlineLvl w:val="1"/>
              <w:rPr>
                <w:rFonts w:ascii="仿宋" w:hAnsi="仿宋" w:eastAsia="仿宋" w:cs="仿宋"/>
                <w:bCs/>
              </w:rPr>
            </w:pPr>
          </w:p>
        </w:tc>
        <w:tc>
          <w:tcPr>
            <w:tcW w:w="2608" w:type="dxa"/>
            <w:vAlign w:val="center"/>
          </w:tcPr>
          <w:p>
            <w:pPr>
              <w:spacing w:line="360" w:lineRule="auto"/>
              <w:jc w:val="center"/>
              <w:rPr>
                <w:rFonts w:ascii="仿宋" w:hAnsi="仿宋" w:eastAsia="仿宋" w:cs="仿宋"/>
                <w:bCs/>
              </w:rPr>
            </w:pPr>
          </w:p>
        </w:tc>
        <w:tc>
          <w:tcPr>
            <w:tcW w:w="2608" w:type="dxa"/>
            <w:vAlign w:val="center"/>
          </w:tcPr>
          <w:p>
            <w:pPr>
              <w:spacing w:line="360" w:lineRule="auto"/>
              <w:jc w:val="center"/>
              <w:rPr>
                <w:rFonts w:ascii="仿宋" w:hAnsi="仿宋" w:eastAsia="仿宋"/>
              </w:rPr>
            </w:pPr>
          </w:p>
        </w:tc>
        <w:tc>
          <w:tcPr>
            <w:tcW w:w="1616" w:type="dxa"/>
            <w:vAlign w:val="center"/>
          </w:tcPr>
          <w:p>
            <w:pPr>
              <w:spacing w:line="360" w:lineRule="auto"/>
              <w:jc w:val="center"/>
              <w:rPr>
                <w:rFonts w:ascii="仿宋" w:hAnsi="仿宋" w:eastAsia="仿宋"/>
              </w:rPr>
            </w:pPr>
          </w:p>
        </w:tc>
        <w:tc>
          <w:tcPr>
            <w:tcW w:w="796" w:type="dxa"/>
            <w:vAlign w:val="center"/>
          </w:tcPr>
          <w:p>
            <w:pPr>
              <w:spacing w:line="460" w:lineRule="exact"/>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4" w:type="dxa"/>
            <w:vAlign w:val="center"/>
          </w:tcPr>
          <w:p>
            <w:pPr>
              <w:spacing w:line="460" w:lineRule="exact"/>
              <w:jc w:val="center"/>
              <w:outlineLvl w:val="1"/>
              <w:rPr>
                <w:rFonts w:ascii="仿宋" w:hAnsi="仿宋" w:eastAsia="仿宋" w:cs="仿宋"/>
                <w:bCs/>
              </w:rPr>
            </w:pPr>
          </w:p>
        </w:tc>
        <w:tc>
          <w:tcPr>
            <w:tcW w:w="2608" w:type="dxa"/>
            <w:vAlign w:val="center"/>
          </w:tcPr>
          <w:p>
            <w:pPr>
              <w:spacing w:line="360" w:lineRule="auto"/>
              <w:jc w:val="center"/>
              <w:rPr>
                <w:rFonts w:ascii="仿宋" w:hAnsi="仿宋" w:eastAsia="仿宋" w:cs="仿宋"/>
                <w:bCs/>
              </w:rPr>
            </w:pPr>
          </w:p>
        </w:tc>
        <w:tc>
          <w:tcPr>
            <w:tcW w:w="2608" w:type="dxa"/>
            <w:vAlign w:val="center"/>
          </w:tcPr>
          <w:p>
            <w:pPr>
              <w:spacing w:line="360" w:lineRule="auto"/>
              <w:jc w:val="center"/>
              <w:rPr>
                <w:rFonts w:ascii="仿宋" w:hAnsi="仿宋" w:eastAsia="仿宋"/>
              </w:rPr>
            </w:pPr>
          </w:p>
        </w:tc>
        <w:tc>
          <w:tcPr>
            <w:tcW w:w="1616" w:type="dxa"/>
            <w:vAlign w:val="center"/>
          </w:tcPr>
          <w:p>
            <w:pPr>
              <w:spacing w:line="360" w:lineRule="auto"/>
              <w:jc w:val="center"/>
              <w:rPr>
                <w:rFonts w:ascii="仿宋" w:hAnsi="仿宋" w:eastAsia="仿宋"/>
              </w:rPr>
            </w:pPr>
          </w:p>
        </w:tc>
        <w:tc>
          <w:tcPr>
            <w:tcW w:w="796" w:type="dxa"/>
            <w:vAlign w:val="center"/>
          </w:tcPr>
          <w:p>
            <w:pPr>
              <w:spacing w:line="460" w:lineRule="exact"/>
              <w:jc w:val="center"/>
              <w:outlineLvl w:val="1"/>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4" w:type="dxa"/>
            <w:vAlign w:val="center"/>
          </w:tcPr>
          <w:p>
            <w:pPr>
              <w:spacing w:line="460" w:lineRule="exact"/>
              <w:jc w:val="center"/>
              <w:outlineLvl w:val="1"/>
              <w:rPr>
                <w:rFonts w:ascii="仿宋" w:hAnsi="仿宋" w:eastAsia="仿宋" w:cs="仿宋"/>
                <w:bCs/>
              </w:rPr>
            </w:pPr>
          </w:p>
        </w:tc>
        <w:tc>
          <w:tcPr>
            <w:tcW w:w="2608" w:type="dxa"/>
            <w:vAlign w:val="center"/>
          </w:tcPr>
          <w:p>
            <w:pPr>
              <w:spacing w:line="360" w:lineRule="auto"/>
              <w:jc w:val="center"/>
              <w:rPr>
                <w:rFonts w:ascii="仿宋" w:hAnsi="仿宋" w:eastAsia="仿宋" w:cs="仿宋"/>
                <w:bCs/>
              </w:rPr>
            </w:pPr>
          </w:p>
        </w:tc>
        <w:tc>
          <w:tcPr>
            <w:tcW w:w="2608" w:type="dxa"/>
            <w:vAlign w:val="center"/>
          </w:tcPr>
          <w:p>
            <w:pPr>
              <w:spacing w:line="360" w:lineRule="auto"/>
              <w:jc w:val="center"/>
              <w:rPr>
                <w:rFonts w:ascii="仿宋" w:hAnsi="仿宋" w:eastAsia="仿宋"/>
              </w:rPr>
            </w:pPr>
          </w:p>
        </w:tc>
        <w:tc>
          <w:tcPr>
            <w:tcW w:w="1616" w:type="dxa"/>
            <w:vAlign w:val="center"/>
          </w:tcPr>
          <w:p>
            <w:pPr>
              <w:spacing w:line="360" w:lineRule="auto"/>
              <w:jc w:val="center"/>
              <w:rPr>
                <w:rFonts w:ascii="仿宋" w:hAnsi="仿宋" w:eastAsia="仿宋"/>
              </w:rPr>
            </w:pPr>
          </w:p>
        </w:tc>
        <w:tc>
          <w:tcPr>
            <w:tcW w:w="796" w:type="dxa"/>
            <w:vAlign w:val="center"/>
          </w:tcPr>
          <w:p>
            <w:pPr>
              <w:spacing w:line="460" w:lineRule="exact"/>
              <w:jc w:val="center"/>
              <w:outlineLvl w:val="1"/>
              <w:rPr>
                <w:rFonts w:ascii="仿宋" w:hAnsi="仿宋" w:eastAsia="仿宋" w:cs="仿宋"/>
                <w:bCs/>
              </w:rPr>
            </w:pPr>
          </w:p>
        </w:tc>
      </w:tr>
    </w:tbl>
    <w:p/>
    <w:p/>
    <w:p/>
    <w:p>
      <w:pPr>
        <w:spacing w:line="360" w:lineRule="auto"/>
        <w:ind w:firstLine="480" w:firstLineChars="200"/>
        <w:rPr>
          <w:rFonts w:ascii="仿宋" w:hAnsi="仿宋" w:eastAsia="仿宋"/>
          <w:sz w:val="24"/>
        </w:rPr>
      </w:pPr>
      <w:bookmarkStart w:id="78" w:name="_Toc25164"/>
      <w:r>
        <w:rPr>
          <w:rFonts w:hint="eastAsia" w:ascii="仿宋" w:hAnsi="仿宋" w:eastAsia="仿宋"/>
          <w:sz w:val="24"/>
        </w:rPr>
        <w:t xml:space="preserve">供应商名称（加盖公章）：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   年   月   日</w:t>
      </w:r>
    </w:p>
    <w:p>
      <w:pPr>
        <w:widowControl/>
        <w:jc w:val="left"/>
        <w:rPr>
          <w:rFonts w:ascii="黑体" w:hAnsi="黑体" w:eastAsia="黑体" w:cs="宋体"/>
          <w:b/>
          <w:sz w:val="32"/>
          <w:szCs w:val="32"/>
        </w:rPr>
      </w:pPr>
      <w:r>
        <w:rPr>
          <w:rFonts w:ascii="黑体" w:hAnsi="黑体" w:eastAsia="黑体" w:cs="宋体"/>
          <w:b/>
          <w:sz w:val="32"/>
          <w:szCs w:val="32"/>
        </w:rPr>
        <w:br w:type="page"/>
      </w:r>
    </w:p>
    <w:p>
      <w:pPr>
        <w:pStyle w:val="4"/>
        <w:jc w:val="center"/>
      </w:pPr>
      <w:bookmarkStart w:id="79" w:name="_Toc35856218"/>
      <w:bookmarkStart w:id="80" w:name="_Toc35856340"/>
      <w:bookmarkStart w:id="81" w:name="_Toc48044721"/>
      <w:r>
        <w:t>8</w:t>
      </w:r>
      <w:r>
        <w:rPr>
          <w:rFonts w:hint="eastAsia"/>
        </w:rPr>
        <w:t>、其他商务技术证明材料</w:t>
      </w:r>
      <w:bookmarkEnd w:id="78"/>
      <w:bookmarkEnd w:id="79"/>
      <w:bookmarkEnd w:id="80"/>
      <w:bookmarkEnd w:id="81"/>
    </w:p>
    <w:p>
      <w:pPr>
        <w:snapToGrid w:val="0"/>
        <w:spacing w:line="360" w:lineRule="auto"/>
        <w:rPr>
          <w:rFonts w:ascii="仿宋" w:hAnsi="仿宋" w:eastAsia="仿宋"/>
          <w:sz w:val="24"/>
        </w:rPr>
      </w:pPr>
      <w:r>
        <w:rPr>
          <w:rFonts w:hint="eastAsia" w:ascii="仿宋" w:hAnsi="仿宋" w:eastAsia="仿宋"/>
          <w:sz w:val="24"/>
        </w:rPr>
        <w:t>供应商根据竞争性谈判文件要求认为需提供的其他商务技术说明材料，格式自定</w:t>
      </w:r>
    </w:p>
    <w:p>
      <w:pPr>
        <w:pStyle w:val="2"/>
      </w:pPr>
      <w:r>
        <w:br w:type="page"/>
      </w:r>
    </w:p>
    <w:p>
      <w:pPr>
        <w:pStyle w:val="4"/>
      </w:pPr>
      <w:r>
        <w:rPr>
          <w:rFonts w:hint="eastAsia"/>
        </w:rPr>
        <w:t>附件一：中小企业声明函</w:t>
      </w:r>
    </w:p>
    <w:p>
      <w:pPr>
        <w:adjustRightInd w:val="0"/>
        <w:snapToGrid w:val="0"/>
        <w:spacing w:line="360" w:lineRule="auto"/>
        <w:ind w:firstLine="560"/>
        <w:jc w:val="left"/>
        <w:rPr>
          <w:rFonts w:ascii="仿宋" w:hAnsi="仿宋" w:eastAsia="仿宋" w:cs="Microsoft JhengHei"/>
          <w:kern w:val="0"/>
          <w:sz w:val="24"/>
        </w:rPr>
      </w:pPr>
      <w:r>
        <w:rPr>
          <w:rFonts w:ascii="仿宋" w:hAnsi="仿宋" w:eastAsia="仿宋" w:cs="Microsoft JhengHei"/>
          <w:kern w:val="0"/>
          <w:sz w:val="24"/>
        </w:rPr>
        <w:t>本公司（联合体）郑重声明，根据《政府采购促进中小企业发展管理办法》（财库﹝</w:t>
      </w:r>
      <w:r>
        <w:rPr>
          <w:rFonts w:hint="eastAsia" w:ascii="仿宋" w:hAnsi="仿宋" w:eastAsia="仿宋" w:cs="Microsoft JhengHei"/>
          <w:kern w:val="0"/>
          <w:sz w:val="24"/>
          <w:lang w:eastAsia="zh-CN"/>
        </w:rPr>
        <w:t>2021</w:t>
      </w:r>
      <w:r>
        <w:rPr>
          <w:rFonts w:ascii="仿宋" w:hAnsi="仿宋" w:eastAsia="仿宋" w:cs="Microsoft JhengHei"/>
          <w:kern w:val="0"/>
          <w:sz w:val="24"/>
        </w:rPr>
        <w:t>﹞46 号）的规定，本公司（联合体）参加</w:t>
      </w:r>
      <w:r>
        <w:rPr>
          <w:rFonts w:ascii="仿宋" w:hAnsi="仿宋" w:eastAsia="仿宋" w:cs="Microsoft JhengHei"/>
          <w:kern w:val="0"/>
          <w:sz w:val="24"/>
          <w:u w:val="single"/>
        </w:rPr>
        <w:t>（单位名称）</w:t>
      </w:r>
      <w:r>
        <w:rPr>
          <w:rFonts w:ascii="仿宋" w:hAnsi="仿宋" w:eastAsia="仿宋" w:cs="Microsoft JhengHei"/>
          <w:kern w:val="0"/>
          <w:sz w:val="24"/>
        </w:rPr>
        <w:t>的</w:t>
      </w:r>
      <w:r>
        <w:rPr>
          <w:rFonts w:ascii="仿宋" w:hAnsi="仿宋" w:eastAsia="仿宋" w:cs="Microsoft JhengHei"/>
          <w:kern w:val="0"/>
          <w:sz w:val="24"/>
          <w:u w:val="single"/>
        </w:rPr>
        <w:t>（项目名称）</w:t>
      </w:r>
      <w:r>
        <w:rPr>
          <w:rFonts w:ascii="仿宋" w:hAnsi="仿宋" w:eastAsia="仿宋" w:cs="Microsoft JhengHei"/>
          <w:kern w:val="0"/>
          <w:sz w:val="24"/>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560"/>
        <w:jc w:val="left"/>
        <w:rPr>
          <w:rFonts w:ascii="仿宋" w:hAnsi="仿宋" w:eastAsia="仿宋" w:cs="Microsoft JhengHei"/>
          <w:kern w:val="0"/>
          <w:sz w:val="24"/>
        </w:rPr>
      </w:pPr>
      <w:r>
        <w:rPr>
          <w:rFonts w:hint="eastAsia" w:ascii="仿宋" w:hAnsi="仿宋" w:eastAsia="仿宋" w:cs="Microsoft JhengHei"/>
          <w:kern w:val="0"/>
          <w:sz w:val="24"/>
        </w:rPr>
        <w:t>1.（标的名称） ，属于</w:t>
      </w:r>
      <w:r>
        <w:rPr>
          <w:rFonts w:hint="eastAsia" w:ascii="仿宋" w:hAnsi="仿宋" w:eastAsia="仿宋" w:cs="Microsoft JhengHei"/>
          <w:kern w:val="0"/>
          <w:sz w:val="24"/>
          <w:u w:val="single"/>
        </w:rPr>
        <w:t>（采购文件中明确的所属行业）</w:t>
      </w:r>
      <w:r>
        <w:rPr>
          <w:rFonts w:hint="eastAsia" w:ascii="仿宋" w:hAnsi="仿宋" w:eastAsia="仿宋" w:cs="Microsoft JhengHei"/>
          <w:kern w:val="0"/>
          <w:sz w:val="24"/>
        </w:rPr>
        <w:t>行业；制造商为</w:t>
      </w:r>
      <w:r>
        <w:rPr>
          <w:rFonts w:hint="eastAsia" w:ascii="仿宋" w:hAnsi="仿宋" w:eastAsia="仿宋" w:cs="Microsoft JhengHei"/>
          <w:kern w:val="0"/>
          <w:sz w:val="24"/>
          <w:u w:val="single"/>
        </w:rPr>
        <w:t>（企业名称）</w:t>
      </w:r>
      <w:r>
        <w:rPr>
          <w:rFonts w:hint="eastAsia" w:ascii="仿宋" w:hAnsi="仿宋" w:eastAsia="仿宋" w:cs="Microsoft JhengHei"/>
          <w:kern w:val="0"/>
          <w:sz w:val="24"/>
        </w:rPr>
        <w:t>，从业人员</w:t>
      </w:r>
      <w:r>
        <w:rPr>
          <w:rFonts w:hint="eastAsia" w:ascii="仿宋" w:hAnsi="仿宋" w:eastAsia="仿宋" w:cs="Microsoft JhengHei"/>
          <w:kern w:val="0"/>
          <w:sz w:val="24"/>
          <w:u w:val="single"/>
        </w:rPr>
        <w:t xml:space="preserve"> </w:t>
      </w:r>
      <w:r>
        <w:rPr>
          <w:rFonts w:hint="eastAsia" w:ascii="仿宋" w:hAnsi="仿宋" w:eastAsia="仿宋" w:cs="Microsoft JhengHei"/>
          <w:kern w:val="0"/>
          <w:sz w:val="24"/>
          <w:u w:val="single"/>
        </w:rPr>
        <w:tab/>
      </w:r>
      <w:r>
        <w:rPr>
          <w:rFonts w:ascii="仿宋" w:hAnsi="仿宋" w:eastAsia="仿宋" w:cs="Microsoft JhengHei"/>
          <w:kern w:val="0"/>
          <w:sz w:val="24"/>
          <w:u w:val="single"/>
        </w:rPr>
        <w:t xml:space="preserve"> </w:t>
      </w:r>
      <w:r>
        <w:rPr>
          <w:rFonts w:hint="eastAsia" w:ascii="仿宋" w:hAnsi="仿宋" w:eastAsia="仿宋" w:cs="Microsoft JhengHei"/>
          <w:kern w:val="0"/>
          <w:sz w:val="24"/>
        </w:rPr>
        <w:t>人，营业收</w:t>
      </w:r>
      <w:r>
        <w:rPr>
          <w:rFonts w:ascii="仿宋" w:hAnsi="仿宋" w:eastAsia="仿宋" w:cs="Microsoft JhengHei"/>
          <w:kern w:val="0"/>
          <w:sz w:val="24"/>
        </w:rPr>
        <w:t>入为</w:t>
      </w:r>
      <w:r>
        <w:rPr>
          <w:rFonts w:ascii="仿宋" w:hAnsi="仿宋" w:eastAsia="仿宋" w:cs="Microsoft JhengHei"/>
          <w:kern w:val="0"/>
          <w:sz w:val="24"/>
          <w:u w:val="single"/>
        </w:rPr>
        <w:tab/>
      </w:r>
      <w:r>
        <w:rPr>
          <w:rFonts w:ascii="仿宋" w:hAnsi="仿宋" w:eastAsia="仿宋" w:cs="Microsoft JhengHei"/>
          <w:kern w:val="0"/>
          <w:sz w:val="24"/>
        </w:rPr>
        <w:t>万元，资产总额为</w:t>
      </w:r>
      <w:r>
        <w:rPr>
          <w:rFonts w:ascii="仿宋" w:hAnsi="仿宋" w:eastAsia="仿宋" w:cs="Microsoft JhengHei"/>
          <w:kern w:val="0"/>
          <w:sz w:val="24"/>
          <w:u w:val="single"/>
        </w:rPr>
        <w:t xml:space="preserve"> </w:t>
      </w:r>
      <w:r>
        <w:rPr>
          <w:rFonts w:ascii="仿宋" w:hAnsi="仿宋" w:eastAsia="仿宋" w:cs="Microsoft JhengHei"/>
          <w:kern w:val="0"/>
          <w:sz w:val="24"/>
          <w:u w:val="single"/>
        </w:rPr>
        <w:tab/>
      </w:r>
      <w:r>
        <w:rPr>
          <w:rFonts w:ascii="仿宋" w:hAnsi="仿宋" w:eastAsia="仿宋" w:cs="Microsoft JhengHei"/>
          <w:kern w:val="0"/>
          <w:sz w:val="24"/>
        </w:rPr>
        <w:t>万元</w:t>
      </w:r>
      <w:r>
        <w:rPr>
          <w:rFonts w:ascii="仿宋" w:hAnsi="仿宋" w:eastAsia="仿宋" w:cs="Microsoft JhengHei"/>
          <w:kern w:val="0"/>
          <w:sz w:val="24"/>
          <w:vertAlign w:val="superscript"/>
        </w:rPr>
        <w:footnoteReference w:id="0"/>
      </w:r>
      <w:r>
        <w:rPr>
          <w:rFonts w:ascii="仿宋" w:hAnsi="仿宋" w:eastAsia="仿宋" w:cs="Microsoft JhengHei"/>
          <w:kern w:val="0"/>
          <w:sz w:val="24"/>
        </w:rPr>
        <w:t>，属于</w:t>
      </w:r>
      <w:r>
        <w:rPr>
          <w:rFonts w:ascii="仿宋" w:hAnsi="仿宋" w:eastAsia="仿宋" w:cs="Microsoft JhengHei"/>
          <w:kern w:val="0"/>
          <w:sz w:val="24"/>
          <w:u w:val="single"/>
        </w:rPr>
        <w:t>（中型企业、小型企业、微型企业）</w:t>
      </w:r>
      <w:r>
        <w:rPr>
          <w:rFonts w:ascii="仿宋" w:hAnsi="仿宋" w:eastAsia="仿宋" w:cs="Microsoft JhengHei"/>
          <w:kern w:val="0"/>
          <w:sz w:val="24"/>
        </w:rPr>
        <w:t>；</w:t>
      </w:r>
    </w:p>
    <w:p>
      <w:pPr>
        <w:adjustRightInd w:val="0"/>
        <w:snapToGrid w:val="0"/>
        <w:spacing w:line="360" w:lineRule="auto"/>
        <w:ind w:firstLine="560"/>
        <w:jc w:val="left"/>
        <w:rPr>
          <w:rFonts w:ascii="仿宋" w:hAnsi="仿宋" w:eastAsia="仿宋" w:cs="Microsoft JhengHei"/>
          <w:kern w:val="0"/>
          <w:sz w:val="24"/>
        </w:rPr>
      </w:pPr>
      <w:r>
        <w:rPr>
          <w:rFonts w:ascii="仿宋" w:hAnsi="仿宋" w:eastAsia="仿宋" w:cs="Microsoft JhengHei"/>
          <w:kern w:val="0"/>
          <w:sz w:val="24"/>
        </w:rPr>
        <w:t xml:space="preserve">2. </w:t>
      </w:r>
      <w:r>
        <w:rPr>
          <w:rFonts w:ascii="仿宋" w:hAnsi="仿宋" w:eastAsia="仿宋" w:cs="Microsoft JhengHei"/>
          <w:kern w:val="0"/>
          <w:sz w:val="24"/>
          <w:u w:val="single"/>
        </w:rPr>
        <w:t xml:space="preserve">（标的名称） </w:t>
      </w:r>
      <w:r>
        <w:rPr>
          <w:rFonts w:ascii="仿宋" w:hAnsi="仿宋" w:eastAsia="仿宋" w:cs="Microsoft JhengHei"/>
          <w:kern w:val="0"/>
          <w:sz w:val="24"/>
        </w:rPr>
        <w:t>，属于</w:t>
      </w:r>
      <w:r>
        <w:rPr>
          <w:rFonts w:ascii="仿宋" w:hAnsi="仿宋" w:eastAsia="仿宋" w:cs="Microsoft JhengHei"/>
          <w:kern w:val="0"/>
          <w:sz w:val="24"/>
          <w:u w:val="single"/>
        </w:rPr>
        <w:t>（采购文件中明确的所属行业）</w:t>
      </w:r>
      <w:r>
        <w:rPr>
          <w:rFonts w:ascii="仿宋" w:hAnsi="仿宋" w:eastAsia="仿宋" w:cs="Microsoft JhengHei"/>
          <w:kern w:val="0"/>
          <w:sz w:val="24"/>
        </w:rPr>
        <w:t>行业；制造商为</w:t>
      </w:r>
      <w:r>
        <w:rPr>
          <w:rFonts w:ascii="仿宋" w:hAnsi="仿宋" w:eastAsia="仿宋" w:cs="Microsoft JhengHei"/>
          <w:kern w:val="0"/>
          <w:sz w:val="24"/>
          <w:u w:val="single"/>
        </w:rPr>
        <w:t>（企业名称）</w:t>
      </w:r>
      <w:r>
        <w:rPr>
          <w:rFonts w:ascii="仿宋" w:hAnsi="仿宋" w:eastAsia="仿宋" w:cs="Microsoft JhengHei"/>
          <w:kern w:val="0"/>
          <w:sz w:val="24"/>
        </w:rPr>
        <w:t>，从业人员</w:t>
      </w:r>
      <w:r>
        <w:rPr>
          <w:rFonts w:hint="eastAsia" w:ascii="仿宋" w:hAnsi="仿宋" w:eastAsia="仿宋" w:cs="Microsoft JhengHei"/>
          <w:kern w:val="0"/>
          <w:sz w:val="24"/>
          <w:u w:val="single"/>
        </w:rPr>
        <w:t xml:space="preserve"> </w:t>
      </w:r>
      <w:r>
        <w:rPr>
          <w:rFonts w:ascii="仿宋" w:hAnsi="仿宋" w:eastAsia="仿宋" w:cs="Microsoft JhengHei"/>
          <w:kern w:val="0"/>
          <w:sz w:val="24"/>
          <w:u w:val="single"/>
        </w:rPr>
        <w:t xml:space="preserve">  </w:t>
      </w:r>
      <w:r>
        <w:rPr>
          <w:rFonts w:ascii="仿宋" w:hAnsi="仿宋" w:eastAsia="仿宋" w:cs="Microsoft JhengHei"/>
          <w:kern w:val="0"/>
          <w:sz w:val="24"/>
        </w:rPr>
        <w:t>人，营业收入为</w:t>
      </w:r>
      <w:r>
        <w:rPr>
          <w:rFonts w:hint="eastAsia" w:ascii="仿宋" w:hAnsi="仿宋" w:eastAsia="仿宋" w:cs="Microsoft JhengHei"/>
          <w:kern w:val="0"/>
          <w:sz w:val="24"/>
          <w:u w:val="single"/>
        </w:rPr>
        <w:t xml:space="preserve"> </w:t>
      </w:r>
      <w:r>
        <w:rPr>
          <w:rFonts w:ascii="仿宋" w:hAnsi="仿宋" w:eastAsia="仿宋" w:cs="Microsoft JhengHei"/>
          <w:kern w:val="0"/>
          <w:sz w:val="24"/>
          <w:u w:val="single"/>
        </w:rPr>
        <w:t xml:space="preserve">  </w:t>
      </w:r>
      <w:r>
        <w:rPr>
          <w:rFonts w:ascii="仿宋" w:hAnsi="仿宋" w:eastAsia="仿宋" w:cs="Microsoft JhengHei"/>
          <w:kern w:val="0"/>
          <w:sz w:val="24"/>
        </w:rPr>
        <w:t>万元，资产总额为</w:t>
      </w:r>
      <w:r>
        <w:rPr>
          <w:rFonts w:ascii="仿宋" w:hAnsi="仿宋" w:eastAsia="仿宋" w:cs="Microsoft JhengHei"/>
          <w:kern w:val="0"/>
          <w:sz w:val="24"/>
          <w:u w:val="single"/>
        </w:rPr>
        <w:t xml:space="preserve"> </w:t>
      </w:r>
      <w:r>
        <w:rPr>
          <w:rFonts w:ascii="仿宋" w:hAnsi="仿宋" w:eastAsia="仿宋" w:cs="Microsoft JhengHei"/>
          <w:kern w:val="0"/>
          <w:sz w:val="24"/>
          <w:u w:val="single"/>
        </w:rPr>
        <w:tab/>
      </w:r>
      <w:r>
        <w:rPr>
          <w:rFonts w:ascii="仿宋" w:hAnsi="仿宋" w:eastAsia="仿宋" w:cs="Microsoft JhengHei"/>
          <w:kern w:val="0"/>
          <w:sz w:val="24"/>
        </w:rPr>
        <w:t>万元，属于</w:t>
      </w:r>
      <w:r>
        <w:rPr>
          <w:rFonts w:ascii="仿宋" w:hAnsi="仿宋" w:eastAsia="仿宋" w:cs="Microsoft JhengHei"/>
          <w:kern w:val="0"/>
          <w:sz w:val="24"/>
          <w:u w:val="single"/>
        </w:rPr>
        <w:t>（中型企业、小型企业、微型企业）</w:t>
      </w:r>
      <w:r>
        <w:rPr>
          <w:rFonts w:ascii="仿宋" w:hAnsi="仿宋" w:eastAsia="仿宋" w:cs="Microsoft JhengHei"/>
          <w:kern w:val="0"/>
          <w:sz w:val="24"/>
        </w:rPr>
        <w:t>；</w:t>
      </w:r>
    </w:p>
    <w:p>
      <w:pPr>
        <w:adjustRightInd w:val="0"/>
        <w:snapToGrid w:val="0"/>
        <w:spacing w:line="360" w:lineRule="auto"/>
        <w:ind w:firstLine="560"/>
        <w:jc w:val="left"/>
        <w:rPr>
          <w:rFonts w:ascii="仿宋" w:hAnsi="仿宋" w:eastAsia="仿宋" w:cs="Microsoft JhengHei"/>
          <w:kern w:val="0"/>
          <w:sz w:val="24"/>
        </w:rPr>
      </w:pPr>
      <w:r>
        <w:rPr>
          <w:rFonts w:ascii="仿宋" w:hAnsi="仿宋" w:eastAsia="仿宋" w:cs="Microsoft JhengHei"/>
          <w:kern w:val="0"/>
          <w:sz w:val="24"/>
        </w:rPr>
        <w:t xml:space="preserve">…… </w:t>
      </w:r>
    </w:p>
    <w:p>
      <w:pPr>
        <w:adjustRightInd w:val="0"/>
        <w:snapToGrid w:val="0"/>
        <w:spacing w:line="360" w:lineRule="auto"/>
        <w:ind w:firstLine="560"/>
        <w:jc w:val="left"/>
        <w:rPr>
          <w:rFonts w:ascii="仿宋" w:hAnsi="仿宋" w:eastAsia="仿宋" w:cs="Microsoft JhengHei"/>
          <w:kern w:val="0"/>
          <w:sz w:val="24"/>
        </w:rPr>
      </w:pPr>
      <w:r>
        <w:rPr>
          <w:rFonts w:ascii="仿宋" w:hAnsi="仿宋" w:eastAsia="仿宋" w:cs="Microsoft JhengHei"/>
          <w:kern w:val="0"/>
          <w:sz w:val="24"/>
        </w:rPr>
        <w:t>以上企业，不属于大企业的分支机构，不存在控股股东为大企业的情形，也不存在与大企业的负责人为同一人的情形。</w:t>
      </w:r>
    </w:p>
    <w:p>
      <w:pPr>
        <w:adjustRightInd w:val="0"/>
        <w:snapToGrid w:val="0"/>
        <w:spacing w:line="360" w:lineRule="auto"/>
        <w:ind w:firstLine="560"/>
        <w:jc w:val="left"/>
        <w:rPr>
          <w:rFonts w:ascii="仿宋" w:hAnsi="仿宋" w:eastAsia="仿宋" w:cs="Microsoft JhengHei"/>
          <w:kern w:val="0"/>
          <w:sz w:val="24"/>
        </w:rPr>
      </w:pPr>
      <w:r>
        <w:rPr>
          <w:rFonts w:ascii="仿宋" w:hAnsi="仿宋" w:eastAsia="仿宋" w:cs="Microsoft JhengHei"/>
          <w:kern w:val="0"/>
          <w:sz w:val="24"/>
        </w:rPr>
        <w:t>本企业对上述声明内容的真实性负责。如有虚假，将依法承担相应责任。</w:t>
      </w:r>
    </w:p>
    <w:p>
      <w:pPr>
        <w:adjustRightInd w:val="0"/>
        <w:snapToGrid w:val="0"/>
        <w:spacing w:line="360" w:lineRule="auto"/>
        <w:ind w:firstLine="4111"/>
        <w:jc w:val="left"/>
        <w:rPr>
          <w:rFonts w:ascii="仿宋" w:hAnsi="仿宋" w:eastAsia="仿宋" w:cs="Microsoft JhengHei"/>
          <w:kern w:val="0"/>
          <w:sz w:val="24"/>
        </w:rPr>
      </w:pPr>
      <w:r>
        <w:rPr>
          <w:rFonts w:ascii="仿宋" w:hAnsi="仿宋" w:eastAsia="仿宋" w:cs="Microsoft JhengHei"/>
          <w:kern w:val="0"/>
          <w:sz w:val="24"/>
        </w:rPr>
        <w:t>企业名称（盖章）：</w:t>
      </w:r>
    </w:p>
    <w:p>
      <w:pPr>
        <w:adjustRightInd w:val="0"/>
        <w:snapToGrid w:val="0"/>
        <w:spacing w:line="360" w:lineRule="auto"/>
        <w:ind w:firstLine="4111"/>
        <w:jc w:val="left"/>
        <w:rPr>
          <w:rFonts w:ascii="仿宋" w:hAnsi="仿宋" w:eastAsia="仿宋" w:cs="Microsoft JhengHei"/>
          <w:kern w:val="0"/>
          <w:sz w:val="24"/>
        </w:rPr>
      </w:pPr>
      <w:r>
        <w:rPr>
          <w:rFonts w:ascii="仿宋" w:hAnsi="仿宋" w:eastAsia="仿宋" w:cs="Microsoft JhengHei"/>
          <w:kern w:val="0"/>
          <w:sz w:val="24"/>
        </w:rPr>
        <w:t>日 期：</w:t>
      </w:r>
    </w:p>
    <w:p>
      <w:pPr>
        <w:widowControl/>
        <w:jc w:val="left"/>
        <w:rPr>
          <w:rFonts w:ascii="仿宋" w:hAnsi="仿宋" w:eastAsia="仿宋" w:cs="宋体"/>
          <w:b/>
          <w:bCs/>
          <w:color w:val="000000"/>
          <w:sz w:val="24"/>
        </w:rPr>
      </w:pPr>
      <w:r>
        <w:rPr>
          <w:rFonts w:ascii="仿宋" w:hAnsi="仿宋" w:eastAsia="仿宋" w:cs="宋体"/>
          <w:b/>
          <w:bCs/>
          <w:color w:val="000000"/>
          <w:sz w:val="24"/>
        </w:rPr>
        <w:br w:type="page"/>
      </w:r>
    </w:p>
    <w:p>
      <w:pPr>
        <w:pStyle w:val="4"/>
      </w:pPr>
      <w:r>
        <w:rPr>
          <w:rFonts w:hint="eastAsia"/>
        </w:rPr>
        <w:t>附件二：</w:t>
      </w:r>
      <w:bookmarkStart w:id="82" w:name="OLE_LINK13"/>
      <w:bookmarkStart w:id="83" w:name="OLE_LINK14"/>
      <w:r>
        <w:rPr>
          <w:rFonts w:hint="eastAsia"/>
        </w:rPr>
        <w:t>残疾人福利性单位声明函</w:t>
      </w:r>
    </w:p>
    <w:bookmarkEnd w:id="82"/>
    <w:bookmarkEnd w:id="83"/>
    <w:p>
      <w:pPr>
        <w:spacing w:line="360" w:lineRule="auto"/>
        <w:ind w:firstLine="504" w:firstLineChars="200"/>
        <w:rPr>
          <w:rFonts w:ascii="仿宋" w:hAnsi="仿宋" w:eastAsia="仿宋"/>
          <w:spacing w:val="6"/>
          <w:sz w:val="24"/>
        </w:rPr>
      </w:pPr>
      <w:r>
        <w:rPr>
          <w:rFonts w:hint="eastAsia" w:ascii="仿宋" w:hAnsi="仿宋" w:eastAsia="仿宋"/>
          <w:spacing w:val="6"/>
          <w:sz w:val="24"/>
        </w:rPr>
        <w:t>本单位郑重声明，根据《财政部民政部中国残疾人联合会关于促进残疾人就业政府采购政策的通知》（财库</w:t>
      </w:r>
      <w:r>
        <w:rPr>
          <w:rFonts w:hint="eastAsia" w:ascii="仿宋" w:hAnsi="仿宋" w:eastAsia="仿宋"/>
          <w:sz w:val="24"/>
        </w:rPr>
        <w:t>〔2017〕141</w:t>
      </w:r>
      <w:r>
        <w:rPr>
          <w:rFonts w:hint="eastAsia" w:ascii="仿宋" w:hAnsi="仿宋" w:eastAsia="仿宋"/>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360" w:lineRule="auto"/>
        <w:ind w:firstLine="504" w:firstLineChars="200"/>
        <w:rPr>
          <w:rFonts w:ascii="仿宋" w:hAnsi="仿宋" w:eastAsia="仿宋"/>
          <w:spacing w:val="6"/>
          <w:sz w:val="24"/>
        </w:rPr>
      </w:pPr>
    </w:p>
    <w:p>
      <w:pPr>
        <w:spacing w:line="360" w:lineRule="auto"/>
        <w:ind w:firstLine="504" w:firstLineChars="200"/>
        <w:rPr>
          <w:rFonts w:ascii="仿宋" w:hAnsi="仿宋" w:eastAsia="仿宋"/>
          <w:spacing w:val="6"/>
          <w:sz w:val="24"/>
        </w:rPr>
      </w:pPr>
    </w:p>
    <w:p>
      <w:pPr>
        <w:tabs>
          <w:tab w:val="left" w:pos="4860"/>
        </w:tabs>
        <w:spacing w:line="360" w:lineRule="auto"/>
        <w:ind w:firstLine="504" w:firstLineChars="200"/>
        <w:jc w:val="center"/>
        <w:rPr>
          <w:rFonts w:ascii="仿宋" w:hAnsi="仿宋" w:eastAsia="仿宋"/>
          <w:spacing w:val="6"/>
          <w:sz w:val="24"/>
        </w:rPr>
      </w:pPr>
      <w:r>
        <w:rPr>
          <w:rFonts w:hint="eastAsia" w:ascii="仿宋" w:hAnsi="仿宋" w:eastAsia="仿宋"/>
          <w:spacing w:val="6"/>
          <w:sz w:val="24"/>
        </w:rPr>
        <w:t>单位名称（盖章）：</w:t>
      </w:r>
    </w:p>
    <w:p>
      <w:pPr>
        <w:tabs>
          <w:tab w:val="left" w:pos="4860"/>
        </w:tabs>
        <w:spacing w:line="360" w:lineRule="auto"/>
        <w:ind w:firstLine="504" w:firstLineChars="200"/>
        <w:jc w:val="center"/>
        <w:rPr>
          <w:rFonts w:ascii="仿宋" w:hAnsi="仿宋" w:eastAsia="仿宋"/>
          <w:spacing w:val="6"/>
          <w:sz w:val="24"/>
        </w:rPr>
      </w:pPr>
      <w:r>
        <w:rPr>
          <w:rFonts w:hint="eastAsia" w:ascii="仿宋" w:hAnsi="仿宋" w:eastAsia="仿宋"/>
          <w:spacing w:val="6"/>
          <w:sz w:val="24"/>
        </w:rPr>
        <w:t>日期：</w:t>
      </w:r>
    </w:p>
    <w:p>
      <w:pPr>
        <w:spacing w:line="360" w:lineRule="auto"/>
        <w:rPr>
          <w:rFonts w:ascii="仿宋" w:hAnsi="仿宋" w:eastAsia="仿宋" w:cs="仿宋"/>
          <w:sz w:val="24"/>
        </w:rPr>
      </w:pPr>
      <w:r>
        <w:rPr>
          <w:rFonts w:hint="eastAsia" w:ascii="仿宋" w:hAnsi="仿宋" w:eastAsia="仿宋" w:cs="仿宋"/>
          <w:sz w:val="24"/>
        </w:rPr>
        <w:t>注：</w:t>
      </w:r>
    </w:p>
    <w:p>
      <w:pPr>
        <w:numPr>
          <w:ilvl w:val="0"/>
          <w:numId w:val="7"/>
        </w:numPr>
        <w:spacing w:line="360" w:lineRule="auto"/>
        <w:rPr>
          <w:rFonts w:ascii="仿宋" w:hAnsi="仿宋" w:eastAsia="仿宋" w:cs="仿宋"/>
          <w:sz w:val="24"/>
        </w:rPr>
      </w:pPr>
      <w:r>
        <w:rPr>
          <w:rFonts w:hint="eastAsia" w:ascii="仿宋" w:hAnsi="仿宋" w:eastAsia="仿宋" w:cs="仿宋"/>
          <w:sz w:val="24"/>
        </w:rPr>
        <w:t>残疾人福利性单位视同小型、微型企业，享受预留份额、评审中价格扣除等促进中小企业发展的政府采购政策。残疾人福利性单位属于小型、微型企业的，不重复享受政策。</w:t>
      </w:r>
    </w:p>
    <w:p>
      <w:pPr>
        <w:numPr>
          <w:ilvl w:val="0"/>
          <w:numId w:val="7"/>
        </w:numPr>
        <w:spacing w:line="360" w:lineRule="auto"/>
        <w:rPr>
          <w:rFonts w:ascii="仿宋" w:hAnsi="仿宋" w:eastAsia="仿宋"/>
          <w:sz w:val="24"/>
        </w:rPr>
      </w:pPr>
      <w:r>
        <w:rPr>
          <w:rFonts w:hint="eastAsia" w:ascii="仿宋" w:hAnsi="仿宋" w:eastAsia="仿宋" w:cs="仿宋"/>
          <w:sz w:val="24"/>
        </w:rPr>
        <w:t>投标人为非残疾人福利性单位的，可不提供此声明。</w:t>
      </w:r>
    </w:p>
    <w:p>
      <w:pPr>
        <w:pStyle w:val="2"/>
      </w:pPr>
    </w:p>
    <w:sectPr>
      <w:pgSz w:w="11906" w:h="16838"/>
      <w:pgMar w:top="1418" w:right="1700" w:bottom="1418" w:left="1560" w:header="851" w:footer="992" w:gutter="0"/>
      <w:cols w:space="720" w:num="1"/>
      <w:docGrid w:linePitch="579"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2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Arial Rounded MT Bold">
    <w:panose1 w:val="020F07040305040302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36"/>
        <w:rFonts w:hint="eastAsia" w:eastAsia="宋体"/>
        <w:lang w:eastAsia="zh-C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824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3u45fSAAAABQEAAA8AAAAAAAAAAQAgAAAAIgAAAGRycy9kb3ducmV2LnhtbFBLAQIUABQA&#10;AAAIAIdO4kBXzTMdvQEAAH0DAAAOAAAAAAAAAAEAIAAAACEBAABkcnMvZTJvRG9jLnhtbFBLBQYA&#10;AAAABgAGAFkBAABQBQAAAAA=&#10;">
              <v:fill on="f" focussize="0,0"/>
              <v:stroke on="f" weight="1.25pt"/>
              <v:imagedata o:title=""/>
              <o:lock v:ext="edit" aspectratio="f"/>
              <v:textbox inset="0mm,0mm,0mm,0mm">
                <w:txbxContent>
                  <w:p>
                    <w:pPr>
                      <w:snapToGrid w:val="0"/>
                      <w:rPr>
                        <w:rFonts w:hint="eastAsia"/>
                        <w:sz w:val="18"/>
                      </w:rPr>
                    </w:pPr>
                  </w:p>
                </w:txbxContent>
              </v:textbox>
            </v:shape>
          </w:pict>
        </mc:Fallback>
      </mc:AlternateContent>
    </w:r>
  </w:p>
  <w:p>
    <w:pPr>
      <w:pStyle w:val="20"/>
      <w:framePr w:wrap="around" w:vAnchor="text" w:hAnchor="margin" w:xAlign="center" w:y="1"/>
      <w:rPr>
        <w:rStyle w:val="36"/>
        <w:rFonts w:hint="eastAsia" w:eastAsia="宋体"/>
      </w:rPr>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Fonts w:eastAsia="宋体"/>
      </w:rPr>
    </w:pPr>
    <w:r>
      <w:fldChar w:fldCharType="begin"/>
    </w:r>
    <w:r>
      <w:rPr>
        <w:rStyle w:val="36"/>
        <w:rFonts w:eastAsia="宋体"/>
      </w:rPr>
      <w:instrText xml:space="preserve">PAGE  </w:instrText>
    </w:r>
    <w:r>
      <w:fldChar w:fldCharType="separate"/>
    </w:r>
    <w:r>
      <w:t xml:space="preserve">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3u45fSAAAABQEAAA8AAAAAAAAAAQAgAAAAIgAAAGRycy9kb3ducmV2LnhtbFBLAQIUABQA&#10;AAAIAIdO4kC7E0XIvQEAAH0DAAAOAAAAAAAAAAEAIAAAACEBAABkcnMvZTJvRG9jLnhtbFBLBQYA&#10;AAAABgAGAFkBAABQBQAAAAA=&#10;">
              <v:fill on="f" focussize="0,0"/>
              <v:stroke on="f" weight="1.25pt"/>
              <v:imagedata o:title=""/>
              <o:lock v:ext="edit" aspectratio="f"/>
              <v:textbox inset="0mm,0mm,0mm,0mm">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7" name="文本框 10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0"/>
                          </w:pPr>
                        </w:p>
                      </w:txbxContent>
                    </wps:txbx>
                    <wps:bodyPr vert="horz" wrap="none" lIns="0" tIns="0" rIns="0" bIns="0" anchor="t">
                      <a:spAutoFit/>
                    </wps:bodyPr>
                  </wps:wsp>
                </a:graphicData>
              </a:graphic>
            </wp:anchor>
          </w:drawing>
        </mc:Choice>
        <mc:Fallback>
          <w:pict>
            <v:shape id="文本框 1035"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lfknQAAAAAwEAAA8AAAAAAAAAAQAgAAAAIgAA&#10;AGRycy9kb3ducmV2LnhtbFBLAQIUABQAAAAIAIdO4kD7JPCR1wEAAKUDAAAOAAAAAAAAAAEAIAAA&#10;AB8BAABkcnMvZTJvRG9jLnhtbFBLBQYAAAAABgAGAFkBAABoBQAAAAA=&#10;">
              <v:fill on="f" focussize="0,0"/>
              <v:stroke on="f"/>
              <v:imagedata o:title=""/>
              <o:lock v:ext="edit" aspectratio="f"/>
              <v:textbox inset="0mm,0mm,0mm,0mm" style="mso-fit-shape-to-text:t;">
                <w:txbxContent>
                  <w:p>
                    <w:pPr>
                      <w:pStyle w:val="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966310"/>
    </w:sdtPr>
    <w:sdtContent>
      <w:p>
        <w:pPr>
          <w:pStyle w:val="20"/>
          <w:jc w:val="center"/>
        </w:pPr>
        <w:r>
          <w:fldChar w:fldCharType="begin"/>
        </w:r>
        <w:r>
          <w:instrText xml:space="preserve">PAGE   \* MERGEFORMAT</w:instrText>
        </w:r>
        <w:r>
          <w:fldChar w:fldCharType="separate"/>
        </w:r>
        <w:r>
          <w:rPr>
            <w:lang w:val="zh-CN"/>
          </w:rPr>
          <w:t>29</w:t>
        </w:r>
        <w:r>
          <w:fldChar w:fldCharType="end"/>
        </w:r>
      </w:p>
    </w:sdtContent>
  </w:sdt>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8"/>
      </w:pPr>
      <w:r>
        <w:rPr>
          <w:rStyle w:val="46"/>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default" w:eastAsia="宋体"/>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8BC9B"/>
    <w:multiLevelType w:val="singleLevel"/>
    <w:tmpl w:val="9DB8BC9B"/>
    <w:lvl w:ilvl="0" w:tentative="0">
      <w:start w:val="1"/>
      <w:numFmt w:val="chineseCounting"/>
      <w:suff w:val="nothing"/>
      <w:lvlText w:val="（%1）"/>
      <w:lvlJc w:val="left"/>
      <w:rPr>
        <w:rFonts w:hint="eastAsia"/>
      </w:rPr>
    </w:lvl>
  </w:abstractNum>
  <w:abstractNum w:abstractNumId="1">
    <w:nsid w:val="DFB245A8"/>
    <w:multiLevelType w:val="singleLevel"/>
    <w:tmpl w:val="DFB245A8"/>
    <w:lvl w:ilvl="0" w:tentative="0">
      <w:start w:val="2"/>
      <w:numFmt w:val="decimal"/>
      <w:lvlText w:val="%1."/>
      <w:lvlJc w:val="left"/>
      <w:pPr>
        <w:tabs>
          <w:tab w:val="left" w:pos="312"/>
        </w:tabs>
      </w:pPr>
    </w:lvl>
  </w:abstractNum>
  <w:abstractNum w:abstractNumId="2">
    <w:nsid w:val="0000001A"/>
    <w:multiLevelType w:val="multilevel"/>
    <w:tmpl w:val="0000001A"/>
    <w:lvl w:ilvl="0" w:tentative="0">
      <w:start w:val="1"/>
      <w:numFmt w:val="decimal"/>
      <w:pStyle w:val="10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F776188"/>
    <w:multiLevelType w:val="singleLevel"/>
    <w:tmpl w:val="1F776188"/>
    <w:lvl w:ilvl="0" w:tentative="0">
      <w:start w:val="1"/>
      <w:numFmt w:val="decimal"/>
      <w:suff w:val="nothing"/>
      <w:lvlText w:val="%1、"/>
      <w:lvlJc w:val="left"/>
    </w:lvl>
  </w:abstractNum>
  <w:abstractNum w:abstractNumId="4">
    <w:nsid w:val="23D72DC2"/>
    <w:multiLevelType w:val="singleLevel"/>
    <w:tmpl w:val="23D72DC2"/>
    <w:lvl w:ilvl="0" w:tentative="0">
      <w:start w:val="2"/>
      <w:numFmt w:val="chineseCounting"/>
      <w:suff w:val="nothing"/>
      <w:lvlText w:val="%1、"/>
      <w:lvlJc w:val="left"/>
      <w:rPr>
        <w:rFonts w:hint="eastAsia"/>
      </w:rPr>
    </w:lvl>
  </w:abstractNum>
  <w:abstractNum w:abstractNumId="5">
    <w:nsid w:val="59C338A6"/>
    <w:multiLevelType w:val="singleLevel"/>
    <w:tmpl w:val="59C338A6"/>
    <w:lvl w:ilvl="0" w:tentative="0">
      <w:start w:val="4"/>
      <w:numFmt w:val="chineseCounting"/>
      <w:suff w:val="nothing"/>
      <w:lvlText w:val="%1、"/>
      <w:lvlJc w:val="left"/>
    </w:lvl>
  </w:abstractNum>
  <w:abstractNum w:abstractNumId="6">
    <w:nsid w:val="68A19156"/>
    <w:multiLevelType w:val="singleLevel"/>
    <w:tmpl w:val="68A19156"/>
    <w:lvl w:ilvl="0" w:tentative="0">
      <w:start w:val="3"/>
      <w:numFmt w:val="chineseCounting"/>
      <w:suff w:val="nothing"/>
      <w:lvlText w:val="%1、"/>
      <w:lvlJc w:val="left"/>
      <w:rPr>
        <w:rFonts w:hint="eastAsia"/>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formatting="1"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20"/>
    <w:rsid w:val="0000122B"/>
    <w:rsid w:val="00001855"/>
    <w:rsid w:val="00003BB7"/>
    <w:rsid w:val="00010B02"/>
    <w:rsid w:val="00014CD8"/>
    <w:rsid w:val="00024241"/>
    <w:rsid w:val="00025C94"/>
    <w:rsid w:val="00037FF8"/>
    <w:rsid w:val="00044769"/>
    <w:rsid w:val="00045C85"/>
    <w:rsid w:val="00056741"/>
    <w:rsid w:val="00057231"/>
    <w:rsid w:val="000577DC"/>
    <w:rsid w:val="00067DC2"/>
    <w:rsid w:val="00070A8F"/>
    <w:rsid w:val="00076650"/>
    <w:rsid w:val="00081588"/>
    <w:rsid w:val="00083B22"/>
    <w:rsid w:val="00085328"/>
    <w:rsid w:val="000874E7"/>
    <w:rsid w:val="00090345"/>
    <w:rsid w:val="00090404"/>
    <w:rsid w:val="000928C7"/>
    <w:rsid w:val="000964FA"/>
    <w:rsid w:val="000A00D7"/>
    <w:rsid w:val="000A239E"/>
    <w:rsid w:val="000A30BB"/>
    <w:rsid w:val="000A42B3"/>
    <w:rsid w:val="000A58AC"/>
    <w:rsid w:val="000A5A02"/>
    <w:rsid w:val="000A6435"/>
    <w:rsid w:val="000B1E36"/>
    <w:rsid w:val="000B4B37"/>
    <w:rsid w:val="000B695E"/>
    <w:rsid w:val="000C4F9D"/>
    <w:rsid w:val="000C5A90"/>
    <w:rsid w:val="000D26D1"/>
    <w:rsid w:val="000D2CAB"/>
    <w:rsid w:val="000D5C6E"/>
    <w:rsid w:val="000D6DC1"/>
    <w:rsid w:val="000E04ED"/>
    <w:rsid w:val="000E27EC"/>
    <w:rsid w:val="000E74B0"/>
    <w:rsid w:val="000F1B47"/>
    <w:rsid w:val="000F303C"/>
    <w:rsid w:val="000F3374"/>
    <w:rsid w:val="000F6426"/>
    <w:rsid w:val="000F6755"/>
    <w:rsid w:val="00102B15"/>
    <w:rsid w:val="00110485"/>
    <w:rsid w:val="00115628"/>
    <w:rsid w:val="00116B39"/>
    <w:rsid w:val="0011791B"/>
    <w:rsid w:val="0012136E"/>
    <w:rsid w:val="00127BC4"/>
    <w:rsid w:val="00127F04"/>
    <w:rsid w:val="00134301"/>
    <w:rsid w:val="00134672"/>
    <w:rsid w:val="00140667"/>
    <w:rsid w:val="00140F4C"/>
    <w:rsid w:val="001457DD"/>
    <w:rsid w:val="0014611B"/>
    <w:rsid w:val="00153FB9"/>
    <w:rsid w:val="00165937"/>
    <w:rsid w:val="00170A1F"/>
    <w:rsid w:val="00173455"/>
    <w:rsid w:val="00173459"/>
    <w:rsid w:val="001740BE"/>
    <w:rsid w:val="00176BD8"/>
    <w:rsid w:val="0018464B"/>
    <w:rsid w:val="00186B9C"/>
    <w:rsid w:val="0019273A"/>
    <w:rsid w:val="00196270"/>
    <w:rsid w:val="001962E5"/>
    <w:rsid w:val="001A1673"/>
    <w:rsid w:val="001A387F"/>
    <w:rsid w:val="001A46D3"/>
    <w:rsid w:val="001A4B9C"/>
    <w:rsid w:val="001B0B9C"/>
    <w:rsid w:val="001B0FD0"/>
    <w:rsid w:val="001B7113"/>
    <w:rsid w:val="001B7F67"/>
    <w:rsid w:val="001C0D2F"/>
    <w:rsid w:val="001C32CF"/>
    <w:rsid w:val="001C7BD4"/>
    <w:rsid w:val="001E0BCA"/>
    <w:rsid w:val="001E59EE"/>
    <w:rsid w:val="001E5C6C"/>
    <w:rsid w:val="001F5415"/>
    <w:rsid w:val="001F6A60"/>
    <w:rsid w:val="00202EFF"/>
    <w:rsid w:val="002031B9"/>
    <w:rsid w:val="00203622"/>
    <w:rsid w:val="00205841"/>
    <w:rsid w:val="00231CF9"/>
    <w:rsid w:val="00240AB7"/>
    <w:rsid w:val="0024118C"/>
    <w:rsid w:val="00246331"/>
    <w:rsid w:val="00247AC7"/>
    <w:rsid w:val="00252570"/>
    <w:rsid w:val="002532C5"/>
    <w:rsid w:val="002621B4"/>
    <w:rsid w:val="002643A0"/>
    <w:rsid w:val="00276CBE"/>
    <w:rsid w:val="0027700A"/>
    <w:rsid w:val="002777DB"/>
    <w:rsid w:val="00280871"/>
    <w:rsid w:val="0028503B"/>
    <w:rsid w:val="0029022F"/>
    <w:rsid w:val="00291ED6"/>
    <w:rsid w:val="00293270"/>
    <w:rsid w:val="0029464C"/>
    <w:rsid w:val="00294ED6"/>
    <w:rsid w:val="00295849"/>
    <w:rsid w:val="002A17EC"/>
    <w:rsid w:val="002A3C76"/>
    <w:rsid w:val="002A67B4"/>
    <w:rsid w:val="002C52F2"/>
    <w:rsid w:val="002C6235"/>
    <w:rsid w:val="002C6D3A"/>
    <w:rsid w:val="002D1220"/>
    <w:rsid w:val="002D26DD"/>
    <w:rsid w:val="002D3261"/>
    <w:rsid w:val="002D459E"/>
    <w:rsid w:val="002D46AA"/>
    <w:rsid w:val="002D67DD"/>
    <w:rsid w:val="002E7D29"/>
    <w:rsid w:val="002F0F6F"/>
    <w:rsid w:val="002F4E9A"/>
    <w:rsid w:val="00301F10"/>
    <w:rsid w:val="00302C9D"/>
    <w:rsid w:val="00306AF2"/>
    <w:rsid w:val="003276AF"/>
    <w:rsid w:val="00330A2A"/>
    <w:rsid w:val="00341C33"/>
    <w:rsid w:val="00341F83"/>
    <w:rsid w:val="00346F1D"/>
    <w:rsid w:val="0035247C"/>
    <w:rsid w:val="00354B97"/>
    <w:rsid w:val="003551A1"/>
    <w:rsid w:val="00365387"/>
    <w:rsid w:val="003658BA"/>
    <w:rsid w:val="00367361"/>
    <w:rsid w:val="00367E5E"/>
    <w:rsid w:val="00373C61"/>
    <w:rsid w:val="003770EA"/>
    <w:rsid w:val="00377207"/>
    <w:rsid w:val="00385500"/>
    <w:rsid w:val="003866E6"/>
    <w:rsid w:val="00386780"/>
    <w:rsid w:val="003873DD"/>
    <w:rsid w:val="00392F27"/>
    <w:rsid w:val="003A3A03"/>
    <w:rsid w:val="003A5E48"/>
    <w:rsid w:val="003A74A6"/>
    <w:rsid w:val="003B074B"/>
    <w:rsid w:val="003B07AD"/>
    <w:rsid w:val="003B1427"/>
    <w:rsid w:val="003B5C75"/>
    <w:rsid w:val="003B68A4"/>
    <w:rsid w:val="003B6E0A"/>
    <w:rsid w:val="003D05A9"/>
    <w:rsid w:val="003D484F"/>
    <w:rsid w:val="003D4B1D"/>
    <w:rsid w:val="003E0C84"/>
    <w:rsid w:val="003E5112"/>
    <w:rsid w:val="003F1DE5"/>
    <w:rsid w:val="003F22B9"/>
    <w:rsid w:val="003F4335"/>
    <w:rsid w:val="003F4544"/>
    <w:rsid w:val="003F60B0"/>
    <w:rsid w:val="00404B66"/>
    <w:rsid w:val="00417A5D"/>
    <w:rsid w:val="00421697"/>
    <w:rsid w:val="00423AFC"/>
    <w:rsid w:val="00424E54"/>
    <w:rsid w:val="0043112C"/>
    <w:rsid w:val="0043299A"/>
    <w:rsid w:val="00432F45"/>
    <w:rsid w:val="0044128C"/>
    <w:rsid w:val="00441DA4"/>
    <w:rsid w:val="0044359B"/>
    <w:rsid w:val="00455A38"/>
    <w:rsid w:val="00456EBB"/>
    <w:rsid w:val="00463DAD"/>
    <w:rsid w:val="00464FF0"/>
    <w:rsid w:val="004651BE"/>
    <w:rsid w:val="004679D9"/>
    <w:rsid w:val="00473C4D"/>
    <w:rsid w:val="004803D7"/>
    <w:rsid w:val="00491DDA"/>
    <w:rsid w:val="0049285D"/>
    <w:rsid w:val="00494123"/>
    <w:rsid w:val="004A1C15"/>
    <w:rsid w:val="004A65B3"/>
    <w:rsid w:val="004B05CE"/>
    <w:rsid w:val="004B5A10"/>
    <w:rsid w:val="004D406B"/>
    <w:rsid w:val="004D5900"/>
    <w:rsid w:val="004F3EE9"/>
    <w:rsid w:val="004F46F7"/>
    <w:rsid w:val="005038F7"/>
    <w:rsid w:val="00504C29"/>
    <w:rsid w:val="00505FA8"/>
    <w:rsid w:val="00507965"/>
    <w:rsid w:val="00513925"/>
    <w:rsid w:val="00520AF7"/>
    <w:rsid w:val="00522459"/>
    <w:rsid w:val="00523BC5"/>
    <w:rsid w:val="00541F11"/>
    <w:rsid w:val="00546E0C"/>
    <w:rsid w:val="00551077"/>
    <w:rsid w:val="005527D9"/>
    <w:rsid w:val="00557FA1"/>
    <w:rsid w:val="00560827"/>
    <w:rsid w:val="005646BC"/>
    <w:rsid w:val="00570965"/>
    <w:rsid w:val="005767E2"/>
    <w:rsid w:val="00576F93"/>
    <w:rsid w:val="00580121"/>
    <w:rsid w:val="00581DB0"/>
    <w:rsid w:val="00590458"/>
    <w:rsid w:val="00592DC7"/>
    <w:rsid w:val="005A1133"/>
    <w:rsid w:val="005A2810"/>
    <w:rsid w:val="005A31A8"/>
    <w:rsid w:val="005A3A00"/>
    <w:rsid w:val="005B1479"/>
    <w:rsid w:val="005B24AD"/>
    <w:rsid w:val="005B368A"/>
    <w:rsid w:val="005C2039"/>
    <w:rsid w:val="005C2891"/>
    <w:rsid w:val="005C3427"/>
    <w:rsid w:val="005C67E8"/>
    <w:rsid w:val="005D2A8F"/>
    <w:rsid w:val="005D2EE8"/>
    <w:rsid w:val="005D5C0F"/>
    <w:rsid w:val="005E1B0C"/>
    <w:rsid w:val="005E4ED2"/>
    <w:rsid w:val="005E5CC4"/>
    <w:rsid w:val="005F0D5E"/>
    <w:rsid w:val="005F3C23"/>
    <w:rsid w:val="00606066"/>
    <w:rsid w:val="006069C3"/>
    <w:rsid w:val="00627063"/>
    <w:rsid w:val="00630A7E"/>
    <w:rsid w:val="00634983"/>
    <w:rsid w:val="00634D9D"/>
    <w:rsid w:val="0064157E"/>
    <w:rsid w:val="00652A4D"/>
    <w:rsid w:val="00655E27"/>
    <w:rsid w:val="006611EC"/>
    <w:rsid w:val="0066602F"/>
    <w:rsid w:val="006675E7"/>
    <w:rsid w:val="00680488"/>
    <w:rsid w:val="00680FDC"/>
    <w:rsid w:val="006951B7"/>
    <w:rsid w:val="00697330"/>
    <w:rsid w:val="00697BDC"/>
    <w:rsid w:val="006A30FA"/>
    <w:rsid w:val="006A45CF"/>
    <w:rsid w:val="006A7A18"/>
    <w:rsid w:val="006B25F3"/>
    <w:rsid w:val="006B378E"/>
    <w:rsid w:val="006B5E12"/>
    <w:rsid w:val="006B6F1C"/>
    <w:rsid w:val="006C03D1"/>
    <w:rsid w:val="006C3D8F"/>
    <w:rsid w:val="006C78D0"/>
    <w:rsid w:val="006C7C19"/>
    <w:rsid w:val="006D200E"/>
    <w:rsid w:val="006D21FD"/>
    <w:rsid w:val="006D572C"/>
    <w:rsid w:val="006E1FFA"/>
    <w:rsid w:val="006E2ED5"/>
    <w:rsid w:val="006E782A"/>
    <w:rsid w:val="006F7062"/>
    <w:rsid w:val="00704E44"/>
    <w:rsid w:val="007068AA"/>
    <w:rsid w:val="00715769"/>
    <w:rsid w:val="0071580B"/>
    <w:rsid w:val="00716F3D"/>
    <w:rsid w:val="0072534E"/>
    <w:rsid w:val="00730FBF"/>
    <w:rsid w:val="00734366"/>
    <w:rsid w:val="00736D79"/>
    <w:rsid w:val="0073728C"/>
    <w:rsid w:val="00740081"/>
    <w:rsid w:val="007404D7"/>
    <w:rsid w:val="00741037"/>
    <w:rsid w:val="007451A7"/>
    <w:rsid w:val="007452BD"/>
    <w:rsid w:val="007572DE"/>
    <w:rsid w:val="007614DF"/>
    <w:rsid w:val="00762F7A"/>
    <w:rsid w:val="00774A6D"/>
    <w:rsid w:val="0077661A"/>
    <w:rsid w:val="007837B1"/>
    <w:rsid w:val="00785841"/>
    <w:rsid w:val="0079110D"/>
    <w:rsid w:val="00792FBB"/>
    <w:rsid w:val="007960E3"/>
    <w:rsid w:val="007969CA"/>
    <w:rsid w:val="007A5450"/>
    <w:rsid w:val="007A7AE6"/>
    <w:rsid w:val="007B0367"/>
    <w:rsid w:val="007B3484"/>
    <w:rsid w:val="007B5287"/>
    <w:rsid w:val="007B5C42"/>
    <w:rsid w:val="007C0285"/>
    <w:rsid w:val="007C13ED"/>
    <w:rsid w:val="007C15D3"/>
    <w:rsid w:val="007C6AC2"/>
    <w:rsid w:val="007D21AD"/>
    <w:rsid w:val="007D4B3C"/>
    <w:rsid w:val="007D553D"/>
    <w:rsid w:val="007E0DE8"/>
    <w:rsid w:val="007E10D7"/>
    <w:rsid w:val="007E3E5B"/>
    <w:rsid w:val="007E7CA6"/>
    <w:rsid w:val="007F34A0"/>
    <w:rsid w:val="007F7C28"/>
    <w:rsid w:val="007F7D48"/>
    <w:rsid w:val="00802081"/>
    <w:rsid w:val="0080421C"/>
    <w:rsid w:val="00806360"/>
    <w:rsid w:val="0082135C"/>
    <w:rsid w:val="00823117"/>
    <w:rsid w:val="00825832"/>
    <w:rsid w:val="00847BB0"/>
    <w:rsid w:val="00851F9D"/>
    <w:rsid w:val="008564C2"/>
    <w:rsid w:val="008734F4"/>
    <w:rsid w:val="00880220"/>
    <w:rsid w:val="0088271C"/>
    <w:rsid w:val="008933C9"/>
    <w:rsid w:val="0089701F"/>
    <w:rsid w:val="008A11B6"/>
    <w:rsid w:val="008A4FCB"/>
    <w:rsid w:val="008A697D"/>
    <w:rsid w:val="008B52C6"/>
    <w:rsid w:val="008C1631"/>
    <w:rsid w:val="008C18E1"/>
    <w:rsid w:val="008D2336"/>
    <w:rsid w:val="008E13D4"/>
    <w:rsid w:val="008E39DA"/>
    <w:rsid w:val="008E7DDF"/>
    <w:rsid w:val="008F158D"/>
    <w:rsid w:val="008F2F97"/>
    <w:rsid w:val="008F6207"/>
    <w:rsid w:val="00903D7B"/>
    <w:rsid w:val="00905A84"/>
    <w:rsid w:val="0091199E"/>
    <w:rsid w:val="00916560"/>
    <w:rsid w:val="00924EFA"/>
    <w:rsid w:val="00925795"/>
    <w:rsid w:val="00930DC7"/>
    <w:rsid w:val="00934D2C"/>
    <w:rsid w:val="00935236"/>
    <w:rsid w:val="00944FDB"/>
    <w:rsid w:val="0095421D"/>
    <w:rsid w:val="00960D57"/>
    <w:rsid w:val="00964668"/>
    <w:rsid w:val="00970F81"/>
    <w:rsid w:val="00984035"/>
    <w:rsid w:val="00984662"/>
    <w:rsid w:val="00991DD5"/>
    <w:rsid w:val="00991E70"/>
    <w:rsid w:val="00993711"/>
    <w:rsid w:val="00995755"/>
    <w:rsid w:val="009B212D"/>
    <w:rsid w:val="009B21FC"/>
    <w:rsid w:val="009B339A"/>
    <w:rsid w:val="009B4BDA"/>
    <w:rsid w:val="009B5E23"/>
    <w:rsid w:val="009B7365"/>
    <w:rsid w:val="009C1198"/>
    <w:rsid w:val="009C2229"/>
    <w:rsid w:val="009D00BB"/>
    <w:rsid w:val="009D313A"/>
    <w:rsid w:val="009D44FD"/>
    <w:rsid w:val="009D482D"/>
    <w:rsid w:val="009E745C"/>
    <w:rsid w:val="009F2D1E"/>
    <w:rsid w:val="00A0792D"/>
    <w:rsid w:val="00A1781B"/>
    <w:rsid w:val="00A25B4D"/>
    <w:rsid w:val="00A2626D"/>
    <w:rsid w:val="00A30D9C"/>
    <w:rsid w:val="00A326AB"/>
    <w:rsid w:val="00A328D1"/>
    <w:rsid w:val="00A34F8B"/>
    <w:rsid w:val="00A37E07"/>
    <w:rsid w:val="00A46E4A"/>
    <w:rsid w:val="00A52806"/>
    <w:rsid w:val="00A52EAE"/>
    <w:rsid w:val="00A6038F"/>
    <w:rsid w:val="00A6085D"/>
    <w:rsid w:val="00A64D87"/>
    <w:rsid w:val="00A74646"/>
    <w:rsid w:val="00A750DD"/>
    <w:rsid w:val="00A77C31"/>
    <w:rsid w:val="00A84D67"/>
    <w:rsid w:val="00A85AAB"/>
    <w:rsid w:val="00A914CF"/>
    <w:rsid w:val="00A921D4"/>
    <w:rsid w:val="00A925A4"/>
    <w:rsid w:val="00A93AD6"/>
    <w:rsid w:val="00A94158"/>
    <w:rsid w:val="00A96E14"/>
    <w:rsid w:val="00AA2658"/>
    <w:rsid w:val="00AA380A"/>
    <w:rsid w:val="00AA7116"/>
    <w:rsid w:val="00AB07F0"/>
    <w:rsid w:val="00AC16B2"/>
    <w:rsid w:val="00AC3382"/>
    <w:rsid w:val="00AC35F5"/>
    <w:rsid w:val="00AC4337"/>
    <w:rsid w:val="00AC7CD0"/>
    <w:rsid w:val="00AD42A7"/>
    <w:rsid w:val="00AD452B"/>
    <w:rsid w:val="00AD61E5"/>
    <w:rsid w:val="00AE25B1"/>
    <w:rsid w:val="00AE3445"/>
    <w:rsid w:val="00AE4F3B"/>
    <w:rsid w:val="00AE68C9"/>
    <w:rsid w:val="00AF169B"/>
    <w:rsid w:val="00AF5B54"/>
    <w:rsid w:val="00B117D8"/>
    <w:rsid w:val="00B138EB"/>
    <w:rsid w:val="00B14483"/>
    <w:rsid w:val="00B21F20"/>
    <w:rsid w:val="00B266A6"/>
    <w:rsid w:val="00B26A3B"/>
    <w:rsid w:val="00B26CDC"/>
    <w:rsid w:val="00B33BCE"/>
    <w:rsid w:val="00B3477F"/>
    <w:rsid w:val="00B463F0"/>
    <w:rsid w:val="00B52EB3"/>
    <w:rsid w:val="00B536AA"/>
    <w:rsid w:val="00B53D98"/>
    <w:rsid w:val="00B563A4"/>
    <w:rsid w:val="00B57BDD"/>
    <w:rsid w:val="00B60C66"/>
    <w:rsid w:val="00B625EC"/>
    <w:rsid w:val="00B63965"/>
    <w:rsid w:val="00B65BD7"/>
    <w:rsid w:val="00B75A92"/>
    <w:rsid w:val="00B80BF8"/>
    <w:rsid w:val="00B817B3"/>
    <w:rsid w:val="00B87550"/>
    <w:rsid w:val="00B9175D"/>
    <w:rsid w:val="00B91E9C"/>
    <w:rsid w:val="00B92431"/>
    <w:rsid w:val="00BA1BD0"/>
    <w:rsid w:val="00BB2065"/>
    <w:rsid w:val="00BC57F6"/>
    <w:rsid w:val="00BC5982"/>
    <w:rsid w:val="00BE3B9D"/>
    <w:rsid w:val="00BE61BD"/>
    <w:rsid w:val="00BE6F3D"/>
    <w:rsid w:val="00BE7FD1"/>
    <w:rsid w:val="00BF1E4B"/>
    <w:rsid w:val="00C01641"/>
    <w:rsid w:val="00C0288D"/>
    <w:rsid w:val="00C05FDC"/>
    <w:rsid w:val="00C17DF8"/>
    <w:rsid w:val="00C24C63"/>
    <w:rsid w:val="00C31A33"/>
    <w:rsid w:val="00C31B87"/>
    <w:rsid w:val="00C32BD4"/>
    <w:rsid w:val="00C34A38"/>
    <w:rsid w:val="00C408A4"/>
    <w:rsid w:val="00C4267D"/>
    <w:rsid w:val="00C465FB"/>
    <w:rsid w:val="00C47D46"/>
    <w:rsid w:val="00C54391"/>
    <w:rsid w:val="00C54F44"/>
    <w:rsid w:val="00C56CE4"/>
    <w:rsid w:val="00C60461"/>
    <w:rsid w:val="00C656C9"/>
    <w:rsid w:val="00C66FA2"/>
    <w:rsid w:val="00C75B6F"/>
    <w:rsid w:val="00C82A7A"/>
    <w:rsid w:val="00C91818"/>
    <w:rsid w:val="00C939D8"/>
    <w:rsid w:val="00CA1252"/>
    <w:rsid w:val="00CB1569"/>
    <w:rsid w:val="00CB2905"/>
    <w:rsid w:val="00CB4626"/>
    <w:rsid w:val="00CB712E"/>
    <w:rsid w:val="00CC2476"/>
    <w:rsid w:val="00CC774C"/>
    <w:rsid w:val="00CD4343"/>
    <w:rsid w:val="00CE500F"/>
    <w:rsid w:val="00CE692B"/>
    <w:rsid w:val="00D00D24"/>
    <w:rsid w:val="00D00E14"/>
    <w:rsid w:val="00D04156"/>
    <w:rsid w:val="00D047AF"/>
    <w:rsid w:val="00D07654"/>
    <w:rsid w:val="00D14839"/>
    <w:rsid w:val="00D208AB"/>
    <w:rsid w:val="00D24F42"/>
    <w:rsid w:val="00D25CDD"/>
    <w:rsid w:val="00D31033"/>
    <w:rsid w:val="00D344E6"/>
    <w:rsid w:val="00D3513C"/>
    <w:rsid w:val="00D351B9"/>
    <w:rsid w:val="00D45BE5"/>
    <w:rsid w:val="00D528A6"/>
    <w:rsid w:val="00D56AEE"/>
    <w:rsid w:val="00D77890"/>
    <w:rsid w:val="00D81B5C"/>
    <w:rsid w:val="00D85A1F"/>
    <w:rsid w:val="00D911D3"/>
    <w:rsid w:val="00D9120B"/>
    <w:rsid w:val="00D92167"/>
    <w:rsid w:val="00D925D4"/>
    <w:rsid w:val="00D92DEF"/>
    <w:rsid w:val="00D947E8"/>
    <w:rsid w:val="00D9678B"/>
    <w:rsid w:val="00DA1781"/>
    <w:rsid w:val="00DA2537"/>
    <w:rsid w:val="00DC3755"/>
    <w:rsid w:val="00DD1922"/>
    <w:rsid w:val="00DD7101"/>
    <w:rsid w:val="00DE26CE"/>
    <w:rsid w:val="00DE52A9"/>
    <w:rsid w:val="00DF4537"/>
    <w:rsid w:val="00DF6940"/>
    <w:rsid w:val="00DF7DFC"/>
    <w:rsid w:val="00E00D1A"/>
    <w:rsid w:val="00E03835"/>
    <w:rsid w:val="00E0669A"/>
    <w:rsid w:val="00E116B5"/>
    <w:rsid w:val="00E13892"/>
    <w:rsid w:val="00E159BF"/>
    <w:rsid w:val="00E15D8D"/>
    <w:rsid w:val="00E1650C"/>
    <w:rsid w:val="00E16B94"/>
    <w:rsid w:val="00E17762"/>
    <w:rsid w:val="00E17F21"/>
    <w:rsid w:val="00E21459"/>
    <w:rsid w:val="00E21B5A"/>
    <w:rsid w:val="00E232D5"/>
    <w:rsid w:val="00E31677"/>
    <w:rsid w:val="00E351E0"/>
    <w:rsid w:val="00E35493"/>
    <w:rsid w:val="00E438A9"/>
    <w:rsid w:val="00E52DA3"/>
    <w:rsid w:val="00E52DF5"/>
    <w:rsid w:val="00E62F5C"/>
    <w:rsid w:val="00E63169"/>
    <w:rsid w:val="00E674DE"/>
    <w:rsid w:val="00E7004F"/>
    <w:rsid w:val="00E73516"/>
    <w:rsid w:val="00E86B65"/>
    <w:rsid w:val="00E87B85"/>
    <w:rsid w:val="00E87C69"/>
    <w:rsid w:val="00E87FC8"/>
    <w:rsid w:val="00E93D3D"/>
    <w:rsid w:val="00E940E8"/>
    <w:rsid w:val="00E96F6B"/>
    <w:rsid w:val="00E97E45"/>
    <w:rsid w:val="00EA31A7"/>
    <w:rsid w:val="00EA379F"/>
    <w:rsid w:val="00EA4FE0"/>
    <w:rsid w:val="00EB53F0"/>
    <w:rsid w:val="00EB7545"/>
    <w:rsid w:val="00EB7EEA"/>
    <w:rsid w:val="00EC39B7"/>
    <w:rsid w:val="00EC452B"/>
    <w:rsid w:val="00EC46BC"/>
    <w:rsid w:val="00EC592A"/>
    <w:rsid w:val="00EC68F1"/>
    <w:rsid w:val="00ED62A9"/>
    <w:rsid w:val="00ED7BED"/>
    <w:rsid w:val="00EE0A65"/>
    <w:rsid w:val="00EE3125"/>
    <w:rsid w:val="00EE44F8"/>
    <w:rsid w:val="00EF1866"/>
    <w:rsid w:val="00EF2529"/>
    <w:rsid w:val="00EF44C8"/>
    <w:rsid w:val="00F02E7A"/>
    <w:rsid w:val="00F06601"/>
    <w:rsid w:val="00F10DC0"/>
    <w:rsid w:val="00F12B6F"/>
    <w:rsid w:val="00F13E5A"/>
    <w:rsid w:val="00F15708"/>
    <w:rsid w:val="00F16EF3"/>
    <w:rsid w:val="00F172D3"/>
    <w:rsid w:val="00F21EE7"/>
    <w:rsid w:val="00F35F8A"/>
    <w:rsid w:val="00F37107"/>
    <w:rsid w:val="00F412AB"/>
    <w:rsid w:val="00F42EE7"/>
    <w:rsid w:val="00F4585E"/>
    <w:rsid w:val="00F46626"/>
    <w:rsid w:val="00F5063E"/>
    <w:rsid w:val="00F5111D"/>
    <w:rsid w:val="00F61F90"/>
    <w:rsid w:val="00F819C3"/>
    <w:rsid w:val="00F84663"/>
    <w:rsid w:val="00F84CE6"/>
    <w:rsid w:val="00FA0D3A"/>
    <w:rsid w:val="00FA31A1"/>
    <w:rsid w:val="00FA75BC"/>
    <w:rsid w:val="00FB1E46"/>
    <w:rsid w:val="00FB2ED4"/>
    <w:rsid w:val="00FB6943"/>
    <w:rsid w:val="00FC34AE"/>
    <w:rsid w:val="00FC4DE0"/>
    <w:rsid w:val="00FD0106"/>
    <w:rsid w:val="00FD0735"/>
    <w:rsid w:val="00FD4A1D"/>
    <w:rsid w:val="00FE7BD2"/>
    <w:rsid w:val="00FF373E"/>
    <w:rsid w:val="00FF63FB"/>
    <w:rsid w:val="00FF6F40"/>
    <w:rsid w:val="00FF7DA9"/>
    <w:rsid w:val="01A64465"/>
    <w:rsid w:val="02EB306E"/>
    <w:rsid w:val="03135399"/>
    <w:rsid w:val="03F4259C"/>
    <w:rsid w:val="042B1099"/>
    <w:rsid w:val="04F02C40"/>
    <w:rsid w:val="04F829D0"/>
    <w:rsid w:val="05A574A7"/>
    <w:rsid w:val="05F32ADE"/>
    <w:rsid w:val="06DC3C13"/>
    <w:rsid w:val="073A748F"/>
    <w:rsid w:val="07781984"/>
    <w:rsid w:val="079C0217"/>
    <w:rsid w:val="08375CC2"/>
    <w:rsid w:val="084160BD"/>
    <w:rsid w:val="08462C05"/>
    <w:rsid w:val="086E1C1B"/>
    <w:rsid w:val="0A8F705B"/>
    <w:rsid w:val="0B214334"/>
    <w:rsid w:val="0C3A0FA2"/>
    <w:rsid w:val="0C5C5F8C"/>
    <w:rsid w:val="0D070606"/>
    <w:rsid w:val="0D144ADE"/>
    <w:rsid w:val="0E932FE3"/>
    <w:rsid w:val="0F8F28E8"/>
    <w:rsid w:val="102035A6"/>
    <w:rsid w:val="10777567"/>
    <w:rsid w:val="1149277D"/>
    <w:rsid w:val="11740120"/>
    <w:rsid w:val="117B0BD0"/>
    <w:rsid w:val="122F2E3C"/>
    <w:rsid w:val="13A5489A"/>
    <w:rsid w:val="13F9359F"/>
    <w:rsid w:val="152568B0"/>
    <w:rsid w:val="15773AA1"/>
    <w:rsid w:val="16E073BA"/>
    <w:rsid w:val="17027BF5"/>
    <w:rsid w:val="183C5CA2"/>
    <w:rsid w:val="18871C73"/>
    <w:rsid w:val="18891CFD"/>
    <w:rsid w:val="19093D1A"/>
    <w:rsid w:val="193978F5"/>
    <w:rsid w:val="193A449B"/>
    <w:rsid w:val="19B054B9"/>
    <w:rsid w:val="1AD84791"/>
    <w:rsid w:val="1BEA1C4B"/>
    <w:rsid w:val="1BFF3FDF"/>
    <w:rsid w:val="1EB33FEA"/>
    <w:rsid w:val="1EFE5612"/>
    <w:rsid w:val="1F214973"/>
    <w:rsid w:val="1F9814AB"/>
    <w:rsid w:val="1FAA062E"/>
    <w:rsid w:val="1FC54571"/>
    <w:rsid w:val="205749E9"/>
    <w:rsid w:val="206705F3"/>
    <w:rsid w:val="20794A89"/>
    <w:rsid w:val="20AB560F"/>
    <w:rsid w:val="215B3CBD"/>
    <w:rsid w:val="2179498C"/>
    <w:rsid w:val="21B67ED5"/>
    <w:rsid w:val="222B40A5"/>
    <w:rsid w:val="226C6382"/>
    <w:rsid w:val="23082AA4"/>
    <w:rsid w:val="23DD585C"/>
    <w:rsid w:val="23ED5FED"/>
    <w:rsid w:val="240B4942"/>
    <w:rsid w:val="2497774C"/>
    <w:rsid w:val="24B143C8"/>
    <w:rsid w:val="256077D3"/>
    <w:rsid w:val="26C37739"/>
    <w:rsid w:val="27521C1A"/>
    <w:rsid w:val="275F6F81"/>
    <w:rsid w:val="28DB17F4"/>
    <w:rsid w:val="290A6E4C"/>
    <w:rsid w:val="29816223"/>
    <w:rsid w:val="29D6151A"/>
    <w:rsid w:val="2A8278BA"/>
    <w:rsid w:val="2ABD138A"/>
    <w:rsid w:val="2B4969CA"/>
    <w:rsid w:val="2B6C6922"/>
    <w:rsid w:val="2BB0764C"/>
    <w:rsid w:val="2BEE42A2"/>
    <w:rsid w:val="2C0B1198"/>
    <w:rsid w:val="2C182ACA"/>
    <w:rsid w:val="2C347858"/>
    <w:rsid w:val="2D904AAF"/>
    <w:rsid w:val="2E0C3EBB"/>
    <w:rsid w:val="2E322A8F"/>
    <w:rsid w:val="2EAB0CAE"/>
    <w:rsid w:val="2ECC375E"/>
    <w:rsid w:val="2EDA6005"/>
    <w:rsid w:val="2F103B32"/>
    <w:rsid w:val="2F3C794B"/>
    <w:rsid w:val="2F637427"/>
    <w:rsid w:val="2FB90D85"/>
    <w:rsid w:val="303061AB"/>
    <w:rsid w:val="30945D1F"/>
    <w:rsid w:val="309E6DDA"/>
    <w:rsid w:val="32243B2F"/>
    <w:rsid w:val="322D7332"/>
    <w:rsid w:val="32C15A6A"/>
    <w:rsid w:val="32CF5E93"/>
    <w:rsid w:val="32E47406"/>
    <w:rsid w:val="32FE16CF"/>
    <w:rsid w:val="333C17F4"/>
    <w:rsid w:val="33524D8D"/>
    <w:rsid w:val="336D588E"/>
    <w:rsid w:val="34566388"/>
    <w:rsid w:val="356B77F8"/>
    <w:rsid w:val="36E6694B"/>
    <w:rsid w:val="375956C6"/>
    <w:rsid w:val="37D065E7"/>
    <w:rsid w:val="38007D0D"/>
    <w:rsid w:val="381E6E33"/>
    <w:rsid w:val="38F623AF"/>
    <w:rsid w:val="3959671F"/>
    <w:rsid w:val="39830884"/>
    <w:rsid w:val="39A937B7"/>
    <w:rsid w:val="39B77732"/>
    <w:rsid w:val="39ED2AE7"/>
    <w:rsid w:val="3A98680C"/>
    <w:rsid w:val="3B236D91"/>
    <w:rsid w:val="3C4E3060"/>
    <w:rsid w:val="3D2F6E58"/>
    <w:rsid w:val="3E4A725F"/>
    <w:rsid w:val="3E5D1D9D"/>
    <w:rsid w:val="3ECB7424"/>
    <w:rsid w:val="3F6F3565"/>
    <w:rsid w:val="3FB5054D"/>
    <w:rsid w:val="405059D2"/>
    <w:rsid w:val="40F72C55"/>
    <w:rsid w:val="40FB5932"/>
    <w:rsid w:val="411E4815"/>
    <w:rsid w:val="4182387C"/>
    <w:rsid w:val="428E1C09"/>
    <w:rsid w:val="435C3BE1"/>
    <w:rsid w:val="43B925F1"/>
    <w:rsid w:val="43CD6344"/>
    <w:rsid w:val="43FB05F7"/>
    <w:rsid w:val="43FB1570"/>
    <w:rsid w:val="446371E7"/>
    <w:rsid w:val="446921D5"/>
    <w:rsid w:val="4471030D"/>
    <w:rsid w:val="44CF0CF9"/>
    <w:rsid w:val="44FE51F3"/>
    <w:rsid w:val="45B320DF"/>
    <w:rsid w:val="46285175"/>
    <w:rsid w:val="47D707C8"/>
    <w:rsid w:val="47ED1F19"/>
    <w:rsid w:val="48691E0B"/>
    <w:rsid w:val="48B32118"/>
    <w:rsid w:val="49073177"/>
    <w:rsid w:val="49DE18CD"/>
    <w:rsid w:val="4A995C0A"/>
    <w:rsid w:val="4B86421B"/>
    <w:rsid w:val="4BD44A02"/>
    <w:rsid w:val="4BF31125"/>
    <w:rsid w:val="4C404E84"/>
    <w:rsid w:val="4C7B3C2D"/>
    <w:rsid w:val="4D176106"/>
    <w:rsid w:val="4D3A5AC8"/>
    <w:rsid w:val="4D5F030B"/>
    <w:rsid w:val="4E4E1EAC"/>
    <w:rsid w:val="4EB03637"/>
    <w:rsid w:val="4EB968F4"/>
    <w:rsid w:val="4FF36A3C"/>
    <w:rsid w:val="50206D8E"/>
    <w:rsid w:val="51B15F1A"/>
    <w:rsid w:val="529B65C2"/>
    <w:rsid w:val="52D57326"/>
    <w:rsid w:val="53380898"/>
    <w:rsid w:val="5383452E"/>
    <w:rsid w:val="539959AE"/>
    <w:rsid w:val="53AD5725"/>
    <w:rsid w:val="543934E7"/>
    <w:rsid w:val="54DE3C8C"/>
    <w:rsid w:val="55AF2219"/>
    <w:rsid w:val="55FC2AFE"/>
    <w:rsid w:val="56232CCC"/>
    <w:rsid w:val="56690CE7"/>
    <w:rsid w:val="572E364A"/>
    <w:rsid w:val="573765DC"/>
    <w:rsid w:val="57AC1BD0"/>
    <w:rsid w:val="57B02A1D"/>
    <w:rsid w:val="57BB6196"/>
    <w:rsid w:val="58330D3F"/>
    <w:rsid w:val="584110D4"/>
    <w:rsid w:val="587C056C"/>
    <w:rsid w:val="59184DDD"/>
    <w:rsid w:val="59660026"/>
    <w:rsid w:val="5A0954A1"/>
    <w:rsid w:val="5A957C1D"/>
    <w:rsid w:val="5AAF6876"/>
    <w:rsid w:val="5ABE38C4"/>
    <w:rsid w:val="5AC32B8C"/>
    <w:rsid w:val="5B006E5A"/>
    <w:rsid w:val="5B0454D5"/>
    <w:rsid w:val="5BDE0D05"/>
    <w:rsid w:val="5C2C5A92"/>
    <w:rsid w:val="5C9B2811"/>
    <w:rsid w:val="5CD40490"/>
    <w:rsid w:val="5D1304A8"/>
    <w:rsid w:val="5D826A75"/>
    <w:rsid w:val="5DB20C79"/>
    <w:rsid w:val="5E1E5E10"/>
    <w:rsid w:val="5E79768B"/>
    <w:rsid w:val="5EC5206B"/>
    <w:rsid w:val="5F315CFA"/>
    <w:rsid w:val="5F9F4F0C"/>
    <w:rsid w:val="60C677B0"/>
    <w:rsid w:val="61314BB6"/>
    <w:rsid w:val="61445A89"/>
    <w:rsid w:val="61582E52"/>
    <w:rsid w:val="61FD731B"/>
    <w:rsid w:val="62C56F54"/>
    <w:rsid w:val="63621238"/>
    <w:rsid w:val="63634225"/>
    <w:rsid w:val="64A55577"/>
    <w:rsid w:val="65EC6BDA"/>
    <w:rsid w:val="66576C7F"/>
    <w:rsid w:val="66AF14C5"/>
    <w:rsid w:val="67177B8B"/>
    <w:rsid w:val="6749146B"/>
    <w:rsid w:val="6871353E"/>
    <w:rsid w:val="691860AC"/>
    <w:rsid w:val="6A02767D"/>
    <w:rsid w:val="6A20330E"/>
    <w:rsid w:val="6A244788"/>
    <w:rsid w:val="6A315787"/>
    <w:rsid w:val="6A90294D"/>
    <w:rsid w:val="6B012E9F"/>
    <w:rsid w:val="6BE55DE2"/>
    <w:rsid w:val="6CA62094"/>
    <w:rsid w:val="6D30787D"/>
    <w:rsid w:val="6D5241FF"/>
    <w:rsid w:val="6E5B38BC"/>
    <w:rsid w:val="6F23242D"/>
    <w:rsid w:val="6F453ED8"/>
    <w:rsid w:val="6F977A37"/>
    <w:rsid w:val="702F41BD"/>
    <w:rsid w:val="70B30F6E"/>
    <w:rsid w:val="70D02214"/>
    <w:rsid w:val="71B637FE"/>
    <w:rsid w:val="744829CF"/>
    <w:rsid w:val="759C0EEB"/>
    <w:rsid w:val="75C17ABF"/>
    <w:rsid w:val="77740E09"/>
    <w:rsid w:val="778076AA"/>
    <w:rsid w:val="77AB3FAF"/>
    <w:rsid w:val="78E81E58"/>
    <w:rsid w:val="797836A9"/>
    <w:rsid w:val="79B84938"/>
    <w:rsid w:val="7B1A54F1"/>
    <w:rsid w:val="7B4D3D2C"/>
    <w:rsid w:val="7BA36015"/>
    <w:rsid w:val="7CD8365E"/>
    <w:rsid w:val="7D1071DF"/>
    <w:rsid w:val="7DE20F87"/>
    <w:rsid w:val="7E1033CB"/>
    <w:rsid w:val="7E224712"/>
    <w:rsid w:val="7E783D9D"/>
    <w:rsid w:val="7E9D2BA1"/>
    <w:rsid w:val="7EFA1C3F"/>
    <w:rsid w:val="7F2E2C9F"/>
    <w:rsid w:val="7F3A17B9"/>
    <w:rsid w:val="7FAA3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qFormat/>
    <w:uiPriority w:val="0"/>
    <w:pPr>
      <w:keepNext/>
      <w:keepLines/>
      <w:tabs>
        <w:tab w:val="left" w:pos="5852"/>
      </w:tabs>
      <w:snapToGrid w:val="0"/>
      <w:spacing w:before="360" w:line="240" w:lineRule="exact"/>
      <w:outlineLvl w:val="2"/>
    </w:pPr>
    <w:rPr>
      <w:b/>
      <w:sz w:val="28"/>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47"/>
    <w:qFormat/>
    <w:uiPriority w:val="99"/>
    <w:pPr>
      <w:ind w:firstLine="420"/>
    </w:pPr>
    <w:rPr>
      <w:szCs w:val="20"/>
    </w:r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caption"/>
    <w:basedOn w:val="1"/>
    <w:next w:val="1"/>
    <w:qFormat/>
    <w:uiPriority w:val="0"/>
    <w:rPr>
      <w:rFonts w:ascii="Cambria" w:hAnsi="Cambria" w:eastAsia="黑体"/>
      <w:sz w:val="20"/>
      <w:szCs w:val="20"/>
    </w:rPr>
  </w:style>
  <w:style w:type="paragraph" w:styleId="8">
    <w:name w:val="Document Map"/>
    <w:basedOn w:val="1"/>
    <w:qFormat/>
    <w:uiPriority w:val="0"/>
    <w:pPr>
      <w:shd w:val="clear" w:color="auto" w:fill="000080"/>
    </w:pPr>
  </w:style>
  <w:style w:type="paragraph" w:styleId="9">
    <w:name w:val="annotation text"/>
    <w:basedOn w:val="1"/>
    <w:link w:val="58"/>
    <w:qFormat/>
    <w:uiPriority w:val="0"/>
    <w:pPr>
      <w:jc w:val="left"/>
    </w:pPr>
  </w:style>
  <w:style w:type="paragraph" w:styleId="10">
    <w:name w:val="Body Text 3"/>
    <w:basedOn w:val="1"/>
    <w:link w:val="115"/>
    <w:qFormat/>
    <w:uiPriority w:val="0"/>
    <w:pPr>
      <w:widowControl/>
      <w:spacing w:after="120"/>
      <w:jc w:val="left"/>
    </w:pPr>
    <w:rPr>
      <w:rFonts w:ascii="宋体"/>
      <w:kern w:val="0"/>
      <w:sz w:val="16"/>
      <w:szCs w:val="16"/>
    </w:rPr>
  </w:style>
  <w:style w:type="paragraph" w:styleId="11">
    <w:name w:val="Body Text"/>
    <w:basedOn w:val="1"/>
    <w:link w:val="117"/>
    <w:qFormat/>
    <w:uiPriority w:val="0"/>
    <w:rPr>
      <w:rFonts w:ascii="宋体" w:hAnsi="宋体"/>
      <w:color w:val="FF0000"/>
      <w:szCs w:val="32"/>
    </w:rPr>
  </w:style>
  <w:style w:type="paragraph" w:styleId="12">
    <w:name w:val="Body Text Indent"/>
    <w:basedOn w:val="1"/>
    <w:link w:val="97"/>
    <w:qFormat/>
    <w:uiPriority w:val="0"/>
    <w:pPr>
      <w:snapToGrid w:val="0"/>
      <w:spacing w:line="360" w:lineRule="auto"/>
      <w:ind w:firstLine="538" w:firstLineChars="192"/>
    </w:pPr>
    <w:rPr>
      <w:rFonts w:ascii="仿宋_GB2312" w:eastAsia="仿宋_GB2312"/>
      <w:bCs/>
      <w:sz w:val="28"/>
      <w:szCs w:val="28"/>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5">
    <w:name w:val="Plain Text"/>
    <w:basedOn w:val="1"/>
    <w:link w:val="59"/>
    <w:qFormat/>
    <w:uiPriority w:val="0"/>
    <w:rPr>
      <w:rFonts w:ascii="宋体" w:hAnsi="Courier New"/>
      <w:szCs w:val="20"/>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Date"/>
    <w:basedOn w:val="1"/>
    <w:next w:val="1"/>
    <w:qFormat/>
    <w:uiPriority w:val="0"/>
    <w:pPr>
      <w:ind w:left="100" w:leftChars="2500"/>
    </w:pPr>
  </w:style>
  <w:style w:type="paragraph" w:styleId="18">
    <w:name w:val="Body Text Indent 2"/>
    <w:basedOn w:val="1"/>
    <w:link w:val="86"/>
    <w:qFormat/>
    <w:uiPriority w:val="0"/>
    <w:pPr>
      <w:spacing w:after="120" w:line="480" w:lineRule="auto"/>
      <w:ind w:left="420" w:leftChars="200"/>
    </w:pPr>
  </w:style>
  <w:style w:type="paragraph" w:styleId="19">
    <w:name w:val="Balloon Text"/>
    <w:basedOn w:val="1"/>
    <w:qFormat/>
    <w:uiPriority w:val="0"/>
    <w:rPr>
      <w:sz w:val="18"/>
      <w:szCs w:val="18"/>
    </w:rPr>
  </w:style>
  <w:style w:type="paragraph" w:styleId="20">
    <w:name w:val="footer"/>
    <w:basedOn w:val="1"/>
    <w:link w:val="96"/>
    <w:qFormat/>
    <w:uiPriority w:val="0"/>
    <w:pPr>
      <w:tabs>
        <w:tab w:val="center" w:pos="4153"/>
        <w:tab w:val="right" w:pos="8306"/>
      </w:tabs>
      <w:snapToGrid w:val="0"/>
      <w:jc w:val="left"/>
    </w:pPr>
    <w:rPr>
      <w:sz w:val="18"/>
      <w:szCs w:val="18"/>
    </w:rPr>
  </w:style>
  <w:style w:type="paragraph" w:styleId="21">
    <w:name w:val="header"/>
    <w:basedOn w:val="1"/>
    <w:next w:val="7"/>
    <w:link w:val="9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393"/>
      </w:tabs>
      <w:spacing w:line="500" w:lineRule="exact"/>
    </w:pPr>
    <w:rPr>
      <w:rFonts w:ascii="宋体" w:hAnsi="宋体"/>
      <w:b/>
      <w:bCs/>
      <w:color w:val="000000"/>
      <w:sz w:val="28"/>
      <w:szCs w:val="28"/>
    </w:rPr>
  </w:style>
  <w:style w:type="paragraph" w:styleId="2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4">
    <w:name w:val="footnote text"/>
    <w:basedOn w:val="1"/>
    <w:link w:val="120"/>
    <w:semiHidden/>
    <w:unhideWhenUsed/>
    <w:qFormat/>
    <w:uiPriority w:val="99"/>
    <w:pPr>
      <w:snapToGrid w:val="0"/>
      <w:jc w:val="left"/>
    </w:pPr>
    <w:rPr>
      <w:sz w:val="18"/>
      <w:szCs w:val="18"/>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toc 2"/>
    <w:basedOn w:val="1"/>
    <w:next w:val="1"/>
    <w:qFormat/>
    <w:uiPriority w:val="39"/>
    <w:pPr>
      <w:tabs>
        <w:tab w:val="right" w:leader="dot" w:pos="8393"/>
      </w:tabs>
      <w:spacing w:line="500" w:lineRule="exact"/>
      <w:ind w:left="420" w:leftChars="200"/>
      <w:jc w:val="center"/>
    </w:pPr>
    <w:rPr>
      <w:rFonts w:ascii="黑体" w:eastAsia="黑体"/>
      <w:sz w:val="32"/>
      <w:szCs w:val="32"/>
    </w:r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Message Header"/>
    <w:basedOn w:val="1"/>
    <w:next w:val="1"/>
    <w:unhideWhenUsed/>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9">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30">
    <w:name w:val="Title"/>
    <w:basedOn w:val="1"/>
    <w:link w:val="91"/>
    <w:qFormat/>
    <w:uiPriority w:val="0"/>
    <w:pPr>
      <w:tabs>
        <w:tab w:val="left" w:pos="420"/>
      </w:tabs>
      <w:spacing w:before="120" w:after="120" w:line="360" w:lineRule="auto"/>
      <w:ind w:left="420"/>
      <w:jc w:val="center"/>
      <w:outlineLvl w:val="0"/>
    </w:pPr>
    <w:rPr>
      <w:rFonts w:ascii="宋体" w:hAnsi="Verdana" w:cs="Arial"/>
      <w:b/>
      <w:bCs/>
      <w:sz w:val="32"/>
      <w:szCs w:val="32"/>
    </w:rPr>
  </w:style>
  <w:style w:type="paragraph" w:styleId="31">
    <w:name w:val="annotation subject"/>
    <w:basedOn w:val="9"/>
    <w:next w:val="9"/>
    <w:qFormat/>
    <w:uiPriority w:val="0"/>
    <w:rPr>
      <w:b/>
      <w:bCs/>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qFormat/>
    <w:uiPriority w:val="0"/>
    <w:rPr>
      <w:rFonts w:cs="Times New Roman"/>
    </w:rPr>
  </w:style>
  <w:style w:type="character" w:styleId="37">
    <w:name w:val="FollowedHyperlink"/>
    <w:basedOn w:val="34"/>
    <w:qFormat/>
    <w:uiPriority w:val="0"/>
    <w:rPr>
      <w:color w:val="013F7C"/>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ascii="宋体" w:hAnsi="宋体" w:eastAsia="宋体" w:cs="宋体"/>
      <w:sz w:val="24"/>
      <w:szCs w:val="24"/>
    </w:rPr>
  </w:style>
  <w:style w:type="character" w:styleId="41">
    <w:name w:val="HTML Variable"/>
    <w:basedOn w:val="34"/>
    <w:qFormat/>
    <w:uiPriority w:val="0"/>
  </w:style>
  <w:style w:type="character" w:styleId="42">
    <w:name w:val="Hyperlink"/>
    <w:basedOn w:val="34"/>
    <w:qFormat/>
    <w:uiPriority w:val="99"/>
    <w:rPr>
      <w:color w:val="013F7C"/>
      <w:u w:val="none"/>
    </w:rPr>
  </w:style>
  <w:style w:type="character" w:styleId="43">
    <w:name w:val="HTML Code"/>
    <w:basedOn w:val="34"/>
    <w:qFormat/>
    <w:uiPriority w:val="0"/>
    <w:rPr>
      <w:rFonts w:ascii="Courier New" w:hAnsi="Courier New"/>
      <w:sz w:val="20"/>
    </w:rPr>
  </w:style>
  <w:style w:type="character" w:styleId="44">
    <w:name w:val="annotation reference"/>
    <w:basedOn w:val="34"/>
    <w:qFormat/>
    <w:uiPriority w:val="0"/>
    <w:rPr>
      <w:sz w:val="21"/>
      <w:szCs w:val="21"/>
    </w:rPr>
  </w:style>
  <w:style w:type="character" w:styleId="45">
    <w:name w:val="HTML Cite"/>
    <w:basedOn w:val="34"/>
    <w:qFormat/>
    <w:uiPriority w:val="0"/>
  </w:style>
  <w:style w:type="character" w:styleId="46">
    <w:name w:val="footnote reference"/>
    <w:basedOn w:val="34"/>
    <w:semiHidden/>
    <w:unhideWhenUsed/>
    <w:qFormat/>
    <w:uiPriority w:val="99"/>
    <w:rPr>
      <w:vertAlign w:val="superscript"/>
    </w:rPr>
  </w:style>
  <w:style w:type="character" w:customStyle="1" w:styleId="47">
    <w:name w:val="正文缩进 字符"/>
    <w:basedOn w:val="34"/>
    <w:link w:val="2"/>
    <w:qFormat/>
    <w:uiPriority w:val="0"/>
    <w:rPr>
      <w:rFonts w:eastAsia="宋体"/>
      <w:kern w:val="2"/>
      <w:sz w:val="21"/>
      <w:lang w:val="en-US" w:eastAsia="zh-CN" w:bidi="ar-SA"/>
    </w:rPr>
  </w:style>
  <w:style w:type="character" w:customStyle="1" w:styleId="48">
    <w:name w:val="Char Char5"/>
    <w:basedOn w:val="34"/>
    <w:qFormat/>
    <w:uiPriority w:val="0"/>
    <w:rPr>
      <w:rFonts w:ascii="宋体" w:hAnsi="Courier New" w:eastAsia="宋体"/>
      <w:kern w:val="2"/>
      <w:sz w:val="21"/>
      <w:lang w:val="en-US" w:eastAsia="zh-CN" w:bidi="ar-SA"/>
    </w:rPr>
  </w:style>
  <w:style w:type="character" w:customStyle="1" w:styleId="49">
    <w:name w:val="font81"/>
    <w:basedOn w:val="34"/>
    <w:qFormat/>
    <w:uiPriority w:val="0"/>
    <w:rPr>
      <w:rFonts w:ascii="新宋体" w:hAnsi="新宋体" w:eastAsia="新宋体" w:cs="新宋体"/>
      <w:color w:val="000000"/>
      <w:sz w:val="21"/>
      <w:szCs w:val="21"/>
      <w:u w:val="none"/>
    </w:rPr>
  </w:style>
  <w:style w:type="character" w:customStyle="1" w:styleId="50">
    <w:name w:val="p141"/>
    <w:qFormat/>
    <w:uiPriority w:val="0"/>
    <w:rPr>
      <w:sz w:val="21"/>
      <w:szCs w:val="21"/>
    </w:rPr>
  </w:style>
  <w:style w:type="character" w:customStyle="1" w:styleId="51">
    <w:name w:val="current"/>
    <w:basedOn w:val="34"/>
    <w:qFormat/>
    <w:uiPriority w:val="0"/>
    <w:rPr>
      <w:b/>
      <w:color w:val="FF0084"/>
    </w:rPr>
  </w:style>
  <w:style w:type="character" w:customStyle="1" w:styleId="52">
    <w:name w:val="font11"/>
    <w:basedOn w:val="34"/>
    <w:qFormat/>
    <w:uiPriority w:val="0"/>
    <w:rPr>
      <w:rFonts w:ascii="新宋体" w:hAnsi="新宋体" w:eastAsia="新宋体" w:cs="新宋体"/>
      <w:color w:val="000000"/>
      <w:sz w:val="21"/>
      <w:szCs w:val="21"/>
      <w:u w:val="none"/>
    </w:rPr>
  </w:style>
  <w:style w:type="character" w:customStyle="1" w:styleId="53">
    <w:name w:val="ask-title2"/>
    <w:basedOn w:val="34"/>
    <w:qFormat/>
    <w:uiPriority w:val="0"/>
  </w:style>
  <w:style w:type="character" w:customStyle="1" w:styleId="54">
    <w:name w:val="font101"/>
    <w:basedOn w:val="34"/>
    <w:qFormat/>
    <w:uiPriority w:val="0"/>
    <w:rPr>
      <w:rFonts w:ascii="宋体" w:hAnsi="宋体" w:eastAsia="宋体" w:cs="宋体"/>
      <w:color w:val="000000"/>
      <w:sz w:val="21"/>
      <w:szCs w:val="21"/>
      <w:u w:val="none"/>
    </w:rPr>
  </w:style>
  <w:style w:type="character" w:customStyle="1" w:styleId="55">
    <w:name w:val="font91"/>
    <w:basedOn w:val="34"/>
    <w:qFormat/>
    <w:uiPriority w:val="0"/>
    <w:rPr>
      <w:rFonts w:ascii="Arial" w:hAnsi="Arial" w:cs="Arial"/>
      <w:color w:val="000000"/>
      <w:sz w:val="21"/>
      <w:szCs w:val="21"/>
      <w:u w:val="none"/>
    </w:rPr>
  </w:style>
  <w:style w:type="character" w:customStyle="1" w:styleId="56">
    <w:name w:val="批注文字 Char"/>
    <w:basedOn w:val="34"/>
    <w:qFormat/>
    <w:uiPriority w:val="0"/>
    <w:rPr>
      <w:rFonts w:eastAsia="宋体"/>
      <w:kern w:val="2"/>
      <w:sz w:val="21"/>
      <w:szCs w:val="24"/>
      <w:lang w:val="en-US" w:eastAsia="zh-CN" w:bidi="ar-SA"/>
    </w:rPr>
  </w:style>
  <w:style w:type="character" w:customStyle="1" w:styleId="57">
    <w:name w:val="Char Char"/>
    <w:basedOn w:val="34"/>
    <w:qFormat/>
    <w:uiPriority w:val="0"/>
    <w:rPr>
      <w:rFonts w:ascii="宋体" w:hAnsi="Courier New" w:eastAsia="宋体"/>
      <w:kern w:val="2"/>
      <w:sz w:val="21"/>
      <w:lang w:val="en-US" w:eastAsia="zh-CN" w:bidi="ar-SA"/>
    </w:rPr>
  </w:style>
  <w:style w:type="character" w:customStyle="1" w:styleId="58">
    <w:name w:val="批注文字 字符"/>
    <w:basedOn w:val="34"/>
    <w:link w:val="9"/>
    <w:qFormat/>
    <w:uiPriority w:val="0"/>
    <w:rPr>
      <w:rFonts w:eastAsia="宋体"/>
      <w:kern w:val="2"/>
      <w:sz w:val="21"/>
      <w:szCs w:val="24"/>
      <w:lang w:val="en-US" w:eastAsia="zh-CN" w:bidi="ar-SA"/>
    </w:rPr>
  </w:style>
  <w:style w:type="character" w:customStyle="1" w:styleId="59">
    <w:name w:val="纯文本 字符"/>
    <w:basedOn w:val="34"/>
    <w:link w:val="15"/>
    <w:qFormat/>
    <w:uiPriority w:val="0"/>
    <w:rPr>
      <w:rFonts w:ascii="宋体" w:hAnsi="Courier New" w:eastAsia="宋体"/>
      <w:kern w:val="2"/>
      <w:sz w:val="21"/>
      <w:lang w:val="en-US" w:eastAsia="zh-CN" w:bidi="ar-SA"/>
    </w:rPr>
  </w:style>
  <w:style w:type="character" w:customStyle="1" w:styleId="60">
    <w:name w:val="普通文字 Char Char1"/>
    <w:basedOn w:val="34"/>
    <w:qFormat/>
    <w:uiPriority w:val="0"/>
    <w:rPr>
      <w:rFonts w:ascii="宋体" w:hAnsi="Courier New" w:eastAsia="宋体"/>
      <w:kern w:val="2"/>
      <w:sz w:val="21"/>
      <w:lang w:val="en-US" w:eastAsia="zh-CN" w:bidi="ar-SA"/>
    </w:rPr>
  </w:style>
  <w:style w:type="paragraph" w:customStyle="1" w:styleId="6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3">
    <w:name w:val="列出段落1"/>
    <w:basedOn w:val="1"/>
    <w:qFormat/>
    <w:uiPriority w:val="0"/>
    <w:pPr>
      <w:ind w:firstLine="420" w:firstLineChars="200"/>
    </w:pPr>
    <w:rPr>
      <w:rFonts w:ascii="Calibri" w:hAnsi="Calibri"/>
      <w:szCs w:val="20"/>
    </w:rPr>
  </w:style>
  <w:style w:type="paragraph" w:customStyle="1" w:styleId="64">
    <w:name w:val="_Style 13"/>
    <w:basedOn w:val="1"/>
    <w:qFormat/>
    <w:uiPriority w:val="0"/>
    <w:pPr>
      <w:spacing w:after="160" w:line="240" w:lineRule="exact"/>
    </w:pPr>
    <w:rPr>
      <w:szCs w:val="20"/>
    </w:rPr>
  </w:style>
  <w:style w:type="paragraph" w:customStyle="1" w:styleId="65">
    <w:name w:val="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_Style 49"/>
    <w:basedOn w:val="1"/>
    <w:next w:val="15"/>
    <w:qFormat/>
    <w:uiPriority w:val="0"/>
    <w:rPr>
      <w:rFonts w:ascii="宋体" w:hAnsi="Courier New"/>
      <w:sz w:val="24"/>
      <w:szCs w:val="20"/>
    </w:rPr>
  </w:style>
  <w:style w:type="paragraph" w:customStyle="1" w:styleId="67">
    <w:name w:val="示例×："/>
    <w:basedOn w:val="1"/>
    <w:qFormat/>
    <w:uiPriority w:val="0"/>
    <w:pPr>
      <w:widowControl/>
    </w:pPr>
    <w:rPr>
      <w:rFonts w:ascii="宋体"/>
      <w:kern w:val="0"/>
      <w:sz w:val="18"/>
      <w:szCs w:val="18"/>
    </w:rPr>
  </w:style>
  <w:style w:type="paragraph" w:customStyle="1" w:styleId="68">
    <w:name w:val="_Style 12"/>
    <w:basedOn w:val="8"/>
    <w:qFormat/>
    <w:uiPriority w:val="0"/>
    <w:pPr>
      <w:adjustRightInd w:val="0"/>
      <w:snapToGrid w:val="0"/>
      <w:spacing w:line="360" w:lineRule="auto"/>
    </w:pPr>
    <w:rPr>
      <w:rFonts w:hAnsi="Tahoma"/>
      <w:sz w:val="24"/>
      <w:szCs w:val="20"/>
    </w:rPr>
  </w:style>
  <w:style w:type="paragraph" w:customStyle="1" w:styleId="69">
    <w:name w:val="列出段落3"/>
    <w:basedOn w:val="1"/>
    <w:qFormat/>
    <w:uiPriority w:val="0"/>
    <w:pPr>
      <w:ind w:firstLine="420" w:firstLineChars="200"/>
    </w:pPr>
  </w:style>
  <w:style w:type="paragraph" w:customStyle="1" w:styleId="7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2">
    <w:name w:val="默认段落字体 Para Char Char Char Char Char Char Char"/>
    <w:basedOn w:val="1"/>
    <w:qFormat/>
    <w:uiPriority w:val="0"/>
    <w:pPr>
      <w:spacing w:line="360" w:lineRule="auto"/>
    </w:pPr>
    <w:rPr>
      <w:szCs w:val="20"/>
    </w:rPr>
  </w:style>
  <w:style w:type="paragraph" w:customStyle="1" w:styleId="73">
    <w:name w:val="Char Char Char"/>
    <w:basedOn w:val="1"/>
    <w:qFormat/>
    <w:uiPriority w:val="0"/>
  </w:style>
  <w:style w:type="paragraph" w:customStyle="1" w:styleId="74">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75">
    <w:name w:val="Char Char1 Char Char Char Char Char Char"/>
    <w:basedOn w:val="1"/>
    <w:qFormat/>
    <w:uiPriority w:val="0"/>
    <w:pPr>
      <w:adjustRightInd w:val="0"/>
      <w:snapToGrid w:val="0"/>
      <w:spacing w:beforeLines="25" w:afterLines="25" w:line="240" w:lineRule="exact"/>
      <w:ind w:firstLine="560" w:firstLineChars="192"/>
    </w:pPr>
  </w:style>
  <w:style w:type="paragraph" w:customStyle="1" w:styleId="76">
    <w:name w:val="列出段落2"/>
    <w:basedOn w:val="1"/>
    <w:qFormat/>
    <w:uiPriority w:val="0"/>
    <w:pPr>
      <w:ind w:firstLine="420" w:firstLineChars="200"/>
    </w:pPr>
  </w:style>
  <w:style w:type="paragraph" w:customStyle="1" w:styleId="77">
    <w:name w:val="List Paragraph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78">
    <w:name w:val="列出段落11"/>
    <w:basedOn w:val="1"/>
    <w:qFormat/>
    <w:uiPriority w:val="0"/>
    <w:pPr>
      <w:ind w:firstLine="420" w:firstLineChars="200"/>
    </w:pPr>
  </w:style>
  <w:style w:type="paragraph" w:customStyle="1" w:styleId="79">
    <w:name w:val="Char1 Char Char Char Char Char Char1"/>
    <w:basedOn w:val="1"/>
    <w:qFormat/>
    <w:uiPriority w:val="0"/>
    <w:pPr>
      <w:spacing w:after="160" w:line="240" w:lineRule="exact"/>
    </w:pPr>
    <w:rPr>
      <w:szCs w:val="20"/>
    </w:rPr>
  </w:style>
  <w:style w:type="paragraph" w:customStyle="1" w:styleId="80">
    <w:name w:val="样式3"/>
    <w:basedOn w:val="15"/>
    <w:link w:val="82"/>
    <w:qFormat/>
    <w:uiPriority w:val="0"/>
    <w:pPr>
      <w:spacing w:line="0" w:lineRule="atLeast"/>
      <w:outlineLvl w:val="0"/>
    </w:pPr>
    <w:rPr>
      <w:sz w:val="28"/>
      <w:szCs w:val="24"/>
    </w:rPr>
  </w:style>
  <w:style w:type="paragraph" w:customStyle="1" w:styleId="81">
    <w:name w:val="Char Char Char Char"/>
    <w:basedOn w:val="8"/>
    <w:qFormat/>
    <w:uiPriority w:val="0"/>
    <w:pPr>
      <w:adjustRightInd w:val="0"/>
      <w:snapToGrid w:val="0"/>
      <w:spacing w:line="360" w:lineRule="auto"/>
    </w:pPr>
  </w:style>
  <w:style w:type="character" w:customStyle="1" w:styleId="82">
    <w:name w:val="样式3 Char Char"/>
    <w:link w:val="80"/>
    <w:qFormat/>
    <w:uiPriority w:val="0"/>
    <w:rPr>
      <w:rFonts w:ascii="宋体" w:hAnsi="Courier New"/>
      <w:kern w:val="2"/>
      <w:sz w:val="28"/>
      <w:szCs w:val="24"/>
    </w:rPr>
  </w:style>
  <w:style w:type="character" w:customStyle="1" w:styleId="83">
    <w:name w:val="ds-unread-count"/>
    <w:basedOn w:val="34"/>
    <w:qFormat/>
    <w:uiPriority w:val="0"/>
    <w:rPr>
      <w:b/>
      <w:color w:val="EE3322"/>
    </w:rPr>
  </w:style>
  <w:style w:type="character" w:customStyle="1" w:styleId="84">
    <w:name w:val="ds-reads-app-special"/>
    <w:basedOn w:val="34"/>
    <w:qFormat/>
    <w:uiPriority w:val="0"/>
    <w:rPr>
      <w:color w:val="FFFFFF"/>
      <w:shd w:val="clear" w:color="auto" w:fill="F94A47"/>
    </w:rPr>
  </w:style>
  <w:style w:type="character" w:customStyle="1" w:styleId="85">
    <w:name w:val="ds-reads-from"/>
    <w:basedOn w:val="34"/>
    <w:qFormat/>
    <w:uiPriority w:val="0"/>
  </w:style>
  <w:style w:type="character" w:customStyle="1" w:styleId="86">
    <w:name w:val="正文文本缩进 2 字符"/>
    <w:basedOn w:val="34"/>
    <w:link w:val="18"/>
    <w:qFormat/>
    <w:uiPriority w:val="0"/>
    <w:rPr>
      <w:kern w:val="2"/>
      <w:sz w:val="21"/>
      <w:szCs w:val="24"/>
    </w:rPr>
  </w:style>
  <w:style w:type="paragraph" w:customStyle="1" w:styleId="87">
    <w:name w:val="正文2"/>
    <w:basedOn w:val="62"/>
    <w:qFormat/>
    <w:uiPriority w:val="0"/>
    <w:pPr>
      <w:tabs>
        <w:tab w:val="left" w:pos="420"/>
      </w:tabs>
      <w:adjustRightInd/>
      <w:spacing w:line="360" w:lineRule="auto"/>
      <w:ind w:left="420" w:hanging="420"/>
    </w:pPr>
    <w:rPr>
      <w:kern w:val="2"/>
      <w:sz w:val="24"/>
      <w:szCs w:val="24"/>
    </w:rPr>
  </w:style>
  <w:style w:type="paragraph" w:customStyle="1" w:styleId="88">
    <w:name w:val="msonormalcxspmiddle"/>
    <w:basedOn w:val="1"/>
    <w:qFormat/>
    <w:uiPriority w:val="0"/>
    <w:pPr>
      <w:widowControl/>
      <w:spacing w:before="280" w:after="280"/>
      <w:jc w:val="left"/>
    </w:pPr>
    <w:rPr>
      <w:rFonts w:ascii="宋体" w:hAnsi="宋体" w:cs="宋体"/>
      <w:kern w:val="1"/>
      <w:sz w:val="24"/>
      <w:lang w:eastAsia="ar-SA"/>
    </w:rPr>
  </w:style>
  <w:style w:type="character" w:customStyle="1" w:styleId="89">
    <w:name w:val="Underrubrik1 Char Char"/>
    <w:qFormat/>
    <w:uiPriority w:val="0"/>
    <w:rPr>
      <w:rFonts w:ascii="Arial" w:hAnsi="Arial"/>
      <w:b/>
      <w:bCs/>
      <w:color w:val="000000"/>
      <w:sz w:val="30"/>
    </w:rPr>
  </w:style>
  <w:style w:type="paragraph" w:customStyle="1" w:styleId="90">
    <w:name w:val="列出段落4"/>
    <w:basedOn w:val="1"/>
    <w:qFormat/>
    <w:uiPriority w:val="99"/>
    <w:pPr>
      <w:ind w:firstLine="420" w:firstLineChars="200"/>
    </w:pPr>
  </w:style>
  <w:style w:type="character" w:customStyle="1" w:styleId="91">
    <w:name w:val="标题 字符"/>
    <w:link w:val="30"/>
    <w:qFormat/>
    <w:uiPriority w:val="0"/>
    <w:rPr>
      <w:rFonts w:ascii="宋体" w:hAnsi="Verdana" w:cs="Arial"/>
      <w:b/>
      <w:bCs/>
      <w:kern w:val="2"/>
      <w:sz w:val="32"/>
      <w:szCs w:val="32"/>
    </w:rPr>
  </w:style>
  <w:style w:type="character" w:customStyle="1" w:styleId="92">
    <w:name w:val="标题 字符1"/>
    <w:basedOn w:val="34"/>
    <w:qFormat/>
    <w:uiPriority w:val="0"/>
    <w:rPr>
      <w:rFonts w:ascii="Cambria" w:hAnsi="Cambria" w:eastAsia="宋体" w:cs="宋体"/>
      <w:b/>
      <w:bCs/>
      <w:kern w:val="2"/>
      <w:sz w:val="32"/>
      <w:szCs w:val="32"/>
    </w:rPr>
  </w:style>
  <w:style w:type="paragraph" w:customStyle="1" w:styleId="93">
    <w:name w:val="正文文本缩进1"/>
    <w:basedOn w:val="1"/>
    <w:qFormat/>
    <w:uiPriority w:val="0"/>
    <w:pPr>
      <w:widowControl/>
      <w:spacing w:after="120"/>
      <w:ind w:left="420" w:leftChars="200"/>
      <w:jc w:val="left"/>
    </w:pPr>
    <w:rPr>
      <w:kern w:val="0"/>
      <w:sz w:val="34"/>
      <w:szCs w:val="20"/>
    </w:rPr>
  </w:style>
  <w:style w:type="paragraph" w:customStyle="1" w:styleId="94">
    <w:name w:val="表格"/>
    <w:basedOn w:val="1"/>
    <w:qFormat/>
    <w:uiPriority w:val="0"/>
    <w:pPr>
      <w:spacing w:line="400" w:lineRule="exact"/>
    </w:pPr>
    <w:rPr>
      <w:sz w:val="24"/>
    </w:rPr>
  </w:style>
  <w:style w:type="character" w:customStyle="1" w:styleId="95">
    <w:name w:val="页眉 字符"/>
    <w:basedOn w:val="34"/>
    <w:link w:val="21"/>
    <w:qFormat/>
    <w:uiPriority w:val="99"/>
    <w:rPr>
      <w:kern w:val="2"/>
      <w:sz w:val="18"/>
      <w:szCs w:val="18"/>
    </w:rPr>
  </w:style>
  <w:style w:type="character" w:customStyle="1" w:styleId="96">
    <w:name w:val="页脚 字符"/>
    <w:basedOn w:val="34"/>
    <w:link w:val="20"/>
    <w:qFormat/>
    <w:uiPriority w:val="0"/>
    <w:rPr>
      <w:kern w:val="2"/>
      <w:sz w:val="18"/>
      <w:szCs w:val="18"/>
    </w:rPr>
  </w:style>
  <w:style w:type="character" w:customStyle="1" w:styleId="97">
    <w:name w:val="正文文本缩进 字符"/>
    <w:basedOn w:val="34"/>
    <w:link w:val="12"/>
    <w:qFormat/>
    <w:uiPriority w:val="0"/>
    <w:rPr>
      <w:rFonts w:ascii="仿宋_GB2312" w:eastAsia="仿宋_GB2312"/>
      <w:bCs/>
      <w:kern w:val="2"/>
      <w:sz w:val="28"/>
      <w:szCs w:val="28"/>
    </w:rPr>
  </w:style>
  <w:style w:type="paragraph" w:customStyle="1" w:styleId="98">
    <w:name w:val="样式 首行缩进:  2 字符"/>
    <w:basedOn w:val="1"/>
    <w:qFormat/>
    <w:uiPriority w:val="0"/>
    <w:pPr>
      <w:ind w:firstLine="420" w:firstLineChars="200"/>
    </w:pPr>
    <w:rPr>
      <w:rFonts w:ascii="宋体" w:cs="宋体"/>
      <w:szCs w:val="20"/>
    </w:rPr>
  </w:style>
  <w:style w:type="character" w:customStyle="1" w:styleId="99">
    <w:name w:val="标题 2 字符"/>
    <w:basedOn w:val="34"/>
    <w:link w:val="4"/>
    <w:qFormat/>
    <w:uiPriority w:val="0"/>
    <w:rPr>
      <w:rFonts w:ascii="Arial" w:hAnsi="Arial" w:eastAsia="黑体"/>
      <w:b/>
      <w:bCs/>
      <w:kern w:val="2"/>
      <w:sz w:val="32"/>
      <w:szCs w:val="32"/>
    </w:rPr>
  </w:style>
  <w:style w:type="paragraph" w:customStyle="1" w:styleId="100">
    <w:name w:val="列出段落5"/>
    <w:basedOn w:val="1"/>
    <w:qFormat/>
    <w:uiPriority w:val="99"/>
    <w:pPr>
      <w:ind w:firstLine="420" w:firstLineChars="200"/>
    </w:pPr>
  </w:style>
  <w:style w:type="paragraph" w:customStyle="1" w:styleId="10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2">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103">
    <w:name w:val="Char Char Char Char Char Char Char"/>
    <w:basedOn w:val="1"/>
    <w:qFormat/>
    <w:uiPriority w:val="0"/>
  </w:style>
  <w:style w:type="paragraph" w:customStyle="1" w:styleId="104">
    <w:name w:val="List Paragraph_32a8a71d-9d51-41db-9a20-0e87fd3ab526"/>
    <w:basedOn w:val="1"/>
    <w:qFormat/>
    <w:uiPriority w:val="99"/>
    <w:pPr>
      <w:ind w:firstLine="420" w:firstLineChars="200"/>
    </w:pPr>
  </w:style>
  <w:style w:type="paragraph" w:customStyle="1" w:styleId="105">
    <w:name w:val="样式1"/>
    <w:basedOn w:val="1"/>
    <w:qFormat/>
    <w:uiPriority w:val="0"/>
    <w:pPr>
      <w:numPr>
        <w:ilvl w:val="0"/>
        <w:numId w:val="1"/>
      </w:numPr>
    </w:pPr>
    <w:rPr>
      <w:rFonts w:ascii="宋体" w:hAnsi="宋体"/>
      <w:szCs w:val="21"/>
    </w:rPr>
  </w:style>
  <w:style w:type="paragraph" w:styleId="106">
    <w:name w:val="List Paragraph"/>
    <w:basedOn w:val="1"/>
    <w:unhideWhenUsed/>
    <w:qFormat/>
    <w:uiPriority w:val="99"/>
    <w:pPr>
      <w:ind w:firstLine="420" w:firstLineChars="200"/>
    </w:pPr>
  </w:style>
  <w:style w:type="paragraph" w:customStyle="1" w:styleId="107">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纯文本 字符1"/>
    <w:qFormat/>
    <w:uiPriority w:val="0"/>
    <w:rPr>
      <w:rFonts w:ascii="宋体" w:hAnsi="Tms Rmn" w:cs="宋体"/>
      <w:kern w:val="2"/>
      <w:sz w:val="21"/>
      <w:szCs w:val="21"/>
    </w:rPr>
  </w:style>
  <w:style w:type="character" w:customStyle="1" w:styleId="109">
    <w:name w:val="标题 1 字符"/>
    <w:basedOn w:val="34"/>
    <w:link w:val="3"/>
    <w:qFormat/>
    <w:uiPriority w:val="9"/>
    <w:rPr>
      <w:b/>
      <w:bCs/>
      <w:kern w:val="44"/>
      <w:sz w:val="44"/>
      <w:szCs w:val="44"/>
    </w:rPr>
  </w:style>
  <w:style w:type="character" w:customStyle="1" w:styleId="110">
    <w:name w:val="页眉 Char"/>
    <w:uiPriority w:val="0"/>
    <w:rPr>
      <w:rFonts w:ascii="宋体" w:hAnsi="Verdana" w:eastAsia="宋体"/>
      <w:sz w:val="18"/>
      <w:szCs w:val="18"/>
      <w:lang w:val="en-US" w:eastAsia="zh-CN" w:bidi="ar-SA"/>
    </w:rPr>
  </w:style>
  <w:style w:type="character" w:customStyle="1" w:styleId="111">
    <w:name w:val="纯文本 Char"/>
    <w:qFormat/>
    <w:uiPriority w:val="0"/>
    <w:rPr>
      <w:rFonts w:ascii="宋体" w:hAnsi="Tms Rmn" w:eastAsia="宋体" w:cs="宋体"/>
      <w:sz w:val="21"/>
      <w:szCs w:val="21"/>
      <w:lang w:val="en-US" w:eastAsia="zh-CN" w:bidi="ar-SA"/>
    </w:rPr>
  </w:style>
  <w:style w:type="character" w:customStyle="1" w:styleId="112">
    <w:name w:val="标题 1 Char"/>
    <w:qFormat/>
    <w:uiPriority w:val="0"/>
    <w:rPr>
      <w:rFonts w:ascii="华文中宋" w:hAnsi="华文中宋" w:eastAsia="华文中宋"/>
      <w:b/>
      <w:bCs/>
      <w:color w:val="000000"/>
      <w:kern w:val="44"/>
      <w:sz w:val="32"/>
      <w:szCs w:val="32"/>
    </w:rPr>
  </w:style>
  <w:style w:type="character" w:customStyle="1" w:styleId="113">
    <w:name w:val="标题 2 Char1"/>
    <w:qFormat/>
    <w:uiPriority w:val="0"/>
    <w:rPr>
      <w:rFonts w:ascii="宋体" w:hAnsi="宋体" w:cs="Arial"/>
      <w:b/>
      <w:bCs/>
      <w:iCs/>
      <w:sz w:val="28"/>
      <w:szCs w:val="28"/>
    </w:rPr>
  </w:style>
  <w:style w:type="paragraph" w:customStyle="1" w:styleId="114">
    <w:name w:val="正文文本缩进2"/>
    <w:basedOn w:val="1"/>
    <w:uiPriority w:val="0"/>
    <w:pPr>
      <w:widowControl/>
      <w:spacing w:after="120"/>
      <w:ind w:left="420" w:leftChars="200"/>
      <w:jc w:val="left"/>
    </w:pPr>
    <w:rPr>
      <w:kern w:val="0"/>
      <w:sz w:val="34"/>
      <w:szCs w:val="20"/>
    </w:rPr>
  </w:style>
  <w:style w:type="character" w:customStyle="1" w:styleId="115">
    <w:name w:val="正文文本 3 字符"/>
    <w:basedOn w:val="34"/>
    <w:link w:val="10"/>
    <w:qFormat/>
    <w:uiPriority w:val="0"/>
    <w:rPr>
      <w:rFonts w:ascii="宋体"/>
      <w:sz w:val="16"/>
      <w:szCs w:val="16"/>
    </w:rPr>
  </w:style>
  <w:style w:type="character" w:customStyle="1" w:styleId="116">
    <w:name w:val="fontstyle01"/>
    <w:basedOn w:val="34"/>
    <w:qFormat/>
    <w:uiPriority w:val="0"/>
    <w:rPr>
      <w:rFonts w:hint="eastAsia" w:ascii="仿宋" w:hAnsi="仿宋" w:eastAsia="仿宋"/>
      <w:color w:val="000000"/>
      <w:sz w:val="24"/>
      <w:szCs w:val="24"/>
    </w:rPr>
  </w:style>
  <w:style w:type="character" w:customStyle="1" w:styleId="117">
    <w:name w:val="正文文本 字符"/>
    <w:link w:val="11"/>
    <w:qFormat/>
    <w:uiPriority w:val="0"/>
    <w:rPr>
      <w:rFonts w:ascii="宋体" w:hAnsi="宋体"/>
      <w:color w:val="FF0000"/>
      <w:kern w:val="2"/>
      <w:sz w:val="21"/>
      <w:szCs w:val="32"/>
    </w:rPr>
  </w:style>
  <w:style w:type="paragraph" w:customStyle="1" w:styleId="118">
    <w:name w:val="脚注文本1"/>
    <w:basedOn w:val="1"/>
    <w:next w:val="24"/>
    <w:link w:val="119"/>
    <w:semiHidden/>
    <w:unhideWhenUsed/>
    <w:uiPriority w:val="99"/>
    <w:pPr>
      <w:widowControl/>
      <w:snapToGrid w:val="0"/>
      <w:spacing w:after="160" w:line="259" w:lineRule="auto"/>
      <w:jc w:val="left"/>
    </w:pPr>
    <w:rPr>
      <w:rFonts w:ascii="Calibri" w:hAnsi="Calibri"/>
      <w:kern w:val="0"/>
      <w:sz w:val="18"/>
      <w:szCs w:val="18"/>
    </w:rPr>
  </w:style>
  <w:style w:type="character" w:customStyle="1" w:styleId="119">
    <w:name w:val="脚注文本 字符"/>
    <w:basedOn w:val="34"/>
    <w:link w:val="118"/>
    <w:semiHidden/>
    <w:uiPriority w:val="99"/>
    <w:rPr>
      <w:rFonts w:ascii="Calibri" w:hAnsi="Calibri"/>
      <w:sz w:val="18"/>
      <w:szCs w:val="18"/>
    </w:rPr>
  </w:style>
  <w:style w:type="character" w:customStyle="1" w:styleId="120">
    <w:name w:val="脚注文本 字符1"/>
    <w:basedOn w:val="34"/>
    <w:link w:val="2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D4A0E-1956-47C9-B0CC-3178D49323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2912</Words>
  <Characters>16602</Characters>
  <Lines>138</Lines>
  <Paragraphs>38</Paragraphs>
  <TotalTime>13</TotalTime>
  <ScaleCrop>false</ScaleCrop>
  <LinksUpToDate>false</LinksUpToDate>
  <CharactersWithSpaces>19476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2020-09-14T09:19:00Z</dcterms:created>
  <dc:creator>X</dc:creator>
  <cp:lastModifiedBy>Administrator</cp:lastModifiedBy>
  <cp:lastPrinted>2021-09-16T04:17:48Z</cp:lastPrinted>
  <dcterms:modified xsi:type="dcterms:W3CDTF">2021-09-16T04:17:56Z</dcterms:modified>
  <dc:title>海口市政府采购文件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