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0"/>
        </w:numPr>
        <w:tabs>
          <w:tab w:val="left" w:pos="1800"/>
        </w:tabs>
        <w:spacing w:before="60" w:after="0" w:line="417" w:lineRule="auto"/>
        <w:ind w:right="697" w:rightChars="0" w:firstLine="562" w:firstLineChars="200"/>
        <w:jc w:val="center"/>
        <w:outlineLvl w:val="0"/>
        <w:rPr>
          <w:rFonts w:hint="default" w:cstheme="minorBidi"/>
          <w:b/>
          <w:bCs/>
          <w:color w:val="auto"/>
          <w:kern w:val="2"/>
          <w:sz w:val="28"/>
          <w:szCs w:val="36"/>
          <w:lang w:val="en-US" w:eastAsia="zh-CN" w:bidi="ar-SA"/>
        </w:rPr>
      </w:pPr>
      <w:bookmarkStart w:id="0" w:name="_Toc32622"/>
      <w:r>
        <w:rPr>
          <w:rFonts w:hint="default" w:cstheme="minorBidi"/>
          <w:b/>
          <w:bCs/>
          <w:color w:val="auto"/>
          <w:kern w:val="2"/>
          <w:sz w:val="28"/>
          <w:szCs w:val="36"/>
          <w:lang w:val="en-US" w:eastAsia="zh-CN" w:bidi="ar-SA"/>
        </w:rPr>
        <w:t>第三章 采购需求</w:t>
      </w:r>
      <w:bookmarkEnd w:id="0"/>
    </w:p>
    <w:p>
      <w:pPr>
        <w:spacing w:line="360" w:lineRule="auto"/>
        <w:outlineLvl w:val="1"/>
        <w:rPr>
          <w:rFonts w:hint="eastAsia" w:ascii="宋体" w:hAnsi="宋体" w:eastAsia="宋体" w:cs="宋体"/>
          <w:b/>
          <w:color w:val="auto"/>
          <w:kern w:val="0"/>
          <w:sz w:val="21"/>
          <w:szCs w:val="21"/>
          <w:lang w:eastAsia="zh-CN"/>
        </w:rPr>
      </w:pPr>
      <w:bookmarkStart w:id="1" w:name="_Toc3887"/>
      <w:r>
        <w:rPr>
          <w:rFonts w:hint="eastAsia" w:ascii="宋体" w:hAnsi="宋体" w:eastAsia="宋体" w:cs="宋体"/>
          <w:b/>
          <w:color w:val="auto"/>
          <w:kern w:val="0"/>
          <w:sz w:val="21"/>
          <w:szCs w:val="21"/>
          <w:lang w:eastAsia="zh-CN"/>
        </w:rPr>
        <w:t>一、服务目的</w:t>
      </w:r>
      <w:bookmarkEnd w:id="1"/>
    </w:p>
    <w:p>
      <w:pPr>
        <w:keepNext w:val="0"/>
        <w:keepLines w:val="0"/>
        <w:pageBreakBefore w:val="0"/>
        <w:numPr>
          <w:ilvl w:val="0"/>
          <w:numId w:val="0"/>
        </w:numPr>
        <w:kinsoku/>
        <w:wordWrap/>
        <w:overflowPunct/>
        <w:topLinePunct w:val="0"/>
        <w:autoSpaceDE/>
        <w:autoSpaceDN/>
        <w:bidi w:val="0"/>
        <w:adjustRightInd/>
        <w:snapToGrid/>
        <w:spacing w:before="7" w:line="360" w:lineRule="auto"/>
        <w:ind w:left="0" w:leftChars="0" w:right="17" w:rightChars="8" w:firstLine="420" w:firstLineChars="200"/>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政府采购应当有助于实现国家的经济和社会发展政策目标，支持本国产品采购， 促进中小企业发展，优先采购节能环保产品，扶持监狱企业和残疾人福利性单位等。采购需求要符合国家法律法规规定，执行国家相关标准、行业标准、地方标准等规范。</w:t>
      </w:r>
    </w:p>
    <w:p>
      <w:pPr>
        <w:pStyle w:val="2"/>
        <w:keepNext/>
        <w:keepLines/>
        <w:pageBreakBefore w:val="0"/>
        <w:widowControl w:val="0"/>
        <w:kinsoku/>
        <w:wordWrap/>
        <w:overflowPunct/>
        <w:topLinePunct w:val="0"/>
        <w:autoSpaceDE/>
        <w:autoSpaceDN/>
        <w:bidi w:val="0"/>
        <w:adjustRightInd/>
        <w:snapToGrid/>
        <w:spacing w:before="0" w:after="0" w:line="360" w:lineRule="auto"/>
        <w:ind w:left="0" w:leftChars="0" w:right="17" w:rightChars="8" w:firstLine="420" w:firstLineChars="200"/>
        <w:jc w:val="both"/>
        <w:textAlignment w:val="auto"/>
        <w:rPr>
          <w:rFonts w:hint="default"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本项目采购标的对应的中小企业划分标准所属行：</w:t>
      </w:r>
      <w:r>
        <w:rPr>
          <w:rFonts w:hint="eastAsia" w:ascii="宋体" w:hAnsi="宋体" w:eastAsia="宋体" w:cs="宋体"/>
          <w:b w:val="0"/>
          <w:bCs/>
          <w:color w:val="auto"/>
          <w:kern w:val="2"/>
          <w:sz w:val="21"/>
          <w:szCs w:val="21"/>
          <w:highlight w:val="none"/>
          <w:u w:val="single"/>
          <w:lang w:val="en-US" w:eastAsia="zh-CN" w:bidi="ar-SA"/>
        </w:rPr>
        <w:t xml:space="preserve">   制造业  </w:t>
      </w:r>
      <w:r>
        <w:rPr>
          <w:rFonts w:hint="eastAsia" w:ascii="宋体" w:hAnsi="宋体" w:eastAsia="宋体" w:cs="宋体"/>
          <w:b w:val="0"/>
          <w:bCs/>
          <w:color w:val="auto"/>
          <w:kern w:val="2"/>
          <w:sz w:val="21"/>
          <w:szCs w:val="21"/>
          <w:highlight w:val="none"/>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before="0" w:line="360" w:lineRule="auto"/>
        <w:ind w:right="577" w:rightChars="0"/>
        <w:jc w:val="both"/>
        <w:textAlignment w:val="auto"/>
        <w:outlineLvl w:val="1"/>
        <w:rPr>
          <w:rFonts w:hint="eastAsia" w:ascii="宋体" w:hAnsi="宋体" w:eastAsia="宋体" w:cs="宋体"/>
          <w:b/>
          <w:color w:val="auto"/>
          <w:sz w:val="21"/>
          <w:szCs w:val="21"/>
        </w:rPr>
      </w:pPr>
      <w:bookmarkStart w:id="2" w:name="_Toc29837"/>
      <w:r>
        <w:rPr>
          <w:rFonts w:hint="eastAsia" w:ascii="宋体" w:hAnsi="宋体" w:eastAsia="宋体" w:cs="宋体"/>
          <w:b/>
          <w:color w:val="auto"/>
          <w:sz w:val="21"/>
          <w:szCs w:val="21"/>
          <w:lang w:eastAsia="zh-CN"/>
        </w:rPr>
        <w:t>二、</w:t>
      </w:r>
      <w:r>
        <w:rPr>
          <w:rFonts w:hint="eastAsia" w:ascii="宋体" w:hAnsi="宋体" w:eastAsia="宋体" w:cs="宋体"/>
          <w:b/>
          <w:color w:val="auto"/>
          <w:sz w:val="21"/>
          <w:szCs w:val="21"/>
        </w:rPr>
        <w:t>采购清单（含技术要求、采购数量）</w:t>
      </w:r>
      <w:bookmarkEnd w:id="2"/>
    </w:p>
    <w:p>
      <w:pPr>
        <w:pStyle w:val="6"/>
        <w:numPr>
          <w:ilvl w:val="0"/>
          <w:numId w:val="0"/>
        </w:numPr>
        <w:tabs>
          <w:tab w:val="left" w:pos="1800"/>
        </w:tabs>
        <w:spacing w:before="60" w:after="0" w:line="360" w:lineRule="auto"/>
        <w:ind w:right="697" w:rightChars="0" w:firstLine="420" w:firstLineChars="200"/>
        <w:jc w:val="both"/>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（一）采购产品一览表</w:t>
      </w:r>
    </w:p>
    <w:tbl>
      <w:tblPr>
        <w:tblStyle w:val="4"/>
        <w:tblpPr w:leftFromText="180" w:rightFromText="180" w:vertAnchor="page" w:horzAnchor="page" w:tblpX="1894" w:tblpY="528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4705"/>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76" w:type="dxa"/>
            <w:vAlign w:val="center"/>
          </w:tcPr>
          <w:p>
            <w:pPr>
              <w:jc w:val="center"/>
              <w:rPr>
                <w:rFonts w:hint="eastAsia" w:eastAsiaTheme="minorEastAsia"/>
                <w:b/>
                <w:bCs/>
                <w:color w:val="auto"/>
                <w:vertAlign w:val="baseline"/>
                <w:lang w:val="en-US" w:eastAsia="zh-CN"/>
              </w:rPr>
            </w:pPr>
            <w:r>
              <w:rPr>
                <w:rFonts w:hint="eastAsia"/>
                <w:b/>
                <w:bCs/>
                <w:color w:val="auto"/>
                <w:vertAlign w:val="baseline"/>
                <w:lang w:val="en-US" w:eastAsia="zh-CN"/>
              </w:rPr>
              <w:t>序号</w:t>
            </w:r>
          </w:p>
        </w:tc>
        <w:tc>
          <w:tcPr>
            <w:tcW w:w="4705" w:type="dxa"/>
            <w:vAlign w:val="center"/>
          </w:tcPr>
          <w:p>
            <w:pPr>
              <w:jc w:val="center"/>
              <w:rPr>
                <w:rFonts w:hint="eastAsia" w:eastAsiaTheme="minorEastAsia"/>
                <w:b/>
                <w:bCs/>
                <w:color w:val="auto"/>
                <w:vertAlign w:val="baseline"/>
                <w:lang w:eastAsia="zh-CN"/>
              </w:rPr>
            </w:pPr>
            <w:r>
              <w:rPr>
                <w:rFonts w:hint="eastAsia"/>
                <w:b/>
                <w:bCs/>
                <w:color w:val="auto"/>
                <w:vertAlign w:val="baseline"/>
                <w:lang w:eastAsia="zh-CN"/>
              </w:rPr>
              <w:t>产品名称</w:t>
            </w:r>
          </w:p>
        </w:tc>
        <w:tc>
          <w:tcPr>
            <w:tcW w:w="2841" w:type="dxa"/>
            <w:vAlign w:val="center"/>
          </w:tcPr>
          <w:p>
            <w:pPr>
              <w:jc w:val="center"/>
              <w:rPr>
                <w:rFonts w:hint="eastAsia" w:eastAsiaTheme="minorEastAsia"/>
                <w:b/>
                <w:bCs/>
                <w:color w:val="auto"/>
                <w:vertAlign w:val="baseline"/>
                <w:lang w:eastAsia="zh-CN"/>
              </w:rPr>
            </w:pPr>
            <w:r>
              <w:rPr>
                <w:rFonts w:hint="eastAsia"/>
                <w:b/>
                <w:bCs/>
                <w:color w:val="auto"/>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76"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1</w:t>
            </w:r>
          </w:p>
        </w:tc>
        <w:tc>
          <w:tcPr>
            <w:tcW w:w="4705" w:type="dxa"/>
            <w:vAlign w:val="center"/>
          </w:tcPr>
          <w:p>
            <w:pPr>
              <w:jc w:val="center"/>
              <w:rPr>
                <w:rFonts w:hint="eastAsia" w:eastAsiaTheme="minorEastAsia"/>
                <w:color w:val="auto"/>
                <w:vertAlign w:val="baseline"/>
                <w:lang w:eastAsia="zh-CN"/>
              </w:rPr>
            </w:pPr>
            <w:r>
              <w:rPr>
                <w:rFonts w:hint="eastAsia"/>
                <w:color w:val="auto"/>
                <w:vertAlign w:val="baseline"/>
                <w:lang w:eastAsia="zh-CN"/>
              </w:rPr>
              <w:t>生物安全柜</w:t>
            </w:r>
          </w:p>
        </w:tc>
        <w:tc>
          <w:tcPr>
            <w:tcW w:w="2841"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76"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2</w:t>
            </w:r>
          </w:p>
        </w:tc>
        <w:tc>
          <w:tcPr>
            <w:tcW w:w="4705" w:type="dxa"/>
            <w:vAlign w:val="center"/>
          </w:tcPr>
          <w:p>
            <w:pPr>
              <w:jc w:val="center"/>
              <w:rPr>
                <w:rFonts w:hint="eastAsia" w:eastAsiaTheme="minorEastAsia"/>
                <w:color w:val="auto"/>
                <w:vertAlign w:val="baseline"/>
                <w:lang w:eastAsia="zh-CN"/>
              </w:rPr>
            </w:pPr>
            <w:r>
              <w:rPr>
                <w:rFonts w:hint="eastAsia"/>
                <w:color w:val="auto"/>
                <w:vertAlign w:val="baseline"/>
                <w:lang w:eastAsia="zh-CN"/>
              </w:rPr>
              <w:t>全自动生化分析仪</w:t>
            </w:r>
          </w:p>
        </w:tc>
        <w:tc>
          <w:tcPr>
            <w:tcW w:w="2841" w:type="dxa"/>
            <w:vAlign w:val="center"/>
          </w:tcPr>
          <w:p>
            <w:pPr>
              <w:jc w:val="center"/>
              <w:rPr>
                <w:color w:val="auto"/>
                <w:vertAlign w:val="baseline"/>
              </w:rPr>
            </w:pPr>
            <w:r>
              <w:rPr>
                <w:rFonts w:hint="eastAsia"/>
                <w:color w:val="auto"/>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76"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3</w:t>
            </w:r>
          </w:p>
        </w:tc>
        <w:tc>
          <w:tcPr>
            <w:tcW w:w="4705" w:type="dxa"/>
            <w:vAlign w:val="center"/>
          </w:tcPr>
          <w:p>
            <w:pPr>
              <w:jc w:val="center"/>
              <w:rPr>
                <w:rFonts w:hint="eastAsia" w:eastAsiaTheme="minorEastAsia"/>
                <w:color w:val="auto"/>
                <w:vertAlign w:val="baseline"/>
                <w:lang w:eastAsia="zh-CN"/>
              </w:rPr>
            </w:pPr>
            <w:r>
              <w:rPr>
                <w:rFonts w:hint="eastAsia"/>
                <w:color w:val="auto"/>
                <w:vertAlign w:val="baseline"/>
                <w:lang w:eastAsia="zh-CN"/>
              </w:rPr>
              <w:t>全自动血球分析仪</w:t>
            </w:r>
          </w:p>
        </w:tc>
        <w:tc>
          <w:tcPr>
            <w:tcW w:w="2841" w:type="dxa"/>
            <w:vAlign w:val="center"/>
          </w:tcPr>
          <w:p>
            <w:pPr>
              <w:jc w:val="center"/>
              <w:rPr>
                <w:color w:val="auto"/>
                <w:vertAlign w:val="baseline"/>
              </w:rPr>
            </w:pPr>
            <w:r>
              <w:rPr>
                <w:rFonts w:hint="eastAsia"/>
                <w:color w:val="auto"/>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76"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4</w:t>
            </w:r>
          </w:p>
        </w:tc>
        <w:tc>
          <w:tcPr>
            <w:tcW w:w="4705" w:type="dxa"/>
            <w:vAlign w:val="center"/>
          </w:tcPr>
          <w:p>
            <w:pPr>
              <w:jc w:val="center"/>
              <w:rPr>
                <w:rFonts w:hint="eastAsia" w:eastAsiaTheme="minorEastAsia"/>
                <w:color w:val="auto"/>
                <w:vertAlign w:val="baseline"/>
                <w:lang w:eastAsia="zh-CN"/>
              </w:rPr>
            </w:pPr>
            <w:r>
              <w:rPr>
                <w:rFonts w:hint="eastAsia"/>
                <w:color w:val="auto"/>
                <w:vertAlign w:val="baseline"/>
                <w:lang w:eastAsia="zh-CN"/>
              </w:rPr>
              <w:t>全自动尿液分析一体机</w:t>
            </w:r>
          </w:p>
        </w:tc>
        <w:tc>
          <w:tcPr>
            <w:tcW w:w="2841" w:type="dxa"/>
            <w:vAlign w:val="center"/>
          </w:tcPr>
          <w:p>
            <w:pPr>
              <w:jc w:val="center"/>
              <w:rPr>
                <w:color w:val="auto"/>
                <w:vertAlign w:val="baseline"/>
              </w:rPr>
            </w:pPr>
            <w:r>
              <w:rPr>
                <w:rFonts w:hint="eastAsia"/>
                <w:color w:val="auto"/>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76"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5</w:t>
            </w:r>
          </w:p>
        </w:tc>
        <w:tc>
          <w:tcPr>
            <w:tcW w:w="4705" w:type="dxa"/>
            <w:vAlign w:val="center"/>
          </w:tcPr>
          <w:p>
            <w:pPr>
              <w:jc w:val="center"/>
              <w:rPr>
                <w:rFonts w:hint="eastAsia" w:eastAsiaTheme="minorEastAsia"/>
                <w:color w:val="auto"/>
                <w:vertAlign w:val="baseline"/>
                <w:lang w:eastAsia="zh-CN"/>
              </w:rPr>
            </w:pPr>
            <w:r>
              <w:rPr>
                <w:rFonts w:hint="eastAsia"/>
                <w:color w:val="auto"/>
                <w:vertAlign w:val="baseline"/>
                <w:lang w:eastAsia="zh-CN"/>
              </w:rPr>
              <w:t>显微镜</w:t>
            </w:r>
          </w:p>
        </w:tc>
        <w:tc>
          <w:tcPr>
            <w:tcW w:w="2841" w:type="dxa"/>
            <w:vAlign w:val="center"/>
          </w:tcPr>
          <w:p>
            <w:pPr>
              <w:jc w:val="center"/>
              <w:rPr>
                <w:color w:val="auto"/>
                <w:vertAlign w:val="baseline"/>
              </w:rPr>
            </w:pPr>
            <w:r>
              <w:rPr>
                <w:rFonts w:hint="eastAsia"/>
                <w:color w:val="auto"/>
                <w:vertAlign w:val="baseline"/>
                <w:lang w:val="en-US" w:eastAsia="zh-CN"/>
              </w:rPr>
              <w:t>2台</w:t>
            </w:r>
          </w:p>
        </w:tc>
      </w:tr>
    </w:tbl>
    <w:p>
      <w:pPr>
        <w:pStyle w:val="6"/>
        <w:numPr>
          <w:ilvl w:val="0"/>
          <w:numId w:val="0"/>
        </w:numPr>
        <w:tabs>
          <w:tab w:val="left" w:pos="1800"/>
        </w:tabs>
        <w:spacing w:before="60" w:after="0" w:line="360" w:lineRule="auto"/>
        <w:ind w:right="697" w:rightChars="0" w:firstLine="420" w:firstLineChars="200"/>
        <w:jc w:val="both"/>
        <w:rPr>
          <w:rFonts w:hint="eastAsia" w:cstheme="minorBidi"/>
          <w:color w:val="auto"/>
          <w:kern w:val="2"/>
          <w:sz w:val="21"/>
          <w:szCs w:val="24"/>
          <w:lang w:val="en-US" w:eastAsia="zh-CN" w:bidi="ar-SA"/>
        </w:rPr>
      </w:pPr>
    </w:p>
    <w:p>
      <w:pPr>
        <w:pStyle w:val="6"/>
        <w:keepNext w:val="0"/>
        <w:keepLines w:val="0"/>
        <w:pageBreakBefore w:val="0"/>
        <w:widowControl w:val="0"/>
        <w:numPr>
          <w:ilvl w:val="0"/>
          <w:numId w:val="1"/>
        </w:numPr>
        <w:tabs>
          <w:tab w:val="left" w:pos="1800"/>
        </w:tabs>
        <w:kinsoku/>
        <w:wordWrap/>
        <w:overflowPunct/>
        <w:topLinePunct w:val="0"/>
        <w:autoSpaceDE/>
        <w:autoSpaceDN/>
        <w:bidi w:val="0"/>
        <w:adjustRightInd/>
        <w:snapToGrid/>
        <w:spacing w:before="60" w:after="0" w:line="360" w:lineRule="auto"/>
        <w:ind w:right="697" w:rightChars="0" w:firstLine="420" w:firstLineChars="20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产品清单及指标要求。</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1、货物名称：生物安全柜</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（1）安全柜分类：A2型，30%外排，70%循环</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外部尺寸（L×D×H） 1500mm ×750mm×2250mm；</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*内部尺寸（L×D×H） 1350mm ×600mm×660mm ，长度尺寸大于1300mm。</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（2）生物安全性：</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 xml:space="preserve">* 人员安全性：用碘化钾（KI）法测试，前窗操作口德保护因子应不小于1×106； </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 xml:space="preserve">  产品安全性：菌落数≤5CFU/次 ；</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 xml:space="preserve">  交叉污染安全性：菌落数≤2CFU/次。</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 过滤效率:送风和排风过滤器均采用Ulpa超高效过滤器，对0.12μm颗粒过滤效率≥99.9995%。</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工作区采用四面（左右二侧、后部、底部）负压环绕设计工作区内，保护性更好、更安全。</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可在安全柜前方更换、维修过滤器及风机。</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气道密闭性：装置的气道在承受500 Pa±10%的压力下，其贯穿部分在皂泡实验条件下无气泡出现。</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平均风速：下降风速0.33±0.015m/s,  吸入口风速0.53±0.015m/s。</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电机与风机：风机的电机应保证当安全柜在正常运行而不调整电机的速度控制，经过滤器的风压下降50%时，风机的排气量下降应不超过10%。</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*前玻璃窗有10度生理斜度，视角更大，更具人性化，且超出安全高度具有声光报警功能。</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*前窗玻璃采用双层夹胶防爆安全玻璃；即使玻璃破损，也不会伤人，并且生物安全柜还能正常工作，直到实验结束。</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*前玻璃窗，可同时采用脚踏控制，电动开关或遥控控制，不直接接触玻璃，使实验人员更安全。</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内部工作区域，工作区内墙体及工作台面为优质304#不锈钢，操作区三面一体成型，三面无接缝圆角结构,不留死角，易于清洁。</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*采用盆状的工作台面，即使实验有废液溢出，也不会流入积液槽中，便于清理。</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噪音等级：≤65dB（A）</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照明：≥900lx</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*高亮度LCD显示屏,实时动态显示操作区的下降气流流速和流入气流流速 ，实时显示过滤器的寿命、安全柜的整体运行时间、UV灯的运行时间，操作区的温度和湿度、送风和排风过滤器的阻力。当安全柜出现故障时，声光报警提示。</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遥控控制，减少使用者与安全柜的直接接触，更能保护使用者。</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*具有预约定时功能，能自动消毒、自动开关机，提高工作效率。</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（3）资格证明和技术文件</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*国家食品药品监督管理局核发的生物安全柜产品注册证及制造认可表</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leftChars="200" w:right="697" w:rightChars="0"/>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2、货物名称：全自动生化分析仪</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（1）分析速度：化学比色恒速800T/H，如选配ISE模块（K\Na\Cl三项）检测速度1200T/H</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（2）适用样品：血清、血浆、尿液及脑脊液</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（3）测试方法：终点法、固定时间法、动力学法、离子电极法等;支持单/双波长，线性和非线性校准</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（4）可同时分析项目：＞65个的测试项目</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（5）常规样本位：≥440个，且不少于20个具备冷藏功能，有软道和圆盘双进样系统，具有常规、急诊、标准及质控等样本架类型</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（6）最小样本吸样量：≤1.5μL，具备样本堵针检测功能，空吸检测</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（7）试剂位数量：不少于120个，并可支持试剂在线更换和添加</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（8）试剂冷藏温度：24小时不间断2～8℃冷藏</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（9）比色杯：永久性石英玻璃比色杯</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（10）比色杯载量：≥150个</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（11）*反应盘加热系统：固体直热，37℃±0.1℃，真正免维护免保养</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（12）比色杯清洗：自动8阶清洗</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（13）光源：卤钨灯</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（14）光源寿命：≥1500小时,具备自动调节功能</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（15）光学检测系统：光栅式分光</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（16）波长范围：340～800nm，不少于10个检测波长点</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（17）*吸光度线性范围：0-3.4Abs</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（18）*最小总反应体积：100μl</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（19）紧急插入功能：具备</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（20）测试质量控制功能：具备</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（21）试剂不足自动报警：具备</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（22）反应时间：＞12min</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（23）操作系统：≥17寸液晶触摸显示屏，支持LIS系统连接及远程维护功能，支持三种测试申请模式（顺序模式、样本架号模式、条码模式）</w:t>
      </w:r>
    </w:p>
    <w:p>
      <w:pPr>
        <w:pStyle w:val="6"/>
        <w:keepNext w:val="0"/>
        <w:keepLines w:val="0"/>
        <w:pageBreakBefore w:val="0"/>
        <w:widowControl w:val="0"/>
        <w:numPr>
          <w:ilvl w:val="0"/>
          <w:numId w:val="0"/>
        </w:numPr>
        <w:tabs>
          <w:tab w:val="left" w:pos="1800"/>
        </w:tabs>
        <w:kinsoku/>
        <w:wordWrap/>
        <w:overflowPunct/>
        <w:topLinePunct w:val="0"/>
        <w:autoSpaceDE/>
        <w:autoSpaceDN/>
        <w:bidi w:val="0"/>
        <w:adjustRightInd/>
        <w:snapToGrid/>
        <w:spacing w:before="60" w:after="0" w:line="360" w:lineRule="auto"/>
        <w:ind w:right="697" w:rightChars="0"/>
        <w:jc w:val="both"/>
        <w:textAlignment w:val="auto"/>
        <w:rPr>
          <w:rFonts w:hint="eastAsia"/>
          <w:color w:val="auto"/>
          <w:vertAlign w:val="baseline"/>
          <w:lang w:val="en-US" w:eastAsia="zh-CN"/>
        </w:rPr>
      </w:pPr>
      <w:r>
        <w:rPr>
          <w:rFonts w:hint="eastAsia"/>
          <w:color w:val="auto"/>
          <w:vertAlign w:val="baseline"/>
          <w:lang w:val="en-US" w:eastAsia="zh-CN"/>
        </w:rPr>
        <w:t>（24）酶线性拓展功能：具备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color w:val="auto"/>
          <w:lang w:val="en-US" w:eastAsia="zh-CN"/>
        </w:rPr>
        <w:t>（25）*拓展功能：可与同品牌全自动生化分析仪联机为生化流水线，也可以与同品牌全自动化学发光免疫分析仪联机为生化免疫一体机。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heme="minorBidi"/>
          <w:color w:val="auto"/>
          <w:kern w:val="2"/>
          <w:sz w:val="21"/>
          <w:szCs w:val="24"/>
          <w:lang w:val="en-US" w:eastAsia="zh-CN" w:bidi="ar-SA"/>
        </w:rPr>
      </w:pPr>
      <w:r>
        <w:rPr>
          <w:rFonts w:hint="eastAsia"/>
          <w:color w:val="auto"/>
          <w:lang w:val="en-US" w:eastAsia="zh-CN"/>
        </w:rPr>
        <w:t>3、</w:t>
      </w:r>
      <w:r>
        <w:rPr>
          <w:rFonts w:hint="eastAsia" w:cstheme="minorBidi"/>
          <w:color w:val="auto"/>
          <w:kern w:val="2"/>
          <w:sz w:val="21"/>
          <w:szCs w:val="24"/>
          <w:lang w:val="en-US" w:eastAsia="zh-CN" w:bidi="ar-SA"/>
        </w:rPr>
        <w:t>货物名称：全自动血球分析仪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default"/>
          <w:color w:val="auto"/>
          <w:lang w:val="en-US" w:eastAsia="zh-CN"/>
        </w:rPr>
        <w:t>*</w:t>
      </w:r>
      <w:r>
        <w:rPr>
          <w:rFonts w:hint="eastAsia"/>
          <w:color w:val="auto"/>
          <w:lang w:val="en-US" w:eastAsia="zh-CN"/>
        </w:rPr>
        <w:t>（1）</w:t>
      </w:r>
      <w:r>
        <w:rPr>
          <w:rFonts w:hint="default"/>
          <w:color w:val="auto"/>
          <w:lang w:val="en-US" w:eastAsia="zh-CN"/>
        </w:rPr>
        <w:t>检测原理：采用激光散射法对白细胞进行准确的五分类检测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（2）</w:t>
      </w:r>
      <w:r>
        <w:rPr>
          <w:rFonts w:hint="default"/>
          <w:color w:val="auto"/>
          <w:lang w:val="en-US" w:eastAsia="zh-CN"/>
        </w:rPr>
        <w:t>检测参数：≥26项可报告参数（不含散点图和直方图）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（3）</w:t>
      </w:r>
      <w:r>
        <w:rPr>
          <w:rFonts w:hint="default"/>
          <w:color w:val="auto"/>
          <w:lang w:val="en-US" w:eastAsia="zh-CN"/>
        </w:rPr>
        <w:t>研究参数：≥6项，具有异常淋巴细胞、有核红细胞和原始细胞报警信息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default"/>
          <w:color w:val="auto"/>
          <w:lang w:val="en-US" w:eastAsia="zh-CN"/>
        </w:rPr>
        <w:t>*</w:t>
      </w:r>
      <w:r>
        <w:rPr>
          <w:rFonts w:hint="eastAsia"/>
          <w:color w:val="auto"/>
          <w:lang w:val="en-US" w:eastAsia="zh-CN"/>
        </w:rPr>
        <w:t>（4）</w:t>
      </w:r>
      <w:r>
        <w:rPr>
          <w:rFonts w:hint="default"/>
          <w:color w:val="auto"/>
          <w:lang w:val="en-US" w:eastAsia="zh-CN"/>
        </w:rPr>
        <w:t>样本用量：五分类+CRP模式≤40μl，CRP模式≤20μl</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（5）</w:t>
      </w:r>
      <w:r>
        <w:rPr>
          <w:rFonts w:hint="default"/>
          <w:color w:val="auto"/>
          <w:lang w:val="en-US" w:eastAsia="zh-CN"/>
        </w:rPr>
        <w:t>检测速度：五分类+CRP模式≥60个样本/小时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（6）</w:t>
      </w:r>
      <w:r>
        <w:rPr>
          <w:rFonts w:hint="default"/>
          <w:color w:val="auto"/>
          <w:lang w:val="en-US" w:eastAsia="zh-CN"/>
        </w:rPr>
        <w:t>预稀释模式：自动定量打出稀释液，具备五分类+CRP功能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default"/>
          <w:color w:val="auto"/>
          <w:lang w:val="en-US" w:eastAsia="zh-CN"/>
        </w:rPr>
        <w:t>*</w:t>
      </w:r>
      <w:r>
        <w:rPr>
          <w:rFonts w:hint="eastAsia"/>
          <w:color w:val="auto"/>
          <w:lang w:val="en-US" w:eastAsia="zh-CN"/>
        </w:rPr>
        <w:t>（7）</w:t>
      </w:r>
      <w:r>
        <w:rPr>
          <w:rFonts w:hint="default"/>
          <w:color w:val="auto"/>
          <w:lang w:val="en-US" w:eastAsia="zh-CN"/>
        </w:rPr>
        <w:t>检测模式：具有独立CRP、五分类+CRP等3种以上全血检测模式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（8）</w:t>
      </w:r>
      <w:r>
        <w:rPr>
          <w:rFonts w:hint="default"/>
          <w:color w:val="auto"/>
          <w:lang w:val="en-US" w:eastAsia="zh-CN"/>
        </w:rPr>
        <w:t>预稀释模式：自动定量打出稀释液，具备五分类+CRP功能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default"/>
          <w:color w:val="auto"/>
          <w:lang w:val="en-US" w:eastAsia="zh-CN"/>
        </w:rPr>
        <w:t>*</w:t>
      </w:r>
      <w:r>
        <w:rPr>
          <w:rFonts w:hint="eastAsia"/>
          <w:color w:val="auto"/>
          <w:lang w:val="en-US" w:eastAsia="zh-CN"/>
        </w:rPr>
        <w:t>（9）</w:t>
      </w:r>
      <w:r>
        <w:rPr>
          <w:rFonts w:hint="default"/>
          <w:color w:val="auto"/>
          <w:lang w:val="en-US" w:eastAsia="zh-CN"/>
        </w:rPr>
        <w:t>进样模式：具有独立的静脉全血、末梢全血、预稀释血检测模式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（10）</w:t>
      </w:r>
      <w:r>
        <w:rPr>
          <w:rFonts w:hint="default"/>
          <w:color w:val="auto"/>
          <w:lang w:val="en-US" w:eastAsia="zh-CN"/>
        </w:rPr>
        <w:t>WBC线性范围：0~400×109/L</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default"/>
          <w:color w:val="auto"/>
          <w:lang w:val="en-US" w:eastAsia="zh-CN"/>
        </w:rPr>
        <w:t>*</w:t>
      </w:r>
      <w:r>
        <w:rPr>
          <w:rFonts w:hint="eastAsia"/>
          <w:color w:val="auto"/>
          <w:lang w:val="en-US" w:eastAsia="zh-CN"/>
        </w:rPr>
        <w:t>（11）</w:t>
      </w:r>
      <w:r>
        <w:rPr>
          <w:rFonts w:hint="default"/>
          <w:color w:val="auto"/>
          <w:lang w:val="en-US" w:eastAsia="zh-CN"/>
        </w:rPr>
        <w:t>CRP线性范围：0.3~300mg/L</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（12）</w:t>
      </w:r>
      <w:r>
        <w:rPr>
          <w:rFonts w:hint="default"/>
          <w:color w:val="auto"/>
          <w:lang w:val="en-US" w:eastAsia="zh-CN"/>
        </w:rPr>
        <w:t>CRP携带污染：≤1.0%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（13）</w:t>
      </w:r>
      <w:r>
        <w:rPr>
          <w:rFonts w:hint="default"/>
          <w:color w:val="auto"/>
          <w:lang w:val="en-US" w:eastAsia="zh-CN"/>
        </w:rPr>
        <w:t>操作系统：全中文操作分析报告软件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（14）</w:t>
      </w:r>
      <w:r>
        <w:rPr>
          <w:rFonts w:hint="default"/>
          <w:color w:val="auto"/>
          <w:lang w:val="en-US" w:eastAsia="zh-CN"/>
        </w:rPr>
        <w:t>排堵方式：正反冲洗，高压灼烧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（15）</w:t>
      </w:r>
      <w:r>
        <w:rPr>
          <w:rFonts w:hint="default"/>
          <w:color w:val="auto"/>
          <w:lang w:val="en-US" w:eastAsia="zh-CN"/>
        </w:rPr>
        <w:t>工作电压: (100V-240V～)允差±10%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default"/>
          <w:color w:val="auto"/>
          <w:lang w:val="en-US" w:eastAsia="zh-CN"/>
        </w:rPr>
        <w:t>*</w:t>
      </w:r>
      <w:r>
        <w:rPr>
          <w:rFonts w:hint="eastAsia"/>
          <w:color w:val="auto"/>
          <w:lang w:val="en-US" w:eastAsia="zh-CN"/>
        </w:rPr>
        <w:t>（16）</w:t>
      </w:r>
      <w:r>
        <w:rPr>
          <w:rFonts w:hint="default"/>
          <w:color w:val="auto"/>
          <w:lang w:val="en-US" w:eastAsia="zh-CN"/>
        </w:rPr>
        <w:t>具有SFDA注册认证的原厂配套的试剂、校准品、质控品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heme="minorBidi"/>
          <w:color w:val="auto"/>
          <w:kern w:val="2"/>
          <w:sz w:val="21"/>
          <w:szCs w:val="24"/>
          <w:lang w:val="en-US" w:eastAsia="zh-CN" w:bidi="ar-SA"/>
        </w:rPr>
      </w:pPr>
      <w:r>
        <w:rPr>
          <w:rFonts w:hint="eastAsia"/>
          <w:color w:val="auto"/>
          <w:lang w:val="en-US" w:eastAsia="zh-CN"/>
        </w:rPr>
        <w:t>4、</w:t>
      </w:r>
      <w:r>
        <w:rPr>
          <w:rFonts w:hint="eastAsia" w:cstheme="minorBidi"/>
          <w:color w:val="auto"/>
          <w:kern w:val="2"/>
          <w:sz w:val="21"/>
          <w:szCs w:val="24"/>
          <w:lang w:val="en-US" w:eastAsia="zh-CN" w:bidi="ar-SA"/>
        </w:rPr>
        <w:t>货物名称：</w:t>
      </w:r>
      <w:r>
        <w:rPr>
          <w:rFonts w:hint="eastAsia"/>
          <w:color w:val="auto"/>
          <w:vertAlign w:val="baseline"/>
          <w:lang w:eastAsia="zh-CN"/>
        </w:rPr>
        <w:t>全自动尿液分析一体机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（1）</w:t>
      </w:r>
      <w:r>
        <w:rPr>
          <w:rFonts w:hint="default"/>
          <w:color w:val="auto"/>
          <w:lang w:val="en-US" w:eastAsia="zh-CN"/>
        </w:rPr>
        <w:t>测定原理：反射光电比色法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（2）</w:t>
      </w:r>
      <w:r>
        <w:rPr>
          <w:rFonts w:hint="default"/>
          <w:color w:val="auto"/>
          <w:lang w:val="en-US" w:eastAsia="zh-CN"/>
        </w:rPr>
        <w:t>光源系统：采用冷光源测定系统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stheme="minorBidi"/>
          <w:color w:val="auto"/>
          <w:kern w:val="2"/>
          <w:sz w:val="21"/>
          <w:szCs w:val="24"/>
          <w:lang w:val="en-US" w:eastAsia="zh-CN" w:bidi="ar-SA"/>
        </w:rPr>
        <w:t>*</w:t>
      </w:r>
      <w:r>
        <w:rPr>
          <w:rFonts w:hint="eastAsia"/>
          <w:color w:val="auto"/>
          <w:lang w:val="en-US" w:eastAsia="zh-CN"/>
        </w:rPr>
        <w:t>（3）</w:t>
      </w:r>
      <w:r>
        <w:rPr>
          <w:rFonts w:hint="default"/>
          <w:color w:val="auto"/>
          <w:lang w:val="en-US" w:eastAsia="zh-CN"/>
        </w:rPr>
        <w:t xml:space="preserve">测定速度：≥520条/h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（4）</w:t>
      </w:r>
      <w:r>
        <w:rPr>
          <w:rFonts w:hint="default"/>
          <w:color w:val="auto"/>
          <w:lang w:val="en-US" w:eastAsia="zh-CN"/>
        </w:rPr>
        <w:t>试纸项目选择：兼容14项、13项、11项、10项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（5）</w:t>
      </w:r>
      <w:r>
        <w:rPr>
          <w:rFonts w:hint="default"/>
          <w:color w:val="auto"/>
          <w:lang w:val="en-US" w:eastAsia="zh-CN"/>
        </w:rPr>
        <w:t>可测项目：白细胞、酮体、亚硝酸盐、尿胆原、胆红素、尿蛋白、葡萄糖、比重、隐血、pH、维生素C、肌酐、尿钙、微白蛋白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（6）</w:t>
      </w:r>
      <w:r>
        <w:rPr>
          <w:rFonts w:hint="default"/>
          <w:color w:val="auto"/>
          <w:lang w:val="en-US" w:eastAsia="zh-CN"/>
        </w:rPr>
        <w:t>工作方式：可选择单条测试或连续测试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（7）</w:t>
      </w:r>
      <w:r>
        <w:rPr>
          <w:rFonts w:hint="default"/>
          <w:color w:val="auto"/>
          <w:lang w:val="en-US" w:eastAsia="zh-CN"/>
        </w:rPr>
        <w:t>显示：≥5.7英寸触摸液晶显示屏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（8）</w:t>
      </w:r>
      <w:r>
        <w:rPr>
          <w:rFonts w:hint="default"/>
          <w:color w:val="auto"/>
          <w:lang w:val="en-US" w:eastAsia="zh-CN"/>
        </w:rPr>
        <w:t>仪器能准确感应尿试纸条的数量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（9）</w:t>
      </w:r>
      <w:r>
        <w:rPr>
          <w:rFonts w:hint="default"/>
          <w:color w:val="auto"/>
          <w:lang w:val="en-US" w:eastAsia="zh-CN"/>
        </w:rPr>
        <w:t>自动卸条功能：能自动将测试过的试纸条卸到废料盒内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（10）</w:t>
      </w:r>
      <w:r>
        <w:rPr>
          <w:rFonts w:hint="default"/>
          <w:color w:val="auto"/>
          <w:lang w:val="en-US" w:eastAsia="zh-CN"/>
        </w:rPr>
        <w:t>携带污染：检测除比重和PH外各测试项目最高浓度结果的阳性样本，随后检测阴性样本，阴性样本的结果不得出阳性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（11）</w:t>
      </w:r>
      <w:r>
        <w:rPr>
          <w:rFonts w:hint="default"/>
          <w:color w:val="auto"/>
          <w:lang w:val="en-US" w:eastAsia="zh-CN"/>
        </w:rPr>
        <w:t>打印：内置热敏打印机打印测试结果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（12）</w:t>
      </w:r>
      <w:r>
        <w:rPr>
          <w:rFonts w:hint="default"/>
          <w:color w:val="auto"/>
          <w:lang w:val="en-US" w:eastAsia="zh-CN"/>
        </w:rPr>
        <w:t>故障识别功能：能自动识别打印机错误、测试项目不正确等故障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（13）</w:t>
      </w:r>
      <w:r>
        <w:rPr>
          <w:rFonts w:hint="default"/>
          <w:color w:val="auto"/>
          <w:lang w:val="en-US" w:eastAsia="zh-CN"/>
        </w:rPr>
        <w:t>仪器能自动感应试纸条，将感应到得试纸条送入仪器内部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（14）</w:t>
      </w:r>
      <w:r>
        <w:rPr>
          <w:rFonts w:hint="default"/>
          <w:color w:val="auto"/>
          <w:lang w:val="en-US" w:eastAsia="zh-CN"/>
        </w:rPr>
        <w:t>条形码识别：可选配条形码扫描器识别条形码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（15）</w:t>
      </w:r>
      <w:r>
        <w:rPr>
          <w:rFonts w:hint="default"/>
          <w:color w:val="auto"/>
          <w:lang w:val="en-US" w:eastAsia="zh-CN"/>
        </w:rPr>
        <w:t>存储功能：≥9000个测量结果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（16）</w:t>
      </w:r>
      <w:r>
        <w:rPr>
          <w:rFonts w:hint="default"/>
          <w:color w:val="auto"/>
          <w:lang w:val="en-US" w:eastAsia="zh-CN"/>
        </w:rPr>
        <w:t>校准功能：仪器配有试纸条校准功能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（17）</w:t>
      </w:r>
      <w:r>
        <w:rPr>
          <w:rFonts w:hint="default"/>
          <w:color w:val="auto"/>
          <w:lang w:val="en-US" w:eastAsia="zh-CN"/>
        </w:rPr>
        <w:t>输出接口：仪器有串口，并口、USB端口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val="en-US" w:eastAsia="zh-CN"/>
        </w:rPr>
        <w:t>（18）</w:t>
      </w:r>
      <w:r>
        <w:rPr>
          <w:rFonts w:hint="default"/>
          <w:color w:val="auto"/>
          <w:lang w:val="en-US" w:eastAsia="zh-CN"/>
        </w:rPr>
        <w:t>电源：可在100V—240V下工作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vertAlign w:val="baseline"/>
          <w:lang w:eastAsia="zh-CN"/>
        </w:rPr>
      </w:pPr>
      <w:r>
        <w:rPr>
          <w:rFonts w:hint="eastAsia"/>
          <w:color w:val="auto"/>
          <w:lang w:val="en-US" w:eastAsia="zh-CN"/>
        </w:rPr>
        <w:t>5、</w:t>
      </w:r>
      <w:r>
        <w:rPr>
          <w:rFonts w:hint="eastAsia" w:cstheme="minorBidi"/>
          <w:color w:val="auto"/>
          <w:kern w:val="2"/>
          <w:sz w:val="21"/>
          <w:szCs w:val="24"/>
          <w:lang w:val="en-US" w:eastAsia="zh-CN" w:bidi="ar-SA"/>
        </w:rPr>
        <w:t>货物名称：</w:t>
      </w:r>
      <w:r>
        <w:rPr>
          <w:rFonts w:hint="eastAsia"/>
          <w:color w:val="auto"/>
          <w:vertAlign w:val="baseline"/>
          <w:lang w:eastAsia="zh-CN"/>
        </w:rPr>
        <w:t>显微镜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color w:val="auto"/>
          <w:lang w:val="en-US" w:eastAsia="zh-CN"/>
        </w:rPr>
        <w:t>*（1）质量标准：通过ISO90001质量认证体系认证；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color w:val="auto"/>
          <w:lang w:val="en-US" w:eastAsia="zh-CN"/>
        </w:rPr>
        <w:t>*（2）光学系统：模块化无限远光学系统。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color w:val="auto"/>
          <w:lang w:val="en-US" w:eastAsia="zh-CN"/>
        </w:rPr>
        <w:t>（3）目镜观察筒：镜筒倾角30度，瞳间距48-75mm。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color w:val="auto"/>
          <w:lang w:val="en-US" w:eastAsia="zh-CN"/>
        </w:rPr>
        <w:t>（4）载物台：右手用旋钮的机械式载物台行程: 76 mm (X) x 30 mm (Y)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color w:val="auto"/>
          <w:lang w:val="en-US" w:eastAsia="zh-CN"/>
        </w:rPr>
        <w:t>（5）调焦机构：粗微调同轴调焦旋钮，粗调行程为15mm，微调最小刻度2.5UM；4孔物镜转盘（固定式）。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color w:val="auto"/>
          <w:lang w:val="en-US" w:eastAsia="zh-CN"/>
        </w:rPr>
        <w:t>（6）聚光镜：阿贝聚光镜,NA/1.25（浸油式）；内装孔径光阑。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color w:val="auto"/>
          <w:lang w:val="en-US" w:eastAsia="zh-CN"/>
        </w:rPr>
        <w:t>*（7）物镜：4X 10X 40X 100X物镜。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color w:val="auto"/>
          <w:lang w:val="en-US" w:eastAsia="zh-CN"/>
        </w:rPr>
        <w:t>（8）目镜观察筒：5/5分光观察筒，宽视野目镜10X  FN20。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color w:val="auto"/>
          <w:lang w:val="en-US" w:eastAsia="zh-CN"/>
        </w:rPr>
        <w:t>*（9）荧光附件 最多可适配三波段荧光模块，光源为进口长寿命光源，即开即用，响应时间纳秒级别。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color w:val="auto"/>
          <w:lang w:val="en-US" w:eastAsia="zh-CN"/>
        </w:rPr>
        <w:t>（10）传感器（Sensor Type)：1/2.5英寸高灵敏度芯片。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color w:val="auto"/>
          <w:lang w:val="en-US" w:eastAsia="zh-CN"/>
        </w:rPr>
        <w:t>（11）分辨率（Resolution)：2592x 1944，500万真实物理像素。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color w:val="auto"/>
          <w:lang w:val="en-US" w:eastAsia="zh-CN"/>
        </w:rPr>
        <w:t>（12）像素（Pixel Size）：2.2μm x 2.2μm，曝光控制（Exposure Control）：59微秒到3秒。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color w:val="auto"/>
          <w:lang w:val="en-US" w:eastAsia="zh-CN"/>
        </w:rPr>
        <w:t>（13）帧频率（Frame Rate）:7fps@2592x 1944，17.2fps@1280 x960。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color w:val="auto"/>
          <w:lang w:val="en-US" w:eastAsia="zh-CN"/>
        </w:rPr>
        <w:t>（14）数据接口：USB3.0高速 5GB/S，逐行扫描，连续输出，软触发，全局快门，32M图像缓存；SDK开发，强大的兼容能力。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color w:val="auto"/>
          <w:lang w:val="en-US" w:eastAsia="zh-CN"/>
        </w:rPr>
        <w:t>（15）支持TWAIN和DirectShow接口，优异的多相机性能，支持单 PC 上 4 相机全速工作。</w:t>
      </w:r>
    </w:p>
    <w:p>
      <w:pPr>
        <w:bidi w:val="0"/>
        <w:rPr>
          <w:rFonts w:hint="default"/>
          <w:color w:val="auto"/>
          <w:lang w:val="en-US" w:eastAsia="zh-CN"/>
        </w:rPr>
      </w:pPr>
    </w:p>
    <w:p>
      <w:pPr>
        <w:keepNext w:val="0"/>
        <w:keepLines w:val="0"/>
        <w:pageBreakBefore w:val="0"/>
        <w:widowControl w:val="0"/>
        <w:numPr>
          <w:ilvl w:val="0"/>
          <w:numId w:val="0"/>
        </w:numPr>
        <w:kinsoku/>
        <w:wordWrap/>
        <w:overflowPunct/>
        <w:topLinePunct w:val="0"/>
        <w:bidi w:val="0"/>
        <w:spacing w:before="0" w:line="360" w:lineRule="auto"/>
        <w:ind w:right="0" w:rightChars="0"/>
        <w:jc w:val="left"/>
        <w:textAlignment w:val="auto"/>
        <w:rPr>
          <w:rFonts w:hint="eastAsia" w:ascii="宋体" w:hAnsi="宋体" w:eastAsia="宋体" w:cs="宋体"/>
          <w:b/>
          <w:color w:val="auto"/>
          <w:sz w:val="21"/>
          <w:szCs w:val="21"/>
          <w:lang w:eastAsia="zh-CN"/>
        </w:rPr>
      </w:pPr>
      <w:r>
        <w:rPr>
          <w:rFonts w:hint="eastAsia" w:ascii="宋体" w:hAnsi="宋体" w:eastAsia="宋体" w:cs="宋体"/>
          <w:b/>
          <w:color w:val="auto"/>
          <w:sz w:val="21"/>
          <w:szCs w:val="21"/>
          <w:lang w:eastAsia="zh-CN"/>
        </w:rPr>
        <w:t>特别说明：</w:t>
      </w:r>
    </w:p>
    <w:p>
      <w:pPr>
        <w:keepNext w:val="0"/>
        <w:keepLines w:val="0"/>
        <w:pageBreakBefore w:val="0"/>
        <w:widowControl w:val="0"/>
        <w:numPr>
          <w:ilvl w:val="0"/>
          <w:numId w:val="0"/>
        </w:numPr>
        <w:kinsoku/>
        <w:wordWrap/>
        <w:overflowPunct/>
        <w:topLinePunct w:val="0"/>
        <w:bidi w:val="0"/>
        <w:spacing w:before="0" w:line="360" w:lineRule="auto"/>
        <w:ind w:right="0" w:rightChars="0" w:firstLine="422" w:firstLineChars="200"/>
        <w:jc w:val="left"/>
        <w:textAlignment w:val="auto"/>
        <w:rPr>
          <w:rFonts w:hint="eastAsia" w:ascii="宋体" w:hAnsi="宋体" w:eastAsia="宋体" w:cs="宋体"/>
          <w:b/>
          <w:color w:val="auto"/>
          <w:sz w:val="21"/>
          <w:szCs w:val="21"/>
          <w:lang w:eastAsia="zh-CN"/>
        </w:rPr>
      </w:pPr>
      <w:r>
        <w:rPr>
          <w:rFonts w:hint="eastAsia" w:ascii="宋体" w:hAnsi="宋体" w:eastAsia="宋体" w:cs="宋体"/>
          <w:b/>
          <w:color w:val="auto"/>
          <w:sz w:val="21"/>
          <w:szCs w:val="21"/>
          <w:lang w:eastAsia="zh-CN"/>
        </w:rPr>
        <w:t>1.以上采购清单中所列明的规格或技术要求，涉及的供应商或产品并非特定供应商或是特定产品，而是参照或相当于这些供应商或产品的技术标准和要求。</w:t>
      </w:r>
    </w:p>
    <w:p>
      <w:pPr>
        <w:keepNext w:val="0"/>
        <w:keepLines w:val="0"/>
        <w:pageBreakBefore w:val="0"/>
        <w:widowControl w:val="0"/>
        <w:numPr>
          <w:ilvl w:val="0"/>
          <w:numId w:val="0"/>
        </w:numPr>
        <w:kinsoku/>
        <w:wordWrap/>
        <w:overflowPunct/>
        <w:topLinePunct w:val="0"/>
        <w:bidi w:val="0"/>
        <w:spacing w:before="0" w:line="360" w:lineRule="auto"/>
        <w:ind w:right="0" w:rightChars="0" w:firstLine="422" w:firstLineChars="200"/>
        <w:jc w:val="left"/>
        <w:textAlignment w:val="auto"/>
        <w:rPr>
          <w:rFonts w:hint="eastAsia" w:ascii="宋体" w:hAnsi="宋体" w:eastAsia="宋体" w:cs="宋体"/>
          <w:b/>
          <w:color w:val="auto"/>
          <w:kern w:val="0"/>
          <w:sz w:val="21"/>
          <w:szCs w:val="21"/>
          <w:lang w:val="en-US" w:eastAsia="zh-CN"/>
        </w:rPr>
      </w:pPr>
      <w:r>
        <w:rPr>
          <w:rFonts w:hint="eastAsia" w:ascii="宋体" w:hAnsi="宋体" w:eastAsia="宋体" w:cs="宋体"/>
          <w:b/>
          <w:color w:val="auto"/>
          <w:sz w:val="21"/>
          <w:szCs w:val="21"/>
          <w:lang w:val="en-US" w:eastAsia="zh-CN"/>
        </w:rPr>
        <w:t>2.</w:t>
      </w:r>
      <w:r>
        <w:rPr>
          <w:rFonts w:hint="eastAsia" w:ascii="宋体" w:hAnsi="宋体" w:eastAsia="宋体" w:cs="宋体"/>
          <w:b/>
          <w:color w:val="auto"/>
          <w:sz w:val="21"/>
          <w:szCs w:val="21"/>
          <w:lang w:eastAsia="zh-CN"/>
        </w:rPr>
        <w:t>以上采购清单中所列明的技术参数并非固定值，而是相当于或者优于该技术参数。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2" w:firstLineChars="200"/>
        <w:jc w:val="both"/>
        <w:textAlignment w:val="auto"/>
        <w:outlineLvl w:val="1"/>
        <w:rPr>
          <w:rFonts w:hint="eastAsia" w:ascii="宋体" w:hAnsi="宋体" w:eastAsia="宋体" w:cs="宋体"/>
          <w:b/>
          <w:bCs/>
          <w:color w:val="auto"/>
          <w:sz w:val="21"/>
          <w:szCs w:val="21"/>
          <w:highlight w:val="none"/>
          <w:lang w:eastAsia="zh-CN"/>
        </w:rPr>
      </w:pPr>
      <w:bookmarkStart w:id="3" w:name="_Toc17088"/>
      <w:r>
        <w:rPr>
          <w:rFonts w:hint="eastAsia" w:ascii="宋体" w:hAnsi="宋体" w:eastAsia="宋体" w:cs="宋体"/>
          <w:b/>
          <w:bCs/>
          <w:color w:val="auto"/>
          <w:sz w:val="21"/>
          <w:szCs w:val="21"/>
          <w:highlight w:val="none"/>
          <w:lang w:eastAsia="zh-CN"/>
        </w:rPr>
        <w:t>三</w:t>
      </w:r>
      <w:r>
        <w:rPr>
          <w:rFonts w:hint="eastAsia" w:ascii="宋体" w:hAnsi="宋体" w:eastAsia="宋体" w:cs="宋体"/>
          <w:b/>
          <w:bCs/>
          <w:color w:val="auto"/>
          <w:sz w:val="21"/>
          <w:szCs w:val="21"/>
          <w:highlight w:val="none"/>
        </w:rPr>
        <w:t>、其它要求</w:t>
      </w:r>
      <w:r>
        <w:rPr>
          <w:rFonts w:hint="eastAsia" w:ascii="宋体" w:hAnsi="宋体" w:eastAsia="宋体" w:cs="宋体"/>
          <w:b/>
          <w:bCs/>
          <w:color w:val="auto"/>
          <w:sz w:val="21"/>
          <w:szCs w:val="21"/>
          <w:highlight w:val="none"/>
          <w:lang w:eastAsia="zh-CN"/>
        </w:rPr>
        <w:t>（根据项目具体情况修改）</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（一）交付时间：合同签订生效之日起</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0天内。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eastAsia="zh-CN"/>
        </w:rPr>
        <w:t>（二）</w:t>
      </w:r>
      <w:r>
        <w:rPr>
          <w:rFonts w:hint="eastAsia" w:ascii="宋体" w:hAnsi="宋体" w:eastAsia="宋体" w:cs="宋体"/>
          <w:color w:val="auto"/>
          <w:sz w:val="21"/>
          <w:szCs w:val="21"/>
          <w:highlight w:val="none"/>
          <w:lang w:val="zh-CN"/>
        </w:rPr>
        <w:t>付款方式：签订合同时采购双方另行约定。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lang w:eastAsia="zh-CN"/>
        </w:rPr>
        <w:t>三</w:t>
      </w:r>
      <w:r>
        <w:rPr>
          <w:rFonts w:hint="eastAsia" w:ascii="宋体" w:hAnsi="宋体" w:eastAsia="宋体" w:cs="宋体"/>
          <w:color w:val="auto"/>
          <w:sz w:val="21"/>
          <w:szCs w:val="21"/>
          <w:highlight w:val="none"/>
          <w:lang w:val="zh-CN"/>
        </w:rPr>
        <w:t>）具体安装地点为采购人指定地点。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zh-CN"/>
        </w:rPr>
        <w:t>四</w:t>
      </w:r>
      <w:r>
        <w:rPr>
          <w:rFonts w:hint="eastAsia" w:ascii="宋体" w:hAnsi="宋体" w:eastAsia="宋体" w:cs="宋体"/>
          <w:color w:val="auto"/>
          <w:sz w:val="21"/>
          <w:szCs w:val="21"/>
          <w:highlight w:val="none"/>
        </w:rPr>
        <w:t>）设备保修期限按原厂商标准，但不得低于</w:t>
      </w:r>
      <w:r>
        <w:rPr>
          <w:rFonts w:hint="eastAsia" w:ascii="宋体" w:hAnsi="宋体" w:eastAsia="宋体" w:cs="宋体"/>
          <w:color w:val="auto"/>
          <w:sz w:val="21"/>
          <w:szCs w:val="21"/>
          <w:highlight w:val="none"/>
          <w:lang w:eastAsia="zh-CN"/>
        </w:rPr>
        <w:t>两</w:t>
      </w:r>
      <w:r>
        <w:rPr>
          <w:rFonts w:hint="eastAsia" w:ascii="宋体" w:hAnsi="宋体" w:eastAsia="宋体" w:cs="宋体"/>
          <w:color w:val="auto"/>
          <w:sz w:val="21"/>
          <w:szCs w:val="21"/>
          <w:highlight w:val="none"/>
        </w:rPr>
        <w:t>年。保修期自双方代表在合格验收单上签字之日起计算。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五</w:t>
      </w:r>
      <w:r>
        <w:rPr>
          <w:rFonts w:hint="eastAsia" w:ascii="宋体" w:hAnsi="宋体" w:eastAsia="宋体" w:cs="宋体"/>
          <w:color w:val="auto"/>
          <w:sz w:val="21"/>
          <w:szCs w:val="21"/>
          <w:highlight w:val="none"/>
        </w:rPr>
        <w:t>）保修期内,供货商提供上门保修，即由供货商派人员到用户现场维护，由此产生的一切费用均由供货商承担。保修期内，供货商必须根据用户要求负责进行售后技术支持和服务，对于非用户人为原因而出现产品质量及安装问题，由供货商负责包修、包换或包退， 并承担因此而产生的一切费用。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六</w:t>
      </w:r>
      <w:r>
        <w:rPr>
          <w:rFonts w:hint="eastAsia" w:ascii="宋体" w:hAnsi="宋体" w:eastAsia="宋体" w:cs="宋体"/>
          <w:color w:val="auto"/>
          <w:sz w:val="21"/>
          <w:szCs w:val="21"/>
          <w:highlight w:val="none"/>
        </w:rPr>
        <w:t>）服务期间，供货商应提供但不限于下述服务：在保修期间提供免费保修， 7×24 小时上门服务，免费更换故障配件。提供 7×24小时技术支持和服务，1小时内响应，通过远程方式无法解决的， 2小时到达故障现场进行处理。故障设备现场无法修复的，在 24 小时内提供相同品质规格的设备备用。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2" w:firstLineChars="200"/>
        <w:jc w:val="both"/>
        <w:textAlignment w:val="auto"/>
        <w:outlineLvl w:val="1"/>
        <w:rPr>
          <w:rFonts w:hint="eastAsia" w:ascii="宋体" w:hAnsi="宋体" w:eastAsia="宋体" w:cs="宋体"/>
          <w:b/>
          <w:color w:val="auto"/>
          <w:kern w:val="0"/>
          <w:sz w:val="21"/>
          <w:szCs w:val="21"/>
          <w:lang w:eastAsia="zh-CN"/>
        </w:rPr>
      </w:pPr>
      <w:bookmarkStart w:id="4" w:name="_Toc26802"/>
      <w:r>
        <w:rPr>
          <w:rFonts w:hint="eastAsia" w:ascii="宋体" w:hAnsi="宋体" w:eastAsia="宋体" w:cs="宋体"/>
          <w:b/>
          <w:bCs/>
          <w:color w:val="auto"/>
          <w:sz w:val="21"/>
          <w:szCs w:val="21"/>
          <w:highlight w:val="none"/>
          <w:lang w:eastAsia="zh-CN"/>
        </w:rPr>
        <w:t>四</w:t>
      </w:r>
      <w:r>
        <w:rPr>
          <w:rFonts w:hint="eastAsia" w:ascii="宋体" w:hAnsi="宋体" w:eastAsia="宋体" w:cs="宋体"/>
          <w:b/>
          <w:bCs/>
          <w:color w:val="auto"/>
          <w:sz w:val="21"/>
          <w:szCs w:val="21"/>
          <w:highlight w:val="none"/>
        </w:rPr>
        <w:t>、服务及验收标准</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本项目由采购人自行组织验收。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（一）完</w:t>
      </w:r>
      <w:bookmarkStart w:id="5" w:name="_GoBack"/>
      <w:r>
        <w:rPr>
          <w:rFonts w:hint="eastAsia" w:ascii="宋体" w:hAnsi="宋体" w:eastAsia="宋体" w:cs="宋体"/>
          <w:color w:val="auto"/>
          <w:kern w:val="0"/>
          <w:sz w:val="21"/>
          <w:szCs w:val="21"/>
          <w:lang w:val="zh-CN"/>
        </w:rPr>
        <w:t>整</w:t>
      </w:r>
      <w:bookmarkEnd w:id="5"/>
      <w:r>
        <w:rPr>
          <w:rFonts w:hint="eastAsia" w:ascii="宋体" w:hAnsi="宋体" w:eastAsia="宋体" w:cs="宋体"/>
          <w:color w:val="auto"/>
          <w:kern w:val="0"/>
          <w:sz w:val="21"/>
          <w:szCs w:val="21"/>
          <w:lang w:val="zh-CN"/>
        </w:rPr>
        <w:t>细化编制验收方案。采购人根据项目特点编制验收方案，明确履约验收的时间、方式、程序等内容。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（二）本项目可以邀请参加本项目的其他供应商或第三方专业机构及专家参与验收，相关验收意见作为验收书的参考材料。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三）严格按照采购合同展开履约验收。采购人成立验收小组，按照采购合同的约定对每一项技术、服务、安全标准的履约情况进行确认。验收结束后，出具验收书，列明各项标准的验收情况及项目总体评价，由验收双方共同签署。验收结果与采购合同约定的资金支付及</w:t>
      </w:r>
      <w:r>
        <w:rPr>
          <w:rFonts w:hint="eastAsia" w:ascii="宋体" w:hAnsi="宋体" w:eastAsia="宋体" w:cs="宋体"/>
          <w:color w:val="auto"/>
          <w:kern w:val="0"/>
          <w:sz w:val="21"/>
          <w:szCs w:val="21"/>
          <w:highlight w:val="none"/>
          <w:lang w:val="zh-CN"/>
        </w:rPr>
        <w:t>履约保证金</w:t>
      </w:r>
      <w:r>
        <w:rPr>
          <w:rFonts w:hint="eastAsia" w:ascii="宋体" w:hAnsi="宋体" w:eastAsia="宋体" w:cs="宋体"/>
          <w:color w:val="auto"/>
          <w:kern w:val="0"/>
          <w:sz w:val="21"/>
          <w:szCs w:val="21"/>
          <w:lang w:val="zh-CN"/>
        </w:rPr>
        <w:t>返还条件相挂钩，履约验收的各项资料应当由采购人存档备查。</w:t>
      </w:r>
    </w:p>
    <w:p>
      <w:r>
        <w:rPr>
          <w:rFonts w:hint="eastAsia" w:ascii="宋体" w:hAnsi="宋体" w:eastAsia="宋体" w:cs="宋体"/>
          <w:color w:val="auto"/>
          <w:kern w:val="0"/>
          <w:sz w:val="21"/>
          <w:szCs w:val="21"/>
          <w:lang w:val="zh-CN"/>
        </w:rPr>
        <w:t>（四）严格落实履约验收责任。验收合格的项目，采购人应当根据采购合同的约定及时向供应商支付采购资金，退还</w:t>
      </w:r>
      <w:r>
        <w:rPr>
          <w:rFonts w:hint="eastAsia" w:ascii="宋体" w:hAnsi="宋体" w:eastAsia="宋体" w:cs="宋体"/>
          <w:color w:val="auto"/>
          <w:kern w:val="0"/>
          <w:sz w:val="21"/>
          <w:szCs w:val="21"/>
          <w:highlight w:val="none"/>
          <w:lang w:val="zh-CN"/>
        </w:rPr>
        <w:t>履约保证金</w:t>
      </w:r>
      <w:r>
        <w:rPr>
          <w:rFonts w:hint="eastAsia" w:ascii="宋体" w:hAnsi="宋体" w:eastAsia="宋体" w:cs="宋体"/>
          <w:color w:val="auto"/>
          <w:kern w:val="0"/>
          <w:sz w:val="21"/>
          <w:szCs w:val="21"/>
          <w:lang w:val="zh-CN"/>
        </w:rPr>
        <w:t>，验收不合格的，采购人依法及时处理。采购合同的履行、违约责任和解决争议的方式等适用《中华人民共和国合同法》，供应商在履约过程中有政府采购法律法规规定的违法违规情形的，采购人及时报告本级政府财政部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23F9E4"/>
    <w:multiLevelType w:val="singleLevel"/>
    <w:tmpl w:val="D823F9E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01DAD"/>
    <w:rsid w:val="1DE01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ind w:left="2814" w:right="3248"/>
      <w:jc w:val="center"/>
      <w:outlineLvl w:val="2"/>
    </w:pPr>
    <w:rPr>
      <w:rFonts w:ascii="微软雅黑" w:hAnsi="微软雅黑" w:eastAsia="微软雅黑" w:cs="微软雅黑"/>
      <w:sz w:val="36"/>
      <w:szCs w:val="36"/>
      <w:lang w:val="zh-CN" w:eastAsia="zh-CN" w:bidi="zh-CN"/>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2021-08-20T10:29:00Z</dcterms:created>
  <dc:creator>┏(^ω^)=</dc:creator>
  <cp:lastModifiedBy>┏(^ω^)=</cp:lastModifiedBy>
  <dcterms:modified xsi:type="dcterms:W3CDTF">2021-08-20T10:30:31Z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D1F13CBEB56846D9B77F38119A58BEA2</vt:lpwstr>
  </property>
</Properties>
</file>