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ascii="Times New Roman"/>
          <w:sz w:val="20"/>
        </w:rPr>
      </w:pPr>
    </w:p>
    <w:p>
      <w:pPr>
        <w:spacing w:before="3"/>
        <w:ind w:left="68" w:right="327" w:firstLine="0"/>
        <w:jc w:val="center"/>
        <w:rPr>
          <w:b/>
          <w:sz w:val="52"/>
        </w:rPr>
      </w:pPr>
      <w:r>
        <w:rPr>
          <w:rFonts w:hint="eastAsia"/>
          <w:b/>
          <w:sz w:val="52"/>
        </w:rPr>
        <w:t>五指山市地质灾害风险普查项目</w:t>
      </w:r>
    </w:p>
    <w:p>
      <w:pPr>
        <w:pStyle w:val="11"/>
        <w:rPr>
          <w:b/>
          <w:sz w:val="52"/>
        </w:rPr>
      </w:pPr>
    </w:p>
    <w:p>
      <w:pPr>
        <w:pStyle w:val="11"/>
        <w:rPr>
          <w:b/>
          <w:sz w:val="52"/>
        </w:rPr>
      </w:pPr>
    </w:p>
    <w:p>
      <w:pPr>
        <w:pStyle w:val="11"/>
        <w:rPr>
          <w:b/>
          <w:sz w:val="52"/>
        </w:rPr>
      </w:pPr>
    </w:p>
    <w:p>
      <w:pPr>
        <w:pStyle w:val="11"/>
        <w:spacing w:before="1"/>
        <w:rPr>
          <w:b/>
          <w:sz w:val="44"/>
        </w:rPr>
      </w:pPr>
    </w:p>
    <w:p>
      <w:pPr>
        <w:spacing w:before="0"/>
        <w:ind w:left="68" w:right="326" w:firstLine="0"/>
        <w:jc w:val="center"/>
        <w:rPr>
          <w:rFonts w:hint="eastAsia" w:ascii="黑体" w:eastAsia="黑体"/>
          <w:b/>
          <w:sz w:val="96"/>
        </w:rPr>
      </w:pPr>
      <w:r>
        <w:rPr>
          <w:rFonts w:hint="eastAsia" w:ascii="黑体" w:eastAsia="黑体"/>
          <w:b/>
          <w:sz w:val="96"/>
        </w:rPr>
        <w:t>招标文件</w:t>
      </w:r>
    </w:p>
    <w:p>
      <w:pPr>
        <w:pStyle w:val="11"/>
        <w:rPr>
          <w:rFonts w:ascii="黑体"/>
          <w:b/>
          <w:sz w:val="96"/>
        </w:rPr>
      </w:pPr>
    </w:p>
    <w:p>
      <w:pPr>
        <w:pStyle w:val="11"/>
        <w:spacing w:before="2"/>
        <w:rPr>
          <w:rFonts w:ascii="黑体"/>
          <w:b/>
          <w:sz w:val="131"/>
        </w:rPr>
      </w:pPr>
    </w:p>
    <w:p>
      <w:pPr>
        <w:pStyle w:val="2"/>
        <w:spacing w:before="0"/>
        <w:ind w:left="822"/>
        <w:jc w:val="left"/>
        <w:rPr>
          <w:rFonts w:hint="eastAsia" w:ascii="黑体" w:eastAsia="黑体"/>
        </w:rPr>
      </w:pPr>
      <w:r>
        <w:rPr>
          <w:rFonts w:hint="eastAsia" w:ascii="黑体" w:eastAsia="黑体"/>
        </w:rPr>
        <w:t>采 购 人：</w:t>
      </w:r>
      <w:r>
        <w:rPr>
          <w:rFonts w:hint="eastAsia" w:ascii="黑体" w:eastAsia="黑体"/>
          <w:u w:val="single"/>
          <w:lang w:val="en-US" w:eastAsia="zh-CN"/>
        </w:rPr>
        <w:t>五指山市自然资源和规划局</w:t>
      </w:r>
    </w:p>
    <w:p>
      <w:pPr>
        <w:pStyle w:val="11"/>
        <w:rPr>
          <w:rFonts w:ascii="黑体"/>
          <w:b/>
          <w:sz w:val="20"/>
        </w:rPr>
      </w:pPr>
    </w:p>
    <w:p>
      <w:pPr>
        <w:pStyle w:val="11"/>
        <w:rPr>
          <w:rFonts w:ascii="黑体"/>
          <w:b/>
          <w:sz w:val="20"/>
        </w:rPr>
      </w:pPr>
    </w:p>
    <w:p>
      <w:pPr>
        <w:pStyle w:val="11"/>
        <w:spacing w:before="8"/>
        <w:rPr>
          <w:rFonts w:ascii="黑体"/>
          <w:b/>
          <w:sz w:val="29"/>
        </w:rPr>
      </w:pPr>
    </w:p>
    <w:p>
      <w:pPr>
        <w:pStyle w:val="2"/>
        <w:spacing w:before="49"/>
        <w:ind w:left="822"/>
        <w:jc w:val="left"/>
        <w:rPr>
          <w:rFonts w:hint="eastAsia" w:ascii="黑体" w:eastAsia="黑体"/>
          <w:lang w:eastAsia="zh-CN"/>
        </w:rPr>
      </w:pPr>
      <w:r>
        <w:rPr>
          <w:rFonts w:hint="eastAsia" w:ascii="黑体" w:eastAsia="黑体"/>
        </w:rPr>
        <w:t>采购代理机构：</w:t>
      </w:r>
      <w:r>
        <w:rPr>
          <w:rFonts w:hint="eastAsia" w:ascii="黑体" w:eastAsia="黑体"/>
          <w:u w:val="single"/>
          <w:lang w:eastAsia="zh-CN"/>
        </w:rPr>
        <w:t>广州金盛建工程项目管理咨询有限公司</w:t>
      </w:r>
    </w:p>
    <w:p>
      <w:pPr>
        <w:pStyle w:val="11"/>
        <w:rPr>
          <w:rFonts w:ascii="黑体"/>
          <w:b/>
          <w:sz w:val="20"/>
        </w:rPr>
      </w:pPr>
    </w:p>
    <w:p>
      <w:pPr>
        <w:pStyle w:val="11"/>
        <w:rPr>
          <w:rFonts w:ascii="黑体"/>
          <w:b/>
          <w:sz w:val="20"/>
        </w:rPr>
      </w:pPr>
    </w:p>
    <w:p>
      <w:pPr>
        <w:pStyle w:val="11"/>
        <w:spacing w:before="8"/>
        <w:rPr>
          <w:rFonts w:ascii="黑体"/>
          <w:b/>
          <w:sz w:val="28"/>
        </w:rPr>
      </w:pPr>
    </w:p>
    <w:p>
      <w:pPr>
        <w:pStyle w:val="2"/>
        <w:spacing w:before="61"/>
        <w:ind w:left="68" w:right="323"/>
        <w:rPr>
          <w:rFonts w:hint="eastAsia" w:ascii="黑体" w:eastAsia="黑体"/>
        </w:rPr>
      </w:pPr>
      <w:r>
        <w:rPr>
          <w:rFonts w:hint="eastAsia" w:ascii="Times New Roman"/>
          <w:lang w:val="en-US" w:eastAsia="zh-CN"/>
        </w:rPr>
        <w:t>2021</w:t>
      </w:r>
      <w:r>
        <w:rPr>
          <w:rFonts w:ascii="Times New Roman" w:eastAsia="Times New Roman"/>
        </w:rPr>
        <w:t xml:space="preserve"> </w:t>
      </w:r>
      <w:r>
        <w:rPr>
          <w:rFonts w:hint="eastAsia" w:ascii="黑体" w:eastAsia="黑体"/>
        </w:rPr>
        <w:t>年</w:t>
      </w:r>
      <w:r>
        <w:rPr>
          <w:rFonts w:hint="eastAsia" w:ascii="黑体" w:eastAsia="黑体"/>
          <w:lang w:val="en-US" w:eastAsia="zh-CN"/>
        </w:rPr>
        <w:t xml:space="preserve"> 07 </w:t>
      </w:r>
      <w:r>
        <w:rPr>
          <w:rFonts w:hint="eastAsia" w:ascii="黑体" w:eastAsia="黑体"/>
        </w:rPr>
        <w:t>月</w:t>
      </w:r>
    </w:p>
    <w:p>
      <w:pPr>
        <w:spacing w:after="0"/>
        <w:rPr>
          <w:rFonts w:hint="eastAsia" w:ascii="黑体" w:eastAsia="黑体"/>
        </w:rPr>
        <w:sectPr>
          <w:pgSz w:w="11910" w:h="16850"/>
          <w:pgMar w:top="1600" w:right="1020" w:bottom="280" w:left="1340" w:header="720" w:footer="720" w:gutter="0"/>
          <w:cols w:space="720" w:num="1"/>
        </w:sectPr>
      </w:pPr>
    </w:p>
    <w:p>
      <w:pPr>
        <w:pStyle w:val="11"/>
        <w:rPr>
          <w:rFonts w:ascii="黑体"/>
          <w:b/>
          <w:sz w:val="20"/>
        </w:rPr>
      </w:pPr>
    </w:p>
    <w:sdt>
      <w:sdtPr>
        <w:rPr>
          <w:rFonts w:ascii="宋体" w:hAnsi="宋体" w:eastAsia="宋体" w:cs="宋体"/>
          <w:sz w:val="21"/>
          <w:szCs w:val="22"/>
          <w:lang w:val="zh-CN" w:eastAsia="zh-CN" w:bidi="zh-CN"/>
        </w:rPr>
        <w:id w:val="147465407"/>
        <w15:color w:val="DBDBDB"/>
        <w:docPartObj>
          <w:docPartGallery w:val="Table of Contents"/>
          <w:docPartUnique/>
        </w:docPartObj>
      </w:sdtPr>
      <w:sdtEndPr>
        <w:rPr>
          <w:rFonts w:ascii="Times New Roman" w:hAnsi="宋体" w:eastAsia="Times New Roman" w:cs="宋体"/>
          <w:sz w:val="22"/>
          <w:szCs w:val="22"/>
          <w:lang w:val="zh-CN" w:eastAsia="zh-CN" w:bidi="zh-CN"/>
        </w:rPr>
      </w:sdtEndPr>
      <w:sdtContent>
        <w:p>
          <w:pPr>
            <w:pStyle w:val="10"/>
            <w:keepNext w:val="0"/>
            <w:keepLines w:val="0"/>
            <w:pageBreakBefore w:val="0"/>
            <w:kinsoku/>
            <w:wordWrap/>
            <w:overflowPunct/>
            <w:topLinePunct w:val="0"/>
            <w:bidi w:val="0"/>
            <w:adjustRightInd/>
            <w:snapToGrid/>
            <w:spacing w:before="209" w:line="480" w:lineRule="auto"/>
            <w:ind w:left="6" w:leftChars="0" w:right="4" w:rightChars="0"/>
            <w:jc w:val="center"/>
            <w:textAlignment w:val="auto"/>
            <w:rPr>
              <w:sz w:val="30"/>
              <w:szCs w:val="30"/>
            </w:rPr>
          </w:pPr>
          <w:r>
            <w:rPr>
              <w:rFonts w:ascii="宋体" w:hAnsi="宋体" w:eastAsia="宋体"/>
              <w:sz w:val="30"/>
              <w:szCs w:val="30"/>
            </w:rPr>
            <w:t>目录</w:t>
          </w:r>
        </w:p>
        <w:p>
          <w:pPr>
            <w:pStyle w:val="30"/>
            <w:keepNext w:val="0"/>
            <w:keepLines w:val="0"/>
            <w:pageBreakBefore w:val="0"/>
            <w:tabs>
              <w:tab w:val="right" w:leader="dot" w:pos="9560"/>
            </w:tabs>
            <w:kinsoku/>
            <w:wordWrap/>
            <w:overflowPunct/>
            <w:topLinePunct w:val="0"/>
            <w:bidi w:val="0"/>
            <w:adjustRightInd/>
            <w:snapToGrid/>
            <w:spacing w:line="480" w:lineRule="auto"/>
            <w:textAlignment w:val="auto"/>
            <w:rPr>
              <w:rFonts w:ascii="Times New Roman" w:hAnsi="Times New Roman" w:eastAsia="Times New Roman" w:cs="Times New Roman"/>
              <w:sz w:val="30"/>
              <w:szCs w:val="30"/>
            </w:rPr>
          </w:pPr>
          <w:r>
            <w:rPr>
              <w:rFonts w:ascii="Times New Roman" w:eastAsia="Times New Roman"/>
              <w:sz w:val="30"/>
              <w:szCs w:val="30"/>
            </w:rPr>
            <w:fldChar w:fldCharType="begin"/>
          </w:r>
          <w:r>
            <w:rPr>
              <w:rFonts w:ascii="Times New Roman" w:eastAsia="Times New Roman"/>
              <w:sz w:val="30"/>
              <w:szCs w:val="30"/>
            </w:rPr>
            <w:instrText xml:space="preserve">TOC \o "1-3" \h \u </w:instrText>
          </w:r>
          <w:r>
            <w:rPr>
              <w:rFonts w:ascii="Times New Roman" w:eastAsia="Times New Roman"/>
              <w:sz w:val="30"/>
              <w:szCs w:val="30"/>
            </w:rPr>
            <w:fldChar w:fldCharType="separate"/>
          </w:r>
          <w:r>
            <w:rPr>
              <w:rFonts w:ascii="Times New Roman" w:hAnsi="Times New Roman" w:eastAsia="Times New Roman" w:cs="Times New Roman"/>
              <w:sz w:val="30"/>
              <w:szCs w:val="30"/>
            </w:rPr>
            <w:fldChar w:fldCharType="begin"/>
          </w:r>
          <w:r>
            <w:rPr>
              <w:rFonts w:ascii="Times New Roman" w:hAnsi="Times New Roman" w:eastAsia="Times New Roman" w:cs="Times New Roman"/>
              <w:sz w:val="30"/>
              <w:szCs w:val="30"/>
            </w:rPr>
            <w:instrText xml:space="preserve"> HYPERLINK \l _Toc28487 </w:instrText>
          </w:r>
          <w:r>
            <w:rPr>
              <w:rFonts w:ascii="Times New Roman" w:hAnsi="Times New Roman" w:eastAsia="Times New Roman" w:cs="Times New Roman"/>
              <w:sz w:val="30"/>
              <w:szCs w:val="30"/>
            </w:rPr>
            <w:fldChar w:fldCharType="separate"/>
          </w:r>
          <w:r>
            <w:rPr>
              <w:rFonts w:ascii="Times New Roman" w:hAnsi="Times New Roman" w:eastAsia="Times New Roman" w:cs="Times New Roman"/>
              <w:sz w:val="30"/>
              <w:szCs w:val="30"/>
            </w:rPr>
            <w:t>第一章</w:t>
          </w:r>
          <w:r>
            <w:rPr>
              <w:rFonts w:hint="eastAsia" w:ascii="Times New Roman" w:hAnsi="Times New Roman" w:eastAsia="宋体" w:cs="Times New Roman"/>
              <w:sz w:val="30"/>
              <w:szCs w:val="30"/>
              <w:lang w:val="en-US" w:eastAsia="zh-CN"/>
            </w:rPr>
            <w:t xml:space="preserve">  </w:t>
          </w:r>
          <w:r>
            <w:rPr>
              <w:rFonts w:ascii="Times New Roman" w:hAnsi="Times New Roman" w:eastAsia="Times New Roman" w:cs="Times New Roman"/>
              <w:sz w:val="30"/>
              <w:szCs w:val="30"/>
            </w:rPr>
            <w:t>招标公告</w:t>
          </w:r>
          <w:r>
            <w:rPr>
              <w:rFonts w:ascii="Times New Roman" w:hAnsi="Times New Roman" w:eastAsia="Times New Roman" w:cs="Times New Roman"/>
              <w:sz w:val="30"/>
              <w:szCs w:val="30"/>
            </w:rPr>
            <w:tab/>
          </w:r>
          <w:r>
            <w:rPr>
              <w:rFonts w:ascii="Times New Roman" w:hAnsi="Times New Roman" w:eastAsia="Times New Roman" w:cs="Times New Roman"/>
              <w:sz w:val="30"/>
              <w:szCs w:val="30"/>
            </w:rPr>
            <w:fldChar w:fldCharType="begin"/>
          </w:r>
          <w:r>
            <w:rPr>
              <w:rFonts w:ascii="Times New Roman" w:hAnsi="Times New Roman" w:eastAsia="Times New Roman" w:cs="Times New Roman"/>
              <w:sz w:val="30"/>
              <w:szCs w:val="30"/>
            </w:rPr>
            <w:instrText xml:space="preserve"> PAGEREF _Toc28487 \h </w:instrText>
          </w:r>
          <w:r>
            <w:rPr>
              <w:rFonts w:ascii="Times New Roman" w:hAnsi="Times New Roman" w:eastAsia="Times New Roman" w:cs="Times New Roman"/>
              <w:sz w:val="30"/>
              <w:szCs w:val="30"/>
            </w:rPr>
            <w:fldChar w:fldCharType="separate"/>
          </w:r>
          <w:r>
            <w:rPr>
              <w:rFonts w:ascii="Times New Roman" w:hAnsi="Times New Roman" w:eastAsia="Times New Roman" w:cs="Times New Roman"/>
              <w:sz w:val="30"/>
              <w:szCs w:val="30"/>
            </w:rPr>
            <w:t>1</w:t>
          </w:r>
          <w:r>
            <w:rPr>
              <w:rFonts w:ascii="Times New Roman" w:hAnsi="Times New Roman" w:eastAsia="Times New Roman" w:cs="Times New Roman"/>
              <w:sz w:val="30"/>
              <w:szCs w:val="30"/>
            </w:rPr>
            <w:fldChar w:fldCharType="end"/>
          </w:r>
          <w:r>
            <w:rPr>
              <w:rFonts w:ascii="Times New Roman" w:hAnsi="Times New Roman" w:eastAsia="Times New Roman" w:cs="Times New Roman"/>
              <w:sz w:val="30"/>
              <w:szCs w:val="30"/>
            </w:rPr>
            <w:fldChar w:fldCharType="end"/>
          </w:r>
        </w:p>
        <w:p>
          <w:pPr>
            <w:pStyle w:val="30"/>
            <w:keepNext w:val="0"/>
            <w:keepLines w:val="0"/>
            <w:pageBreakBefore w:val="0"/>
            <w:tabs>
              <w:tab w:val="right" w:leader="dot" w:pos="9560"/>
            </w:tabs>
            <w:kinsoku/>
            <w:wordWrap/>
            <w:overflowPunct/>
            <w:topLinePunct w:val="0"/>
            <w:bidi w:val="0"/>
            <w:adjustRightInd/>
            <w:snapToGrid/>
            <w:spacing w:line="480" w:lineRule="auto"/>
            <w:textAlignment w:val="auto"/>
            <w:rPr>
              <w:rFonts w:ascii="Times New Roman" w:hAnsi="Times New Roman" w:eastAsia="Times New Roman" w:cs="Times New Roman"/>
              <w:sz w:val="30"/>
              <w:szCs w:val="30"/>
            </w:rPr>
          </w:pPr>
          <w:r>
            <w:rPr>
              <w:rFonts w:ascii="Times New Roman" w:hAnsi="Times New Roman" w:eastAsia="Times New Roman" w:cs="Times New Roman"/>
              <w:sz w:val="30"/>
              <w:szCs w:val="30"/>
            </w:rPr>
            <w:fldChar w:fldCharType="begin"/>
          </w:r>
          <w:r>
            <w:rPr>
              <w:rFonts w:ascii="Times New Roman" w:hAnsi="Times New Roman" w:eastAsia="Times New Roman" w:cs="Times New Roman"/>
              <w:sz w:val="30"/>
              <w:szCs w:val="30"/>
            </w:rPr>
            <w:instrText xml:space="preserve"> HYPERLINK \l _Toc29431 </w:instrText>
          </w:r>
          <w:r>
            <w:rPr>
              <w:rFonts w:ascii="Times New Roman" w:hAnsi="Times New Roman" w:eastAsia="Times New Roman" w:cs="Times New Roman"/>
              <w:sz w:val="30"/>
              <w:szCs w:val="30"/>
            </w:rPr>
            <w:fldChar w:fldCharType="separate"/>
          </w:r>
          <w:r>
            <w:rPr>
              <w:rFonts w:ascii="Times New Roman" w:hAnsi="Times New Roman" w:eastAsia="Times New Roman" w:cs="Times New Roman"/>
              <w:sz w:val="30"/>
              <w:szCs w:val="30"/>
            </w:rPr>
            <w:t>第二章</w:t>
          </w:r>
          <w:r>
            <w:rPr>
              <w:rFonts w:hint="eastAsia" w:ascii="Times New Roman" w:hAnsi="Times New Roman" w:eastAsia="宋体" w:cs="Times New Roman"/>
              <w:sz w:val="30"/>
              <w:szCs w:val="30"/>
              <w:lang w:val="en-US" w:eastAsia="zh-CN"/>
            </w:rPr>
            <w:t xml:space="preserve">  </w:t>
          </w:r>
          <w:r>
            <w:rPr>
              <w:rFonts w:ascii="Times New Roman" w:hAnsi="Times New Roman" w:eastAsia="Times New Roman" w:cs="Times New Roman"/>
              <w:sz w:val="30"/>
              <w:szCs w:val="30"/>
            </w:rPr>
            <w:t>供应商须知</w:t>
          </w:r>
          <w:r>
            <w:rPr>
              <w:rFonts w:ascii="Times New Roman" w:hAnsi="Times New Roman" w:eastAsia="Times New Roman" w:cs="Times New Roman"/>
              <w:sz w:val="30"/>
              <w:szCs w:val="30"/>
            </w:rPr>
            <w:tab/>
          </w:r>
          <w:r>
            <w:rPr>
              <w:rFonts w:ascii="Times New Roman" w:hAnsi="Times New Roman" w:eastAsia="Times New Roman" w:cs="Times New Roman"/>
              <w:sz w:val="30"/>
              <w:szCs w:val="30"/>
            </w:rPr>
            <w:fldChar w:fldCharType="begin"/>
          </w:r>
          <w:r>
            <w:rPr>
              <w:rFonts w:ascii="Times New Roman" w:hAnsi="Times New Roman" w:eastAsia="Times New Roman" w:cs="Times New Roman"/>
              <w:sz w:val="30"/>
              <w:szCs w:val="30"/>
            </w:rPr>
            <w:instrText xml:space="preserve"> PAGEREF _Toc29431 \h </w:instrText>
          </w:r>
          <w:r>
            <w:rPr>
              <w:rFonts w:ascii="Times New Roman" w:hAnsi="Times New Roman" w:eastAsia="Times New Roman" w:cs="Times New Roman"/>
              <w:sz w:val="30"/>
              <w:szCs w:val="30"/>
            </w:rPr>
            <w:fldChar w:fldCharType="separate"/>
          </w:r>
          <w:r>
            <w:rPr>
              <w:rFonts w:ascii="Times New Roman" w:hAnsi="Times New Roman" w:eastAsia="Times New Roman" w:cs="Times New Roman"/>
              <w:sz w:val="30"/>
              <w:szCs w:val="30"/>
            </w:rPr>
            <w:t>4</w:t>
          </w:r>
          <w:r>
            <w:rPr>
              <w:rFonts w:ascii="Times New Roman" w:hAnsi="Times New Roman" w:eastAsia="Times New Roman" w:cs="Times New Roman"/>
              <w:sz w:val="30"/>
              <w:szCs w:val="30"/>
            </w:rPr>
            <w:fldChar w:fldCharType="end"/>
          </w:r>
          <w:r>
            <w:rPr>
              <w:rFonts w:ascii="Times New Roman" w:hAnsi="Times New Roman" w:eastAsia="Times New Roman" w:cs="Times New Roman"/>
              <w:sz w:val="30"/>
              <w:szCs w:val="30"/>
            </w:rPr>
            <w:fldChar w:fldCharType="end"/>
          </w:r>
        </w:p>
        <w:p>
          <w:pPr>
            <w:pStyle w:val="30"/>
            <w:keepNext w:val="0"/>
            <w:keepLines w:val="0"/>
            <w:pageBreakBefore w:val="0"/>
            <w:tabs>
              <w:tab w:val="right" w:leader="dot" w:pos="9560"/>
            </w:tabs>
            <w:kinsoku/>
            <w:wordWrap/>
            <w:overflowPunct/>
            <w:topLinePunct w:val="0"/>
            <w:bidi w:val="0"/>
            <w:adjustRightInd/>
            <w:snapToGrid/>
            <w:spacing w:line="480" w:lineRule="auto"/>
            <w:textAlignment w:val="auto"/>
            <w:rPr>
              <w:sz w:val="30"/>
              <w:szCs w:val="30"/>
            </w:rPr>
          </w:pPr>
          <w:r>
            <w:rPr>
              <w:rFonts w:ascii="Times New Roman" w:eastAsia="Times New Roman"/>
              <w:sz w:val="30"/>
              <w:szCs w:val="30"/>
            </w:rPr>
            <w:fldChar w:fldCharType="begin"/>
          </w:r>
          <w:r>
            <w:rPr>
              <w:rFonts w:ascii="Times New Roman" w:eastAsia="Times New Roman"/>
              <w:sz w:val="30"/>
              <w:szCs w:val="30"/>
            </w:rPr>
            <w:instrText xml:space="preserve"> HYPERLINK \l _Toc1832 </w:instrText>
          </w:r>
          <w:r>
            <w:rPr>
              <w:rFonts w:ascii="Times New Roman" w:eastAsia="Times New Roman"/>
              <w:sz w:val="30"/>
              <w:szCs w:val="30"/>
            </w:rPr>
            <w:fldChar w:fldCharType="separate"/>
          </w:r>
          <w:r>
            <w:rPr>
              <w:sz w:val="30"/>
              <w:szCs w:val="30"/>
            </w:rPr>
            <w:t xml:space="preserve">第三章 </w:t>
          </w:r>
          <w:r>
            <w:rPr>
              <w:rFonts w:hint="eastAsia"/>
              <w:sz w:val="30"/>
              <w:szCs w:val="30"/>
              <w:lang w:val="en-US" w:eastAsia="zh-CN"/>
            </w:rPr>
            <w:t xml:space="preserve"> </w:t>
          </w:r>
          <w:r>
            <w:rPr>
              <w:sz w:val="30"/>
              <w:szCs w:val="30"/>
            </w:rPr>
            <w:t>用户需求书</w:t>
          </w:r>
          <w:r>
            <w:rPr>
              <w:sz w:val="30"/>
              <w:szCs w:val="30"/>
            </w:rPr>
            <w:tab/>
          </w:r>
          <w:r>
            <w:rPr>
              <w:sz w:val="30"/>
              <w:szCs w:val="30"/>
            </w:rPr>
            <w:fldChar w:fldCharType="begin"/>
          </w:r>
          <w:r>
            <w:rPr>
              <w:sz w:val="30"/>
              <w:szCs w:val="30"/>
            </w:rPr>
            <w:instrText xml:space="preserve"> PAGEREF _Toc1832 \h </w:instrText>
          </w:r>
          <w:r>
            <w:rPr>
              <w:sz w:val="30"/>
              <w:szCs w:val="30"/>
            </w:rPr>
            <w:fldChar w:fldCharType="separate"/>
          </w:r>
          <w:r>
            <w:rPr>
              <w:sz w:val="30"/>
              <w:szCs w:val="30"/>
            </w:rPr>
            <w:t>21</w:t>
          </w:r>
          <w:r>
            <w:rPr>
              <w:sz w:val="30"/>
              <w:szCs w:val="30"/>
            </w:rPr>
            <w:fldChar w:fldCharType="end"/>
          </w:r>
          <w:r>
            <w:rPr>
              <w:rFonts w:ascii="Times New Roman" w:eastAsia="Times New Roman"/>
              <w:sz w:val="30"/>
              <w:szCs w:val="30"/>
            </w:rPr>
            <w:fldChar w:fldCharType="end"/>
          </w:r>
        </w:p>
        <w:p>
          <w:pPr>
            <w:pStyle w:val="30"/>
            <w:keepNext w:val="0"/>
            <w:keepLines w:val="0"/>
            <w:pageBreakBefore w:val="0"/>
            <w:tabs>
              <w:tab w:val="right" w:pos="2800"/>
              <w:tab w:val="right" w:leader="dot" w:pos="9560"/>
            </w:tabs>
            <w:kinsoku/>
            <w:wordWrap/>
            <w:overflowPunct/>
            <w:topLinePunct w:val="0"/>
            <w:bidi w:val="0"/>
            <w:adjustRightInd/>
            <w:snapToGrid/>
            <w:spacing w:line="480" w:lineRule="auto"/>
            <w:textAlignment w:val="auto"/>
            <w:rPr>
              <w:sz w:val="30"/>
              <w:szCs w:val="30"/>
            </w:rPr>
          </w:pPr>
          <w:r>
            <w:rPr>
              <w:rFonts w:ascii="Times New Roman" w:eastAsia="Times New Roman"/>
              <w:sz w:val="30"/>
              <w:szCs w:val="30"/>
            </w:rPr>
            <w:fldChar w:fldCharType="begin"/>
          </w:r>
          <w:r>
            <w:rPr>
              <w:rFonts w:ascii="Times New Roman" w:eastAsia="Times New Roman"/>
              <w:sz w:val="30"/>
              <w:szCs w:val="30"/>
            </w:rPr>
            <w:instrText xml:space="preserve"> HYPERLINK \l _Toc26296 </w:instrText>
          </w:r>
          <w:r>
            <w:rPr>
              <w:rFonts w:ascii="Times New Roman" w:eastAsia="Times New Roman"/>
              <w:sz w:val="30"/>
              <w:szCs w:val="30"/>
            </w:rPr>
            <w:fldChar w:fldCharType="separate"/>
          </w:r>
          <w:r>
            <w:rPr>
              <w:sz w:val="30"/>
              <w:szCs w:val="30"/>
            </w:rPr>
            <w:t>第四章</w:t>
          </w:r>
          <w:r>
            <w:rPr>
              <w:sz w:val="30"/>
              <w:szCs w:val="30"/>
            </w:rPr>
            <w:tab/>
          </w:r>
          <w:r>
            <w:rPr>
              <w:rFonts w:hint="eastAsia"/>
              <w:sz w:val="30"/>
              <w:szCs w:val="30"/>
              <w:lang w:val="en-US" w:eastAsia="zh-CN"/>
            </w:rPr>
            <w:t xml:space="preserve">  </w:t>
          </w:r>
          <w:r>
            <w:rPr>
              <w:sz w:val="30"/>
              <w:szCs w:val="30"/>
            </w:rPr>
            <w:t>合同主要条款（参考范本）</w:t>
          </w:r>
          <w:r>
            <w:rPr>
              <w:sz w:val="30"/>
              <w:szCs w:val="30"/>
            </w:rPr>
            <w:tab/>
          </w:r>
          <w:r>
            <w:rPr>
              <w:sz w:val="30"/>
              <w:szCs w:val="30"/>
            </w:rPr>
            <w:fldChar w:fldCharType="begin"/>
          </w:r>
          <w:r>
            <w:rPr>
              <w:sz w:val="30"/>
              <w:szCs w:val="30"/>
            </w:rPr>
            <w:instrText xml:space="preserve"> PAGEREF _Toc26296 \h </w:instrText>
          </w:r>
          <w:r>
            <w:rPr>
              <w:sz w:val="30"/>
              <w:szCs w:val="30"/>
            </w:rPr>
            <w:fldChar w:fldCharType="separate"/>
          </w:r>
          <w:r>
            <w:rPr>
              <w:sz w:val="30"/>
              <w:szCs w:val="30"/>
            </w:rPr>
            <w:t>23</w:t>
          </w:r>
          <w:r>
            <w:rPr>
              <w:sz w:val="30"/>
              <w:szCs w:val="30"/>
            </w:rPr>
            <w:fldChar w:fldCharType="end"/>
          </w:r>
          <w:r>
            <w:rPr>
              <w:rFonts w:ascii="Times New Roman" w:eastAsia="Times New Roman"/>
              <w:sz w:val="30"/>
              <w:szCs w:val="30"/>
            </w:rPr>
            <w:fldChar w:fldCharType="end"/>
          </w:r>
        </w:p>
        <w:p>
          <w:pPr>
            <w:pStyle w:val="30"/>
            <w:keepNext w:val="0"/>
            <w:keepLines w:val="0"/>
            <w:pageBreakBefore w:val="0"/>
            <w:tabs>
              <w:tab w:val="right" w:leader="dot" w:pos="9560"/>
            </w:tabs>
            <w:kinsoku/>
            <w:wordWrap/>
            <w:overflowPunct/>
            <w:topLinePunct w:val="0"/>
            <w:bidi w:val="0"/>
            <w:adjustRightInd/>
            <w:snapToGrid/>
            <w:spacing w:line="480" w:lineRule="auto"/>
            <w:textAlignment w:val="auto"/>
            <w:rPr>
              <w:rFonts w:ascii="Times New Roman" w:hAnsi="Times New Roman" w:eastAsia="Times New Roman" w:cs="Times New Roman"/>
              <w:sz w:val="30"/>
              <w:szCs w:val="30"/>
            </w:rPr>
          </w:pPr>
          <w:r>
            <w:rPr>
              <w:rFonts w:ascii="Times New Roman" w:hAnsi="Times New Roman" w:eastAsia="Times New Roman" w:cs="Times New Roman"/>
              <w:sz w:val="30"/>
              <w:szCs w:val="30"/>
            </w:rPr>
            <w:fldChar w:fldCharType="begin"/>
          </w:r>
          <w:r>
            <w:rPr>
              <w:rFonts w:ascii="Times New Roman" w:hAnsi="Times New Roman" w:eastAsia="Times New Roman" w:cs="Times New Roman"/>
              <w:sz w:val="30"/>
              <w:szCs w:val="30"/>
            </w:rPr>
            <w:instrText xml:space="preserve"> HYPERLINK \l _Toc10438 </w:instrText>
          </w:r>
          <w:r>
            <w:rPr>
              <w:rFonts w:ascii="Times New Roman" w:hAnsi="Times New Roman" w:eastAsia="Times New Roman" w:cs="Times New Roman"/>
              <w:sz w:val="30"/>
              <w:szCs w:val="30"/>
            </w:rPr>
            <w:fldChar w:fldCharType="separate"/>
          </w:r>
          <w:r>
            <w:rPr>
              <w:rFonts w:ascii="Times New Roman" w:hAnsi="Times New Roman" w:eastAsia="Times New Roman" w:cs="Times New Roman"/>
              <w:sz w:val="30"/>
              <w:szCs w:val="30"/>
            </w:rPr>
            <w:t>第五章</w:t>
          </w:r>
          <w:r>
            <w:rPr>
              <w:rFonts w:hint="eastAsia" w:ascii="Times New Roman" w:hAnsi="Times New Roman" w:eastAsia="宋体" w:cs="Times New Roman"/>
              <w:sz w:val="30"/>
              <w:szCs w:val="30"/>
              <w:lang w:val="en-US" w:eastAsia="zh-CN"/>
            </w:rPr>
            <w:t xml:space="preserve">  </w:t>
          </w:r>
          <w:r>
            <w:rPr>
              <w:rFonts w:ascii="Times New Roman" w:hAnsi="Times New Roman" w:eastAsia="Times New Roman" w:cs="Times New Roman"/>
              <w:sz w:val="30"/>
              <w:szCs w:val="30"/>
            </w:rPr>
            <w:t>评标办法和程序</w:t>
          </w:r>
          <w:r>
            <w:rPr>
              <w:rFonts w:ascii="Times New Roman" w:hAnsi="Times New Roman" w:eastAsia="Times New Roman" w:cs="Times New Roman"/>
              <w:sz w:val="30"/>
              <w:szCs w:val="30"/>
            </w:rPr>
            <w:tab/>
          </w:r>
          <w:r>
            <w:rPr>
              <w:rFonts w:ascii="Times New Roman" w:hAnsi="Times New Roman" w:eastAsia="Times New Roman" w:cs="Times New Roman"/>
              <w:sz w:val="30"/>
              <w:szCs w:val="30"/>
            </w:rPr>
            <w:fldChar w:fldCharType="begin"/>
          </w:r>
          <w:r>
            <w:rPr>
              <w:rFonts w:ascii="Times New Roman" w:hAnsi="Times New Roman" w:eastAsia="Times New Roman" w:cs="Times New Roman"/>
              <w:sz w:val="30"/>
              <w:szCs w:val="30"/>
            </w:rPr>
            <w:instrText xml:space="preserve"> PAGEREF _Toc10438 \h </w:instrText>
          </w:r>
          <w:r>
            <w:rPr>
              <w:rFonts w:ascii="Times New Roman" w:hAnsi="Times New Roman" w:eastAsia="Times New Roman" w:cs="Times New Roman"/>
              <w:sz w:val="30"/>
              <w:szCs w:val="30"/>
            </w:rPr>
            <w:fldChar w:fldCharType="separate"/>
          </w:r>
          <w:r>
            <w:rPr>
              <w:rFonts w:ascii="Times New Roman" w:hAnsi="Times New Roman" w:eastAsia="Times New Roman" w:cs="Times New Roman"/>
              <w:sz w:val="30"/>
              <w:szCs w:val="30"/>
            </w:rPr>
            <w:t>36</w:t>
          </w:r>
          <w:r>
            <w:rPr>
              <w:rFonts w:ascii="Times New Roman" w:hAnsi="Times New Roman" w:eastAsia="Times New Roman" w:cs="Times New Roman"/>
              <w:sz w:val="30"/>
              <w:szCs w:val="30"/>
            </w:rPr>
            <w:fldChar w:fldCharType="end"/>
          </w:r>
          <w:r>
            <w:rPr>
              <w:rFonts w:ascii="Times New Roman" w:hAnsi="Times New Roman" w:eastAsia="Times New Roman" w:cs="Times New Roman"/>
              <w:sz w:val="30"/>
              <w:szCs w:val="30"/>
            </w:rPr>
            <w:fldChar w:fldCharType="end"/>
          </w:r>
        </w:p>
        <w:p>
          <w:pPr>
            <w:pStyle w:val="30"/>
            <w:keepNext w:val="0"/>
            <w:keepLines w:val="0"/>
            <w:pageBreakBefore w:val="0"/>
            <w:tabs>
              <w:tab w:val="right" w:leader="dot" w:pos="9560"/>
            </w:tabs>
            <w:kinsoku/>
            <w:wordWrap/>
            <w:overflowPunct/>
            <w:topLinePunct w:val="0"/>
            <w:bidi w:val="0"/>
            <w:adjustRightInd/>
            <w:snapToGrid/>
            <w:spacing w:line="480" w:lineRule="auto"/>
            <w:textAlignment w:val="auto"/>
            <w:rPr>
              <w:sz w:val="30"/>
              <w:szCs w:val="30"/>
            </w:rPr>
          </w:pPr>
          <w:r>
            <w:rPr>
              <w:rFonts w:ascii="Times New Roman" w:hAnsi="Times New Roman" w:eastAsia="Times New Roman" w:cs="Times New Roman"/>
              <w:sz w:val="30"/>
              <w:szCs w:val="30"/>
            </w:rPr>
            <w:fldChar w:fldCharType="begin"/>
          </w:r>
          <w:r>
            <w:rPr>
              <w:rFonts w:ascii="Times New Roman" w:hAnsi="Times New Roman" w:eastAsia="Times New Roman" w:cs="Times New Roman"/>
              <w:sz w:val="30"/>
              <w:szCs w:val="30"/>
            </w:rPr>
            <w:instrText xml:space="preserve"> HYPERLINK \l _Toc27836 </w:instrText>
          </w:r>
          <w:r>
            <w:rPr>
              <w:rFonts w:ascii="Times New Roman" w:hAnsi="Times New Roman" w:eastAsia="Times New Roman" w:cs="Times New Roman"/>
              <w:sz w:val="30"/>
              <w:szCs w:val="30"/>
            </w:rPr>
            <w:fldChar w:fldCharType="separate"/>
          </w:r>
          <w:r>
            <w:rPr>
              <w:rFonts w:ascii="Times New Roman" w:hAnsi="Times New Roman" w:eastAsia="Times New Roman" w:cs="Times New Roman"/>
              <w:sz w:val="30"/>
              <w:szCs w:val="30"/>
            </w:rPr>
            <w:t>第六章</w:t>
          </w:r>
          <w:r>
            <w:rPr>
              <w:rFonts w:hint="eastAsia" w:ascii="Times New Roman" w:hAnsi="Times New Roman" w:eastAsia="宋体" w:cs="Times New Roman"/>
              <w:sz w:val="30"/>
              <w:szCs w:val="30"/>
              <w:lang w:val="en-US" w:eastAsia="zh-CN"/>
            </w:rPr>
            <w:t xml:space="preserve">  </w:t>
          </w:r>
          <w:r>
            <w:rPr>
              <w:rFonts w:ascii="Times New Roman" w:hAnsi="Times New Roman" w:eastAsia="Times New Roman" w:cs="Times New Roman"/>
              <w:sz w:val="30"/>
              <w:szCs w:val="30"/>
            </w:rPr>
            <w:t>投标文件格式</w:t>
          </w:r>
          <w:r>
            <w:rPr>
              <w:rFonts w:ascii="Times New Roman" w:hAnsi="Times New Roman" w:eastAsia="Times New Roman" w:cs="Times New Roman"/>
              <w:sz w:val="30"/>
              <w:szCs w:val="30"/>
            </w:rPr>
            <w:tab/>
          </w:r>
          <w:r>
            <w:rPr>
              <w:rFonts w:ascii="Times New Roman" w:hAnsi="Times New Roman" w:eastAsia="Times New Roman" w:cs="Times New Roman"/>
              <w:sz w:val="30"/>
              <w:szCs w:val="30"/>
            </w:rPr>
            <w:fldChar w:fldCharType="begin"/>
          </w:r>
          <w:r>
            <w:rPr>
              <w:rFonts w:ascii="Times New Roman" w:hAnsi="Times New Roman" w:eastAsia="Times New Roman" w:cs="Times New Roman"/>
              <w:sz w:val="30"/>
              <w:szCs w:val="30"/>
            </w:rPr>
            <w:instrText xml:space="preserve"> PAGEREF _Toc27836 \h </w:instrText>
          </w:r>
          <w:r>
            <w:rPr>
              <w:rFonts w:ascii="Times New Roman" w:hAnsi="Times New Roman" w:eastAsia="Times New Roman" w:cs="Times New Roman"/>
              <w:sz w:val="30"/>
              <w:szCs w:val="30"/>
            </w:rPr>
            <w:fldChar w:fldCharType="separate"/>
          </w:r>
          <w:r>
            <w:rPr>
              <w:rFonts w:ascii="Times New Roman" w:hAnsi="Times New Roman" w:eastAsia="Times New Roman" w:cs="Times New Roman"/>
              <w:sz w:val="30"/>
              <w:szCs w:val="30"/>
            </w:rPr>
            <w:t>48</w:t>
          </w:r>
          <w:r>
            <w:rPr>
              <w:rFonts w:ascii="Times New Roman" w:hAnsi="Times New Roman" w:eastAsia="Times New Roman" w:cs="Times New Roman"/>
              <w:sz w:val="30"/>
              <w:szCs w:val="30"/>
            </w:rPr>
            <w:fldChar w:fldCharType="end"/>
          </w:r>
          <w:r>
            <w:rPr>
              <w:rFonts w:ascii="Times New Roman" w:hAnsi="Times New Roman" w:eastAsia="Times New Roman" w:cs="Times New Roman"/>
              <w:sz w:val="30"/>
              <w:szCs w:val="30"/>
            </w:rPr>
            <w:fldChar w:fldCharType="end"/>
          </w:r>
        </w:p>
        <w:p>
          <w:pPr>
            <w:pStyle w:val="32"/>
            <w:keepNext w:val="0"/>
            <w:keepLines w:val="0"/>
            <w:pageBreakBefore w:val="0"/>
            <w:tabs>
              <w:tab w:val="right" w:leader="dot" w:pos="9560"/>
            </w:tabs>
            <w:kinsoku/>
            <w:wordWrap/>
            <w:overflowPunct/>
            <w:topLinePunct w:val="0"/>
            <w:bidi w:val="0"/>
            <w:adjustRightInd/>
            <w:snapToGrid/>
            <w:spacing w:line="480" w:lineRule="auto"/>
            <w:textAlignment w:val="auto"/>
            <w:rPr>
              <w:sz w:val="30"/>
              <w:szCs w:val="30"/>
            </w:rPr>
          </w:pPr>
        </w:p>
        <w:p>
          <w:pPr>
            <w:keepNext w:val="0"/>
            <w:keepLines w:val="0"/>
            <w:pageBreakBefore w:val="0"/>
            <w:kinsoku/>
            <w:wordWrap/>
            <w:overflowPunct/>
            <w:topLinePunct w:val="0"/>
            <w:bidi w:val="0"/>
            <w:adjustRightInd/>
            <w:snapToGrid/>
            <w:spacing w:after="0" w:line="480" w:lineRule="auto"/>
            <w:textAlignment w:val="auto"/>
            <w:rPr>
              <w:rFonts w:ascii="Times New Roman" w:eastAsia="Times New Roman"/>
            </w:rPr>
            <w:sectPr>
              <w:pgSz w:w="12240" w:h="15840"/>
              <w:pgMar w:top="1500" w:right="1340" w:bottom="280" w:left="1340" w:header="720" w:footer="720" w:gutter="0"/>
              <w:cols w:space="720" w:num="1"/>
            </w:sectPr>
          </w:pPr>
          <w:r>
            <w:rPr>
              <w:rFonts w:ascii="Times New Roman" w:eastAsia="Times New Roman"/>
              <w:sz w:val="30"/>
              <w:szCs w:val="30"/>
            </w:rPr>
            <w:fldChar w:fldCharType="end"/>
          </w:r>
        </w:p>
      </w:sdtContent>
    </w:sdt>
    <w:p>
      <w:pPr>
        <w:pStyle w:val="3"/>
        <w:tabs>
          <w:tab w:val="left" w:pos="2177"/>
        </w:tabs>
        <w:outlineLvl w:val="0"/>
      </w:pPr>
      <w:bookmarkStart w:id="0" w:name="_Toc28487"/>
      <w:r>
        <w:t>第一章</w:t>
      </w:r>
      <w:r>
        <w:tab/>
      </w:r>
      <w:r>
        <w:t>招标公告</w:t>
      </w:r>
      <w:bookmarkEnd w:id="0"/>
    </w:p>
    <w:p>
      <w:pPr>
        <w:pStyle w:val="43"/>
      </w:pPr>
      <w:r>
        <w:rPr>
          <w:rFonts w:hint="eastAsia"/>
          <w:lang w:val="en-US" w:eastAsia="zh-CN"/>
        </w:rPr>
        <w:t xml:space="preserve">  </w:t>
      </w:r>
      <w:r>
        <w:t>窗体顶端</w:t>
      </w:r>
    </w:p>
    <w:p>
      <w:pPr>
        <w:pStyle w:val="11"/>
        <w:keepNext w:val="0"/>
        <w:keepLines w:val="0"/>
        <w:pageBreakBefore w:val="0"/>
        <w:widowControl w:val="0"/>
        <w:kinsoku/>
        <w:wordWrap/>
        <w:overflowPunct/>
        <w:topLinePunct w:val="0"/>
        <w:autoSpaceDE w:val="0"/>
        <w:autoSpaceDN w:val="0"/>
        <w:bidi w:val="0"/>
        <w:adjustRightInd/>
        <w:snapToGrid/>
        <w:spacing w:before="160" w:line="360" w:lineRule="auto"/>
        <w:ind w:left="1599" w:firstLine="480" w:firstLineChars="20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u w:val="single"/>
          <w:lang w:val="en-US" w:eastAsia="zh-CN"/>
        </w:rPr>
        <w:t xml:space="preserve">广州金盛建工程项目管理咨询有限公司 </w:t>
      </w:r>
      <w:r>
        <w:rPr>
          <w:rFonts w:hint="eastAsia" w:asciiTheme="minorEastAsia" w:hAnsiTheme="minorEastAsia" w:eastAsiaTheme="minorEastAsia" w:cstheme="minorEastAsia"/>
          <w:lang w:val="en-US" w:eastAsia="zh-CN"/>
        </w:rPr>
        <w:t>受</w:t>
      </w:r>
      <w:r>
        <w:rPr>
          <w:rFonts w:hint="eastAsia" w:asciiTheme="minorEastAsia" w:hAnsiTheme="minorEastAsia" w:eastAsiaTheme="minorEastAsia" w:cstheme="minorEastAsia"/>
          <w:u w:val="single"/>
          <w:lang w:val="en-US" w:eastAsia="zh-CN"/>
        </w:rPr>
        <w:t xml:space="preserve"> 五指山市自然资源和规划局 </w:t>
      </w:r>
      <w:r>
        <w:rPr>
          <w:rFonts w:hint="eastAsia" w:asciiTheme="minorEastAsia" w:hAnsiTheme="minorEastAsia" w:eastAsiaTheme="minorEastAsia" w:cstheme="minorEastAsia"/>
          <w:lang w:val="en-US" w:eastAsia="zh-CN"/>
        </w:rPr>
        <w:t>委托，对</w:t>
      </w:r>
      <w:r>
        <w:rPr>
          <w:rFonts w:hint="eastAsia" w:asciiTheme="minorEastAsia" w:hAnsiTheme="minorEastAsia" w:eastAsiaTheme="minorEastAsia" w:cstheme="minorEastAsia"/>
          <w:u w:val="single"/>
          <w:lang w:val="en-US" w:eastAsia="zh-CN"/>
        </w:rPr>
        <w:t xml:space="preserve"> 五指山市地质灾害风险普查项目 </w:t>
      </w:r>
      <w:r>
        <w:rPr>
          <w:rFonts w:hint="eastAsia" w:asciiTheme="minorEastAsia" w:hAnsiTheme="minorEastAsia" w:eastAsiaTheme="minorEastAsia" w:cstheme="minorEastAsia"/>
          <w:lang w:val="en-US" w:eastAsia="zh-CN"/>
        </w:rPr>
        <w:t>进行国内</w:t>
      </w:r>
      <w:r>
        <w:rPr>
          <w:rFonts w:hint="eastAsia" w:asciiTheme="minorEastAsia" w:hAnsiTheme="minorEastAsia" w:eastAsiaTheme="minorEastAsia" w:cstheme="minorEastAsia"/>
          <w:u w:val="single"/>
          <w:lang w:val="en-US" w:eastAsia="zh-CN"/>
        </w:rPr>
        <w:t xml:space="preserve"> 公开招标 </w:t>
      </w:r>
      <w:r>
        <w:rPr>
          <w:rFonts w:hint="eastAsia" w:asciiTheme="minorEastAsia" w:hAnsiTheme="minorEastAsia" w:eastAsiaTheme="minorEastAsia" w:cstheme="minorEastAsia"/>
          <w:lang w:val="en-US" w:eastAsia="zh-CN"/>
        </w:rPr>
        <w:t>采购，诚邀请合格的供应商前来投标。</w:t>
      </w:r>
    </w:p>
    <w:p>
      <w:pPr>
        <w:pStyle w:val="44"/>
      </w:pPr>
      <w:r>
        <w:t>窗体底端</w:t>
      </w:r>
    </w:p>
    <w:p>
      <w:pPr>
        <w:pStyle w:val="10"/>
        <w:spacing w:line="305" w:lineRule="exac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一、项目</w:t>
      </w:r>
      <w:r>
        <w:rPr>
          <w:rFonts w:hint="eastAsia" w:asciiTheme="minorEastAsia" w:hAnsiTheme="minorEastAsia" w:eastAsiaTheme="minorEastAsia" w:cstheme="minorEastAsia"/>
          <w:lang w:eastAsia="zh-CN"/>
        </w:rPr>
        <w:t>简介</w:t>
      </w:r>
    </w:p>
    <w:p>
      <w:pPr>
        <w:pStyle w:val="11"/>
        <w:spacing w:before="161"/>
        <w:ind w:left="1598"/>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项目名称</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五指山市地质灾害风险普查项目</w:t>
      </w:r>
    </w:p>
    <w:p>
      <w:pPr>
        <w:pStyle w:val="11"/>
        <w:spacing w:before="161"/>
        <w:ind w:left="1598"/>
        <w:rPr>
          <w:rFonts w:hint="eastAsia" w:asciiTheme="minorEastAsia" w:hAnsiTheme="minorEastAsia" w:eastAsiaTheme="minorEastAsia" w:cstheme="minorEastAsia"/>
        </w:rPr>
      </w:pPr>
      <w:r>
        <w:rPr>
          <w:rFonts w:hint="eastAsia" w:asciiTheme="minorEastAsia" w:hAnsiTheme="minorEastAsia" w:eastAsiaTheme="minorEastAsia" w:cstheme="minorEastAsia"/>
        </w:rPr>
        <w:t>2、项目</w:t>
      </w:r>
      <w:r>
        <w:rPr>
          <w:rFonts w:hint="eastAsia" w:asciiTheme="minorEastAsia" w:hAnsiTheme="minorEastAsia" w:eastAsiaTheme="minorEastAsia" w:cstheme="minorEastAsia"/>
          <w:lang w:eastAsia="zh-CN"/>
        </w:rPr>
        <w:t>登记号</w:t>
      </w:r>
      <w:r>
        <w:rPr>
          <w:rFonts w:hint="eastAsia" w:asciiTheme="minorEastAsia" w:hAnsiTheme="minorEastAsia" w:eastAsiaTheme="minorEastAsia" w:cstheme="minorEastAsia"/>
        </w:rPr>
        <w:t>：HNGP-FJC-2021-5393</w:t>
      </w:r>
    </w:p>
    <w:p>
      <w:pPr>
        <w:pStyle w:val="11"/>
        <w:spacing w:before="161"/>
        <w:ind w:left="1598"/>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eastAsia="zh-CN"/>
        </w:rPr>
        <w:t>项目编号</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GZJSJ-HN-CG-20210101</w:t>
      </w:r>
    </w:p>
    <w:p>
      <w:pPr>
        <w:pStyle w:val="11"/>
        <w:spacing w:before="161"/>
        <w:ind w:left="1598"/>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4、资金来源：政府资金</w:t>
      </w:r>
    </w:p>
    <w:p>
      <w:pPr>
        <w:pStyle w:val="11"/>
        <w:spacing w:before="161"/>
        <w:ind w:left="1598"/>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5、采购预算：2024500.00 元，报价超出单项采购最高限价的均视为无效报价，详细单项最高限价见“招标文件第三章用户需求书”。</w:t>
      </w:r>
    </w:p>
    <w:p>
      <w:pPr>
        <w:pStyle w:val="11"/>
        <w:spacing w:before="161"/>
        <w:ind w:left="1598"/>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6、采购需求：具体详见“招标文件第三章用户需求书”。</w:t>
      </w:r>
    </w:p>
    <w:p>
      <w:pPr>
        <w:pStyle w:val="11"/>
        <w:spacing w:before="161"/>
        <w:ind w:left="1598"/>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7、项目实施地点：五指山市辖区</w:t>
      </w:r>
    </w:p>
    <w:p>
      <w:pPr>
        <w:pStyle w:val="11"/>
        <w:spacing w:before="161"/>
        <w:ind w:left="1598"/>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8、项目完成时间（服务期限）：2021年12月。</w:t>
      </w:r>
    </w:p>
    <w:p>
      <w:pPr>
        <w:pStyle w:val="11"/>
        <w:spacing w:before="161"/>
        <w:ind w:left="1598"/>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9、付款方式：/</w:t>
      </w:r>
      <w:bookmarkStart w:id="46" w:name="_GoBack"/>
      <w:bookmarkEnd w:id="46"/>
    </w:p>
    <w:p>
      <w:pPr>
        <w:pStyle w:val="11"/>
        <w:spacing w:before="161"/>
        <w:ind w:left="1598"/>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9、项目或项目包是否属于流标废标重新采购： 否 </w:t>
      </w:r>
    </w:p>
    <w:p>
      <w:pPr>
        <w:pStyle w:val="11"/>
        <w:spacing w:before="161"/>
        <w:ind w:left="1598"/>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10、是否进口产品： 否 </w:t>
      </w:r>
    </w:p>
    <w:p>
      <w:pPr>
        <w:pStyle w:val="11"/>
        <w:spacing w:before="161"/>
        <w:ind w:left="1598"/>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11、是否备案： 是 </w:t>
      </w:r>
    </w:p>
    <w:p>
      <w:pPr>
        <w:pStyle w:val="11"/>
        <w:spacing w:before="161"/>
        <w:ind w:left="1598"/>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12、是否属于多包项目： 否</w:t>
      </w:r>
    </w:p>
    <w:p>
      <w:pPr>
        <w:pStyle w:val="43"/>
      </w:pPr>
      <w:r>
        <w:rPr>
          <w:rFonts w:hint="eastAsia" w:asciiTheme="minorEastAsia" w:hAnsiTheme="minorEastAsia" w:eastAsiaTheme="minorEastAsia" w:cstheme="minorEastAsia"/>
          <w:lang w:val="en-US" w:eastAsia="zh-CN"/>
        </w:rPr>
        <w:t>13、采购项目需要落实的政府采购政策：</w:t>
      </w:r>
      <w:r>
        <w:t>窗体顶端</w:t>
      </w:r>
    </w:p>
    <w:p>
      <w:pPr>
        <w:pStyle w:val="11"/>
        <w:spacing w:before="161"/>
        <w:ind w:left="1598"/>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13、采购项目需要落实的政府采购政策： 本项目需落实的节能环保、中小微企业扶持（含支持监狱企业、残疾人福利性单位）相关政府采购政策详见采购文件。 </w:t>
      </w:r>
    </w:p>
    <w:p>
      <w:pPr>
        <w:pStyle w:val="11"/>
        <w:spacing w:before="158" w:line="364" w:lineRule="auto"/>
        <w:ind w:left="1118" w:right="918" w:firstLine="479"/>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二、申请人的资格要求</w:t>
      </w:r>
    </w:p>
    <w:p>
      <w:pPr>
        <w:pStyle w:val="10"/>
        <w:numPr>
          <w:ilvl w:val="1"/>
          <w:numId w:val="1"/>
        </w:numPr>
        <w:tabs>
          <w:tab w:val="left" w:pos="1844"/>
        </w:tabs>
        <w:spacing w:before="0" w:after="0" w:line="306" w:lineRule="exact"/>
        <w:ind w:left="1843" w:right="0" w:hanging="244"/>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32"/>
        </w:rPr>
        <w:t>符合《政府采购法》第二十二条第一款规定的条件</w:t>
      </w:r>
      <w:r>
        <w:rPr>
          <w:rFonts w:hint="eastAsia" w:asciiTheme="minorEastAsia" w:hAnsiTheme="minorEastAsia" w:eastAsiaTheme="minorEastAsia" w:cstheme="minorEastAsia"/>
          <w:sz w:val="24"/>
          <w:szCs w:val="32"/>
          <w:lang w:eastAsia="zh-CN"/>
        </w:rPr>
        <w:t>；</w:t>
      </w:r>
      <w:r>
        <w:rPr>
          <w:rFonts w:hint="eastAsia" w:asciiTheme="minorEastAsia" w:hAnsiTheme="minorEastAsia" w:eastAsiaTheme="minorEastAsia" w:cstheme="minorEastAsia"/>
          <w:w w:val="99"/>
        </w:rPr>
        <w:t xml:space="preserve"> </w:t>
      </w:r>
    </w:p>
    <w:p>
      <w:pPr>
        <w:pStyle w:val="43"/>
      </w:pPr>
      <w:r>
        <w:rPr>
          <w:rFonts w:hint="eastAsia" w:asciiTheme="minorEastAsia" w:hAnsiTheme="minorEastAsia" w:eastAsiaTheme="minorEastAsia" w:cstheme="minorEastAsia"/>
          <w:lang w:val="en-US" w:eastAsia="zh-CN"/>
        </w:rPr>
        <w:t>2.</w:t>
      </w:r>
      <w:r>
        <w:t>窗体顶端</w:t>
      </w:r>
    </w:p>
    <w:p>
      <w:pPr>
        <w:pStyle w:val="10"/>
        <w:numPr>
          <w:ilvl w:val="1"/>
          <w:numId w:val="1"/>
        </w:numPr>
        <w:tabs>
          <w:tab w:val="left" w:pos="1844"/>
        </w:tabs>
        <w:spacing w:before="0" w:after="0" w:line="306" w:lineRule="exact"/>
        <w:ind w:left="1843" w:right="0" w:hanging="244"/>
        <w:jc w:val="left"/>
        <w:rPr>
          <w:rFonts w:hint="default" w:asciiTheme="minorEastAsia" w:hAnsiTheme="minorEastAsia" w:eastAsiaTheme="minorEastAsia" w:cstheme="minorEastAsia"/>
          <w:sz w:val="24"/>
          <w:szCs w:val="32"/>
          <w:lang w:val="zh-CN" w:eastAsia="zh-CN"/>
        </w:rPr>
      </w:pPr>
      <w:r>
        <w:rPr>
          <w:rFonts w:hint="eastAsia" w:asciiTheme="minorEastAsia" w:hAnsiTheme="minorEastAsia" w:eastAsiaTheme="minorEastAsia" w:cstheme="minorEastAsia"/>
          <w:sz w:val="24"/>
          <w:szCs w:val="32"/>
          <w:lang w:val="en-US" w:eastAsia="zh-CN"/>
        </w:rPr>
        <w:t>在“信用中国”网站（www.creditchina.gov.cn）、中国政府采购网（www.ccgp.gov.cn）没有列入失信被执行人、重大税收违法案件当事人名单、政府采购严重违法失信行为记录名单的投标人。</w:t>
      </w:r>
    </w:p>
    <w:p>
      <w:pPr>
        <w:pStyle w:val="10"/>
        <w:numPr>
          <w:ilvl w:val="1"/>
          <w:numId w:val="1"/>
        </w:numPr>
        <w:tabs>
          <w:tab w:val="left" w:pos="1844"/>
        </w:tabs>
        <w:spacing w:before="0" w:after="0" w:line="306" w:lineRule="exact"/>
        <w:ind w:left="1843" w:right="0" w:hanging="244"/>
        <w:jc w:val="left"/>
        <w:rPr>
          <w:rFonts w:hint="eastAsia" w:asciiTheme="minorEastAsia" w:hAnsiTheme="minorEastAsia" w:eastAsiaTheme="minorEastAsia" w:cstheme="minorEastAsia"/>
          <w:sz w:val="24"/>
          <w:szCs w:val="32"/>
          <w:lang w:val="zh-CN" w:eastAsia="zh-CN"/>
        </w:rPr>
      </w:pPr>
      <w:r>
        <w:rPr>
          <w:rFonts w:hint="eastAsia" w:asciiTheme="minorEastAsia" w:hAnsiTheme="minorEastAsia" w:eastAsiaTheme="minorEastAsia" w:cstheme="minorEastAsia"/>
          <w:sz w:val="24"/>
          <w:szCs w:val="32"/>
          <w:lang w:val="en-US" w:eastAsia="zh-CN"/>
        </w:rPr>
        <w:t>其它要求：</w:t>
      </w:r>
    </w:p>
    <w:p>
      <w:pPr>
        <w:pStyle w:val="44"/>
      </w:pPr>
      <w:r>
        <w:t>窗体底端</w:t>
      </w:r>
    </w:p>
    <w:p>
      <w:pPr>
        <w:pStyle w:val="11"/>
        <w:spacing w:before="158" w:line="364" w:lineRule="auto"/>
        <w:ind w:left="1118" w:right="918" w:firstLine="479"/>
        <w:rPr>
          <w:rFonts w:hint="eastAsia" w:asciiTheme="minorEastAsia" w:hAnsiTheme="minorEastAsia" w:eastAsiaTheme="minorEastAsia" w:cstheme="minorEastAsia"/>
        </w:rPr>
      </w:pPr>
      <w:r>
        <w:rPr>
          <w:rFonts w:hint="eastAsia" w:asciiTheme="minorEastAsia" w:hAnsiTheme="minorEastAsia" w:eastAsiaTheme="minorEastAsia" w:cstheme="minorEastAsia"/>
        </w:rPr>
        <w:t>（1）在中华人民共和国注册，具有独立承担民事责任能力的法人（提供营业执照副本复印件、组织机构代码证副本复印件、税务登记证副本复印件或改革后的“三证合一”或“多证合一”营业执照复印件加盖公章）；</w:t>
      </w:r>
    </w:p>
    <w:p>
      <w:pPr>
        <w:pStyle w:val="11"/>
        <w:spacing w:before="158" w:line="364" w:lineRule="auto"/>
        <w:ind w:left="1118" w:right="918" w:firstLine="479"/>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本</w:t>
      </w:r>
      <w:r>
        <w:rPr>
          <w:rFonts w:hint="eastAsia" w:asciiTheme="minorEastAsia" w:hAnsiTheme="minorEastAsia" w:eastAsiaTheme="minorEastAsia" w:cstheme="minorEastAsia"/>
        </w:rPr>
        <w:t>次招标要求投标人同时具备地质灾害危险</w:t>
      </w:r>
      <w:r>
        <w:rPr>
          <w:rFonts w:hint="eastAsia" w:asciiTheme="minorEastAsia" w:hAnsiTheme="minorEastAsia" w:eastAsiaTheme="minorEastAsia" w:cstheme="minorEastAsia"/>
          <w:lang w:eastAsia="zh-CN"/>
        </w:rPr>
        <w:t>性</w:t>
      </w:r>
      <w:r>
        <w:rPr>
          <w:rFonts w:hint="eastAsia" w:asciiTheme="minorEastAsia" w:hAnsiTheme="minorEastAsia" w:eastAsiaTheme="minorEastAsia" w:cstheme="minorEastAsia"/>
        </w:rPr>
        <w:t>评估</w:t>
      </w:r>
      <w:r>
        <w:rPr>
          <w:rFonts w:hint="eastAsia" w:asciiTheme="minorEastAsia" w:hAnsiTheme="minorEastAsia" w:eastAsiaTheme="minorEastAsia" w:cstheme="minorEastAsia"/>
          <w:lang w:eastAsia="zh-CN"/>
        </w:rPr>
        <w:t>、测绘乙级（含）</w:t>
      </w:r>
      <w:r>
        <w:rPr>
          <w:rFonts w:hint="eastAsia" w:asciiTheme="minorEastAsia" w:hAnsiTheme="minorEastAsia" w:eastAsiaTheme="minorEastAsia" w:cstheme="minorEastAsia"/>
        </w:rPr>
        <w:t>以上资质</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供应商须</w:t>
      </w:r>
      <w:r>
        <w:rPr>
          <w:rFonts w:hint="eastAsia" w:asciiTheme="minorEastAsia" w:hAnsiTheme="minorEastAsia" w:eastAsiaTheme="minorEastAsia" w:cstheme="minorEastAsia"/>
          <w:lang w:eastAsia="zh-CN"/>
        </w:rPr>
        <w:t>提供相关</w:t>
      </w:r>
      <w:r>
        <w:rPr>
          <w:rFonts w:hint="eastAsia" w:asciiTheme="minorEastAsia" w:hAnsiTheme="minorEastAsia" w:eastAsiaTheme="minorEastAsia" w:cstheme="minorEastAsia"/>
        </w:rPr>
        <w:t>资质</w:t>
      </w:r>
      <w:r>
        <w:rPr>
          <w:rFonts w:hint="eastAsia" w:asciiTheme="minorEastAsia" w:hAnsiTheme="minorEastAsia" w:eastAsiaTheme="minorEastAsia" w:cstheme="minorEastAsia"/>
          <w:lang w:eastAsia="zh-CN"/>
        </w:rPr>
        <w:t>证书</w:t>
      </w:r>
      <w:r>
        <w:rPr>
          <w:rFonts w:hint="eastAsia" w:asciiTheme="minorEastAsia" w:hAnsiTheme="minorEastAsia" w:eastAsiaTheme="minorEastAsia" w:cstheme="minorEastAsia"/>
        </w:rPr>
        <w:t>，复印件加盖公章）。</w:t>
      </w:r>
    </w:p>
    <w:p>
      <w:pPr>
        <w:pStyle w:val="11"/>
        <w:spacing w:before="158" w:line="364" w:lineRule="auto"/>
        <w:ind w:left="1118" w:right="918" w:firstLine="479"/>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）具有良好的商业信誉和健全的财务会计制度（提供202</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年至今任意1个月的企业财务报表（资产负债表、利润表、现金流量表）或20</w:t>
      </w:r>
      <w:r>
        <w:rPr>
          <w:rFonts w:hint="eastAsia" w:asciiTheme="minorEastAsia" w:hAnsiTheme="minorEastAsia" w:eastAsiaTheme="minorEastAsia" w:cstheme="minorEastAsia"/>
          <w:lang w:val="en-US" w:eastAsia="zh-CN"/>
        </w:rPr>
        <w:t>20</w:t>
      </w:r>
      <w:r>
        <w:rPr>
          <w:rFonts w:hint="eastAsia" w:asciiTheme="minorEastAsia" w:hAnsiTheme="minorEastAsia" w:eastAsiaTheme="minorEastAsia" w:cstheme="minorEastAsia"/>
        </w:rPr>
        <w:t>年度财务审计报告，复印件加盖公章</w:t>
      </w:r>
      <w:r>
        <w:rPr>
          <w:rFonts w:hint="eastAsia" w:asciiTheme="minorEastAsia" w:hAnsiTheme="minorEastAsia" w:eastAsiaTheme="minorEastAsia" w:cstheme="minorEastAsia"/>
          <w:lang w:eastAsia="zh-CN"/>
        </w:rPr>
        <w:t>。</w:t>
      </w:r>
      <w:r>
        <w:rPr>
          <w:spacing w:val="-1"/>
          <w:sz w:val="24"/>
        </w:rPr>
        <w:t>供应商成立时</w:t>
      </w:r>
      <w:r>
        <w:rPr>
          <w:sz w:val="24"/>
        </w:rPr>
        <w:t>间不足一年的，按实际成立日期至今提供所有财务报表</w:t>
      </w:r>
      <w:r>
        <w:rPr>
          <w:rFonts w:hint="eastAsia" w:asciiTheme="minorEastAsia" w:hAnsiTheme="minorEastAsia" w:eastAsiaTheme="minorEastAsia" w:cstheme="minorEastAsia"/>
        </w:rPr>
        <w:t>）；</w:t>
      </w:r>
    </w:p>
    <w:p>
      <w:pPr>
        <w:pStyle w:val="11"/>
        <w:spacing w:before="158" w:line="364" w:lineRule="auto"/>
        <w:ind w:left="1118" w:right="918" w:firstLine="479"/>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）具有依法缴纳税收和社会保障资金的良好记录（提供202</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eastAsia="zh-CN"/>
        </w:rPr>
        <w:t>年至今</w:t>
      </w:r>
      <w:r>
        <w:rPr>
          <w:rFonts w:hint="eastAsia" w:asciiTheme="minorEastAsia" w:hAnsiTheme="minorEastAsia" w:eastAsiaTheme="minorEastAsia" w:cstheme="minorEastAsia"/>
        </w:rPr>
        <w:t>任意1个月的纳税证明及社会保障金缴纳证明，复印件加盖公章）</w:t>
      </w:r>
      <w:r>
        <w:rPr>
          <w:rFonts w:hint="eastAsia" w:asciiTheme="minorEastAsia" w:hAnsiTheme="minorEastAsia" w:eastAsiaTheme="minorEastAsia" w:cstheme="minorEastAsia"/>
          <w:lang w:val="zh-CN"/>
        </w:rPr>
        <w:t>；</w:t>
      </w:r>
    </w:p>
    <w:p>
      <w:pPr>
        <w:pStyle w:val="11"/>
        <w:spacing w:before="158" w:line="364" w:lineRule="auto"/>
        <w:ind w:left="1118" w:right="918" w:firstLine="479"/>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）具有履行合同所必需的设备和专业技术能力。</w:t>
      </w:r>
    </w:p>
    <w:p>
      <w:pPr>
        <w:pStyle w:val="11"/>
        <w:spacing w:before="158" w:line="364" w:lineRule="auto"/>
        <w:ind w:left="1118" w:right="918" w:firstLine="479"/>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）参加本次政府采购活动近三年内（成立不足三年的从成立之日起算），在经营活动中没有重大违法记录（提供声明函原件）；</w:t>
      </w:r>
    </w:p>
    <w:p>
      <w:pPr>
        <w:pStyle w:val="11"/>
        <w:spacing w:before="158" w:line="364" w:lineRule="auto"/>
        <w:ind w:left="1118" w:right="918" w:firstLine="479"/>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lang w:val="zh-CN"/>
        </w:rPr>
        <w:t>）不接受联合体形式的投标。</w:t>
      </w:r>
    </w:p>
    <w:p>
      <w:pPr>
        <w:pStyle w:val="11"/>
        <w:spacing w:before="158" w:line="364" w:lineRule="auto"/>
        <w:ind w:left="1118" w:right="918" w:firstLine="479"/>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lang w:val="zh-CN"/>
        </w:rPr>
        <w:t>）单位负责人为同一人或者存在直接控股、管理关系的不同供应商，不得参加同一合同项下的政府采购活动。否则，皆取消资格。</w:t>
      </w:r>
    </w:p>
    <w:p>
      <w:pPr>
        <w:pStyle w:val="11"/>
        <w:spacing w:before="158" w:line="364" w:lineRule="auto"/>
        <w:ind w:left="1118" w:right="918" w:firstLine="479"/>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（9）投标单位需在海南省有办公场所（提供营业执照或办公场地的产权证明或租赁合同</w:t>
      </w:r>
      <w:r>
        <w:rPr>
          <w:rFonts w:hint="eastAsia" w:asciiTheme="minorEastAsia" w:hAnsiTheme="minorEastAsia" w:eastAsiaTheme="minorEastAsia" w:cstheme="minorEastAsia"/>
          <w:lang w:val="zh-CN" w:eastAsia="zh-CN"/>
        </w:rPr>
        <w:t>，复印件加盖公章</w:t>
      </w:r>
      <w:r>
        <w:rPr>
          <w:rFonts w:hint="eastAsia" w:asciiTheme="minorEastAsia" w:hAnsiTheme="minorEastAsia" w:eastAsiaTheme="minorEastAsia" w:cstheme="minorEastAsia"/>
          <w:lang w:val="en-US" w:eastAsia="zh-CN"/>
        </w:rPr>
        <w:t>）；</w:t>
      </w:r>
    </w:p>
    <w:p>
      <w:pPr>
        <w:pStyle w:val="28"/>
        <w:numPr>
          <w:ilvl w:val="0"/>
          <w:numId w:val="0"/>
        </w:numPr>
        <w:tabs>
          <w:tab w:val="left" w:pos="1958"/>
        </w:tabs>
        <w:spacing w:before="160" w:after="0" w:line="364" w:lineRule="auto"/>
        <w:ind w:left="1597" w:leftChars="0" w:right="5026" w:rightChars="0"/>
        <w:jc w:val="left"/>
        <w:rPr>
          <w:rFonts w:hint="eastAsia" w:eastAsia="宋体"/>
          <w:b/>
          <w:sz w:val="24"/>
          <w:lang w:eastAsia="zh-CN"/>
        </w:rPr>
      </w:pPr>
      <w:r>
        <w:rPr>
          <w:b/>
          <w:sz w:val="24"/>
        </w:rPr>
        <w:t>三、</w:t>
      </w:r>
      <w:r>
        <w:rPr>
          <w:rFonts w:hint="eastAsia"/>
          <w:b/>
          <w:sz w:val="24"/>
          <w:lang w:eastAsia="zh-CN"/>
        </w:rPr>
        <w:t>采购文件获取办法</w:t>
      </w:r>
    </w:p>
    <w:p>
      <w:pPr>
        <w:pStyle w:val="11"/>
        <w:spacing w:before="158" w:line="364" w:lineRule="auto"/>
        <w:ind w:left="1118" w:right="918" w:firstLine="47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1、请于</w:t>
      </w:r>
      <w:r>
        <w:rPr>
          <w:rFonts w:hint="eastAsia" w:asciiTheme="minorEastAsia" w:hAnsiTheme="minorEastAsia" w:eastAsiaTheme="minorEastAsia" w:cstheme="minorEastAsia"/>
          <w:u w:val="single"/>
          <w:lang w:val="en-US" w:eastAsia="zh-CN"/>
        </w:rPr>
        <w:t xml:space="preserve"> 2021年07月05日08时30分 </w:t>
      </w:r>
      <w:r>
        <w:rPr>
          <w:rFonts w:hint="eastAsia" w:asciiTheme="minorEastAsia" w:hAnsiTheme="minorEastAsia" w:eastAsiaTheme="minorEastAsia" w:cstheme="minorEastAsia"/>
          <w:lang w:val="en-US" w:eastAsia="zh-CN"/>
        </w:rPr>
        <w:t>至</w:t>
      </w:r>
      <w:r>
        <w:rPr>
          <w:rFonts w:hint="eastAsia" w:asciiTheme="minorEastAsia" w:hAnsiTheme="minorEastAsia" w:eastAsiaTheme="minorEastAsia" w:cstheme="minorEastAsia"/>
          <w:u w:val="single"/>
          <w:lang w:val="en-US" w:eastAsia="zh-CN"/>
        </w:rPr>
        <w:t xml:space="preserve"> 2021年07月09日 17时30分（</w:t>
      </w:r>
      <w:r>
        <w:rPr>
          <w:rFonts w:hint="eastAsia" w:asciiTheme="minorEastAsia" w:hAnsiTheme="minorEastAsia" w:eastAsiaTheme="minorEastAsia" w:cstheme="minorEastAsia"/>
          <w:lang w:val="en-US" w:eastAsia="zh-CN"/>
        </w:rPr>
        <w:t>北京时间，下同）从</w:t>
      </w:r>
      <w:r>
        <w:rPr>
          <w:rFonts w:hint="eastAsia" w:asciiTheme="minorEastAsia" w:hAnsiTheme="minorEastAsia" w:eastAsiaTheme="minorEastAsia" w:cstheme="minorEastAsia"/>
          <w:u w:val="single"/>
          <w:lang w:val="en-US" w:eastAsia="zh-CN"/>
        </w:rPr>
        <w:t xml:space="preserve">海口市龙华区金茂中路半山花园晓峰阁1038房 </w:t>
      </w:r>
      <w:r>
        <w:rPr>
          <w:rFonts w:hint="eastAsia" w:asciiTheme="minorEastAsia" w:hAnsiTheme="minorEastAsia" w:eastAsiaTheme="minorEastAsia" w:cstheme="minorEastAsia"/>
          <w:lang w:val="en-US" w:eastAsia="zh-CN"/>
        </w:rPr>
        <w:t>现场购买；购买须提供：授权委托书及法人身份证复印件、授权代表须提供现公司社保证明（五险明细）及身份证；营业执照、资质证书（复印件加盖公章）获取采购文件。</w:t>
      </w:r>
    </w:p>
    <w:p>
      <w:pPr>
        <w:pStyle w:val="11"/>
        <w:spacing w:before="158" w:line="364" w:lineRule="auto"/>
        <w:ind w:left="1118" w:right="918" w:firstLine="479"/>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五指山市地质灾害风险普查项目：招标文件每套售价：</w:t>
      </w:r>
      <w:r>
        <w:rPr>
          <w:rFonts w:hint="eastAsia" w:asciiTheme="minorEastAsia" w:hAnsiTheme="minorEastAsia" w:eastAsiaTheme="minorEastAsia" w:cstheme="minorEastAsia"/>
          <w:u w:val="single"/>
          <w:lang w:val="en-US" w:eastAsia="zh-CN"/>
        </w:rPr>
        <w:t xml:space="preserve"> 300 </w:t>
      </w:r>
      <w:r>
        <w:rPr>
          <w:rFonts w:hint="eastAsia" w:asciiTheme="minorEastAsia" w:hAnsiTheme="minorEastAsia" w:eastAsiaTheme="minorEastAsia" w:cstheme="minorEastAsia"/>
          <w:lang w:val="en-US" w:eastAsia="zh-CN"/>
        </w:rPr>
        <w:t>元；投标保证金的金额：</w:t>
      </w:r>
      <w:r>
        <w:rPr>
          <w:rFonts w:hint="eastAsia" w:asciiTheme="minorEastAsia" w:hAnsiTheme="minorEastAsia" w:eastAsiaTheme="minorEastAsia" w:cstheme="minorEastAsia"/>
          <w:u w:val="single"/>
          <w:lang w:val="en-US" w:eastAsia="zh-CN"/>
        </w:rPr>
        <w:t xml:space="preserve">10000 </w:t>
      </w:r>
      <w:r>
        <w:rPr>
          <w:rFonts w:hint="eastAsia" w:asciiTheme="minorEastAsia" w:hAnsiTheme="minorEastAsia" w:eastAsiaTheme="minorEastAsia" w:cstheme="minorEastAsia"/>
          <w:lang w:val="en-US" w:eastAsia="zh-CN"/>
        </w:rPr>
        <w:t>元。</w:t>
      </w:r>
    </w:p>
    <w:p>
      <w:pPr>
        <w:pStyle w:val="10"/>
        <w:spacing w:line="306" w:lineRule="exact"/>
      </w:pPr>
      <w:r>
        <w:t>四、提交投标文件截止时间、开标时间和地点</w:t>
      </w:r>
    </w:p>
    <w:p>
      <w:pPr>
        <w:pStyle w:val="11"/>
        <w:spacing w:before="158"/>
        <w:ind w:left="1598"/>
        <w:rPr>
          <w:rFonts w:hint="eastAsia" w:eastAsia="宋体"/>
          <w:lang w:eastAsia="zh-CN"/>
        </w:rPr>
      </w:pPr>
      <w:r>
        <w:rPr>
          <w:rFonts w:hint="eastAsia"/>
          <w:lang w:val="en-US" w:eastAsia="zh-CN"/>
        </w:rPr>
        <w:t>1、</w:t>
      </w:r>
      <w:r>
        <w:rPr>
          <w:rFonts w:hint="eastAsia"/>
          <w:lang w:eastAsia="zh-CN"/>
        </w:rPr>
        <w:t>递交投标文件截止时间</w:t>
      </w:r>
      <w:r>
        <w:rPr>
          <w:rFonts w:ascii="Times New Roman" w:eastAsia="Times New Roman"/>
        </w:rPr>
        <w:t xml:space="preserve">: </w:t>
      </w:r>
      <w:r>
        <w:rPr>
          <w:u w:val="single"/>
        </w:rPr>
        <w:t>202</w:t>
      </w:r>
      <w:r>
        <w:rPr>
          <w:rFonts w:hint="eastAsia"/>
          <w:u w:val="single"/>
          <w:lang w:val="en-US" w:eastAsia="zh-CN"/>
        </w:rPr>
        <w:t>1</w:t>
      </w:r>
      <w:r>
        <w:t xml:space="preserve"> 年 </w:t>
      </w:r>
      <w:r>
        <w:rPr>
          <w:rFonts w:hint="eastAsia"/>
          <w:u w:val="single"/>
          <w:lang w:val="en-US" w:eastAsia="zh-CN"/>
        </w:rPr>
        <w:t>07</w:t>
      </w:r>
      <w:r>
        <w:t xml:space="preserve"> 月 </w:t>
      </w:r>
      <w:r>
        <w:rPr>
          <w:rFonts w:hint="eastAsia"/>
          <w:u w:val="single"/>
          <w:lang w:val="en-US" w:eastAsia="zh-CN"/>
        </w:rPr>
        <w:t>27</w:t>
      </w:r>
      <w:r>
        <w:t xml:space="preserve"> 日 </w:t>
      </w:r>
      <w:r>
        <w:rPr>
          <w:rFonts w:hint="eastAsia"/>
          <w:u w:val="single"/>
          <w:lang w:val="en-US" w:eastAsia="zh-CN"/>
        </w:rPr>
        <w:t>09</w:t>
      </w:r>
      <w:r>
        <w:t xml:space="preserve"> 时 </w:t>
      </w:r>
      <w:r>
        <w:rPr>
          <w:rFonts w:hint="eastAsia"/>
          <w:u w:val="single"/>
          <w:lang w:val="en-US" w:eastAsia="zh-CN"/>
        </w:rPr>
        <w:t>3</w:t>
      </w:r>
      <w:r>
        <w:rPr>
          <w:u w:val="single"/>
        </w:rPr>
        <w:t>0</w:t>
      </w:r>
      <w:r>
        <w:t xml:space="preserve"> 分（北京时间</w:t>
      </w:r>
      <w:r>
        <w:rPr>
          <w:rFonts w:hint="eastAsia"/>
          <w:lang w:eastAsia="zh-CN"/>
        </w:rPr>
        <w:t>，下同</w:t>
      </w:r>
      <w:r>
        <w:t xml:space="preserve">） </w:t>
      </w:r>
      <w:r>
        <w:rPr>
          <w:rFonts w:hint="eastAsia"/>
          <w:lang w:eastAsia="zh-CN"/>
        </w:rPr>
        <w:t>；</w:t>
      </w:r>
    </w:p>
    <w:p>
      <w:pPr>
        <w:pStyle w:val="11"/>
        <w:spacing w:before="161" w:line="362" w:lineRule="auto"/>
        <w:ind w:left="1118" w:right="916" w:firstLine="479"/>
        <w:jc w:val="both"/>
        <w:rPr>
          <w:rFonts w:hint="eastAsia"/>
          <w:lang w:eastAsia="zh-CN"/>
        </w:rPr>
      </w:pPr>
      <w:r>
        <w:rPr>
          <w:rFonts w:hint="eastAsia"/>
          <w:spacing w:val="-12"/>
          <w:lang w:val="en-US" w:eastAsia="zh-CN"/>
        </w:rPr>
        <w:t>2、开标时间：</w:t>
      </w:r>
      <w:r>
        <w:rPr>
          <w:u w:val="single"/>
        </w:rPr>
        <w:t>202</w:t>
      </w:r>
      <w:r>
        <w:rPr>
          <w:rFonts w:hint="eastAsia"/>
          <w:u w:val="single"/>
          <w:lang w:val="en-US" w:eastAsia="zh-CN"/>
        </w:rPr>
        <w:t>1</w:t>
      </w:r>
      <w:r>
        <w:t xml:space="preserve"> 年 </w:t>
      </w:r>
      <w:r>
        <w:rPr>
          <w:rFonts w:hint="eastAsia"/>
          <w:u w:val="single"/>
          <w:lang w:val="en-US" w:eastAsia="zh-CN"/>
        </w:rPr>
        <w:t>07</w:t>
      </w:r>
      <w:r>
        <w:t xml:space="preserve"> 月 </w:t>
      </w:r>
      <w:r>
        <w:rPr>
          <w:rFonts w:hint="eastAsia"/>
          <w:u w:val="single"/>
          <w:lang w:val="en-US" w:eastAsia="zh-CN"/>
        </w:rPr>
        <w:t>27</w:t>
      </w:r>
      <w:r>
        <w:t xml:space="preserve"> 日 </w:t>
      </w:r>
      <w:r>
        <w:rPr>
          <w:rFonts w:hint="eastAsia"/>
          <w:u w:val="single"/>
          <w:lang w:val="en-US" w:eastAsia="zh-CN"/>
        </w:rPr>
        <w:t>09</w:t>
      </w:r>
      <w:r>
        <w:t xml:space="preserve"> 时 </w:t>
      </w:r>
      <w:r>
        <w:rPr>
          <w:rFonts w:hint="eastAsia"/>
          <w:u w:val="single"/>
          <w:lang w:val="en-US" w:eastAsia="zh-CN"/>
        </w:rPr>
        <w:t>3</w:t>
      </w:r>
      <w:r>
        <w:rPr>
          <w:u w:val="single"/>
        </w:rPr>
        <w:t>0</w:t>
      </w:r>
      <w:r>
        <w:t xml:space="preserve"> 分</w:t>
      </w:r>
      <w:r>
        <w:rPr>
          <w:rFonts w:hint="eastAsia"/>
          <w:lang w:eastAsia="zh-CN"/>
        </w:rPr>
        <w:t>；</w:t>
      </w:r>
    </w:p>
    <w:p>
      <w:pPr>
        <w:pStyle w:val="11"/>
        <w:spacing w:before="161" w:line="362" w:lineRule="auto"/>
        <w:ind w:left="1118" w:right="916" w:firstLine="479"/>
        <w:jc w:val="both"/>
        <w:rPr>
          <w:rFonts w:hint="eastAsia"/>
          <w:lang w:val="en-US" w:eastAsia="zh-CN"/>
        </w:rPr>
      </w:pPr>
      <w:r>
        <w:rPr>
          <w:rFonts w:hint="eastAsia"/>
          <w:lang w:val="en-US" w:eastAsia="zh-CN"/>
        </w:rPr>
        <w:t>3、递交投标文件及开标地点：</w:t>
      </w:r>
    </w:p>
    <w:p>
      <w:pPr>
        <w:pStyle w:val="11"/>
        <w:spacing w:before="161" w:line="362" w:lineRule="auto"/>
        <w:ind w:left="1118" w:right="916" w:firstLine="479"/>
        <w:jc w:val="both"/>
        <w:rPr>
          <w:rFonts w:hint="eastAsia"/>
          <w:spacing w:val="-12"/>
          <w:lang w:eastAsia="zh-CN"/>
        </w:rPr>
      </w:pPr>
      <w:r>
        <w:rPr>
          <w:rFonts w:hint="eastAsia"/>
          <w:spacing w:val="-12"/>
          <w:lang w:val="en-US" w:eastAsia="zh-CN"/>
        </w:rPr>
        <w:t xml:space="preserve">3.1 </w:t>
      </w:r>
      <w:r>
        <w:rPr>
          <w:spacing w:val="-12"/>
        </w:rPr>
        <w:t xml:space="preserve">海口市海秀东路 </w:t>
      </w:r>
      <w:r>
        <w:t>74</w:t>
      </w:r>
      <w:r>
        <w:rPr>
          <w:spacing w:val="-18"/>
        </w:rPr>
        <w:t xml:space="preserve"> 号鸿泰大厦 </w:t>
      </w:r>
      <w:r>
        <w:t>14</w:t>
      </w:r>
      <w:r>
        <w:rPr>
          <w:spacing w:val="-40"/>
        </w:rPr>
        <w:t xml:space="preserve"> 层 </w:t>
      </w:r>
      <w:r>
        <w:rPr>
          <w:rFonts w:ascii="Times New Roman" w:eastAsia="Times New Roman"/>
          <w:u w:val="single"/>
        </w:rPr>
        <w:t xml:space="preserve">1 </w:t>
      </w:r>
      <w:r>
        <w:rPr>
          <w:spacing w:val="-12"/>
        </w:rPr>
        <w:t>号开标室</w:t>
      </w:r>
      <w:r>
        <w:rPr>
          <w:rFonts w:hint="eastAsia"/>
          <w:spacing w:val="-12"/>
          <w:lang w:eastAsia="zh-CN"/>
        </w:rPr>
        <w:t>，如有变动另行通知；（适用于现场递交）。</w:t>
      </w:r>
    </w:p>
    <w:p>
      <w:pPr>
        <w:pStyle w:val="10"/>
        <w:spacing w:before="41"/>
        <w:ind w:left="0" w:leftChars="0" w:firstLine="1205" w:firstLineChars="500"/>
        <w:rPr>
          <w:rFonts w:hint="eastAsia" w:cs="宋体"/>
          <w:b/>
          <w:bCs w:val="0"/>
          <w:sz w:val="24"/>
          <w:szCs w:val="22"/>
          <w:lang w:val="zh-CN" w:eastAsia="zh-CN" w:bidi="zh-CN"/>
        </w:rPr>
      </w:pPr>
      <w:r>
        <w:rPr>
          <w:rFonts w:ascii="宋体" w:hAnsi="宋体" w:eastAsia="宋体" w:cs="宋体"/>
          <w:b/>
          <w:bCs w:val="0"/>
          <w:sz w:val="24"/>
          <w:szCs w:val="22"/>
          <w:lang w:val="zh-CN" w:eastAsia="zh-CN" w:bidi="zh-CN"/>
        </w:rPr>
        <w:t>五、</w:t>
      </w:r>
      <w:r>
        <w:rPr>
          <w:rFonts w:hint="eastAsia" w:cs="宋体"/>
          <w:b/>
          <w:bCs w:val="0"/>
          <w:sz w:val="24"/>
          <w:szCs w:val="22"/>
          <w:lang w:val="zh-CN" w:eastAsia="zh-CN" w:bidi="zh-CN"/>
        </w:rPr>
        <w:t>采购信息发布媒体</w:t>
      </w:r>
    </w:p>
    <w:p>
      <w:pPr>
        <w:pStyle w:val="11"/>
        <w:spacing w:before="161" w:line="362" w:lineRule="auto"/>
        <w:ind w:left="1118" w:right="916" w:firstLine="479"/>
        <w:jc w:val="both"/>
        <w:rPr>
          <w:rFonts w:hint="eastAsia"/>
          <w:u w:val="single"/>
          <w:lang w:val="en-US" w:eastAsia="zh-CN"/>
        </w:rPr>
      </w:pPr>
      <w:r>
        <w:rPr>
          <w:rFonts w:hint="eastAsia"/>
          <w:lang w:val="en-US" w:eastAsia="zh-CN"/>
        </w:rPr>
        <w:t>1、本项目采购信息指定发布媒体为：《全国公共资源交易平台（海南</w:t>
      </w:r>
      <w:r>
        <w:rPr>
          <w:rFonts w:hint="eastAsia"/>
          <w:u w:val="single"/>
          <w:lang w:val="en-US" w:eastAsia="zh-CN"/>
        </w:rPr>
        <w:t>省）</w:t>
      </w:r>
      <w:r>
        <w:rPr>
          <w:rFonts w:hint="eastAsia"/>
          <w:lang w:val="en-US" w:eastAsia="zh-CN"/>
        </w:rPr>
        <w:t>》</w:t>
      </w:r>
      <w:r>
        <w:rPr>
          <w:rFonts w:hint="eastAsia"/>
          <w:u w:val="single"/>
          <w:lang w:val="en-US" w:eastAsia="zh-CN"/>
        </w:rPr>
        <w:t>、《海南省政府采购网》、五指山市人民政府网</w:t>
      </w:r>
    </w:p>
    <w:p>
      <w:pPr>
        <w:pStyle w:val="10"/>
        <w:spacing w:before="41"/>
        <w:ind w:left="0" w:leftChars="0" w:firstLine="1205" w:firstLineChars="500"/>
        <w:rPr>
          <w:rFonts w:hint="eastAsia" w:cs="宋体"/>
          <w:b/>
          <w:bCs w:val="0"/>
          <w:sz w:val="24"/>
          <w:szCs w:val="22"/>
          <w:u w:val="single"/>
          <w:lang w:val="zh-CN" w:eastAsia="zh-CN" w:bidi="zh-CN"/>
        </w:rPr>
      </w:pPr>
      <w:r>
        <w:rPr>
          <w:rFonts w:hint="eastAsia" w:cs="宋体"/>
          <w:b/>
          <w:bCs w:val="0"/>
          <w:sz w:val="24"/>
          <w:szCs w:val="22"/>
          <w:u w:val="single"/>
          <w:lang w:val="zh-CN" w:eastAsia="zh-CN" w:bidi="zh-CN"/>
        </w:rPr>
        <w:t>六</w:t>
      </w:r>
      <w:r>
        <w:rPr>
          <w:rFonts w:ascii="宋体" w:hAnsi="宋体" w:eastAsia="宋体" w:cs="宋体"/>
          <w:b/>
          <w:bCs w:val="0"/>
          <w:sz w:val="24"/>
          <w:szCs w:val="22"/>
          <w:u w:val="single"/>
          <w:lang w:val="zh-CN" w:eastAsia="zh-CN" w:bidi="zh-CN"/>
        </w:rPr>
        <w:t>、</w:t>
      </w:r>
      <w:r>
        <w:rPr>
          <w:rFonts w:hint="eastAsia" w:cs="宋体"/>
          <w:b/>
          <w:bCs w:val="0"/>
          <w:sz w:val="24"/>
          <w:szCs w:val="22"/>
          <w:u w:val="single"/>
          <w:lang w:val="zh-CN" w:eastAsia="zh-CN" w:bidi="zh-CN"/>
        </w:rPr>
        <w:t>公告期限及保证金到账截止日期</w:t>
      </w:r>
    </w:p>
    <w:p>
      <w:pPr>
        <w:pStyle w:val="11"/>
        <w:spacing w:before="161" w:line="362" w:lineRule="auto"/>
        <w:ind w:left="1118" w:right="916" w:firstLine="479"/>
        <w:jc w:val="both"/>
        <w:rPr>
          <w:rFonts w:hint="default"/>
          <w:u w:val="single"/>
          <w:lang w:val="en-US" w:eastAsia="zh-CN"/>
        </w:rPr>
      </w:pPr>
      <w:r>
        <w:rPr>
          <w:rFonts w:hint="eastAsia"/>
          <w:u w:val="single"/>
          <w:lang w:val="en-US" w:eastAsia="zh-CN"/>
        </w:rPr>
        <w:t>1、本项目采购公告不少于5个工作日，自 2021年07月05日08时30分 至 2021年07月09日17时30分 止。</w:t>
      </w:r>
    </w:p>
    <w:p>
      <w:pPr>
        <w:pStyle w:val="11"/>
        <w:spacing w:before="161" w:line="362" w:lineRule="auto"/>
        <w:ind w:left="1118" w:right="916" w:firstLine="479"/>
        <w:jc w:val="both"/>
        <w:rPr>
          <w:rFonts w:hint="default"/>
          <w:u w:val="single"/>
          <w:lang w:val="en-US" w:eastAsia="zh-CN"/>
        </w:rPr>
      </w:pPr>
      <w:r>
        <w:rPr>
          <w:rFonts w:hint="eastAsia"/>
          <w:u w:val="single"/>
          <w:lang w:val="en-US" w:eastAsia="zh-CN"/>
        </w:rPr>
        <w:t>2、投标保证金到账截止日期：2021年07月27日09时30分。</w:t>
      </w:r>
    </w:p>
    <w:p>
      <w:pPr>
        <w:tabs>
          <w:tab w:val="left" w:pos="7480"/>
        </w:tabs>
        <w:spacing w:before="161" w:line="362" w:lineRule="auto"/>
        <w:ind w:right="2670" w:rightChars="0" w:firstLine="1205" w:firstLineChars="500"/>
        <w:jc w:val="left"/>
        <w:rPr>
          <w:rFonts w:hint="eastAsia" w:eastAsia="宋体"/>
          <w:b/>
          <w:sz w:val="24"/>
          <w:lang w:eastAsia="zh-CN"/>
        </w:rPr>
      </w:pPr>
      <w:r>
        <w:rPr>
          <w:b/>
          <w:sz w:val="24"/>
        </w:rPr>
        <w:t>七、</w:t>
      </w:r>
      <w:r>
        <w:rPr>
          <w:rFonts w:hint="eastAsia"/>
          <w:b/>
          <w:sz w:val="24"/>
          <w:lang w:eastAsia="zh-CN"/>
        </w:rPr>
        <w:t>采购人、代理机构名称及联系方式</w:t>
      </w:r>
    </w:p>
    <w:p>
      <w:pPr>
        <w:pStyle w:val="11"/>
        <w:tabs>
          <w:tab w:val="left" w:pos="2077"/>
        </w:tabs>
        <w:spacing w:before="161" w:line="362" w:lineRule="auto"/>
        <w:ind w:left="1358" w:right="105"/>
      </w:pPr>
      <w:r>
        <w:rPr>
          <w:rFonts w:hint="eastAsia"/>
          <w:lang w:eastAsia="zh-CN"/>
        </w:rPr>
        <w:t>采购人</w:t>
      </w:r>
      <w:r>
        <w:t>：</w:t>
      </w:r>
      <w:r>
        <w:rPr>
          <w:rFonts w:hint="eastAsia"/>
          <w:lang w:val="en-US" w:eastAsia="zh-CN"/>
        </w:rPr>
        <w:t>五指山市自然资源和规划局</w:t>
      </w:r>
      <w:r>
        <w:rPr>
          <w:rFonts w:hint="eastAsia"/>
          <w:lang w:eastAsia="zh-CN"/>
        </w:rPr>
        <w:t xml:space="preserve"> </w:t>
      </w:r>
      <w:r>
        <w:t xml:space="preserve">                      </w:t>
      </w:r>
    </w:p>
    <w:p>
      <w:pPr>
        <w:pStyle w:val="11"/>
        <w:tabs>
          <w:tab w:val="left" w:pos="2077"/>
        </w:tabs>
        <w:spacing w:before="161" w:line="362" w:lineRule="auto"/>
        <w:ind w:left="1358" w:right="105"/>
        <w:rPr>
          <w:rFonts w:hint="eastAsia"/>
        </w:rPr>
      </w:pPr>
      <w:r>
        <w:t>地址：</w:t>
      </w:r>
      <w:r>
        <w:rPr>
          <w:rFonts w:hint="eastAsia"/>
        </w:rPr>
        <w:t>海南省五指山市通什镇河北东路7号</w:t>
      </w:r>
    </w:p>
    <w:p>
      <w:pPr>
        <w:pStyle w:val="11"/>
        <w:tabs>
          <w:tab w:val="left" w:pos="2077"/>
        </w:tabs>
        <w:spacing w:before="161" w:line="362" w:lineRule="auto"/>
        <w:ind w:left="1358" w:right="105"/>
        <w:rPr>
          <w:rFonts w:hint="eastAsia"/>
        </w:rPr>
      </w:pPr>
      <w:r>
        <w:t>联系</w:t>
      </w:r>
      <w:r>
        <w:rPr>
          <w:rFonts w:hint="eastAsia"/>
          <w:lang w:eastAsia="zh-CN"/>
        </w:rPr>
        <w:t>人</w:t>
      </w:r>
      <w:r>
        <w:t>：</w:t>
      </w:r>
      <w:r>
        <w:rPr>
          <w:rFonts w:hint="eastAsia"/>
          <w:lang w:eastAsia="zh-CN"/>
        </w:rPr>
        <w:t>杨工</w:t>
      </w:r>
    </w:p>
    <w:p>
      <w:pPr>
        <w:pStyle w:val="11"/>
        <w:tabs>
          <w:tab w:val="left" w:pos="2077"/>
        </w:tabs>
        <w:spacing w:before="161" w:line="362" w:lineRule="auto"/>
        <w:ind w:left="1358" w:right="105"/>
        <w:rPr>
          <w:rFonts w:hint="eastAsia"/>
          <w:lang w:eastAsia="zh-CN"/>
        </w:rPr>
      </w:pPr>
      <w:r>
        <w:rPr>
          <w:rFonts w:hint="eastAsia"/>
          <w:lang w:eastAsia="zh-CN"/>
        </w:rPr>
        <w:t>电话：</w:t>
      </w:r>
      <w:r>
        <w:rPr>
          <w:rFonts w:hint="eastAsia"/>
          <w:lang w:val="en-US" w:eastAsia="zh-CN"/>
        </w:rPr>
        <w:t xml:space="preserve"> </w:t>
      </w:r>
      <w:r>
        <w:rPr>
          <w:rFonts w:hint="eastAsia"/>
        </w:rPr>
        <w:t>0898-86622742</w:t>
      </w:r>
    </w:p>
    <w:p>
      <w:pPr>
        <w:pStyle w:val="11"/>
        <w:spacing w:before="158"/>
        <w:ind w:left="1358"/>
        <w:rPr>
          <w:rFonts w:hint="eastAsia"/>
          <w:lang w:eastAsia="zh-CN"/>
        </w:rPr>
      </w:pPr>
      <w:r>
        <w:rPr>
          <w:rFonts w:hint="eastAsia"/>
          <w:lang w:eastAsia="zh-CN"/>
        </w:rPr>
        <w:t xml:space="preserve">代理机构：广州金盛建工程项目管理咨询有限公司 </w:t>
      </w:r>
    </w:p>
    <w:p>
      <w:pPr>
        <w:pStyle w:val="11"/>
        <w:spacing w:before="158"/>
        <w:ind w:left="1358"/>
        <w:rPr>
          <w:rFonts w:hint="eastAsia"/>
          <w:lang w:eastAsia="zh-CN"/>
        </w:rPr>
      </w:pPr>
      <w:r>
        <w:rPr>
          <w:rFonts w:hint="eastAsia"/>
          <w:lang w:eastAsia="zh-CN"/>
        </w:rPr>
        <w:pict>
          <v:line id="_x0000_s1041" o:spid="_x0000_s1041" o:spt="20" style="position:absolute;left:0pt;margin-left:89.9pt;margin-top:45.3pt;height:0pt;width:72pt;mso-position-horizontal-relative:page;z-index:-251653120;mso-width-relative:page;mso-height-relative:page;" stroked="t" coordsize="21600,21600">
            <v:path arrowok="t"/>
            <v:fill focussize="0,0"/>
            <v:stroke weight="0.6pt" color="#000000"/>
            <v:imagedata o:title=""/>
            <o:lock v:ext="edit"/>
          </v:line>
        </w:pict>
      </w:r>
      <w:r>
        <w:rPr>
          <w:rFonts w:hint="eastAsia"/>
          <w:lang w:eastAsia="zh-CN"/>
        </w:rPr>
        <w:t xml:space="preserve">地 址：广州市天河区黄埔大道西118号905室 </w:t>
      </w:r>
    </w:p>
    <w:p>
      <w:pPr>
        <w:pStyle w:val="11"/>
        <w:spacing w:before="158"/>
        <w:ind w:left="1358"/>
        <w:rPr>
          <w:rFonts w:hint="eastAsia"/>
          <w:lang w:eastAsia="zh-CN"/>
        </w:rPr>
      </w:pPr>
      <w:r>
        <w:rPr>
          <w:rFonts w:hint="eastAsia"/>
          <w:lang w:eastAsia="zh-CN"/>
        </w:rPr>
        <w:t>联系人：左红</w:t>
      </w:r>
    </w:p>
    <w:p>
      <w:pPr>
        <w:pStyle w:val="11"/>
        <w:spacing w:before="158"/>
        <w:ind w:left="1358"/>
        <w:rPr>
          <w:rFonts w:hint="eastAsia"/>
          <w:spacing w:val="-12"/>
          <w:lang w:eastAsia="zh-CN"/>
        </w:rPr>
        <w:sectPr>
          <w:footerReference r:id="rId5" w:type="default"/>
          <w:pgSz w:w="11910" w:h="16840"/>
          <w:pgMar w:top="1360" w:right="640" w:bottom="1180" w:left="680" w:header="0" w:footer="913" w:gutter="0"/>
          <w:pgNumType w:start="1"/>
          <w:cols w:space="720" w:num="1"/>
        </w:sectPr>
      </w:pPr>
      <w:r>
        <w:rPr>
          <w:rFonts w:hint="eastAsia"/>
          <w:lang w:eastAsia="zh-CN"/>
        </w:rPr>
        <w:t>电话：</w:t>
      </w:r>
      <w:r>
        <w:rPr>
          <w:rFonts w:hint="eastAsia"/>
          <w:lang w:val="en-US" w:eastAsia="zh-CN"/>
        </w:rPr>
        <w:t>0898-68571152</w:t>
      </w:r>
    </w:p>
    <w:p>
      <w:pPr>
        <w:pStyle w:val="3"/>
        <w:tabs>
          <w:tab w:val="left" w:pos="2177"/>
        </w:tabs>
        <w:ind w:left="0" w:leftChars="0" w:firstLine="0" w:firstLineChars="0"/>
        <w:jc w:val="center"/>
        <w:outlineLvl w:val="0"/>
      </w:pPr>
      <w:bookmarkStart w:id="1" w:name="_Toc29431"/>
      <w:r>
        <w:t>第二章</w:t>
      </w:r>
      <w:r>
        <w:tab/>
      </w:r>
      <w:r>
        <w:t>供应商须知</w:t>
      </w:r>
      <w:bookmarkEnd w:id="1"/>
    </w:p>
    <w:p>
      <w:pPr>
        <w:pStyle w:val="11"/>
        <w:rPr>
          <w:b/>
          <w:sz w:val="20"/>
        </w:rPr>
      </w:pPr>
    </w:p>
    <w:p>
      <w:pPr>
        <w:pStyle w:val="11"/>
        <w:spacing w:before="11"/>
        <w:rPr>
          <w:b/>
          <w:sz w:val="18"/>
        </w:rPr>
      </w:pPr>
    </w:p>
    <w:p>
      <w:pPr>
        <w:pStyle w:val="5"/>
        <w:spacing w:before="55"/>
        <w:ind w:left="1118"/>
        <w:rPr>
          <w:rFonts w:hint="eastAsia" w:ascii="黑体" w:eastAsia="黑体"/>
        </w:rPr>
      </w:pPr>
      <w:r>
        <w:rPr>
          <w:rFonts w:hint="eastAsia" w:ascii="黑体" w:eastAsia="黑体"/>
        </w:rPr>
        <w:t>供应商须知附表</w:t>
      </w:r>
    </w:p>
    <w:p>
      <w:pPr>
        <w:pStyle w:val="11"/>
        <w:rPr>
          <w:rFonts w:ascii="黑体"/>
          <w:b/>
          <w:sz w:val="20"/>
        </w:rPr>
      </w:pPr>
    </w:p>
    <w:p>
      <w:pPr>
        <w:pStyle w:val="11"/>
        <w:spacing w:before="1"/>
        <w:rPr>
          <w:rFonts w:ascii="黑体"/>
          <w:b/>
        </w:rPr>
      </w:pPr>
    </w:p>
    <w:tbl>
      <w:tblPr>
        <w:tblStyle w:val="15"/>
        <w:tblW w:w="0" w:type="auto"/>
        <w:tblInd w:w="5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261"/>
        <w:gridCol w:w="6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852" w:type="dxa"/>
          </w:tcPr>
          <w:p>
            <w:pPr>
              <w:pStyle w:val="29"/>
              <w:spacing w:before="92"/>
              <w:ind w:left="146" w:right="23"/>
              <w:jc w:val="center"/>
              <w:rPr>
                <w:b/>
                <w:sz w:val="21"/>
              </w:rPr>
            </w:pPr>
            <w:r>
              <w:rPr>
                <w:b/>
                <w:sz w:val="21"/>
              </w:rPr>
              <w:t>条款号</w:t>
            </w:r>
            <w:r>
              <w:rPr>
                <w:b/>
                <w:w w:val="99"/>
                <w:sz w:val="21"/>
              </w:rPr>
              <w:t xml:space="preserve"> </w:t>
            </w:r>
          </w:p>
        </w:tc>
        <w:tc>
          <w:tcPr>
            <w:tcW w:w="2261" w:type="dxa"/>
          </w:tcPr>
          <w:p>
            <w:pPr>
              <w:pStyle w:val="29"/>
              <w:spacing w:before="92"/>
              <w:ind w:left="152" w:right="39"/>
              <w:jc w:val="center"/>
              <w:rPr>
                <w:b/>
                <w:sz w:val="21"/>
              </w:rPr>
            </w:pPr>
            <w:r>
              <w:rPr>
                <w:b/>
                <w:sz w:val="21"/>
              </w:rPr>
              <w:t>条款名称</w:t>
            </w:r>
            <w:r>
              <w:rPr>
                <w:b/>
                <w:w w:val="99"/>
                <w:sz w:val="21"/>
              </w:rPr>
              <w:t xml:space="preserve"> </w:t>
            </w:r>
          </w:p>
        </w:tc>
        <w:tc>
          <w:tcPr>
            <w:tcW w:w="6574" w:type="dxa"/>
          </w:tcPr>
          <w:p>
            <w:pPr>
              <w:pStyle w:val="29"/>
              <w:spacing w:before="92"/>
              <w:ind w:left="2896" w:right="2784"/>
              <w:jc w:val="center"/>
              <w:rPr>
                <w:b/>
                <w:sz w:val="21"/>
              </w:rPr>
            </w:pPr>
            <w:r>
              <w:rPr>
                <w:b/>
                <w:sz w:val="21"/>
              </w:rPr>
              <w:t>编列内容</w:t>
            </w:r>
            <w:r>
              <w:rPr>
                <w:b/>
                <w:w w:val="99"/>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7" w:hRule="atLeast"/>
        </w:trPr>
        <w:tc>
          <w:tcPr>
            <w:tcW w:w="852" w:type="dxa"/>
          </w:tcPr>
          <w:p>
            <w:pPr>
              <w:pStyle w:val="29"/>
              <w:rPr>
                <w:rFonts w:ascii="黑体"/>
                <w:b/>
                <w:sz w:val="20"/>
              </w:rPr>
            </w:pPr>
          </w:p>
          <w:p>
            <w:pPr>
              <w:pStyle w:val="29"/>
              <w:rPr>
                <w:rFonts w:ascii="黑体"/>
                <w:b/>
                <w:sz w:val="20"/>
              </w:rPr>
            </w:pPr>
          </w:p>
          <w:p>
            <w:pPr>
              <w:pStyle w:val="29"/>
              <w:spacing w:before="129"/>
              <w:ind w:left="139" w:right="23"/>
              <w:jc w:val="center"/>
              <w:rPr>
                <w:sz w:val="21"/>
              </w:rPr>
            </w:pPr>
            <w:r>
              <w:rPr>
                <w:sz w:val="21"/>
              </w:rPr>
              <w:t xml:space="preserve">2.1 </w:t>
            </w:r>
          </w:p>
        </w:tc>
        <w:tc>
          <w:tcPr>
            <w:tcW w:w="2261" w:type="dxa"/>
          </w:tcPr>
          <w:p>
            <w:pPr>
              <w:pStyle w:val="29"/>
              <w:rPr>
                <w:rFonts w:ascii="黑体"/>
                <w:b/>
                <w:sz w:val="20"/>
              </w:rPr>
            </w:pPr>
          </w:p>
          <w:p>
            <w:pPr>
              <w:pStyle w:val="29"/>
              <w:rPr>
                <w:rFonts w:ascii="黑体"/>
                <w:b/>
                <w:sz w:val="20"/>
              </w:rPr>
            </w:pPr>
          </w:p>
          <w:p>
            <w:pPr>
              <w:pStyle w:val="29"/>
              <w:spacing w:before="129"/>
              <w:ind w:left="152" w:right="39"/>
              <w:jc w:val="center"/>
              <w:rPr>
                <w:sz w:val="21"/>
              </w:rPr>
            </w:pPr>
            <w:r>
              <w:rPr>
                <w:sz w:val="21"/>
              </w:rPr>
              <w:t xml:space="preserve">采购人 </w:t>
            </w:r>
          </w:p>
        </w:tc>
        <w:tc>
          <w:tcPr>
            <w:tcW w:w="6574" w:type="dxa"/>
          </w:tcPr>
          <w:p>
            <w:pPr>
              <w:pStyle w:val="29"/>
              <w:spacing w:before="27"/>
              <w:ind w:left="108"/>
              <w:rPr>
                <w:rFonts w:hint="eastAsia" w:eastAsia="宋体"/>
                <w:sz w:val="21"/>
                <w:lang w:eastAsia="zh-CN"/>
              </w:rPr>
            </w:pPr>
            <w:r>
              <w:rPr>
                <w:sz w:val="21"/>
              </w:rPr>
              <w:t>采购人：</w:t>
            </w:r>
            <w:r>
              <w:rPr>
                <w:rFonts w:hint="eastAsia"/>
                <w:sz w:val="21"/>
                <w:lang w:eastAsia="zh-CN"/>
              </w:rPr>
              <w:t>五指山市自然资源和规划局</w:t>
            </w:r>
          </w:p>
          <w:p>
            <w:pPr>
              <w:pStyle w:val="29"/>
              <w:tabs>
                <w:tab w:val="left" w:pos="530"/>
              </w:tabs>
              <w:spacing w:before="139" w:line="367" w:lineRule="auto"/>
              <w:ind w:left="108" w:right="781"/>
              <w:rPr>
                <w:rFonts w:hint="eastAsia"/>
                <w:spacing w:val="-3"/>
                <w:sz w:val="21"/>
                <w:lang w:eastAsia="zh-CN"/>
              </w:rPr>
            </w:pPr>
            <w:r>
              <w:rPr>
                <w:sz w:val="21"/>
              </w:rPr>
              <w:t>地</w:t>
            </w:r>
            <w:r>
              <w:rPr>
                <w:sz w:val="21"/>
              </w:rPr>
              <w:tab/>
            </w:r>
            <w:r>
              <w:rPr>
                <w:spacing w:val="-3"/>
                <w:sz w:val="21"/>
              </w:rPr>
              <w:t>址</w:t>
            </w:r>
            <w:r>
              <w:rPr>
                <w:sz w:val="21"/>
              </w:rPr>
              <w:t>：</w:t>
            </w:r>
            <w:r>
              <w:rPr>
                <w:rFonts w:hint="eastAsia"/>
                <w:spacing w:val="-3"/>
                <w:sz w:val="21"/>
                <w:lang w:eastAsia="zh-CN"/>
              </w:rPr>
              <w:t>海南省五指山市通什镇河北东路7号</w:t>
            </w:r>
          </w:p>
          <w:p>
            <w:pPr>
              <w:pStyle w:val="29"/>
              <w:tabs>
                <w:tab w:val="left" w:pos="530"/>
              </w:tabs>
              <w:spacing w:before="139" w:line="367" w:lineRule="auto"/>
              <w:ind w:left="108" w:right="781"/>
              <w:rPr>
                <w:sz w:val="21"/>
              </w:rPr>
            </w:pPr>
            <w:r>
              <w:rPr>
                <w:rFonts w:hint="eastAsia"/>
                <w:spacing w:val="-3"/>
                <w:sz w:val="21"/>
                <w:lang w:eastAsia="zh-CN"/>
              </w:rPr>
              <w:t>联</w:t>
            </w:r>
            <w:r>
              <w:rPr>
                <w:sz w:val="21"/>
              </w:rPr>
              <w:t>系</w:t>
            </w:r>
            <w:r>
              <w:rPr>
                <w:spacing w:val="-3"/>
                <w:sz w:val="21"/>
              </w:rPr>
              <w:t>人</w:t>
            </w:r>
            <w:r>
              <w:rPr>
                <w:sz w:val="21"/>
              </w:rPr>
              <w:t>：</w:t>
            </w:r>
            <w:r>
              <w:rPr>
                <w:rFonts w:hint="eastAsia"/>
                <w:spacing w:val="-3"/>
                <w:sz w:val="21"/>
                <w:lang w:eastAsia="zh-CN"/>
              </w:rPr>
              <w:t>杨工</w:t>
            </w:r>
            <w:r>
              <w:rPr>
                <w:sz w:val="21"/>
              </w:rPr>
              <w:t xml:space="preserve"> </w:t>
            </w:r>
          </w:p>
          <w:p>
            <w:pPr>
              <w:pStyle w:val="29"/>
              <w:spacing w:line="265" w:lineRule="exact"/>
              <w:ind w:left="108"/>
              <w:rPr>
                <w:b/>
                <w:sz w:val="21"/>
              </w:rPr>
            </w:pPr>
            <w:r>
              <w:rPr>
                <w:sz w:val="21"/>
              </w:rPr>
              <w:t>电 话 ：0898-</w:t>
            </w:r>
            <w:r>
              <w:rPr>
                <w:rFonts w:hint="eastAsia"/>
                <w:sz w:val="21"/>
              </w:rPr>
              <w:t>86622742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1" w:hRule="atLeast"/>
        </w:trPr>
        <w:tc>
          <w:tcPr>
            <w:tcW w:w="852" w:type="dxa"/>
          </w:tcPr>
          <w:p>
            <w:pPr>
              <w:pStyle w:val="29"/>
              <w:rPr>
                <w:rFonts w:ascii="黑体"/>
                <w:b/>
                <w:sz w:val="20"/>
              </w:rPr>
            </w:pPr>
          </w:p>
          <w:p>
            <w:pPr>
              <w:pStyle w:val="29"/>
              <w:rPr>
                <w:rFonts w:ascii="黑体"/>
                <w:b/>
                <w:sz w:val="20"/>
              </w:rPr>
            </w:pPr>
          </w:p>
          <w:p>
            <w:pPr>
              <w:pStyle w:val="29"/>
              <w:spacing w:before="12"/>
              <w:rPr>
                <w:rFonts w:ascii="黑体"/>
                <w:b/>
                <w:sz w:val="23"/>
              </w:rPr>
            </w:pPr>
          </w:p>
          <w:p>
            <w:pPr>
              <w:pStyle w:val="29"/>
              <w:ind w:left="139" w:right="23"/>
              <w:jc w:val="center"/>
              <w:rPr>
                <w:sz w:val="21"/>
              </w:rPr>
            </w:pPr>
            <w:r>
              <w:rPr>
                <w:sz w:val="21"/>
              </w:rPr>
              <w:t xml:space="preserve">2.2 </w:t>
            </w:r>
          </w:p>
        </w:tc>
        <w:tc>
          <w:tcPr>
            <w:tcW w:w="2261" w:type="dxa"/>
          </w:tcPr>
          <w:p>
            <w:pPr>
              <w:pStyle w:val="29"/>
              <w:rPr>
                <w:rFonts w:ascii="黑体"/>
                <w:b/>
                <w:sz w:val="20"/>
              </w:rPr>
            </w:pPr>
          </w:p>
          <w:p>
            <w:pPr>
              <w:pStyle w:val="29"/>
              <w:rPr>
                <w:rFonts w:ascii="黑体"/>
                <w:b/>
                <w:sz w:val="20"/>
              </w:rPr>
            </w:pPr>
          </w:p>
          <w:p>
            <w:pPr>
              <w:pStyle w:val="29"/>
              <w:spacing w:before="12"/>
              <w:rPr>
                <w:rFonts w:ascii="黑体"/>
                <w:b/>
                <w:sz w:val="23"/>
              </w:rPr>
            </w:pPr>
          </w:p>
          <w:p>
            <w:pPr>
              <w:pStyle w:val="29"/>
              <w:ind w:left="152" w:right="39"/>
              <w:jc w:val="center"/>
              <w:rPr>
                <w:sz w:val="21"/>
              </w:rPr>
            </w:pPr>
            <w:r>
              <w:rPr>
                <w:sz w:val="21"/>
              </w:rPr>
              <w:t xml:space="preserve">采购代理机构 </w:t>
            </w:r>
          </w:p>
        </w:tc>
        <w:tc>
          <w:tcPr>
            <w:tcW w:w="6574" w:type="dxa"/>
          </w:tcPr>
          <w:p>
            <w:pPr>
              <w:pStyle w:val="29"/>
              <w:spacing w:before="1"/>
              <w:ind w:left="108"/>
              <w:rPr>
                <w:rFonts w:hint="eastAsia" w:eastAsia="宋体"/>
                <w:sz w:val="21"/>
                <w:lang w:eastAsia="zh-CN"/>
              </w:rPr>
            </w:pPr>
            <w:r>
              <w:rPr>
                <w:sz w:val="21"/>
              </w:rPr>
              <w:t>采购代理机构：</w:t>
            </w:r>
            <w:r>
              <w:rPr>
                <w:rFonts w:hint="eastAsia"/>
                <w:sz w:val="21"/>
                <w:lang w:eastAsia="zh-CN"/>
              </w:rPr>
              <w:t>广州金盛建工程项目管理咨询有限公司</w:t>
            </w:r>
          </w:p>
          <w:p>
            <w:pPr>
              <w:pStyle w:val="29"/>
              <w:spacing w:before="141" w:line="364" w:lineRule="auto"/>
              <w:ind w:left="108" w:right="44"/>
              <w:rPr>
                <w:rFonts w:hint="eastAsia"/>
                <w:sz w:val="21"/>
                <w:lang w:eastAsia="zh-CN"/>
              </w:rPr>
            </w:pPr>
            <w:r>
              <w:rPr>
                <w:spacing w:val="-3"/>
                <w:sz w:val="21"/>
              </w:rPr>
              <w:t>地  址：</w:t>
            </w:r>
            <w:r>
              <w:rPr>
                <w:rFonts w:hint="eastAsia"/>
                <w:sz w:val="21"/>
                <w:lang w:eastAsia="zh-CN"/>
              </w:rPr>
              <w:t xml:space="preserve">海口市龙华区金茂中路半山花园晓峰阁1038房 </w:t>
            </w:r>
          </w:p>
          <w:p>
            <w:pPr>
              <w:pStyle w:val="29"/>
              <w:spacing w:line="267" w:lineRule="exact"/>
              <w:ind w:left="108"/>
              <w:rPr>
                <w:rFonts w:hint="eastAsia" w:eastAsia="宋体"/>
                <w:sz w:val="21"/>
                <w:lang w:eastAsia="zh-CN"/>
              </w:rPr>
            </w:pPr>
            <w:r>
              <w:rPr>
                <w:sz w:val="21"/>
              </w:rPr>
              <w:t>联系人：</w:t>
            </w:r>
            <w:r>
              <w:rPr>
                <w:rFonts w:hint="eastAsia"/>
                <w:sz w:val="21"/>
                <w:lang w:eastAsia="zh-CN"/>
              </w:rPr>
              <w:t>陈工</w:t>
            </w:r>
          </w:p>
          <w:p>
            <w:pPr>
              <w:pStyle w:val="29"/>
              <w:spacing w:before="139"/>
              <w:ind w:left="108"/>
              <w:rPr>
                <w:b/>
                <w:sz w:val="21"/>
              </w:rPr>
            </w:pPr>
            <w:r>
              <w:rPr>
                <w:sz w:val="21"/>
              </w:rPr>
              <w:t>联系电话：</w:t>
            </w:r>
            <w:r>
              <w:rPr>
                <w:rFonts w:hint="eastAsia"/>
                <w:sz w:val="21"/>
                <w:lang w:val="en-US" w:eastAsia="zh-CN"/>
              </w:rPr>
              <w:t>13876970327</w:t>
            </w:r>
            <w:r>
              <w:rPr>
                <w:b/>
                <w:color w:val="FF0000"/>
                <w:w w:val="99"/>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3" w:hRule="atLeast"/>
        </w:trPr>
        <w:tc>
          <w:tcPr>
            <w:tcW w:w="852" w:type="dxa"/>
          </w:tcPr>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spacing w:before="143"/>
              <w:ind w:left="139" w:right="23"/>
              <w:jc w:val="center"/>
              <w:rPr>
                <w:sz w:val="21"/>
              </w:rPr>
            </w:pPr>
            <w:r>
              <w:rPr>
                <w:sz w:val="21"/>
              </w:rPr>
              <w:t xml:space="preserve">3.2 </w:t>
            </w:r>
          </w:p>
        </w:tc>
        <w:tc>
          <w:tcPr>
            <w:tcW w:w="2261" w:type="dxa"/>
          </w:tcPr>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spacing w:before="143"/>
              <w:ind w:left="154" w:right="39"/>
              <w:jc w:val="center"/>
              <w:rPr>
                <w:sz w:val="21"/>
              </w:rPr>
            </w:pPr>
            <w:r>
              <w:rPr>
                <w:sz w:val="21"/>
              </w:rPr>
              <w:t xml:space="preserve">供应商资格 </w:t>
            </w:r>
          </w:p>
        </w:tc>
        <w:tc>
          <w:tcPr>
            <w:tcW w:w="6574" w:type="dxa"/>
          </w:tcPr>
          <w:p>
            <w:pPr>
              <w:pStyle w:val="10"/>
              <w:numPr>
                <w:ilvl w:val="0"/>
                <w:numId w:val="0"/>
              </w:numPr>
              <w:tabs>
                <w:tab w:val="left" w:pos="1844"/>
              </w:tabs>
              <w:spacing w:before="0" w:after="0" w:line="306" w:lineRule="exact"/>
              <w:ind w:right="0" w:rightChars="0"/>
              <w:jc w:val="left"/>
              <w:rPr>
                <w:rFonts w:hint="eastAsia"/>
                <w:sz w:val="21"/>
                <w:szCs w:val="21"/>
              </w:rPr>
            </w:pPr>
            <w:r>
              <w:rPr>
                <w:rFonts w:hint="eastAsia"/>
                <w:sz w:val="21"/>
                <w:szCs w:val="21"/>
                <w:lang w:val="en-US" w:eastAsia="zh-CN"/>
              </w:rPr>
              <w:t xml:space="preserve">3.2.1 </w:t>
            </w:r>
            <w:r>
              <w:rPr>
                <w:rFonts w:hint="eastAsia"/>
                <w:sz w:val="21"/>
                <w:szCs w:val="21"/>
              </w:rPr>
              <w:t>符合《政府采购法》第二十二条第一款规定的条件</w:t>
            </w:r>
            <w:r>
              <w:rPr>
                <w:rFonts w:hint="eastAsia"/>
                <w:sz w:val="21"/>
                <w:szCs w:val="21"/>
                <w:lang w:eastAsia="zh-CN"/>
              </w:rPr>
              <w:t>；</w:t>
            </w:r>
            <w:r>
              <w:rPr>
                <w:rFonts w:hint="eastAsia"/>
                <w:sz w:val="21"/>
                <w:szCs w:val="21"/>
              </w:rPr>
              <w:t xml:space="preserve"> </w:t>
            </w:r>
          </w:p>
          <w:p>
            <w:pPr>
              <w:pStyle w:val="11"/>
              <w:spacing w:before="158" w:line="364" w:lineRule="auto"/>
              <w:ind w:right="918"/>
              <w:rPr>
                <w:rFonts w:hint="eastAsia"/>
                <w:sz w:val="21"/>
                <w:szCs w:val="21"/>
              </w:rPr>
            </w:pPr>
            <w:r>
              <w:rPr>
                <w:rFonts w:hint="eastAsia"/>
                <w:sz w:val="21"/>
                <w:szCs w:val="21"/>
              </w:rPr>
              <w:t>（1）在中华人民共和国注册，具有独立承担民事责任能力的法人（提供营业执照副本复印件、组织机构代码证副本复印件、税务登记证副本复印件或改革后的“三证合一”或“多证合一”营业执照复印件加盖公章）；</w:t>
            </w:r>
          </w:p>
          <w:p>
            <w:pPr>
              <w:pStyle w:val="11"/>
              <w:spacing w:before="158" w:line="364" w:lineRule="auto"/>
              <w:ind w:right="918"/>
              <w:rPr>
                <w:rFonts w:hint="eastAsia"/>
                <w:sz w:val="21"/>
                <w:szCs w:val="21"/>
              </w:rPr>
            </w:pPr>
            <w:r>
              <w:rPr>
                <w:rFonts w:hint="eastAsia"/>
                <w:sz w:val="21"/>
                <w:szCs w:val="21"/>
              </w:rPr>
              <w:t>（</w:t>
            </w:r>
            <w:r>
              <w:rPr>
                <w:rFonts w:hint="eastAsia"/>
                <w:sz w:val="21"/>
                <w:szCs w:val="21"/>
                <w:lang w:val="en-US" w:eastAsia="zh-CN"/>
              </w:rPr>
              <w:t>2</w:t>
            </w:r>
            <w:r>
              <w:rPr>
                <w:rFonts w:hint="eastAsia"/>
                <w:sz w:val="21"/>
                <w:szCs w:val="21"/>
              </w:rPr>
              <w:t>）</w:t>
            </w:r>
            <w:r>
              <w:rPr>
                <w:rFonts w:hint="eastAsia"/>
                <w:sz w:val="21"/>
                <w:szCs w:val="21"/>
                <w:lang w:eastAsia="zh-CN"/>
              </w:rPr>
              <w:t>本</w:t>
            </w:r>
            <w:r>
              <w:rPr>
                <w:rFonts w:hint="eastAsia"/>
                <w:sz w:val="21"/>
                <w:szCs w:val="21"/>
              </w:rPr>
              <w:t>次招标要求投标人同时具备地质灾害危险</w:t>
            </w:r>
            <w:r>
              <w:rPr>
                <w:rFonts w:hint="eastAsia"/>
                <w:sz w:val="21"/>
                <w:szCs w:val="21"/>
                <w:lang w:eastAsia="zh-CN"/>
              </w:rPr>
              <w:t>性</w:t>
            </w:r>
            <w:r>
              <w:rPr>
                <w:rFonts w:hint="eastAsia"/>
                <w:sz w:val="21"/>
                <w:szCs w:val="21"/>
              </w:rPr>
              <w:t>评估</w:t>
            </w:r>
            <w:r>
              <w:rPr>
                <w:rFonts w:hint="eastAsia"/>
                <w:sz w:val="21"/>
                <w:szCs w:val="21"/>
                <w:lang w:eastAsia="zh-CN"/>
              </w:rPr>
              <w:t>、测绘乙级（含）</w:t>
            </w:r>
            <w:r>
              <w:rPr>
                <w:rFonts w:hint="eastAsia"/>
                <w:sz w:val="21"/>
                <w:szCs w:val="21"/>
              </w:rPr>
              <w:t>以上资质</w:t>
            </w:r>
            <w:r>
              <w:rPr>
                <w:rFonts w:hint="eastAsia"/>
                <w:sz w:val="21"/>
                <w:szCs w:val="21"/>
                <w:lang w:eastAsia="zh-CN"/>
              </w:rPr>
              <w:t>（</w:t>
            </w:r>
            <w:r>
              <w:rPr>
                <w:rFonts w:hint="eastAsia"/>
                <w:sz w:val="21"/>
                <w:szCs w:val="21"/>
              </w:rPr>
              <w:t>供应商须</w:t>
            </w:r>
            <w:r>
              <w:rPr>
                <w:rFonts w:hint="eastAsia"/>
                <w:sz w:val="21"/>
                <w:szCs w:val="21"/>
                <w:lang w:eastAsia="zh-CN"/>
              </w:rPr>
              <w:t>提供相关</w:t>
            </w:r>
            <w:r>
              <w:rPr>
                <w:rFonts w:hint="eastAsia"/>
                <w:sz w:val="21"/>
                <w:szCs w:val="21"/>
              </w:rPr>
              <w:t>资质</w:t>
            </w:r>
            <w:r>
              <w:rPr>
                <w:rFonts w:hint="eastAsia"/>
                <w:sz w:val="21"/>
                <w:szCs w:val="21"/>
                <w:lang w:eastAsia="zh-CN"/>
              </w:rPr>
              <w:t>证书</w:t>
            </w:r>
            <w:r>
              <w:rPr>
                <w:rFonts w:hint="eastAsia"/>
                <w:sz w:val="21"/>
                <w:szCs w:val="21"/>
              </w:rPr>
              <w:t>，复印件加盖公章）。</w:t>
            </w:r>
          </w:p>
          <w:p>
            <w:pPr>
              <w:pStyle w:val="11"/>
              <w:spacing w:before="158" w:line="364" w:lineRule="auto"/>
              <w:ind w:right="918"/>
              <w:rPr>
                <w:rFonts w:hint="eastAsia"/>
                <w:sz w:val="21"/>
                <w:szCs w:val="21"/>
              </w:rPr>
            </w:pPr>
            <w:r>
              <w:rPr>
                <w:rFonts w:hint="eastAsia"/>
                <w:sz w:val="21"/>
                <w:szCs w:val="21"/>
              </w:rPr>
              <w:t>（</w:t>
            </w:r>
            <w:r>
              <w:rPr>
                <w:rFonts w:hint="eastAsia"/>
                <w:sz w:val="21"/>
                <w:szCs w:val="21"/>
                <w:lang w:val="en-US" w:eastAsia="zh-CN"/>
              </w:rPr>
              <w:t>3</w:t>
            </w:r>
            <w:r>
              <w:rPr>
                <w:rFonts w:hint="eastAsia"/>
                <w:sz w:val="21"/>
                <w:szCs w:val="21"/>
              </w:rPr>
              <w:t>）具有良好的商业信誉和健全的财务会计制度（提供202</w:t>
            </w:r>
            <w:r>
              <w:rPr>
                <w:rFonts w:hint="eastAsia"/>
                <w:sz w:val="21"/>
                <w:szCs w:val="21"/>
                <w:lang w:val="en-US" w:eastAsia="zh-CN"/>
              </w:rPr>
              <w:t>1</w:t>
            </w:r>
            <w:r>
              <w:rPr>
                <w:rFonts w:hint="eastAsia"/>
                <w:sz w:val="21"/>
                <w:szCs w:val="21"/>
              </w:rPr>
              <w:t>年至今任意1个月的企业财务报表（资产负债表、利润表、现金流量表）或20</w:t>
            </w:r>
            <w:r>
              <w:rPr>
                <w:rFonts w:hint="eastAsia"/>
                <w:sz w:val="21"/>
                <w:szCs w:val="21"/>
                <w:lang w:val="en-US" w:eastAsia="zh-CN"/>
              </w:rPr>
              <w:t>20</w:t>
            </w:r>
            <w:r>
              <w:rPr>
                <w:rFonts w:hint="eastAsia"/>
                <w:sz w:val="21"/>
                <w:szCs w:val="21"/>
              </w:rPr>
              <w:t>年度财务审计报告，复印件加盖公章</w:t>
            </w:r>
            <w:r>
              <w:rPr>
                <w:rFonts w:hint="eastAsia"/>
                <w:sz w:val="21"/>
                <w:szCs w:val="21"/>
                <w:lang w:eastAsia="zh-CN"/>
              </w:rPr>
              <w:t>。</w:t>
            </w:r>
            <w:r>
              <w:rPr>
                <w:spacing w:val="-1"/>
                <w:sz w:val="21"/>
                <w:szCs w:val="21"/>
              </w:rPr>
              <w:t>供应商成立时</w:t>
            </w:r>
            <w:r>
              <w:rPr>
                <w:sz w:val="21"/>
                <w:szCs w:val="21"/>
              </w:rPr>
              <w:t>间不足一年的，按实际成立日期至今提供所有财务报表</w:t>
            </w:r>
            <w:r>
              <w:rPr>
                <w:rFonts w:hint="eastAsia"/>
                <w:sz w:val="21"/>
                <w:szCs w:val="21"/>
              </w:rPr>
              <w:t>）；</w:t>
            </w:r>
          </w:p>
          <w:p>
            <w:pPr>
              <w:pStyle w:val="11"/>
              <w:spacing w:before="158" w:line="364" w:lineRule="auto"/>
              <w:ind w:right="918"/>
              <w:rPr>
                <w:rFonts w:hint="eastAsia"/>
                <w:sz w:val="21"/>
                <w:szCs w:val="21"/>
                <w:lang w:val="zh-CN"/>
              </w:rPr>
            </w:pPr>
            <w:r>
              <w:rPr>
                <w:rFonts w:hint="eastAsia"/>
                <w:sz w:val="21"/>
                <w:szCs w:val="21"/>
              </w:rPr>
              <w:t>（</w:t>
            </w:r>
            <w:r>
              <w:rPr>
                <w:rFonts w:hint="eastAsia"/>
                <w:sz w:val="21"/>
                <w:szCs w:val="21"/>
                <w:lang w:val="en-US" w:eastAsia="zh-CN"/>
              </w:rPr>
              <w:t>4</w:t>
            </w:r>
            <w:r>
              <w:rPr>
                <w:rFonts w:hint="eastAsia"/>
                <w:sz w:val="21"/>
                <w:szCs w:val="21"/>
              </w:rPr>
              <w:t>）具有依法缴纳税收和社会保障资金的良好记录（提供202</w:t>
            </w:r>
            <w:r>
              <w:rPr>
                <w:rFonts w:hint="eastAsia"/>
                <w:sz w:val="21"/>
                <w:szCs w:val="21"/>
                <w:lang w:val="en-US" w:eastAsia="zh-CN"/>
              </w:rPr>
              <w:t>1</w:t>
            </w:r>
            <w:r>
              <w:rPr>
                <w:rFonts w:hint="eastAsia"/>
                <w:sz w:val="21"/>
                <w:szCs w:val="21"/>
              </w:rPr>
              <w:t>年</w:t>
            </w:r>
            <w:r>
              <w:rPr>
                <w:rFonts w:hint="eastAsia"/>
                <w:sz w:val="21"/>
                <w:szCs w:val="21"/>
                <w:lang w:eastAsia="zh-CN"/>
              </w:rPr>
              <w:t>至今</w:t>
            </w:r>
            <w:r>
              <w:rPr>
                <w:rFonts w:hint="eastAsia"/>
                <w:sz w:val="21"/>
                <w:szCs w:val="21"/>
              </w:rPr>
              <w:t>任意1个月的纳税证明及社会保障金缴纳证明，复印件加盖公章）</w:t>
            </w:r>
            <w:r>
              <w:rPr>
                <w:rFonts w:hint="eastAsia"/>
                <w:sz w:val="21"/>
                <w:szCs w:val="21"/>
                <w:lang w:val="zh-CN"/>
              </w:rPr>
              <w:t>；</w:t>
            </w:r>
          </w:p>
          <w:p>
            <w:pPr>
              <w:pStyle w:val="11"/>
              <w:spacing w:before="158" w:line="364" w:lineRule="auto"/>
              <w:ind w:right="918"/>
              <w:rPr>
                <w:rFonts w:hint="eastAsia"/>
                <w:sz w:val="21"/>
                <w:szCs w:val="21"/>
              </w:rPr>
            </w:pPr>
            <w:r>
              <w:rPr>
                <w:rFonts w:hint="eastAsia"/>
                <w:sz w:val="21"/>
                <w:szCs w:val="21"/>
              </w:rPr>
              <w:t>（</w:t>
            </w:r>
            <w:r>
              <w:rPr>
                <w:rFonts w:hint="eastAsia"/>
                <w:sz w:val="21"/>
                <w:szCs w:val="21"/>
                <w:lang w:val="en-US" w:eastAsia="zh-CN"/>
              </w:rPr>
              <w:t>5</w:t>
            </w:r>
            <w:r>
              <w:rPr>
                <w:rFonts w:hint="eastAsia"/>
                <w:sz w:val="21"/>
                <w:szCs w:val="21"/>
              </w:rPr>
              <w:t>）具有履行合同所必需的设备和专业技术能力。</w:t>
            </w:r>
          </w:p>
          <w:p>
            <w:pPr>
              <w:pStyle w:val="11"/>
              <w:spacing w:before="158" w:line="364" w:lineRule="auto"/>
              <w:ind w:right="918"/>
              <w:rPr>
                <w:rFonts w:hint="eastAsia"/>
                <w:sz w:val="21"/>
                <w:szCs w:val="21"/>
              </w:rPr>
            </w:pPr>
            <w:r>
              <w:rPr>
                <w:rFonts w:hint="eastAsia"/>
                <w:sz w:val="21"/>
                <w:szCs w:val="21"/>
              </w:rPr>
              <w:t>（</w:t>
            </w:r>
            <w:r>
              <w:rPr>
                <w:rFonts w:hint="eastAsia"/>
                <w:sz w:val="21"/>
                <w:szCs w:val="21"/>
                <w:lang w:val="en-US" w:eastAsia="zh-CN"/>
              </w:rPr>
              <w:t>6</w:t>
            </w:r>
            <w:r>
              <w:rPr>
                <w:rFonts w:hint="eastAsia"/>
                <w:sz w:val="21"/>
                <w:szCs w:val="21"/>
              </w:rPr>
              <w:t>）参加本次政府采购活动近三年内（成立不足三年的从成立之日起算），在经营活动中没有重大违法记录（提供声明函原件）；</w:t>
            </w:r>
          </w:p>
          <w:p>
            <w:pPr>
              <w:pStyle w:val="11"/>
              <w:spacing w:before="158" w:line="364" w:lineRule="auto"/>
              <w:ind w:right="918"/>
              <w:rPr>
                <w:rFonts w:hint="eastAsia"/>
                <w:sz w:val="21"/>
                <w:szCs w:val="21"/>
              </w:rPr>
            </w:pPr>
            <w:r>
              <w:rPr>
                <w:rFonts w:hint="eastAsia"/>
                <w:sz w:val="21"/>
                <w:szCs w:val="21"/>
              </w:rPr>
              <w:t>（</w:t>
            </w:r>
            <w:r>
              <w:rPr>
                <w:rFonts w:hint="eastAsia"/>
                <w:sz w:val="21"/>
                <w:szCs w:val="21"/>
                <w:lang w:val="en-US" w:eastAsia="zh-CN"/>
              </w:rPr>
              <w:t>7</w:t>
            </w:r>
            <w:r>
              <w:rPr>
                <w:rFonts w:hint="eastAsia"/>
                <w:sz w:val="21"/>
                <w:szCs w:val="21"/>
              </w:rPr>
              <w:t>）在“信用中国”网站（www.creditchina.gov.cn）、中国政府采购网（www.ccgp.gov.cn）没有被列入失信被执行人、重大税收违法案件当事人名单、政府采购严重违法失信行为记录名单的供应商。</w:t>
            </w:r>
          </w:p>
          <w:p>
            <w:pPr>
              <w:pStyle w:val="10"/>
              <w:numPr>
                <w:ilvl w:val="0"/>
                <w:numId w:val="0"/>
              </w:numPr>
              <w:tabs>
                <w:tab w:val="left" w:pos="1844"/>
              </w:tabs>
              <w:spacing w:before="0" w:after="0" w:line="306" w:lineRule="exact"/>
              <w:ind w:right="0" w:rightChars="0"/>
              <w:jc w:val="left"/>
              <w:rPr>
                <w:rFonts w:hint="eastAsia"/>
                <w:sz w:val="21"/>
                <w:szCs w:val="21"/>
                <w:lang w:val="zh-CN"/>
              </w:rPr>
            </w:pPr>
            <w:r>
              <w:rPr>
                <w:rFonts w:hint="eastAsia"/>
                <w:sz w:val="21"/>
                <w:szCs w:val="21"/>
                <w:lang w:val="en-US" w:eastAsia="zh-CN"/>
              </w:rPr>
              <w:t xml:space="preserve">3.2.2 </w:t>
            </w:r>
            <w:r>
              <w:rPr>
                <w:rFonts w:hint="eastAsia"/>
                <w:sz w:val="21"/>
                <w:szCs w:val="21"/>
                <w:lang w:val="zh-CN"/>
              </w:rPr>
              <w:t>不接受联合体形式的投标。</w:t>
            </w:r>
          </w:p>
          <w:p>
            <w:pPr>
              <w:pStyle w:val="10"/>
              <w:numPr>
                <w:ilvl w:val="0"/>
                <w:numId w:val="0"/>
              </w:numPr>
              <w:tabs>
                <w:tab w:val="left" w:pos="1844"/>
              </w:tabs>
              <w:spacing w:before="0" w:after="0" w:line="306" w:lineRule="exact"/>
              <w:ind w:right="0" w:rightChars="0"/>
              <w:jc w:val="left"/>
              <w:rPr>
                <w:rFonts w:hint="eastAsia"/>
                <w:sz w:val="21"/>
                <w:szCs w:val="21"/>
                <w:lang w:val="zh-CN"/>
              </w:rPr>
            </w:pPr>
            <w:r>
              <w:rPr>
                <w:rFonts w:hint="eastAsia"/>
                <w:sz w:val="21"/>
                <w:szCs w:val="21"/>
                <w:lang w:val="en-US" w:eastAsia="zh-CN"/>
              </w:rPr>
              <w:t xml:space="preserve">3.2.3 </w:t>
            </w:r>
            <w:r>
              <w:rPr>
                <w:rFonts w:hint="eastAsia"/>
                <w:sz w:val="21"/>
                <w:szCs w:val="21"/>
                <w:lang w:val="zh-CN"/>
              </w:rPr>
              <w:t>单位负责人为同一人或者存在直接控股、管理关系的不同供应商，不得参加同一合同项下的政府采购活动。否则，皆取消资格。</w:t>
            </w:r>
          </w:p>
          <w:p>
            <w:pPr>
              <w:pStyle w:val="10"/>
              <w:numPr>
                <w:ilvl w:val="0"/>
                <w:numId w:val="0"/>
              </w:numPr>
              <w:tabs>
                <w:tab w:val="left" w:pos="1844"/>
              </w:tabs>
              <w:spacing w:before="0" w:after="0" w:line="306" w:lineRule="exact"/>
              <w:ind w:right="0" w:rightChars="0"/>
              <w:jc w:val="left"/>
            </w:pPr>
            <w:r>
              <w:rPr>
                <w:rFonts w:hint="eastAsia"/>
                <w:sz w:val="21"/>
                <w:szCs w:val="21"/>
                <w:lang w:val="en-US" w:eastAsia="zh-CN"/>
              </w:rPr>
              <w:t>3.2.4 投标单位需在海南省有办公场所。</w:t>
            </w:r>
            <w:r>
              <w:rPr>
                <w:rFonts w:hint="eastAsia"/>
                <w:b w:val="0"/>
                <w:bCs w:val="0"/>
                <w:sz w:val="21"/>
                <w:szCs w:val="21"/>
                <w:lang w:val="en-US" w:eastAsia="zh-CN"/>
              </w:rPr>
              <w:t>（提供营业执照或办公场地的产权证明或租赁合同</w:t>
            </w:r>
            <w:r>
              <w:rPr>
                <w:rFonts w:hint="eastAsia"/>
                <w:b w:val="0"/>
                <w:bCs w:val="0"/>
                <w:sz w:val="21"/>
                <w:szCs w:val="21"/>
                <w:lang w:val="zh-CN" w:eastAsia="zh-CN"/>
              </w:rPr>
              <w:t>，复印件加盖公章</w:t>
            </w:r>
            <w:r>
              <w:rPr>
                <w:rFonts w:hint="eastAsia"/>
                <w:b w:val="0"/>
                <w:bCs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852" w:type="dxa"/>
          </w:tcPr>
          <w:p>
            <w:pPr>
              <w:pStyle w:val="29"/>
              <w:spacing w:before="2"/>
              <w:rPr>
                <w:rFonts w:ascii="黑体"/>
                <w:b/>
                <w:sz w:val="28"/>
              </w:rPr>
            </w:pPr>
          </w:p>
          <w:p>
            <w:pPr>
              <w:pStyle w:val="29"/>
              <w:ind w:left="139" w:right="23"/>
              <w:jc w:val="center"/>
              <w:rPr>
                <w:sz w:val="21"/>
              </w:rPr>
            </w:pPr>
            <w:r>
              <w:rPr>
                <w:sz w:val="21"/>
              </w:rPr>
              <w:t xml:space="preserve">8.3 </w:t>
            </w:r>
          </w:p>
        </w:tc>
        <w:tc>
          <w:tcPr>
            <w:tcW w:w="2261" w:type="dxa"/>
          </w:tcPr>
          <w:p>
            <w:pPr>
              <w:pStyle w:val="29"/>
              <w:spacing w:before="157" w:line="364" w:lineRule="auto"/>
              <w:ind w:left="919" w:right="172" w:hanging="629"/>
              <w:rPr>
                <w:sz w:val="21"/>
              </w:rPr>
            </w:pPr>
            <w:r>
              <w:rPr>
                <w:sz w:val="21"/>
              </w:rPr>
              <w:t xml:space="preserve">采购人书面澄清的时间 </w:t>
            </w:r>
          </w:p>
        </w:tc>
        <w:tc>
          <w:tcPr>
            <w:tcW w:w="6574" w:type="dxa"/>
          </w:tcPr>
          <w:p>
            <w:pPr>
              <w:pStyle w:val="29"/>
              <w:spacing w:before="2"/>
              <w:rPr>
                <w:rFonts w:ascii="黑体"/>
                <w:b/>
                <w:sz w:val="28"/>
              </w:rPr>
            </w:pPr>
          </w:p>
          <w:p>
            <w:pPr>
              <w:pStyle w:val="29"/>
              <w:ind w:left="108"/>
              <w:rPr>
                <w:sz w:val="21"/>
              </w:rPr>
            </w:pPr>
            <w:r>
              <w:rPr>
                <w:sz w:val="21"/>
              </w:rPr>
              <w:t xml:space="preserve">投标截止时间前 15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852" w:type="dxa"/>
          </w:tcPr>
          <w:p>
            <w:pPr>
              <w:pStyle w:val="29"/>
              <w:spacing w:before="2"/>
              <w:rPr>
                <w:rFonts w:ascii="黑体"/>
                <w:b/>
                <w:sz w:val="22"/>
              </w:rPr>
            </w:pPr>
          </w:p>
          <w:p>
            <w:pPr>
              <w:pStyle w:val="29"/>
              <w:ind w:left="136" w:right="23"/>
              <w:jc w:val="center"/>
              <w:rPr>
                <w:sz w:val="21"/>
              </w:rPr>
            </w:pPr>
            <w:r>
              <w:rPr>
                <w:sz w:val="21"/>
              </w:rPr>
              <w:t xml:space="preserve">9 </w:t>
            </w:r>
          </w:p>
        </w:tc>
        <w:tc>
          <w:tcPr>
            <w:tcW w:w="2261" w:type="dxa"/>
          </w:tcPr>
          <w:p>
            <w:pPr>
              <w:pStyle w:val="29"/>
              <w:spacing w:before="2"/>
              <w:rPr>
                <w:rFonts w:ascii="黑体"/>
                <w:b/>
                <w:sz w:val="22"/>
              </w:rPr>
            </w:pPr>
          </w:p>
          <w:p>
            <w:pPr>
              <w:pStyle w:val="29"/>
              <w:ind w:left="154" w:right="39"/>
              <w:jc w:val="center"/>
              <w:rPr>
                <w:sz w:val="21"/>
              </w:rPr>
            </w:pPr>
            <w:r>
              <w:rPr>
                <w:sz w:val="21"/>
              </w:rPr>
              <w:t xml:space="preserve">现场考察 </w:t>
            </w:r>
          </w:p>
        </w:tc>
        <w:tc>
          <w:tcPr>
            <w:tcW w:w="6574" w:type="dxa"/>
          </w:tcPr>
          <w:p>
            <w:pPr>
              <w:pStyle w:val="29"/>
              <w:spacing w:before="27"/>
              <w:ind w:left="108"/>
              <w:rPr>
                <w:sz w:val="21"/>
              </w:rPr>
            </w:pPr>
            <w:r>
              <w:rPr>
                <w:rFonts w:ascii="Wingdings 2" w:hAnsi="Wingdings 2" w:eastAsia="Wingdings 2"/>
                <w:sz w:val="32"/>
              </w:rPr>
              <w:t></w:t>
            </w:r>
            <w:r>
              <w:rPr>
                <w:sz w:val="21"/>
              </w:rPr>
              <w:t xml:space="preserve">不组织 </w:t>
            </w:r>
          </w:p>
          <w:p>
            <w:pPr>
              <w:pStyle w:val="29"/>
              <w:spacing w:before="172"/>
              <w:ind w:left="108"/>
              <w:rPr>
                <w:sz w:val="21"/>
              </w:rPr>
            </w:pPr>
            <w:r>
              <w:rPr>
                <w:sz w:val="21"/>
              </w:rPr>
              <w:t xml:space="preserve">□ 组织,考察时间： 考察集中地点：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852" w:type="dxa"/>
          </w:tcPr>
          <w:p>
            <w:pPr>
              <w:pStyle w:val="29"/>
              <w:rPr>
                <w:rFonts w:ascii="黑体"/>
                <w:b/>
                <w:sz w:val="20"/>
              </w:rPr>
            </w:pPr>
          </w:p>
          <w:p>
            <w:pPr>
              <w:pStyle w:val="29"/>
              <w:rPr>
                <w:rFonts w:ascii="黑体"/>
                <w:b/>
                <w:sz w:val="20"/>
              </w:rPr>
            </w:pPr>
          </w:p>
          <w:p>
            <w:pPr>
              <w:pStyle w:val="29"/>
              <w:rPr>
                <w:rFonts w:ascii="黑体"/>
                <w:b/>
                <w:sz w:val="20"/>
              </w:rPr>
            </w:pPr>
          </w:p>
          <w:p>
            <w:pPr>
              <w:pStyle w:val="29"/>
              <w:spacing w:before="146"/>
              <w:ind w:right="23"/>
              <w:jc w:val="center"/>
              <w:rPr>
                <w:sz w:val="21"/>
              </w:rPr>
            </w:pPr>
            <w:r>
              <w:rPr>
                <w:sz w:val="21"/>
              </w:rPr>
              <w:t>3.6</w:t>
            </w:r>
          </w:p>
        </w:tc>
        <w:tc>
          <w:tcPr>
            <w:tcW w:w="2261" w:type="dxa"/>
          </w:tcPr>
          <w:p>
            <w:pPr>
              <w:pStyle w:val="29"/>
              <w:rPr>
                <w:rFonts w:ascii="黑体"/>
                <w:b/>
                <w:sz w:val="20"/>
              </w:rPr>
            </w:pPr>
          </w:p>
          <w:p>
            <w:pPr>
              <w:pStyle w:val="29"/>
              <w:rPr>
                <w:rFonts w:ascii="黑体"/>
                <w:b/>
                <w:sz w:val="20"/>
              </w:rPr>
            </w:pPr>
          </w:p>
          <w:p>
            <w:pPr>
              <w:pStyle w:val="29"/>
              <w:rPr>
                <w:rFonts w:ascii="黑体"/>
                <w:b/>
                <w:sz w:val="20"/>
              </w:rPr>
            </w:pPr>
          </w:p>
          <w:p>
            <w:pPr>
              <w:pStyle w:val="29"/>
              <w:spacing w:before="146"/>
              <w:ind w:right="39"/>
              <w:jc w:val="both"/>
              <w:rPr>
                <w:sz w:val="21"/>
              </w:rPr>
            </w:pPr>
            <w:r>
              <w:rPr>
                <w:sz w:val="21"/>
              </w:rPr>
              <w:t xml:space="preserve">是否接受联合体投标 </w:t>
            </w:r>
          </w:p>
        </w:tc>
        <w:tc>
          <w:tcPr>
            <w:tcW w:w="6574" w:type="dxa"/>
          </w:tcPr>
          <w:p>
            <w:pPr>
              <w:pStyle w:val="29"/>
              <w:spacing w:before="1"/>
              <w:ind w:left="108"/>
            </w:pPr>
            <w:r>
              <w:t xml:space="preserve"> </w:t>
            </w:r>
          </w:p>
          <w:p>
            <w:pPr>
              <w:pStyle w:val="29"/>
              <w:spacing w:line="266" w:lineRule="exact"/>
              <w:ind w:left="108"/>
            </w:pPr>
          </w:p>
          <w:p>
            <w:pPr>
              <w:bidi w:val="0"/>
            </w:pPr>
          </w:p>
          <w:p>
            <w:pPr>
              <w:bidi w:val="0"/>
              <w:jc w:val="left"/>
            </w:pPr>
            <w:r>
              <w:rPr>
                <w:rFonts w:ascii="宋体" w:hAnsi="宋体" w:eastAsia="宋体" w:cs="宋体"/>
                <w:sz w:val="21"/>
                <w:szCs w:val="22"/>
                <w:lang w:val="zh-CN" w:eastAsia="zh-CN" w:bidi="zh-CN"/>
              </w:rPr>
              <w:sym w:font="Wingdings 2" w:char="0052"/>
            </w:r>
            <w:r>
              <w:rPr>
                <w:rFonts w:ascii="宋体" w:hAnsi="宋体" w:eastAsia="宋体" w:cs="宋体"/>
                <w:sz w:val="21"/>
                <w:szCs w:val="22"/>
                <w:lang w:val="zh-CN" w:eastAsia="zh-CN" w:bidi="zh-CN"/>
              </w:rPr>
              <w:t>不接受</w:t>
            </w:r>
          </w:p>
        </w:tc>
      </w:tr>
    </w:tbl>
    <w:p>
      <w:pPr>
        <w:spacing w:after="0" w:line="266" w:lineRule="exact"/>
        <w:jc w:val="both"/>
        <w:rPr>
          <w:sz w:val="21"/>
        </w:rPr>
        <w:sectPr>
          <w:pgSz w:w="11910" w:h="16840"/>
          <w:pgMar w:top="1400" w:right="640" w:bottom="1180" w:left="680" w:header="0" w:footer="913" w:gutter="0"/>
          <w:cols w:space="720" w:num="1"/>
        </w:sectPr>
      </w:pPr>
    </w:p>
    <w:tbl>
      <w:tblPr>
        <w:tblStyle w:val="15"/>
        <w:tblW w:w="0" w:type="auto"/>
        <w:tblInd w:w="5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261"/>
        <w:gridCol w:w="6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52" w:type="dxa"/>
          </w:tcPr>
          <w:p>
            <w:pPr>
              <w:pStyle w:val="29"/>
              <w:spacing w:before="150"/>
              <w:ind w:left="139" w:right="23"/>
              <w:jc w:val="center"/>
              <w:rPr>
                <w:sz w:val="21"/>
              </w:rPr>
            </w:pPr>
            <w:r>
              <w:rPr>
                <w:sz w:val="21"/>
              </w:rPr>
              <w:t xml:space="preserve">13.5 </w:t>
            </w:r>
          </w:p>
        </w:tc>
        <w:tc>
          <w:tcPr>
            <w:tcW w:w="2261" w:type="dxa"/>
          </w:tcPr>
          <w:p>
            <w:pPr>
              <w:pStyle w:val="29"/>
              <w:spacing w:before="150"/>
              <w:ind w:left="155" w:right="39"/>
              <w:jc w:val="center"/>
              <w:rPr>
                <w:sz w:val="21"/>
              </w:rPr>
            </w:pPr>
            <w:r>
              <w:rPr>
                <w:sz w:val="21"/>
              </w:rPr>
              <w:t xml:space="preserve">备选投标方案和报价 </w:t>
            </w:r>
          </w:p>
        </w:tc>
        <w:tc>
          <w:tcPr>
            <w:tcW w:w="6574" w:type="dxa"/>
          </w:tcPr>
          <w:p>
            <w:pPr>
              <w:pStyle w:val="29"/>
              <w:spacing w:before="150"/>
              <w:ind w:left="108"/>
              <w:rPr>
                <w:sz w:val="21"/>
              </w:rPr>
            </w:pPr>
            <w:r>
              <w:rPr>
                <w:w w:val="100"/>
                <w:sz w:val="21"/>
              </w:rPr>
              <w:t xml:space="preserve"> </w:t>
            </w:r>
            <w:r>
              <w:rPr>
                <w:sz w:val="21"/>
              </w:rPr>
              <w:t xml:space="preserve">不接受备选投标方案和多个报价。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3" w:hRule="atLeast"/>
        </w:trPr>
        <w:tc>
          <w:tcPr>
            <w:tcW w:w="852" w:type="dxa"/>
          </w:tcPr>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spacing w:before="5"/>
              <w:rPr>
                <w:rFonts w:ascii="黑体"/>
                <w:b/>
                <w:sz w:val="26"/>
              </w:rPr>
            </w:pPr>
          </w:p>
          <w:p>
            <w:pPr>
              <w:pStyle w:val="29"/>
              <w:ind w:left="139" w:right="23"/>
              <w:jc w:val="center"/>
              <w:rPr>
                <w:sz w:val="21"/>
              </w:rPr>
            </w:pPr>
            <w:r>
              <w:rPr>
                <w:sz w:val="21"/>
              </w:rPr>
              <w:t xml:space="preserve">15.1 </w:t>
            </w:r>
          </w:p>
        </w:tc>
        <w:tc>
          <w:tcPr>
            <w:tcW w:w="2261" w:type="dxa"/>
          </w:tcPr>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spacing w:before="5"/>
              <w:rPr>
                <w:rFonts w:ascii="黑体"/>
                <w:b/>
                <w:sz w:val="26"/>
              </w:rPr>
            </w:pPr>
          </w:p>
          <w:p>
            <w:pPr>
              <w:pStyle w:val="29"/>
              <w:ind w:left="154" w:right="39"/>
              <w:jc w:val="center"/>
              <w:rPr>
                <w:sz w:val="21"/>
              </w:rPr>
            </w:pPr>
            <w:r>
              <w:rPr>
                <w:sz w:val="21"/>
              </w:rPr>
              <w:t xml:space="preserve">投标保证金 </w:t>
            </w:r>
          </w:p>
        </w:tc>
        <w:tc>
          <w:tcPr>
            <w:tcW w:w="6574" w:type="dxa"/>
          </w:tcPr>
          <w:p>
            <w:pPr>
              <w:spacing w:line="500" w:lineRule="exact"/>
              <w:ind w:firstLine="440" w:firstLineChars="200"/>
              <w:rPr>
                <w:rFonts w:hAnsi="宋体"/>
                <w:color w:val="000000"/>
                <w:szCs w:val="21"/>
              </w:rPr>
            </w:pPr>
            <w:r>
              <w:rPr>
                <w:rFonts w:hint="eastAsia"/>
                <w:color w:val="000000"/>
                <w:szCs w:val="21"/>
                <w:lang w:eastAsia="zh-CN"/>
              </w:rPr>
              <w:t>投标</w:t>
            </w:r>
            <w:r>
              <w:rPr>
                <w:rFonts w:hAnsi="宋体"/>
                <w:color w:val="000000"/>
                <w:szCs w:val="21"/>
              </w:rPr>
              <w:t>保证金的形式：转帐，须从</w:t>
            </w:r>
            <w:r>
              <w:rPr>
                <w:rFonts w:hint="eastAsia" w:hAnsi="宋体"/>
                <w:color w:val="000000"/>
                <w:szCs w:val="21"/>
              </w:rPr>
              <w:t>供应商</w:t>
            </w:r>
            <w:r>
              <w:rPr>
                <w:rFonts w:hAnsi="宋体"/>
                <w:color w:val="000000"/>
                <w:szCs w:val="21"/>
              </w:rPr>
              <w:t>基本账户转出。须提供基本账户证明材料</w:t>
            </w:r>
            <w:r>
              <w:rPr>
                <w:rFonts w:hint="eastAsia" w:hAnsi="宋体"/>
                <w:color w:val="000000"/>
                <w:szCs w:val="21"/>
              </w:rPr>
              <w:t>。</w:t>
            </w:r>
          </w:p>
          <w:p>
            <w:pPr>
              <w:spacing w:line="500" w:lineRule="exact"/>
              <w:ind w:firstLine="440" w:firstLineChars="200"/>
              <w:rPr>
                <w:rFonts w:hint="eastAsia" w:hAnsi="宋体"/>
                <w:color w:val="000000"/>
                <w:szCs w:val="21"/>
                <w:lang w:eastAsia="zh-CN"/>
              </w:rPr>
            </w:pPr>
            <w:r>
              <w:rPr>
                <w:rFonts w:hint="eastAsia"/>
                <w:color w:val="000000"/>
                <w:szCs w:val="21"/>
                <w:lang w:eastAsia="zh-CN"/>
              </w:rPr>
              <w:t>投标</w:t>
            </w:r>
            <w:r>
              <w:rPr>
                <w:rFonts w:hAnsi="宋体"/>
                <w:color w:val="000000"/>
                <w:szCs w:val="21"/>
              </w:rPr>
              <w:t>保证金的金额：人民币</w:t>
            </w:r>
            <w:r>
              <w:rPr>
                <w:rFonts w:hint="eastAsia"/>
                <w:color w:val="000000"/>
                <w:szCs w:val="21"/>
                <w:lang w:eastAsia="zh-CN"/>
              </w:rPr>
              <w:t>壹万元整</w:t>
            </w:r>
          </w:p>
          <w:p>
            <w:pPr>
              <w:spacing w:line="500" w:lineRule="exact"/>
              <w:ind w:firstLine="440" w:firstLineChars="200"/>
              <w:rPr>
                <w:color w:val="000000"/>
                <w:szCs w:val="21"/>
              </w:rPr>
            </w:pPr>
            <w:r>
              <w:rPr>
                <w:rFonts w:hAnsi="宋体"/>
                <w:color w:val="000000"/>
                <w:szCs w:val="21"/>
              </w:rPr>
              <w:t>户</w:t>
            </w:r>
            <w:r>
              <w:rPr>
                <w:color w:val="000000"/>
                <w:szCs w:val="21"/>
              </w:rPr>
              <w:t xml:space="preserve">  </w:t>
            </w:r>
            <w:r>
              <w:rPr>
                <w:rFonts w:hAnsi="宋体"/>
                <w:color w:val="000000"/>
                <w:szCs w:val="21"/>
              </w:rPr>
              <w:t>名：</w:t>
            </w:r>
            <w:r>
              <w:rPr>
                <w:rFonts w:hint="eastAsia" w:hAnsi="宋体"/>
                <w:color w:val="000000"/>
                <w:szCs w:val="21"/>
              </w:rPr>
              <w:t>广州金盛建工程项目管理咨询有限公司海南分公司</w:t>
            </w:r>
          </w:p>
          <w:p>
            <w:pPr>
              <w:spacing w:line="500" w:lineRule="exact"/>
              <w:ind w:firstLine="440" w:firstLineChars="200"/>
              <w:rPr>
                <w:color w:val="000000"/>
                <w:szCs w:val="21"/>
              </w:rPr>
            </w:pPr>
            <w:r>
              <w:rPr>
                <w:rFonts w:hAnsi="宋体"/>
                <w:color w:val="000000"/>
                <w:szCs w:val="21"/>
              </w:rPr>
              <w:t>开户行：</w:t>
            </w:r>
            <w:r>
              <w:rPr>
                <w:rFonts w:hint="eastAsia" w:hAnsi="宋体"/>
                <w:color w:val="000000"/>
                <w:szCs w:val="21"/>
              </w:rPr>
              <w:t>中国建设银行股份有限公司海口住房城建支行</w:t>
            </w:r>
          </w:p>
          <w:p>
            <w:pPr>
              <w:spacing w:line="500" w:lineRule="exact"/>
              <w:ind w:firstLine="440" w:firstLineChars="200"/>
              <w:rPr>
                <w:color w:val="000000"/>
                <w:szCs w:val="21"/>
              </w:rPr>
            </w:pPr>
            <w:r>
              <w:rPr>
                <w:rFonts w:hAnsi="宋体"/>
                <w:color w:val="000000"/>
                <w:szCs w:val="21"/>
              </w:rPr>
              <w:t>帐</w:t>
            </w:r>
            <w:r>
              <w:rPr>
                <w:color w:val="000000"/>
                <w:szCs w:val="21"/>
              </w:rPr>
              <w:t xml:space="preserve">  </w:t>
            </w:r>
            <w:r>
              <w:rPr>
                <w:rFonts w:hAnsi="宋体"/>
                <w:color w:val="000000"/>
                <w:szCs w:val="21"/>
              </w:rPr>
              <w:t>户：</w:t>
            </w:r>
            <w:r>
              <w:rPr>
                <w:color w:val="000000"/>
                <w:szCs w:val="21"/>
              </w:rPr>
              <w:t>46</w:t>
            </w:r>
            <w:r>
              <w:rPr>
                <w:rFonts w:hint="eastAsia"/>
                <w:color w:val="000000"/>
                <w:szCs w:val="21"/>
              </w:rPr>
              <w:t>050100263600000059</w:t>
            </w:r>
          </w:p>
          <w:p>
            <w:pPr>
              <w:pStyle w:val="29"/>
              <w:spacing w:before="43" w:line="278" w:lineRule="auto"/>
              <w:ind w:left="108" w:right="97"/>
              <w:jc w:val="both"/>
              <w:rPr>
                <w:sz w:val="21"/>
              </w:rPr>
            </w:pPr>
            <w:r>
              <w:rPr>
                <w:rFonts w:hint="eastAsia" w:hAnsi="宋体"/>
                <w:b/>
                <w:color w:val="000000"/>
                <w:szCs w:val="21"/>
              </w:rPr>
              <w:t>谈判保证金</w:t>
            </w:r>
            <w:r>
              <w:rPr>
                <w:rFonts w:hAnsi="宋体"/>
                <w:b/>
                <w:color w:val="000000"/>
                <w:szCs w:val="21"/>
              </w:rPr>
              <w:t>应在</w:t>
            </w:r>
            <w:r>
              <w:rPr>
                <w:rFonts w:hint="eastAsia" w:ascii="宋体" w:hAnsi="宋体"/>
                <w:color w:val="auto"/>
                <w:sz w:val="24"/>
                <w:u w:val="single"/>
              </w:rPr>
              <w:t>202</w:t>
            </w:r>
            <w:r>
              <w:rPr>
                <w:rFonts w:hint="eastAsia"/>
                <w:color w:val="auto"/>
                <w:sz w:val="24"/>
                <w:u w:val="single"/>
                <w:lang w:val="en-US" w:eastAsia="zh-CN"/>
              </w:rPr>
              <w:t>1</w:t>
            </w:r>
            <w:r>
              <w:rPr>
                <w:rFonts w:hint="eastAsia" w:ascii="宋体" w:hAnsi="宋体"/>
                <w:color w:val="auto"/>
                <w:sz w:val="24"/>
              </w:rPr>
              <w:t>年</w:t>
            </w:r>
            <w:r>
              <w:rPr>
                <w:rFonts w:hint="eastAsia" w:ascii="宋体" w:hAnsi="宋体"/>
                <w:color w:val="auto"/>
                <w:sz w:val="24"/>
                <w:u w:val="single"/>
              </w:rPr>
              <w:t xml:space="preserve"> </w:t>
            </w:r>
            <w:r>
              <w:rPr>
                <w:rFonts w:hint="eastAsia"/>
                <w:color w:val="auto"/>
                <w:sz w:val="24"/>
                <w:u w:val="single"/>
                <w:lang w:val="en-US" w:eastAsia="zh-CN"/>
              </w:rPr>
              <w:t>07</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color w:val="auto"/>
                <w:sz w:val="24"/>
                <w:u w:val="single"/>
                <w:lang w:val="en-US" w:eastAsia="zh-CN"/>
              </w:rPr>
              <w:t>27</w:t>
            </w:r>
            <w:r>
              <w:rPr>
                <w:rFonts w:hint="eastAsia" w:ascii="宋体" w:hAnsi="宋体"/>
                <w:color w:val="auto"/>
                <w:sz w:val="24"/>
                <w:u w:val="single"/>
                <w:lang w:val="en-US" w:eastAsia="zh-CN"/>
              </w:rPr>
              <w:t xml:space="preserve"> </w:t>
            </w:r>
            <w:r>
              <w:rPr>
                <w:rFonts w:hint="eastAsia" w:ascii="宋体" w:hAnsi="宋体"/>
                <w:color w:val="auto"/>
                <w:sz w:val="24"/>
              </w:rPr>
              <w:t>日</w:t>
            </w:r>
            <w:r>
              <w:rPr>
                <w:rFonts w:hint="eastAsia" w:ascii="宋体" w:hAnsi="宋体"/>
                <w:color w:val="auto"/>
                <w:sz w:val="24"/>
                <w:u w:val="single"/>
              </w:rPr>
              <w:t xml:space="preserve"> </w:t>
            </w:r>
            <w:r>
              <w:rPr>
                <w:rFonts w:hint="eastAsia"/>
                <w:color w:val="auto"/>
                <w:sz w:val="24"/>
                <w:u w:val="single"/>
                <w:lang w:val="en-US" w:eastAsia="zh-CN"/>
              </w:rPr>
              <w:t>09</w:t>
            </w:r>
            <w:r>
              <w:rPr>
                <w:rFonts w:hint="eastAsia" w:ascii="宋体" w:hAnsi="宋体"/>
                <w:color w:val="auto"/>
                <w:sz w:val="24"/>
                <w:u w:val="single"/>
              </w:rPr>
              <w:t xml:space="preserve"> </w:t>
            </w:r>
            <w:r>
              <w:rPr>
                <w:rFonts w:hint="eastAsia" w:ascii="宋体" w:hAnsi="宋体"/>
                <w:color w:val="auto"/>
                <w:sz w:val="24"/>
              </w:rPr>
              <w:t>时</w:t>
            </w:r>
            <w:r>
              <w:rPr>
                <w:rFonts w:hint="eastAsia" w:ascii="宋体" w:hAnsi="宋体"/>
                <w:color w:val="auto"/>
                <w:sz w:val="24"/>
                <w:u w:val="single"/>
              </w:rPr>
              <w:t xml:space="preserve"> </w:t>
            </w:r>
            <w:r>
              <w:rPr>
                <w:rFonts w:hint="eastAsia"/>
                <w:color w:val="auto"/>
                <w:sz w:val="24"/>
                <w:u w:val="single"/>
                <w:lang w:val="en-US" w:eastAsia="zh-CN"/>
              </w:rPr>
              <w:t>3</w:t>
            </w:r>
            <w:r>
              <w:rPr>
                <w:rFonts w:hint="eastAsia" w:ascii="宋体" w:hAnsi="宋体"/>
                <w:color w:val="auto"/>
                <w:sz w:val="24"/>
                <w:u w:val="single"/>
              </w:rPr>
              <w:t xml:space="preserve">0 </w:t>
            </w:r>
            <w:r>
              <w:rPr>
                <w:rFonts w:hint="eastAsia" w:ascii="宋体" w:hAnsi="宋体"/>
                <w:color w:val="auto"/>
                <w:sz w:val="24"/>
              </w:rPr>
              <w:t>分</w:t>
            </w:r>
            <w:r>
              <w:rPr>
                <w:rFonts w:hint="eastAsia"/>
                <w:b/>
                <w:color w:val="auto"/>
                <w:szCs w:val="21"/>
              </w:rPr>
              <w:t>（</w:t>
            </w:r>
            <w:r>
              <w:rPr>
                <w:rFonts w:hint="eastAsia"/>
                <w:b/>
                <w:color w:val="000000"/>
                <w:szCs w:val="21"/>
              </w:rPr>
              <w:t>北京时间）</w:t>
            </w:r>
            <w:r>
              <w:rPr>
                <w:rFonts w:hAnsi="宋体"/>
                <w:b/>
                <w:color w:val="000000"/>
                <w:szCs w:val="21"/>
              </w:rPr>
              <w:t>前</w:t>
            </w:r>
            <w:r>
              <w:rPr>
                <w:rFonts w:hint="eastAsia" w:hAnsi="宋体"/>
                <w:b/>
                <w:color w:val="000000"/>
                <w:szCs w:val="21"/>
              </w:rPr>
              <w:t>由供应商基本账户一次性转入</w:t>
            </w:r>
            <w:r>
              <w:rPr>
                <w:rFonts w:hAnsi="宋体"/>
                <w:b/>
                <w:color w:val="000000"/>
                <w:szCs w:val="21"/>
              </w:rPr>
              <w:t>代理机构指定账户并注明汇款单位</w:t>
            </w:r>
            <w:r>
              <w:rPr>
                <w:rFonts w:hint="eastAsia" w:hAnsi="宋体"/>
                <w:b/>
                <w:color w:val="000000"/>
                <w:szCs w:val="21"/>
              </w:rPr>
              <w:t>（</w:t>
            </w:r>
            <w:r>
              <w:rPr>
                <w:rFonts w:hint="eastAsia"/>
                <w:b/>
                <w:color w:val="000000"/>
              </w:rPr>
              <w:t>以谈判保证金实际到帐时间为准</w:t>
            </w:r>
            <w:r>
              <w:rPr>
                <w:rFonts w:hint="eastAsia" w:hAnsi="宋体"/>
                <w:b/>
                <w:color w:val="000000"/>
                <w:szCs w:val="21"/>
              </w:rPr>
              <w:t>）</w:t>
            </w:r>
            <w:r>
              <w:rPr>
                <w:rFonts w:hAnsi="宋体"/>
                <w:b/>
                <w:color w:val="000000"/>
                <w:szCs w:val="21"/>
              </w:rPr>
              <w:t>，并</w:t>
            </w:r>
            <w:r>
              <w:rPr>
                <w:rFonts w:hint="eastAsia" w:hAnsi="宋体"/>
                <w:b/>
                <w:color w:val="000000"/>
                <w:szCs w:val="21"/>
              </w:rPr>
              <w:t>注明</w:t>
            </w:r>
            <w:r>
              <w:rPr>
                <w:rFonts w:hAnsi="宋体"/>
                <w:b/>
                <w:color w:val="000000"/>
                <w:szCs w:val="21"/>
              </w:rPr>
              <w:t>所投项目的项目名称</w:t>
            </w:r>
            <w:r>
              <w:rPr>
                <w:rFonts w:hint="eastAsia" w:hAnsi="宋体"/>
                <w:b/>
                <w:color w:val="000000"/>
                <w:szCs w:val="21"/>
              </w:rPr>
              <w:t>或项目</w:t>
            </w:r>
            <w:r>
              <w:rPr>
                <w:rFonts w:hAnsi="宋体"/>
                <w:b/>
                <w:color w:val="000000"/>
                <w:szCs w:val="21"/>
              </w:rPr>
              <w:t>编号。</w:t>
            </w:r>
            <w:r>
              <w:rPr>
                <w:sz w:val="21"/>
              </w:rPr>
              <w:t xml:space="preserve"> </w:t>
            </w:r>
          </w:p>
          <w:p>
            <w:pPr>
              <w:pStyle w:val="29"/>
              <w:spacing w:before="5"/>
              <w:ind w:left="108"/>
              <w:rPr>
                <w:sz w:val="21"/>
              </w:rPr>
            </w:pPr>
            <w:r>
              <w:rPr>
                <w:sz w:val="21"/>
              </w:rPr>
              <w:t>注：请投标人在电汇投标保证金时自行考虑好延迟到账的时间问题。</w:t>
            </w:r>
          </w:p>
          <w:p>
            <w:pPr>
              <w:pStyle w:val="29"/>
              <w:spacing w:before="8" w:line="400" w:lineRule="atLeast"/>
              <w:ind w:left="108" w:right="98"/>
              <w:rPr>
                <w:b/>
                <w:sz w:val="21"/>
              </w:rPr>
            </w:pPr>
            <w:r>
              <w:rPr>
                <w:sz w:val="21"/>
              </w:rPr>
              <w:t>若因延迟到账导致保证金未在文件递交截止时间前汇至指定账户，由此引发的后续问题均由投标人自行承担。</w:t>
            </w:r>
            <w:r>
              <w:rPr>
                <w:b/>
                <w:w w:val="99"/>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52" w:type="dxa"/>
          </w:tcPr>
          <w:p>
            <w:pPr>
              <w:pStyle w:val="29"/>
              <w:spacing w:before="97"/>
              <w:ind w:left="139" w:right="23"/>
              <w:jc w:val="center"/>
              <w:rPr>
                <w:sz w:val="21"/>
              </w:rPr>
            </w:pPr>
            <w:r>
              <w:rPr>
                <w:sz w:val="21"/>
              </w:rPr>
              <w:t xml:space="preserve">16.1 </w:t>
            </w:r>
          </w:p>
        </w:tc>
        <w:tc>
          <w:tcPr>
            <w:tcW w:w="2261" w:type="dxa"/>
          </w:tcPr>
          <w:p>
            <w:pPr>
              <w:pStyle w:val="29"/>
              <w:spacing w:before="97"/>
              <w:ind w:left="154" w:right="39"/>
              <w:jc w:val="center"/>
              <w:rPr>
                <w:sz w:val="21"/>
              </w:rPr>
            </w:pPr>
            <w:r>
              <w:rPr>
                <w:sz w:val="21"/>
              </w:rPr>
              <w:t xml:space="preserve">投标有效期 </w:t>
            </w:r>
          </w:p>
        </w:tc>
        <w:tc>
          <w:tcPr>
            <w:tcW w:w="6574" w:type="dxa"/>
          </w:tcPr>
          <w:p>
            <w:pPr>
              <w:pStyle w:val="29"/>
              <w:spacing w:before="97"/>
              <w:ind w:left="108"/>
              <w:rPr>
                <w:sz w:val="21"/>
              </w:rPr>
            </w:pPr>
            <w:r>
              <w:rPr>
                <w:sz w:val="21"/>
              </w:rPr>
              <w:t xml:space="preserve">60 天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852" w:type="dxa"/>
          </w:tcPr>
          <w:p>
            <w:pPr>
              <w:pStyle w:val="29"/>
              <w:spacing w:before="104"/>
              <w:ind w:left="139" w:right="23"/>
              <w:jc w:val="center"/>
              <w:rPr>
                <w:sz w:val="21"/>
              </w:rPr>
            </w:pPr>
            <w:r>
              <w:rPr>
                <w:sz w:val="21"/>
              </w:rPr>
              <w:t xml:space="preserve">17.1 </w:t>
            </w:r>
          </w:p>
        </w:tc>
        <w:tc>
          <w:tcPr>
            <w:tcW w:w="2261" w:type="dxa"/>
          </w:tcPr>
          <w:p>
            <w:pPr>
              <w:pStyle w:val="29"/>
              <w:spacing w:before="104"/>
              <w:ind w:left="162" w:right="39"/>
              <w:jc w:val="center"/>
              <w:rPr>
                <w:sz w:val="21"/>
              </w:rPr>
            </w:pPr>
            <w:r>
              <w:rPr>
                <w:spacing w:val="-9"/>
                <w:sz w:val="21"/>
              </w:rPr>
              <w:t>投标文件正、副本份数</w:t>
            </w:r>
            <w:r>
              <w:rPr>
                <w:sz w:val="21"/>
              </w:rPr>
              <w:t xml:space="preserve"> </w:t>
            </w:r>
          </w:p>
        </w:tc>
        <w:tc>
          <w:tcPr>
            <w:tcW w:w="6574" w:type="dxa"/>
          </w:tcPr>
          <w:p>
            <w:pPr>
              <w:pStyle w:val="29"/>
              <w:spacing w:before="104"/>
              <w:ind w:left="108"/>
              <w:rPr>
                <w:sz w:val="21"/>
              </w:rPr>
            </w:pPr>
            <w:r>
              <w:rPr>
                <w:sz w:val="21"/>
              </w:rPr>
              <w:t xml:space="preserve">正本 1 份、副本叁份、电子文档 2 份（光盘和U 盘）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852" w:type="dxa"/>
          </w:tcPr>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spacing w:before="10"/>
              <w:rPr>
                <w:rFonts w:ascii="黑体"/>
                <w:b/>
                <w:sz w:val="15"/>
              </w:rPr>
            </w:pPr>
          </w:p>
          <w:p>
            <w:pPr>
              <w:pStyle w:val="29"/>
              <w:ind w:left="139" w:right="23"/>
              <w:jc w:val="center"/>
              <w:rPr>
                <w:sz w:val="21"/>
              </w:rPr>
            </w:pPr>
            <w:r>
              <w:rPr>
                <w:sz w:val="21"/>
              </w:rPr>
              <w:t xml:space="preserve">17.3 </w:t>
            </w:r>
          </w:p>
        </w:tc>
        <w:tc>
          <w:tcPr>
            <w:tcW w:w="2261" w:type="dxa"/>
          </w:tcPr>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spacing w:before="10"/>
              <w:rPr>
                <w:rFonts w:ascii="黑体"/>
                <w:b/>
                <w:sz w:val="15"/>
              </w:rPr>
            </w:pPr>
          </w:p>
          <w:p>
            <w:pPr>
              <w:pStyle w:val="29"/>
              <w:ind w:left="153" w:right="39"/>
              <w:jc w:val="center"/>
              <w:rPr>
                <w:sz w:val="21"/>
              </w:rPr>
            </w:pPr>
            <w:r>
              <w:rPr>
                <w:sz w:val="21"/>
              </w:rPr>
              <w:t xml:space="preserve">签字或盖章要求 </w:t>
            </w:r>
          </w:p>
        </w:tc>
        <w:tc>
          <w:tcPr>
            <w:tcW w:w="6574" w:type="dxa"/>
          </w:tcPr>
          <w:p>
            <w:pPr>
              <w:pStyle w:val="29"/>
              <w:spacing w:before="1" w:line="364" w:lineRule="auto"/>
              <w:ind w:left="108" w:right="94"/>
              <w:jc w:val="both"/>
              <w:rPr>
                <w:sz w:val="21"/>
              </w:rPr>
            </w:pPr>
            <w:r>
              <w:rPr>
                <w:sz w:val="21"/>
              </w:rPr>
              <w:t>1</w:t>
            </w:r>
            <w:r>
              <w:rPr>
                <w:spacing w:val="-9"/>
                <w:sz w:val="21"/>
              </w:rPr>
              <w:t>、投标文件应用不褪色的墨水书写或打印，字迹应易于辨认并应由供</w:t>
            </w:r>
            <w:r>
              <w:rPr>
                <w:spacing w:val="-10"/>
                <w:sz w:val="21"/>
              </w:rPr>
              <w:t>应商的法定代表人或其委托代理人签字并加盖单位公章。由委托代理</w:t>
            </w:r>
            <w:r>
              <w:rPr>
                <w:spacing w:val="-1"/>
                <w:sz w:val="21"/>
              </w:rPr>
              <w:t>人签字的，投标文件中应附有法定代表人授权委托书。投标文件应尽量避免涂改、行间插字或删除。如出现上述情况，改动之处应加盖单</w:t>
            </w:r>
            <w:r>
              <w:rPr>
                <w:spacing w:val="-3"/>
                <w:sz w:val="21"/>
              </w:rPr>
              <w:t>位公章或由供应商的法定代表人或其授权的代理人签字确认。</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2" w:hRule="atLeast"/>
        </w:trPr>
        <w:tc>
          <w:tcPr>
            <w:tcW w:w="852" w:type="dxa"/>
          </w:tcPr>
          <w:p>
            <w:pPr>
              <w:pStyle w:val="29"/>
              <w:rPr>
                <w:rFonts w:ascii="黑体"/>
                <w:b/>
                <w:sz w:val="20"/>
              </w:rPr>
            </w:pPr>
          </w:p>
          <w:p>
            <w:pPr>
              <w:pStyle w:val="29"/>
              <w:rPr>
                <w:rFonts w:ascii="黑体"/>
                <w:b/>
                <w:sz w:val="20"/>
              </w:rPr>
            </w:pPr>
          </w:p>
          <w:p>
            <w:pPr>
              <w:pStyle w:val="29"/>
              <w:spacing w:before="5"/>
              <w:rPr>
                <w:rFonts w:ascii="黑体"/>
                <w:b/>
                <w:sz w:val="25"/>
              </w:rPr>
            </w:pPr>
          </w:p>
          <w:p>
            <w:pPr>
              <w:pStyle w:val="29"/>
              <w:ind w:left="139" w:right="23"/>
              <w:jc w:val="center"/>
              <w:rPr>
                <w:sz w:val="21"/>
              </w:rPr>
            </w:pPr>
            <w:r>
              <w:rPr>
                <w:sz w:val="21"/>
              </w:rPr>
              <w:t xml:space="preserve">18.1 </w:t>
            </w:r>
          </w:p>
        </w:tc>
        <w:tc>
          <w:tcPr>
            <w:tcW w:w="2261" w:type="dxa"/>
          </w:tcPr>
          <w:p>
            <w:pPr>
              <w:pStyle w:val="29"/>
              <w:rPr>
                <w:rFonts w:ascii="黑体"/>
                <w:b/>
                <w:sz w:val="20"/>
              </w:rPr>
            </w:pPr>
          </w:p>
          <w:p>
            <w:pPr>
              <w:pStyle w:val="29"/>
              <w:rPr>
                <w:rFonts w:ascii="黑体"/>
                <w:b/>
                <w:sz w:val="20"/>
              </w:rPr>
            </w:pPr>
          </w:p>
          <w:p>
            <w:pPr>
              <w:pStyle w:val="29"/>
              <w:spacing w:before="5"/>
              <w:rPr>
                <w:rFonts w:ascii="黑体"/>
                <w:b/>
                <w:sz w:val="25"/>
              </w:rPr>
            </w:pPr>
          </w:p>
          <w:p>
            <w:pPr>
              <w:pStyle w:val="29"/>
              <w:ind w:left="154" w:right="39"/>
              <w:jc w:val="center"/>
              <w:rPr>
                <w:sz w:val="21"/>
              </w:rPr>
            </w:pPr>
            <w:r>
              <w:rPr>
                <w:sz w:val="21"/>
              </w:rPr>
              <w:t xml:space="preserve">封套上写明 </w:t>
            </w:r>
          </w:p>
        </w:tc>
        <w:tc>
          <w:tcPr>
            <w:tcW w:w="6574" w:type="dxa"/>
          </w:tcPr>
          <w:p>
            <w:pPr>
              <w:pStyle w:val="29"/>
              <w:spacing w:before="22"/>
              <w:ind w:left="108"/>
              <w:rPr>
                <w:rFonts w:hint="eastAsia" w:eastAsia="宋体"/>
                <w:sz w:val="21"/>
                <w:lang w:eastAsia="zh-CN"/>
              </w:rPr>
            </w:pPr>
            <w:r>
              <w:rPr>
                <w:sz w:val="21"/>
              </w:rPr>
              <w:t>招标人名称：</w:t>
            </w:r>
            <w:r>
              <w:rPr>
                <w:rFonts w:hint="eastAsia"/>
                <w:sz w:val="21"/>
                <w:u w:val="single"/>
                <w:lang w:eastAsia="zh-CN"/>
              </w:rPr>
              <w:t>五指山市自然资源和规划局</w:t>
            </w:r>
          </w:p>
          <w:p>
            <w:pPr>
              <w:pStyle w:val="29"/>
              <w:spacing w:before="139" w:line="364" w:lineRule="auto"/>
              <w:ind w:left="108" w:right="147"/>
              <w:rPr>
                <w:rFonts w:hint="eastAsia"/>
                <w:spacing w:val="-4"/>
                <w:sz w:val="21"/>
                <w:u w:val="single"/>
              </w:rPr>
            </w:pPr>
            <w:r>
              <w:rPr>
                <w:spacing w:val="-3"/>
                <w:sz w:val="21"/>
              </w:rPr>
              <w:t>招标人的地址：</w:t>
            </w:r>
            <w:r>
              <w:rPr>
                <w:rFonts w:hint="eastAsia"/>
                <w:spacing w:val="-4"/>
                <w:sz w:val="21"/>
                <w:u w:val="single"/>
              </w:rPr>
              <w:t>海南省五指山市通什镇河北东路7号</w:t>
            </w:r>
          </w:p>
          <w:p>
            <w:pPr>
              <w:pStyle w:val="29"/>
              <w:spacing w:before="139" w:line="364" w:lineRule="auto"/>
              <w:ind w:left="108" w:right="147"/>
              <w:rPr>
                <w:sz w:val="21"/>
              </w:rPr>
            </w:pPr>
            <w:r>
              <w:rPr>
                <w:spacing w:val="-9"/>
                <w:sz w:val="21"/>
                <w:u w:val="single"/>
              </w:rPr>
              <w:t xml:space="preserve"> </w:t>
            </w:r>
            <w:r>
              <w:rPr>
                <w:rFonts w:hint="eastAsia"/>
                <w:spacing w:val="-3"/>
                <w:sz w:val="21"/>
                <w:u w:val="single"/>
                <w:lang w:eastAsia="zh-CN"/>
              </w:rPr>
              <w:t>五指山市地质灾害风险普查项目</w:t>
            </w:r>
            <w:r>
              <w:rPr>
                <w:spacing w:val="-3"/>
                <w:sz w:val="21"/>
              </w:rPr>
              <w:t>投标文件</w:t>
            </w:r>
            <w:r>
              <w:rPr>
                <w:sz w:val="21"/>
              </w:rPr>
              <w:t xml:space="preserve"> </w:t>
            </w:r>
          </w:p>
          <w:p>
            <w:pPr>
              <w:pStyle w:val="29"/>
              <w:spacing w:line="269" w:lineRule="exact"/>
              <w:ind w:left="108"/>
              <w:rPr>
                <w:sz w:val="21"/>
              </w:rPr>
            </w:pPr>
            <w:r>
              <w:rPr>
                <w:sz w:val="21"/>
              </w:rPr>
              <w:t>在</w:t>
            </w:r>
            <w:r>
              <w:rPr>
                <w:sz w:val="21"/>
                <w:u w:val="single"/>
              </w:rPr>
              <w:t>开标</w:t>
            </w:r>
            <w:r>
              <w:rPr>
                <w:sz w:val="21"/>
              </w:rPr>
              <w:t xml:space="preserve">前不得开启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atLeast"/>
        </w:trPr>
        <w:tc>
          <w:tcPr>
            <w:tcW w:w="852" w:type="dxa"/>
          </w:tcPr>
          <w:p>
            <w:pPr>
              <w:pStyle w:val="29"/>
              <w:spacing w:before="1"/>
              <w:rPr>
                <w:rFonts w:ascii="黑体"/>
                <w:b/>
                <w:sz w:val="18"/>
              </w:rPr>
            </w:pPr>
          </w:p>
          <w:p>
            <w:pPr>
              <w:pStyle w:val="29"/>
              <w:ind w:left="139" w:right="23"/>
              <w:jc w:val="center"/>
              <w:rPr>
                <w:sz w:val="21"/>
              </w:rPr>
            </w:pPr>
            <w:r>
              <w:rPr>
                <w:sz w:val="21"/>
              </w:rPr>
              <w:t xml:space="preserve">19.1 </w:t>
            </w:r>
          </w:p>
        </w:tc>
        <w:tc>
          <w:tcPr>
            <w:tcW w:w="2261" w:type="dxa"/>
          </w:tcPr>
          <w:p>
            <w:pPr>
              <w:pStyle w:val="29"/>
              <w:spacing w:before="1"/>
              <w:rPr>
                <w:rFonts w:ascii="黑体"/>
                <w:b/>
                <w:sz w:val="18"/>
              </w:rPr>
            </w:pPr>
          </w:p>
          <w:p>
            <w:pPr>
              <w:pStyle w:val="29"/>
              <w:ind w:left="155" w:right="39"/>
              <w:jc w:val="center"/>
              <w:rPr>
                <w:sz w:val="21"/>
              </w:rPr>
            </w:pPr>
            <w:r>
              <w:rPr>
                <w:sz w:val="21"/>
              </w:rPr>
              <w:t xml:space="preserve">递交投标文件地点 </w:t>
            </w:r>
          </w:p>
        </w:tc>
        <w:tc>
          <w:tcPr>
            <w:tcW w:w="6574" w:type="dxa"/>
          </w:tcPr>
          <w:p>
            <w:pPr>
              <w:pStyle w:val="29"/>
              <w:spacing w:before="28" w:line="367" w:lineRule="auto"/>
              <w:ind w:left="108" w:right="150"/>
              <w:rPr>
                <w:sz w:val="21"/>
              </w:rPr>
            </w:pPr>
            <w:r>
              <w:rPr>
                <w:spacing w:val="-9"/>
                <w:sz w:val="21"/>
              </w:rPr>
              <w:t xml:space="preserve">海口市海秀东路 </w:t>
            </w:r>
            <w:r>
              <w:rPr>
                <w:sz w:val="21"/>
              </w:rPr>
              <w:t>74</w:t>
            </w:r>
            <w:r>
              <w:rPr>
                <w:spacing w:val="-16"/>
                <w:sz w:val="21"/>
              </w:rPr>
              <w:t xml:space="preserve"> 号鸿泰大厦 </w:t>
            </w:r>
            <w:r>
              <w:rPr>
                <w:sz w:val="21"/>
              </w:rPr>
              <w:t>14</w:t>
            </w:r>
            <w:r>
              <w:rPr>
                <w:spacing w:val="-33"/>
                <w:sz w:val="21"/>
              </w:rPr>
              <w:t xml:space="preserve"> 层 </w:t>
            </w:r>
            <w:r>
              <w:rPr>
                <w:sz w:val="21"/>
                <w:u w:val="single"/>
              </w:rPr>
              <w:t>1</w:t>
            </w:r>
            <w:r>
              <w:rPr>
                <w:spacing w:val="-12"/>
                <w:sz w:val="21"/>
              </w:rPr>
              <w:t xml:space="preserve"> 号开标室</w:t>
            </w:r>
            <w:r>
              <w:rPr>
                <w:spacing w:val="-3"/>
                <w:sz w:val="21"/>
              </w:rPr>
              <w:t>（具体地点以开标当天现场为准）</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7" w:hRule="atLeast"/>
        </w:trPr>
        <w:tc>
          <w:tcPr>
            <w:tcW w:w="852" w:type="dxa"/>
          </w:tcPr>
          <w:p>
            <w:pPr>
              <w:pStyle w:val="29"/>
              <w:rPr>
                <w:rFonts w:ascii="黑体"/>
                <w:b/>
                <w:sz w:val="20"/>
              </w:rPr>
            </w:pPr>
          </w:p>
          <w:p>
            <w:pPr>
              <w:pStyle w:val="29"/>
              <w:spacing w:before="1"/>
              <w:rPr>
                <w:rFonts w:ascii="黑体"/>
                <w:b/>
                <w:sz w:val="15"/>
              </w:rPr>
            </w:pPr>
          </w:p>
          <w:p>
            <w:pPr>
              <w:pStyle w:val="29"/>
              <w:ind w:left="136" w:right="23"/>
              <w:jc w:val="center"/>
              <w:rPr>
                <w:sz w:val="21"/>
              </w:rPr>
            </w:pPr>
            <w:r>
              <w:rPr>
                <w:sz w:val="21"/>
              </w:rPr>
              <w:t xml:space="preserve">23 </w:t>
            </w:r>
          </w:p>
        </w:tc>
        <w:tc>
          <w:tcPr>
            <w:tcW w:w="2261" w:type="dxa"/>
          </w:tcPr>
          <w:p>
            <w:pPr>
              <w:pStyle w:val="29"/>
              <w:rPr>
                <w:rFonts w:ascii="黑体"/>
                <w:b/>
                <w:sz w:val="20"/>
              </w:rPr>
            </w:pPr>
          </w:p>
          <w:p>
            <w:pPr>
              <w:pStyle w:val="29"/>
              <w:spacing w:before="1"/>
              <w:rPr>
                <w:rFonts w:ascii="黑体"/>
                <w:b/>
                <w:sz w:val="15"/>
              </w:rPr>
            </w:pPr>
          </w:p>
          <w:p>
            <w:pPr>
              <w:pStyle w:val="29"/>
              <w:ind w:left="154" w:right="39"/>
              <w:jc w:val="center"/>
              <w:rPr>
                <w:sz w:val="21"/>
              </w:rPr>
            </w:pPr>
            <w:r>
              <w:rPr>
                <w:sz w:val="21"/>
              </w:rPr>
              <w:t xml:space="preserve">开标程序 </w:t>
            </w:r>
          </w:p>
        </w:tc>
        <w:tc>
          <w:tcPr>
            <w:tcW w:w="6574" w:type="dxa"/>
          </w:tcPr>
          <w:p>
            <w:pPr>
              <w:pStyle w:val="29"/>
              <w:spacing w:before="41" w:line="364" w:lineRule="auto"/>
              <w:ind w:left="108" w:right="31"/>
              <w:rPr>
                <w:sz w:val="21"/>
              </w:rPr>
            </w:pPr>
            <w:r>
              <w:rPr>
                <w:sz w:val="21"/>
              </w:rPr>
              <w:t xml:space="preserve">( 1）密封情况检查：由监督人员、供应商代表人员检查投标文件的密封情况。 </w:t>
            </w:r>
          </w:p>
          <w:p>
            <w:pPr>
              <w:pStyle w:val="29"/>
              <w:spacing w:line="267" w:lineRule="exact"/>
              <w:ind w:left="108"/>
              <w:rPr>
                <w:sz w:val="21"/>
              </w:rPr>
            </w:pPr>
            <w:r>
              <w:rPr>
                <w:sz w:val="21"/>
              </w:rPr>
              <w:t xml:space="preserve">( 2）开标顺序：按递交投标文件的顺序进行开标 </w:t>
            </w:r>
          </w:p>
        </w:tc>
      </w:tr>
    </w:tbl>
    <w:p>
      <w:pPr>
        <w:spacing w:after="0" w:line="266" w:lineRule="exact"/>
        <w:rPr>
          <w:sz w:val="21"/>
        </w:rPr>
        <w:sectPr>
          <w:pgSz w:w="11910" w:h="16840"/>
          <w:pgMar w:top="1420" w:right="640" w:bottom="1100" w:left="680" w:header="0" w:footer="913" w:gutter="0"/>
          <w:cols w:space="720" w:num="1"/>
        </w:sectPr>
      </w:pPr>
    </w:p>
    <w:tbl>
      <w:tblPr>
        <w:tblStyle w:val="15"/>
        <w:tblW w:w="0" w:type="auto"/>
        <w:tblInd w:w="5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261"/>
        <w:gridCol w:w="6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3" w:hRule="atLeast"/>
        </w:trPr>
        <w:tc>
          <w:tcPr>
            <w:tcW w:w="852" w:type="dxa"/>
          </w:tcPr>
          <w:p>
            <w:pPr>
              <w:pStyle w:val="29"/>
              <w:rPr>
                <w:rFonts w:ascii="黑体"/>
                <w:b/>
                <w:sz w:val="20"/>
              </w:rPr>
            </w:pPr>
          </w:p>
          <w:p>
            <w:pPr>
              <w:pStyle w:val="29"/>
              <w:spacing w:before="10"/>
              <w:rPr>
                <w:rFonts w:ascii="黑体"/>
                <w:b/>
                <w:sz w:val="19"/>
              </w:rPr>
            </w:pPr>
          </w:p>
          <w:p>
            <w:pPr>
              <w:pStyle w:val="29"/>
              <w:ind w:left="136" w:right="23"/>
              <w:jc w:val="center"/>
              <w:rPr>
                <w:sz w:val="21"/>
              </w:rPr>
            </w:pPr>
            <w:r>
              <w:rPr>
                <w:sz w:val="21"/>
              </w:rPr>
              <w:t xml:space="preserve">25 </w:t>
            </w:r>
          </w:p>
        </w:tc>
        <w:tc>
          <w:tcPr>
            <w:tcW w:w="2261" w:type="dxa"/>
          </w:tcPr>
          <w:p>
            <w:pPr>
              <w:pStyle w:val="29"/>
              <w:rPr>
                <w:rFonts w:ascii="黑体"/>
                <w:b/>
                <w:sz w:val="20"/>
              </w:rPr>
            </w:pPr>
          </w:p>
          <w:p>
            <w:pPr>
              <w:pStyle w:val="29"/>
              <w:spacing w:before="10"/>
              <w:rPr>
                <w:rFonts w:ascii="黑体"/>
                <w:b/>
                <w:sz w:val="19"/>
              </w:rPr>
            </w:pPr>
          </w:p>
          <w:p>
            <w:pPr>
              <w:pStyle w:val="29"/>
              <w:ind w:left="155" w:right="39"/>
              <w:jc w:val="center"/>
              <w:rPr>
                <w:sz w:val="21"/>
              </w:rPr>
            </w:pPr>
            <w:r>
              <w:rPr>
                <w:sz w:val="21"/>
              </w:rPr>
              <w:t xml:space="preserve">评标委员会的组建 </w:t>
            </w:r>
          </w:p>
        </w:tc>
        <w:tc>
          <w:tcPr>
            <w:tcW w:w="6574" w:type="dxa"/>
          </w:tcPr>
          <w:p>
            <w:pPr>
              <w:pStyle w:val="29"/>
              <w:spacing w:before="101" w:line="364" w:lineRule="auto"/>
              <w:ind w:left="108" w:right="151"/>
              <w:rPr>
                <w:sz w:val="21"/>
              </w:rPr>
            </w:pPr>
            <w:r>
              <w:rPr>
                <w:sz w:val="21"/>
              </w:rPr>
              <w:t>评标委员会构成:</w:t>
            </w:r>
            <w:r>
              <w:rPr>
                <w:sz w:val="21"/>
                <w:u w:val="single"/>
              </w:rPr>
              <w:t xml:space="preserve"> 5 </w:t>
            </w:r>
            <w:r>
              <w:rPr>
                <w:sz w:val="21"/>
              </w:rPr>
              <w:t>人；其中采购人代表</w:t>
            </w:r>
            <w:r>
              <w:rPr>
                <w:sz w:val="21"/>
                <w:u w:val="single"/>
              </w:rPr>
              <w:t xml:space="preserve"> </w:t>
            </w:r>
            <w:r>
              <w:rPr>
                <w:rFonts w:hint="eastAsia"/>
                <w:sz w:val="21"/>
                <w:u w:val="single"/>
                <w:lang w:val="en-US" w:eastAsia="zh-CN"/>
              </w:rPr>
              <w:t>0</w:t>
            </w:r>
            <w:r>
              <w:rPr>
                <w:sz w:val="21"/>
                <w:u w:val="single"/>
              </w:rPr>
              <w:t xml:space="preserve"> </w:t>
            </w:r>
            <w:r>
              <w:rPr>
                <w:sz w:val="21"/>
              </w:rPr>
              <w:t>人，其余专家成员</w:t>
            </w:r>
            <w:r>
              <w:rPr>
                <w:sz w:val="21"/>
                <w:u w:val="single"/>
              </w:rPr>
              <w:t xml:space="preserve"> </w:t>
            </w:r>
            <w:r>
              <w:rPr>
                <w:rFonts w:hint="eastAsia"/>
                <w:sz w:val="21"/>
                <w:u w:val="single"/>
                <w:lang w:val="en-US" w:eastAsia="zh-CN"/>
              </w:rPr>
              <w:t>5</w:t>
            </w:r>
            <w:r>
              <w:rPr>
                <w:sz w:val="21"/>
                <w:u w:val="single"/>
              </w:rPr>
              <w:t xml:space="preserve"> </w:t>
            </w:r>
            <w:r>
              <w:rPr>
                <w:sz w:val="21"/>
              </w:rPr>
              <w:t xml:space="preserve">人从评标专家库中随机抽取。 </w:t>
            </w:r>
          </w:p>
          <w:p>
            <w:pPr>
              <w:pStyle w:val="29"/>
              <w:spacing w:line="268" w:lineRule="exact"/>
              <w:ind w:left="108"/>
              <w:rPr>
                <w:sz w:val="21"/>
              </w:rPr>
            </w:pPr>
            <w:r>
              <w:rPr>
                <w:sz w:val="21"/>
              </w:rPr>
              <w:t xml:space="preserve">评标专家确定方式：从海南省综合评标专家库中随机抽取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7" w:hRule="atLeast"/>
        </w:trPr>
        <w:tc>
          <w:tcPr>
            <w:tcW w:w="852" w:type="dxa"/>
          </w:tcPr>
          <w:p>
            <w:pPr>
              <w:pStyle w:val="29"/>
              <w:spacing w:before="7"/>
              <w:rPr>
                <w:rFonts w:ascii="黑体"/>
                <w:b/>
                <w:sz w:val="25"/>
              </w:rPr>
            </w:pPr>
          </w:p>
          <w:p>
            <w:pPr>
              <w:pStyle w:val="29"/>
              <w:ind w:left="139" w:right="23"/>
              <w:jc w:val="center"/>
              <w:rPr>
                <w:sz w:val="21"/>
              </w:rPr>
            </w:pPr>
            <w:r>
              <w:rPr>
                <w:sz w:val="21"/>
              </w:rPr>
              <w:t xml:space="preserve">27.1 </w:t>
            </w:r>
          </w:p>
        </w:tc>
        <w:tc>
          <w:tcPr>
            <w:tcW w:w="2261" w:type="dxa"/>
          </w:tcPr>
          <w:p>
            <w:pPr>
              <w:pStyle w:val="29"/>
              <w:spacing w:before="123" w:line="364" w:lineRule="auto"/>
              <w:ind w:left="605" w:right="170" w:hanging="420"/>
              <w:rPr>
                <w:sz w:val="21"/>
              </w:rPr>
            </w:pPr>
            <w:r>
              <w:rPr>
                <w:sz w:val="21"/>
              </w:rPr>
              <w:t xml:space="preserve">是否授权评标委员会确定中标人 </w:t>
            </w:r>
          </w:p>
        </w:tc>
        <w:tc>
          <w:tcPr>
            <w:tcW w:w="6574" w:type="dxa"/>
          </w:tcPr>
          <w:p>
            <w:pPr>
              <w:pStyle w:val="29"/>
              <w:spacing w:before="123" w:line="364" w:lineRule="auto"/>
              <w:ind w:left="108" w:right="95"/>
              <w:rPr>
                <w:sz w:val="21"/>
              </w:rPr>
            </w:pPr>
            <w:r>
              <w:rPr>
                <w:sz w:val="21"/>
              </w:rPr>
              <w:t xml:space="preserve">推荐的中标候选人数 3 名，并且确定排名第一的中标候选人为中标人。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852" w:type="dxa"/>
          </w:tcPr>
          <w:p>
            <w:pPr>
              <w:pStyle w:val="29"/>
              <w:spacing w:before="58"/>
              <w:ind w:left="136" w:right="23"/>
              <w:jc w:val="center"/>
              <w:rPr>
                <w:sz w:val="21"/>
              </w:rPr>
            </w:pPr>
            <w:r>
              <w:rPr>
                <w:sz w:val="21"/>
              </w:rPr>
              <w:t xml:space="preserve">35 </w:t>
            </w:r>
          </w:p>
        </w:tc>
        <w:tc>
          <w:tcPr>
            <w:tcW w:w="8835" w:type="dxa"/>
            <w:gridSpan w:val="2"/>
          </w:tcPr>
          <w:p>
            <w:pPr>
              <w:pStyle w:val="29"/>
              <w:spacing w:before="58"/>
              <w:ind w:left="3499" w:right="3387"/>
              <w:jc w:val="center"/>
              <w:rPr>
                <w:b/>
                <w:sz w:val="21"/>
              </w:rPr>
            </w:pPr>
            <w:r>
              <w:rPr>
                <w:b/>
                <w:sz w:val="21"/>
              </w:rPr>
              <w:t>需要补充的其他内容</w:t>
            </w:r>
            <w:r>
              <w:rPr>
                <w:b/>
                <w:w w:val="99"/>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852" w:type="dxa"/>
          </w:tcPr>
          <w:p>
            <w:pPr>
              <w:pStyle w:val="29"/>
              <w:spacing w:before="27"/>
              <w:ind w:left="139" w:right="23"/>
              <w:jc w:val="center"/>
              <w:rPr>
                <w:sz w:val="21"/>
              </w:rPr>
            </w:pPr>
            <w:r>
              <w:rPr>
                <w:sz w:val="21"/>
              </w:rPr>
              <w:t xml:space="preserve">35.1 </w:t>
            </w:r>
          </w:p>
        </w:tc>
        <w:tc>
          <w:tcPr>
            <w:tcW w:w="2261" w:type="dxa"/>
          </w:tcPr>
          <w:p>
            <w:pPr>
              <w:pStyle w:val="29"/>
              <w:spacing w:before="27"/>
              <w:ind w:left="154" w:right="39"/>
              <w:jc w:val="center"/>
              <w:rPr>
                <w:sz w:val="21"/>
              </w:rPr>
            </w:pPr>
            <w:r>
              <w:rPr>
                <w:sz w:val="21"/>
              </w:rPr>
              <w:t xml:space="preserve">采购预算 </w:t>
            </w:r>
          </w:p>
        </w:tc>
        <w:tc>
          <w:tcPr>
            <w:tcW w:w="6574" w:type="dxa"/>
          </w:tcPr>
          <w:p>
            <w:pPr>
              <w:pStyle w:val="29"/>
              <w:spacing w:before="27"/>
              <w:ind w:left="108"/>
              <w:rPr>
                <w:sz w:val="21"/>
              </w:rPr>
            </w:pPr>
            <w:r>
              <w:rPr>
                <w:rFonts w:hint="eastAsia"/>
                <w:sz w:val="21"/>
                <w:lang w:val="en-US" w:eastAsia="zh-CN"/>
              </w:rPr>
              <w:t>2024500</w:t>
            </w:r>
            <w:r>
              <w:rPr>
                <w:rFonts w:hint="eastAsia"/>
                <w:sz w:val="21"/>
              </w:rPr>
              <w:t>.00</w:t>
            </w:r>
            <w:r>
              <w:rPr>
                <w:sz w:val="21"/>
              </w:rPr>
              <w:t xml:space="preserve"> 元，超出此预算的投标报价将视为无效投标。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852" w:type="dxa"/>
          </w:tcPr>
          <w:p>
            <w:pPr>
              <w:pStyle w:val="29"/>
              <w:rPr>
                <w:rFonts w:ascii="黑体"/>
                <w:b/>
                <w:sz w:val="20"/>
              </w:rPr>
            </w:pPr>
          </w:p>
          <w:p>
            <w:pPr>
              <w:pStyle w:val="29"/>
              <w:rPr>
                <w:rFonts w:ascii="黑体"/>
                <w:b/>
                <w:sz w:val="20"/>
              </w:rPr>
            </w:pPr>
          </w:p>
          <w:p>
            <w:pPr>
              <w:pStyle w:val="29"/>
              <w:rPr>
                <w:rFonts w:ascii="黑体"/>
                <w:b/>
                <w:sz w:val="20"/>
              </w:rPr>
            </w:pPr>
          </w:p>
          <w:p>
            <w:pPr>
              <w:pStyle w:val="29"/>
              <w:rPr>
                <w:rFonts w:ascii="黑体"/>
                <w:b/>
                <w:sz w:val="20"/>
              </w:rPr>
            </w:pPr>
          </w:p>
          <w:p>
            <w:pPr>
              <w:pStyle w:val="29"/>
              <w:spacing w:before="10"/>
              <w:rPr>
                <w:rFonts w:ascii="黑体"/>
                <w:b/>
                <w:sz w:val="15"/>
              </w:rPr>
            </w:pPr>
          </w:p>
          <w:p>
            <w:pPr>
              <w:pStyle w:val="29"/>
              <w:spacing w:before="1"/>
              <w:ind w:left="136" w:right="23"/>
              <w:jc w:val="center"/>
              <w:rPr>
                <w:sz w:val="21"/>
              </w:rPr>
            </w:pPr>
            <w:r>
              <w:rPr>
                <w:sz w:val="21"/>
              </w:rPr>
              <w:t xml:space="preserve">35 </w:t>
            </w:r>
          </w:p>
        </w:tc>
        <w:tc>
          <w:tcPr>
            <w:tcW w:w="2261" w:type="dxa"/>
          </w:tcPr>
          <w:p>
            <w:pPr>
              <w:pStyle w:val="29"/>
              <w:rPr>
                <w:rFonts w:ascii="黑体"/>
                <w:b/>
                <w:sz w:val="20"/>
              </w:rPr>
            </w:pPr>
          </w:p>
          <w:p>
            <w:pPr>
              <w:pStyle w:val="29"/>
              <w:rPr>
                <w:rFonts w:ascii="黑体"/>
                <w:b/>
                <w:sz w:val="20"/>
              </w:rPr>
            </w:pPr>
          </w:p>
          <w:p>
            <w:pPr>
              <w:pStyle w:val="29"/>
              <w:rPr>
                <w:rFonts w:ascii="黑体"/>
                <w:b/>
                <w:sz w:val="20"/>
              </w:rPr>
            </w:pPr>
          </w:p>
          <w:p>
            <w:pPr>
              <w:pStyle w:val="29"/>
              <w:spacing w:before="1"/>
              <w:ind w:right="39"/>
              <w:jc w:val="center"/>
              <w:rPr>
                <w:sz w:val="21"/>
              </w:rPr>
            </w:pPr>
            <w:r>
              <w:rPr>
                <w:sz w:val="21"/>
              </w:rPr>
              <w:t>采购代理服务费</w:t>
            </w:r>
          </w:p>
        </w:tc>
        <w:tc>
          <w:tcPr>
            <w:tcW w:w="6574" w:type="dxa"/>
          </w:tcPr>
          <w:p>
            <w:pPr>
              <w:pStyle w:val="29"/>
              <w:spacing w:line="410" w:lineRule="atLeast"/>
              <w:ind w:left="108" w:right="-36" w:rightChars="0"/>
              <w:rPr>
                <w:rFonts w:hint="eastAsia" w:eastAsia="宋体"/>
                <w:sz w:val="21"/>
                <w:lang w:eastAsia="zh-CN"/>
              </w:rPr>
            </w:pPr>
            <w:r>
              <w:rPr>
                <w:spacing w:val="-1"/>
                <w:sz w:val="21"/>
              </w:rPr>
              <w:t>代理服务费根据</w:t>
            </w:r>
            <w:r>
              <w:rPr>
                <w:rFonts w:hint="eastAsia"/>
                <w:spacing w:val="-1"/>
                <w:sz w:val="21"/>
                <w:lang w:eastAsia="zh-CN"/>
              </w:rPr>
              <w:t>五指山市自然资源和规划局</w:t>
            </w:r>
            <w:r>
              <w:rPr>
                <w:spacing w:val="-1"/>
                <w:sz w:val="21"/>
              </w:rPr>
              <w:t>组织招标代理单位公开选聘中选报价向中标人收取招标代理服务费，中标人在中标通知书发放后三日内一次性付清</w:t>
            </w:r>
            <w:r>
              <w:rPr>
                <w:rFonts w:hint="eastAsia"/>
                <w:spacing w:val="-1"/>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9687" w:type="dxa"/>
            <w:gridSpan w:val="3"/>
          </w:tcPr>
          <w:p>
            <w:pPr>
              <w:pStyle w:val="29"/>
              <w:spacing w:before="85"/>
              <w:ind w:left="108"/>
              <w:rPr>
                <w:sz w:val="21"/>
              </w:rPr>
            </w:pPr>
            <w:r>
              <w:rPr>
                <w:sz w:val="21"/>
              </w:rPr>
              <w:t xml:space="preserve">本项目的最终解释权归采购人所有 </w:t>
            </w:r>
          </w:p>
        </w:tc>
      </w:tr>
    </w:tbl>
    <w:p>
      <w:pPr>
        <w:spacing w:after="0"/>
        <w:rPr>
          <w:sz w:val="21"/>
        </w:rPr>
        <w:sectPr>
          <w:pgSz w:w="11910" w:h="16840"/>
          <w:pgMar w:top="1420" w:right="640" w:bottom="1100" w:left="680" w:header="0" w:footer="913" w:gutter="0"/>
          <w:cols w:space="720" w:num="1"/>
        </w:sectPr>
      </w:pPr>
    </w:p>
    <w:p>
      <w:pPr>
        <w:pStyle w:val="5"/>
        <w:tabs>
          <w:tab w:val="left" w:pos="2404"/>
        </w:tabs>
        <w:spacing w:before="103"/>
        <w:ind w:left="0" w:leftChars="0" w:firstLine="1285" w:firstLineChars="400"/>
        <w:outlineLvl w:val="1"/>
      </w:pPr>
      <w:bookmarkStart w:id="2" w:name="_Toc23852"/>
      <w:r>
        <w:t>一、总</w:t>
      </w:r>
      <w:r>
        <w:tab/>
      </w:r>
      <w:r>
        <w:t>则</w:t>
      </w:r>
      <w:bookmarkEnd w:id="2"/>
    </w:p>
    <w:p>
      <w:pPr>
        <w:pStyle w:val="11"/>
        <w:spacing w:before="11"/>
        <w:rPr>
          <w:b/>
          <w:sz w:val="43"/>
        </w:rPr>
      </w:pPr>
    </w:p>
    <w:p>
      <w:pPr>
        <w:pStyle w:val="10"/>
        <w:numPr>
          <w:ilvl w:val="0"/>
          <w:numId w:val="2"/>
        </w:numPr>
        <w:tabs>
          <w:tab w:val="left" w:pos="1482"/>
        </w:tabs>
        <w:spacing w:before="0" w:after="0" w:line="240" w:lineRule="auto"/>
        <w:ind w:left="1481" w:right="0" w:hanging="364"/>
        <w:jc w:val="left"/>
        <w:outlineLvl w:val="2"/>
      </w:pPr>
      <w:bookmarkStart w:id="3" w:name="_Toc811"/>
      <w:r>
        <w:t>适用范围</w:t>
      </w:r>
      <w:bookmarkEnd w:id="3"/>
      <w:r>
        <w:rPr>
          <w:w w:val="99"/>
        </w:rPr>
        <w:t xml:space="preserve"> </w:t>
      </w:r>
    </w:p>
    <w:p>
      <w:pPr>
        <w:pStyle w:val="28"/>
        <w:numPr>
          <w:ilvl w:val="1"/>
          <w:numId w:val="2"/>
        </w:numPr>
        <w:tabs>
          <w:tab w:val="left" w:pos="1959"/>
        </w:tabs>
        <w:spacing w:before="158" w:after="0" w:line="240" w:lineRule="auto"/>
        <w:ind w:left="1959" w:right="0" w:hanging="361"/>
        <w:jc w:val="left"/>
        <w:rPr>
          <w:sz w:val="24"/>
        </w:rPr>
      </w:pPr>
      <w:r>
        <w:rPr>
          <w:sz w:val="24"/>
        </w:rPr>
        <w:t xml:space="preserve">本招标文件仅适用于本次公开招标采购项目。 </w:t>
      </w:r>
    </w:p>
    <w:p>
      <w:pPr>
        <w:pStyle w:val="10"/>
        <w:numPr>
          <w:ilvl w:val="0"/>
          <w:numId w:val="2"/>
        </w:numPr>
        <w:tabs>
          <w:tab w:val="left" w:pos="1482"/>
        </w:tabs>
        <w:spacing w:before="161" w:after="0" w:line="240" w:lineRule="auto"/>
        <w:ind w:left="1481" w:right="0" w:hanging="364"/>
        <w:jc w:val="left"/>
        <w:outlineLvl w:val="2"/>
      </w:pPr>
      <w:bookmarkStart w:id="4" w:name="_Toc22024"/>
      <w:r>
        <w:t>有关定义</w:t>
      </w:r>
      <w:bookmarkEnd w:id="4"/>
      <w:r>
        <w:rPr>
          <w:w w:val="99"/>
        </w:rPr>
        <w:t xml:space="preserve"> </w:t>
      </w:r>
    </w:p>
    <w:p>
      <w:pPr>
        <w:pStyle w:val="28"/>
        <w:numPr>
          <w:ilvl w:val="1"/>
          <w:numId w:val="2"/>
        </w:numPr>
        <w:tabs>
          <w:tab w:val="left" w:pos="1959"/>
        </w:tabs>
        <w:spacing w:before="158" w:after="0" w:line="364" w:lineRule="auto"/>
        <w:ind w:left="1118" w:right="921" w:firstLine="479"/>
        <w:jc w:val="left"/>
        <w:rPr>
          <w:sz w:val="24"/>
        </w:rPr>
      </w:pPr>
      <w:r>
        <w:rPr>
          <w:sz w:val="24"/>
        </w:rPr>
        <w:t>“采购人/</w:t>
      </w:r>
      <w:r>
        <w:rPr>
          <w:spacing w:val="-1"/>
          <w:sz w:val="24"/>
        </w:rPr>
        <w:t>招标人”系指依法进行政府采购的国家机关、事业单位、团体</w:t>
      </w:r>
      <w:r>
        <w:rPr>
          <w:sz w:val="24"/>
        </w:rPr>
        <w:t>组织。本次招标的采购人/招标人是</w:t>
      </w:r>
      <w:r>
        <w:rPr>
          <w:rFonts w:hint="eastAsia"/>
          <w:sz w:val="24"/>
          <w:u w:val="single"/>
          <w:lang w:eastAsia="zh-CN"/>
        </w:rPr>
        <w:t>五指山市自然资源和规划局</w:t>
      </w:r>
      <w:r>
        <w:rPr>
          <w:sz w:val="24"/>
        </w:rPr>
        <w:t xml:space="preserve">。 </w:t>
      </w:r>
    </w:p>
    <w:p>
      <w:pPr>
        <w:pStyle w:val="28"/>
        <w:numPr>
          <w:ilvl w:val="1"/>
          <w:numId w:val="2"/>
        </w:numPr>
        <w:tabs>
          <w:tab w:val="left" w:pos="1959"/>
        </w:tabs>
        <w:spacing w:before="0" w:after="0" w:line="364" w:lineRule="auto"/>
        <w:ind w:left="1118" w:right="913" w:firstLine="479"/>
        <w:jc w:val="both"/>
        <w:rPr>
          <w:sz w:val="24"/>
        </w:rPr>
      </w:pPr>
      <w:r>
        <w:rPr>
          <w:sz w:val="24"/>
        </w:rPr>
        <w:t>“采购代理机构/招标代理机构” 系指根据采购人/招标人的委托依法办理招标采购事宜的采购/</w:t>
      </w:r>
      <w:r>
        <w:rPr>
          <w:spacing w:val="-10"/>
          <w:sz w:val="24"/>
        </w:rPr>
        <w:t>招标机构。本次招标的采购代理机构</w:t>
      </w:r>
      <w:r>
        <w:rPr>
          <w:sz w:val="24"/>
        </w:rPr>
        <w:t>/招标代理机构是</w:t>
      </w:r>
      <w:r>
        <w:rPr>
          <w:rFonts w:hint="eastAsia"/>
          <w:spacing w:val="-8"/>
          <w:sz w:val="24"/>
          <w:u w:val="single"/>
          <w:lang w:eastAsia="zh-CN"/>
        </w:rPr>
        <w:t>广州金盛建工程项目管理咨询有限公司</w:t>
      </w:r>
      <w:r>
        <w:rPr>
          <w:sz w:val="24"/>
        </w:rPr>
        <w:t xml:space="preserve">。 </w:t>
      </w:r>
    </w:p>
    <w:p>
      <w:pPr>
        <w:pStyle w:val="28"/>
        <w:numPr>
          <w:ilvl w:val="1"/>
          <w:numId w:val="2"/>
        </w:numPr>
        <w:tabs>
          <w:tab w:val="left" w:pos="1959"/>
        </w:tabs>
        <w:spacing w:before="0" w:after="0" w:line="240" w:lineRule="auto"/>
        <w:ind w:left="1959" w:right="0" w:hanging="361"/>
        <w:jc w:val="left"/>
        <w:rPr>
          <w:sz w:val="24"/>
        </w:rPr>
      </w:pPr>
      <w:r>
        <w:rPr>
          <w:sz w:val="24"/>
        </w:rPr>
        <w:t xml:space="preserve">“招标采购单位”系指“采购人/招标人”和“采购代理机构”的统称。 </w:t>
      </w:r>
    </w:p>
    <w:p>
      <w:pPr>
        <w:pStyle w:val="28"/>
        <w:numPr>
          <w:ilvl w:val="1"/>
          <w:numId w:val="2"/>
        </w:numPr>
        <w:tabs>
          <w:tab w:val="left" w:pos="1959"/>
        </w:tabs>
        <w:spacing w:before="157" w:after="0" w:line="364" w:lineRule="auto"/>
        <w:ind w:left="1118" w:right="921" w:firstLine="479"/>
        <w:jc w:val="left"/>
        <w:rPr>
          <w:sz w:val="24"/>
        </w:rPr>
      </w:pPr>
      <w:r>
        <w:rPr>
          <w:sz w:val="24"/>
        </w:rPr>
        <w:t>“供应商/</w:t>
      </w:r>
      <w:r>
        <w:rPr>
          <w:spacing w:val="-1"/>
          <w:sz w:val="24"/>
        </w:rPr>
        <w:t>供应商”系指购买了招标文件拟参加投标和向采购人提供货物</w:t>
      </w:r>
      <w:r>
        <w:rPr>
          <w:sz w:val="24"/>
        </w:rPr>
        <w:t xml:space="preserve">及相应服务的供应商/供应商。 </w:t>
      </w:r>
    </w:p>
    <w:p>
      <w:pPr>
        <w:pStyle w:val="10"/>
        <w:numPr>
          <w:ilvl w:val="0"/>
          <w:numId w:val="2"/>
        </w:numPr>
        <w:tabs>
          <w:tab w:val="left" w:pos="1482"/>
        </w:tabs>
        <w:spacing w:before="0" w:after="0" w:line="306" w:lineRule="exact"/>
        <w:ind w:left="1481" w:right="0" w:hanging="364"/>
        <w:jc w:val="left"/>
        <w:outlineLvl w:val="2"/>
      </w:pPr>
      <w:bookmarkStart w:id="5" w:name="_Toc30420"/>
      <w:r>
        <w:t>合格的供应商</w:t>
      </w:r>
      <w:bookmarkEnd w:id="5"/>
      <w:r>
        <w:rPr>
          <w:w w:val="99"/>
        </w:rPr>
        <w:t xml:space="preserve"> </w:t>
      </w:r>
    </w:p>
    <w:p>
      <w:pPr>
        <w:pStyle w:val="28"/>
        <w:numPr>
          <w:ilvl w:val="1"/>
          <w:numId w:val="2"/>
        </w:numPr>
        <w:tabs>
          <w:tab w:val="left" w:pos="1959"/>
        </w:tabs>
        <w:spacing w:before="160" w:after="0" w:line="362" w:lineRule="auto"/>
        <w:ind w:left="1118" w:right="912" w:firstLine="479"/>
        <w:jc w:val="left"/>
        <w:rPr>
          <w:sz w:val="24"/>
        </w:rPr>
      </w:pPr>
      <w:r>
        <w:rPr>
          <w:spacing w:val="4"/>
          <w:sz w:val="24"/>
        </w:rPr>
        <w:t>凡有能力按照本招标文件规定的要求交付货物和服务的投标单位均为合</w:t>
      </w:r>
      <w:r>
        <w:rPr>
          <w:sz w:val="24"/>
        </w:rPr>
        <w:t xml:space="preserve">格的供应商。 </w:t>
      </w:r>
    </w:p>
    <w:p>
      <w:pPr>
        <w:pStyle w:val="28"/>
        <w:numPr>
          <w:ilvl w:val="1"/>
          <w:numId w:val="2"/>
        </w:numPr>
        <w:tabs>
          <w:tab w:val="left" w:pos="1959"/>
        </w:tabs>
        <w:spacing w:before="6" w:after="0" w:line="362" w:lineRule="auto"/>
        <w:ind w:left="1118" w:right="793" w:firstLine="479"/>
        <w:jc w:val="left"/>
        <w:rPr>
          <w:sz w:val="24"/>
        </w:rPr>
      </w:pPr>
      <w:r>
        <w:rPr>
          <w:spacing w:val="-5"/>
          <w:sz w:val="24"/>
        </w:rPr>
        <w:t>供应商参加本次政府采购活动应当符合《中华人民共和国政府采购法》第二</w:t>
      </w:r>
      <w:r>
        <w:rPr>
          <w:spacing w:val="-9"/>
          <w:sz w:val="24"/>
        </w:rPr>
        <w:t>十二条的规定，并具备本招标文件第一章的“申请人的资格要求”规定的条件。</w:t>
      </w:r>
      <w:r>
        <w:rPr>
          <w:sz w:val="24"/>
        </w:rPr>
        <w:t xml:space="preserve"> </w:t>
      </w:r>
    </w:p>
    <w:p>
      <w:pPr>
        <w:pStyle w:val="28"/>
        <w:numPr>
          <w:ilvl w:val="1"/>
          <w:numId w:val="2"/>
        </w:numPr>
        <w:tabs>
          <w:tab w:val="left" w:pos="2018"/>
        </w:tabs>
        <w:spacing w:before="5" w:after="0" w:line="364" w:lineRule="auto"/>
        <w:ind w:left="1118" w:right="915" w:firstLine="479"/>
        <w:jc w:val="both"/>
        <w:rPr>
          <w:sz w:val="24"/>
        </w:rPr>
      </w:pPr>
      <w:r>
        <w:rPr>
          <w:spacing w:val="-3"/>
          <w:sz w:val="24"/>
        </w:rPr>
        <w:t>单位负责人为同一人或者存在直接控股、管理关系的不同供应商，不得参</w:t>
      </w:r>
      <w:r>
        <w:rPr>
          <w:spacing w:val="-7"/>
          <w:sz w:val="24"/>
        </w:rPr>
        <w:t>加同一合同项下的政府采购活动。除单一来源采购项目外，为采购项目提供整体设</w:t>
      </w:r>
      <w:r>
        <w:rPr>
          <w:spacing w:val="-10"/>
          <w:sz w:val="24"/>
        </w:rPr>
        <w:t>计、规范编制或者项目管理、监理、检测等服务的供应商，不得再参加该采购项目</w:t>
      </w:r>
      <w:r>
        <w:rPr>
          <w:sz w:val="24"/>
        </w:rPr>
        <w:t xml:space="preserve">的其他招标采购活动。 </w:t>
      </w:r>
    </w:p>
    <w:p>
      <w:pPr>
        <w:pStyle w:val="28"/>
        <w:numPr>
          <w:ilvl w:val="1"/>
          <w:numId w:val="2"/>
        </w:numPr>
        <w:tabs>
          <w:tab w:val="left" w:pos="2018"/>
        </w:tabs>
        <w:spacing w:before="0" w:after="0" w:line="364" w:lineRule="auto"/>
        <w:ind w:left="1118" w:right="915" w:firstLine="479"/>
        <w:jc w:val="both"/>
        <w:rPr>
          <w:sz w:val="24"/>
        </w:rPr>
      </w:pPr>
      <w:r>
        <w:rPr>
          <w:spacing w:val="-4"/>
          <w:sz w:val="24"/>
        </w:rPr>
        <w:t>如为信息系统采购项目，供应商不得为该整体项目或其中分项目前期工作</w:t>
      </w:r>
      <w:r>
        <w:rPr>
          <w:sz w:val="24"/>
        </w:rPr>
        <w:t xml:space="preserve">提供过设计、编制、管理等服务的法人及附属单位。 </w:t>
      </w:r>
    </w:p>
    <w:p>
      <w:pPr>
        <w:pStyle w:val="28"/>
        <w:numPr>
          <w:ilvl w:val="1"/>
          <w:numId w:val="2"/>
        </w:numPr>
        <w:tabs>
          <w:tab w:val="left" w:pos="2018"/>
        </w:tabs>
        <w:spacing w:before="0" w:after="0" w:line="364" w:lineRule="auto"/>
        <w:ind w:left="1118" w:right="793" w:firstLine="479"/>
        <w:jc w:val="both"/>
        <w:rPr>
          <w:sz w:val="24"/>
        </w:rPr>
      </w:pPr>
      <w:r>
        <w:rPr>
          <w:spacing w:val="-5"/>
          <w:sz w:val="24"/>
        </w:rPr>
        <w:t>招标</w:t>
      </w:r>
      <w:r>
        <w:rPr>
          <w:sz w:val="24"/>
        </w:rPr>
        <w:t>（采购</w:t>
      </w:r>
      <w:r>
        <w:rPr>
          <w:spacing w:val="-10"/>
          <w:sz w:val="24"/>
        </w:rPr>
        <w:t>）</w:t>
      </w:r>
      <w:r>
        <w:rPr>
          <w:spacing w:val="-1"/>
          <w:sz w:val="24"/>
        </w:rPr>
        <w:t>文件中未明确规定允许进口产品参加的，均视为拒绝进口产品参加</w:t>
      </w:r>
      <w:r>
        <w:rPr>
          <w:spacing w:val="-212"/>
          <w:sz w:val="24"/>
        </w:rPr>
        <w:t>。</w:t>
      </w:r>
      <w:r>
        <w:rPr>
          <w:sz w:val="24"/>
        </w:rPr>
        <w:t>（进口产品是指通过中国海关报关验放进入中国境内且产自关境外的产品</w:t>
      </w:r>
      <w:r>
        <w:rPr>
          <w:spacing w:val="-119"/>
          <w:sz w:val="24"/>
        </w:rPr>
        <w:t>）</w:t>
      </w:r>
      <w:r>
        <w:rPr>
          <w:sz w:val="24"/>
        </w:rPr>
        <w:t xml:space="preserve"> </w:t>
      </w:r>
    </w:p>
    <w:p>
      <w:pPr>
        <w:pStyle w:val="11"/>
        <w:spacing w:before="61" w:line="364" w:lineRule="auto"/>
        <w:ind w:left="1118" w:right="914"/>
        <w:jc w:val="both"/>
      </w:pPr>
      <w:r>
        <w:rPr>
          <w:spacing w:val="-12"/>
          <w:sz w:val="24"/>
        </w:rPr>
        <w:t>本项目</w:t>
      </w:r>
      <w:r>
        <w:rPr>
          <w:rFonts w:hint="eastAsia"/>
          <w:spacing w:val="-12"/>
          <w:sz w:val="24"/>
          <w:lang w:eastAsia="zh-CN"/>
        </w:rPr>
        <w:t>不</w:t>
      </w:r>
      <w:r>
        <w:rPr>
          <w:spacing w:val="-12"/>
          <w:sz w:val="24"/>
        </w:rPr>
        <w:t>接受联合体投标。</w:t>
      </w:r>
    </w:p>
    <w:p>
      <w:pPr>
        <w:pStyle w:val="28"/>
        <w:numPr>
          <w:ilvl w:val="1"/>
          <w:numId w:val="2"/>
        </w:numPr>
        <w:tabs>
          <w:tab w:val="left" w:pos="1538"/>
        </w:tabs>
        <w:spacing w:before="0" w:after="0" w:line="306" w:lineRule="exact"/>
        <w:ind w:left="1538" w:right="0" w:hanging="420"/>
        <w:jc w:val="both"/>
        <w:rPr>
          <w:sz w:val="24"/>
        </w:rPr>
      </w:pPr>
      <w:r>
        <w:rPr>
          <w:sz w:val="24"/>
        </w:rPr>
        <w:t xml:space="preserve">供应商参加投标不得有下列情形： </w:t>
      </w:r>
    </w:p>
    <w:p>
      <w:pPr>
        <w:pStyle w:val="28"/>
        <w:numPr>
          <w:ilvl w:val="2"/>
          <w:numId w:val="2"/>
        </w:numPr>
        <w:tabs>
          <w:tab w:val="left" w:pos="2199"/>
        </w:tabs>
        <w:spacing w:before="161" w:after="0" w:line="240" w:lineRule="auto"/>
        <w:ind w:left="2199" w:right="0" w:hanging="601"/>
        <w:jc w:val="left"/>
        <w:rPr>
          <w:sz w:val="24"/>
        </w:rPr>
      </w:pPr>
      <w:r>
        <w:rPr>
          <w:sz w:val="24"/>
        </w:rPr>
        <w:t xml:space="preserve">提供虚假材料谋取中标； </w:t>
      </w:r>
    </w:p>
    <w:p>
      <w:pPr>
        <w:pStyle w:val="28"/>
        <w:numPr>
          <w:ilvl w:val="2"/>
          <w:numId w:val="2"/>
        </w:numPr>
        <w:tabs>
          <w:tab w:val="left" w:pos="2199"/>
        </w:tabs>
        <w:spacing w:before="158" w:after="0" w:line="240" w:lineRule="auto"/>
        <w:ind w:left="2199" w:right="0" w:hanging="601"/>
        <w:jc w:val="left"/>
        <w:rPr>
          <w:sz w:val="24"/>
        </w:rPr>
      </w:pPr>
      <w:r>
        <w:rPr>
          <w:sz w:val="24"/>
        </w:rPr>
        <w:t xml:space="preserve">采取不正当手段诋毁、排挤其他供应商； </w:t>
      </w:r>
    </w:p>
    <w:p>
      <w:pPr>
        <w:pStyle w:val="28"/>
        <w:numPr>
          <w:ilvl w:val="2"/>
          <w:numId w:val="2"/>
        </w:numPr>
        <w:tabs>
          <w:tab w:val="left" w:pos="2199"/>
        </w:tabs>
        <w:spacing w:before="160" w:after="0" w:line="240" w:lineRule="auto"/>
        <w:ind w:left="2199" w:right="0" w:hanging="601"/>
        <w:jc w:val="left"/>
        <w:rPr>
          <w:sz w:val="24"/>
        </w:rPr>
      </w:pPr>
      <w:r>
        <w:rPr>
          <w:sz w:val="24"/>
        </w:rPr>
        <w:t xml:space="preserve">与招标采购单位、其他供应商恶意串通； </w:t>
      </w:r>
    </w:p>
    <w:p>
      <w:pPr>
        <w:pStyle w:val="28"/>
        <w:numPr>
          <w:ilvl w:val="2"/>
          <w:numId w:val="2"/>
        </w:numPr>
        <w:tabs>
          <w:tab w:val="left" w:pos="2199"/>
        </w:tabs>
        <w:spacing w:before="159" w:after="0" w:line="240" w:lineRule="auto"/>
        <w:ind w:left="2199" w:right="0" w:hanging="601"/>
        <w:jc w:val="left"/>
        <w:rPr>
          <w:sz w:val="24"/>
        </w:rPr>
      </w:pPr>
      <w:r>
        <w:rPr>
          <w:sz w:val="24"/>
        </w:rPr>
        <w:t xml:space="preserve">向招标采购单位、评标委员会成员行贿或者提供其他不正当利益； </w:t>
      </w:r>
    </w:p>
    <w:p>
      <w:pPr>
        <w:pStyle w:val="28"/>
        <w:numPr>
          <w:ilvl w:val="2"/>
          <w:numId w:val="2"/>
        </w:numPr>
        <w:tabs>
          <w:tab w:val="left" w:pos="2199"/>
        </w:tabs>
        <w:spacing w:before="161" w:after="0" w:line="240" w:lineRule="auto"/>
        <w:ind w:left="2199" w:right="0" w:hanging="601"/>
        <w:jc w:val="left"/>
        <w:rPr>
          <w:sz w:val="24"/>
        </w:rPr>
      </w:pPr>
      <w:r>
        <w:rPr>
          <w:sz w:val="24"/>
        </w:rPr>
        <w:t xml:space="preserve">在招标过程中与招标采购单位进行协商谈判； </w:t>
      </w:r>
    </w:p>
    <w:p>
      <w:pPr>
        <w:pStyle w:val="28"/>
        <w:numPr>
          <w:ilvl w:val="2"/>
          <w:numId w:val="2"/>
        </w:numPr>
        <w:tabs>
          <w:tab w:val="left" w:pos="2199"/>
        </w:tabs>
        <w:spacing w:before="158" w:after="0" w:line="240" w:lineRule="auto"/>
        <w:ind w:left="2199" w:right="0" w:hanging="601"/>
        <w:jc w:val="left"/>
        <w:rPr>
          <w:sz w:val="24"/>
        </w:rPr>
      </w:pPr>
      <w:r>
        <w:rPr>
          <w:sz w:val="24"/>
        </w:rPr>
        <w:t xml:space="preserve">拒绝有关部门的监督检查或者向监督检查部门提供虚假情况。 </w:t>
      </w:r>
    </w:p>
    <w:p>
      <w:pPr>
        <w:pStyle w:val="11"/>
        <w:spacing w:before="160" w:line="362" w:lineRule="auto"/>
        <w:ind w:left="1598" w:right="793"/>
      </w:pPr>
      <w:r>
        <w:t>有上述情形之一的供应商，属于不合格供应商，其投标或中标资格将被取消。政府采购法第七十七条规定供应商有上述情形之一的，处以采购金额千分之五</w:t>
      </w:r>
    </w:p>
    <w:p>
      <w:pPr>
        <w:pStyle w:val="11"/>
        <w:spacing w:before="5" w:line="364" w:lineRule="auto"/>
        <w:ind w:left="1118" w:right="915"/>
        <w:jc w:val="both"/>
      </w:pPr>
      <w:r>
        <w:rPr>
          <w:spacing w:val="-7"/>
        </w:rPr>
        <w:t>以上千分之十以下的罚款，列入不良行为记录名单，在一至三年内禁止参加政府采</w:t>
      </w:r>
      <w:r>
        <w:rPr>
          <w:spacing w:val="-10"/>
        </w:rPr>
        <w:t>购活动，有违法所得的，并处没收违法所得，情节严重的，由工商行政管理机关吊</w:t>
      </w:r>
      <w:r>
        <w:t xml:space="preserve">销营业执照；构成犯罪的，依法追究刑事责任。 </w:t>
      </w:r>
    </w:p>
    <w:p>
      <w:pPr>
        <w:pStyle w:val="10"/>
        <w:numPr>
          <w:ilvl w:val="0"/>
          <w:numId w:val="2"/>
        </w:numPr>
        <w:tabs>
          <w:tab w:val="left" w:pos="1482"/>
        </w:tabs>
        <w:spacing w:before="0" w:after="0" w:line="307" w:lineRule="exact"/>
        <w:ind w:left="1481" w:right="0" w:hanging="364"/>
        <w:jc w:val="left"/>
        <w:outlineLvl w:val="2"/>
      </w:pPr>
      <w:bookmarkStart w:id="6" w:name="_Toc20596"/>
      <w:r>
        <w:t>投标费用</w:t>
      </w:r>
      <w:bookmarkEnd w:id="6"/>
      <w:r>
        <w:rPr>
          <w:w w:val="99"/>
        </w:rPr>
        <w:t xml:space="preserve"> </w:t>
      </w:r>
    </w:p>
    <w:p>
      <w:pPr>
        <w:pStyle w:val="28"/>
        <w:numPr>
          <w:ilvl w:val="1"/>
          <w:numId w:val="2"/>
        </w:numPr>
        <w:tabs>
          <w:tab w:val="left" w:pos="1990"/>
        </w:tabs>
        <w:spacing w:before="159" w:after="0" w:line="364" w:lineRule="auto"/>
        <w:ind w:left="1118" w:right="915" w:firstLine="479"/>
        <w:jc w:val="both"/>
        <w:rPr>
          <w:sz w:val="24"/>
        </w:rPr>
      </w:pPr>
      <w:r>
        <w:rPr>
          <w:spacing w:val="-1"/>
          <w:sz w:val="24"/>
        </w:rPr>
        <w:t>供应商应承担其编制投标文件与递交投标文件等投标过程中所涉及的一切</w:t>
      </w:r>
      <w:r>
        <w:rPr>
          <w:spacing w:val="-10"/>
          <w:sz w:val="24"/>
        </w:rPr>
        <w:t>费用，无论招投标过程中的做法和结果如何，供应商参加投标的有关费用由供应商</w:t>
      </w:r>
      <w:r>
        <w:rPr>
          <w:sz w:val="24"/>
        </w:rPr>
        <w:t xml:space="preserve">自行承担。 </w:t>
      </w:r>
    </w:p>
    <w:p>
      <w:pPr>
        <w:pStyle w:val="28"/>
        <w:numPr>
          <w:ilvl w:val="1"/>
          <w:numId w:val="2"/>
        </w:numPr>
        <w:tabs>
          <w:tab w:val="left" w:pos="2018"/>
        </w:tabs>
        <w:spacing w:before="0" w:after="0" w:line="362" w:lineRule="auto"/>
        <w:ind w:left="1118" w:right="914" w:firstLine="479"/>
        <w:jc w:val="both"/>
        <w:rPr>
          <w:sz w:val="24"/>
        </w:rPr>
      </w:pPr>
      <w:r>
        <w:rPr>
          <w:spacing w:val="-3"/>
          <w:sz w:val="24"/>
        </w:rPr>
        <w:t>供应商的报价须充分考虑投标过程中产生的费用，不论中标与否，采购人</w:t>
      </w:r>
      <w:r>
        <w:rPr>
          <w:sz w:val="24"/>
        </w:rPr>
        <w:t xml:space="preserve">均不予以补偿。 </w:t>
      </w:r>
    </w:p>
    <w:p>
      <w:pPr>
        <w:pStyle w:val="10"/>
        <w:numPr>
          <w:ilvl w:val="0"/>
          <w:numId w:val="2"/>
        </w:numPr>
        <w:tabs>
          <w:tab w:val="left" w:pos="1482"/>
        </w:tabs>
        <w:spacing w:before="4" w:after="0" w:line="240" w:lineRule="auto"/>
        <w:ind w:left="1481" w:right="0" w:hanging="364"/>
        <w:jc w:val="left"/>
        <w:outlineLvl w:val="2"/>
      </w:pPr>
      <w:bookmarkStart w:id="7" w:name="_Toc14074"/>
      <w:r>
        <w:t>法律适用和招标文件的约束力</w:t>
      </w:r>
      <w:bookmarkEnd w:id="7"/>
      <w:r>
        <w:rPr>
          <w:w w:val="99"/>
        </w:rPr>
        <w:t xml:space="preserve"> </w:t>
      </w:r>
    </w:p>
    <w:p>
      <w:pPr>
        <w:pStyle w:val="28"/>
        <w:numPr>
          <w:ilvl w:val="1"/>
          <w:numId w:val="2"/>
        </w:numPr>
        <w:tabs>
          <w:tab w:val="left" w:pos="2198"/>
        </w:tabs>
        <w:spacing w:before="158" w:after="0" w:line="364" w:lineRule="auto"/>
        <w:ind w:left="1118" w:right="920" w:firstLine="599"/>
        <w:jc w:val="left"/>
        <w:rPr>
          <w:sz w:val="24"/>
        </w:rPr>
      </w:pPr>
      <w:r>
        <w:rPr>
          <w:spacing w:val="-1"/>
          <w:sz w:val="24"/>
        </w:rPr>
        <w:t>本次采购活动及由本次采购产生的合同受中华人民共和国的法律制约和</w:t>
      </w:r>
      <w:r>
        <w:rPr>
          <w:sz w:val="24"/>
        </w:rPr>
        <w:t xml:space="preserve">保护。 </w:t>
      </w:r>
    </w:p>
    <w:p>
      <w:pPr>
        <w:pStyle w:val="28"/>
        <w:numPr>
          <w:ilvl w:val="1"/>
          <w:numId w:val="2"/>
        </w:numPr>
        <w:tabs>
          <w:tab w:val="left" w:pos="2018"/>
        </w:tabs>
        <w:spacing w:before="0" w:after="0" w:line="364" w:lineRule="auto"/>
        <w:ind w:left="1118" w:right="915" w:firstLine="479"/>
        <w:jc w:val="left"/>
        <w:rPr>
          <w:sz w:val="24"/>
        </w:rPr>
      </w:pPr>
      <w:r>
        <w:rPr>
          <w:spacing w:val="-4"/>
          <w:sz w:val="24"/>
        </w:rPr>
        <w:t>供应商一旦参加本项目投标，即被认为接受了本招标文件中的所有条件和</w:t>
      </w:r>
      <w:r>
        <w:rPr>
          <w:sz w:val="24"/>
        </w:rPr>
        <w:t xml:space="preserve">规定。 </w:t>
      </w:r>
    </w:p>
    <w:p>
      <w:pPr>
        <w:pStyle w:val="28"/>
        <w:numPr>
          <w:ilvl w:val="1"/>
          <w:numId w:val="2"/>
        </w:numPr>
        <w:tabs>
          <w:tab w:val="left" w:pos="2018"/>
        </w:tabs>
        <w:spacing w:before="0" w:after="0" w:line="364" w:lineRule="auto"/>
        <w:ind w:left="1118" w:right="5085" w:firstLine="479"/>
        <w:jc w:val="left"/>
        <w:rPr>
          <w:b/>
          <w:sz w:val="24"/>
        </w:rPr>
      </w:pPr>
      <w:r>
        <w:rPr>
          <w:sz w:val="24"/>
        </w:rPr>
        <w:t>本招标文件由采购人负责解释。</w:t>
      </w:r>
      <w:r>
        <w:rPr>
          <w:b/>
          <w:sz w:val="24"/>
        </w:rPr>
        <w:t>6．充分、公平竞争保障措施</w:t>
      </w:r>
      <w:r>
        <w:rPr>
          <w:b/>
          <w:w w:val="99"/>
          <w:sz w:val="24"/>
        </w:rPr>
        <w:t xml:space="preserve"> </w:t>
      </w:r>
    </w:p>
    <w:p>
      <w:pPr>
        <w:spacing w:before="0" w:line="306" w:lineRule="exact"/>
        <w:ind w:left="1598" w:right="0" w:firstLine="0"/>
        <w:jc w:val="left"/>
        <w:rPr>
          <w:sz w:val="24"/>
        </w:rPr>
      </w:pPr>
      <w:r>
        <w:rPr>
          <w:rFonts w:ascii="Times New Roman" w:eastAsia="Times New Roman"/>
          <w:b/>
          <w:sz w:val="24"/>
        </w:rPr>
        <w:t xml:space="preserve">6.1 </w:t>
      </w:r>
      <w:r>
        <w:rPr>
          <w:b/>
          <w:sz w:val="24"/>
        </w:rPr>
        <w:t>供应商家数计算。</w:t>
      </w:r>
      <w:r>
        <w:rPr>
          <w:sz w:val="24"/>
        </w:rPr>
        <w:t>使用综合评分法的采购项目，评审得分相同的，由采购</w:t>
      </w:r>
    </w:p>
    <w:p>
      <w:pPr>
        <w:pStyle w:val="11"/>
        <w:spacing w:before="41" w:line="364" w:lineRule="auto"/>
        <w:ind w:left="1118" w:right="915"/>
        <w:jc w:val="both"/>
      </w:pPr>
      <w:r>
        <w:t>人或者采购人委托评标委员会按照招标文件规定的方式确定一个供应商获得中标</w:t>
      </w:r>
      <w:r>
        <w:rPr>
          <w:spacing w:val="-10"/>
        </w:rPr>
        <w:t>人推荐资格，招标文件未规定的采取随机抽取方式确定，其他供应商不作为中标候</w:t>
      </w:r>
      <w:r>
        <w:t xml:space="preserve">选人。 </w:t>
      </w:r>
    </w:p>
    <w:p>
      <w:pPr>
        <w:spacing w:after="0" w:line="306" w:lineRule="exact"/>
        <w:jc w:val="left"/>
        <w:rPr>
          <w:sz w:val="24"/>
        </w:rPr>
        <w:sectPr>
          <w:pgSz w:w="11910" w:h="16840"/>
          <w:pgMar w:top="1360" w:right="640" w:bottom="1180" w:left="680" w:header="0" w:footer="913" w:gutter="0"/>
          <w:cols w:space="720" w:num="1"/>
        </w:sectPr>
      </w:pPr>
    </w:p>
    <w:p>
      <w:pPr>
        <w:pStyle w:val="11"/>
        <w:spacing w:before="4"/>
        <w:rPr>
          <w:sz w:val="20"/>
        </w:rPr>
      </w:pPr>
    </w:p>
    <w:p>
      <w:pPr>
        <w:pStyle w:val="5"/>
        <w:spacing w:before="1"/>
        <w:ind w:left="1118"/>
        <w:outlineLvl w:val="1"/>
      </w:pPr>
      <w:bookmarkStart w:id="8" w:name="_Toc29414"/>
      <w:r>
        <w:t>二、招标文件</w:t>
      </w:r>
      <w:bookmarkEnd w:id="8"/>
    </w:p>
    <w:p>
      <w:pPr>
        <w:pStyle w:val="11"/>
        <w:spacing w:before="9"/>
        <w:rPr>
          <w:b/>
          <w:sz w:val="43"/>
        </w:rPr>
      </w:pPr>
    </w:p>
    <w:p>
      <w:pPr>
        <w:pStyle w:val="10"/>
        <w:numPr>
          <w:ilvl w:val="0"/>
          <w:numId w:val="3"/>
        </w:numPr>
        <w:tabs>
          <w:tab w:val="left" w:pos="1482"/>
        </w:tabs>
        <w:spacing w:before="0" w:after="0" w:line="240" w:lineRule="auto"/>
        <w:ind w:left="1481" w:right="0" w:hanging="364"/>
        <w:jc w:val="left"/>
      </w:pPr>
      <w:r>
        <w:t>招标文件的构成</w:t>
      </w:r>
      <w:r>
        <w:rPr>
          <w:w w:val="99"/>
        </w:rPr>
        <w:t xml:space="preserve"> </w:t>
      </w:r>
    </w:p>
    <w:p>
      <w:pPr>
        <w:pStyle w:val="11"/>
        <w:spacing w:before="161" w:line="364" w:lineRule="auto"/>
        <w:ind w:left="1118" w:right="912"/>
        <w:jc w:val="both"/>
      </w:pPr>
      <w:r>
        <w:t xml:space="preserve">    7</w:t>
      </w:r>
      <w:r>
        <w:rPr>
          <w:b/>
        </w:rPr>
        <w:t>.</w:t>
      </w:r>
      <w:r>
        <w:t>1</w:t>
      </w:r>
      <w:r>
        <w:rPr>
          <w:spacing w:val="-5"/>
        </w:rPr>
        <w:t xml:space="preserve"> 招标文件是供应商准备投标文件和参加投标的依据，同时也是评标的重要</w:t>
      </w:r>
      <w:r>
        <w:rPr>
          <w:spacing w:val="-11"/>
        </w:rPr>
        <w:t>依据，具有准法律文件性质。招标文件用以阐明招标项目所需的资质、技术、服务</w:t>
      </w:r>
      <w:r>
        <w:rPr>
          <w:spacing w:val="-9"/>
        </w:rPr>
        <w:t>及报价等要求、招标投标程序、有关规定和注意事项以及合同主要条款等。本招标</w:t>
      </w:r>
      <w:r>
        <w:t xml:space="preserve">文件包括以下内容： </w:t>
      </w:r>
    </w:p>
    <w:p>
      <w:pPr>
        <w:pStyle w:val="11"/>
        <w:spacing w:line="306" w:lineRule="exact"/>
        <w:ind w:left="1598"/>
      </w:pPr>
      <w:r>
        <w:t xml:space="preserve">（一）招标公告； </w:t>
      </w:r>
    </w:p>
    <w:p>
      <w:pPr>
        <w:pStyle w:val="11"/>
        <w:spacing w:before="158"/>
        <w:ind w:left="1598"/>
      </w:pPr>
      <w:r>
        <w:t xml:space="preserve">（二）供应商须知； </w:t>
      </w:r>
    </w:p>
    <w:p>
      <w:pPr>
        <w:pStyle w:val="11"/>
        <w:spacing w:before="160"/>
        <w:ind w:left="1598"/>
      </w:pPr>
      <w:r>
        <w:t xml:space="preserve">（三）用户需求书； </w:t>
      </w:r>
    </w:p>
    <w:p>
      <w:pPr>
        <w:pStyle w:val="11"/>
        <w:spacing w:before="158"/>
        <w:ind w:left="1598"/>
      </w:pPr>
      <w:r>
        <w:t>（四）合同主要条款（参考文本</w:t>
      </w:r>
      <w:r>
        <w:rPr>
          <w:spacing w:val="-120"/>
        </w:rPr>
        <w:t>）</w:t>
      </w:r>
      <w:r>
        <w:t xml:space="preserve">； </w:t>
      </w:r>
    </w:p>
    <w:p>
      <w:pPr>
        <w:pStyle w:val="11"/>
        <w:spacing w:before="161"/>
        <w:ind w:left="1598"/>
      </w:pPr>
      <w:r>
        <w:t xml:space="preserve">（五）评标办法； </w:t>
      </w:r>
    </w:p>
    <w:p>
      <w:pPr>
        <w:pStyle w:val="11"/>
        <w:spacing w:before="158"/>
        <w:ind w:left="1598"/>
      </w:pPr>
      <w:r>
        <w:t xml:space="preserve">（六）投标文件格式； </w:t>
      </w:r>
    </w:p>
    <w:p>
      <w:pPr>
        <w:pStyle w:val="28"/>
        <w:numPr>
          <w:ilvl w:val="1"/>
          <w:numId w:val="4"/>
        </w:numPr>
        <w:tabs>
          <w:tab w:val="left" w:pos="1962"/>
        </w:tabs>
        <w:spacing w:before="161" w:after="0" w:line="364" w:lineRule="auto"/>
        <w:ind w:left="1118" w:right="800" w:firstLine="479"/>
        <w:jc w:val="left"/>
        <w:rPr>
          <w:sz w:val="24"/>
        </w:rPr>
      </w:pPr>
      <w:r>
        <w:rPr>
          <w:spacing w:val="-1"/>
          <w:sz w:val="24"/>
        </w:rPr>
        <w:t xml:space="preserve">供应商被视为充分熟悉本招标项目所在地的与履行合同有关的各种情况， </w:t>
      </w:r>
      <w:r>
        <w:rPr>
          <w:spacing w:val="-10"/>
          <w:sz w:val="24"/>
        </w:rPr>
        <w:t xml:space="preserve">包括自然环境、气候条件、劳动力及公用设施等，本招标文件不再对上述情况进行描述。 </w:t>
      </w:r>
    </w:p>
    <w:p>
      <w:pPr>
        <w:pStyle w:val="28"/>
        <w:numPr>
          <w:ilvl w:val="1"/>
          <w:numId w:val="4"/>
        </w:numPr>
        <w:tabs>
          <w:tab w:val="left" w:pos="2018"/>
        </w:tabs>
        <w:spacing w:before="0" w:after="0" w:line="364" w:lineRule="auto"/>
        <w:ind w:left="1118" w:right="915" w:firstLine="479"/>
        <w:jc w:val="both"/>
        <w:rPr>
          <w:sz w:val="24"/>
        </w:rPr>
      </w:pPr>
      <w:r>
        <w:rPr>
          <w:spacing w:val="-3"/>
          <w:sz w:val="24"/>
        </w:rPr>
        <w:t>供应商应认真阅读和充分理解招标文件中所有的事项、格式条款和规范要</w:t>
      </w:r>
      <w:r>
        <w:rPr>
          <w:spacing w:val="-10"/>
          <w:sz w:val="24"/>
        </w:rPr>
        <w:t>求。供应商没有对招标文件全面做出实质性响应是供应商的风险。没有按照招标文</w:t>
      </w:r>
      <w:r>
        <w:rPr>
          <w:sz w:val="24"/>
        </w:rPr>
        <w:t xml:space="preserve">件要求作出实质性响应的投标文件将被拒绝。 </w:t>
      </w:r>
    </w:p>
    <w:p>
      <w:pPr>
        <w:pStyle w:val="10"/>
        <w:numPr>
          <w:ilvl w:val="0"/>
          <w:numId w:val="3"/>
        </w:numPr>
        <w:tabs>
          <w:tab w:val="left" w:pos="1482"/>
        </w:tabs>
        <w:spacing w:before="0" w:after="0" w:line="304" w:lineRule="exact"/>
        <w:ind w:left="1481" w:right="0" w:hanging="364"/>
        <w:jc w:val="left"/>
      </w:pPr>
      <w:r>
        <w:t>招标文件的澄清和修改</w:t>
      </w:r>
      <w:r>
        <w:rPr>
          <w:w w:val="99"/>
        </w:rPr>
        <w:t xml:space="preserve"> </w:t>
      </w:r>
    </w:p>
    <w:p>
      <w:pPr>
        <w:pStyle w:val="28"/>
        <w:numPr>
          <w:ilvl w:val="1"/>
          <w:numId w:val="3"/>
        </w:numPr>
        <w:tabs>
          <w:tab w:val="left" w:pos="2050"/>
        </w:tabs>
        <w:spacing w:before="160" w:after="0" w:line="364" w:lineRule="auto"/>
        <w:ind w:left="1118" w:right="914" w:firstLine="479"/>
        <w:jc w:val="left"/>
        <w:rPr>
          <w:sz w:val="24"/>
        </w:rPr>
      </w:pPr>
      <w:r>
        <w:rPr>
          <w:spacing w:val="-2"/>
          <w:sz w:val="24"/>
        </w:rPr>
        <w:t xml:space="preserve">供应商要求对招标文件进行澄清的，均应在投标截止日 </w:t>
      </w:r>
      <w:r>
        <w:rPr>
          <w:sz w:val="24"/>
        </w:rPr>
        <w:t>10</w:t>
      </w:r>
      <w:r>
        <w:rPr>
          <w:spacing w:val="-9"/>
          <w:sz w:val="24"/>
        </w:rPr>
        <w:t xml:space="preserve"> 日前按招标文</w:t>
      </w:r>
      <w:r>
        <w:rPr>
          <w:sz w:val="24"/>
        </w:rPr>
        <w:t xml:space="preserve">件中的联系方式，以书面形式通知采购代理机构。 </w:t>
      </w:r>
    </w:p>
    <w:p>
      <w:pPr>
        <w:pStyle w:val="28"/>
        <w:numPr>
          <w:ilvl w:val="1"/>
          <w:numId w:val="3"/>
        </w:numPr>
        <w:tabs>
          <w:tab w:val="left" w:pos="2018"/>
        </w:tabs>
        <w:spacing w:before="0" w:after="0" w:line="362" w:lineRule="auto"/>
        <w:ind w:left="1118" w:right="915" w:firstLine="479"/>
        <w:jc w:val="left"/>
        <w:rPr>
          <w:sz w:val="24"/>
        </w:rPr>
      </w:pPr>
      <w:r>
        <w:rPr>
          <w:spacing w:val="-4"/>
          <w:sz w:val="24"/>
        </w:rPr>
        <w:t>在投标截止时间前，招标采购单位无论出于何种原因，可以主动地或在解</w:t>
      </w:r>
      <w:r>
        <w:rPr>
          <w:sz w:val="24"/>
        </w:rPr>
        <w:t xml:space="preserve">答供应商提出的澄清问题时对招标文件进行修改澄清。 </w:t>
      </w:r>
    </w:p>
    <w:p>
      <w:pPr>
        <w:pStyle w:val="28"/>
        <w:numPr>
          <w:ilvl w:val="1"/>
          <w:numId w:val="3"/>
        </w:numPr>
        <w:tabs>
          <w:tab w:val="left" w:pos="1959"/>
        </w:tabs>
        <w:spacing w:before="4" w:after="0" w:line="362" w:lineRule="auto"/>
        <w:ind w:left="1118" w:right="914" w:firstLine="479"/>
        <w:jc w:val="left"/>
        <w:rPr>
          <w:sz w:val="24"/>
        </w:rPr>
      </w:pPr>
      <w:r>
        <w:rPr>
          <w:spacing w:val="-5"/>
          <w:sz w:val="24"/>
        </w:rPr>
        <w:t xml:space="preserve">招标采购单位对已发出的招标文件进行澄清或者修改，将在招标文件要求的提交投标文件截止时间 </w:t>
      </w:r>
      <w:r>
        <w:rPr>
          <w:sz w:val="24"/>
        </w:rPr>
        <w:t>15</w:t>
      </w:r>
      <w:r>
        <w:rPr>
          <w:spacing w:val="-17"/>
          <w:sz w:val="24"/>
        </w:rPr>
        <w:t xml:space="preserve"> 日前进行。招标人对投标截止时间 </w:t>
      </w:r>
      <w:r>
        <w:rPr>
          <w:sz w:val="24"/>
        </w:rPr>
        <w:t>10</w:t>
      </w:r>
      <w:r>
        <w:rPr>
          <w:spacing w:val="-10"/>
          <w:sz w:val="24"/>
        </w:rPr>
        <w:t xml:space="preserve"> 日前收到的任何</w:t>
      </w:r>
    </w:p>
    <w:p>
      <w:pPr>
        <w:spacing w:after="0" w:line="362" w:lineRule="auto"/>
        <w:jc w:val="left"/>
        <w:rPr>
          <w:sz w:val="24"/>
        </w:rPr>
        <w:sectPr>
          <w:pgSz w:w="11910" w:h="16840"/>
          <w:pgMar w:top="1380" w:right="640" w:bottom="1180" w:left="680" w:header="0" w:footer="913" w:gutter="0"/>
          <w:cols w:space="720" w:num="1"/>
        </w:sectPr>
      </w:pPr>
    </w:p>
    <w:p>
      <w:pPr>
        <w:pStyle w:val="11"/>
        <w:spacing w:before="41" w:line="364" w:lineRule="auto"/>
        <w:ind w:left="1118" w:right="915"/>
        <w:jc w:val="both"/>
      </w:pPr>
      <w:r>
        <w:rPr>
          <w:spacing w:val="-3"/>
        </w:rPr>
        <w:t>澄清要求将以书面形式</w:t>
      </w:r>
      <w:r>
        <w:t>（包括传真</w:t>
      </w:r>
      <w:r>
        <w:rPr>
          <w:spacing w:val="-22"/>
        </w:rPr>
        <w:t>）</w:t>
      </w:r>
      <w:r>
        <w:rPr>
          <w:spacing w:val="-8"/>
        </w:rPr>
        <w:t>予以答复，答复中包括所有问题，但不包括问</w:t>
      </w:r>
      <w:r>
        <w:rPr>
          <w:spacing w:val="-10"/>
        </w:rPr>
        <w:t>题的来源，同时将澄清或者修改的内容通知所有购买了招标文件的供应商，并在法</w:t>
      </w:r>
      <w:r>
        <w:rPr>
          <w:spacing w:val="-8"/>
        </w:rPr>
        <w:t>定媒体上发布更正公告。该澄清或者修改的内容为招标文件的组成部分，对供应商</w:t>
      </w:r>
      <w:r>
        <w:t xml:space="preserve">起同等约束作用。 </w:t>
      </w:r>
    </w:p>
    <w:p>
      <w:pPr>
        <w:pStyle w:val="28"/>
        <w:numPr>
          <w:ilvl w:val="1"/>
          <w:numId w:val="3"/>
        </w:numPr>
        <w:tabs>
          <w:tab w:val="left" w:pos="1959"/>
        </w:tabs>
        <w:spacing w:before="0" w:after="0" w:line="364" w:lineRule="auto"/>
        <w:ind w:left="1118" w:right="914" w:firstLine="479"/>
        <w:jc w:val="both"/>
        <w:rPr>
          <w:sz w:val="24"/>
        </w:rPr>
      </w:pPr>
      <w:r>
        <w:rPr>
          <w:spacing w:val="-11"/>
          <w:sz w:val="24"/>
        </w:rPr>
        <w:t>在投标截止时间前，为使供应商有足够的时间按招标文件的更正要求修正</w:t>
      </w:r>
      <w:r>
        <w:rPr>
          <w:spacing w:val="-10"/>
          <w:sz w:val="24"/>
        </w:rPr>
        <w:t>投标文件，招标采购单位可以视采购具体情况，延长投标截止时间和开标时间，并</w:t>
      </w:r>
      <w:r>
        <w:rPr>
          <w:spacing w:val="-4"/>
          <w:sz w:val="24"/>
        </w:rPr>
        <w:t xml:space="preserve">在招标文件要求提交投标文件的截止时间 </w:t>
      </w:r>
      <w:r>
        <w:rPr>
          <w:sz w:val="24"/>
        </w:rPr>
        <w:t>3</w:t>
      </w:r>
      <w:r>
        <w:rPr>
          <w:spacing w:val="-15"/>
          <w:sz w:val="24"/>
        </w:rPr>
        <w:t xml:space="preserve"> 日前，将变更时间以书面形式通知所有</w:t>
      </w:r>
      <w:r>
        <w:rPr>
          <w:sz w:val="24"/>
        </w:rPr>
        <w:t xml:space="preserve">购买了招标文件的供应商，同时在法定媒体上发布变更公告。 </w:t>
      </w:r>
    </w:p>
    <w:p>
      <w:pPr>
        <w:pStyle w:val="28"/>
        <w:numPr>
          <w:ilvl w:val="1"/>
          <w:numId w:val="3"/>
        </w:numPr>
        <w:tabs>
          <w:tab w:val="left" w:pos="2078"/>
        </w:tabs>
        <w:spacing w:before="0" w:after="0" w:line="364" w:lineRule="auto"/>
        <w:ind w:left="1118" w:right="918" w:firstLine="479"/>
        <w:jc w:val="both"/>
        <w:rPr>
          <w:sz w:val="24"/>
        </w:rPr>
      </w:pPr>
      <w:r>
        <w:rPr>
          <w:sz w:val="24"/>
        </w:rPr>
        <w:t>当招标文件与修改/</w:t>
      </w:r>
      <w:r>
        <w:rPr>
          <w:spacing w:val="-1"/>
          <w:sz w:val="24"/>
        </w:rPr>
        <w:t>补充公告的内容相互矛盾时，以采购代理机构最后发</w:t>
      </w:r>
      <w:r>
        <w:rPr>
          <w:sz w:val="24"/>
        </w:rPr>
        <w:t xml:space="preserve">出的修改/补充公告为准。 </w:t>
      </w:r>
    </w:p>
    <w:p>
      <w:pPr>
        <w:pStyle w:val="28"/>
        <w:numPr>
          <w:ilvl w:val="1"/>
          <w:numId w:val="3"/>
        </w:numPr>
        <w:tabs>
          <w:tab w:val="left" w:pos="2050"/>
        </w:tabs>
        <w:spacing w:before="0" w:after="0" w:line="364" w:lineRule="auto"/>
        <w:ind w:left="1118" w:right="914" w:firstLine="479"/>
        <w:jc w:val="both"/>
        <w:rPr>
          <w:sz w:val="24"/>
        </w:rPr>
      </w:pPr>
      <w:r>
        <w:rPr>
          <w:sz w:val="24"/>
        </w:rPr>
        <w:t>供应商收到修改/</w:t>
      </w:r>
      <w:r>
        <w:rPr>
          <w:spacing w:val="-4"/>
          <w:sz w:val="24"/>
        </w:rPr>
        <w:t xml:space="preserve">补充公告后，应在 </w:t>
      </w:r>
      <w:r>
        <w:rPr>
          <w:sz w:val="24"/>
        </w:rPr>
        <w:t>1</w:t>
      </w:r>
      <w:r>
        <w:rPr>
          <w:spacing w:val="-7"/>
          <w:sz w:val="24"/>
        </w:rPr>
        <w:t xml:space="preserve"> 个工作日内以书面形式回复采购代</w:t>
      </w:r>
      <w:r>
        <w:rPr>
          <w:sz w:val="24"/>
        </w:rPr>
        <w:t xml:space="preserve">理机构，逾期不回者，被视为已收到修改/补充公告。 </w:t>
      </w:r>
    </w:p>
    <w:p>
      <w:pPr>
        <w:pStyle w:val="28"/>
        <w:numPr>
          <w:ilvl w:val="1"/>
          <w:numId w:val="3"/>
        </w:numPr>
        <w:tabs>
          <w:tab w:val="left" w:pos="2018"/>
        </w:tabs>
        <w:spacing w:before="0" w:after="0" w:line="364" w:lineRule="auto"/>
        <w:ind w:left="1118" w:right="915" w:firstLine="479"/>
        <w:jc w:val="both"/>
        <w:rPr>
          <w:sz w:val="24"/>
        </w:rPr>
      </w:pPr>
      <w:r>
        <w:rPr>
          <w:spacing w:val="-3"/>
          <w:sz w:val="24"/>
        </w:rPr>
        <w:t>供应商对招标代理机构提供的招标文件所做出的推论、解释和结论，招标</w:t>
      </w:r>
      <w:r>
        <w:rPr>
          <w:spacing w:val="-11"/>
          <w:sz w:val="24"/>
        </w:rPr>
        <w:t>代理机构概不负责。供应商由于对招标文件的任何推论误解以及采购代理机构对有</w:t>
      </w:r>
      <w:r>
        <w:rPr>
          <w:sz w:val="24"/>
        </w:rPr>
        <w:t xml:space="preserve">关问题的口头解释所造成的后果，均由供应商自负。 </w:t>
      </w:r>
    </w:p>
    <w:p>
      <w:pPr>
        <w:pStyle w:val="10"/>
        <w:numPr>
          <w:ilvl w:val="0"/>
          <w:numId w:val="3"/>
        </w:numPr>
        <w:tabs>
          <w:tab w:val="left" w:pos="1482"/>
        </w:tabs>
        <w:spacing w:before="0" w:after="0" w:line="307" w:lineRule="exact"/>
        <w:ind w:left="1481" w:right="0" w:hanging="364"/>
        <w:jc w:val="left"/>
      </w:pPr>
      <w:r>
        <w:t>答疑会和现场考察</w:t>
      </w:r>
      <w:r>
        <w:rPr>
          <w:w w:val="99"/>
        </w:rPr>
        <w:t xml:space="preserve"> </w:t>
      </w:r>
    </w:p>
    <w:p>
      <w:pPr>
        <w:pStyle w:val="28"/>
        <w:numPr>
          <w:ilvl w:val="1"/>
          <w:numId w:val="3"/>
        </w:numPr>
        <w:tabs>
          <w:tab w:val="left" w:pos="1959"/>
        </w:tabs>
        <w:spacing w:before="155" w:after="0" w:line="364" w:lineRule="auto"/>
        <w:ind w:left="1118" w:right="798" w:firstLine="479"/>
        <w:jc w:val="left"/>
        <w:rPr>
          <w:sz w:val="24"/>
        </w:rPr>
      </w:pPr>
      <w:r>
        <w:rPr>
          <w:spacing w:val="-6"/>
          <w:sz w:val="24"/>
        </w:rPr>
        <w:t>根据采购项目和具体情况，招标采购单位认为有必要，可以组织召开标前答</w:t>
      </w:r>
      <w:r>
        <w:rPr>
          <w:spacing w:val="-7"/>
          <w:sz w:val="24"/>
        </w:rPr>
        <w:t xml:space="preserve">疑会或组织供应商对项目现场进行考察。答疑会或进行现场考察的时间、地点，招标采购单位将以书面形式通知所有购买了招标文件的供应商。 </w:t>
      </w:r>
    </w:p>
    <w:p>
      <w:pPr>
        <w:pStyle w:val="28"/>
        <w:numPr>
          <w:ilvl w:val="1"/>
          <w:numId w:val="3"/>
        </w:numPr>
        <w:tabs>
          <w:tab w:val="left" w:pos="1899"/>
        </w:tabs>
        <w:spacing w:before="0" w:after="0" w:line="305" w:lineRule="exact"/>
        <w:ind w:left="1899" w:right="0" w:hanging="361"/>
        <w:jc w:val="left"/>
        <w:rPr>
          <w:sz w:val="24"/>
        </w:rPr>
      </w:pPr>
      <w:r>
        <w:rPr>
          <w:sz w:val="24"/>
        </w:rPr>
        <w:t xml:space="preserve">供应商考察现场所发生的一切费用由供应商自己承担。 </w:t>
      </w:r>
    </w:p>
    <w:p>
      <w:pPr>
        <w:pStyle w:val="28"/>
        <w:numPr>
          <w:ilvl w:val="1"/>
          <w:numId w:val="3"/>
        </w:numPr>
        <w:tabs>
          <w:tab w:val="left" w:pos="1899"/>
        </w:tabs>
        <w:spacing w:before="160" w:after="0" w:line="240" w:lineRule="auto"/>
        <w:ind w:left="1899" w:right="0" w:hanging="361"/>
        <w:jc w:val="left"/>
        <w:rPr>
          <w:sz w:val="24"/>
        </w:rPr>
      </w:pPr>
      <w:r>
        <w:rPr>
          <w:sz w:val="24"/>
        </w:rPr>
        <w:t xml:space="preserve">本项目不组织答疑会和现场考察。 </w:t>
      </w:r>
    </w:p>
    <w:p>
      <w:pPr>
        <w:pStyle w:val="11"/>
        <w:spacing w:before="9"/>
        <w:rPr>
          <w:sz w:val="32"/>
        </w:rPr>
      </w:pPr>
    </w:p>
    <w:p>
      <w:pPr>
        <w:pStyle w:val="5"/>
        <w:ind w:left="1118"/>
        <w:outlineLvl w:val="1"/>
      </w:pPr>
      <w:bookmarkStart w:id="9" w:name="_Toc21406"/>
      <w:r>
        <w:t>三、投标文件</w:t>
      </w:r>
      <w:bookmarkEnd w:id="9"/>
    </w:p>
    <w:p>
      <w:pPr>
        <w:pStyle w:val="11"/>
        <w:spacing w:before="12"/>
        <w:rPr>
          <w:b/>
          <w:sz w:val="43"/>
        </w:rPr>
      </w:pPr>
    </w:p>
    <w:p>
      <w:pPr>
        <w:pStyle w:val="10"/>
        <w:numPr>
          <w:ilvl w:val="0"/>
          <w:numId w:val="3"/>
        </w:numPr>
        <w:tabs>
          <w:tab w:val="left" w:pos="1603"/>
        </w:tabs>
        <w:spacing w:before="0" w:after="0" w:line="240" w:lineRule="auto"/>
        <w:ind w:left="1602" w:right="0" w:hanging="485"/>
        <w:jc w:val="left"/>
      </w:pPr>
      <w:r>
        <w:t>投标文件的组成和格式</w:t>
      </w:r>
      <w:r>
        <w:rPr>
          <w:w w:val="99"/>
        </w:rPr>
        <w:t xml:space="preserve"> </w:t>
      </w:r>
    </w:p>
    <w:p>
      <w:pPr>
        <w:pStyle w:val="28"/>
        <w:numPr>
          <w:ilvl w:val="1"/>
          <w:numId w:val="3"/>
        </w:numPr>
        <w:tabs>
          <w:tab w:val="left" w:pos="2198"/>
        </w:tabs>
        <w:spacing w:before="159" w:after="0" w:line="364" w:lineRule="auto"/>
        <w:ind w:left="1118" w:right="915" w:firstLine="479"/>
        <w:jc w:val="both"/>
        <w:rPr>
          <w:sz w:val="24"/>
        </w:rPr>
      </w:pPr>
      <w:r>
        <w:rPr>
          <w:sz w:val="24"/>
        </w:rPr>
        <w:t>投标文件应按第六章“投标文件内容和格式”要求编制。除明确允许供</w:t>
      </w:r>
      <w:r>
        <w:rPr>
          <w:spacing w:val="-8"/>
          <w:sz w:val="24"/>
        </w:rPr>
        <w:t>应商可以自行编写的外，供应商不得以“投标文件格式”规定之外的方式填写相关</w:t>
      </w:r>
      <w:r>
        <w:rPr>
          <w:sz w:val="24"/>
        </w:rPr>
        <w:t xml:space="preserve">内容。 </w:t>
      </w:r>
    </w:p>
    <w:p>
      <w:pPr>
        <w:pStyle w:val="28"/>
        <w:numPr>
          <w:ilvl w:val="1"/>
          <w:numId w:val="3"/>
        </w:numPr>
        <w:tabs>
          <w:tab w:val="left" w:pos="2079"/>
        </w:tabs>
        <w:spacing w:before="0" w:after="0" w:line="307" w:lineRule="exact"/>
        <w:ind w:left="2079" w:right="0" w:hanging="481"/>
        <w:jc w:val="left"/>
        <w:rPr>
          <w:sz w:val="24"/>
        </w:rPr>
      </w:pPr>
      <w:r>
        <w:rPr>
          <w:sz w:val="24"/>
        </w:rPr>
        <w:t xml:space="preserve">对于没有格式要求的投标文件由供应商自行编写。 </w:t>
      </w:r>
    </w:p>
    <w:p>
      <w:pPr>
        <w:pStyle w:val="28"/>
        <w:numPr>
          <w:ilvl w:val="1"/>
          <w:numId w:val="3"/>
        </w:numPr>
        <w:tabs>
          <w:tab w:val="left" w:pos="2198"/>
        </w:tabs>
        <w:spacing w:before="158" w:after="0" w:line="240" w:lineRule="auto"/>
        <w:ind w:left="2198" w:right="0" w:hanging="600"/>
        <w:jc w:val="left"/>
        <w:rPr>
          <w:sz w:val="24"/>
        </w:rPr>
      </w:pPr>
      <w:r>
        <w:rPr>
          <w:sz w:val="24"/>
        </w:rPr>
        <w:t>若供应商未按招标文件的要求和规范编制、提交投标文件，将有可能导</w:t>
      </w:r>
    </w:p>
    <w:p>
      <w:pPr>
        <w:spacing w:after="0" w:line="240" w:lineRule="auto"/>
        <w:jc w:val="left"/>
        <w:rPr>
          <w:sz w:val="24"/>
        </w:rPr>
        <w:sectPr>
          <w:pgSz w:w="11910" w:h="16840"/>
          <w:pgMar w:top="1380" w:right="640" w:bottom="1180" w:left="680" w:header="0" w:footer="913" w:gutter="0"/>
          <w:cols w:space="720" w:num="1"/>
        </w:sectPr>
      </w:pPr>
    </w:p>
    <w:p>
      <w:pPr>
        <w:pStyle w:val="11"/>
        <w:spacing w:before="41"/>
        <w:ind w:left="1118"/>
      </w:pPr>
      <w:r>
        <w:t xml:space="preserve">致投标文件被拒绝接受，所造成的负面后果由供应商负责。 </w:t>
      </w:r>
    </w:p>
    <w:p>
      <w:pPr>
        <w:pStyle w:val="28"/>
        <w:numPr>
          <w:ilvl w:val="1"/>
          <w:numId w:val="3"/>
        </w:numPr>
        <w:tabs>
          <w:tab w:val="left" w:pos="2198"/>
        </w:tabs>
        <w:spacing w:before="161" w:after="0" w:line="362" w:lineRule="auto"/>
        <w:ind w:left="1118" w:right="922" w:firstLine="479"/>
        <w:jc w:val="left"/>
        <w:rPr>
          <w:sz w:val="24"/>
        </w:rPr>
      </w:pPr>
      <w:r>
        <w:rPr>
          <w:spacing w:val="-1"/>
          <w:sz w:val="24"/>
        </w:rPr>
        <w:t>若供应商未按招标文件的要求提供资料，或未对招标文件做出实质性响</w:t>
      </w:r>
      <w:r>
        <w:rPr>
          <w:sz w:val="24"/>
        </w:rPr>
        <w:t xml:space="preserve">应，将可能导致投标文件被视为无效。 </w:t>
      </w:r>
    </w:p>
    <w:p>
      <w:pPr>
        <w:pStyle w:val="10"/>
        <w:numPr>
          <w:ilvl w:val="0"/>
          <w:numId w:val="3"/>
        </w:numPr>
        <w:tabs>
          <w:tab w:val="left" w:pos="1603"/>
        </w:tabs>
        <w:spacing w:before="5" w:after="0" w:line="240" w:lineRule="auto"/>
        <w:ind w:left="1602" w:right="0" w:hanging="485"/>
        <w:jc w:val="left"/>
      </w:pPr>
      <w:r>
        <w:t>投标文件的语言</w:t>
      </w:r>
      <w:r>
        <w:rPr>
          <w:w w:val="99"/>
        </w:rPr>
        <w:t xml:space="preserve"> </w:t>
      </w:r>
    </w:p>
    <w:p>
      <w:pPr>
        <w:pStyle w:val="28"/>
        <w:numPr>
          <w:ilvl w:val="1"/>
          <w:numId w:val="3"/>
        </w:numPr>
        <w:tabs>
          <w:tab w:val="left" w:pos="2198"/>
        </w:tabs>
        <w:spacing w:before="158" w:after="0" w:line="364" w:lineRule="auto"/>
        <w:ind w:left="1118" w:right="922" w:firstLine="479"/>
        <w:jc w:val="left"/>
        <w:rPr>
          <w:sz w:val="24"/>
        </w:rPr>
      </w:pPr>
      <w:r>
        <w:rPr>
          <w:spacing w:val="-1"/>
          <w:sz w:val="24"/>
        </w:rPr>
        <w:t>供应商提交的投标文件以及供应商与招标采购单位就有关投标的所有来</w:t>
      </w:r>
      <w:r>
        <w:rPr>
          <w:sz w:val="24"/>
        </w:rPr>
        <w:t>往书面文件均须使用中文。</w:t>
      </w:r>
      <w:r>
        <w:rPr>
          <w:color w:val="FF0000"/>
          <w:sz w:val="24"/>
        </w:rPr>
        <w:t xml:space="preserve"> </w:t>
      </w:r>
    </w:p>
    <w:p>
      <w:pPr>
        <w:pStyle w:val="10"/>
        <w:numPr>
          <w:ilvl w:val="0"/>
          <w:numId w:val="3"/>
        </w:numPr>
        <w:tabs>
          <w:tab w:val="left" w:pos="1603"/>
        </w:tabs>
        <w:spacing w:before="0" w:after="0" w:line="306" w:lineRule="exact"/>
        <w:ind w:left="1602" w:right="0" w:hanging="485"/>
        <w:jc w:val="left"/>
      </w:pPr>
      <w:r>
        <w:t>计量单位</w:t>
      </w:r>
      <w:r>
        <w:rPr>
          <w:w w:val="99"/>
        </w:rPr>
        <w:t xml:space="preserve"> </w:t>
      </w:r>
    </w:p>
    <w:p>
      <w:pPr>
        <w:pStyle w:val="28"/>
        <w:numPr>
          <w:ilvl w:val="1"/>
          <w:numId w:val="3"/>
        </w:numPr>
        <w:tabs>
          <w:tab w:val="left" w:pos="2191"/>
        </w:tabs>
        <w:spacing w:before="161" w:after="0" w:line="362" w:lineRule="auto"/>
        <w:ind w:left="1118" w:right="919" w:firstLine="470"/>
        <w:jc w:val="left"/>
        <w:rPr>
          <w:sz w:val="24"/>
        </w:rPr>
      </w:pPr>
      <w:r>
        <w:rPr>
          <w:spacing w:val="-1"/>
          <w:sz w:val="24"/>
        </w:rPr>
        <w:t>除技术规格及要求中另有规定外，本采购项下的投标均采用国家法定的</w:t>
      </w:r>
      <w:r>
        <w:rPr>
          <w:sz w:val="24"/>
        </w:rPr>
        <w:t xml:space="preserve">计量单位。 </w:t>
      </w:r>
    </w:p>
    <w:p>
      <w:pPr>
        <w:pStyle w:val="28"/>
        <w:numPr>
          <w:ilvl w:val="1"/>
          <w:numId w:val="3"/>
        </w:numPr>
        <w:tabs>
          <w:tab w:val="left" w:pos="2129"/>
        </w:tabs>
        <w:spacing w:before="5" w:after="0" w:line="362" w:lineRule="auto"/>
        <w:ind w:left="1118" w:right="4015" w:firstLine="470"/>
        <w:jc w:val="left"/>
        <w:rPr>
          <w:b/>
          <w:sz w:val="24"/>
        </w:rPr>
      </w:pPr>
      <w:r>
        <w:rPr>
          <w:sz w:val="24"/>
        </w:rPr>
        <w:t>本招标文件所表述的时间均为北京时间。</w:t>
      </w:r>
      <w:r>
        <w:rPr>
          <w:b/>
          <w:sz w:val="24"/>
        </w:rPr>
        <w:t>13．投标报价及备选方案</w:t>
      </w:r>
      <w:r>
        <w:rPr>
          <w:b/>
          <w:w w:val="99"/>
          <w:sz w:val="24"/>
        </w:rPr>
        <w:t xml:space="preserve"> </w:t>
      </w:r>
    </w:p>
    <w:p>
      <w:pPr>
        <w:pStyle w:val="11"/>
        <w:spacing w:before="5" w:line="362" w:lineRule="auto"/>
        <w:ind w:left="1598" w:right="922" w:hanging="598"/>
      </w:pPr>
      <w:r>
        <w:t xml:space="preserve">     13.1 报价均须以人民币为计算单位。招标文件另有规定的，从其规定。</w:t>
      </w:r>
    </w:p>
    <w:p>
      <w:pPr>
        <w:pStyle w:val="11"/>
        <w:spacing w:before="5" w:line="362" w:lineRule="auto"/>
        <w:ind w:left="1586" w:leftChars="721" w:right="690" w:rightChars="0" w:firstLine="69" w:firstLineChars="29"/>
      </w:pPr>
      <w:r>
        <w:t>13.2 供应商应按开标一览表的要求报价，不能提供有选择的报价，且该报价</w:t>
      </w:r>
    </w:p>
    <w:p>
      <w:pPr>
        <w:pStyle w:val="11"/>
        <w:spacing w:before="5"/>
        <w:ind w:left="1118"/>
      </w:pPr>
      <w:r>
        <w:t xml:space="preserve">在所有的投标文件中必须是统一的报价。 </w:t>
      </w:r>
    </w:p>
    <w:p>
      <w:pPr>
        <w:pStyle w:val="28"/>
        <w:numPr>
          <w:ilvl w:val="1"/>
          <w:numId w:val="5"/>
        </w:numPr>
        <w:tabs>
          <w:tab w:val="left" w:pos="2198"/>
        </w:tabs>
        <w:spacing w:before="158" w:after="0" w:line="364" w:lineRule="auto"/>
        <w:ind w:left="1118" w:right="915" w:firstLine="479"/>
        <w:jc w:val="both"/>
        <w:rPr>
          <w:sz w:val="24"/>
        </w:rPr>
      </w:pPr>
      <w:r>
        <w:rPr>
          <w:sz w:val="24"/>
        </w:rPr>
        <w:t>本次采购采用总承包方式，因此供应商的报价应包括全部货物、服务的</w:t>
      </w:r>
      <w:r>
        <w:rPr>
          <w:spacing w:val="-7"/>
          <w:sz w:val="24"/>
        </w:rPr>
        <w:t>价格及相关税费、运输到指定地点的装运费用、安装调试、培训、售后服务等其他</w:t>
      </w:r>
      <w:r>
        <w:rPr>
          <w:sz w:val="24"/>
        </w:rPr>
        <w:t xml:space="preserve">有关的所有费用。 </w:t>
      </w:r>
    </w:p>
    <w:p>
      <w:pPr>
        <w:pStyle w:val="28"/>
        <w:numPr>
          <w:ilvl w:val="0"/>
          <w:numId w:val="0"/>
        </w:numPr>
        <w:tabs>
          <w:tab w:val="left" w:pos="2079"/>
        </w:tabs>
        <w:spacing w:before="0" w:after="0" w:line="307" w:lineRule="exact"/>
        <w:ind w:left="51" w:leftChars="0" w:right="0" w:rightChars="0" w:firstLine="1440" w:firstLineChars="600"/>
        <w:jc w:val="left"/>
        <w:rPr>
          <w:sz w:val="24"/>
        </w:rPr>
      </w:pPr>
      <w:r>
        <w:rPr>
          <w:rFonts w:hint="eastAsia"/>
          <w:sz w:val="24"/>
          <w:lang w:val="en-US" w:eastAsia="zh-CN"/>
        </w:rPr>
        <w:t>13.4</w:t>
      </w:r>
      <w:r>
        <w:rPr>
          <w:sz w:val="24"/>
        </w:rPr>
        <w:t xml:space="preserve">开标时开标一览表须再单独用密封一份，否则将拒收响应文件。 </w:t>
      </w:r>
    </w:p>
    <w:p>
      <w:pPr>
        <w:pStyle w:val="28"/>
        <w:numPr>
          <w:ilvl w:val="0"/>
          <w:numId w:val="0"/>
        </w:numPr>
        <w:tabs>
          <w:tab w:val="left" w:pos="2079"/>
        </w:tabs>
        <w:spacing w:before="161" w:after="0" w:line="240" w:lineRule="auto"/>
        <w:ind w:left="51" w:leftChars="0" w:right="0" w:rightChars="0" w:firstLine="1440" w:firstLineChars="600"/>
        <w:jc w:val="left"/>
        <w:rPr>
          <w:sz w:val="24"/>
        </w:rPr>
      </w:pPr>
      <w:r>
        <w:rPr>
          <w:rFonts w:hint="eastAsia"/>
          <w:sz w:val="24"/>
          <w:lang w:val="en-US" w:eastAsia="zh-CN"/>
        </w:rPr>
        <w:t>13.5</w:t>
      </w:r>
      <w:r>
        <w:rPr>
          <w:sz w:val="24"/>
        </w:rPr>
        <w:t xml:space="preserve">本项目只允许供应商有一个投标方案，否则，其投标文件无效。 </w:t>
      </w:r>
    </w:p>
    <w:p>
      <w:pPr>
        <w:pStyle w:val="10"/>
        <w:numPr>
          <w:ilvl w:val="0"/>
          <w:numId w:val="6"/>
        </w:numPr>
        <w:tabs>
          <w:tab w:val="left" w:pos="1603"/>
        </w:tabs>
        <w:spacing w:before="158" w:after="0" w:line="240" w:lineRule="auto"/>
        <w:ind w:left="1602" w:right="0" w:hanging="485"/>
        <w:jc w:val="left"/>
      </w:pPr>
      <w:r>
        <w:t>知识产权</w:t>
      </w:r>
      <w:r>
        <w:rPr>
          <w:w w:val="99"/>
        </w:rPr>
        <w:t xml:space="preserve"> </w:t>
      </w:r>
    </w:p>
    <w:p>
      <w:pPr>
        <w:pStyle w:val="11"/>
        <w:spacing w:before="160" w:line="364" w:lineRule="auto"/>
        <w:ind w:left="1118" w:right="915"/>
        <w:jc w:val="both"/>
      </w:pPr>
      <w:r>
        <w:t xml:space="preserve">    14.1 供应商应保证在本项目使用的任何产品和服务（包括部分使用）时，不</w:t>
      </w:r>
      <w:r>
        <w:rPr>
          <w:spacing w:val="-7"/>
        </w:rPr>
        <w:t>会产生因第三方提出侵犯其专利权、商标权或其它知识产权而引起的法律和经济纠</w:t>
      </w:r>
      <w:r>
        <w:rPr>
          <w:spacing w:val="-11"/>
        </w:rPr>
        <w:t>纷，如因专利权、商标权或其它知识产权而引起法律和经济纠纷，由供应商承担所</w:t>
      </w:r>
      <w:r>
        <w:t xml:space="preserve">有相关责任。 </w:t>
      </w:r>
    </w:p>
    <w:p>
      <w:pPr>
        <w:pStyle w:val="11"/>
        <w:spacing w:line="305" w:lineRule="exact"/>
        <w:ind w:left="1118"/>
      </w:pPr>
      <w:r>
        <w:t xml:space="preserve">    14.2 采购人享有本项目实施过程中产生的知识成果及知识产权。 </w:t>
      </w:r>
    </w:p>
    <w:p>
      <w:pPr>
        <w:pStyle w:val="28"/>
        <w:numPr>
          <w:ilvl w:val="0"/>
          <w:numId w:val="0"/>
        </w:numPr>
        <w:tabs>
          <w:tab w:val="left" w:pos="2079"/>
        </w:tabs>
        <w:spacing w:before="159" w:after="0" w:line="364" w:lineRule="auto"/>
        <w:ind w:left="1597" w:leftChars="0" w:right="795" w:rightChars="0"/>
        <w:jc w:val="left"/>
        <w:rPr>
          <w:sz w:val="24"/>
        </w:rPr>
      </w:pPr>
      <w:r>
        <w:rPr>
          <w:rFonts w:hint="eastAsia"/>
          <w:spacing w:val="-6"/>
          <w:sz w:val="24"/>
          <w:lang w:val="en-US" w:eastAsia="zh-CN"/>
        </w:rPr>
        <w:t xml:space="preserve">14.3 </w:t>
      </w:r>
      <w:r>
        <w:rPr>
          <w:spacing w:val="-6"/>
          <w:sz w:val="24"/>
        </w:rPr>
        <w:t xml:space="preserve">供应商如欲在项目实施过程中采用自有知识成果，需在投标文件中声明， 并提供相关知识产权证明文件。使用该知识成果后，供应商需提供开发接口和开发手册等技术文档，并承诺提供无限期技术支持，采购人享有永久使用权。 </w:t>
      </w:r>
    </w:p>
    <w:p>
      <w:pPr>
        <w:pStyle w:val="28"/>
        <w:numPr>
          <w:ilvl w:val="0"/>
          <w:numId w:val="0"/>
        </w:numPr>
        <w:tabs>
          <w:tab w:val="left" w:pos="2060"/>
        </w:tabs>
        <w:spacing w:before="0" w:after="0" w:line="362" w:lineRule="auto"/>
        <w:ind w:left="1578" w:leftChars="0" w:right="917" w:rightChars="0"/>
        <w:jc w:val="left"/>
        <w:rPr>
          <w:sz w:val="24"/>
        </w:rPr>
      </w:pPr>
      <w:r>
        <w:rPr>
          <w:rFonts w:hint="eastAsia"/>
          <w:spacing w:val="-1"/>
          <w:sz w:val="24"/>
          <w:lang w:val="en-US" w:eastAsia="zh-CN"/>
        </w:rPr>
        <w:t xml:space="preserve">14.4 </w:t>
      </w:r>
      <w:r>
        <w:rPr>
          <w:spacing w:val="-1"/>
          <w:sz w:val="24"/>
        </w:rPr>
        <w:t>如采用供应商所不拥有的知识产权，则在投标报价中必须包括合法获取</w:t>
      </w:r>
      <w:r>
        <w:rPr>
          <w:sz w:val="24"/>
        </w:rPr>
        <w:t xml:space="preserve">该知识产权的相关费用。  </w:t>
      </w:r>
    </w:p>
    <w:p>
      <w:pPr>
        <w:spacing w:after="0" w:line="362" w:lineRule="auto"/>
        <w:jc w:val="left"/>
        <w:rPr>
          <w:sz w:val="24"/>
        </w:rPr>
        <w:sectPr>
          <w:pgSz w:w="11910" w:h="16840"/>
          <w:pgMar w:top="1380" w:right="640" w:bottom="1180" w:left="680" w:header="0" w:footer="913" w:gutter="0"/>
          <w:cols w:space="720" w:num="1"/>
        </w:sectPr>
      </w:pPr>
    </w:p>
    <w:p>
      <w:pPr>
        <w:pStyle w:val="10"/>
        <w:numPr>
          <w:ilvl w:val="0"/>
          <w:numId w:val="6"/>
        </w:numPr>
        <w:tabs>
          <w:tab w:val="left" w:pos="1603"/>
        </w:tabs>
        <w:spacing w:before="41" w:after="0" w:line="240" w:lineRule="auto"/>
        <w:ind w:left="1602" w:right="0" w:hanging="485"/>
        <w:jc w:val="left"/>
      </w:pPr>
      <w:r>
        <w:t>投标保证金</w:t>
      </w:r>
      <w:r>
        <w:rPr>
          <w:w w:val="99"/>
        </w:rPr>
        <w:t xml:space="preserve"> </w:t>
      </w:r>
    </w:p>
    <w:p>
      <w:pPr>
        <w:pStyle w:val="28"/>
        <w:numPr>
          <w:ilvl w:val="1"/>
          <w:numId w:val="6"/>
        </w:numPr>
        <w:tabs>
          <w:tab w:val="left" w:pos="2070"/>
        </w:tabs>
        <w:spacing w:before="161" w:after="0" w:line="362" w:lineRule="auto"/>
        <w:ind w:left="1118" w:right="915" w:firstLine="470"/>
        <w:jc w:val="left"/>
        <w:rPr>
          <w:sz w:val="24"/>
        </w:rPr>
      </w:pPr>
      <w:r>
        <w:rPr>
          <w:spacing w:val="-1"/>
          <w:sz w:val="24"/>
        </w:rPr>
        <w:t>投标保证金是参加本项目投标的必要条件。供应商投标时，必须以人民</w:t>
      </w:r>
      <w:r>
        <w:rPr>
          <w:sz w:val="24"/>
        </w:rPr>
        <w:t xml:space="preserve">币提交招标文件规定数额的投标保证金，并作为其投标的一部分。 </w:t>
      </w:r>
    </w:p>
    <w:p>
      <w:pPr>
        <w:pStyle w:val="11"/>
        <w:spacing w:before="5" w:line="362" w:lineRule="auto"/>
        <w:ind w:left="1118" w:right="838" w:firstLine="470"/>
      </w:pPr>
      <w:r>
        <w:t xml:space="preserve">投标保证金的形式：详见前附表。用途备注：项目编号或项目名称（名称过长可简写） </w:t>
      </w:r>
    </w:p>
    <w:p>
      <w:pPr>
        <w:pStyle w:val="28"/>
        <w:numPr>
          <w:ilvl w:val="1"/>
          <w:numId w:val="6"/>
        </w:numPr>
        <w:tabs>
          <w:tab w:val="left" w:pos="2191"/>
        </w:tabs>
        <w:spacing w:before="5" w:after="0" w:line="364" w:lineRule="auto"/>
        <w:ind w:left="1118" w:right="917" w:firstLine="470"/>
        <w:jc w:val="both"/>
        <w:rPr>
          <w:sz w:val="24"/>
        </w:rPr>
      </w:pPr>
      <w:r>
        <w:rPr>
          <w:spacing w:val="-1"/>
          <w:sz w:val="24"/>
        </w:rPr>
        <w:t>供应商按要求在投标截止时间前缴纳投标保证金。在开标时，对于未按</w:t>
      </w:r>
      <w:r>
        <w:rPr>
          <w:spacing w:val="-7"/>
          <w:sz w:val="24"/>
        </w:rPr>
        <w:t>要求缴纳投标保证金的投标，谈判委员会将视其为非响应性投标而予以拒绝，不得</w:t>
      </w:r>
      <w:r>
        <w:rPr>
          <w:sz w:val="24"/>
        </w:rPr>
        <w:t xml:space="preserve">参与投标。 </w:t>
      </w:r>
    </w:p>
    <w:p>
      <w:pPr>
        <w:pStyle w:val="28"/>
        <w:numPr>
          <w:ilvl w:val="1"/>
          <w:numId w:val="6"/>
        </w:numPr>
        <w:tabs>
          <w:tab w:val="left" w:pos="2129"/>
        </w:tabs>
        <w:spacing w:before="0" w:after="0" w:line="305" w:lineRule="exact"/>
        <w:ind w:left="2128" w:right="0" w:hanging="541"/>
        <w:jc w:val="both"/>
        <w:rPr>
          <w:sz w:val="24"/>
        </w:rPr>
      </w:pPr>
      <w:r>
        <w:rPr>
          <w:sz w:val="24"/>
        </w:rPr>
        <w:t xml:space="preserve">若供应商不按规定提交投标保证金，其投标文件将被拒绝接受。 </w:t>
      </w:r>
    </w:p>
    <w:p>
      <w:pPr>
        <w:pStyle w:val="28"/>
        <w:numPr>
          <w:ilvl w:val="1"/>
          <w:numId w:val="6"/>
        </w:numPr>
        <w:tabs>
          <w:tab w:val="left" w:pos="2129"/>
        </w:tabs>
        <w:spacing w:before="161" w:after="0" w:line="240" w:lineRule="auto"/>
        <w:ind w:left="2128" w:right="0" w:hanging="541"/>
        <w:jc w:val="both"/>
        <w:rPr>
          <w:sz w:val="24"/>
        </w:rPr>
      </w:pPr>
      <w:r>
        <w:rPr>
          <w:sz w:val="24"/>
        </w:rPr>
        <w:t xml:space="preserve">供应商所交纳的投标保证金不计利息。 </w:t>
      </w:r>
    </w:p>
    <w:p>
      <w:pPr>
        <w:pStyle w:val="28"/>
        <w:numPr>
          <w:ilvl w:val="1"/>
          <w:numId w:val="6"/>
        </w:numPr>
        <w:tabs>
          <w:tab w:val="left" w:pos="2129"/>
        </w:tabs>
        <w:spacing w:before="158" w:after="0" w:line="240" w:lineRule="auto"/>
        <w:ind w:left="2128" w:right="0" w:hanging="541"/>
        <w:jc w:val="both"/>
        <w:rPr>
          <w:sz w:val="24"/>
        </w:rPr>
      </w:pPr>
      <w:r>
        <w:rPr>
          <w:sz w:val="24"/>
        </w:rPr>
        <w:t xml:space="preserve">保证金的退还： </w:t>
      </w:r>
    </w:p>
    <w:p>
      <w:pPr>
        <w:pStyle w:val="28"/>
        <w:numPr>
          <w:ilvl w:val="2"/>
          <w:numId w:val="6"/>
        </w:numPr>
        <w:tabs>
          <w:tab w:val="left" w:pos="2650"/>
        </w:tabs>
        <w:spacing w:before="161" w:after="0" w:line="364" w:lineRule="auto"/>
        <w:ind w:left="1118" w:right="914" w:firstLine="719"/>
        <w:jc w:val="both"/>
        <w:rPr>
          <w:sz w:val="24"/>
        </w:rPr>
      </w:pPr>
      <w:r>
        <w:rPr>
          <w:spacing w:val="-2"/>
          <w:sz w:val="24"/>
        </w:rPr>
        <w:t xml:space="preserve">未中标人的投标保证金，将在中标通知书发出后 </w:t>
      </w:r>
      <w:r>
        <w:rPr>
          <w:sz w:val="24"/>
        </w:rPr>
        <w:t>5</w:t>
      </w:r>
      <w:r>
        <w:rPr>
          <w:spacing w:val="-8"/>
          <w:sz w:val="24"/>
        </w:rPr>
        <w:t xml:space="preserve"> 个工作日内全额</w:t>
      </w:r>
      <w:r>
        <w:rPr>
          <w:spacing w:val="-13"/>
          <w:sz w:val="24"/>
        </w:rPr>
        <w:t xml:space="preserve">退还；中标人的投标保证金在中标人与招标人签订采购合同后 </w:t>
      </w:r>
      <w:r>
        <w:rPr>
          <w:sz w:val="24"/>
        </w:rPr>
        <w:t>5</w:t>
      </w:r>
      <w:r>
        <w:rPr>
          <w:spacing w:val="-9"/>
          <w:sz w:val="24"/>
        </w:rPr>
        <w:t xml:space="preserve"> 个工作日内无息退</w:t>
      </w:r>
      <w:r>
        <w:rPr>
          <w:sz w:val="24"/>
        </w:rPr>
        <w:t xml:space="preserve">还。 </w:t>
      </w:r>
    </w:p>
    <w:p>
      <w:pPr>
        <w:pStyle w:val="28"/>
        <w:numPr>
          <w:ilvl w:val="2"/>
          <w:numId w:val="6"/>
        </w:numPr>
        <w:tabs>
          <w:tab w:val="left" w:pos="2678"/>
        </w:tabs>
        <w:spacing w:before="0" w:after="0" w:line="364" w:lineRule="auto"/>
        <w:ind w:left="1118" w:right="915" w:firstLine="719"/>
        <w:jc w:val="both"/>
        <w:rPr>
          <w:sz w:val="24"/>
        </w:rPr>
      </w:pPr>
      <w:r>
        <w:rPr>
          <w:sz w:val="24"/>
        </w:rPr>
        <w:t>如投标保证金为采购代理机构收取，则中标公示期满后，供应商应</w:t>
      </w:r>
      <w:r>
        <w:rPr>
          <w:spacing w:val="-2"/>
          <w:sz w:val="24"/>
        </w:rPr>
        <w:t>提交投标保证金退还申请函</w:t>
      </w:r>
      <w:r>
        <w:rPr>
          <w:sz w:val="24"/>
        </w:rPr>
        <w:t>（</w:t>
      </w:r>
      <w:r>
        <w:rPr>
          <w:spacing w:val="-7"/>
          <w:sz w:val="24"/>
        </w:rPr>
        <w:t>必须注明项目名称、开标时间，中标与否、金额以及</w:t>
      </w:r>
      <w:r>
        <w:rPr>
          <w:sz w:val="24"/>
        </w:rPr>
        <w:t>退还的银行账户</w:t>
      </w:r>
      <w:r>
        <w:rPr>
          <w:spacing w:val="-120"/>
          <w:sz w:val="24"/>
        </w:rPr>
        <w:t>）</w:t>
      </w:r>
      <w:r>
        <w:rPr>
          <w:sz w:val="24"/>
        </w:rPr>
        <w:t xml:space="preserve">，以便办理保证金退还手续； </w:t>
      </w:r>
    </w:p>
    <w:p>
      <w:pPr>
        <w:pStyle w:val="28"/>
        <w:numPr>
          <w:ilvl w:val="1"/>
          <w:numId w:val="6"/>
        </w:numPr>
        <w:tabs>
          <w:tab w:val="left" w:pos="2198"/>
        </w:tabs>
        <w:spacing w:before="0" w:after="0" w:line="364" w:lineRule="auto"/>
        <w:ind w:left="1118" w:right="919" w:firstLine="479"/>
        <w:jc w:val="left"/>
        <w:rPr>
          <w:sz w:val="24"/>
        </w:rPr>
      </w:pPr>
      <w:r>
        <w:rPr>
          <w:spacing w:val="-1"/>
          <w:sz w:val="24"/>
        </w:rPr>
        <w:t>发生下列情形之一的，采购代理机构将不予退还供应商交纳的投标保证</w:t>
      </w:r>
      <w:r>
        <w:rPr>
          <w:sz w:val="24"/>
        </w:rPr>
        <w:t xml:space="preserve">金： </w:t>
      </w:r>
    </w:p>
    <w:p>
      <w:pPr>
        <w:pStyle w:val="28"/>
        <w:numPr>
          <w:ilvl w:val="0"/>
          <w:numId w:val="7"/>
        </w:numPr>
        <w:tabs>
          <w:tab w:val="left" w:pos="2190"/>
        </w:tabs>
        <w:spacing w:before="0" w:after="0" w:line="306" w:lineRule="exact"/>
        <w:ind w:left="2189" w:right="0" w:hanging="602"/>
        <w:jc w:val="left"/>
        <w:rPr>
          <w:sz w:val="24"/>
        </w:rPr>
      </w:pPr>
      <w:r>
        <w:rPr>
          <w:sz w:val="24"/>
        </w:rPr>
        <w:t xml:space="preserve">在招标文件规定的投标有效期内撤回投标； </w:t>
      </w:r>
    </w:p>
    <w:p>
      <w:pPr>
        <w:pStyle w:val="28"/>
        <w:numPr>
          <w:ilvl w:val="0"/>
          <w:numId w:val="7"/>
        </w:numPr>
        <w:tabs>
          <w:tab w:val="left" w:pos="2190"/>
        </w:tabs>
        <w:spacing w:before="157" w:after="0" w:line="240" w:lineRule="auto"/>
        <w:ind w:left="2189" w:right="0" w:hanging="602"/>
        <w:jc w:val="left"/>
        <w:rPr>
          <w:sz w:val="24"/>
        </w:rPr>
      </w:pPr>
      <w:r>
        <w:rPr>
          <w:sz w:val="24"/>
        </w:rPr>
        <w:t xml:space="preserve">由于中标人的原因未能按照招标文件的规定与招标人签订合同； </w:t>
      </w:r>
    </w:p>
    <w:p>
      <w:pPr>
        <w:pStyle w:val="28"/>
        <w:numPr>
          <w:ilvl w:val="0"/>
          <w:numId w:val="7"/>
        </w:numPr>
        <w:tabs>
          <w:tab w:val="left" w:pos="2190"/>
        </w:tabs>
        <w:spacing w:before="158" w:after="0" w:line="240" w:lineRule="auto"/>
        <w:ind w:left="2189" w:right="0" w:hanging="602"/>
        <w:jc w:val="left"/>
        <w:rPr>
          <w:sz w:val="24"/>
        </w:rPr>
      </w:pPr>
      <w:r>
        <w:rPr>
          <w:sz w:val="24"/>
        </w:rPr>
        <w:t xml:space="preserve">供应商提供虚假材料谋取中标、成交的； </w:t>
      </w:r>
    </w:p>
    <w:p>
      <w:pPr>
        <w:pStyle w:val="28"/>
        <w:numPr>
          <w:ilvl w:val="0"/>
          <w:numId w:val="7"/>
        </w:numPr>
        <w:tabs>
          <w:tab w:val="left" w:pos="2199"/>
        </w:tabs>
        <w:spacing w:before="161" w:after="0" w:line="240" w:lineRule="auto"/>
        <w:ind w:left="2199" w:right="0" w:hanging="601"/>
        <w:jc w:val="left"/>
        <w:rPr>
          <w:sz w:val="24"/>
        </w:rPr>
      </w:pPr>
      <w:r>
        <w:rPr>
          <w:sz w:val="24"/>
        </w:rPr>
        <w:t xml:space="preserve">与采购人、其它供应商或者采购代理机构恶意串通的； </w:t>
      </w:r>
    </w:p>
    <w:p>
      <w:pPr>
        <w:pStyle w:val="28"/>
        <w:numPr>
          <w:ilvl w:val="0"/>
          <w:numId w:val="7"/>
        </w:numPr>
        <w:tabs>
          <w:tab w:val="left" w:pos="2201"/>
        </w:tabs>
        <w:spacing w:before="158" w:after="0" w:line="364" w:lineRule="auto"/>
        <w:ind w:left="1118" w:right="920" w:firstLine="479"/>
        <w:jc w:val="left"/>
        <w:rPr>
          <w:sz w:val="24"/>
        </w:rPr>
      </w:pPr>
      <w:r>
        <w:rPr>
          <w:spacing w:val="-1"/>
          <w:sz w:val="24"/>
        </w:rPr>
        <w:t>向采购人、采购代理机构、评标委员会成员行贿或者提供其他不正当利</w:t>
      </w:r>
      <w:r>
        <w:rPr>
          <w:sz w:val="24"/>
        </w:rPr>
        <w:t xml:space="preserve">益的； </w:t>
      </w:r>
    </w:p>
    <w:p>
      <w:pPr>
        <w:pStyle w:val="28"/>
        <w:numPr>
          <w:ilvl w:val="1"/>
          <w:numId w:val="6"/>
        </w:numPr>
        <w:tabs>
          <w:tab w:val="left" w:pos="2138"/>
        </w:tabs>
        <w:spacing w:before="0" w:after="0" w:line="307" w:lineRule="exact"/>
        <w:ind w:left="2138" w:right="0" w:hanging="540"/>
        <w:jc w:val="left"/>
        <w:rPr>
          <w:sz w:val="24"/>
        </w:rPr>
      </w:pPr>
      <w:r>
        <w:rPr>
          <w:sz w:val="24"/>
        </w:rPr>
        <w:t xml:space="preserve">有下列情形之一的，视为供应商串通投标，其投标无效： </w:t>
      </w:r>
    </w:p>
    <w:p>
      <w:pPr>
        <w:pStyle w:val="28"/>
        <w:numPr>
          <w:ilvl w:val="0"/>
          <w:numId w:val="8"/>
        </w:numPr>
        <w:tabs>
          <w:tab w:val="left" w:pos="2199"/>
        </w:tabs>
        <w:spacing w:before="160" w:after="0" w:line="240" w:lineRule="auto"/>
        <w:ind w:left="2199" w:right="0" w:hanging="601"/>
        <w:jc w:val="left"/>
        <w:rPr>
          <w:sz w:val="24"/>
        </w:rPr>
      </w:pPr>
      <w:r>
        <w:rPr>
          <w:sz w:val="24"/>
        </w:rPr>
        <w:t xml:space="preserve">不同供应商的投标文件由同一单位或者个人编制； </w:t>
      </w:r>
    </w:p>
    <w:p>
      <w:pPr>
        <w:pStyle w:val="28"/>
        <w:numPr>
          <w:ilvl w:val="0"/>
          <w:numId w:val="8"/>
        </w:numPr>
        <w:tabs>
          <w:tab w:val="left" w:pos="2199"/>
        </w:tabs>
        <w:spacing w:before="158" w:after="0" w:line="240" w:lineRule="auto"/>
        <w:ind w:left="2199" w:right="0" w:hanging="601"/>
        <w:jc w:val="left"/>
        <w:rPr>
          <w:sz w:val="24"/>
        </w:rPr>
      </w:pPr>
      <w:r>
        <w:rPr>
          <w:sz w:val="24"/>
        </w:rPr>
        <w:t xml:space="preserve">不同供应商委托同一单位或者个人办理投标事宜； </w:t>
      </w:r>
    </w:p>
    <w:p>
      <w:pPr>
        <w:pStyle w:val="28"/>
        <w:numPr>
          <w:ilvl w:val="0"/>
          <w:numId w:val="8"/>
        </w:numPr>
        <w:tabs>
          <w:tab w:val="left" w:pos="2199"/>
        </w:tabs>
        <w:spacing w:before="161" w:after="0" w:line="240" w:lineRule="auto"/>
        <w:ind w:left="2199" w:right="0" w:hanging="601"/>
        <w:jc w:val="left"/>
        <w:rPr>
          <w:sz w:val="24"/>
        </w:rPr>
      </w:pPr>
      <w:r>
        <w:rPr>
          <w:sz w:val="24"/>
        </w:rPr>
        <w:t xml:space="preserve">不同供应商的投标文件载明的项目管理成员或者联系人员为同一人； </w:t>
      </w:r>
    </w:p>
    <w:p>
      <w:pPr>
        <w:pStyle w:val="28"/>
        <w:numPr>
          <w:ilvl w:val="0"/>
          <w:numId w:val="8"/>
        </w:numPr>
        <w:tabs>
          <w:tab w:val="left" w:pos="2199"/>
        </w:tabs>
        <w:spacing w:before="158" w:after="0" w:line="240" w:lineRule="auto"/>
        <w:ind w:left="2199" w:right="0" w:hanging="601"/>
        <w:jc w:val="left"/>
        <w:rPr>
          <w:sz w:val="24"/>
        </w:rPr>
      </w:pPr>
      <w:r>
        <w:rPr>
          <w:sz w:val="24"/>
        </w:rPr>
        <w:t xml:space="preserve">不同供应商的投标文件异常一致或者投标报价呈规律性差异； </w:t>
      </w:r>
    </w:p>
    <w:p>
      <w:pPr>
        <w:spacing w:after="0" w:line="240" w:lineRule="auto"/>
        <w:jc w:val="left"/>
        <w:rPr>
          <w:sz w:val="24"/>
        </w:rPr>
        <w:sectPr>
          <w:pgSz w:w="11910" w:h="16840"/>
          <w:pgMar w:top="1380" w:right="640" w:bottom="1180" w:left="680" w:header="0" w:footer="913" w:gutter="0"/>
          <w:cols w:space="720" w:num="1"/>
        </w:sectPr>
      </w:pPr>
    </w:p>
    <w:p>
      <w:pPr>
        <w:pStyle w:val="28"/>
        <w:numPr>
          <w:ilvl w:val="0"/>
          <w:numId w:val="8"/>
        </w:numPr>
        <w:tabs>
          <w:tab w:val="left" w:pos="2199"/>
        </w:tabs>
        <w:spacing w:before="41" w:after="0" w:line="240" w:lineRule="auto"/>
        <w:ind w:left="2199" w:right="0" w:hanging="601"/>
        <w:jc w:val="left"/>
        <w:rPr>
          <w:sz w:val="24"/>
        </w:rPr>
      </w:pPr>
      <w:r>
        <w:rPr>
          <w:sz w:val="24"/>
        </w:rPr>
        <w:t xml:space="preserve">不同供应商的投标文件相互混装； </w:t>
      </w:r>
    </w:p>
    <w:p>
      <w:pPr>
        <w:pStyle w:val="28"/>
        <w:numPr>
          <w:ilvl w:val="0"/>
          <w:numId w:val="8"/>
        </w:numPr>
        <w:tabs>
          <w:tab w:val="left" w:pos="2199"/>
        </w:tabs>
        <w:spacing w:before="161" w:after="0" w:line="362" w:lineRule="auto"/>
        <w:ind w:left="1118" w:right="2025" w:firstLine="479"/>
        <w:jc w:val="left"/>
        <w:rPr>
          <w:b/>
          <w:sz w:val="24"/>
        </w:rPr>
      </w:pPr>
      <w:r>
        <w:rPr>
          <w:sz w:val="24"/>
        </w:rPr>
        <w:t>不同供应商的投标保证金从同一单位或者个人的账户转出。</w:t>
      </w:r>
      <w:r>
        <w:rPr>
          <w:b/>
          <w:sz w:val="24"/>
        </w:rPr>
        <w:t>16．投标有效期</w:t>
      </w:r>
      <w:r>
        <w:rPr>
          <w:b/>
          <w:w w:val="99"/>
          <w:sz w:val="24"/>
        </w:rPr>
        <w:t xml:space="preserve"> </w:t>
      </w:r>
    </w:p>
    <w:p>
      <w:pPr>
        <w:pStyle w:val="11"/>
        <w:spacing w:before="5" w:line="362" w:lineRule="auto"/>
        <w:ind w:left="1118" w:right="914" w:firstLine="359"/>
      </w:pPr>
      <w:r>
        <w:t>16.1</w:t>
      </w:r>
      <w:r>
        <w:rPr>
          <w:spacing w:val="-3"/>
        </w:rPr>
        <w:t xml:space="preserve"> 投标有效期为从开标截止之日起计算的 </w:t>
      </w:r>
      <w:r>
        <w:t>60</w:t>
      </w:r>
      <w:r>
        <w:rPr>
          <w:spacing w:val="-8"/>
        </w:rPr>
        <w:t xml:space="preserve"> 天，有效期短于此规定的投标</w:t>
      </w:r>
      <w:r>
        <w:t xml:space="preserve">文件将被视为无效。 </w:t>
      </w:r>
    </w:p>
    <w:p>
      <w:pPr>
        <w:pStyle w:val="11"/>
        <w:spacing w:before="5" w:line="364" w:lineRule="auto"/>
        <w:ind w:left="1118" w:right="795" w:firstLine="359"/>
      </w:pPr>
      <w:r>
        <w:t xml:space="preserve"> 16.2</w:t>
      </w:r>
      <w:r>
        <w:rPr>
          <w:spacing w:val="-11"/>
        </w:rPr>
        <w:t xml:space="preserve"> 特殊情况下，采购人可于投标有效期满之前要求供应商同意延长有效期， 要求与答复均应为书面形式。供应商可以拒绝上述要求，其投标保证金不被没收。</w:t>
      </w:r>
      <w:r>
        <w:rPr>
          <w:spacing w:val="-14"/>
        </w:rPr>
        <w:t>拒绝延长投标有效期的供应商不得再参与该项目后续采购活动。同意延长投标有效</w:t>
      </w:r>
      <w:r>
        <w:rPr>
          <w:spacing w:val="-17"/>
        </w:rPr>
        <w:t xml:space="preserve">期的供应商不能修改其投标文件，关于投标保证金的有关规定在延长的投标有效期内继续有效。 </w:t>
      </w:r>
    </w:p>
    <w:p>
      <w:pPr>
        <w:pStyle w:val="10"/>
        <w:numPr>
          <w:ilvl w:val="0"/>
          <w:numId w:val="9"/>
        </w:numPr>
        <w:tabs>
          <w:tab w:val="left" w:pos="1603"/>
        </w:tabs>
        <w:spacing w:before="0" w:after="0" w:line="304" w:lineRule="exact"/>
        <w:ind w:left="1602" w:right="0" w:hanging="485"/>
        <w:jc w:val="left"/>
      </w:pPr>
      <w:r>
        <w:t>投标文件的数量、签署及形式</w:t>
      </w:r>
      <w:r>
        <w:rPr>
          <w:w w:val="99"/>
        </w:rPr>
        <w:t xml:space="preserve"> </w:t>
      </w:r>
    </w:p>
    <w:p>
      <w:pPr>
        <w:pStyle w:val="28"/>
        <w:numPr>
          <w:ilvl w:val="1"/>
          <w:numId w:val="9"/>
        </w:numPr>
        <w:tabs>
          <w:tab w:val="left" w:pos="2079"/>
        </w:tabs>
        <w:spacing w:before="161" w:after="0" w:line="362" w:lineRule="auto"/>
        <w:ind w:left="1118" w:right="914" w:firstLine="479"/>
        <w:jc w:val="both"/>
        <w:rPr>
          <w:sz w:val="22"/>
        </w:rPr>
      </w:pPr>
      <w:r>
        <w:rPr>
          <w:spacing w:val="-3"/>
          <w:sz w:val="24"/>
        </w:rPr>
        <w:t>投标文件一式肆份</w:t>
      </w:r>
      <w:r>
        <w:rPr>
          <w:sz w:val="24"/>
        </w:rPr>
        <w:t>（</w:t>
      </w:r>
      <w:r>
        <w:rPr>
          <w:spacing w:val="-4"/>
          <w:sz w:val="24"/>
        </w:rPr>
        <w:t>正本壹份，副本叁份</w:t>
      </w:r>
      <w:r>
        <w:rPr>
          <w:spacing w:val="-120"/>
          <w:sz w:val="24"/>
        </w:rPr>
        <w:t>）</w:t>
      </w:r>
      <w:r>
        <w:rPr>
          <w:spacing w:val="-8"/>
          <w:sz w:val="24"/>
        </w:rPr>
        <w:t>，固定装订。开标一览表、电</w:t>
      </w:r>
      <w:r>
        <w:rPr>
          <w:sz w:val="24"/>
        </w:rPr>
        <w:t>子版（</w:t>
      </w:r>
      <w:r>
        <w:rPr>
          <w:spacing w:val="-11"/>
          <w:sz w:val="24"/>
        </w:rPr>
        <w:t xml:space="preserve">电子光盘和 </w:t>
      </w:r>
      <w:r>
        <w:rPr>
          <w:sz w:val="24"/>
        </w:rPr>
        <w:t>U</w:t>
      </w:r>
      <w:r>
        <w:rPr>
          <w:spacing w:val="-30"/>
          <w:sz w:val="24"/>
        </w:rPr>
        <w:t xml:space="preserve"> 盘</w:t>
      </w:r>
      <w:r>
        <w:rPr>
          <w:sz w:val="24"/>
        </w:rPr>
        <w:t xml:space="preserve">）各壹份。 </w:t>
      </w:r>
    </w:p>
    <w:p>
      <w:pPr>
        <w:pStyle w:val="28"/>
        <w:numPr>
          <w:ilvl w:val="1"/>
          <w:numId w:val="9"/>
        </w:numPr>
        <w:tabs>
          <w:tab w:val="left" w:pos="2079"/>
        </w:tabs>
        <w:spacing w:before="5" w:after="0" w:line="364" w:lineRule="auto"/>
        <w:ind w:left="1118" w:right="917" w:firstLine="479"/>
        <w:jc w:val="both"/>
        <w:rPr>
          <w:sz w:val="22"/>
        </w:rPr>
      </w:pPr>
      <w:r>
        <w:rPr>
          <w:sz w:val="24"/>
        </w:rPr>
        <w:t>投标文件须按投标文件的要求执行，每份投标文件均须在封面上清楚标</w:t>
      </w:r>
      <w:r>
        <w:rPr>
          <w:spacing w:val="-19"/>
          <w:sz w:val="24"/>
        </w:rPr>
        <w:t>明“正本”或“副本”字样，“正本”和“副本”具有同等的法律效力；“正本”和</w:t>
      </w:r>
      <w:r>
        <w:rPr>
          <w:sz w:val="24"/>
        </w:rPr>
        <w:t xml:space="preserve"> “副本”之间如有差异，以正本为准。 </w:t>
      </w:r>
    </w:p>
    <w:p>
      <w:pPr>
        <w:pStyle w:val="28"/>
        <w:numPr>
          <w:ilvl w:val="1"/>
          <w:numId w:val="9"/>
        </w:numPr>
        <w:tabs>
          <w:tab w:val="left" w:pos="2060"/>
        </w:tabs>
        <w:spacing w:before="0" w:after="0" w:line="364" w:lineRule="auto"/>
        <w:ind w:left="1118" w:right="908" w:firstLine="460"/>
        <w:jc w:val="both"/>
        <w:rPr>
          <w:b/>
          <w:sz w:val="22"/>
        </w:rPr>
      </w:pPr>
      <w:r>
        <w:rPr>
          <w:spacing w:val="-1"/>
          <w:sz w:val="24"/>
        </w:rPr>
        <w:t>投标文件的正本和副本均需打印并分别采用胶装形式装订成册，并由供</w:t>
      </w:r>
      <w:r>
        <w:rPr>
          <w:spacing w:val="-4"/>
          <w:sz w:val="24"/>
        </w:rPr>
        <w:t>应商的法定代表人或其授权代表相应位置签字和盖章。投标文件副本可采用正本的</w:t>
      </w:r>
      <w:r>
        <w:rPr>
          <w:spacing w:val="-8"/>
          <w:sz w:val="24"/>
        </w:rPr>
        <w:t xml:space="preserve">复印件，电子文档采用光盘和 </w:t>
      </w:r>
      <w:r>
        <w:rPr>
          <w:sz w:val="24"/>
        </w:rPr>
        <w:t>U</w:t>
      </w:r>
      <w:r>
        <w:rPr>
          <w:spacing w:val="-12"/>
          <w:sz w:val="24"/>
        </w:rPr>
        <w:t xml:space="preserve"> 盘拷贝。</w:t>
      </w:r>
      <w:r>
        <w:rPr>
          <w:b/>
          <w:spacing w:val="-12"/>
          <w:w w:val="99"/>
          <w:sz w:val="24"/>
        </w:rPr>
        <w:t xml:space="preserve"> </w:t>
      </w:r>
    </w:p>
    <w:p>
      <w:pPr>
        <w:pStyle w:val="28"/>
        <w:numPr>
          <w:ilvl w:val="1"/>
          <w:numId w:val="9"/>
        </w:numPr>
        <w:tabs>
          <w:tab w:val="left" w:pos="2060"/>
        </w:tabs>
        <w:spacing w:before="0" w:after="0" w:line="364" w:lineRule="auto"/>
        <w:ind w:left="1118" w:right="793" w:firstLine="460"/>
        <w:jc w:val="both"/>
        <w:rPr>
          <w:sz w:val="22"/>
        </w:rPr>
      </w:pPr>
      <w:r>
        <w:rPr>
          <w:sz w:val="24"/>
        </w:rPr>
        <w:t>投标文件的打印和书写应清楚工整，不得行间插字、涂改或增删，如要修</w:t>
      </w:r>
      <w:r>
        <w:rPr>
          <w:spacing w:val="-10"/>
          <w:sz w:val="24"/>
        </w:rPr>
        <w:t>改错漏处，必须由供应商的法定代表人或其授权代表在相应位置签字和加盖供应商</w:t>
      </w:r>
      <w:r>
        <w:rPr>
          <w:spacing w:val="-20"/>
          <w:sz w:val="24"/>
        </w:rPr>
        <w:t>公章。字迹潦草、表达不清或可能导致非唯一理解的投标文件可能视为无效投标。</w:t>
      </w:r>
      <w:r>
        <w:rPr>
          <w:sz w:val="24"/>
        </w:rPr>
        <w:t xml:space="preserve"> </w:t>
      </w:r>
    </w:p>
    <w:p>
      <w:pPr>
        <w:pStyle w:val="28"/>
        <w:numPr>
          <w:ilvl w:val="1"/>
          <w:numId w:val="9"/>
        </w:numPr>
        <w:tabs>
          <w:tab w:val="left" w:pos="2060"/>
        </w:tabs>
        <w:spacing w:before="0" w:after="0" w:line="362" w:lineRule="auto"/>
        <w:ind w:left="1118" w:right="917" w:firstLine="460"/>
        <w:jc w:val="left"/>
        <w:rPr>
          <w:sz w:val="22"/>
        </w:rPr>
      </w:pPr>
      <w:r>
        <w:rPr>
          <w:spacing w:val="-1"/>
          <w:sz w:val="24"/>
        </w:rPr>
        <w:t>投标文件应根据招标文件的要求制作，签署、盖章和内容应完整，如有</w:t>
      </w:r>
      <w:r>
        <w:rPr>
          <w:sz w:val="24"/>
        </w:rPr>
        <w:t xml:space="preserve">遗漏，将被视为无效投标。 </w:t>
      </w:r>
    </w:p>
    <w:p>
      <w:pPr>
        <w:pStyle w:val="10"/>
        <w:numPr>
          <w:ilvl w:val="0"/>
          <w:numId w:val="9"/>
        </w:numPr>
        <w:tabs>
          <w:tab w:val="left" w:pos="1603"/>
        </w:tabs>
        <w:spacing w:before="1" w:after="0" w:line="240" w:lineRule="auto"/>
        <w:ind w:left="1602" w:right="0" w:hanging="485"/>
        <w:jc w:val="left"/>
      </w:pPr>
      <w:r>
        <w:t>投标文件的密封和标注</w:t>
      </w:r>
      <w:r>
        <w:rPr>
          <w:w w:val="99"/>
        </w:rPr>
        <w:t xml:space="preserve"> </w:t>
      </w:r>
    </w:p>
    <w:p>
      <w:pPr>
        <w:pStyle w:val="28"/>
        <w:numPr>
          <w:ilvl w:val="1"/>
          <w:numId w:val="9"/>
        </w:numPr>
        <w:tabs>
          <w:tab w:val="left" w:pos="2018"/>
        </w:tabs>
        <w:spacing w:before="158" w:after="0" w:line="364" w:lineRule="auto"/>
        <w:ind w:left="1118" w:right="797" w:firstLine="359"/>
        <w:jc w:val="both"/>
        <w:rPr>
          <w:rFonts w:ascii="Times New Roman" w:hAnsi="Times New Roman" w:eastAsia="Times New Roman"/>
          <w:b/>
          <w:sz w:val="24"/>
        </w:rPr>
      </w:pPr>
      <w:r>
        <w:rPr>
          <w:spacing w:val="-5"/>
          <w:sz w:val="24"/>
        </w:rPr>
        <w:t>供应商应将投标文件正副本分别密封在两个专用袋</w:t>
      </w:r>
      <w:r>
        <w:rPr>
          <w:sz w:val="24"/>
        </w:rPr>
        <w:t>（箱</w:t>
      </w:r>
      <w:r>
        <w:rPr>
          <w:spacing w:val="-92"/>
          <w:sz w:val="24"/>
        </w:rPr>
        <w:t>）</w:t>
      </w:r>
      <w:r>
        <w:rPr>
          <w:spacing w:val="-13"/>
          <w:sz w:val="24"/>
        </w:rPr>
        <w:t>中，开标一览表、</w:t>
      </w:r>
      <w:r>
        <w:rPr>
          <w:spacing w:val="-19"/>
          <w:sz w:val="24"/>
        </w:rPr>
        <w:t>电子版文件</w:t>
      </w:r>
      <w:r>
        <w:rPr>
          <w:sz w:val="24"/>
        </w:rPr>
        <w:t>（U</w:t>
      </w:r>
      <w:r>
        <w:rPr>
          <w:spacing w:val="-13"/>
          <w:sz w:val="24"/>
        </w:rPr>
        <w:t xml:space="preserve"> 盘和光盘</w:t>
      </w:r>
      <w:r>
        <w:rPr>
          <w:spacing w:val="-39"/>
          <w:sz w:val="24"/>
        </w:rPr>
        <w:t>）</w:t>
      </w:r>
      <w:r>
        <w:rPr>
          <w:spacing w:val="-8"/>
          <w:sz w:val="24"/>
        </w:rPr>
        <w:t>另分别单独密封，并在专用袋</w:t>
      </w:r>
      <w:r>
        <w:rPr>
          <w:sz w:val="24"/>
        </w:rPr>
        <w:t>（箱</w:t>
      </w:r>
      <w:r>
        <w:rPr>
          <w:spacing w:val="-39"/>
          <w:sz w:val="24"/>
        </w:rPr>
        <w:t>）</w:t>
      </w:r>
      <w:r>
        <w:rPr>
          <w:spacing w:val="-34"/>
          <w:sz w:val="24"/>
        </w:rPr>
        <w:t>上标明“正本”、“副</w:t>
      </w:r>
      <w:r>
        <w:rPr>
          <w:spacing w:val="-31"/>
          <w:sz w:val="24"/>
        </w:rPr>
        <w:t>本”、“开标一览表”、“电子版“字样。封口处密封条密封加盖骑缝章</w:t>
      </w:r>
      <w:r>
        <w:rPr>
          <w:sz w:val="24"/>
        </w:rPr>
        <w:t>。专用袋（箱）正面</w:t>
      </w:r>
      <w:r>
        <w:rPr>
          <w:b/>
          <w:spacing w:val="-1"/>
          <w:sz w:val="24"/>
        </w:rPr>
        <w:t>封面应严格按照第二章“供应商须知前附表”的要求进行密封。</w:t>
      </w:r>
    </w:p>
    <w:p>
      <w:pPr>
        <w:pStyle w:val="28"/>
        <w:numPr>
          <w:ilvl w:val="1"/>
          <w:numId w:val="9"/>
        </w:numPr>
        <w:tabs>
          <w:tab w:val="left" w:pos="2059"/>
        </w:tabs>
        <w:spacing w:before="0" w:after="0" w:line="305" w:lineRule="exact"/>
        <w:ind w:left="2058" w:right="0" w:hanging="481"/>
        <w:jc w:val="both"/>
        <w:rPr>
          <w:rFonts w:ascii="Times New Roman" w:eastAsia="Times New Roman"/>
          <w:sz w:val="24"/>
        </w:rPr>
      </w:pPr>
      <w:r>
        <w:rPr>
          <w:spacing w:val="-3"/>
          <w:sz w:val="24"/>
        </w:rPr>
        <w:t>如果供应商递交的投标文件未严格按照要求密封及标注的，其投标文件将</w:t>
      </w:r>
    </w:p>
    <w:p>
      <w:pPr>
        <w:spacing w:after="0" w:line="305" w:lineRule="exact"/>
        <w:jc w:val="both"/>
        <w:rPr>
          <w:rFonts w:ascii="Times New Roman" w:eastAsia="Times New Roman"/>
          <w:sz w:val="24"/>
        </w:rPr>
        <w:sectPr>
          <w:pgSz w:w="11910" w:h="16840"/>
          <w:pgMar w:top="1380" w:right="640" w:bottom="1180" w:left="680" w:header="0" w:footer="913" w:gutter="0"/>
          <w:cols w:space="720" w:num="1"/>
        </w:sectPr>
      </w:pPr>
    </w:p>
    <w:p>
      <w:pPr>
        <w:pStyle w:val="11"/>
        <w:spacing w:before="41"/>
        <w:ind w:left="1118"/>
      </w:pPr>
      <w:r>
        <w:t>被拒绝接收。</w:t>
      </w:r>
    </w:p>
    <w:p>
      <w:pPr>
        <w:pStyle w:val="10"/>
        <w:numPr>
          <w:ilvl w:val="0"/>
          <w:numId w:val="9"/>
        </w:numPr>
        <w:tabs>
          <w:tab w:val="left" w:pos="1603"/>
        </w:tabs>
        <w:spacing w:before="161" w:after="0" w:line="240" w:lineRule="auto"/>
        <w:ind w:left="1602" w:right="0" w:hanging="485"/>
        <w:jc w:val="left"/>
      </w:pPr>
      <w:r>
        <w:t>投标文件的递交</w:t>
      </w:r>
      <w:r>
        <w:rPr>
          <w:w w:val="99"/>
        </w:rPr>
        <w:t xml:space="preserve"> </w:t>
      </w:r>
    </w:p>
    <w:p>
      <w:pPr>
        <w:pStyle w:val="28"/>
        <w:numPr>
          <w:ilvl w:val="1"/>
          <w:numId w:val="9"/>
        </w:numPr>
        <w:tabs>
          <w:tab w:val="left" w:pos="2060"/>
        </w:tabs>
        <w:spacing w:before="158" w:after="0" w:line="364" w:lineRule="auto"/>
        <w:ind w:left="1118" w:right="916" w:firstLine="460"/>
        <w:jc w:val="both"/>
        <w:rPr>
          <w:sz w:val="22"/>
        </w:rPr>
      </w:pPr>
      <w:r>
        <w:rPr>
          <w:spacing w:val="-1"/>
          <w:sz w:val="24"/>
        </w:rPr>
        <w:t>供应商务必在招标文件规定的投标截止时间前，委派代表持本人身份证</w:t>
      </w:r>
      <w:r>
        <w:rPr>
          <w:spacing w:val="-6"/>
          <w:sz w:val="24"/>
        </w:rPr>
        <w:t>和法人授权委托书</w:t>
      </w:r>
      <w:r>
        <w:rPr>
          <w:sz w:val="24"/>
        </w:rPr>
        <w:t>（如法人亲自到场携带法人身份证明书</w:t>
      </w:r>
      <w:r>
        <w:rPr>
          <w:spacing w:val="-46"/>
          <w:sz w:val="24"/>
        </w:rPr>
        <w:t>）</w:t>
      </w:r>
      <w:r>
        <w:rPr>
          <w:spacing w:val="-2"/>
          <w:sz w:val="24"/>
        </w:rPr>
        <w:t>将投标文件送达开标地</w:t>
      </w:r>
      <w:r>
        <w:rPr>
          <w:spacing w:val="-11"/>
          <w:sz w:val="24"/>
        </w:rPr>
        <w:t xml:space="preserve">点，同时提供投标文件电子光盘和 </w:t>
      </w:r>
      <w:r>
        <w:rPr>
          <w:sz w:val="24"/>
        </w:rPr>
        <w:t>U</w:t>
      </w:r>
      <w:r>
        <w:rPr>
          <w:spacing w:val="-12"/>
          <w:sz w:val="24"/>
        </w:rPr>
        <w:t xml:space="preserve"> 盘。未派授权代表或不能证明其授权代表身份</w:t>
      </w:r>
      <w:r>
        <w:rPr>
          <w:sz w:val="24"/>
        </w:rPr>
        <w:t xml:space="preserve">的，招标代理机构对投标文件的处理不承担责任。 </w:t>
      </w:r>
    </w:p>
    <w:p>
      <w:pPr>
        <w:pStyle w:val="28"/>
        <w:numPr>
          <w:ilvl w:val="1"/>
          <w:numId w:val="9"/>
        </w:numPr>
        <w:tabs>
          <w:tab w:val="left" w:pos="2107"/>
        </w:tabs>
        <w:spacing w:before="0" w:after="0" w:line="364" w:lineRule="auto"/>
        <w:ind w:left="1118" w:right="917" w:firstLine="460"/>
        <w:jc w:val="both"/>
        <w:rPr>
          <w:sz w:val="24"/>
        </w:rPr>
      </w:pPr>
      <w:r>
        <w:rPr>
          <w:spacing w:val="-9"/>
          <w:sz w:val="24"/>
        </w:rPr>
        <w:t>若采购代理机构推迟了投标截止时间，应以公告的形式通知所有供应商。</w:t>
      </w:r>
      <w:r>
        <w:rPr>
          <w:spacing w:val="-11"/>
          <w:sz w:val="24"/>
        </w:rPr>
        <w:t>在这种情况下，采购代理机构、采购人和供应商的权利和义务均应以新的截止时间</w:t>
      </w:r>
      <w:r>
        <w:rPr>
          <w:sz w:val="24"/>
        </w:rPr>
        <w:t xml:space="preserve">为准。 </w:t>
      </w:r>
    </w:p>
    <w:p>
      <w:pPr>
        <w:pStyle w:val="28"/>
        <w:numPr>
          <w:ilvl w:val="1"/>
          <w:numId w:val="9"/>
        </w:numPr>
        <w:tabs>
          <w:tab w:val="left" w:pos="2182"/>
        </w:tabs>
        <w:spacing w:before="0" w:after="0" w:line="362" w:lineRule="auto"/>
        <w:ind w:left="1118" w:right="917" w:firstLine="460"/>
        <w:jc w:val="both"/>
        <w:rPr>
          <w:sz w:val="24"/>
        </w:rPr>
      </w:pPr>
      <w:r>
        <w:rPr>
          <w:spacing w:val="-1"/>
          <w:sz w:val="24"/>
        </w:rPr>
        <w:t>在投标截止时间后递交或者未送达指定地点的投标文件，招标代理机构</w:t>
      </w:r>
      <w:r>
        <w:rPr>
          <w:sz w:val="24"/>
        </w:rPr>
        <w:t xml:space="preserve">将拒绝接收，并退回给供应商。 </w:t>
      </w:r>
    </w:p>
    <w:p>
      <w:pPr>
        <w:pStyle w:val="10"/>
        <w:numPr>
          <w:ilvl w:val="0"/>
          <w:numId w:val="9"/>
        </w:numPr>
        <w:tabs>
          <w:tab w:val="left" w:pos="1483"/>
        </w:tabs>
        <w:spacing w:before="3" w:after="0" w:line="240" w:lineRule="auto"/>
        <w:ind w:left="1482" w:right="0" w:hanging="365"/>
        <w:jc w:val="left"/>
        <w:rPr>
          <w:b w:val="0"/>
        </w:rPr>
      </w:pPr>
      <w:r>
        <w:t>本次招标不接受邮寄的投标文件。</w:t>
      </w:r>
      <w:r>
        <w:rPr>
          <w:b w:val="0"/>
        </w:rPr>
        <w:t xml:space="preserve"> </w:t>
      </w:r>
    </w:p>
    <w:p>
      <w:pPr>
        <w:pStyle w:val="10"/>
        <w:numPr>
          <w:ilvl w:val="0"/>
          <w:numId w:val="9"/>
        </w:numPr>
        <w:tabs>
          <w:tab w:val="left" w:pos="1603"/>
        </w:tabs>
        <w:spacing w:before="158" w:after="0" w:line="240" w:lineRule="auto"/>
        <w:ind w:left="1602" w:right="0" w:hanging="485"/>
        <w:jc w:val="left"/>
      </w:pPr>
      <w:r>
        <w:t>投标文件的修改和撤回</w:t>
      </w:r>
      <w:r>
        <w:rPr>
          <w:w w:val="99"/>
        </w:rPr>
        <w:t xml:space="preserve"> </w:t>
      </w:r>
    </w:p>
    <w:p>
      <w:pPr>
        <w:pStyle w:val="28"/>
        <w:numPr>
          <w:ilvl w:val="1"/>
          <w:numId w:val="9"/>
        </w:numPr>
        <w:tabs>
          <w:tab w:val="left" w:pos="2070"/>
        </w:tabs>
        <w:spacing w:before="160" w:after="0" w:line="362" w:lineRule="auto"/>
        <w:ind w:left="1118" w:right="919" w:firstLine="470"/>
        <w:jc w:val="left"/>
        <w:rPr>
          <w:sz w:val="22"/>
        </w:rPr>
      </w:pPr>
      <w:r>
        <w:rPr>
          <w:spacing w:val="-1"/>
          <w:sz w:val="24"/>
        </w:rPr>
        <w:t>供应商在递交了投标文件后，可以修改或撤回其投标文件，但必须在规</w:t>
      </w:r>
      <w:r>
        <w:rPr>
          <w:sz w:val="24"/>
        </w:rPr>
        <w:t xml:space="preserve">定的投标截止时间前，以书面形式通知采购代理机构。 </w:t>
      </w:r>
    </w:p>
    <w:p>
      <w:pPr>
        <w:pStyle w:val="28"/>
        <w:numPr>
          <w:ilvl w:val="1"/>
          <w:numId w:val="9"/>
        </w:numPr>
        <w:tabs>
          <w:tab w:val="left" w:pos="2070"/>
        </w:tabs>
        <w:spacing w:before="5" w:after="0" w:line="364" w:lineRule="auto"/>
        <w:ind w:left="1118" w:right="913" w:firstLine="470"/>
        <w:jc w:val="both"/>
        <w:rPr>
          <w:sz w:val="22"/>
        </w:rPr>
      </w:pPr>
      <w:r>
        <w:rPr>
          <w:spacing w:val="-1"/>
          <w:sz w:val="24"/>
        </w:rPr>
        <w:t>供应商的修改书或撤回通知书，应由其法定代表人或授权代表签署并盖</w:t>
      </w:r>
      <w:r>
        <w:rPr>
          <w:spacing w:val="-11"/>
          <w:sz w:val="24"/>
        </w:rPr>
        <w:t xml:space="preserve">单位印章。修改书应按投标须知第 </w:t>
      </w:r>
      <w:r>
        <w:rPr>
          <w:sz w:val="24"/>
        </w:rPr>
        <w:t>17</w:t>
      </w:r>
      <w:r>
        <w:rPr>
          <w:spacing w:val="-17"/>
          <w:sz w:val="24"/>
        </w:rPr>
        <w:t xml:space="preserve"> 条规定签署，并按第 </w:t>
      </w:r>
      <w:r>
        <w:rPr>
          <w:sz w:val="24"/>
        </w:rPr>
        <w:t>18</w:t>
      </w:r>
      <w:r>
        <w:rPr>
          <w:spacing w:val="-9"/>
          <w:sz w:val="24"/>
        </w:rPr>
        <w:t xml:space="preserve"> 条规定进行密封和标</w:t>
      </w:r>
      <w:r>
        <w:rPr>
          <w:spacing w:val="-21"/>
          <w:sz w:val="24"/>
        </w:rPr>
        <w:t>注，并在密封袋上标注“补充、修改”或“撤回”和“投标截止前不得启封”字样。</w:t>
      </w:r>
      <w:r>
        <w:rPr>
          <w:sz w:val="24"/>
        </w:rPr>
        <w:t xml:space="preserve">补充、修改的内容为投标文件的组成部分。 </w:t>
      </w:r>
    </w:p>
    <w:p>
      <w:pPr>
        <w:pStyle w:val="28"/>
        <w:numPr>
          <w:ilvl w:val="1"/>
          <w:numId w:val="9"/>
        </w:numPr>
        <w:tabs>
          <w:tab w:val="left" w:pos="2079"/>
        </w:tabs>
        <w:spacing w:before="0" w:after="0" w:line="364" w:lineRule="auto"/>
        <w:ind w:left="1118" w:right="922" w:firstLine="479"/>
        <w:jc w:val="left"/>
        <w:rPr>
          <w:sz w:val="22"/>
        </w:rPr>
      </w:pPr>
      <w:r>
        <w:rPr>
          <w:spacing w:val="-1"/>
          <w:sz w:val="24"/>
        </w:rPr>
        <w:t>在投标截止时间之后，供应商不得对其递交的投标文件做任何修改或撤</w:t>
      </w:r>
      <w:r>
        <w:rPr>
          <w:sz w:val="24"/>
        </w:rPr>
        <w:t xml:space="preserve">回投标。 </w:t>
      </w:r>
    </w:p>
    <w:p>
      <w:pPr>
        <w:pStyle w:val="28"/>
        <w:numPr>
          <w:ilvl w:val="1"/>
          <w:numId w:val="9"/>
        </w:numPr>
        <w:tabs>
          <w:tab w:val="left" w:pos="2078"/>
        </w:tabs>
        <w:spacing w:before="0" w:after="0" w:line="364" w:lineRule="auto"/>
        <w:ind w:left="2018" w:right="916" w:hanging="480"/>
        <w:jc w:val="left"/>
        <w:rPr>
          <w:sz w:val="24"/>
        </w:rPr>
      </w:pPr>
      <w:r>
        <w:rPr>
          <w:spacing w:val="-5"/>
          <w:sz w:val="24"/>
        </w:rPr>
        <w:t>供应商不得在投标截止时间起至投标有效期满前撤回投标文件，否则投标</w:t>
      </w:r>
      <w:r>
        <w:rPr>
          <w:sz w:val="24"/>
        </w:rPr>
        <w:t xml:space="preserve">保证金将被没收。该供应商的投标文件不予退还。 </w:t>
      </w:r>
    </w:p>
    <w:p>
      <w:pPr>
        <w:pStyle w:val="28"/>
        <w:numPr>
          <w:ilvl w:val="1"/>
          <w:numId w:val="9"/>
        </w:numPr>
        <w:tabs>
          <w:tab w:val="left" w:pos="2078"/>
        </w:tabs>
        <w:spacing w:before="0" w:after="0" w:line="306" w:lineRule="exact"/>
        <w:ind w:left="2078" w:right="0" w:hanging="540"/>
        <w:jc w:val="left"/>
        <w:rPr>
          <w:sz w:val="24"/>
        </w:rPr>
      </w:pPr>
      <w:r>
        <w:rPr>
          <w:sz w:val="24"/>
        </w:rPr>
        <w:t xml:space="preserve">同意撤回的投标文件将不予拆封。 </w:t>
      </w:r>
    </w:p>
    <w:p>
      <w:pPr>
        <w:pStyle w:val="28"/>
        <w:numPr>
          <w:ilvl w:val="1"/>
          <w:numId w:val="9"/>
        </w:numPr>
        <w:tabs>
          <w:tab w:val="left" w:pos="2198"/>
        </w:tabs>
        <w:spacing w:before="158" w:after="0" w:line="364" w:lineRule="auto"/>
        <w:ind w:left="1118" w:right="922" w:firstLine="479"/>
        <w:jc w:val="left"/>
        <w:rPr>
          <w:sz w:val="24"/>
        </w:rPr>
      </w:pPr>
      <w:r>
        <w:rPr>
          <w:spacing w:val="-1"/>
          <w:sz w:val="24"/>
        </w:rPr>
        <w:t>投标文件中如果出现计算上或累加上的算术错误，可按以下原则进行修</w:t>
      </w:r>
      <w:r>
        <w:rPr>
          <w:sz w:val="24"/>
        </w:rPr>
        <w:t xml:space="preserve">改： </w:t>
      </w:r>
    </w:p>
    <w:p>
      <w:pPr>
        <w:pStyle w:val="28"/>
        <w:numPr>
          <w:ilvl w:val="0"/>
          <w:numId w:val="10"/>
        </w:numPr>
        <w:tabs>
          <w:tab w:val="left" w:pos="2201"/>
        </w:tabs>
        <w:spacing w:before="0" w:after="0" w:line="362" w:lineRule="auto"/>
        <w:ind w:left="1118" w:right="920" w:firstLine="479"/>
        <w:jc w:val="left"/>
        <w:rPr>
          <w:sz w:val="24"/>
        </w:rPr>
      </w:pPr>
      <w:r>
        <w:rPr>
          <w:spacing w:val="-1"/>
          <w:sz w:val="24"/>
        </w:rPr>
        <w:t>用数字表示的金额和用文字表示的金额不一致，应以文字表示的金额为</w:t>
      </w:r>
      <w:r>
        <w:rPr>
          <w:sz w:val="24"/>
        </w:rPr>
        <w:t xml:space="preserve">准。 </w:t>
      </w:r>
    </w:p>
    <w:p>
      <w:pPr>
        <w:pStyle w:val="28"/>
        <w:numPr>
          <w:ilvl w:val="0"/>
          <w:numId w:val="10"/>
        </w:numPr>
        <w:tabs>
          <w:tab w:val="left" w:pos="2199"/>
        </w:tabs>
        <w:spacing w:before="4" w:after="0" w:line="240" w:lineRule="auto"/>
        <w:ind w:left="2199" w:right="0" w:hanging="601"/>
        <w:jc w:val="left"/>
        <w:rPr>
          <w:sz w:val="24"/>
        </w:rPr>
      </w:pPr>
      <w:r>
        <w:rPr>
          <w:sz w:val="24"/>
        </w:rPr>
        <w:t xml:space="preserve">单价和数量的乘积与总价不一致时，以单价为准，并修正总价。 </w:t>
      </w:r>
    </w:p>
    <w:p>
      <w:pPr>
        <w:pStyle w:val="28"/>
        <w:numPr>
          <w:ilvl w:val="0"/>
          <w:numId w:val="10"/>
        </w:numPr>
        <w:tabs>
          <w:tab w:val="left" w:pos="2199"/>
        </w:tabs>
        <w:spacing w:before="158" w:after="0" w:line="240" w:lineRule="auto"/>
        <w:ind w:left="2199" w:right="0" w:hanging="601"/>
        <w:jc w:val="left"/>
        <w:rPr>
          <w:sz w:val="24"/>
        </w:rPr>
      </w:pPr>
      <w:r>
        <w:rPr>
          <w:sz w:val="24"/>
        </w:rPr>
        <w:t xml:space="preserve">单价金额小数点有明显错误的，以总价为准，修正单价。 </w:t>
      </w:r>
    </w:p>
    <w:p>
      <w:pPr>
        <w:spacing w:after="0" w:line="240" w:lineRule="auto"/>
        <w:jc w:val="left"/>
        <w:rPr>
          <w:sz w:val="24"/>
        </w:rPr>
        <w:sectPr>
          <w:pgSz w:w="11910" w:h="16840"/>
          <w:pgMar w:top="1380" w:right="640" w:bottom="1180" w:left="680" w:header="0" w:footer="913" w:gutter="0"/>
          <w:cols w:space="720" w:num="1"/>
        </w:sectPr>
      </w:pPr>
    </w:p>
    <w:p>
      <w:pPr>
        <w:pStyle w:val="11"/>
        <w:spacing w:before="41" w:line="364" w:lineRule="auto"/>
        <w:ind w:left="1118" w:right="915" w:firstLine="479"/>
      </w:pPr>
      <w:r>
        <w:rPr>
          <w:spacing w:val="-5"/>
        </w:rPr>
        <w:t>按上述修正错误的方法调整的投标报价应对供应商具有约束力。如果供应商不</w:t>
      </w:r>
      <w:r>
        <w:t xml:space="preserve">接受修正后的价格，其投标将被拒绝。 </w:t>
      </w:r>
    </w:p>
    <w:p>
      <w:pPr>
        <w:pStyle w:val="11"/>
        <w:spacing w:before="4"/>
        <w:rPr>
          <w:sz w:val="20"/>
        </w:rPr>
      </w:pPr>
    </w:p>
    <w:p>
      <w:pPr>
        <w:pStyle w:val="5"/>
        <w:ind w:left="1118"/>
        <w:outlineLvl w:val="1"/>
      </w:pPr>
      <w:bookmarkStart w:id="10" w:name="_Toc2865"/>
      <w:r>
        <w:t>四、开标、评标和定标</w:t>
      </w:r>
      <w:bookmarkEnd w:id="10"/>
    </w:p>
    <w:p>
      <w:pPr>
        <w:pStyle w:val="11"/>
        <w:spacing w:before="12"/>
        <w:rPr>
          <w:b/>
          <w:sz w:val="43"/>
        </w:rPr>
      </w:pPr>
    </w:p>
    <w:p>
      <w:pPr>
        <w:pStyle w:val="10"/>
        <w:numPr>
          <w:ilvl w:val="0"/>
          <w:numId w:val="9"/>
        </w:numPr>
        <w:tabs>
          <w:tab w:val="left" w:pos="1603"/>
        </w:tabs>
        <w:spacing w:before="0" w:after="0" w:line="240" w:lineRule="auto"/>
        <w:ind w:left="1602" w:right="0" w:hanging="485"/>
        <w:jc w:val="left"/>
      </w:pPr>
      <w:r>
        <w:t>开标</w:t>
      </w:r>
      <w:r>
        <w:rPr>
          <w:w w:val="99"/>
        </w:rPr>
        <w:t xml:space="preserve"> </w:t>
      </w:r>
    </w:p>
    <w:p>
      <w:pPr>
        <w:pStyle w:val="28"/>
        <w:numPr>
          <w:ilvl w:val="1"/>
          <w:numId w:val="9"/>
        </w:numPr>
        <w:tabs>
          <w:tab w:val="left" w:pos="2079"/>
        </w:tabs>
        <w:spacing w:before="158" w:after="0" w:line="364" w:lineRule="auto"/>
        <w:ind w:left="1118" w:right="912" w:firstLine="479"/>
        <w:jc w:val="both"/>
        <w:rPr>
          <w:sz w:val="22"/>
        </w:rPr>
      </w:pPr>
      <w:r>
        <w:rPr>
          <w:sz w:val="24"/>
        </w:rPr>
        <w:t>采购代理机构按招标文件第一章规定的时间和地点进行开标，采购人代</w:t>
      </w:r>
      <w:r>
        <w:rPr>
          <w:spacing w:val="-9"/>
          <w:sz w:val="24"/>
        </w:rPr>
        <w:t>表、采购代理机构有关工作人员参加。政府采购主管部门、监督部门、国家公证机</w:t>
      </w:r>
      <w:r>
        <w:rPr>
          <w:sz w:val="24"/>
        </w:rPr>
        <w:t xml:space="preserve">关公证员由其视情况决定是否派代表到现场进行监督。 </w:t>
      </w:r>
    </w:p>
    <w:p>
      <w:pPr>
        <w:pStyle w:val="28"/>
        <w:numPr>
          <w:ilvl w:val="1"/>
          <w:numId w:val="9"/>
        </w:numPr>
        <w:tabs>
          <w:tab w:val="left" w:pos="2198"/>
        </w:tabs>
        <w:spacing w:before="0" w:after="0" w:line="364" w:lineRule="auto"/>
        <w:ind w:left="1118" w:right="917" w:firstLine="479"/>
        <w:jc w:val="both"/>
        <w:rPr>
          <w:sz w:val="24"/>
        </w:rPr>
      </w:pPr>
      <w:r>
        <w:rPr>
          <w:sz w:val="24"/>
        </w:rPr>
        <w:t>供应商应委派代表参加开标活动，参加开标的供应商代表须持本人身份</w:t>
      </w:r>
      <w:r>
        <w:rPr>
          <w:spacing w:val="-5"/>
          <w:sz w:val="24"/>
        </w:rPr>
        <w:t>证件和法人授权委托书</w:t>
      </w:r>
      <w:r>
        <w:rPr>
          <w:sz w:val="24"/>
        </w:rPr>
        <w:t>（如供应商法人亲自到场携带法人身份证明书</w:t>
      </w:r>
      <w:r>
        <w:rPr>
          <w:spacing w:val="-46"/>
          <w:sz w:val="24"/>
        </w:rPr>
        <w:t>）</w:t>
      </w:r>
      <w:r>
        <w:rPr>
          <w:spacing w:val="-4"/>
          <w:sz w:val="24"/>
        </w:rPr>
        <w:t>原件签名报</w:t>
      </w:r>
      <w:r>
        <w:rPr>
          <w:spacing w:val="-9"/>
          <w:sz w:val="24"/>
        </w:rPr>
        <w:t>到以证明其出席。未派代表或不能证明其代表身份的，采购代理机构对投标文件拒</w:t>
      </w:r>
      <w:r>
        <w:rPr>
          <w:sz w:val="24"/>
        </w:rPr>
        <w:t xml:space="preserve">绝接收处理不承担责任。 </w:t>
      </w:r>
    </w:p>
    <w:p>
      <w:pPr>
        <w:pStyle w:val="28"/>
        <w:numPr>
          <w:ilvl w:val="1"/>
          <w:numId w:val="9"/>
        </w:numPr>
        <w:tabs>
          <w:tab w:val="left" w:pos="2079"/>
        </w:tabs>
        <w:spacing w:before="0" w:after="0" w:line="364" w:lineRule="auto"/>
        <w:ind w:left="1118" w:right="916" w:firstLine="479"/>
        <w:jc w:val="both"/>
        <w:rPr>
          <w:sz w:val="22"/>
        </w:rPr>
      </w:pPr>
      <w:r>
        <w:rPr>
          <w:sz w:val="24"/>
        </w:rPr>
        <w:t>采购代理机构或供应商代表将查验投标文件密封情况，采购代理机构也</w:t>
      </w:r>
      <w:r>
        <w:rPr>
          <w:spacing w:val="-5"/>
          <w:sz w:val="24"/>
        </w:rPr>
        <w:t>可以申请监督代表对投标文件的密封情况进行检查。若投标文件未密封完好，或供应商未提交投标保证金</w:t>
      </w:r>
      <w:r>
        <w:rPr>
          <w:sz w:val="24"/>
        </w:rPr>
        <w:t>（</w:t>
      </w:r>
      <w:r>
        <w:rPr>
          <w:spacing w:val="-5"/>
          <w:sz w:val="24"/>
        </w:rPr>
        <w:t xml:space="preserve">包括投标保证金不符合第 </w:t>
      </w:r>
      <w:r>
        <w:rPr>
          <w:sz w:val="24"/>
        </w:rPr>
        <w:t>15</w:t>
      </w:r>
      <w:r>
        <w:rPr>
          <w:spacing w:val="-15"/>
          <w:sz w:val="24"/>
        </w:rPr>
        <w:t xml:space="preserve"> 条规定</w:t>
      </w:r>
      <w:r>
        <w:rPr>
          <w:spacing w:val="-83"/>
          <w:sz w:val="24"/>
        </w:rPr>
        <w:t>）</w:t>
      </w:r>
      <w:r>
        <w:rPr>
          <w:spacing w:val="-13"/>
          <w:sz w:val="24"/>
        </w:rPr>
        <w:t>，招标采购单位将拒</w:t>
      </w:r>
      <w:r>
        <w:rPr>
          <w:sz w:val="24"/>
        </w:rPr>
        <w:t xml:space="preserve">绝接受该供应商的投标文件或做无效投标处理。 </w:t>
      </w:r>
    </w:p>
    <w:p>
      <w:pPr>
        <w:pStyle w:val="11"/>
        <w:spacing w:line="306" w:lineRule="exact"/>
        <w:ind w:left="1598"/>
        <w:jc w:val="both"/>
      </w:pPr>
      <w:r>
        <w:t xml:space="preserve">供应商不足 3 家的，不得开标。 </w:t>
      </w:r>
    </w:p>
    <w:p>
      <w:pPr>
        <w:pStyle w:val="28"/>
        <w:numPr>
          <w:ilvl w:val="1"/>
          <w:numId w:val="9"/>
        </w:numPr>
        <w:tabs>
          <w:tab w:val="left" w:pos="2198"/>
        </w:tabs>
        <w:spacing w:before="156" w:after="0" w:line="364" w:lineRule="auto"/>
        <w:ind w:left="1118" w:right="793" w:firstLine="479"/>
        <w:jc w:val="both"/>
        <w:rPr>
          <w:sz w:val="24"/>
        </w:rPr>
      </w:pPr>
      <w:r>
        <w:rPr>
          <w:sz w:val="24"/>
        </w:rPr>
        <w:t>经确认无误后，由招标工作人员或监督代表将供应商单独递交的“开标</w:t>
      </w:r>
      <w:r>
        <w:rPr>
          <w:spacing w:val="-9"/>
          <w:sz w:val="24"/>
        </w:rPr>
        <w:t>一览表”当众拆封唱标，唱标人员按照“开标一览表”的内容、招标文件规定的内</w:t>
      </w:r>
      <w:r>
        <w:rPr>
          <w:spacing w:val="-12"/>
          <w:sz w:val="24"/>
        </w:rPr>
        <w:t>容以及采购代理机构认为合适的其他内容进行宣读，采购代理机构将作开标记录。</w:t>
      </w:r>
      <w:r>
        <w:rPr>
          <w:sz w:val="24"/>
        </w:rPr>
        <w:t xml:space="preserve"> </w:t>
      </w:r>
    </w:p>
    <w:p>
      <w:pPr>
        <w:pStyle w:val="28"/>
        <w:numPr>
          <w:ilvl w:val="1"/>
          <w:numId w:val="9"/>
        </w:numPr>
        <w:tabs>
          <w:tab w:val="left" w:pos="2079"/>
        </w:tabs>
        <w:spacing w:before="0" w:after="0" w:line="364" w:lineRule="auto"/>
        <w:ind w:left="1118" w:right="798" w:firstLine="479"/>
        <w:jc w:val="left"/>
        <w:rPr>
          <w:sz w:val="22"/>
        </w:rPr>
      </w:pPr>
      <w:r>
        <w:rPr>
          <w:spacing w:val="-16"/>
          <w:sz w:val="24"/>
        </w:rPr>
        <w:t xml:space="preserve">开标时，“开标一览表”中的大写金额与小写金额不一致的，以大写金额为准；总价金额与按单价计算的汇总金额不一致的，以单价计算的汇总金额为准；单价金额有明显小数点错误的，以总价为准，并修改单价。 </w:t>
      </w:r>
    </w:p>
    <w:p>
      <w:pPr>
        <w:pStyle w:val="28"/>
        <w:numPr>
          <w:ilvl w:val="1"/>
          <w:numId w:val="9"/>
        </w:numPr>
        <w:tabs>
          <w:tab w:val="left" w:pos="2079"/>
        </w:tabs>
        <w:spacing w:before="0" w:after="0" w:line="364" w:lineRule="auto"/>
        <w:ind w:left="1118" w:right="919" w:firstLine="479"/>
        <w:jc w:val="left"/>
        <w:rPr>
          <w:sz w:val="22"/>
        </w:rPr>
      </w:pPr>
      <w:r>
        <w:rPr>
          <w:spacing w:val="-1"/>
          <w:sz w:val="24"/>
        </w:rPr>
        <w:t>投标文件中有关明细表内容与“开标一览表”不一致的，以“开标一览</w:t>
      </w:r>
      <w:r>
        <w:rPr>
          <w:sz w:val="24"/>
        </w:rPr>
        <w:t xml:space="preserve">表”为准。对不同文字文本投标文件的解释发生异议的，以中文文本为准。 </w:t>
      </w:r>
    </w:p>
    <w:p>
      <w:pPr>
        <w:pStyle w:val="28"/>
        <w:numPr>
          <w:ilvl w:val="1"/>
          <w:numId w:val="9"/>
        </w:numPr>
        <w:tabs>
          <w:tab w:val="left" w:pos="2198"/>
        </w:tabs>
        <w:spacing w:before="0" w:after="0" w:line="364" w:lineRule="auto"/>
        <w:ind w:left="1118" w:right="797" w:firstLine="479"/>
        <w:jc w:val="left"/>
        <w:rPr>
          <w:sz w:val="24"/>
        </w:rPr>
      </w:pPr>
      <w:r>
        <w:rPr>
          <w:sz w:val="24"/>
        </w:rPr>
        <w:t>所有投标唱标完毕，如供应商代表对宣读的“开标一览表”上的内容有</w:t>
      </w:r>
      <w:r>
        <w:rPr>
          <w:spacing w:val="-17"/>
          <w:sz w:val="24"/>
        </w:rPr>
        <w:t xml:space="preserve">异议的，应在获得开标会主持人同意后当场提出。如确实属于唱标人员宣读错了的， </w:t>
      </w:r>
      <w:r>
        <w:rPr>
          <w:sz w:val="24"/>
        </w:rPr>
        <w:t xml:space="preserve">经现场监督人员核实后，当场予以更正。 </w:t>
      </w:r>
    </w:p>
    <w:p>
      <w:pPr>
        <w:spacing w:after="0" w:line="364" w:lineRule="auto"/>
        <w:jc w:val="left"/>
        <w:rPr>
          <w:sz w:val="24"/>
        </w:rPr>
        <w:sectPr>
          <w:pgSz w:w="11910" w:h="16840"/>
          <w:pgMar w:top="1380" w:right="640" w:bottom="1180" w:left="680" w:header="0" w:footer="913" w:gutter="0"/>
          <w:cols w:space="720" w:num="1"/>
        </w:sectPr>
      </w:pPr>
    </w:p>
    <w:p>
      <w:pPr>
        <w:pStyle w:val="10"/>
        <w:numPr>
          <w:ilvl w:val="0"/>
          <w:numId w:val="9"/>
        </w:numPr>
        <w:tabs>
          <w:tab w:val="left" w:pos="1603"/>
        </w:tabs>
        <w:spacing w:before="41" w:after="0" w:line="240" w:lineRule="auto"/>
        <w:ind w:left="1602" w:right="0" w:hanging="485"/>
        <w:jc w:val="left"/>
      </w:pPr>
      <w:r>
        <w:t>开标程序</w:t>
      </w:r>
      <w:r>
        <w:rPr>
          <w:w w:val="99"/>
        </w:rPr>
        <w:t xml:space="preserve"> </w:t>
      </w:r>
    </w:p>
    <w:p>
      <w:pPr>
        <w:pStyle w:val="11"/>
        <w:spacing w:before="161" w:line="362" w:lineRule="auto"/>
        <w:ind w:left="1118" w:right="915" w:firstLine="479"/>
      </w:pPr>
      <w:r>
        <w:rPr>
          <w:spacing w:val="-5"/>
        </w:rPr>
        <w:t>开标会主持人按照招标文件规定的开标时间宣布开标，按照规定要求主持开标</w:t>
      </w:r>
      <w:r>
        <w:t xml:space="preserve">会。开标将按以下程序进行： </w:t>
      </w:r>
    </w:p>
    <w:p>
      <w:pPr>
        <w:pStyle w:val="28"/>
        <w:numPr>
          <w:ilvl w:val="0"/>
          <w:numId w:val="11"/>
        </w:numPr>
        <w:tabs>
          <w:tab w:val="left" w:pos="2201"/>
        </w:tabs>
        <w:spacing w:before="5" w:after="0" w:line="364" w:lineRule="auto"/>
        <w:ind w:left="1118" w:right="915" w:firstLine="479"/>
        <w:jc w:val="both"/>
        <w:rPr>
          <w:sz w:val="24"/>
        </w:rPr>
      </w:pPr>
      <w:r>
        <w:rPr>
          <w:sz w:val="24"/>
        </w:rPr>
        <w:t>宣布开标会开始。开标时间到，唱标人宣布开标会开始并致辞，当众宣</w:t>
      </w:r>
      <w:r>
        <w:rPr>
          <w:spacing w:val="-7"/>
          <w:sz w:val="24"/>
        </w:rPr>
        <w:t>布参加开标会的现场监督人员、唱标、会议记录等招标工作人员，根据“供应商签</w:t>
      </w:r>
      <w:r>
        <w:rPr>
          <w:sz w:val="24"/>
        </w:rPr>
        <w:t xml:space="preserve">到表”宣布参加投标的投标单位。 </w:t>
      </w:r>
    </w:p>
    <w:p>
      <w:pPr>
        <w:pStyle w:val="28"/>
        <w:numPr>
          <w:ilvl w:val="0"/>
          <w:numId w:val="11"/>
        </w:numPr>
        <w:tabs>
          <w:tab w:val="left" w:pos="2199"/>
        </w:tabs>
        <w:spacing w:before="0" w:after="0" w:line="305" w:lineRule="exact"/>
        <w:ind w:left="2199" w:right="0" w:hanging="601"/>
        <w:jc w:val="left"/>
        <w:rPr>
          <w:sz w:val="24"/>
        </w:rPr>
      </w:pPr>
      <w:r>
        <w:rPr>
          <w:sz w:val="24"/>
        </w:rPr>
        <w:t xml:space="preserve">宣布会场纪律和有关注意事项。 </w:t>
      </w:r>
    </w:p>
    <w:p>
      <w:pPr>
        <w:pStyle w:val="28"/>
        <w:numPr>
          <w:ilvl w:val="0"/>
          <w:numId w:val="11"/>
        </w:numPr>
        <w:tabs>
          <w:tab w:val="left" w:pos="2201"/>
        </w:tabs>
        <w:spacing w:before="161" w:after="0" w:line="362" w:lineRule="auto"/>
        <w:ind w:left="1118" w:right="920" w:firstLine="479"/>
        <w:jc w:val="left"/>
        <w:rPr>
          <w:sz w:val="24"/>
        </w:rPr>
      </w:pPr>
      <w:r>
        <w:rPr>
          <w:spacing w:val="-1"/>
          <w:sz w:val="24"/>
        </w:rPr>
        <w:t>监督人员、招标工作人员或随机抽取的供应商当众宣布检查投标文件的</w:t>
      </w:r>
      <w:r>
        <w:rPr>
          <w:sz w:val="24"/>
        </w:rPr>
        <w:t xml:space="preserve">密封情况。 </w:t>
      </w:r>
    </w:p>
    <w:p>
      <w:pPr>
        <w:pStyle w:val="28"/>
        <w:numPr>
          <w:ilvl w:val="0"/>
          <w:numId w:val="11"/>
        </w:numPr>
        <w:tabs>
          <w:tab w:val="left" w:pos="2186"/>
        </w:tabs>
        <w:spacing w:before="5" w:after="0" w:line="364" w:lineRule="auto"/>
        <w:ind w:left="1118" w:right="798" w:firstLine="460"/>
        <w:jc w:val="left"/>
        <w:rPr>
          <w:sz w:val="24"/>
        </w:rPr>
      </w:pPr>
      <w:r>
        <w:rPr>
          <w:sz w:val="24"/>
        </w:rPr>
        <w:t>开标唱标。主持人宣布开标后，由现场工作人员按任意顺序对供应商的</w:t>
      </w:r>
      <w:r>
        <w:rPr>
          <w:spacing w:val="-1"/>
          <w:sz w:val="24"/>
        </w:rPr>
        <w:t xml:space="preserve">“开标一览表”当众进行拆封，由唱标人员对其“开标一览表”的内容进行宣读， </w:t>
      </w:r>
      <w:r>
        <w:rPr>
          <w:spacing w:val="-7"/>
          <w:sz w:val="24"/>
        </w:rPr>
        <w:t xml:space="preserve">并做开标记录。唱标人员在唱标过程中，如遇有字迹不清楚的，应即刻报告，现场监督人员核实后，唱标人立即请供应商代表现场进行澄清。 </w:t>
      </w:r>
    </w:p>
    <w:p>
      <w:pPr>
        <w:pStyle w:val="28"/>
        <w:numPr>
          <w:ilvl w:val="0"/>
          <w:numId w:val="11"/>
        </w:numPr>
        <w:tabs>
          <w:tab w:val="left" w:pos="2201"/>
        </w:tabs>
        <w:spacing w:before="0" w:after="0" w:line="362" w:lineRule="auto"/>
        <w:ind w:left="1118" w:right="920" w:firstLine="479"/>
        <w:jc w:val="left"/>
        <w:rPr>
          <w:sz w:val="24"/>
        </w:rPr>
      </w:pPr>
      <w:r>
        <w:rPr>
          <w:spacing w:val="-1"/>
          <w:sz w:val="24"/>
        </w:rPr>
        <w:t>宣布开标会结束。唱标人宣布开标会结束后，所有供应商代表应立即退</w:t>
      </w:r>
      <w:r>
        <w:rPr>
          <w:sz w:val="24"/>
        </w:rPr>
        <w:t xml:space="preserve">场。 </w:t>
      </w:r>
    </w:p>
    <w:p>
      <w:pPr>
        <w:pStyle w:val="10"/>
        <w:numPr>
          <w:ilvl w:val="0"/>
          <w:numId w:val="9"/>
        </w:numPr>
        <w:tabs>
          <w:tab w:val="left" w:pos="1603"/>
        </w:tabs>
        <w:spacing w:before="3" w:after="0" w:line="364" w:lineRule="auto"/>
        <w:ind w:left="1118" w:right="1031" w:firstLine="0"/>
        <w:jc w:val="both"/>
      </w:pPr>
      <w:r>
        <w:rPr>
          <w:spacing w:val="-4"/>
        </w:rPr>
        <w:t>按照中华人民共和国财政部《政府采购货物和服务招标投标管理办法》</w:t>
      </w:r>
      <w:r>
        <w:t>（</w:t>
      </w:r>
      <w:r>
        <w:rPr>
          <w:spacing w:val="-2"/>
        </w:rPr>
        <w:t xml:space="preserve"> </w:t>
      </w:r>
      <w:r>
        <w:rPr>
          <w:rFonts w:ascii="Times New Roman" w:eastAsia="Times New Roman"/>
          <w:spacing w:val="-7"/>
        </w:rPr>
        <w:t xml:space="preserve">87 </w:t>
      </w:r>
      <w:r>
        <w:t>号令）</w:t>
      </w:r>
      <w:r>
        <w:rPr>
          <w:spacing w:val="-1"/>
        </w:rPr>
        <w:t>要求，开标结束后，采购人或者采购代理机构依法对供应商的资格进行审</w:t>
      </w:r>
      <w:r>
        <w:rPr>
          <w:spacing w:val="-3"/>
        </w:rPr>
        <w:t xml:space="preserve">查。审查通过后方可进入评委评审环节，合格供应商不足 </w:t>
      </w:r>
      <w:r>
        <w:t>3</w:t>
      </w:r>
      <w:r>
        <w:rPr>
          <w:spacing w:val="-8"/>
        </w:rPr>
        <w:t xml:space="preserve"> 家的，不得评标。</w:t>
      </w:r>
      <w:r>
        <w:rPr>
          <w:spacing w:val="-8"/>
          <w:w w:val="99"/>
        </w:rPr>
        <w:t xml:space="preserve"> </w:t>
      </w:r>
    </w:p>
    <w:p>
      <w:pPr>
        <w:pStyle w:val="11"/>
        <w:ind w:left="1118"/>
      </w:pPr>
      <w:r>
        <w:t xml:space="preserve">（见附表 1：资格性审查表、附表 2：符合性审查表） </w:t>
      </w:r>
    </w:p>
    <w:p>
      <w:pPr>
        <w:pStyle w:val="11"/>
        <w:spacing w:before="2"/>
        <w:ind w:left="1118"/>
      </w:pPr>
      <w:r>
        <w:t xml:space="preserve"> </w:t>
      </w:r>
    </w:p>
    <w:p>
      <w:pPr>
        <w:pStyle w:val="10"/>
        <w:numPr>
          <w:ilvl w:val="0"/>
          <w:numId w:val="9"/>
        </w:numPr>
        <w:tabs>
          <w:tab w:val="left" w:pos="1603"/>
        </w:tabs>
        <w:spacing w:before="160" w:after="0" w:line="240" w:lineRule="auto"/>
        <w:ind w:left="1602" w:right="0" w:hanging="485"/>
        <w:jc w:val="left"/>
      </w:pPr>
      <w:r>
        <w:t>评标委员会</w:t>
      </w:r>
      <w:r>
        <w:rPr>
          <w:w w:val="99"/>
        </w:rPr>
        <w:t xml:space="preserve"> </w:t>
      </w:r>
    </w:p>
    <w:p>
      <w:pPr>
        <w:pStyle w:val="28"/>
        <w:numPr>
          <w:ilvl w:val="1"/>
          <w:numId w:val="9"/>
        </w:numPr>
        <w:tabs>
          <w:tab w:val="left" w:pos="2150"/>
        </w:tabs>
        <w:spacing w:before="158" w:after="0" w:line="364" w:lineRule="auto"/>
        <w:ind w:left="1118" w:right="914" w:firstLine="460"/>
        <w:jc w:val="both"/>
        <w:rPr>
          <w:sz w:val="24"/>
        </w:rPr>
      </w:pPr>
      <w:r>
        <w:rPr>
          <w:b/>
          <w:spacing w:val="-4"/>
          <w:sz w:val="24"/>
        </w:rPr>
        <w:t xml:space="preserve">评标委员会一共 </w:t>
      </w:r>
      <w:r>
        <w:rPr>
          <w:b/>
          <w:sz w:val="24"/>
        </w:rPr>
        <w:t>5</w:t>
      </w:r>
      <w:r>
        <w:rPr>
          <w:b/>
          <w:spacing w:val="-8"/>
          <w:sz w:val="24"/>
        </w:rPr>
        <w:t xml:space="preserve"> 名成员</w:t>
      </w:r>
      <w:r>
        <w:rPr>
          <w:spacing w:val="-1"/>
          <w:sz w:val="24"/>
        </w:rPr>
        <w:t>，从海南省综合评标专家库中随机抽取</w:t>
      </w:r>
      <w:r>
        <w:rPr>
          <w:b/>
          <w:spacing w:val="-4"/>
          <w:sz w:val="24"/>
        </w:rPr>
        <w:t>相关专</w:t>
      </w:r>
      <w:r>
        <w:rPr>
          <w:b/>
          <w:spacing w:val="-13"/>
          <w:sz w:val="24"/>
        </w:rPr>
        <w:t>业的专家</w:t>
      </w:r>
      <w:r>
        <w:rPr>
          <w:rFonts w:hint="eastAsia"/>
          <w:b/>
          <w:spacing w:val="-13"/>
          <w:sz w:val="24"/>
          <w:lang w:val="en-US" w:eastAsia="zh-CN"/>
        </w:rPr>
        <w:t>5</w:t>
      </w:r>
      <w:r>
        <w:rPr>
          <w:b/>
          <w:spacing w:val="-30"/>
          <w:sz w:val="24"/>
        </w:rPr>
        <w:t>名</w:t>
      </w:r>
      <w:r>
        <w:rPr>
          <w:spacing w:val="-10"/>
          <w:sz w:val="24"/>
        </w:rPr>
        <w:t>共同组成评标委员会，其中技术、经济等方面的专</w:t>
      </w:r>
      <w:r>
        <w:rPr>
          <w:spacing w:val="-46"/>
          <w:sz w:val="24"/>
        </w:rPr>
        <w:t>家</w:t>
      </w:r>
      <w:r>
        <w:rPr>
          <w:sz w:val="24"/>
        </w:rPr>
        <w:t>（即从海南省综合评标专家库中随机抽取相关专业的专家</w:t>
      </w:r>
      <w:r>
        <w:rPr>
          <w:spacing w:val="-46"/>
          <w:sz w:val="24"/>
        </w:rPr>
        <w:t>）</w:t>
      </w:r>
      <w:r>
        <w:rPr>
          <w:spacing w:val="-2"/>
          <w:sz w:val="24"/>
        </w:rPr>
        <w:t>不得少于成员总数的</w:t>
      </w:r>
      <w:r>
        <w:rPr>
          <w:sz w:val="24"/>
        </w:rPr>
        <w:t xml:space="preserve">2/3。该评标委员会独立工作，负责评审所有投标文件并确定中标侯选人。评标委员会成员实行主动回避制度。 </w:t>
      </w:r>
    </w:p>
    <w:p>
      <w:pPr>
        <w:pStyle w:val="28"/>
        <w:numPr>
          <w:ilvl w:val="1"/>
          <w:numId w:val="9"/>
        </w:numPr>
        <w:tabs>
          <w:tab w:val="left" w:pos="2182"/>
        </w:tabs>
        <w:spacing w:before="0" w:after="0" w:line="364" w:lineRule="auto"/>
        <w:ind w:left="1118" w:right="915" w:firstLine="460"/>
        <w:jc w:val="both"/>
        <w:rPr>
          <w:sz w:val="24"/>
        </w:rPr>
      </w:pPr>
      <w:r>
        <w:rPr>
          <w:spacing w:val="-1"/>
          <w:sz w:val="24"/>
        </w:rPr>
        <w:t>评标委员会成员对需要共同认定的事项存在争议的，应当按照少数服从</w:t>
      </w:r>
      <w:r>
        <w:rPr>
          <w:spacing w:val="-10"/>
          <w:sz w:val="24"/>
        </w:rPr>
        <w:t>多数的原则作出结论。持不同意见的评标委员会成员应当在评标报告上签署不同意</w:t>
      </w:r>
      <w:r>
        <w:rPr>
          <w:sz w:val="24"/>
        </w:rPr>
        <w:t xml:space="preserve">见及理由，否则视为同意评标报告。 </w:t>
      </w:r>
    </w:p>
    <w:p>
      <w:pPr>
        <w:pStyle w:val="28"/>
        <w:numPr>
          <w:ilvl w:val="1"/>
          <w:numId w:val="9"/>
        </w:numPr>
        <w:tabs>
          <w:tab w:val="left" w:pos="2060"/>
        </w:tabs>
        <w:spacing w:before="0" w:after="0" w:line="307" w:lineRule="exact"/>
        <w:ind w:left="2059" w:right="0" w:hanging="482"/>
        <w:jc w:val="left"/>
        <w:rPr>
          <w:sz w:val="22"/>
        </w:rPr>
      </w:pPr>
      <w:r>
        <w:rPr>
          <w:sz w:val="24"/>
        </w:rPr>
        <w:t xml:space="preserve">评标委员会及其成员不得有下列行为： </w:t>
      </w:r>
    </w:p>
    <w:p>
      <w:pPr>
        <w:spacing w:after="0" w:line="307" w:lineRule="exact"/>
        <w:jc w:val="left"/>
        <w:rPr>
          <w:sz w:val="22"/>
        </w:rPr>
        <w:sectPr>
          <w:pgSz w:w="11910" w:h="16840"/>
          <w:pgMar w:top="1380" w:right="640" w:bottom="1180" w:left="680" w:header="0" w:footer="913" w:gutter="0"/>
          <w:cols w:space="720" w:num="1"/>
        </w:sectPr>
      </w:pPr>
    </w:p>
    <w:p>
      <w:pPr>
        <w:pStyle w:val="11"/>
        <w:spacing w:before="41"/>
        <w:ind w:left="2058"/>
      </w:pPr>
      <w:r>
        <w:t xml:space="preserve">（1）确定参与评标至评标结束前私自接触供应商； </w:t>
      </w:r>
    </w:p>
    <w:p>
      <w:pPr>
        <w:pStyle w:val="11"/>
        <w:spacing w:before="161" w:line="362" w:lineRule="auto"/>
        <w:ind w:left="1118" w:right="919" w:firstLine="460"/>
      </w:pPr>
      <w:r>
        <w:t xml:space="preserve">    （2）接受供应商提出的与投标文件不一致的澄清或者说明，招标文件第五章评标办法和程序“三、评标程序 2.4”条规定的情形除外； </w:t>
      </w:r>
    </w:p>
    <w:p>
      <w:pPr>
        <w:pStyle w:val="11"/>
        <w:spacing w:before="5"/>
        <w:ind w:left="1578"/>
      </w:pPr>
      <w:r>
        <w:t xml:space="preserve">    （3）违反评标纪律发表倾向性意见或者征询采购人的倾向性意见； </w:t>
      </w:r>
    </w:p>
    <w:p>
      <w:pPr>
        <w:pStyle w:val="11"/>
        <w:spacing w:before="158"/>
        <w:ind w:left="1578"/>
      </w:pPr>
      <w:r>
        <w:t xml:space="preserve">    （4）对需要专业判断的主观评审因素协商评分； </w:t>
      </w:r>
    </w:p>
    <w:p>
      <w:pPr>
        <w:pStyle w:val="11"/>
        <w:spacing w:before="161"/>
        <w:ind w:left="1578"/>
      </w:pPr>
      <w:r>
        <w:t xml:space="preserve">    （5）在评标过程中擅离职守，影响评标程序正常进行的； </w:t>
      </w:r>
    </w:p>
    <w:p>
      <w:pPr>
        <w:pStyle w:val="11"/>
        <w:spacing w:before="158"/>
        <w:ind w:left="1578"/>
      </w:pPr>
      <w:r>
        <w:t xml:space="preserve">    （6）记录、复制或者带走任何评标资料； </w:t>
      </w:r>
    </w:p>
    <w:p>
      <w:pPr>
        <w:spacing w:before="160" w:line="362" w:lineRule="auto"/>
        <w:ind w:left="1118" w:right="4685" w:firstLine="460"/>
        <w:jc w:val="left"/>
        <w:rPr>
          <w:b/>
          <w:sz w:val="24"/>
        </w:rPr>
      </w:pPr>
      <w:r>
        <w:rPr>
          <w:sz w:val="24"/>
        </w:rPr>
        <w:t xml:space="preserve">    （7）其他不遵守评标纪律的行为。</w:t>
      </w:r>
      <w:r>
        <w:rPr>
          <w:b/>
          <w:sz w:val="24"/>
        </w:rPr>
        <w:t>26．评标</w:t>
      </w:r>
      <w:r>
        <w:rPr>
          <w:b/>
          <w:w w:val="99"/>
          <w:sz w:val="24"/>
        </w:rPr>
        <w:t xml:space="preserve"> </w:t>
      </w:r>
    </w:p>
    <w:p>
      <w:pPr>
        <w:spacing w:before="6" w:line="362" w:lineRule="auto"/>
        <w:ind w:left="1118" w:right="4305" w:firstLine="479"/>
        <w:jc w:val="left"/>
        <w:rPr>
          <w:b/>
          <w:sz w:val="24"/>
        </w:rPr>
      </w:pPr>
      <w:r>
        <w:rPr>
          <w:spacing w:val="-7"/>
          <w:sz w:val="24"/>
        </w:rPr>
        <w:t>评标办法详见“第五章 评标办法和程序”。</w:t>
      </w:r>
      <w:r>
        <w:rPr>
          <w:b/>
          <w:spacing w:val="-7"/>
          <w:sz w:val="24"/>
        </w:rPr>
        <w:t>27．定标</w:t>
      </w:r>
      <w:r>
        <w:rPr>
          <w:b/>
          <w:spacing w:val="-7"/>
          <w:w w:val="99"/>
          <w:sz w:val="24"/>
        </w:rPr>
        <w:t xml:space="preserve"> </w:t>
      </w:r>
    </w:p>
    <w:p>
      <w:pPr>
        <w:pStyle w:val="28"/>
        <w:numPr>
          <w:ilvl w:val="1"/>
          <w:numId w:val="12"/>
        </w:numPr>
        <w:tabs>
          <w:tab w:val="left" w:pos="2119"/>
        </w:tabs>
        <w:spacing w:before="5" w:after="0" w:line="240" w:lineRule="auto"/>
        <w:ind w:left="2118" w:right="0" w:hanging="541"/>
        <w:jc w:val="left"/>
        <w:rPr>
          <w:sz w:val="24"/>
        </w:rPr>
      </w:pPr>
      <w:r>
        <w:rPr>
          <w:sz w:val="24"/>
        </w:rPr>
        <w:t xml:space="preserve">定标原则 </w:t>
      </w:r>
    </w:p>
    <w:p>
      <w:pPr>
        <w:pStyle w:val="11"/>
        <w:spacing w:before="158" w:line="364" w:lineRule="auto"/>
        <w:ind w:left="1118" w:right="915" w:firstLine="460"/>
        <w:jc w:val="both"/>
      </w:pPr>
      <w:r>
        <w:rPr>
          <w:spacing w:val="-1"/>
        </w:rPr>
        <w:t>评标委员会将严格按照投标文件的要求和条件进行评标,根据评标办法推荐排</w:t>
      </w:r>
      <w:r>
        <w:rPr>
          <w:spacing w:val="-7"/>
        </w:rPr>
        <w:t>名前三的供应商为中标候选人，其中排名第一的供应商为第一中标候选人。采购人</w:t>
      </w:r>
      <w:r>
        <w:rPr>
          <w:spacing w:val="-5"/>
        </w:rPr>
        <w:t>将确定排名第一的中标候选人为中标人并向其授予合同。排名第一的中标候选人因</w:t>
      </w:r>
      <w:r>
        <w:rPr>
          <w:spacing w:val="-7"/>
        </w:rPr>
        <w:t>不可抗力或者自身原因不能履行合同，或者本文件规定应当提交履约保证金而在规</w:t>
      </w:r>
      <w:r>
        <w:rPr>
          <w:spacing w:val="-9"/>
        </w:rPr>
        <w:t>定期限未能提交的，或者是评标委员会出现评标错误，被他人质疑后证实确有其事</w:t>
      </w:r>
      <w:r>
        <w:t xml:space="preserve">的，采购人将把合同授予排名第二的中标候选人或重新组织招标。如此类推。 </w:t>
      </w:r>
    </w:p>
    <w:p>
      <w:pPr>
        <w:pStyle w:val="28"/>
        <w:numPr>
          <w:ilvl w:val="1"/>
          <w:numId w:val="12"/>
        </w:numPr>
        <w:tabs>
          <w:tab w:val="left" w:pos="2060"/>
        </w:tabs>
        <w:spacing w:before="0" w:after="0" w:line="362" w:lineRule="auto"/>
        <w:ind w:left="1118" w:right="917" w:firstLine="460"/>
        <w:jc w:val="left"/>
        <w:rPr>
          <w:sz w:val="24"/>
        </w:rPr>
      </w:pPr>
      <w:r>
        <w:rPr>
          <w:spacing w:val="-2"/>
          <w:sz w:val="24"/>
        </w:rPr>
        <w:t>采购代理机构将在指定的网站</w:t>
      </w:r>
      <w:r>
        <w:rPr>
          <w:sz w:val="24"/>
        </w:rPr>
        <w:t>（</w:t>
      </w:r>
      <w:r>
        <w:rPr>
          <w:spacing w:val="-10"/>
          <w:sz w:val="24"/>
        </w:rPr>
        <w:t>见第一章中的“发布媒介”</w:t>
      </w:r>
      <w:r>
        <w:rPr>
          <w:spacing w:val="-72"/>
          <w:sz w:val="24"/>
        </w:rPr>
        <w:t>）</w:t>
      </w:r>
      <w:r>
        <w:rPr>
          <w:spacing w:val="-4"/>
          <w:sz w:val="24"/>
        </w:rPr>
        <w:t>上公示投标</w:t>
      </w:r>
      <w:r>
        <w:rPr>
          <w:sz w:val="24"/>
        </w:rPr>
        <w:t xml:space="preserve">结果。 </w:t>
      </w:r>
    </w:p>
    <w:p>
      <w:pPr>
        <w:pStyle w:val="10"/>
        <w:spacing w:before="4"/>
      </w:pPr>
      <w:r>
        <w:t>28．接受和拒绝任何或所有投标的权力</w:t>
      </w:r>
      <w:r>
        <w:rPr>
          <w:w w:val="99"/>
        </w:rPr>
        <w:t xml:space="preserve"> </w:t>
      </w:r>
    </w:p>
    <w:p>
      <w:pPr>
        <w:pStyle w:val="11"/>
        <w:spacing w:before="158" w:line="364" w:lineRule="auto"/>
        <w:ind w:left="1118" w:right="793" w:firstLine="460"/>
        <w:jc w:val="both"/>
        <w:rPr>
          <w:b/>
        </w:rPr>
      </w:pPr>
      <w:r>
        <w:t>在特殊情况下，评标委员会、采购代理机构和采购人在报经监管部门同意后， 保留在授标之前拒绝任何响应投标以及宣布采购程序无效或拒绝所有投标的权力。</w:t>
      </w:r>
      <w:r>
        <w:rPr>
          <w:b/>
        </w:rPr>
        <w:t>29．中标通知书</w:t>
      </w:r>
      <w:r>
        <w:rPr>
          <w:b/>
          <w:w w:val="99"/>
        </w:rPr>
        <w:t xml:space="preserve"> </w:t>
      </w:r>
    </w:p>
    <w:p>
      <w:pPr>
        <w:pStyle w:val="28"/>
        <w:numPr>
          <w:ilvl w:val="1"/>
          <w:numId w:val="13"/>
        </w:numPr>
        <w:tabs>
          <w:tab w:val="left" w:pos="2082"/>
        </w:tabs>
        <w:spacing w:before="0" w:after="0" w:line="307" w:lineRule="exact"/>
        <w:ind w:left="2081" w:right="0" w:hanging="484"/>
        <w:jc w:val="left"/>
        <w:rPr>
          <w:sz w:val="24"/>
        </w:rPr>
      </w:pPr>
      <w:r>
        <w:rPr>
          <w:spacing w:val="-1"/>
          <w:sz w:val="24"/>
        </w:rPr>
        <w:t xml:space="preserve">定标后,采购代理机构应将定标结果通知所有的供应商。 </w:t>
      </w:r>
    </w:p>
    <w:p>
      <w:pPr>
        <w:pStyle w:val="28"/>
        <w:numPr>
          <w:ilvl w:val="1"/>
          <w:numId w:val="13"/>
        </w:numPr>
        <w:tabs>
          <w:tab w:val="left" w:pos="2198"/>
        </w:tabs>
        <w:spacing w:before="159" w:after="0" w:line="364" w:lineRule="auto"/>
        <w:ind w:left="1118" w:right="922" w:firstLine="479"/>
        <w:jc w:val="left"/>
        <w:rPr>
          <w:sz w:val="24"/>
        </w:rPr>
      </w:pPr>
      <w:r>
        <w:rPr>
          <w:spacing w:val="-1"/>
          <w:sz w:val="24"/>
        </w:rPr>
        <w:t>中标人收到中标通知后，应在规定时间内到采购代理机构处领取中标通</w:t>
      </w:r>
      <w:r>
        <w:rPr>
          <w:sz w:val="24"/>
        </w:rPr>
        <w:t xml:space="preserve">知书，并办理相关手续。 </w:t>
      </w:r>
    </w:p>
    <w:p>
      <w:pPr>
        <w:pStyle w:val="28"/>
        <w:numPr>
          <w:ilvl w:val="1"/>
          <w:numId w:val="13"/>
        </w:numPr>
        <w:tabs>
          <w:tab w:val="left" w:pos="2138"/>
        </w:tabs>
        <w:spacing w:before="0" w:after="0" w:line="306" w:lineRule="exact"/>
        <w:ind w:left="2138" w:right="0" w:hanging="540"/>
        <w:jc w:val="left"/>
        <w:rPr>
          <w:sz w:val="24"/>
        </w:rPr>
      </w:pPr>
      <w:r>
        <w:rPr>
          <w:sz w:val="24"/>
        </w:rPr>
        <w:t xml:space="preserve">中标通知书为签订政府采购合同的依据，是合同的有效组成部分。 </w:t>
      </w:r>
    </w:p>
    <w:p>
      <w:pPr>
        <w:pStyle w:val="28"/>
        <w:numPr>
          <w:ilvl w:val="1"/>
          <w:numId w:val="13"/>
        </w:numPr>
        <w:tabs>
          <w:tab w:val="left" w:pos="2110"/>
        </w:tabs>
        <w:spacing w:before="160" w:after="0" w:line="362" w:lineRule="auto"/>
        <w:ind w:left="1118" w:right="913" w:firstLine="479"/>
        <w:jc w:val="left"/>
        <w:rPr>
          <w:sz w:val="24"/>
        </w:rPr>
      </w:pPr>
      <w:r>
        <w:rPr>
          <w:spacing w:val="-7"/>
          <w:sz w:val="24"/>
        </w:rPr>
        <w:t>中标通知书对采购人和中标人均具有法律效力，非因法定事由不得变更。</w:t>
      </w:r>
      <w:r>
        <w:rPr>
          <w:spacing w:val="-8"/>
          <w:sz w:val="24"/>
        </w:rPr>
        <w:t>中标通知书发出后，采购人改变中标结果，或者中标人无正当理由放弃中标的，应</w:t>
      </w:r>
    </w:p>
    <w:p>
      <w:pPr>
        <w:spacing w:after="0" w:line="362" w:lineRule="auto"/>
        <w:jc w:val="left"/>
        <w:rPr>
          <w:sz w:val="24"/>
        </w:rPr>
        <w:sectPr>
          <w:pgSz w:w="11910" w:h="16840"/>
          <w:pgMar w:top="1380" w:right="640" w:bottom="1180" w:left="680" w:header="0" w:footer="913" w:gutter="0"/>
          <w:cols w:space="720" w:num="1"/>
        </w:sectPr>
      </w:pPr>
    </w:p>
    <w:p>
      <w:pPr>
        <w:pStyle w:val="11"/>
        <w:spacing w:before="41"/>
        <w:ind w:left="1118"/>
      </w:pPr>
      <w:r>
        <w:t xml:space="preserve">当承担相应的法律责任。 </w:t>
      </w:r>
    </w:p>
    <w:p>
      <w:pPr>
        <w:pStyle w:val="28"/>
        <w:numPr>
          <w:ilvl w:val="1"/>
          <w:numId w:val="13"/>
        </w:numPr>
        <w:tabs>
          <w:tab w:val="left" w:pos="2198"/>
        </w:tabs>
        <w:spacing w:before="161" w:after="0" w:line="364" w:lineRule="auto"/>
        <w:ind w:left="1118" w:right="916" w:firstLine="479"/>
        <w:jc w:val="both"/>
        <w:rPr>
          <w:sz w:val="24"/>
        </w:rPr>
      </w:pPr>
      <w:r>
        <w:rPr>
          <w:sz w:val="24"/>
        </w:rPr>
        <w:t>中标人的投标文件本应作为无效投标处理或者有政府采购法律法规规章</w:t>
      </w:r>
      <w:r>
        <w:rPr>
          <w:spacing w:val="-7"/>
          <w:sz w:val="24"/>
        </w:rPr>
        <w:t>制度规定的中标无效情形的，采购代理机构在取得有权主体的认定以后，应当宣布</w:t>
      </w:r>
      <w:r>
        <w:rPr>
          <w:sz w:val="24"/>
        </w:rPr>
        <w:t>发出的中标通知书无效，并收回发出的中标通知书（中标人也应当缴回</w:t>
      </w:r>
      <w:r>
        <w:rPr>
          <w:spacing w:val="-120"/>
          <w:sz w:val="24"/>
        </w:rPr>
        <w:t>）</w:t>
      </w:r>
      <w:r>
        <w:rPr>
          <w:spacing w:val="-4"/>
          <w:sz w:val="24"/>
        </w:rPr>
        <w:t>，依法重</w:t>
      </w:r>
      <w:r>
        <w:rPr>
          <w:sz w:val="24"/>
        </w:rPr>
        <w:t xml:space="preserve">新确定中标人或者重新开展采购活动。 </w:t>
      </w:r>
    </w:p>
    <w:p>
      <w:pPr>
        <w:pStyle w:val="10"/>
        <w:numPr>
          <w:ilvl w:val="0"/>
          <w:numId w:val="14"/>
        </w:numPr>
        <w:tabs>
          <w:tab w:val="left" w:pos="1603"/>
        </w:tabs>
        <w:spacing w:before="0" w:after="0" w:line="305" w:lineRule="exact"/>
        <w:ind w:left="1602" w:right="0" w:hanging="485"/>
        <w:jc w:val="left"/>
      </w:pPr>
      <w:r>
        <w:t>质疑处理</w:t>
      </w:r>
      <w:r>
        <w:rPr>
          <w:w w:val="99"/>
        </w:rPr>
        <w:t xml:space="preserve"> </w:t>
      </w:r>
    </w:p>
    <w:p>
      <w:pPr>
        <w:pStyle w:val="11"/>
        <w:spacing w:before="158" w:line="364" w:lineRule="auto"/>
        <w:ind w:left="1118" w:right="677" w:firstLine="460"/>
      </w:pPr>
      <w:r>
        <w:t xml:space="preserve"> 30.1</w:t>
      </w:r>
      <w:r>
        <w:rPr>
          <w:spacing w:val="-8"/>
        </w:rPr>
        <w:t xml:space="preserve"> 供应商如认为招标文件、采购过程和中标结果使自己的权益受到损害的， </w:t>
      </w:r>
      <w:r>
        <w:t>应在知道或应知道其权益受到损害之日起 7 个工作日内以书面形式向采购代理机构提出质疑。匿名、非书面形式、7</w:t>
      </w:r>
      <w:r>
        <w:rPr>
          <w:spacing w:val="-8"/>
        </w:rPr>
        <w:t xml:space="preserve"> 个工作日之外的质疑均不予受理。</w:t>
      </w:r>
    </w:p>
    <w:p>
      <w:pPr>
        <w:pStyle w:val="11"/>
        <w:spacing w:before="5"/>
        <w:rPr>
          <w:sz w:val="20"/>
        </w:rPr>
      </w:pPr>
    </w:p>
    <w:p>
      <w:pPr>
        <w:pStyle w:val="5"/>
        <w:ind w:left="1118"/>
        <w:outlineLvl w:val="1"/>
      </w:pPr>
      <w:bookmarkStart w:id="11" w:name="_Toc20915"/>
      <w:r>
        <w:t>五、签订及履行合同和验收</w:t>
      </w:r>
      <w:bookmarkEnd w:id="11"/>
    </w:p>
    <w:p>
      <w:pPr>
        <w:pStyle w:val="11"/>
        <w:spacing w:before="9"/>
        <w:rPr>
          <w:b/>
          <w:sz w:val="43"/>
        </w:rPr>
      </w:pPr>
    </w:p>
    <w:p>
      <w:pPr>
        <w:pStyle w:val="10"/>
        <w:numPr>
          <w:ilvl w:val="0"/>
          <w:numId w:val="14"/>
        </w:numPr>
        <w:tabs>
          <w:tab w:val="left" w:pos="1603"/>
        </w:tabs>
        <w:spacing w:before="0" w:after="0" w:line="240" w:lineRule="auto"/>
        <w:ind w:left="1602" w:right="0" w:hanging="485"/>
        <w:jc w:val="left"/>
      </w:pPr>
      <w:r>
        <w:t>签订合同</w:t>
      </w:r>
      <w:r>
        <w:rPr>
          <w:w w:val="99"/>
        </w:rPr>
        <w:t xml:space="preserve"> </w:t>
      </w:r>
    </w:p>
    <w:p>
      <w:pPr>
        <w:pStyle w:val="28"/>
        <w:numPr>
          <w:ilvl w:val="1"/>
          <w:numId w:val="14"/>
        </w:numPr>
        <w:tabs>
          <w:tab w:val="left" w:pos="2079"/>
        </w:tabs>
        <w:spacing w:before="161" w:after="0" w:line="364" w:lineRule="auto"/>
        <w:ind w:left="1118" w:right="915" w:firstLine="479"/>
        <w:jc w:val="both"/>
        <w:rPr>
          <w:sz w:val="24"/>
        </w:rPr>
      </w:pPr>
      <w:r>
        <w:rPr>
          <w:spacing w:val="-1"/>
          <w:sz w:val="24"/>
        </w:rPr>
        <w:t>中标人在收到招标人发出的《中标通知书》后，应在规定的时间内与采</w:t>
      </w:r>
      <w:r>
        <w:rPr>
          <w:spacing w:val="-11"/>
          <w:sz w:val="24"/>
        </w:rPr>
        <w:t>购人签订采购合同。由于中标人的原因逾期或无正当理由不与采购人签订采购合同</w:t>
      </w:r>
      <w:r>
        <w:rPr>
          <w:spacing w:val="-12"/>
          <w:sz w:val="24"/>
        </w:rPr>
        <w:t>的，将视为放弃中标，取消其中标资格、不予退还投标保证金将并将按相关规定进</w:t>
      </w:r>
      <w:r>
        <w:rPr>
          <w:sz w:val="24"/>
        </w:rPr>
        <w:t xml:space="preserve">行处理，给采购人和采购代理机构造成损失的，供应商还应承担赔偿责任。 </w:t>
      </w:r>
    </w:p>
    <w:p>
      <w:pPr>
        <w:pStyle w:val="28"/>
        <w:numPr>
          <w:ilvl w:val="1"/>
          <w:numId w:val="14"/>
        </w:numPr>
        <w:tabs>
          <w:tab w:val="left" w:pos="2019"/>
        </w:tabs>
        <w:spacing w:before="0" w:after="0" w:line="362" w:lineRule="auto"/>
        <w:ind w:left="1118" w:right="924" w:firstLine="419"/>
        <w:jc w:val="left"/>
        <w:rPr>
          <w:sz w:val="24"/>
        </w:rPr>
      </w:pPr>
      <w:r>
        <w:rPr>
          <w:sz w:val="24"/>
        </w:rPr>
        <w:t xml:space="preserve">中标人因不可抗力原因不能履行采购合同或放弃中标的，采购人可以与排在中标人之后第一位的中标候选人签订采购合同，以此类推。 </w:t>
      </w:r>
    </w:p>
    <w:p>
      <w:pPr>
        <w:pStyle w:val="28"/>
        <w:numPr>
          <w:ilvl w:val="1"/>
          <w:numId w:val="14"/>
        </w:numPr>
        <w:tabs>
          <w:tab w:val="left" w:pos="2019"/>
        </w:tabs>
        <w:spacing w:before="3" w:after="0" w:line="364" w:lineRule="auto"/>
        <w:ind w:left="1118" w:right="915" w:firstLine="419"/>
        <w:jc w:val="both"/>
        <w:rPr>
          <w:sz w:val="24"/>
        </w:rPr>
      </w:pPr>
      <w:r>
        <w:rPr>
          <w:sz w:val="24"/>
        </w:rPr>
        <w:t>采购人不得向中标人提出任何不合理的要求，作为签订合同的条件，不</w:t>
      </w:r>
      <w:r>
        <w:rPr>
          <w:spacing w:val="-5"/>
          <w:sz w:val="24"/>
        </w:rPr>
        <w:t>得与中标人私下订立背离合同实质性内容的任何协议，所签订的合同不得对招标文</w:t>
      </w:r>
      <w:r>
        <w:rPr>
          <w:sz w:val="24"/>
        </w:rPr>
        <w:t xml:space="preserve">件和中标人投标文件作实质性修改。 </w:t>
      </w:r>
    </w:p>
    <w:p>
      <w:pPr>
        <w:pStyle w:val="28"/>
        <w:numPr>
          <w:ilvl w:val="1"/>
          <w:numId w:val="14"/>
        </w:numPr>
        <w:tabs>
          <w:tab w:val="left" w:pos="2078"/>
        </w:tabs>
        <w:spacing w:before="0" w:after="0" w:line="362" w:lineRule="auto"/>
        <w:ind w:left="1118" w:right="915" w:firstLine="419"/>
        <w:jc w:val="both"/>
        <w:rPr>
          <w:sz w:val="24"/>
        </w:rPr>
      </w:pPr>
      <w:r>
        <w:rPr>
          <w:spacing w:val="-11"/>
          <w:sz w:val="24"/>
        </w:rPr>
        <w:t>投标文件、中标人的投标文件及评标过程中有关澄清文件均应作为合同附</w:t>
      </w:r>
      <w:r>
        <w:rPr>
          <w:sz w:val="24"/>
        </w:rPr>
        <w:t xml:space="preserve">件。 </w:t>
      </w:r>
    </w:p>
    <w:p>
      <w:pPr>
        <w:pStyle w:val="28"/>
        <w:numPr>
          <w:ilvl w:val="1"/>
          <w:numId w:val="14"/>
        </w:numPr>
        <w:tabs>
          <w:tab w:val="left" w:pos="2019"/>
        </w:tabs>
        <w:spacing w:before="4" w:after="0" w:line="364" w:lineRule="auto"/>
        <w:ind w:left="1118" w:right="924" w:firstLine="419"/>
        <w:jc w:val="left"/>
        <w:rPr>
          <w:sz w:val="24"/>
        </w:rPr>
      </w:pPr>
      <w:r>
        <w:rPr>
          <w:sz w:val="24"/>
        </w:rPr>
        <w:t xml:space="preserve">中标人在合同签订之后三个工作日内，将签订的合同（原件一份）送采购代理机构财务留存。 </w:t>
      </w:r>
    </w:p>
    <w:p>
      <w:pPr>
        <w:pStyle w:val="10"/>
        <w:numPr>
          <w:ilvl w:val="0"/>
          <w:numId w:val="14"/>
        </w:numPr>
        <w:tabs>
          <w:tab w:val="left" w:pos="1603"/>
        </w:tabs>
        <w:spacing w:before="0" w:after="0" w:line="307" w:lineRule="exact"/>
        <w:ind w:left="1602" w:right="0" w:hanging="485"/>
        <w:jc w:val="left"/>
      </w:pPr>
      <w:r>
        <w:t>合同分包</w:t>
      </w:r>
      <w:r>
        <w:rPr>
          <w:w w:val="99"/>
        </w:rPr>
        <w:t xml:space="preserve"> </w:t>
      </w:r>
    </w:p>
    <w:p>
      <w:pPr>
        <w:pStyle w:val="28"/>
        <w:numPr>
          <w:ilvl w:val="1"/>
          <w:numId w:val="14"/>
        </w:numPr>
        <w:tabs>
          <w:tab w:val="left" w:pos="2079"/>
        </w:tabs>
        <w:spacing w:before="158" w:after="0" w:line="364" w:lineRule="auto"/>
        <w:ind w:left="1118" w:right="917" w:firstLine="479"/>
        <w:jc w:val="both"/>
        <w:rPr>
          <w:sz w:val="24"/>
        </w:rPr>
      </w:pPr>
      <w:r>
        <w:rPr>
          <w:sz w:val="24"/>
        </w:rPr>
        <w:t>经采购人同意，中标人可以依法采取分包方式履行合同。这种要求应当</w:t>
      </w:r>
      <w:r>
        <w:rPr>
          <w:spacing w:val="-7"/>
          <w:sz w:val="24"/>
        </w:rPr>
        <w:t>在合同签订之前征得采购人同意，并且分包单位履行的分包项目的品牌、规格型号</w:t>
      </w:r>
      <w:r>
        <w:rPr>
          <w:sz w:val="24"/>
        </w:rPr>
        <w:t xml:space="preserve">及技术要求等，必须与中标的一致。 </w:t>
      </w:r>
    </w:p>
    <w:p>
      <w:pPr>
        <w:spacing w:after="0" w:line="364" w:lineRule="auto"/>
        <w:jc w:val="both"/>
        <w:rPr>
          <w:sz w:val="24"/>
        </w:rPr>
        <w:sectPr>
          <w:pgSz w:w="11910" w:h="16840"/>
          <w:pgMar w:top="1380" w:right="640" w:bottom="1180" w:left="680" w:header="0" w:footer="913" w:gutter="0"/>
          <w:cols w:space="720" w:num="1"/>
        </w:sectPr>
      </w:pPr>
    </w:p>
    <w:p>
      <w:pPr>
        <w:pStyle w:val="28"/>
        <w:numPr>
          <w:ilvl w:val="1"/>
          <w:numId w:val="14"/>
        </w:numPr>
        <w:tabs>
          <w:tab w:val="left" w:pos="2094"/>
        </w:tabs>
        <w:spacing w:before="41" w:after="0" w:line="364" w:lineRule="auto"/>
        <w:ind w:left="1118" w:right="797" w:firstLine="494"/>
        <w:jc w:val="left"/>
        <w:rPr>
          <w:sz w:val="24"/>
        </w:rPr>
      </w:pPr>
      <w:r>
        <w:rPr>
          <w:spacing w:val="-10"/>
          <w:sz w:val="24"/>
        </w:rPr>
        <w:t xml:space="preserve">采购合同实行分包履行的，中标人就采购项目和分包项目向采购人负责， </w:t>
      </w:r>
      <w:r>
        <w:rPr>
          <w:sz w:val="24"/>
        </w:rPr>
        <w:t xml:space="preserve">分包单位就分包项目承担责任。 </w:t>
      </w:r>
    </w:p>
    <w:p>
      <w:pPr>
        <w:pStyle w:val="10"/>
        <w:numPr>
          <w:ilvl w:val="0"/>
          <w:numId w:val="14"/>
        </w:numPr>
        <w:tabs>
          <w:tab w:val="left" w:pos="1603"/>
        </w:tabs>
        <w:spacing w:before="0" w:after="0" w:line="307" w:lineRule="exact"/>
        <w:ind w:left="1602" w:right="0" w:hanging="485"/>
        <w:jc w:val="left"/>
      </w:pPr>
      <w:r>
        <w:t>采购人增加合同标的权利</w:t>
      </w:r>
      <w:r>
        <w:rPr>
          <w:w w:val="99"/>
        </w:rPr>
        <w:t xml:space="preserve"> </w:t>
      </w:r>
    </w:p>
    <w:p>
      <w:pPr>
        <w:pStyle w:val="11"/>
        <w:spacing w:before="161" w:line="364" w:lineRule="auto"/>
        <w:ind w:left="1118" w:right="917" w:firstLine="494"/>
        <w:jc w:val="both"/>
      </w:pPr>
      <w:r>
        <w:rPr>
          <w:spacing w:val="-9"/>
        </w:rPr>
        <w:t>采购合同履行过程中，采购人需要追加与合同标的相同的货物或者服务的，在</w:t>
      </w:r>
      <w:r>
        <w:rPr>
          <w:spacing w:val="-7"/>
        </w:rPr>
        <w:t>不改变合同其他条款的前提下，可以与中标供应商协商签订补充合同，但所有补充</w:t>
      </w:r>
      <w:r>
        <w:t xml:space="preserve">合同的采购金额不得超过原合同采购金额的百分之十。 </w:t>
      </w:r>
    </w:p>
    <w:p>
      <w:pPr>
        <w:pStyle w:val="10"/>
        <w:numPr>
          <w:ilvl w:val="0"/>
          <w:numId w:val="14"/>
        </w:numPr>
        <w:tabs>
          <w:tab w:val="left" w:pos="1603"/>
        </w:tabs>
        <w:spacing w:before="0" w:after="0" w:line="305" w:lineRule="exact"/>
        <w:ind w:left="1602" w:right="0" w:hanging="485"/>
        <w:jc w:val="left"/>
      </w:pPr>
      <w:r>
        <w:t>履行合同</w:t>
      </w:r>
      <w:r>
        <w:rPr>
          <w:w w:val="99"/>
        </w:rPr>
        <w:t xml:space="preserve"> </w:t>
      </w:r>
    </w:p>
    <w:p>
      <w:pPr>
        <w:pStyle w:val="11"/>
        <w:spacing w:before="160" w:line="362" w:lineRule="auto"/>
        <w:ind w:left="1118" w:right="920"/>
      </w:pPr>
      <w:r>
        <w:t xml:space="preserve">    34.1 中标人与采购人签订合同后，合同双方应严格执行合同条款，履行合同规定的义务，保证合同的顺利完成。 </w:t>
      </w:r>
    </w:p>
    <w:p>
      <w:pPr>
        <w:pStyle w:val="11"/>
        <w:spacing w:before="6" w:line="362" w:lineRule="auto"/>
        <w:ind w:left="1118" w:right="920"/>
      </w:pPr>
      <w:r>
        <w:t xml:space="preserve">    34.2 在合同履行过程中，如发生合同纠纷，合同双方应按照《合同法》的有关规定进行处理。 </w:t>
      </w:r>
    </w:p>
    <w:p>
      <w:pPr>
        <w:pStyle w:val="10"/>
        <w:numPr>
          <w:ilvl w:val="0"/>
          <w:numId w:val="14"/>
        </w:numPr>
        <w:tabs>
          <w:tab w:val="left" w:pos="1603"/>
        </w:tabs>
        <w:spacing w:before="5" w:after="0" w:line="240" w:lineRule="auto"/>
        <w:ind w:left="1602" w:right="0" w:hanging="485"/>
        <w:jc w:val="left"/>
      </w:pPr>
      <w:r>
        <w:t>采购代理服务费</w:t>
      </w:r>
      <w:r>
        <w:rPr>
          <w:w w:val="99"/>
        </w:rPr>
        <w:t xml:space="preserve"> </w:t>
      </w:r>
    </w:p>
    <w:p>
      <w:pPr>
        <w:pStyle w:val="11"/>
        <w:spacing w:before="6" w:line="362" w:lineRule="auto"/>
        <w:ind w:left="1118" w:right="920" w:firstLine="480" w:firstLineChars="200"/>
        <w:rPr>
          <w:rFonts w:hint="eastAsia"/>
          <w:lang w:eastAsia="zh-CN"/>
        </w:rPr>
      </w:pPr>
      <w:r>
        <w:t>代理服务费根据</w:t>
      </w:r>
      <w:r>
        <w:rPr>
          <w:rFonts w:hint="eastAsia"/>
          <w:lang w:eastAsia="zh-CN"/>
        </w:rPr>
        <w:t>五指山市自然资源和规划局</w:t>
      </w:r>
      <w:r>
        <w:t>组织招标代理单位公开选聘中选报价向中标人收取招标代理服务费，中标人在中标通知书发放后三日内一次性付清</w:t>
      </w:r>
      <w:r>
        <w:rPr>
          <w:rFonts w:hint="eastAsia"/>
          <w:lang w:eastAsia="zh-CN"/>
        </w:rPr>
        <w:t>。</w:t>
      </w:r>
    </w:p>
    <w:p>
      <w:pPr>
        <w:pStyle w:val="10"/>
        <w:numPr>
          <w:ilvl w:val="0"/>
          <w:numId w:val="14"/>
        </w:numPr>
        <w:tabs>
          <w:tab w:val="left" w:pos="1603"/>
        </w:tabs>
        <w:spacing w:before="0" w:after="0" w:line="240" w:lineRule="auto"/>
        <w:ind w:left="1602" w:right="0" w:hanging="485"/>
        <w:jc w:val="left"/>
      </w:pPr>
      <w:r>
        <w:t>其它</w:t>
      </w:r>
      <w:r>
        <w:rPr>
          <w:w w:val="99"/>
        </w:rPr>
        <w:t xml:space="preserve"> </w:t>
      </w:r>
    </w:p>
    <w:p>
      <w:pPr>
        <w:pStyle w:val="11"/>
        <w:spacing w:before="157"/>
        <w:ind w:left="1118"/>
      </w:pPr>
      <w:r>
        <w:t>本项目不召开答疑会。</w:t>
      </w:r>
    </w:p>
    <w:p>
      <w:pPr>
        <w:spacing w:after="0"/>
        <w:sectPr>
          <w:pgSz w:w="11910" w:h="16840"/>
          <w:pgMar w:top="1380" w:right="640" w:bottom="1180" w:left="680" w:header="0" w:footer="913" w:gutter="0"/>
          <w:cols w:space="720" w:num="1"/>
        </w:sectPr>
      </w:pPr>
    </w:p>
    <w:p>
      <w:pPr>
        <w:pStyle w:val="3"/>
        <w:outlineLvl w:val="0"/>
      </w:pPr>
      <w:bookmarkStart w:id="12" w:name="_Toc1832"/>
      <w:r>
        <w:t>第三章 用户需求书</w:t>
      </w:r>
      <w:bookmarkEnd w:id="12"/>
    </w:p>
    <w:p>
      <w:pPr>
        <w:spacing w:before="0" w:line="364" w:lineRule="auto"/>
        <w:ind w:left="1118" w:right="30" w:rightChars="0" w:firstLine="479"/>
        <w:jc w:val="left"/>
        <w:rPr>
          <w:rFonts w:hint="eastAsia" w:ascii="Times New Roman" w:eastAsia="Times New Roman"/>
          <w:sz w:val="24"/>
        </w:rPr>
      </w:pPr>
    </w:p>
    <w:p>
      <w:pPr>
        <w:spacing w:before="0" w:line="364" w:lineRule="auto"/>
        <w:ind w:left="1118" w:right="30" w:rightChars="0" w:firstLine="479"/>
        <w:jc w:val="left"/>
        <w:outlineLvl w:val="1"/>
        <w:rPr>
          <w:rFonts w:hint="eastAsia" w:ascii="Times New Roman" w:eastAsia="Times New Roman"/>
          <w:sz w:val="24"/>
          <w:lang w:eastAsia="zh-CN"/>
        </w:rPr>
      </w:pPr>
      <w:bookmarkStart w:id="13" w:name="_Toc6603"/>
      <w:r>
        <w:rPr>
          <w:rFonts w:hint="eastAsia" w:ascii="Times New Roman" w:eastAsia="Times New Roman"/>
          <w:sz w:val="24"/>
        </w:rPr>
        <w:t>一、项目名称：</w:t>
      </w:r>
      <w:r>
        <w:rPr>
          <w:rFonts w:hint="eastAsia" w:ascii="Times New Roman" w:eastAsia="Times New Roman"/>
          <w:sz w:val="24"/>
          <w:lang w:eastAsia="zh-CN"/>
        </w:rPr>
        <w:t>五指山市地质灾害风险普查项目</w:t>
      </w:r>
      <w:bookmarkEnd w:id="13"/>
    </w:p>
    <w:p>
      <w:pPr>
        <w:spacing w:before="0" w:line="364" w:lineRule="auto"/>
        <w:ind w:left="1118" w:right="30" w:rightChars="0" w:firstLine="479"/>
        <w:jc w:val="left"/>
        <w:outlineLvl w:val="1"/>
        <w:rPr>
          <w:rFonts w:hint="eastAsia" w:ascii="Times New Roman" w:eastAsia="Times New Roman"/>
          <w:sz w:val="24"/>
          <w:lang w:val="en-US" w:eastAsia="zh-CN"/>
        </w:rPr>
      </w:pPr>
      <w:bookmarkStart w:id="14" w:name="_Toc7954"/>
      <w:r>
        <w:rPr>
          <w:rFonts w:hint="eastAsia" w:ascii="Times New Roman" w:eastAsia="Times New Roman"/>
          <w:sz w:val="24"/>
          <w:lang w:val="en-US" w:eastAsia="zh-CN"/>
        </w:rPr>
        <w:t>二、采购单位：五指山市自然资源和规划局</w:t>
      </w:r>
      <w:bookmarkEnd w:id="14"/>
    </w:p>
    <w:p>
      <w:pPr>
        <w:spacing w:before="0" w:line="364" w:lineRule="auto"/>
        <w:ind w:left="1118" w:right="30" w:rightChars="0" w:firstLine="479"/>
        <w:jc w:val="left"/>
        <w:outlineLvl w:val="1"/>
        <w:rPr>
          <w:rFonts w:hint="eastAsia" w:ascii="Times New Roman" w:eastAsia="Times New Roman"/>
          <w:sz w:val="24"/>
          <w:lang w:eastAsia="zh-CN"/>
        </w:rPr>
      </w:pPr>
      <w:bookmarkStart w:id="15" w:name="_Toc5402"/>
      <w:r>
        <w:rPr>
          <w:rFonts w:hint="eastAsia" w:ascii="Times New Roman" w:eastAsia="Times New Roman"/>
          <w:sz w:val="24"/>
          <w:lang w:eastAsia="zh-CN"/>
        </w:rPr>
        <w:t>三</w:t>
      </w:r>
      <w:r>
        <w:rPr>
          <w:rFonts w:hint="eastAsia" w:ascii="Times New Roman" w:eastAsia="Times New Roman"/>
          <w:sz w:val="24"/>
        </w:rPr>
        <w:t>、预算金额：</w:t>
      </w:r>
      <w:r>
        <w:rPr>
          <w:rFonts w:hint="eastAsia" w:ascii="Times New Roman" w:eastAsia="Times New Roman"/>
          <w:sz w:val="24"/>
          <w:lang w:val="en-US" w:eastAsia="zh-CN"/>
        </w:rPr>
        <w:t>2024500</w:t>
      </w:r>
      <w:r>
        <w:rPr>
          <w:rFonts w:hint="eastAsia" w:ascii="Times New Roman" w:eastAsia="Times New Roman"/>
          <w:sz w:val="24"/>
        </w:rPr>
        <w:t>.00元</w:t>
      </w:r>
      <w:r>
        <w:rPr>
          <w:rFonts w:hint="eastAsia" w:ascii="Times New Roman" w:eastAsia="Times New Roman"/>
          <w:sz w:val="24"/>
          <w:lang w:eastAsia="zh-CN"/>
        </w:rPr>
        <w:t>（包干）</w:t>
      </w:r>
      <w:bookmarkEnd w:id="15"/>
    </w:p>
    <w:p>
      <w:pPr>
        <w:spacing w:before="0" w:line="364" w:lineRule="auto"/>
        <w:ind w:left="1118" w:right="30" w:rightChars="0" w:firstLine="479"/>
        <w:jc w:val="left"/>
        <w:outlineLvl w:val="1"/>
        <w:rPr>
          <w:rFonts w:hint="eastAsia" w:ascii="Times New Roman" w:eastAsia="Times New Roman"/>
          <w:sz w:val="24"/>
        </w:rPr>
      </w:pPr>
      <w:bookmarkStart w:id="16" w:name="_Toc10521"/>
      <w:r>
        <w:rPr>
          <w:rFonts w:hint="eastAsia" w:ascii="Times New Roman" w:eastAsia="Times New Roman"/>
          <w:sz w:val="24"/>
          <w:lang w:eastAsia="zh-CN"/>
        </w:rPr>
        <w:t>四</w:t>
      </w:r>
      <w:r>
        <w:rPr>
          <w:rFonts w:hint="eastAsia" w:ascii="Times New Roman" w:eastAsia="Times New Roman"/>
          <w:sz w:val="24"/>
        </w:rPr>
        <w:t>、服务期限：</w:t>
      </w:r>
      <w:r>
        <w:rPr>
          <w:rFonts w:hint="eastAsia" w:ascii="Times New Roman" w:eastAsia="Times New Roman"/>
          <w:sz w:val="24"/>
          <w:lang w:val="en-US" w:eastAsia="zh-CN"/>
        </w:rPr>
        <w:t>2021年12月</w:t>
      </w:r>
      <w:r>
        <w:rPr>
          <w:rFonts w:hint="eastAsia" w:ascii="Times New Roman" w:eastAsia="Times New Roman"/>
          <w:sz w:val="24"/>
        </w:rPr>
        <w:t>。</w:t>
      </w:r>
      <w:bookmarkEnd w:id="16"/>
    </w:p>
    <w:p>
      <w:pPr>
        <w:spacing w:before="0" w:line="364" w:lineRule="auto"/>
        <w:ind w:left="1118" w:right="30" w:rightChars="0" w:firstLine="479"/>
        <w:jc w:val="left"/>
        <w:outlineLvl w:val="1"/>
        <w:rPr>
          <w:rFonts w:hint="eastAsia" w:ascii="Times New Roman" w:eastAsia="Times New Roman"/>
          <w:sz w:val="24"/>
        </w:rPr>
      </w:pPr>
      <w:bookmarkStart w:id="17" w:name="_Toc13257"/>
      <w:r>
        <w:rPr>
          <w:rFonts w:hint="eastAsia" w:ascii="Times New Roman" w:eastAsia="Times New Roman"/>
          <w:sz w:val="24"/>
          <w:lang w:eastAsia="zh-CN"/>
        </w:rPr>
        <w:t>五</w:t>
      </w:r>
      <w:r>
        <w:rPr>
          <w:rFonts w:hint="eastAsia" w:ascii="Times New Roman" w:eastAsia="Times New Roman"/>
          <w:sz w:val="24"/>
        </w:rPr>
        <w:t>、服务内容：</w:t>
      </w:r>
      <w:bookmarkEnd w:id="17"/>
    </w:p>
    <w:p>
      <w:pPr>
        <w:spacing w:before="0" w:line="364" w:lineRule="auto"/>
        <w:ind w:left="1118" w:right="30" w:rightChars="0" w:firstLine="479"/>
        <w:jc w:val="left"/>
        <w:outlineLvl w:val="2"/>
        <w:rPr>
          <w:rFonts w:hint="eastAsia" w:ascii="Times New Roman" w:eastAsia="Times New Roman"/>
          <w:sz w:val="24"/>
        </w:rPr>
      </w:pPr>
      <w:bookmarkStart w:id="18" w:name="_Toc1243"/>
      <w:r>
        <w:rPr>
          <w:rFonts w:hint="eastAsia" w:ascii="Times New Roman" w:eastAsia="Times New Roman"/>
          <w:sz w:val="24"/>
        </w:rPr>
        <w:t>（一）采购对象资质要求</w:t>
      </w:r>
      <w:bookmarkEnd w:id="18"/>
    </w:p>
    <w:p>
      <w:pPr>
        <w:spacing w:before="0" w:line="364" w:lineRule="auto"/>
        <w:ind w:left="1118" w:right="30" w:rightChars="0" w:firstLine="479"/>
        <w:jc w:val="left"/>
        <w:rPr>
          <w:rFonts w:hint="eastAsia" w:ascii="Times New Roman" w:eastAsia="Times New Roman"/>
          <w:sz w:val="24"/>
        </w:rPr>
      </w:pPr>
      <w:r>
        <w:rPr>
          <w:rFonts w:hint="eastAsia" w:ascii="Times New Roman" w:eastAsia="宋体"/>
          <w:sz w:val="24"/>
          <w:lang w:eastAsia="zh-CN"/>
        </w:rPr>
        <w:t>同时</w:t>
      </w:r>
      <w:r>
        <w:rPr>
          <w:rFonts w:hint="eastAsia" w:ascii="Times New Roman" w:eastAsia="Times New Roman"/>
          <w:sz w:val="24"/>
        </w:rPr>
        <w:t>具有地质灾害危险</w:t>
      </w:r>
      <w:r>
        <w:rPr>
          <w:rFonts w:hint="eastAsia" w:ascii="Times New Roman" w:eastAsia="Times New Roman"/>
          <w:sz w:val="24"/>
          <w:lang w:eastAsia="zh-CN"/>
        </w:rPr>
        <w:t>性</w:t>
      </w:r>
      <w:r>
        <w:rPr>
          <w:rFonts w:hint="eastAsia" w:ascii="Times New Roman" w:eastAsia="Times New Roman"/>
          <w:sz w:val="24"/>
        </w:rPr>
        <w:t>评估</w:t>
      </w:r>
      <w:r>
        <w:rPr>
          <w:rFonts w:hint="eastAsia" w:ascii="Times New Roman" w:eastAsia="Times New Roman"/>
          <w:sz w:val="24"/>
          <w:lang w:eastAsia="zh-CN"/>
        </w:rPr>
        <w:t>、测绘乙级（含）以上单位</w:t>
      </w:r>
      <w:r>
        <w:rPr>
          <w:rFonts w:hint="eastAsia" w:ascii="Times New Roman" w:eastAsia="Times New Roman"/>
          <w:sz w:val="24"/>
        </w:rPr>
        <w:t>。</w:t>
      </w:r>
    </w:p>
    <w:p>
      <w:pPr>
        <w:spacing w:before="0" w:line="364" w:lineRule="auto"/>
        <w:ind w:left="1118" w:right="30" w:rightChars="0" w:firstLine="479"/>
        <w:jc w:val="left"/>
        <w:outlineLvl w:val="2"/>
        <w:rPr>
          <w:rFonts w:hint="eastAsia" w:ascii="Times New Roman" w:eastAsia="Times New Roman"/>
          <w:sz w:val="24"/>
        </w:rPr>
      </w:pPr>
      <w:bookmarkStart w:id="19" w:name="_Toc11953"/>
      <w:r>
        <w:rPr>
          <w:rFonts w:hint="eastAsia" w:ascii="Times New Roman" w:eastAsia="Times New Roman"/>
          <w:sz w:val="24"/>
        </w:rPr>
        <w:t>（二）</w:t>
      </w:r>
      <w:r>
        <w:rPr>
          <w:rFonts w:hint="eastAsia" w:ascii="Times New Roman" w:eastAsia="Times New Roman"/>
          <w:sz w:val="24"/>
          <w:lang w:eastAsia="zh-CN"/>
        </w:rPr>
        <w:t>工作</w:t>
      </w:r>
      <w:r>
        <w:rPr>
          <w:rFonts w:hint="eastAsia" w:ascii="Times New Roman" w:eastAsia="Times New Roman"/>
          <w:sz w:val="24"/>
        </w:rPr>
        <w:t>区域</w:t>
      </w:r>
      <w:bookmarkEnd w:id="19"/>
    </w:p>
    <w:p>
      <w:pPr>
        <w:spacing w:before="0" w:line="364" w:lineRule="auto"/>
        <w:ind w:left="1118" w:right="30" w:rightChars="0" w:firstLine="479"/>
        <w:jc w:val="left"/>
        <w:rPr>
          <w:rFonts w:hint="eastAsia" w:ascii="Times New Roman" w:eastAsia="Times New Roman"/>
          <w:sz w:val="24"/>
          <w:lang w:eastAsia="zh-CN"/>
        </w:rPr>
      </w:pPr>
      <w:r>
        <w:rPr>
          <w:rFonts w:hint="eastAsia" w:ascii="Times New Roman" w:eastAsia="Times New Roman"/>
          <w:sz w:val="24"/>
          <w:lang w:eastAsia="zh-CN"/>
        </w:rPr>
        <w:t>五指山市辖区</w:t>
      </w:r>
    </w:p>
    <w:p>
      <w:pPr>
        <w:spacing w:before="0" w:line="364" w:lineRule="auto"/>
        <w:ind w:left="1118" w:right="30" w:rightChars="0" w:firstLine="479"/>
        <w:jc w:val="left"/>
        <w:outlineLvl w:val="2"/>
        <w:rPr>
          <w:rFonts w:hint="eastAsia" w:ascii="Times New Roman" w:eastAsia="Times New Roman"/>
          <w:sz w:val="24"/>
        </w:rPr>
      </w:pPr>
      <w:bookmarkStart w:id="20" w:name="_Toc18620"/>
      <w:r>
        <w:rPr>
          <w:rFonts w:hint="eastAsia" w:ascii="Times New Roman" w:eastAsia="Times New Roman"/>
          <w:sz w:val="24"/>
        </w:rPr>
        <w:t>（三）主要任务</w:t>
      </w:r>
      <w:bookmarkEnd w:id="20"/>
    </w:p>
    <w:p>
      <w:pPr>
        <w:spacing w:before="0" w:line="364" w:lineRule="auto"/>
        <w:ind w:left="1118" w:right="30" w:rightChars="0" w:firstLine="479"/>
        <w:jc w:val="left"/>
        <w:rPr>
          <w:rFonts w:hint="eastAsia" w:ascii="Times New Roman" w:eastAsia="Times New Roman"/>
          <w:sz w:val="24"/>
        </w:rPr>
      </w:pPr>
      <w:r>
        <w:rPr>
          <w:rFonts w:hint="eastAsia" w:ascii="Times New Roman" w:eastAsia="Times New Roman"/>
          <w:sz w:val="24"/>
        </w:rPr>
        <w:t>开展地质灾害风险要素全面调查、重点隐患调查与评估，查明区域抗灾能力，建立全</w:t>
      </w:r>
      <w:r>
        <w:rPr>
          <w:rFonts w:hint="eastAsia" w:ascii="Times New Roman" w:eastAsia="Times New Roman"/>
          <w:sz w:val="24"/>
          <w:lang w:eastAsia="zh-CN"/>
        </w:rPr>
        <w:t>市</w:t>
      </w:r>
      <w:r>
        <w:rPr>
          <w:rFonts w:hint="eastAsia" w:ascii="Times New Roman" w:eastAsia="Times New Roman"/>
          <w:sz w:val="24"/>
        </w:rPr>
        <w:t>地质灾害风险数据库，开展地质灾害风险评估，编制1:5万地质灾害系列风险图，重要隐患区段1:1万地质灾害风险区划和灾害防治区划图。</w:t>
      </w:r>
    </w:p>
    <w:p>
      <w:pPr>
        <w:spacing w:before="0" w:line="364" w:lineRule="auto"/>
        <w:ind w:left="1118" w:right="30" w:rightChars="0" w:firstLine="479"/>
        <w:jc w:val="left"/>
        <w:rPr>
          <w:rFonts w:hint="eastAsia" w:ascii="Times New Roman" w:eastAsia="Times New Roman"/>
          <w:sz w:val="24"/>
        </w:rPr>
      </w:pPr>
      <w:r>
        <w:rPr>
          <w:rFonts w:hint="eastAsia" w:ascii="Times New Roman" w:eastAsia="Times New Roman"/>
          <w:sz w:val="24"/>
        </w:rPr>
        <w:t>1.全面掌握风险要素信息。在全面梳理汇总运用全省1:5万、市县1:1万地质灾害详查、城区、产业园区和建设项目地质灾害区域评估等既往调查成果和现有地质灾害隐患数据的基础上，在重要隐患区段适当综合运用遥感识别和无人机、三维激光扫描、边坡雷达等新技术新手段，开展地质灾害与孕灾地质条件、承灾体调查，圈定重要疑似隐患点、变形区后，再进行现场核查；对各类易发区和受威胁严重、人口聚集区分别开展1:5万和1:1万补充调查（在重要隐患区段，必要时加以物探、钻探、山地工程作为辅助手段。），主要查明地质灾害隐患的稳定性和风险，以及因切坡建房引发地质灾害问题现状，形成切坡建房问题基础台账。</w:t>
      </w:r>
    </w:p>
    <w:p>
      <w:pPr>
        <w:spacing w:before="0" w:line="364" w:lineRule="auto"/>
        <w:ind w:left="1118" w:right="30" w:rightChars="0" w:firstLine="479"/>
        <w:jc w:val="left"/>
        <w:rPr>
          <w:rFonts w:hint="eastAsia" w:ascii="Times New Roman" w:eastAsia="Times New Roman"/>
          <w:sz w:val="24"/>
        </w:rPr>
      </w:pPr>
      <w:r>
        <w:rPr>
          <w:rFonts w:hint="eastAsia" w:ascii="Times New Roman" w:eastAsia="Times New Roman"/>
          <w:sz w:val="24"/>
        </w:rPr>
        <w:t>2.充分考虑地质灾害危险性和承载体类型、易损性等信息，采用定性与定量相结合的方法进行地质灾害易发性、危险性、风险评价和区划，对区划边界、风险等级、隐患疑似点等进行复核，总结调查区地质灾害发育分布规律，分析地质灾害成灾模式；编制地质灾害风险调查评价相关图件，提出地质灾害风险管控对策建议，为防灾减灾、国土空间规划和用途管制等提供基础依据。</w:t>
      </w:r>
    </w:p>
    <w:p>
      <w:pPr>
        <w:spacing w:before="0" w:line="364" w:lineRule="auto"/>
        <w:ind w:left="1118" w:right="30" w:rightChars="0" w:firstLine="479"/>
        <w:jc w:val="left"/>
        <w:rPr>
          <w:rFonts w:hint="eastAsia" w:ascii="Times New Roman" w:eastAsia="Times New Roman"/>
          <w:sz w:val="24"/>
        </w:rPr>
      </w:pPr>
      <w:r>
        <w:rPr>
          <w:rFonts w:hint="eastAsia" w:ascii="Times New Roman" w:eastAsia="Times New Roman"/>
          <w:sz w:val="24"/>
        </w:rPr>
        <w:t>3.依托全国地质灾害信息系统，建设分布式网络基础设施，健全完善地质灾害数据库，集成相关领域地质灾害调查成果，实现全</w:t>
      </w:r>
      <w:r>
        <w:rPr>
          <w:rFonts w:hint="eastAsia" w:ascii="Times New Roman" w:eastAsia="Times New Roman"/>
          <w:sz w:val="24"/>
          <w:lang w:eastAsia="zh-CN"/>
        </w:rPr>
        <w:t>市</w:t>
      </w:r>
      <w:r>
        <w:rPr>
          <w:rFonts w:hint="eastAsia" w:ascii="Times New Roman" w:eastAsia="Times New Roman"/>
          <w:sz w:val="24"/>
        </w:rPr>
        <w:t>地质灾害数据库动态更新。</w:t>
      </w:r>
    </w:p>
    <w:p>
      <w:pPr>
        <w:spacing w:before="0" w:line="364" w:lineRule="auto"/>
        <w:ind w:left="1118" w:right="30" w:rightChars="0" w:firstLine="479"/>
        <w:jc w:val="left"/>
        <w:rPr>
          <w:rFonts w:hint="eastAsia" w:ascii="Times New Roman" w:eastAsia="Times New Roman"/>
          <w:sz w:val="24"/>
          <w:lang w:eastAsia="zh-CN"/>
        </w:rPr>
      </w:pPr>
      <w:r>
        <w:rPr>
          <w:rFonts w:hint="eastAsia" w:ascii="Times New Roman" w:eastAsia="Times New Roman"/>
          <w:sz w:val="24"/>
          <w:lang w:val="en-US" w:eastAsia="zh-CN"/>
        </w:rPr>
        <w:t>4.包括但不限于《</w:t>
      </w:r>
      <w:r>
        <w:rPr>
          <w:rFonts w:hint="eastAsia" w:ascii="Times New Roman" w:eastAsia="Times New Roman"/>
          <w:sz w:val="24"/>
        </w:rPr>
        <w:t>海南省地质灾害风险普查工作方案</w:t>
      </w:r>
      <w:r>
        <w:rPr>
          <w:rFonts w:hint="eastAsia" w:ascii="Times New Roman" w:eastAsia="Times New Roman"/>
          <w:sz w:val="24"/>
          <w:lang w:eastAsia="zh-CN"/>
        </w:rPr>
        <w:t>》、</w:t>
      </w:r>
      <w:r>
        <w:rPr>
          <w:rFonts w:hint="eastAsia" w:ascii="Times New Roman" w:eastAsia="Times New Roman"/>
          <w:sz w:val="24"/>
          <w:lang w:val="en-US" w:eastAsia="zh-CN"/>
        </w:rPr>
        <w:t>《五指山市</w:t>
      </w:r>
      <w:r>
        <w:rPr>
          <w:rFonts w:hint="eastAsia" w:ascii="Times New Roman" w:eastAsia="Times New Roman"/>
          <w:sz w:val="24"/>
        </w:rPr>
        <w:t>地质灾害风险普查工作方案</w:t>
      </w:r>
      <w:r>
        <w:rPr>
          <w:rFonts w:hint="eastAsia" w:ascii="Times New Roman" w:eastAsia="Times New Roman"/>
          <w:sz w:val="24"/>
          <w:lang w:eastAsia="zh-CN"/>
        </w:rPr>
        <w:t>》有利于五指山市地质灾害风险普查工作的合理任务。</w:t>
      </w:r>
    </w:p>
    <w:p>
      <w:pPr>
        <w:spacing w:before="0" w:line="364" w:lineRule="auto"/>
        <w:ind w:left="1118" w:right="30" w:rightChars="0" w:firstLine="479"/>
        <w:jc w:val="left"/>
        <w:outlineLvl w:val="1"/>
        <w:rPr>
          <w:rFonts w:hint="eastAsia" w:ascii="Times New Roman" w:eastAsia="Times New Roman"/>
          <w:sz w:val="24"/>
          <w:lang w:val="en-US" w:eastAsia="zh-CN"/>
        </w:rPr>
      </w:pPr>
      <w:bookmarkStart w:id="21" w:name="_Toc10213"/>
      <w:r>
        <w:rPr>
          <w:rFonts w:hint="eastAsia" w:ascii="Times New Roman" w:eastAsia="Times New Roman"/>
          <w:sz w:val="24"/>
          <w:lang w:val="en-US" w:eastAsia="zh-CN"/>
        </w:rPr>
        <w:t>六、其它要求</w:t>
      </w:r>
      <w:bookmarkEnd w:id="21"/>
    </w:p>
    <w:p>
      <w:pPr>
        <w:spacing w:before="0" w:line="364" w:lineRule="auto"/>
        <w:ind w:left="1118" w:right="30" w:rightChars="0" w:firstLine="479"/>
        <w:jc w:val="left"/>
        <w:rPr>
          <w:rFonts w:hint="eastAsia" w:ascii="Times New Roman" w:eastAsia="Times New Roman"/>
          <w:sz w:val="24"/>
          <w:lang w:val="en-US" w:eastAsia="zh-CN"/>
        </w:rPr>
      </w:pPr>
      <w:r>
        <w:rPr>
          <w:rFonts w:hint="eastAsia" w:ascii="Times New Roman" w:eastAsia="Times New Roman"/>
          <w:sz w:val="24"/>
          <w:lang w:val="en-US" w:eastAsia="zh-CN"/>
        </w:rPr>
        <w:t>1.投标单位需在海南省有办公场所。（提供营业执照或办公场地的产权证明或租赁合同</w:t>
      </w:r>
      <w:r>
        <w:rPr>
          <w:rFonts w:hint="eastAsia" w:ascii="Times New Roman" w:eastAsia="Times New Roman"/>
          <w:sz w:val="24"/>
          <w:lang w:val="zh-CN" w:eastAsia="zh-CN"/>
        </w:rPr>
        <w:t>，复印件加盖公章</w:t>
      </w:r>
      <w:r>
        <w:rPr>
          <w:rFonts w:hint="eastAsia" w:ascii="Times New Roman" w:eastAsia="Times New Roman"/>
          <w:sz w:val="24"/>
          <w:lang w:val="en-US" w:eastAsia="zh-CN"/>
        </w:rPr>
        <w:t>）；</w:t>
      </w:r>
    </w:p>
    <w:p>
      <w:pPr>
        <w:spacing w:before="0" w:line="364" w:lineRule="auto"/>
        <w:ind w:left="1118" w:right="30" w:rightChars="0" w:firstLine="479"/>
        <w:jc w:val="left"/>
        <w:rPr>
          <w:rFonts w:hint="eastAsia" w:ascii="Times New Roman" w:eastAsia="Times New Roman"/>
          <w:sz w:val="24"/>
          <w:lang w:val="en-US" w:eastAsia="zh-CN"/>
        </w:rPr>
      </w:pPr>
      <w:r>
        <w:rPr>
          <w:rFonts w:hint="eastAsia" w:ascii="Times New Roman" w:eastAsia="Times New Roman"/>
          <w:sz w:val="24"/>
          <w:lang w:val="en-US" w:eastAsia="zh-CN"/>
        </w:rPr>
        <w:t>2.不接受联合体报名。</w:t>
      </w:r>
    </w:p>
    <w:p>
      <w:r>
        <w:br w:type="page"/>
      </w:r>
    </w:p>
    <w:p>
      <w:pPr>
        <w:pStyle w:val="3"/>
        <w:tabs>
          <w:tab w:val="left" w:pos="2177"/>
        </w:tabs>
        <w:outlineLvl w:val="0"/>
      </w:pPr>
      <w:bookmarkStart w:id="22" w:name="_Toc26296"/>
      <w:r>
        <w:t>第四章</w:t>
      </w:r>
      <w:r>
        <w:tab/>
      </w:r>
      <w:r>
        <w:t>合同主要条款（参考范本）</w:t>
      </w:r>
      <w:bookmarkEnd w:id="22"/>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16"/>
        </w:rPr>
      </w:pPr>
    </w:p>
    <w:p>
      <w:pPr>
        <w:pStyle w:val="10"/>
        <w:spacing w:before="67"/>
        <w:ind w:left="322"/>
        <w:jc w:val="center"/>
      </w:pPr>
      <w:r>
        <w:t>合同通用条款部分</w:t>
      </w:r>
      <w:r>
        <w:rPr>
          <w:w w:val="99"/>
        </w:rPr>
        <w:t xml:space="preserve"> </w:t>
      </w:r>
    </w:p>
    <w:p>
      <w:pPr>
        <w:pStyle w:val="11"/>
        <w:spacing w:before="3"/>
        <w:rPr>
          <w:b/>
          <w:sz w:val="34"/>
        </w:rPr>
      </w:pPr>
    </w:p>
    <w:p>
      <w:pPr>
        <w:pStyle w:val="10"/>
        <w:ind w:left="321"/>
        <w:jc w:val="center"/>
      </w:pPr>
      <w:r>
        <w:t>（略）</w:t>
      </w:r>
      <w:r>
        <w:rPr>
          <w:w w:val="99"/>
        </w:rPr>
        <w:t xml:space="preserve"> </w:t>
      </w:r>
    </w:p>
    <w:p>
      <w:pPr>
        <w:pStyle w:val="11"/>
        <w:spacing w:before="7"/>
        <w:rPr>
          <w:b/>
        </w:rPr>
      </w:pPr>
    </w:p>
    <w:p>
      <w:pPr>
        <w:pStyle w:val="10"/>
        <w:ind w:left="322"/>
        <w:jc w:val="center"/>
      </w:pPr>
      <w:r>
        <w:t>合同专用条款部分</w:t>
      </w:r>
      <w:r>
        <w:rPr>
          <w:w w:val="99"/>
        </w:rPr>
        <w:t xml:space="preserve"> </w:t>
      </w:r>
    </w:p>
    <w:p>
      <w:pPr>
        <w:pStyle w:val="10"/>
        <w:tabs>
          <w:tab w:val="left" w:pos="6080"/>
        </w:tabs>
        <w:spacing w:before="5"/>
        <w:ind w:left="3199"/>
        <w:jc w:val="center"/>
      </w:pPr>
      <w:r>
        <w:rPr>
          <w:w w:val="99"/>
        </w:rPr>
        <w:t xml:space="preserve"> </w:t>
      </w:r>
      <w:r>
        <w:tab/>
      </w:r>
      <w:r>
        <w:rPr>
          <w:w w:val="99"/>
        </w:rPr>
        <w:t xml:space="preserve"> </w:t>
      </w:r>
    </w:p>
    <w:p>
      <w:pPr>
        <w:spacing w:after="0"/>
        <w:jc w:val="center"/>
        <w:sectPr>
          <w:pgSz w:w="11910" w:h="16840"/>
          <w:pgMar w:top="1400" w:right="640" w:bottom="1180" w:left="680" w:header="0" w:footer="913" w:gutter="0"/>
          <w:cols w:space="720" w:num="1"/>
        </w:sectPr>
      </w:pPr>
    </w:p>
    <w:p>
      <w:pPr>
        <w:pStyle w:val="11"/>
        <w:rPr>
          <w:b/>
          <w:sz w:val="20"/>
        </w:rPr>
      </w:pPr>
    </w:p>
    <w:p>
      <w:pPr>
        <w:pStyle w:val="11"/>
        <w:spacing w:before="8"/>
        <w:rPr>
          <w:b/>
          <w:sz w:val="14"/>
        </w:rPr>
      </w:pPr>
    </w:p>
    <w:p>
      <w:pPr>
        <w:pStyle w:val="10"/>
        <w:spacing w:before="66"/>
        <w:ind w:left="322"/>
        <w:jc w:val="center"/>
      </w:pPr>
      <w:r>
        <w:t>政府采购合同范本</w:t>
      </w:r>
      <w:r>
        <w:rPr>
          <w:w w:val="99"/>
        </w:rPr>
        <w:t xml:space="preserve"> </w:t>
      </w:r>
    </w:p>
    <w:p>
      <w:pPr>
        <w:pStyle w:val="10"/>
        <w:spacing w:before="158"/>
        <w:ind w:left="319"/>
        <w:jc w:val="center"/>
      </w:pPr>
      <w:r>
        <w:t>（服务类）</w:t>
      </w:r>
      <w:r>
        <w:rPr>
          <w:w w:val="99"/>
        </w:rPr>
        <w:t xml:space="preserve"> </w:t>
      </w:r>
    </w:p>
    <w:p>
      <w:pPr>
        <w:pStyle w:val="11"/>
        <w:spacing w:before="2"/>
        <w:rPr>
          <w:b/>
          <w:sz w:val="15"/>
        </w:rPr>
      </w:pPr>
    </w:p>
    <w:tbl>
      <w:tblPr>
        <w:tblStyle w:val="15"/>
        <w:tblW w:w="0" w:type="auto"/>
        <w:tblInd w:w="2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5" w:hRule="atLeast"/>
        </w:trPr>
        <w:tc>
          <w:tcPr>
            <w:tcW w:w="5581" w:type="dxa"/>
          </w:tcPr>
          <w:p>
            <w:pPr>
              <w:pStyle w:val="29"/>
              <w:spacing w:line="274" w:lineRule="exact"/>
              <w:ind w:left="200"/>
              <w:rPr>
                <w:b/>
                <w:sz w:val="24"/>
              </w:rPr>
            </w:pPr>
            <w:r>
              <w:rPr>
                <w:b/>
                <w:w w:val="99"/>
                <w:sz w:val="24"/>
              </w:rPr>
              <w:t xml:space="preserve"> </w:t>
            </w:r>
          </w:p>
          <w:p>
            <w:pPr>
              <w:pStyle w:val="29"/>
              <w:spacing w:before="158"/>
              <w:ind w:left="200"/>
              <w:rPr>
                <w:b/>
                <w:sz w:val="24"/>
              </w:rPr>
            </w:pPr>
            <w:r>
              <w:rPr>
                <w:b/>
                <w:sz w:val="24"/>
              </w:rPr>
              <w:t>项目名称：</w:t>
            </w:r>
            <w:r>
              <w:rPr>
                <w:b/>
                <w:w w:val="99"/>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5581" w:type="dxa"/>
          </w:tcPr>
          <w:p>
            <w:pPr>
              <w:pStyle w:val="29"/>
              <w:spacing w:before="156"/>
              <w:ind w:left="200"/>
              <w:rPr>
                <w:b/>
                <w:sz w:val="24"/>
              </w:rPr>
            </w:pPr>
            <w:r>
              <w:rPr>
                <w:b/>
                <w:w w:val="99"/>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9" w:hRule="atLeast"/>
        </w:trPr>
        <w:tc>
          <w:tcPr>
            <w:tcW w:w="5581" w:type="dxa"/>
          </w:tcPr>
          <w:p>
            <w:pPr>
              <w:pStyle w:val="29"/>
              <w:spacing w:before="117"/>
              <w:ind w:left="200"/>
              <w:rPr>
                <w:b/>
                <w:sz w:val="24"/>
              </w:rPr>
            </w:pPr>
            <w:r>
              <w:rPr>
                <w:b/>
                <w:w w:val="99"/>
                <w:sz w:val="24"/>
              </w:rPr>
              <w:t xml:space="preserve"> </w:t>
            </w:r>
          </w:p>
          <w:p>
            <w:pPr>
              <w:pStyle w:val="29"/>
              <w:spacing w:before="161"/>
              <w:ind w:left="200"/>
              <w:rPr>
                <w:b/>
                <w:sz w:val="24"/>
              </w:rPr>
            </w:pPr>
            <w:r>
              <w:rPr>
                <w:b/>
                <w:sz w:val="24"/>
              </w:rPr>
              <w:t>项目编号：</w:t>
            </w:r>
            <w:r>
              <w:rPr>
                <w:b/>
                <w:w w:val="99"/>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5581" w:type="dxa"/>
          </w:tcPr>
          <w:p>
            <w:pPr>
              <w:pStyle w:val="29"/>
              <w:spacing w:before="156" w:line="254" w:lineRule="exact"/>
              <w:ind w:left="200"/>
              <w:rPr>
                <w:b/>
                <w:sz w:val="24"/>
              </w:rPr>
            </w:pPr>
            <w:r>
              <w:rPr>
                <w:b/>
                <w:w w:val="99"/>
                <w:sz w:val="24"/>
              </w:rPr>
              <w:t xml:space="preserve"> </w:t>
            </w:r>
          </w:p>
        </w:tc>
      </w:tr>
    </w:tbl>
    <w:p>
      <w:pPr>
        <w:pStyle w:val="11"/>
        <w:spacing w:before="12"/>
        <w:rPr>
          <w:b/>
          <w:sz w:val="20"/>
        </w:rPr>
      </w:pPr>
    </w:p>
    <w:p>
      <w:pPr>
        <w:pStyle w:val="10"/>
      </w:pPr>
      <w:r>
        <w:rPr>
          <w:w w:val="99"/>
        </w:rPr>
        <w:t xml:space="preserve"> </w:t>
      </w:r>
    </w:p>
    <w:p>
      <w:pPr>
        <w:pStyle w:val="10"/>
        <w:spacing w:before="161"/>
      </w:pPr>
      <w:r>
        <w:t>注：本合同仅为合同的参考文本，合同签订双方可根据项目的具体要求进行修订。</w:t>
      </w:r>
      <w:r>
        <w:rPr>
          <w:w w:val="99"/>
        </w:rPr>
        <w:t xml:space="preserve"> </w:t>
      </w:r>
    </w:p>
    <w:p>
      <w:pPr>
        <w:pStyle w:val="11"/>
        <w:spacing w:before="158"/>
        <w:ind w:left="1118"/>
      </w:pPr>
      <w:r>
        <w:t xml:space="preserve"> </w:t>
      </w:r>
    </w:p>
    <w:p>
      <w:pPr>
        <w:pStyle w:val="11"/>
        <w:spacing w:before="160"/>
        <w:ind w:left="1118"/>
      </w:pPr>
      <w:r>
        <w:t xml:space="preserve"> </w:t>
      </w:r>
    </w:p>
    <w:p>
      <w:pPr>
        <w:pStyle w:val="11"/>
        <w:spacing w:before="158"/>
        <w:ind w:left="1118"/>
      </w:pPr>
      <w:r>
        <w:t xml:space="preserve"> </w:t>
      </w:r>
    </w:p>
    <w:p>
      <w:pPr>
        <w:pStyle w:val="10"/>
        <w:spacing w:before="161" w:line="364" w:lineRule="auto"/>
        <w:ind w:left="3033" w:right="4055" w:firstLine="12"/>
        <w:rPr>
          <w:b w:val="0"/>
        </w:rPr>
      </w:pPr>
      <w:r>
        <w:rPr>
          <w:spacing w:val="6"/>
        </w:rPr>
        <w:t xml:space="preserve">甲                  方 ： 乙                  方 ： </w:t>
      </w:r>
      <w:r>
        <w:rPr>
          <w:spacing w:val="23"/>
        </w:rPr>
        <w:t>日 期 ：</w:t>
      </w:r>
      <w:r>
        <w:rPr>
          <w:b w:val="0"/>
          <w:spacing w:val="-3"/>
        </w:rPr>
        <w:t xml:space="preserve"> </w:t>
      </w:r>
      <w:r>
        <w:rPr>
          <w:b w:val="0"/>
        </w:rPr>
        <w:t xml:space="preserve"> </w:t>
      </w:r>
    </w:p>
    <w:p>
      <w:pPr>
        <w:pStyle w:val="11"/>
        <w:rPr>
          <w:sz w:val="20"/>
        </w:rPr>
      </w:pPr>
    </w:p>
    <w:p>
      <w:pPr>
        <w:pStyle w:val="11"/>
        <w:rPr>
          <w:sz w:val="20"/>
        </w:rPr>
      </w:pPr>
    </w:p>
    <w:p>
      <w:pPr>
        <w:pStyle w:val="11"/>
        <w:spacing w:before="6"/>
        <w:rPr>
          <w:sz w:val="27"/>
        </w:rPr>
      </w:pPr>
    </w:p>
    <w:p>
      <w:pPr>
        <w:pStyle w:val="11"/>
        <w:tabs>
          <w:tab w:val="left" w:pos="3998"/>
        </w:tabs>
        <w:spacing w:before="66"/>
        <w:ind w:left="1118"/>
      </w:pPr>
      <w:r>
        <w:t xml:space="preserve"> </w:t>
      </w:r>
      <w:r>
        <w:tab/>
      </w:r>
      <w:r>
        <w:t xml:space="preserve"> </w:t>
      </w:r>
    </w:p>
    <w:p>
      <w:pPr>
        <w:spacing w:after="0"/>
        <w:sectPr>
          <w:pgSz w:w="11910" w:h="16840"/>
          <w:pgMar w:top="1380" w:right="640" w:bottom="1180" w:left="680" w:header="0" w:footer="913" w:gutter="0"/>
          <w:cols w:space="720" w:num="1"/>
        </w:sectPr>
      </w:pPr>
    </w:p>
    <w:p>
      <w:pPr>
        <w:pStyle w:val="11"/>
        <w:spacing w:before="41" w:line="364" w:lineRule="auto"/>
        <w:ind w:left="1118" w:right="2745"/>
      </w:pPr>
      <w:r>
        <w:t>委托方（甲方</w:t>
      </w:r>
      <w:r>
        <w:rPr>
          <w:spacing w:val="-120"/>
        </w:rPr>
        <w:t>）</w:t>
      </w:r>
      <w:r>
        <w:rPr>
          <w:spacing w:val="-1"/>
        </w:rPr>
        <w:t>：</w:t>
      </w:r>
      <w:r>
        <w:rPr>
          <w:u w:val="single"/>
        </w:rPr>
        <w:t xml:space="preserve">                                     </w:t>
      </w:r>
      <w:r>
        <w:rPr>
          <w:spacing w:val="1"/>
          <w:u w:val="single"/>
        </w:rPr>
        <w:t xml:space="preserve"> </w:t>
      </w:r>
      <w:r>
        <w:t xml:space="preserve">  受托方（乙方</w:t>
      </w:r>
      <w:r>
        <w:rPr>
          <w:spacing w:val="-120"/>
        </w:rPr>
        <w:t>）</w:t>
      </w:r>
      <w:r>
        <w:rPr>
          <w:spacing w:val="-1"/>
        </w:rPr>
        <w:t>：</w:t>
      </w:r>
      <w:r>
        <w:rPr>
          <w:u w:val="single"/>
        </w:rPr>
        <w:t xml:space="preserve">                                     </w:t>
      </w:r>
      <w:r>
        <w:rPr>
          <w:spacing w:val="1"/>
          <w:u w:val="single"/>
        </w:rPr>
        <w:t xml:space="preserve"> </w:t>
      </w:r>
      <w:r>
        <w:t xml:space="preserve">   </w:t>
      </w:r>
    </w:p>
    <w:p>
      <w:pPr>
        <w:pStyle w:val="11"/>
        <w:spacing w:line="307" w:lineRule="exact"/>
        <w:ind w:left="1118"/>
      </w:pPr>
      <w:r>
        <w:t xml:space="preserve"> </w:t>
      </w:r>
    </w:p>
    <w:p>
      <w:pPr>
        <w:pStyle w:val="11"/>
        <w:spacing w:before="161" w:line="364" w:lineRule="auto"/>
        <w:ind w:left="1118" w:right="914" w:firstLine="479"/>
        <w:jc w:val="both"/>
      </w:pPr>
      <w:r>
        <w:t>根据</w:t>
      </w:r>
      <w:r>
        <w:rPr>
          <w:spacing w:val="-2"/>
          <w:u w:val="single"/>
        </w:rPr>
        <w:t xml:space="preserve">              项目</w:t>
      </w:r>
      <w:r>
        <w:rPr>
          <w:u w:val="single"/>
        </w:rPr>
        <w:t>（</w:t>
      </w:r>
      <w:r>
        <w:rPr>
          <w:spacing w:val="-3"/>
          <w:u w:val="single"/>
        </w:rPr>
        <w:t xml:space="preserve">项目编号：   </w:t>
      </w:r>
      <w:r>
        <w:rPr>
          <w:spacing w:val="-17"/>
          <w:u w:val="single"/>
        </w:rPr>
        <w:t>）</w:t>
      </w:r>
      <w:r>
        <w:rPr>
          <w:spacing w:val="-6"/>
        </w:rPr>
        <w:t>的采购结果，按照《中华人民共</w:t>
      </w:r>
      <w:r>
        <w:rPr>
          <w:spacing w:val="-20"/>
        </w:rPr>
        <w:t>和国政府采购法》、《合同法》的规定，经双方协商，本着平等互利和诚实信用的原</w:t>
      </w:r>
      <w:r>
        <w:t xml:space="preserve">则，一致同意签订本合同如下。 </w:t>
      </w:r>
    </w:p>
    <w:p>
      <w:pPr>
        <w:pStyle w:val="10"/>
        <w:spacing w:line="305" w:lineRule="exact"/>
      </w:pPr>
      <w:r>
        <w:rPr>
          <w:w w:val="95"/>
        </w:rPr>
        <w:t>一、合同金额</w:t>
      </w:r>
      <w:r>
        <w:rPr>
          <w:w w:val="99"/>
        </w:rPr>
        <w:t xml:space="preserve"> </w:t>
      </w:r>
    </w:p>
    <w:p>
      <w:pPr>
        <w:pStyle w:val="10"/>
        <w:tabs>
          <w:tab w:val="left" w:pos="5817"/>
          <w:tab w:val="left" w:pos="8292"/>
        </w:tabs>
        <w:spacing w:before="160" w:line="362" w:lineRule="auto"/>
        <w:ind w:right="793" w:firstLine="482"/>
      </w:pPr>
      <w:r>
        <w:rPr>
          <w:spacing w:val="2"/>
          <w:w w:val="99"/>
        </w:rPr>
        <w:t>合</w:t>
      </w:r>
      <w:r>
        <w:rPr>
          <w:w w:val="99"/>
        </w:rPr>
        <w:t>同</w:t>
      </w:r>
      <w:r>
        <w:rPr>
          <w:spacing w:val="2"/>
          <w:w w:val="99"/>
        </w:rPr>
        <w:t>金</w:t>
      </w:r>
      <w:r>
        <w:rPr>
          <w:w w:val="99"/>
        </w:rPr>
        <w:t>额</w:t>
      </w:r>
      <w:r>
        <w:rPr>
          <w:spacing w:val="-65"/>
          <w:w w:val="99"/>
        </w:rPr>
        <w:t>为</w:t>
      </w:r>
      <w:r>
        <w:rPr>
          <w:spacing w:val="2"/>
          <w:w w:val="99"/>
        </w:rPr>
        <w:t>（</w:t>
      </w:r>
      <w:r>
        <w:rPr>
          <w:w w:val="99"/>
        </w:rPr>
        <w:t>大写</w:t>
      </w:r>
      <w:r>
        <w:rPr>
          <w:spacing w:val="-118"/>
          <w:w w:val="99"/>
        </w:rPr>
        <w:t>）</w:t>
      </w:r>
      <w:r>
        <w:rPr>
          <w:spacing w:val="-64"/>
          <w:w w:val="99"/>
        </w:rPr>
        <w:t>：</w:t>
      </w:r>
      <w:r>
        <w:rPr>
          <w:spacing w:val="2"/>
          <w:w w:val="99"/>
        </w:rPr>
        <w:t>_</w:t>
      </w:r>
      <w:r>
        <w:rPr>
          <w:w w:val="99"/>
          <w:u w:val="single"/>
        </w:rPr>
        <w:t xml:space="preserve"> </w:t>
      </w:r>
      <w:r>
        <w:rPr>
          <w:u w:val="single"/>
        </w:rPr>
        <w:tab/>
      </w:r>
      <w:r>
        <w:rPr>
          <w:spacing w:val="-63"/>
          <w:w w:val="99"/>
        </w:rPr>
        <w:t>元</w:t>
      </w:r>
      <w:r>
        <w:rPr>
          <w:w w:val="99"/>
        </w:rPr>
        <w:t>（</w:t>
      </w:r>
      <w:r>
        <w:rPr>
          <w:spacing w:val="2"/>
          <w:w w:val="99"/>
        </w:rPr>
        <w:t>￥</w:t>
      </w:r>
      <w:r>
        <w:rPr>
          <w:rFonts w:ascii="Times New Roman" w:eastAsia="Times New Roman"/>
          <w:u w:val="single"/>
        </w:rPr>
        <w:t xml:space="preserve"> </w:t>
      </w:r>
      <w:r>
        <w:rPr>
          <w:rFonts w:ascii="Times New Roman" w:eastAsia="Times New Roman"/>
          <w:u w:val="single"/>
        </w:rPr>
        <w:tab/>
      </w:r>
      <w:r>
        <w:rPr>
          <w:w w:val="99"/>
        </w:rPr>
        <w:t>元</w:t>
      </w:r>
      <w:r>
        <w:rPr>
          <w:spacing w:val="-63"/>
          <w:w w:val="99"/>
        </w:rPr>
        <w:t>）</w:t>
      </w:r>
      <w:r>
        <w:rPr>
          <w:w w:val="99"/>
        </w:rPr>
        <w:t xml:space="preserve">人民币。 </w:t>
      </w:r>
      <w:r>
        <w:t>二、服务范围</w:t>
      </w:r>
      <w:r>
        <w:rPr>
          <w:w w:val="99"/>
        </w:rPr>
        <w:t xml:space="preserve"> </w:t>
      </w:r>
    </w:p>
    <w:p>
      <w:pPr>
        <w:pStyle w:val="11"/>
        <w:spacing w:before="6"/>
        <w:ind w:left="1118"/>
      </w:pPr>
      <w:r>
        <w:t xml:space="preserve">    甲方聘请乙方提供以下服务： </w:t>
      </w:r>
    </w:p>
    <w:p>
      <w:pPr>
        <w:pStyle w:val="11"/>
        <w:spacing w:before="158"/>
        <w:ind w:left="1118"/>
      </w:pPr>
      <w:r>
        <w:t xml:space="preserve">    1． 本 合 同 项 下 的 服 务 指</w:t>
      </w:r>
      <w:r>
        <w:rPr>
          <w:spacing w:val="120"/>
          <w:u w:val="single"/>
        </w:rPr>
        <w:t xml:space="preserve"> </w:t>
      </w:r>
      <w:r>
        <w:t xml:space="preserve">。 </w:t>
      </w:r>
    </w:p>
    <w:p>
      <w:pPr>
        <w:pStyle w:val="11"/>
        <w:spacing w:before="160"/>
        <w:ind w:left="1118"/>
      </w:pPr>
      <w:r>
        <w:t xml:space="preserve">    2．...... </w:t>
      </w:r>
    </w:p>
    <w:p>
      <w:pPr>
        <w:spacing w:before="159" w:line="364" w:lineRule="auto"/>
        <w:ind w:left="1598" w:right="6453" w:hanging="480"/>
        <w:jc w:val="left"/>
        <w:rPr>
          <w:sz w:val="24"/>
        </w:rPr>
      </w:pPr>
      <w:r>
        <w:rPr>
          <w:b/>
          <w:sz w:val="24"/>
        </w:rPr>
        <w:t xml:space="preserve">三、甲方乙方的权利和义务 </w:t>
      </w:r>
      <w:r>
        <w:rPr>
          <w:sz w:val="24"/>
        </w:rPr>
        <w:t xml:space="preserve">1、 甲方的权利和义务 </w:t>
      </w:r>
    </w:p>
    <w:p>
      <w:pPr>
        <w:pStyle w:val="11"/>
        <w:spacing w:line="306" w:lineRule="exact"/>
        <w:ind w:left="1598"/>
      </w:pPr>
      <w:r>
        <w:t xml:space="preserve">2、乙方的权利和义务 </w:t>
      </w:r>
    </w:p>
    <w:p>
      <w:pPr>
        <w:pStyle w:val="10"/>
        <w:spacing w:before="160"/>
      </w:pPr>
      <w:r>
        <w:t>四、服务期间（项目完成期限）</w:t>
      </w:r>
      <w:r>
        <w:rPr>
          <w:w w:val="99"/>
        </w:rPr>
        <w:t xml:space="preserve"> </w:t>
      </w:r>
    </w:p>
    <w:p>
      <w:pPr>
        <w:tabs>
          <w:tab w:val="left" w:pos="3952"/>
          <w:tab w:val="left" w:pos="4912"/>
          <w:tab w:val="left" w:pos="6113"/>
          <w:tab w:val="left" w:pos="7073"/>
        </w:tabs>
        <w:spacing w:before="161" w:line="364" w:lineRule="auto"/>
        <w:ind w:left="1118" w:right="2671" w:firstLine="434"/>
        <w:jc w:val="left"/>
        <w:rPr>
          <w:sz w:val="24"/>
        </w:rPr>
      </w:pPr>
      <w:r>
        <w:rPr>
          <w:sz w:val="24"/>
        </w:rPr>
        <w:t>委托服务期间自</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月至</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月止。</w:t>
      </w:r>
      <w:r>
        <w:rPr>
          <w:b/>
          <w:sz w:val="24"/>
        </w:rPr>
        <w:t>五、 付款方式</w:t>
      </w:r>
      <w:r>
        <w:rPr>
          <w:sz w:val="24"/>
        </w:rPr>
        <w:t xml:space="preserve"> </w:t>
      </w:r>
    </w:p>
    <w:p>
      <w:pPr>
        <w:pStyle w:val="11"/>
        <w:spacing w:line="307" w:lineRule="exact"/>
        <w:ind w:left="1598"/>
      </w:pPr>
      <w:r>
        <w:t>由甲方按下列程序在</w:t>
      </w:r>
      <w:r>
        <w:rPr>
          <w:u w:val="single"/>
        </w:rPr>
        <w:t xml:space="preserve"> </w:t>
      </w:r>
      <w:r>
        <w:t xml:space="preserve">内付款。 </w:t>
      </w:r>
    </w:p>
    <w:p>
      <w:pPr>
        <w:pStyle w:val="28"/>
        <w:numPr>
          <w:ilvl w:val="0"/>
          <w:numId w:val="15"/>
        </w:numPr>
        <w:tabs>
          <w:tab w:val="left" w:pos="1839"/>
        </w:tabs>
        <w:spacing w:before="158" w:after="0" w:line="364" w:lineRule="auto"/>
        <w:ind w:left="1118" w:right="913" w:firstLine="479"/>
        <w:jc w:val="both"/>
        <w:rPr>
          <w:sz w:val="24"/>
        </w:rPr>
      </w:pPr>
      <w:r>
        <w:rPr>
          <w:sz w:val="24"/>
        </w:rPr>
        <w:t>在合同实施及服务人员到达服务地后</w:t>
      </w:r>
      <w:r>
        <w:rPr>
          <w:spacing w:val="-11"/>
          <w:sz w:val="24"/>
        </w:rPr>
        <w:t xml:space="preserve"> 天内，甲方应将第一次付  款总服务</w:t>
      </w:r>
      <w:r>
        <w:rPr>
          <w:sz w:val="24"/>
        </w:rPr>
        <w:t>费的</w:t>
      </w:r>
      <w:r>
        <w:rPr>
          <w:spacing w:val="10"/>
          <w:sz w:val="24"/>
        </w:rPr>
        <w:t xml:space="preserve"> (-%)付给乙方。 </w:t>
      </w:r>
    </w:p>
    <w:p>
      <w:pPr>
        <w:pStyle w:val="28"/>
        <w:numPr>
          <w:ilvl w:val="0"/>
          <w:numId w:val="15"/>
        </w:numPr>
        <w:tabs>
          <w:tab w:val="left" w:pos="1839"/>
        </w:tabs>
        <w:spacing w:before="0" w:after="0" w:line="364" w:lineRule="auto"/>
        <w:ind w:left="1118" w:right="915" w:firstLine="479"/>
        <w:jc w:val="both"/>
        <w:rPr>
          <w:sz w:val="24"/>
        </w:rPr>
      </w:pPr>
      <w:r>
        <w:rPr>
          <w:sz w:val="24"/>
        </w:rPr>
        <w:t>第二次付款额应为总服务费的</w:t>
      </w:r>
      <w:r>
        <w:rPr>
          <w:spacing w:val="-11"/>
          <w:sz w:val="24"/>
        </w:rPr>
        <w:t xml:space="preserve"> (-%)，甲方应在乙方已经准备好，并递交了</w:t>
      </w:r>
      <w:r>
        <w:rPr>
          <w:spacing w:val="-9"/>
          <w:sz w:val="24"/>
        </w:rPr>
        <w:t>服务报告及其它相关文件，而这些报告和文件符合合同附件上的要求并被甲方验收</w:t>
      </w:r>
      <w:r>
        <w:rPr>
          <w:sz w:val="24"/>
        </w:rPr>
        <w:t xml:space="preserve">后付给乙方。 </w:t>
      </w:r>
    </w:p>
    <w:p>
      <w:pPr>
        <w:pStyle w:val="28"/>
        <w:numPr>
          <w:ilvl w:val="0"/>
          <w:numId w:val="15"/>
        </w:numPr>
        <w:tabs>
          <w:tab w:val="left" w:pos="1839"/>
        </w:tabs>
        <w:spacing w:before="0" w:after="0" w:line="364" w:lineRule="auto"/>
        <w:ind w:left="1118" w:right="914" w:firstLine="479"/>
        <w:jc w:val="left"/>
        <w:rPr>
          <w:sz w:val="24"/>
        </w:rPr>
      </w:pPr>
      <w:r>
        <w:rPr>
          <w:sz w:val="24"/>
        </w:rPr>
        <w:t>最后一次付款额应为总服务费的</w:t>
      </w:r>
      <w:r>
        <w:rPr>
          <w:spacing w:val="-11"/>
          <w:sz w:val="24"/>
        </w:rPr>
        <w:t xml:space="preserve"> (-%)，甲方应在乙方递交了服务总结报告</w:t>
      </w:r>
      <w:r>
        <w:rPr>
          <w:sz w:val="24"/>
        </w:rPr>
        <w:t xml:space="preserve">和说明并完全履行合同完毕 日内付给乙方。 </w:t>
      </w:r>
    </w:p>
    <w:p>
      <w:pPr>
        <w:pStyle w:val="10"/>
        <w:spacing w:line="362" w:lineRule="auto"/>
        <w:ind w:right="6936"/>
      </w:pPr>
      <w:r>
        <w:t>六、知识产权产权归属七、保密</w:t>
      </w:r>
      <w:r>
        <w:rPr>
          <w:w w:val="99"/>
        </w:rPr>
        <w:t xml:space="preserve"> </w:t>
      </w:r>
    </w:p>
    <w:p>
      <w:pPr>
        <w:pStyle w:val="10"/>
        <w:spacing w:before="2"/>
      </w:pPr>
      <w:r>
        <w:t>八、违约责任与赔偿损失</w:t>
      </w:r>
      <w:r>
        <w:rPr>
          <w:w w:val="99"/>
        </w:rPr>
        <w:t xml:space="preserve"> </w:t>
      </w:r>
    </w:p>
    <w:p>
      <w:pPr>
        <w:pStyle w:val="28"/>
        <w:numPr>
          <w:ilvl w:val="0"/>
          <w:numId w:val="16"/>
        </w:numPr>
        <w:tabs>
          <w:tab w:val="left" w:pos="1839"/>
        </w:tabs>
        <w:spacing w:before="158" w:after="0" w:line="240" w:lineRule="auto"/>
        <w:ind w:left="1839" w:right="0" w:hanging="241"/>
        <w:jc w:val="left"/>
        <w:rPr>
          <w:sz w:val="24"/>
        </w:rPr>
      </w:pPr>
      <w:r>
        <w:rPr>
          <w:sz w:val="24"/>
        </w:rPr>
        <w:t>乙方提供的服务不符合采购文件、报价文件或本合同规定的，甲方有权拒</w:t>
      </w:r>
    </w:p>
    <w:p>
      <w:pPr>
        <w:spacing w:after="0" w:line="240" w:lineRule="auto"/>
        <w:jc w:val="left"/>
        <w:rPr>
          <w:sz w:val="24"/>
        </w:rPr>
        <w:sectPr>
          <w:pgSz w:w="11910" w:h="16840"/>
          <w:pgMar w:top="1380" w:right="640" w:bottom="1180" w:left="680" w:header="0" w:footer="913" w:gutter="0"/>
          <w:cols w:space="720" w:num="1"/>
        </w:sectPr>
      </w:pPr>
    </w:p>
    <w:p>
      <w:pPr>
        <w:pStyle w:val="11"/>
        <w:spacing w:before="41"/>
        <w:ind w:left="1118"/>
      </w:pPr>
      <w:r>
        <w:t>收，并且乙方须向甲方方支付本合同总价</w:t>
      </w:r>
      <w:r>
        <w:rPr>
          <w:u w:val="single"/>
        </w:rPr>
        <w:t xml:space="preserve"> </w:t>
      </w:r>
      <w:r>
        <w:t xml:space="preserve">%的违约金。 </w:t>
      </w:r>
    </w:p>
    <w:p>
      <w:pPr>
        <w:pStyle w:val="28"/>
        <w:numPr>
          <w:ilvl w:val="0"/>
          <w:numId w:val="16"/>
        </w:numPr>
        <w:tabs>
          <w:tab w:val="left" w:pos="1839"/>
        </w:tabs>
        <w:spacing w:before="161" w:after="0" w:line="364" w:lineRule="auto"/>
        <w:ind w:left="1118" w:right="1011" w:firstLine="479"/>
        <w:jc w:val="left"/>
        <w:rPr>
          <w:sz w:val="24"/>
        </w:rPr>
      </w:pPr>
      <w:r>
        <w:rPr>
          <w:sz w:val="24"/>
        </w:rPr>
        <w:t>乙方未能按本合同规定的交货时间提供服务，从逾期之日起每日按本合同总价</w:t>
      </w:r>
      <w:r>
        <w:rPr>
          <w:spacing w:val="-1"/>
          <w:sz w:val="24"/>
        </w:rPr>
        <w:t xml:space="preserve"> ‰的数额向甲方支付违约金；逾期半个月以上的，甲方有权终止合同，由此造成的甲方经济损失由乙方承担。 </w:t>
      </w:r>
    </w:p>
    <w:p>
      <w:pPr>
        <w:pStyle w:val="28"/>
        <w:numPr>
          <w:ilvl w:val="0"/>
          <w:numId w:val="16"/>
        </w:numPr>
        <w:tabs>
          <w:tab w:val="left" w:pos="1839"/>
        </w:tabs>
        <w:spacing w:before="0" w:after="0" w:line="364" w:lineRule="auto"/>
        <w:ind w:left="1118" w:right="916" w:firstLine="479"/>
        <w:jc w:val="both"/>
        <w:rPr>
          <w:sz w:val="24"/>
        </w:rPr>
      </w:pPr>
      <w:r>
        <w:rPr>
          <w:spacing w:val="-1"/>
          <w:sz w:val="24"/>
        </w:rPr>
        <w:t>甲方无正当理由拒收接受服务，到期拒付服务款项的，甲方向乙方偿付本</w:t>
      </w:r>
      <w:r>
        <w:rPr>
          <w:sz w:val="24"/>
        </w:rPr>
        <w:t>合同总的 %的违约金。甲方人逾期付款，则每日按本合同总价的__</w:t>
      </w:r>
      <w:r>
        <w:rPr>
          <w:spacing w:val="-3"/>
          <w:sz w:val="24"/>
        </w:rPr>
        <w:t>‰向乙方偿付</w:t>
      </w:r>
      <w:r>
        <w:rPr>
          <w:sz w:val="24"/>
        </w:rPr>
        <w:t xml:space="preserve">违约金。 </w:t>
      </w:r>
    </w:p>
    <w:p>
      <w:pPr>
        <w:pStyle w:val="28"/>
        <w:numPr>
          <w:ilvl w:val="0"/>
          <w:numId w:val="16"/>
        </w:numPr>
        <w:tabs>
          <w:tab w:val="left" w:pos="1839"/>
        </w:tabs>
        <w:spacing w:before="0" w:after="0" w:line="362" w:lineRule="auto"/>
        <w:ind w:left="1118" w:right="3225" w:firstLine="479"/>
        <w:jc w:val="left"/>
        <w:rPr>
          <w:b/>
          <w:sz w:val="24"/>
        </w:rPr>
      </w:pPr>
      <w:r>
        <w:rPr>
          <w:sz w:val="24"/>
        </w:rPr>
        <w:t xml:space="preserve">其它违约责任按《中华人民共和国合同法》处理。 </w:t>
      </w:r>
      <w:r>
        <w:rPr>
          <w:b/>
          <w:sz w:val="24"/>
        </w:rPr>
        <w:t>九、争端的解决</w:t>
      </w:r>
      <w:r>
        <w:rPr>
          <w:b/>
          <w:w w:val="99"/>
          <w:sz w:val="24"/>
        </w:rPr>
        <w:t xml:space="preserve"> </w:t>
      </w:r>
    </w:p>
    <w:p>
      <w:pPr>
        <w:pStyle w:val="11"/>
        <w:spacing w:before="2" w:line="362" w:lineRule="auto"/>
        <w:ind w:left="1118" w:right="917" w:firstLine="479"/>
      </w:pPr>
      <w:r>
        <w:t>1)</w:t>
      </w:r>
      <w:r>
        <w:rPr>
          <w:spacing w:val="-7"/>
        </w:rPr>
        <w:t>合同执行过程中发生的任何争议，如双方不能通过友好协商解决，按相关法</w:t>
      </w:r>
      <w:r>
        <w:t xml:space="preserve">律法规处理。 </w:t>
      </w:r>
    </w:p>
    <w:p>
      <w:pPr>
        <w:pStyle w:val="10"/>
        <w:spacing w:before="5"/>
      </w:pPr>
      <w:r>
        <w:t>十、不可抗力：</w:t>
      </w:r>
      <w:r>
        <w:rPr>
          <w:w w:val="99"/>
        </w:rPr>
        <w:t xml:space="preserve"> </w:t>
      </w:r>
    </w:p>
    <w:p>
      <w:pPr>
        <w:pStyle w:val="11"/>
        <w:spacing w:before="158" w:line="364" w:lineRule="auto"/>
        <w:ind w:left="1118" w:right="913" w:firstLine="479"/>
        <w:jc w:val="both"/>
      </w:pPr>
      <w:r>
        <w:rPr>
          <w:spacing w:val="-7"/>
        </w:rPr>
        <w:t xml:space="preserve">任何一方由于不可抗力原因不能履行合同时，应在不可抗力事件结束后 </w:t>
      </w:r>
      <w:r>
        <w:t>1</w:t>
      </w:r>
      <w:r>
        <w:rPr>
          <w:spacing w:val="-26"/>
        </w:rPr>
        <w:t xml:space="preserve"> 日内</w:t>
      </w:r>
      <w:r>
        <w:rPr>
          <w:spacing w:val="-10"/>
        </w:rPr>
        <w:t>向对方通报，以减轻可能给对方造成的损失，在取得有关机构的不可抗力证明或双</w:t>
      </w:r>
      <w:r>
        <w:rPr>
          <w:spacing w:val="-11"/>
        </w:rPr>
        <w:t>方谅解确认后，允许延期履行或修订合同，并根据情况可部分或全部免于承担违约</w:t>
      </w:r>
      <w:r>
        <w:t xml:space="preserve">责任。 </w:t>
      </w:r>
    </w:p>
    <w:p>
      <w:pPr>
        <w:spacing w:before="0" w:line="364" w:lineRule="auto"/>
        <w:ind w:left="1118" w:right="793" w:firstLine="0"/>
        <w:jc w:val="left"/>
        <w:rPr>
          <w:b/>
          <w:sz w:val="24"/>
        </w:rPr>
      </w:pPr>
      <w:r>
        <w:rPr>
          <w:b/>
          <w:sz w:val="24"/>
        </w:rPr>
        <w:t>十一、税费：</w:t>
      </w:r>
      <w:r>
        <w:rPr>
          <w:sz w:val="24"/>
        </w:rPr>
        <w:t>在中国境内、外发生的与本合同执行有关的一切税费均由乙方负担。</w:t>
      </w:r>
      <w:r>
        <w:rPr>
          <w:b/>
          <w:sz w:val="24"/>
        </w:rPr>
        <w:t>十二、其它</w:t>
      </w:r>
      <w:r>
        <w:rPr>
          <w:b/>
          <w:w w:val="99"/>
          <w:sz w:val="24"/>
        </w:rPr>
        <w:t xml:space="preserve"> </w:t>
      </w:r>
    </w:p>
    <w:p>
      <w:pPr>
        <w:pStyle w:val="28"/>
        <w:numPr>
          <w:ilvl w:val="0"/>
          <w:numId w:val="17"/>
        </w:numPr>
        <w:tabs>
          <w:tab w:val="left" w:pos="1839"/>
        </w:tabs>
        <w:spacing w:before="0" w:after="0" w:line="362" w:lineRule="auto"/>
        <w:ind w:left="1118" w:right="920" w:firstLine="479"/>
        <w:jc w:val="left"/>
        <w:rPr>
          <w:b/>
          <w:sz w:val="24"/>
        </w:rPr>
      </w:pPr>
      <w:r>
        <w:rPr>
          <w:spacing w:val="-1"/>
          <w:sz w:val="24"/>
        </w:rPr>
        <w:t>本合同所有附件、采购文件、投标文件、中标通知书通知书均为合同的有</w:t>
      </w:r>
      <w:r>
        <w:rPr>
          <w:sz w:val="24"/>
        </w:rPr>
        <w:t>效组成部分，与本合同具有同等法律效力。</w:t>
      </w:r>
      <w:r>
        <w:rPr>
          <w:b/>
          <w:w w:val="99"/>
          <w:sz w:val="24"/>
        </w:rPr>
        <w:t xml:space="preserve"> </w:t>
      </w:r>
    </w:p>
    <w:p>
      <w:pPr>
        <w:pStyle w:val="28"/>
        <w:numPr>
          <w:ilvl w:val="0"/>
          <w:numId w:val="17"/>
        </w:numPr>
        <w:tabs>
          <w:tab w:val="left" w:pos="1839"/>
        </w:tabs>
        <w:spacing w:before="4" w:after="0" w:line="362" w:lineRule="auto"/>
        <w:ind w:left="1118" w:right="920" w:firstLine="479"/>
        <w:jc w:val="left"/>
        <w:rPr>
          <w:sz w:val="24"/>
        </w:rPr>
      </w:pPr>
      <w:r>
        <w:rPr>
          <w:sz w:val="24"/>
        </w:rPr>
        <w:t>在执行本合同的过程中，所有经双方签署确认的文件（</w:t>
      </w:r>
      <w:r>
        <w:rPr>
          <w:spacing w:val="-2"/>
          <w:sz w:val="24"/>
        </w:rPr>
        <w:t>包括会议纪要、补</w:t>
      </w:r>
      <w:r>
        <w:rPr>
          <w:sz w:val="24"/>
        </w:rPr>
        <w:t xml:space="preserve">充协议、往来信函）即成为本合同的有效组成部分。 </w:t>
      </w:r>
    </w:p>
    <w:p>
      <w:pPr>
        <w:pStyle w:val="28"/>
        <w:numPr>
          <w:ilvl w:val="0"/>
          <w:numId w:val="17"/>
        </w:numPr>
        <w:tabs>
          <w:tab w:val="left" w:pos="1839"/>
        </w:tabs>
        <w:spacing w:before="5" w:after="0" w:line="362" w:lineRule="auto"/>
        <w:ind w:left="1118" w:right="920" w:firstLine="479"/>
        <w:jc w:val="left"/>
        <w:rPr>
          <w:sz w:val="24"/>
        </w:rPr>
      </w:pPr>
      <w:r>
        <w:rPr>
          <w:spacing w:val="-1"/>
          <w:sz w:val="24"/>
        </w:rPr>
        <w:t>如一方地址、电话、传真号码有变更，应在变更当日内书面通知对方，否</w:t>
      </w:r>
      <w:r>
        <w:rPr>
          <w:sz w:val="24"/>
        </w:rPr>
        <w:t xml:space="preserve">则，应承担相应责任。  </w:t>
      </w:r>
    </w:p>
    <w:p>
      <w:pPr>
        <w:pStyle w:val="28"/>
        <w:numPr>
          <w:ilvl w:val="0"/>
          <w:numId w:val="17"/>
        </w:numPr>
        <w:tabs>
          <w:tab w:val="left" w:pos="1839"/>
        </w:tabs>
        <w:spacing w:before="5" w:after="0" w:line="364" w:lineRule="auto"/>
        <w:ind w:left="1118" w:right="920" w:firstLine="479"/>
        <w:jc w:val="left"/>
        <w:rPr>
          <w:sz w:val="24"/>
        </w:rPr>
      </w:pPr>
      <w:r>
        <w:rPr>
          <w:spacing w:val="-1"/>
          <w:sz w:val="24"/>
        </w:rPr>
        <w:t>除甲方事先书面同意外，乙方不得部分或全部转让其应履行的合同项下的</w:t>
      </w:r>
      <w:r>
        <w:rPr>
          <w:sz w:val="24"/>
        </w:rPr>
        <w:t xml:space="preserve">义务。 </w:t>
      </w:r>
    </w:p>
    <w:p>
      <w:pPr>
        <w:spacing w:before="0" w:line="362" w:lineRule="auto"/>
        <w:ind w:left="1598" w:right="2265" w:hanging="480"/>
        <w:jc w:val="left"/>
        <w:rPr>
          <w:sz w:val="24"/>
        </w:rPr>
      </w:pPr>
      <w:r>
        <w:rPr>
          <w:b/>
          <w:sz w:val="24"/>
        </w:rPr>
        <w:t xml:space="preserve">十二、合同生效：                                         </w:t>
      </w:r>
      <w:r>
        <w:rPr>
          <w:sz w:val="24"/>
        </w:rPr>
        <w:t xml:space="preserve">1）本合同在甲乙双方法人代表或其授权代表签字盖章后生效。 </w:t>
      </w:r>
    </w:p>
    <w:p>
      <w:pPr>
        <w:pStyle w:val="11"/>
        <w:spacing w:before="5"/>
        <w:ind w:left="1598"/>
      </w:pPr>
      <w:r>
        <w:t xml:space="preserve">2）合同一式 份。 </w:t>
      </w:r>
    </w:p>
    <w:p>
      <w:pPr>
        <w:pStyle w:val="11"/>
        <w:spacing w:before="158"/>
        <w:ind w:left="1118"/>
      </w:pPr>
      <w:r>
        <w:t xml:space="preserve"> </w:t>
      </w:r>
    </w:p>
    <w:p>
      <w:pPr>
        <w:spacing w:after="0"/>
        <w:sectPr>
          <w:pgSz w:w="11910" w:h="16840"/>
          <w:pgMar w:top="1380" w:right="640" w:bottom="1180" w:left="680" w:header="0" w:footer="913" w:gutter="0"/>
          <w:cols w:space="720" w:num="1"/>
        </w:sectPr>
      </w:pPr>
    </w:p>
    <w:p>
      <w:pPr>
        <w:pStyle w:val="11"/>
        <w:tabs>
          <w:tab w:val="left" w:pos="4478"/>
          <w:tab w:val="left" w:pos="4898"/>
        </w:tabs>
        <w:spacing w:before="41"/>
        <w:ind w:left="1598"/>
      </w:pPr>
      <w:r>
        <w:t>甲方：   （盖章）</w:t>
      </w:r>
      <w:r>
        <w:tab/>
      </w:r>
      <w:r>
        <w:tab/>
      </w:r>
      <w:r>
        <w:t xml:space="preserve">乙方： （盖章） </w:t>
      </w:r>
    </w:p>
    <w:p>
      <w:pPr>
        <w:pStyle w:val="11"/>
        <w:spacing w:before="161" w:line="362" w:lineRule="auto"/>
        <w:ind w:left="1598" w:right="1904"/>
      </w:pPr>
      <w:r>
        <w:t>法定代表人（授权代表</w:t>
      </w:r>
      <w:r>
        <w:rPr>
          <w:spacing w:val="-120"/>
        </w:rPr>
        <w:t>）</w:t>
      </w:r>
      <w:r>
        <w:t>：            法定代表人（授权代表</w:t>
      </w:r>
      <w:r>
        <w:rPr>
          <w:spacing w:val="-120"/>
        </w:rPr>
        <w:t>）</w:t>
      </w:r>
      <w:r>
        <w:t xml:space="preserve">： 地 址 ： 地 址 ： </w:t>
      </w:r>
    </w:p>
    <w:p>
      <w:pPr>
        <w:pStyle w:val="11"/>
        <w:spacing w:before="5" w:line="362" w:lineRule="auto"/>
        <w:ind w:left="1598" w:right="3465"/>
      </w:pPr>
      <w:r>
        <w:t xml:space="preserve">开 户 银 行 ：                开 户 银 行 ： 账 号 ： 账 号 ： </w:t>
      </w:r>
    </w:p>
    <w:p>
      <w:pPr>
        <w:pStyle w:val="11"/>
        <w:spacing w:before="5" w:line="362" w:lineRule="auto"/>
        <w:ind w:left="1598" w:right="3465"/>
      </w:pPr>
      <w:r>
        <w:t xml:space="preserve">电    话 ：                        电  话 ： 传 真 ： 传 真 ： </w:t>
      </w:r>
    </w:p>
    <w:p>
      <w:pPr>
        <w:pStyle w:val="11"/>
        <w:tabs>
          <w:tab w:val="left" w:pos="5318"/>
          <w:tab w:val="left" w:pos="5738"/>
          <w:tab w:val="left" w:pos="6158"/>
        </w:tabs>
        <w:spacing w:before="5"/>
        <w:ind w:left="1598"/>
      </w:pPr>
      <w:r>
        <w:t>签约日期：</w:t>
      </w:r>
      <w:r>
        <w:rPr>
          <w:rFonts w:ascii="Times New Roman" w:eastAsia="Times New Roman"/>
        </w:rPr>
        <w:t>XX</w:t>
      </w:r>
      <w:r>
        <w:rPr>
          <w:rFonts w:ascii="Times New Roman" w:eastAsia="Times New Roman"/>
          <w:spacing w:val="-2"/>
        </w:rPr>
        <w:t xml:space="preserve"> </w:t>
      </w:r>
      <w:r>
        <w:t>年</w:t>
      </w:r>
      <w:r>
        <w:rPr>
          <w:spacing w:val="-60"/>
        </w:rPr>
        <w:t xml:space="preserve"> </w:t>
      </w:r>
      <w:r>
        <w:rPr>
          <w:rFonts w:ascii="Times New Roman" w:eastAsia="Times New Roman"/>
        </w:rPr>
        <w:t xml:space="preserve">XX </w:t>
      </w:r>
      <w:r>
        <w:t>月</w:t>
      </w:r>
      <w:r>
        <w:rPr>
          <w:spacing w:val="-60"/>
        </w:rPr>
        <w:t xml:space="preserve"> </w:t>
      </w:r>
      <w:r>
        <w:rPr>
          <w:rFonts w:ascii="Times New Roman" w:eastAsia="Times New Roman"/>
        </w:rPr>
        <w:t>XX</w:t>
      </w:r>
      <w:r>
        <w:rPr>
          <w:rFonts w:ascii="Times New Roman" w:eastAsia="Times New Roman"/>
          <w:spacing w:val="-2"/>
        </w:rPr>
        <w:t xml:space="preserve"> </w:t>
      </w:r>
      <w:r>
        <w:t>日</w:t>
      </w:r>
      <w:r>
        <w:tab/>
      </w:r>
      <w:r>
        <w:tab/>
      </w:r>
      <w:r>
        <w:tab/>
      </w:r>
      <w:r>
        <w:t>签约日期：</w:t>
      </w:r>
      <w:r>
        <w:rPr>
          <w:rFonts w:ascii="Times New Roman" w:eastAsia="Times New Roman"/>
        </w:rPr>
        <w:t>XX</w:t>
      </w:r>
      <w:r>
        <w:rPr>
          <w:rFonts w:ascii="Times New Roman" w:eastAsia="Times New Roman"/>
          <w:spacing w:val="-1"/>
        </w:rPr>
        <w:t xml:space="preserve"> </w:t>
      </w:r>
      <w:r>
        <w:t>年</w:t>
      </w:r>
      <w:r>
        <w:rPr>
          <w:spacing w:val="-60"/>
        </w:rPr>
        <w:t xml:space="preserve"> </w:t>
      </w:r>
      <w:r>
        <w:rPr>
          <w:rFonts w:ascii="Times New Roman" w:eastAsia="Times New Roman"/>
        </w:rPr>
        <w:t>XX</w:t>
      </w:r>
      <w:r>
        <w:rPr>
          <w:rFonts w:ascii="Times New Roman" w:eastAsia="Times New Roman"/>
          <w:spacing w:val="1"/>
        </w:rPr>
        <w:t xml:space="preserve"> </w:t>
      </w:r>
      <w:r>
        <w:t>月</w:t>
      </w:r>
      <w:r>
        <w:rPr>
          <w:spacing w:val="-60"/>
        </w:rPr>
        <w:t xml:space="preserve"> </w:t>
      </w:r>
      <w:r>
        <w:rPr>
          <w:rFonts w:ascii="Times New Roman" w:eastAsia="Times New Roman"/>
        </w:rPr>
        <w:t>XX</w:t>
      </w:r>
      <w:r>
        <w:rPr>
          <w:rFonts w:ascii="Times New Roman" w:eastAsia="Times New Roman"/>
          <w:spacing w:val="-1"/>
        </w:rPr>
        <w:t xml:space="preserve"> </w:t>
      </w:r>
      <w:r>
        <w:t>日</w:t>
      </w:r>
    </w:p>
    <w:p>
      <w:pPr>
        <w:pStyle w:val="11"/>
        <w:spacing w:before="158"/>
        <w:ind w:left="1598"/>
      </w:pPr>
      <w:r>
        <w:t xml:space="preserve"> </w:t>
      </w:r>
    </w:p>
    <w:p>
      <w:pPr>
        <w:pStyle w:val="11"/>
        <w:spacing w:before="161" w:line="364" w:lineRule="auto"/>
        <w:ind w:left="1598" w:right="5985"/>
      </w:pPr>
      <w:r>
        <w:t>见证单位： （盖章） 法定代表人（授权代表</w:t>
      </w:r>
      <w:r>
        <w:rPr>
          <w:spacing w:val="-120"/>
        </w:rPr>
        <w:t>）</w:t>
      </w:r>
      <w:r>
        <w:t xml:space="preserve">： 地 址 ： </w:t>
      </w:r>
    </w:p>
    <w:p>
      <w:pPr>
        <w:pStyle w:val="11"/>
        <w:spacing w:line="364" w:lineRule="auto"/>
        <w:ind w:left="1598" w:right="7666"/>
      </w:pPr>
      <w:r>
        <w:t xml:space="preserve">电  话 ： 传   真 ： </w:t>
      </w:r>
    </w:p>
    <w:p>
      <w:pPr>
        <w:pStyle w:val="11"/>
        <w:spacing w:line="306" w:lineRule="exact"/>
        <w:ind w:left="1598"/>
      </w:pPr>
      <w:r>
        <w:t xml:space="preserve"> </w:t>
      </w:r>
    </w:p>
    <w:p>
      <w:pPr>
        <w:pStyle w:val="11"/>
        <w:spacing w:before="158"/>
        <w:ind w:left="1598"/>
      </w:pPr>
      <w:r>
        <w:t xml:space="preserve"> </w:t>
      </w:r>
    </w:p>
    <w:p>
      <w:pPr>
        <w:pStyle w:val="11"/>
        <w:spacing w:before="160"/>
        <w:ind w:left="1838"/>
      </w:pPr>
      <w:r>
        <w:t xml:space="preserve">代 理 机 构 ： （ 盖 章 ） </w:t>
      </w:r>
    </w:p>
    <w:p>
      <w:pPr>
        <w:pStyle w:val="11"/>
        <w:spacing w:before="5"/>
        <w:rPr>
          <w:sz w:val="26"/>
        </w:rPr>
      </w:pPr>
    </w:p>
    <w:p>
      <w:pPr>
        <w:pStyle w:val="11"/>
        <w:spacing w:before="1"/>
        <w:ind w:left="1838"/>
      </w:pPr>
      <w:r>
        <w:t>法定（授权）代表人：</w:t>
      </w:r>
      <w:r>
        <w:rPr>
          <w:u w:val="single"/>
        </w:rPr>
        <w:t xml:space="preserve">          </w:t>
      </w:r>
      <w:r>
        <w:t xml:space="preserve"> </w:t>
      </w:r>
    </w:p>
    <w:p>
      <w:pPr>
        <w:pStyle w:val="11"/>
        <w:spacing w:before="3"/>
        <w:rPr>
          <w:sz w:val="11"/>
        </w:rPr>
      </w:pPr>
    </w:p>
    <w:p>
      <w:pPr>
        <w:pStyle w:val="11"/>
        <w:spacing w:before="67"/>
        <w:ind w:left="1118"/>
      </w:pPr>
      <w:r>
        <w:t xml:space="preserve">          </w:t>
      </w:r>
      <w:r>
        <w:rPr>
          <w:spacing w:val="-1"/>
        </w:rPr>
        <w:t xml:space="preserve"> </w:t>
      </w:r>
      <w:r>
        <w:t xml:space="preserve"> </w:t>
      </w:r>
    </w:p>
    <w:p>
      <w:pPr>
        <w:pStyle w:val="11"/>
        <w:spacing w:before="33"/>
        <w:ind w:left="1838"/>
      </w:pPr>
      <w:r>
        <w:rPr>
          <w:u w:val="single"/>
        </w:rPr>
        <w:t xml:space="preserve">       </w:t>
      </w:r>
      <w:r>
        <w:t>年</w:t>
      </w:r>
      <w:r>
        <w:rPr>
          <w:u w:val="single"/>
        </w:rPr>
        <w:t xml:space="preserve"> </w:t>
      </w:r>
      <w:r>
        <w:t>月</w:t>
      </w:r>
      <w:r>
        <w:rPr>
          <w:u w:val="single"/>
        </w:rPr>
        <w:t xml:space="preserve">     </w:t>
      </w:r>
    </w:p>
    <w:p>
      <w:pPr>
        <w:spacing w:after="0"/>
        <w:sectPr>
          <w:pgSz w:w="11910" w:h="16840"/>
          <w:pgMar w:top="1380" w:right="640" w:bottom="1180" w:left="680" w:header="0" w:footer="913" w:gutter="0"/>
          <w:cols w:space="720" w:num="1"/>
        </w:sectPr>
      </w:pPr>
    </w:p>
    <w:p>
      <w:pPr>
        <w:pStyle w:val="11"/>
        <w:rPr>
          <w:sz w:val="20"/>
        </w:rPr>
      </w:pPr>
    </w:p>
    <w:p>
      <w:pPr>
        <w:pStyle w:val="3"/>
        <w:tabs>
          <w:tab w:val="left" w:pos="2157"/>
        </w:tabs>
        <w:spacing w:before="214"/>
        <w:ind w:left="170"/>
        <w:outlineLvl w:val="0"/>
      </w:pPr>
      <w:bookmarkStart w:id="23" w:name="_Toc10438"/>
      <w:r>
        <w:t>第五章</w:t>
      </w:r>
      <w:r>
        <w:tab/>
      </w:r>
      <w:r>
        <w:t>评标办法和程序</w:t>
      </w:r>
      <w:bookmarkEnd w:id="23"/>
    </w:p>
    <w:p>
      <w:pPr>
        <w:pStyle w:val="11"/>
        <w:spacing w:before="9"/>
        <w:rPr>
          <w:b/>
          <w:sz w:val="25"/>
        </w:rPr>
      </w:pPr>
    </w:p>
    <w:p>
      <w:pPr>
        <w:pStyle w:val="5"/>
        <w:spacing w:before="70"/>
      </w:pPr>
      <w:r>
        <w:t>一</w:t>
      </w:r>
      <w:r>
        <w:rPr>
          <w:rFonts w:ascii="Arial" w:eastAsia="Arial"/>
        </w:rPr>
        <w:t xml:space="preserve">. </w:t>
      </w:r>
      <w:r>
        <w:t>总则</w:t>
      </w:r>
    </w:p>
    <w:p>
      <w:pPr>
        <w:pStyle w:val="11"/>
        <w:spacing w:before="11"/>
        <w:rPr>
          <w:b/>
          <w:sz w:val="34"/>
        </w:rPr>
      </w:pPr>
    </w:p>
    <w:p>
      <w:pPr>
        <w:pStyle w:val="11"/>
        <w:spacing w:before="1"/>
        <w:ind w:left="933"/>
      </w:pPr>
      <w:r>
        <w:t>1、 根据《中华人民共和国政府采购法》和《政府采购货物和服务招标投标管理办法》</w:t>
      </w:r>
    </w:p>
    <w:p>
      <w:pPr>
        <w:pStyle w:val="11"/>
        <w:spacing w:before="160"/>
        <w:ind w:left="452"/>
      </w:pPr>
      <w:r>
        <w:t xml:space="preserve">（财政部第 87 号令）等法律规章，结合采购项目特点制定本评标办法。 </w:t>
      </w:r>
    </w:p>
    <w:p>
      <w:pPr>
        <w:pStyle w:val="11"/>
        <w:spacing w:before="161" w:line="364" w:lineRule="auto"/>
        <w:ind w:left="452" w:right="498" w:firstLine="480"/>
      </w:pPr>
      <w:r>
        <w:t xml:space="preserve">2、 评标工作由招标人负责组织，具体评标事务由招标人依法组建的评标委员会负责。评标委员会由采购人代表和有关技术、经济等方面的专家组成。 </w:t>
      </w:r>
    </w:p>
    <w:p>
      <w:pPr>
        <w:pStyle w:val="11"/>
        <w:spacing w:before="1" w:line="364" w:lineRule="auto"/>
        <w:ind w:left="452" w:right="497" w:firstLine="480"/>
      </w:pPr>
      <w:r>
        <w:t xml:space="preserve">3 、评标工作应遵循“公开、公平、公正、择优、诚实信用”的原则，并以相同的评标程序和标准对待所有的供应商。 </w:t>
      </w:r>
    </w:p>
    <w:p>
      <w:pPr>
        <w:pStyle w:val="11"/>
        <w:spacing w:before="2" w:line="364" w:lineRule="auto"/>
        <w:ind w:left="452" w:right="498" w:firstLine="480"/>
      </w:pPr>
      <w:r>
        <w:t xml:space="preserve">4、 评标委员会按照招标文件规定的评标方法和标准进行评标，在政府采购活动中须遵纪守法，客观、公正、廉洁地履行职责： </w:t>
      </w:r>
    </w:p>
    <w:p>
      <w:pPr>
        <w:pStyle w:val="28"/>
        <w:numPr>
          <w:ilvl w:val="0"/>
          <w:numId w:val="18"/>
        </w:numPr>
        <w:tabs>
          <w:tab w:val="left" w:pos="1535"/>
        </w:tabs>
        <w:spacing w:before="1" w:after="0" w:line="240" w:lineRule="auto"/>
        <w:ind w:left="1534" w:right="0" w:hanging="602"/>
        <w:jc w:val="left"/>
        <w:rPr>
          <w:sz w:val="24"/>
        </w:rPr>
      </w:pPr>
      <w:r>
        <w:rPr>
          <w:sz w:val="24"/>
        </w:rPr>
        <w:t xml:space="preserve">审查投标文件是否符合招标文件要求，并作出评价； </w:t>
      </w:r>
    </w:p>
    <w:p>
      <w:pPr>
        <w:pStyle w:val="28"/>
        <w:numPr>
          <w:ilvl w:val="0"/>
          <w:numId w:val="18"/>
        </w:numPr>
        <w:tabs>
          <w:tab w:val="left" w:pos="1535"/>
        </w:tabs>
        <w:spacing w:before="160" w:after="0" w:line="240" w:lineRule="auto"/>
        <w:ind w:left="1534" w:right="0" w:hanging="602"/>
        <w:jc w:val="left"/>
        <w:rPr>
          <w:sz w:val="24"/>
        </w:rPr>
      </w:pPr>
      <w:r>
        <w:rPr>
          <w:sz w:val="24"/>
        </w:rPr>
        <w:t xml:space="preserve">要求投标供应商对投标文件有关事项作出解释或者澄清； </w:t>
      </w:r>
    </w:p>
    <w:p>
      <w:pPr>
        <w:pStyle w:val="28"/>
        <w:numPr>
          <w:ilvl w:val="0"/>
          <w:numId w:val="18"/>
        </w:numPr>
        <w:tabs>
          <w:tab w:val="left" w:pos="1535"/>
        </w:tabs>
        <w:spacing w:before="161" w:after="0" w:line="364" w:lineRule="auto"/>
        <w:ind w:left="452" w:right="492" w:firstLine="480"/>
        <w:jc w:val="left"/>
        <w:rPr>
          <w:sz w:val="24"/>
        </w:rPr>
      </w:pPr>
      <w:r>
        <w:rPr>
          <w:spacing w:val="-4"/>
          <w:sz w:val="24"/>
        </w:rPr>
        <w:t>推荐中标候选供应商名单，或者受采购人委托按照事先确定的办法直接确定中标</w:t>
      </w:r>
      <w:r>
        <w:rPr>
          <w:spacing w:val="-5"/>
          <w:sz w:val="24"/>
        </w:rPr>
        <w:t xml:space="preserve">供应商； </w:t>
      </w:r>
    </w:p>
    <w:p>
      <w:pPr>
        <w:pStyle w:val="28"/>
        <w:numPr>
          <w:ilvl w:val="0"/>
          <w:numId w:val="18"/>
        </w:numPr>
        <w:tabs>
          <w:tab w:val="left" w:pos="1535"/>
        </w:tabs>
        <w:spacing w:before="1" w:after="0" w:line="240" w:lineRule="auto"/>
        <w:ind w:left="1534" w:right="0" w:hanging="602"/>
        <w:jc w:val="left"/>
        <w:rPr>
          <w:sz w:val="24"/>
        </w:rPr>
      </w:pPr>
      <w:r>
        <w:rPr>
          <w:sz w:val="24"/>
        </w:rPr>
        <w:t>向采购人或者有关部门报告非法干预评标工作的行为。</w:t>
      </w:r>
    </w:p>
    <w:p>
      <w:pPr>
        <w:pStyle w:val="11"/>
        <w:spacing w:before="161" w:line="364" w:lineRule="auto"/>
        <w:ind w:left="452" w:right="500" w:firstLine="480"/>
      </w:pPr>
      <w:r>
        <w:t xml:space="preserve">5 、评标过程严格保密。供应商对评委会的评标过程或合同授予决定施加影响的任何行为都可能导致其投标被拒绝。 </w:t>
      </w:r>
    </w:p>
    <w:p>
      <w:pPr>
        <w:pStyle w:val="11"/>
        <w:spacing w:before="1"/>
        <w:ind w:left="933"/>
      </w:pPr>
      <w:r>
        <w:t xml:space="preserve">6、评委会决定投标文件的响应性依据投标文件本身的内容，而不寻求外部的证据。 </w:t>
      </w:r>
    </w:p>
    <w:p>
      <w:pPr>
        <w:pStyle w:val="11"/>
        <w:spacing w:before="161" w:line="364" w:lineRule="auto"/>
        <w:ind w:left="452" w:right="492" w:firstLine="480"/>
        <w:jc w:val="both"/>
      </w:pPr>
      <w:r>
        <w:t>7</w:t>
      </w:r>
      <w:r>
        <w:rPr>
          <w:spacing w:val="-10"/>
        </w:rPr>
        <w:t>、评委会发现招标文件表述不明确或需要说明的事项，可提请招标采购单位书面解释说</w:t>
      </w:r>
      <w:r>
        <w:t xml:space="preserve">明。发现招标文件违反有关法律、法规和规章的，可以拒绝评标，并向招标采购单位书面说明情况。 </w:t>
      </w:r>
    </w:p>
    <w:p>
      <w:pPr>
        <w:pStyle w:val="11"/>
        <w:spacing w:before="1"/>
        <w:ind w:left="933"/>
      </w:pPr>
      <w:r>
        <w:t xml:space="preserve">8、评标专家在政府采购活动中承担以下义务： </w:t>
      </w:r>
    </w:p>
    <w:p>
      <w:pPr>
        <w:pStyle w:val="28"/>
        <w:numPr>
          <w:ilvl w:val="1"/>
          <w:numId w:val="19"/>
        </w:numPr>
        <w:tabs>
          <w:tab w:val="left" w:pos="1535"/>
        </w:tabs>
        <w:spacing w:before="161" w:after="0" w:line="240" w:lineRule="auto"/>
        <w:ind w:left="1534" w:right="0" w:hanging="362"/>
        <w:jc w:val="left"/>
        <w:rPr>
          <w:sz w:val="24"/>
        </w:rPr>
      </w:pPr>
      <w:r>
        <w:rPr>
          <w:sz w:val="24"/>
        </w:rPr>
        <w:t xml:space="preserve">遵纪守法，客观、公正、廉洁地履行职责。 </w:t>
      </w:r>
    </w:p>
    <w:p>
      <w:pPr>
        <w:pStyle w:val="28"/>
        <w:numPr>
          <w:ilvl w:val="1"/>
          <w:numId w:val="19"/>
        </w:numPr>
        <w:tabs>
          <w:tab w:val="left" w:pos="1535"/>
        </w:tabs>
        <w:spacing w:before="161" w:after="0" w:line="364" w:lineRule="auto"/>
        <w:ind w:left="452" w:right="493" w:firstLine="720"/>
        <w:jc w:val="both"/>
        <w:rPr>
          <w:sz w:val="24"/>
        </w:rPr>
      </w:pPr>
      <w:r>
        <w:rPr>
          <w:sz w:val="24"/>
        </w:rPr>
        <w:t>按照政府采购法律法规和采购文件的规定要求对供应商的资格条件和供应商提供</w:t>
      </w:r>
      <w:r>
        <w:rPr>
          <w:spacing w:val="-1"/>
          <w:sz w:val="24"/>
        </w:rPr>
        <w:t>的产品价格、技术、服务等方面严格进行评判，提供科学合理、公平公正的评审意见，参与</w:t>
      </w:r>
      <w:r>
        <w:rPr>
          <w:sz w:val="24"/>
        </w:rPr>
        <w:t xml:space="preserve">起草评审报告，并予签字确认。 </w:t>
      </w:r>
    </w:p>
    <w:p>
      <w:pPr>
        <w:pStyle w:val="28"/>
        <w:numPr>
          <w:ilvl w:val="1"/>
          <w:numId w:val="19"/>
        </w:numPr>
        <w:tabs>
          <w:tab w:val="left" w:pos="1535"/>
        </w:tabs>
        <w:spacing w:before="2" w:after="0" w:line="364" w:lineRule="auto"/>
        <w:ind w:left="452" w:right="496" w:firstLine="720"/>
        <w:jc w:val="left"/>
        <w:rPr>
          <w:sz w:val="24"/>
        </w:rPr>
      </w:pPr>
      <w:r>
        <w:rPr>
          <w:spacing w:val="-1"/>
          <w:sz w:val="24"/>
        </w:rPr>
        <w:t>保守秘密。不得透露采购文件咨询情况，不得泄漏供应商的投标文件及知悉的商</w:t>
      </w:r>
      <w:r>
        <w:rPr>
          <w:sz w:val="24"/>
        </w:rPr>
        <w:t xml:space="preserve">业秘密，不得向供应商透露评审情况。 </w:t>
      </w:r>
    </w:p>
    <w:p>
      <w:pPr>
        <w:spacing w:after="0" w:line="364" w:lineRule="auto"/>
        <w:jc w:val="left"/>
        <w:rPr>
          <w:sz w:val="24"/>
        </w:rPr>
        <w:sectPr>
          <w:footerReference r:id="rId6" w:type="default"/>
          <w:pgSz w:w="11910" w:h="16840"/>
          <w:pgMar w:top="1140" w:right="640" w:bottom="840" w:left="680" w:header="0" w:footer="646" w:gutter="0"/>
          <w:pgNumType w:start="36"/>
          <w:cols w:space="720" w:num="1"/>
        </w:sectPr>
      </w:pPr>
    </w:p>
    <w:p>
      <w:pPr>
        <w:pStyle w:val="28"/>
        <w:numPr>
          <w:ilvl w:val="1"/>
          <w:numId w:val="19"/>
        </w:numPr>
        <w:tabs>
          <w:tab w:val="left" w:pos="1535"/>
        </w:tabs>
        <w:spacing w:before="53" w:after="0" w:line="364" w:lineRule="auto"/>
        <w:ind w:left="452" w:right="496" w:firstLine="720"/>
        <w:jc w:val="left"/>
        <w:rPr>
          <w:sz w:val="24"/>
        </w:rPr>
      </w:pPr>
      <w:r>
        <w:rPr>
          <w:spacing w:val="-1"/>
          <w:sz w:val="24"/>
        </w:rPr>
        <w:t>发现供应商在政府采购活动中有不正当竞争或恶意串通等违规行为，及时向政府</w:t>
      </w:r>
      <w:r>
        <w:rPr>
          <w:sz w:val="24"/>
        </w:rPr>
        <w:t xml:space="preserve">采购评审工作的组织者或财政部门报告并加以制止。 </w:t>
      </w:r>
    </w:p>
    <w:p>
      <w:pPr>
        <w:pStyle w:val="11"/>
        <w:spacing w:before="2" w:line="364" w:lineRule="auto"/>
        <w:ind w:left="452" w:right="499" w:firstLine="720"/>
        <w:jc w:val="both"/>
      </w:pPr>
      <w:r>
        <w:t xml:space="preserve">发现采购人、政府采购代理机构及其工作人员在政府采购活动中有干预评审、发表倾向性和歧视性言论、受贿或者接受供应商的其他好处及其他违法违规行为，及时向财政部门报告。 </w:t>
      </w:r>
    </w:p>
    <w:p>
      <w:pPr>
        <w:pStyle w:val="28"/>
        <w:numPr>
          <w:ilvl w:val="1"/>
          <w:numId w:val="19"/>
        </w:numPr>
        <w:tabs>
          <w:tab w:val="left" w:pos="1535"/>
        </w:tabs>
        <w:spacing w:before="2" w:after="0" w:line="364" w:lineRule="auto"/>
        <w:ind w:left="452" w:right="493" w:firstLine="720"/>
        <w:jc w:val="left"/>
        <w:rPr>
          <w:sz w:val="24"/>
        </w:rPr>
      </w:pPr>
      <w:r>
        <w:rPr>
          <w:spacing w:val="-1"/>
          <w:sz w:val="24"/>
        </w:rPr>
        <w:t>解答有关方面对政府采购评审工作中有关问题的询问，配合采购人或者政府采购</w:t>
      </w:r>
      <w:r>
        <w:rPr>
          <w:sz w:val="24"/>
        </w:rPr>
        <w:t xml:space="preserve">代理机构答复供应商质疑，配合财政部门的投诉处理工作等事宜。 </w:t>
      </w:r>
    </w:p>
    <w:p>
      <w:pPr>
        <w:pStyle w:val="28"/>
        <w:numPr>
          <w:ilvl w:val="1"/>
          <w:numId w:val="19"/>
        </w:numPr>
        <w:tabs>
          <w:tab w:val="left" w:pos="1535"/>
        </w:tabs>
        <w:spacing w:before="1" w:after="0" w:line="240" w:lineRule="auto"/>
        <w:ind w:left="1534" w:right="0" w:hanging="362"/>
        <w:jc w:val="left"/>
        <w:rPr>
          <w:sz w:val="24"/>
        </w:rPr>
      </w:pPr>
      <w:r>
        <w:rPr>
          <w:sz w:val="24"/>
        </w:rPr>
        <w:t xml:space="preserve">法律、法规和规章规定的其他义务。 </w:t>
      </w:r>
    </w:p>
    <w:p>
      <w:pPr>
        <w:pStyle w:val="28"/>
        <w:numPr>
          <w:ilvl w:val="0"/>
          <w:numId w:val="20"/>
        </w:numPr>
        <w:tabs>
          <w:tab w:val="left" w:pos="1175"/>
        </w:tabs>
        <w:spacing w:before="160" w:after="0" w:line="240" w:lineRule="auto"/>
        <w:ind w:left="1174" w:right="0" w:hanging="242"/>
        <w:jc w:val="left"/>
        <w:rPr>
          <w:sz w:val="24"/>
        </w:rPr>
      </w:pPr>
      <w:r>
        <w:rPr>
          <w:sz w:val="24"/>
        </w:rPr>
        <w:t xml:space="preserve">评审专家在政府采购活动中应当遵守以下工作纪律： </w:t>
      </w:r>
    </w:p>
    <w:p>
      <w:pPr>
        <w:pStyle w:val="28"/>
        <w:numPr>
          <w:ilvl w:val="1"/>
          <w:numId w:val="20"/>
        </w:numPr>
        <w:tabs>
          <w:tab w:val="left" w:pos="1535"/>
        </w:tabs>
        <w:spacing w:before="162" w:after="0" w:line="364" w:lineRule="auto"/>
        <w:ind w:left="452" w:right="409" w:firstLine="720"/>
        <w:jc w:val="left"/>
        <w:rPr>
          <w:sz w:val="24"/>
        </w:rPr>
      </w:pPr>
      <w:r>
        <w:rPr>
          <w:sz w:val="24"/>
        </w:rPr>
        <w:t xml:space="preserve">应邀按时参加评审和咨询活动。遇特殊情况不能出席或途中遇阻不能按时参加评 审或咨询的，应及时告知财政部门或者采购人或者政府采购代理机构，不得私自转托他人。 </w:t>
      </w:r>
    </w:p>
    <w:p>
      <w:pPr>
        <w:pStyle w:val="28"/>
        <w:numPr>
          <w:ilvl w:val="1"/>
          <w:numId w:val="20"/>
        </w:numPr>
        <w:tabs>
          <w:tab w:val="left" w:pos="1535"/>
        </w:tabs>
        <w:spacing w:before="1" w:after="0" w:line="364" w:lineRule="auto"/>
        <w:ind w:left="452" w:right="494" w:firstLine="720"/>
        <w:jc w:val="both"/>
        <w:rPr>
          <w:sz w:val="24"/>
        </w:rPr>
      </w:pPr>
      <w:r>
        <w:rPr>
          <w:spacing w:val="-1"/>
          <w:sz w:val="24"/>
        </w:rPr>
        <w:t>不得参加与自己有利害关系的政府采购项目的评审活动。对与自己有利害关系的评审项目，如受到邀请，应主动提出回避。财政部门、采购人或政府采购代理机构也可要求</w:t>
      </w:r>
      <w:r>
        <w:rPr>
          <w:sz w:val="24"/>
        </w:rPr>
        <w:t xml:space="preserve">该评审专家回避。 </w:t>
      </w:r>
    </w:p>
    <w:p>
      <w:pPr>
        <w:pStyle w:val="11"/>
        <w:spacing w:before="1" w:line="364" w:lineRule="auto"/>
        <w:ind w:left="452" w:right="496" w:firstLine="720"/>
        <w:jc w:val="both"/>
      </w:pPr>
      <w:r>
        <w:t xml:space="preserve">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审的情况。 </w:t>
      </w:r>
    </w:p>
    <w:p>
      <w:pPr>
        <w:pStyle w:val="28"/>
        <w:numPr>
          <w:ilvl w:val="1"/>
          <w:numId w:val="20"/>
        </w:numPr>
        <w:tabs>
          <w:tab w:val="left" w:pos="1535"/>
        </w:tabs>
        <w:spacing w:before="3" w:after="0" w:line="364" w:lineRule="auto"/>
        <w:ind w:left="452" w:right="496" w:firstLine="720"/>
        <w:jc w:val="left"/>
        <w:rPr>
          <w:sz w:val="24"/>
        </w:rPr>
      </w:pPr>
      <w:r>
        <w:rPr>
          <w:spacing w:val="-1"/>
          <w:sz w:val="24"/>
        </w:rPr>
        <w:t>评审或咨询过程中关闭通讯设备，不得与外界联系。因发生不可预见情况，确实</w:t>
      </w:r>
      <w:r>
        <w:rPr>
          <w:sz w:val="24"/>
        </w:rPr>
        <w:t xml:space="preserve">需要与外界联系的，应当有在场工作人员陪同。 </w:t>
      </w:r>
    </w:p>
    <w:p>
      <w:pPr>
        <w:pStyle w:val="28"/>
        <w:numPr>
          <w:ilvl w:val="1"/>
          <w:numId w:val="20"/>
        </w:numPr>
        <w:tabs>
          <w:tab w:val="left" w:pos="1535"/>
        </w:tabs>
        <w:spacing w:before="1" w:after="0" w:line="364" w:lineRule="auto"/>
        <w:ind w:left="452" w:right="496" w:firstLine="720"/>
        <w:jc w:val="both"/>
        <w:rPr>
          <w:sz w:val="24"/>
        </w:rPr>
      </w:pPr>
      <w:r>
        <w:rPr>
          <w:spacing w:val="-1"/>
          <w:sz w:val="24"/>
        </w:rPr>
        <w:t>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w:t>
      </w:r>
      <w:r>
        <w:rPr>
          <w:sz w:val="24"/>
        </w:rPr>
        <w:t xml:space="preserve">的评审意见签字确认。 </w:t>
      </w:r>
    </w:p>
    <w:p>
      <w:pPr>
        <w:pStyle w:val="28"/>
        <w:numPr>
          <w:ilvl w:val="1"/>
          <w:numId w:val="20"/>
        </w:numPr>
        <w:tabs>
          <w:tab w:val="left" w:pos="1535"/>
        </w:tabs>
        <w:spacing w:before="3" w:after="0" w:line="364" w:lineRule="auto"/>
        <w:ind w:left="452" w:right="409" w:firstLine="720"/>
        <w:jc w:val="left"/>
        <w:rPr>
          <w:sz w:val="24"/>
        </w:rPr>
      </w:pPr>
      <w:r>
        <w:rPr>
          <w:spacing w:val="-15"/>
          <w:sz w:val="24"/>
        </w:rPr>
        <w:t xml:space="preserve">在咨询工作中，严格执行国家产业政策和产品标准，认真听取咨询方的合理要求， 提出科学合理的、无倾向性和歧视性的咨询方案，并对所提出的意见和建议承担个人责任。 </w:t>
      </w:r>
    </w:p>
    <w:p>
      <w:pPr>
        <w:pStyle w:val="28"/>
        <w:numPr>
          <w:ilvl w:val="1"/>
          <w:numId w:val="20"/>
        </w:numPr>
        <w:tabs>
          <w:tab w:val="left" w:pos="1535"/>
        </w:tabs>
        <w:spacing w:before="2" w:after="0" w:line="240" w:lineRule="auto"/>
        <w:ind w:left="1534" w:right="0" w:hanging="362"/>
        <w:jc w:val="left"/>
        <w:rPr>
          <w:sz w:val="24"/>
        </w:rPr>
      </w:pPr>
      <w:r>
        <w:rPr>
          <w:sz w:val="24"/>
        </w:rPr>
        <w:t xml:space="preserve">有关部门（机构）制定的其他评审工作纪律。 </w:t>
      </w:r>
    </w:p>
    <w:p>
      <w:pPr>
        <w:pStyle w:val="11"/>
        <w:spacing w:before="12"/>
        <w:rPr>
          <w:sz w:val="34"/>
        </w:rPr>
      </w:pPr>
    </w:p>
    <w:p>
      <w:pPr>
        <w:pStyle w:val="5"/>
      </w:pPr>
      <w:r>
        <w:t>二、评标方法 （综合评分法）</w:t>
      </w:r>
    </w:p>
    <w:p>
      <w:pPr>
        <w:pStyle w:val="11"/>
        <w:spacing w:before="11"/>
        <w:rPr>
          <w:b/>
          <w:sz w:val="34"/>
        </w:rPr>
      </w:pPr>
    </w:p>
    <w:p>
      <w:pPr>
        <w:pStyle w:val="11"/>
        <w:spacing w:before="1"/>
        <w:ind w:left="933"/>
      </w:pPr>
      <w:r>
        <w:rPr>
          <w:rFonts w:ascii="Times New Roman" w:eastAsia="Times New Roman"/>
        </w:rPr>
        <w:t>1</w:t>
      </w:r>
      <w:r>
        <w:t>、本项目评标方法为：综合评分法。</w:t>
      </w:r>
    </w:p>
    <w:p>
      <w:pPr>
        <w:spacing w:after="0"/>
        <w:sectPr>
          <w:pgSz w:w="11910" w:h="16840"/>
          <w:pgMar w:top="1140" w:right="640" w:bottom="920" w:left="680" w:header="0" w:footer="646" w:gutter="0"/>
          <w:cols w:space="720" w:num="1"/>
        </w:sectPr>
      </w:pPr>
    </w:p>
    <w:p>
      <w:pPr>
        <w:pStyle w:val="11"/>
        <w:spacing w:before="53" w:line="364" w:lineRule="auto"/>
        <w:ind w:left="452" w:right="496" w:firstLine="480"/>
      </w:pPr>
      <w:r>
        <w:t>2、综合评分法评标步骤：先进行初步评审</w:t>
      </w:r>
      <w:r>
        <w:rPr>
          <w:spacing w:val="2"/>
        </w:rPr>
        <w:t>（</w:t>
      </w:r>
      <w:r>
        <w:t>资格和符合性审查</w:t>
      </w:r>
      <w:r>
        <w:rPr>
          <w:spacing w:val="-120"/>
        </w:rPr>
        <w:t>）</w:t>
      </w:r>
      <w:r>
        <w:rPr>
          <w:spacing w:val="-2"/>
        </w:rPr>
        <w:t>，再进行技术和商务的</w:t>
      </w:r>
      <w:r>
        <w:t xml:space="preserve">详细评审。只有通过资格和符合性审查的供应商才能进入详细的评审。 </w:t>
      </w:r>
    </w:p>
    <w:p>
      <w:pPr>
        <w:pStyle w:val="11"/>
        <w:spacing w:before="2" w:line="364" w:lineRule="auto"/>
        <w:ind w:left="452" w:right="493" w:firstLine="480"/>
        <w:jc w:val="both"/>
      </w:pPr>
      <w:r>
        <w:t>3</w:t>
      </w:r>
      <w:r>
        <w:rPr>
          <w:spacing w:val="-10"/>
        </w:rPr>
        <w:t>、综合评分及其统计：按照评标程序、评分标准以及权重分配的规定，评标委员会成员</w:t>
      </w:r>
      <w:r>
        <w:t xml:space="preserve">分别就各个供应商的技术状况、商务状况及其对招标文件要求的响应情况进行评议和比较， 评出其技术评分和商务评分。所有评委评分的算术平均值即为该供应商的技术评分和商务评分。将技术评分、商务评分评分相加得出综合得分，综合得分按由高到低顺序排列。综合得分相同的，按技术评分排序。综合得分和技术评分均相同的。综合得分最高的供应商为第一中标候选供应商，综合得分次高的供应商为第二中标候选供应商。以此类推。 </w:t>
      </w:r>
    </w:p>
    <w:p>
      <w:pPr>
        <w:pStyle w:val="11"/>
        <w:spacing w:before="4" w:line="364" w:lineRule="auto"/>
        <w:ind w:left="452" w:right="495" w:firstLine="480"/>
      </w:pPr>
      <w:r>
        <w:t>4</w:t>
      </w:r>
      <w:r>
        <w:rPr>
          <w:spacing w:val="-16"/>
        </w:rPr>
        <w:t>、 本次综合评分的主要因素是：技术、价格、服务、对招标文件的响应程度以及环保、</w:t>
      </w:r>
      <w:r>
        <w:t xml:space="preserve">节能、自主创新产品。 </w:t>
      </w:r>
    </w:p>
    <w:p>
      <w:pPr>
        <w:pStyle w:val="11"/>
        <w:spacing w:before="1" w:line="364" w:lineRule="auto"/>
        <w:ind w:left="452" w:right="498" w:firstLine="480"/>
      </w:pPr>
      <w:r>
        <w:t xml:space="preserve">5、 除价格因素外，评委会成员应依据投标文件规定的评分标准和方法独立对其他因素进行比较打分，全部评委打分的算术平均值即为该供应商的得分。 </w:t>
      </w:r>
    </w:p>
    <w:p>
      <w:pPr>
        <w:pStyle w:val="11"/>
        <w:spacing w:before="1"/>
        <w:ind w:left="933"/>
      </w:pPr>
      <w:r>
        <w:t xml:space="preserve">6、 评标委员会按招标文件公布的评标方法对每份投标文件进行评审，确定中标候选人。 </w:t>
      </w:r>
    </w:p>
    <w:p>
      <w:pPr>
        <w:pStyle w:val="11"/>
        <w:spacing w:before="161" w:line="364" w:lineRule="auto"/>
        <w:ind w:left="452" w:right="498" w:firstLine="480"/>
        <w:jc w:val="both"/>
      </w:pPr>
      <w:r>
        <w:t xml:space="preserve">7、 评标委员会成员对需要共同认定的事项存在争议的，应当按照少数服从多数的原则作出结论。持不同意见的评标委员会成员应当在评标报告上签署不同意见及理由，否则视为同意评标报告。 </w:t>
      </w:r>
    </w:p>
    <w:p>
      <w:pPr>
        <w:pStyle w:val="11"/>
        <w:spacing w:before="7"/>
        <w:rPr>
          <w:sz w:val="22"/>
        </w:rPr>
      </w:pPr>
    </w:p>
    <w:p>
      <w:pPr>
        <w:pStyle w:val="5"/>
        <w:rPr>
          <w:sz w:val="24"/>
        </w:rPr>
      </w:pPr>
      <w:r>
        <w:t>三、评标程序</w:t>
      </w:r>
      <w:r>
        <w:rPr>
          <w:w w:val="99"/>
          <w:sz w:val="24"/>
        </w:rPr>
        <w:t xml:space="preserve"> </w:t>
      </w:r>
    </w:p>
    <w:p>
      <w:pPr>
        <w:pStyle w:val="11"/>
        <w:rPr>
          <w:b/>
          <w:sz w:val="20"/>
        </w:rPr>
      </w:pPr>
    </w:p>
    <w:p>
      <w:pPr>
        <w:pStyle w:val="11"/>
        <w:spacing w:before="7"/>
        <w:rPr>
          <w:b/>
          <w:sz w:val="17"/>
        </w:rPr>
      </w:pPr>
    </w:p>
    <w:p>
      <w:pPr>
        <w:pStyle w:val="11"/>
        <w:spacing w:before="1"/>
        <w:ind w:left="1173"/>
      </w:pPr>
      <w:r>
        <w:t>1</w:t>
      </w:r>
      <w:r>
        <w:rPr>
          <w:b/>
        </w:rPr>
        <w:t>、</w:t>
      </w:r>
      <w:r>
        <w:t>根据《政府采购货物和服务招标投标管理办法》的规定，评标按照下列工作程序进</w:t>
      </w:r>
    </w:p>
    <w:p>
      <w:pPr>
        <w:pStyle w:val="11"/>
        <w:spacing w:before="131"/>
        <w:ind w:left="452"/>
      </w:pPr>
      <w:r>
        <w:t xml:space="preserve">行： </w:t>
      </w:r>
    </w:p>
    <w:p>
      <w:pPr>
        <w:pStyle w:val="28"/>
        <w:numPr>
          <w:ilvl w:val="0"/>
          <w:numId w:val="0"/>
        </w:numPr>
        <w:tabs>
          <w:tab w:val="left" w:pos="1549"/>
        </w:tabs>
        <w:spacing w:before="134" w:after="0" w:line="240" w:lineRule="auto"/>
        <w:ind w:left="946" w:leftChars="0" w:right="0" w:rightChars="0"/>
        <w:jc w:val="left"/>
        <w:rPr>
          <w:sz w:val="24"/>
        </w:rPr>
      </w:pPr>
      <w:r>
        <w:rPr>
          <w:rFonts w:hint="eastAsia"/>
          <w:sz w:val="24"/>
          <w:lang w:eastAsia="zh-CN"/>
        </w:rPr>
        <w:t>（</w:t>
      </w:r>
      <w:r>
        <w:rPr>
          <w:rFonts w:hint="eastAsia"/>
          <w:sz w:val="24"/>
          <w:lang w:val="en-US" w:eastAsia="zh-CN"/>
        </w:rPr>
        <w:t>1</w:t>
      </w:r>
      <w:r>
        <w:rPr>
          <w:rFonts w:hint="eastAsia"/>
          <w:sz w:val="24"/>
          <w:lang w:eastAsia="zh-CN"/>
        </w:rPr>
        <w:t>）</w:t>
      </w:r>
      <w:r>
        <w:rPr>
          <w:sz w:val="24"/>
        </w:rPr>
        <w:t>投标文件初步评审（资格性审查、符合性审查</w:t>
      </w:r>
      <w:r>
        <w:rPr>
          <w:spacing w:val="-120"/>
          <w:sz w:val="24"/>
        </w:rPr>
        <w:t>）</w:t>
      </w:r>
      <w:r>
        <w:rPr>
          <w:sz w:val="24"/>
        </w:rPr>
        <w:t xml:space="preserve">； </w:t>
      </w:r>
    </w:p>
    <w:p>
      <w:pPr>
        <w:pStyle w:val="28"/>
        <w:numPr>
          <w:ilvl w:val="0"/>
          <w:numId w:val="0"/>
        </w:numPr>
        <w:tabs>
          <w:tab w:val="left" w:pos="1549"/>
        </w:tabs>
        <w:spacing w:before="132" w:after="0" w:line="240" w:lineRule="auto"/>
        <w:ind w:left="946" w:leftChars="0" w:right="0" w:rightChars="0"/>
        <w:jc w:val="left"/>
        <w:rPr>
          <w:sz w:val="24"/>
        </w:rPr>
      </w:pPr>
      <w:r>
        <w:rPr>
          <w:rFonts w:hint="eastAsia"/>
          <w:sz w:val="24"/>
          <w:lang w:eastAsia="zh-CN"/>
        </w:rPr>
        <w:t>（</w:t>
      </w:r>
      <w:r>
        <w:rPr>
          <w:rFonts w:hint="eastAsia"/>
          <w:sz w:val="24"/>
          <w:lang w:val="en-US" w:eastAsia="zh-CN"/>
        </w:rPr>
        <w:t>2</w:t>
      </w:r>
      <w:r>
        <w:rPr>
          <w:rFonts w:hint="eastAsia"/>
          <w:sz w:val="24"/>
          <w:lang w:eastAsia="zh-CN"/>
        </w:rPr>
        <w:t>）</w:t>
      </w:r>
      <w:r>
        <w:rPr>
          <w:sz w:val="24"/>
        </w:rPr>
        <w:t xml:space="preserve">澄清有关问题； </w:t>
      </w:r>
    </w:p>
    <w:p>
      <w:pPr>
        <w:pStyle w:val="28"/>
        <w:numPr>
          <w:ilvl w:val="0"/>
          <w:numId w:val="0"/>
        </w:numPr>
        <w:tabs>
          <w:tab w:val="left" w:pos="1549"/>
        </w:tabs>
        <w:spacing w:before="132" w:after="0" w:line="240" w:lineRule="auto"/>
        <w:ind w:left="946" w:leftChars="0" w:right="0" w:rightChars="0"/>
        <w:jc w:val="left"/>
        <w:rPr>
          <w:sz w:val="24"/>
        </w:rPr>
      </w:pPr>
      <w:r>
        <w:rPr>
          <w:rFonts w:hint="eastAsia"/>
          <w:sz w:val="24"/>
          <w:lang w:eastAsia="zh-CN"/>
        </w:rPr>
        <w:t>（</w:t>
      </w:r>
      <w:r>
        <w:rPr>
          <w:rFonts w:hint="eastAsia"/>
          <w:sz w:val="24"/>
          <w:lang w:val="en-US" w:eastAsia="zh-CN"/>
        </w:rPr>
        <w:t>3</w:t>
      </w:r>
      <w:r>
        <w:rPr>
          <w:rFonts w:hint="eastAsia"/>
          <w:sz w:val="24"/>
          <w:lang w:eastAsia="zh-CN"/>
        </w:rPr>
        <w:t>）</w:t>
      </w:r>
      <w:r>
        <w:rPr>
          <w:sz w:val="24"/>
        </w:rPr>
        <w:t>详细评审（比较与评价</w:t>
      </w:r>
      <w:r>
        <w:rPr>
          <w:spacing w:val="-120"/>
          <w:sz w:val="24"/>
        </w:rPr>
        <w:t>）</w:t>
      </w:r>
      <w:r>
        <w:rPr>
          <w:sz w:val="24"/>
        </w:rPr>
        <w:t xml:space="preserve">； </w:t>
      </w:r>
    </w:p>
    <w:p>
      <w:pPr>
        <w:pStyle w:val="28"/>
        <w:numPr>
          <w:ilvl w:val="0"/>
          <w:numId w:val="0"/>
        </w:numPr>
        <w:tabs>
          <w:tab w:val="left" w:pos="1549"/>
        </w:tabs>
        <w:spacing w:before="134" w:after="0" w:line="240" w:lineRule="auto"/>
        <w:ind w:left="946" w:leftChars="0" w:right="0" w:rightChars="0"/>
        <w:jc w:val="left"/>
        <w:rPr>
          <w:sz w:val="24"/>
        </w:rPr>
      </w:pPr>
      <w:r>
        <w:rPr>
          <w:rFonts w:hint="eastAsia"/>
          <w:sz w:val="24"/>
          <w:lang w:eastAsia="zh-CN"/>
        </w:rPr>
        <w:t>（</w:t>
      </w:r>
      <w:r>
        <w:rPr>
          <w:rFonts w:hint="eastAsia"/>
          <w:sz w:val="24"/>
          <w:lang w:val="en-US" w:eastAsia="zh-CN"/>
        </w:rPr>
        <w:t>4</w:t>
      </w:r>
      <w:r>
        <w:rPr>
          <w:rFonts w:hint="eastAsia"/>
          <w:sz w:val="24"/>
          <w:lang w:eastAsia="zh-CN"/>
        </w:rPr>
        <w:t>）</w:t>
      </w:r>
      <w:r>
        <w:rPr>
          <w:sz w:val="24"/>
        </w:rPr>
        <w:t xml:space="preserve">推荐中标候选人名单； </w:t>
      </w:r>
    </w:p>
    <w:p>
      <w:pPr>
        <w:pStyle w:val="28"/>
        <w:numPr>
          <w:ilvl w:val="0"/>
          <w:numId w:val="0"/>
        </w:numPr>
        <w:tabs>
          <w:tab w:val="left" w:pos="1549"/>
        </w:tabs>
        <w:spacing w:before="132" w:after="0" w:line="240" w:lineRule="auto"/>
        <w:ind w:left="946" w:leftChars="0" w:right="0" w:rightChars="0"/>
        <w:jc w:val="left"/>
        <w:rPr>
          <w:sz w:val="24"/>
        </w:rPr>
      </w:pPr>
      <w:r>
        <w:rPr>
          <w:rFonts w:hint="eastAsia"/>
          <w:sz w:val="24"/>
          <w:lang w:eastAsia="zh-CN"/>
        </w:rPr>
        <w:t>（</w:t>
      </w:r>
      <w:r>
        <w:rPr>
          <w:rFonts w:hint="eastAsia"/>
          <w:sz w:val="24"/>
          <w:lang w:val="en-US" w:eastAsia="zh-CN"/>
        </w:rPr>
        <w:t>5</w:t>
      </w:r>
      <w:r>
        <w:rPr>
          <w:rFonts w:hint="eastAsia"/>
          <w:sz w:val="24"/>
          <w:lang w:eastAsia="zh-CN"/>
        </w:rPr>
        <w:t>）</w:t>
      </w:r>
      <w:r>
        <w:rPr>
          <w:sz w:val="24"/>
        </w:rPr>
        <w:t xml:space="preserve">编写评标报告。 </w:t>
      </w:r>
    </w:p>
    <w:p>
      <w:pPr>
        <w:pStyle w:val="11"/>
        <w:spacing w:before="83"/>
        <w:ind w:left="933"/>
      </w:pPr>
      <w:r>
        <w:t>2、</w:t>
      </w:r>
      <w:r>
        <w:rPr>
          <w:b/>
        </w:rPr>
        <w:t>初步评审</w:t>
      </w:r>
      <w:r>
        <w:t xml:space="preserve">（详见附表 1 资格性审查表，附表 2 符合性审查表） </w:t>
      </w:r>
    </w:p>
    <w:p>
      <w:pPr>
        <w:pStyle w:val="28"/>
        <w:numPr>
          <w:ilvl w:val="1"/>
          <w:numId w:val="21"/>
        </w:numPr>
        <w:tabs>
          <w:tab w:val="left" w:pos="1295"/>
        </w:tabs>
        <w:spacing w:before="154" w:after="0" w:line="374" w:lineRule="auto"/>
        <w:ind w:left="452" w:right="493" w:firstLine="480"/>
        <w:jc w:val="both"/>
        <w:rPr>
          <w:sz w:val="22"/>
        </w:rPr>
      </w:pPr>
      <w:r>
        <w:rPr>
          <w:spacing w:val="-11"/>
          <w:sz w:val="24"/>
        </w:rPr>
        <w:t>、按照中华人民共和国财政部《政府采购货物和服务招标投标管理办法</w:t>
      </w:r>
      <w:r>
        <w:rPr>
          <w:spacing w:val="-168"/>
          <w:sz w:val="24"/>
        </w:rPr>
        <w:t>》</w:t>
      </w:r>
      <w:r>
        <w:rPr>
          <w:sz w:val="24"/>
        </w:rPr>
        <w:t>（ 87</w:t>
      </w:r>
      <w:r>
        <w:rPr>
          <w:spacing w:val="-20"/>
          <w:sz w:val="24"/>
        </w:rPr>
        <w:t xml:space="preserve"> 号令</w:t>
      </w:r>
      <w:r>
        <w:rPr>
          <w:spacing w:val="-16"/>
          <w:sz w:val="24"/>
        </w:rPr>
        <w:t xml:space="preserve">） </w:t>
      </w:r>
      <w:r>
        <w:rPr>
          <w:sz w:val="24"/>
        </w:rPr>
        <w:t>要求，开标结束后，采购人或者采购代理机构依法对供应商的资格进行审查。审查通过后方</w:t>
      </w:r>
      <w:r>
        <w:rPr>
          <w:spacing w:val="-4"/>
          <w:sz w:val="24"/>
        </w:rPr>
        <w:t xml:space="preserve">可进入评委评审环节，合格供应商不足 </w:t>
      </w:r>
      <w:r>
        <w:rPr>
          <w:sz w:val="24"/>
        </w:rPr>
        <w:t>3</w:t>
      </w:r>
      <w:r>
        <w:rPr>
          <w:spacing w:val="-21"/>
          <w:sz w:val="24"/>
        </w:rPr>
        <w:t xml:space="preserve"> 家的，不得评标。</w:t>
      </w:r>
      <w:r>
        <w:rPr>
          <w:sz w:val="24"/>
        </w:rPr>
        <w:t>（</w:t>
      </w:r>
      <w:r>
        <w:rPr>
          <w:spacing w:val="-15"/>
          <w:sz w:val="24"/>
        </w:rPr>
        <w:t xml:space="preserve">见附表 </w:t>
      </w:r>
      <w:r>
        <w:rPr>
          <w:sz w:val="24"/>
        </w:rPr>
        <w:t xml:space="preserve">1：资格性审查表） </w:t>
      </w:r>
    </w:p>
    <w:p>
      <w:pPr>
        <w:pStyle w:val="28"/>
        <w:numPr>
          <w:ilvl w:val="1"/>
          <w:numId w:val="21"/>
        </w:numPr>
        <w:tabs>
          <w:tab w:val="left" w:pos="1295"/>
        </w:tabs>
        <w:spacing w:before="0" w:after="0" w:line="244" w:lineRule="exact"/>
        <w:ind w:left="1294" w:right="0" w:hanging="362"/>
        <w:jc w:val="both"/>
        <w:rPr>
          <w:sz w:val="22"/>
        </w:rPr>
      </w:pPr>
      <w:r>
        <w:rPr>
          <w:spacing w:val="-18"/>
          <w:sz w:val="24"/>
        </w:rPr>
        <w:t xml:space="preserve">、评标委员会根据“附表 </w:t>
      </w:r>
      <w:r>
        <w:rPr>
          <w:sz w:val="24"/>
        </w:rPr>
        <w:t>2</w:t>
      </w:r>
      <w:r>
        <w:rPr>
          <w:spacing w:val="-17"/>
          <w:sz w:val="24"/>
        </w:rPr>
        <w:t xml:space="preserve"> 符合性审查表”对投标文件的符合性进行评审。只有对“招</w:t>
      </w:r>
    </w:p>
    <w:p>
      <w:pPr>
        <w:pStyle w:val="11"/>
        <w:spacing w:before="161"/>
        <w:ind w:left="452"/>
      </w:pPr>
      <w:r>
        <w:t xml:space="preserve">标文件资格审查和符合性审查表”所列各项做出实质性响应的投标文件才能通过初步评审。 </w:t>
      </w:r>
    </w:p>
    <w:p>
      <w:pPr>
        <w:spacing w:after="0"/>
        <w:sectPr>
          <w:pgSz w:w="11910" w:h="16840"/>
          <w:pgMar w:top="1140" w:right="640" w:bottom="920" w:left="680" w:header="0" w:footer="646" w:gutter="0"/>
          <w:cols w:space="720" w:num="1"/>
        </w:sectPr>
      </w:pPr>
    </w:p>
    <w:p>
      <w:pPr>
        <w:pStyle w:val="28"/>
        <w:numPr>
          <w:ilvl w:val="1"/>
          <w:numId w:val="21"/>
        </w:numPr>
        <w:tabs>
          <w:tab w:val="left" w:pos="1295"/>
        </w:tabs>
        <w:spacing w:before="53" w:after="0" w:line="364" w:lineRule="auto"/>
        <w:ind w:left="452" w:right="373" w:firstLine="480"/>
        <w:jc w:val="left"/>
        <w:rPr>
          <w:sz w:val="22"/>
        </w:rPr>
      </w:pPr>
      <w:r>
        <w:rPr>
          <w:sz w:val="24"/>
        </w:rPr>
        <w:t>、评标委员会将审查投标文件是否完整、是否提交投标保证金、文件签署是否合格、投标有效期、投标报价是否满足要求、投标文件的总体编排是否基本有序、是否实质上响应了招标文件的要求等。实质上响应的投标应该是与招标文件要求的全部条款、条件和规格相符合，没有重大偏离或保留的投标。所谓重大偏离或保留是指实质上影响合同的供货范围、质量和性能；或者实质上与招标文件不一致，而且限制了合同中采购人的权利或供应商的义</w:t>
      </w:r>
      <w:r>
        <w:rPr>
          <w:spacing w:val="-11"/>
          <w:sz w:val="24"/>
        </w:rPr>
        <w:t>务；纠正这些偏离或保留将会对其他实质上响应要求的供应商的竞争地位产生不公正的影响。</w:t>
      </w:r>
      <w:r>
        <w:rPr>
          <w:sz w:val="24"/>
        </w:rPr>
        <w:t>评标委员会决定投标文件的响应性</w:t>
      </w:r>
      <w:r>
        <w:rPr>
          <w:b/>
          <w:sz w:val="24"/>
        </w:rPr>
        <w:t>只根据投标文件本身的内容，而不寻找外部的证据</w:t>
      </w:r>
      <w:r>
        <w:rPr>
          <w:spacing w:val="-3"/>
          <w:sz w:val="24"/>
        </w:rPr>
        <w:t>。</w:t>
      </w:r>
      <w:r>
        <w:rPr>
          <w:sz w:val="24"/>
        </w:rPr>
        <w:t xml:space="preserve"> </w:t>
      </w:r>
    </w:p>
    <w:p>
      <w:pPr>
        <w:pStyle w:val="28"/>
        <w:numPr>
          <w:ilvl w:val="1"/>
          <w:numId w:val="21"/>
        </w:numPr>
        <w:tabs>
          <w:tab w:val="left" w:pos="1295"/>
        </w:tabs>
        <w:spacing w:before="5" w:after="0" w:line="364" w:lineRule="auto"/>
        <w:ind w:left="452" w:right="492" w:firstLine="480"/>
        <w:jc w:val="both"/>
        <w:rPr>
          <w:sz w:val="22"/>
        </w:rPr>
      </w:pPr>
      <w:r>
        <w:rPr>
          <w:spacing w:val="-10"/>
          <w:sz w:val="24"/>
        </w:rPr>
        <w:t>、澄清有关问题。对投标文件中含义不明确、同类问题表述不一致或者有明显文字和</w:t>
      </w:r>
      <w:r>
        <w:rPr>
          <w:sz w:val="24"/>
        </w:rPr>
        <w:t>计算错误的内容，评标委员会可以书面形式（应当由评标委员会专家签字）</w:t>
      </w:r>
      <w:r>
        <w:rPr>
          <w:spacing w:val="-2"/>
          <w:sz w:val="24"/>
        </w:rPr>
        <w:t>要求供应商作出</w:t>
      </w:r>
      <w:r>
        <w:rPr>
          <w:sz w:val="24"/>
        </w:rPr>
        <w:t xml:space="preserve">必要的澄清、说明或者纠正。供应商的澄清、说明或者补正应当采用书面形式，由其授权的代表签字，并不得超出投标文件的范围或者改变投标文件的实质性内容。 </w:t>
      </w:r>
    </w:p>
    <w:p>
      <w:pPr>
        <w:pStyle w:val="10"/>
        <w:numPr>
          <w:ilvl w:val="1"/>
          <w:numId w:val="21"/>
        </w:numPr>
        <w:tabs>
          <w:tab w:val="left" w:pos="1361"/>
        </w:tabs>
        <w:spacing w:before="36" w:after="0" w:line="240" w:lineRule="auto"/>
        <w:ind w:left="1360" w:right="0" w:hanging="426"/>
        <w:jc w:val="both"/>
      </w:pPr>
      <w:r>
        <w:t>偏离</w:t>
      </w:r>
      <w:r>
        <w:rPr>
          <w:w w:val="99"/>
        </w:rPr>
        <w:t xml:space="preserve"> </w:t>
      </w:r>
    </w:p>
    <w:p>
      <w:pPr>
        <w:pStyle w:val="28"/>
        <w:numPr>
          <w:ilvl w:val="0"/>
          <w:numId w:val="22"/>
        </w:numPr>
        <w:tabs>
          <w:tab w:val="left" w:pos="1536"/>
        </w:tabs>
        <w:spacing w:before="135" w:after="0" w:line="343" w:lineRule="auto"/>
        <w:ind w:left="452" w:right="498" w:firstLine="480"/>
        <w:jc w:val="left"/>
        <w:rPr>
          <w:sz w:val="24"/>
        </w:rPr>
      </w:pPr>
      <w:r>
        <w:rPr>
          <w:spacing w:val="-1"/>
          <w:sz w:val="24"/>
        </w:rPr>
        <w:t>在评标过程中，投标文件响应招标文件出现的偏离，分为实质性偏离和非实质性</w:t>
      </w:r>
      <w:r>
        <w:rPr>
          <w:sz w:val="24"/>
        </w:rPr>
        <w:t xml:space="preserve">偏离。 </w:t>
      </w:r>
    </w:p>
    <w:p>
      <w:pPr>
        <w:pStyle w:val="28"/>
        <w:numPr>
          <w:ilvl w:val="0"/>
          <w:numId w:val="22"/>
        </w:numPr>
        <w:tabs>
          <w:tab w:val="left" w:pos="1535"/>
        </w:tabs>
        <w:spacing w:before="0" w:after="0" w:line="345" w:lineRule="auto"/>
        <w:ind w:left="452" w:right="493" w:firstLine="480"/>
        <w:jc w:val="left"/>
        <w:rPr>
          <w:sz w:val="24"/>
        </w:rPr>
      </w:pPr>
      <w:r>
        <w:rPr>
          <w:spacing w:val="-5"/>
          <w:sz w:val="24"/>
        </w:rPr>
        <w:t>实质性偏离</w:t>
      </w:r>
      <w:r>
        <w:rPr>
          <w:sz w:val="24"/>
        </w:rPr>
        <w:t>（重大偏离</w:t>
      </w:r>
      <w:r>
        <w:rPr>
          <w:spacing w:val="-22"/>
          <w:sz w:val="24"/>
        </w:rPr>
        <w:t>）</w:t>
      </w:r>
      <w:r>
        <w:rPr>
          <w:spacing w:val="-2"/>
          <w:sz w:val="24"/>
        </w:rPr>
        <w:t xml:space="preserve">是指投标文件未能响应招标文件的要求。以下情况属于 </w:t>
      </w:r>
      <w:r>
        <w:rPr>
          <w:spacing w:val="-4"/>
          <w:sz w:val="24"/>
        </w:rPr>
        <w:t xml:space="preserve">实质性偏离： </w:t>
      </w:r>
    </w:p>
    <w:p>
      <w:pPr>
        <w:pStyle w:val="28"/>
        <w:numPr>
          <w:ilvl w:val="0"/>
          <w:numId w:val="23"/>
        </w:numPr>
        <w:tabs>
          <w:tab w:val="left" w:pos="1414"/>
        </w:tabs>
        <w:spacing w:before="0" w:after="0" w:line="303" w:lineRule="exact"/>
        <w:ind w:left="1413" w:right="0" w:hanging="421"/>
        <w:jc w:val="left"/>
        <w:rPr>
          <w:sz w:val="24"/>
        </w:rPr>
      </w:pPr>
      <w:r>
        <w:rPr>
          <w:sz w:val="24"/>
        </w:rPr>
        <w:t xml:space="preserve">投标文件中附有采购人不能接受的条件； </w:t>
      </w:r>
    </w:p>
    <w:p>
      <w:pPr>
        <w:pStyle w:val="28"/>
        <w:numPr>
          <w:ilvl w:val="0"/>
          <w:numId w:val="23"/>
        </w:numPr>
        <w:tabs>
          <w:tab w:val="left" w:pos="1414"/>
        </w:tabs>
        <w:spacing w:before="130" w:after="0" w:line="240" w:lineRule="auto"/>
        <w:ind w:left="1413" w:right="0" w:hanging="421"/>
        <w:jc w:val="left"/>
        <w:rPr>
          <w:sz w:val="24"/>
        </w:rPr>
      </w:pPr>
      <w:r>
        <w:rPr>
          <w:sz w:val="24"/>
        </w:rPr>
        <w:t xml:space="preserve">投标产品的技术规格、技术标准明显不符合招标项目的要求； </w:t>
      </w:r>
    </w:p>
    <w:p>
      <w:pPr>
        <w:pStyle w:val="28"/>
        <w:numPr>
          <w:ilvl w:val="0"/>
          <w:numId w:val="23"/>
        </w:numPr>
        <w:tabs>
          <w:tab w:val="left" w:pos="1414"/>
        </w:tabs>
        <w:spacing w:before="135" w:after="0" w:line="240" w:lineRule="auto"/>
        <w:ind w:left="1413" w:right="0" w:hanging="421"/>
        <w:jc w:val="left"/>
        <w:rPr>
          <w:sz w:val="24"/>
        </w:rPr>
      </w:pPr>
      <w:r>
        <w:rPr>
          <w:sz w:val="24"/>
        </w:rPr>
        <w:t xml:space="preserve">售后服务没有完全符合招标文件要求； </w:t>
      </w:r>
    </w:p>
    <w:p>
      <w:pPr>
        <w:pStyle w:val="28"/>
        <w:numPr>
          <w:ilvl w:val="0"/>
          <w:numId w:val="23"/>
        </w:numPr>
        <w:tabs>
          <w:tab w:val="left" w:pos="1414"/>
        </w:tabs>
        <w:spacing w:before="131" w:after="0" w:line="240" w:lineRule="auto"/>
        <w:ind w:left="1413" w:right="0" w:hanging="421"/>
        <w:jc w:val="left"/>
        <w:rPr>
          <w:sz w:val="24"/>
        </w:rPr>
      </w:pPr>
      <w:r>
        <w:rPr>
          <w:sz w:val="24"/>
        </w:rPr>
        <w:t xml:space="preserve">应当取得而未取得原厂商授权书的。 </w:t>
      </w:r>
    </w:p>
    <w:p>
      <w:pPr>
        <w:pStyle w:val="10"/>
        <w:spacing w:before="132" w:line="345" w:lineRule="auto"/>
        <w:ind w:left="452" w:right="496" w:firstLine="482"/>
      </w:pPr>
      <w:r>
        <w:rPr>
          <w:spacing w:val="-14"/>
        </w:rPr>
        <w:t>投标文件有上述情形之一的，在评标时视为：对招标文件要求有实质性偏离</w:t>
      </w:r>
      <w:r>
        <w:t>（重大偏离</w:t>
      </w:r>
      <w:r>
        <w:rPr>
          <w:spacing w:val="-12"/>
        </w:rPr>
        <w:t xml:space="preserve">） </w:t>
      </w:r>
      <w:r>
        <w:t>处理。则投标文件无效。</w:t>
      </w:r>
      <w:r>
        <w:rPr>
          <w:w w:val="99"/>
        </w:rPr>
        <w:t xml:space="preserve"> </w:t>
      </w:r>
    </w:p>
    <w:p>
      <w:pPr>
        <w:pStyle w:val="28"/>
        <w:numPr>
          <w:ilvl w:val="0"/>
          <w:numId w:val="22"/>
        </w:numPr>
        <w:tabs>
          <w:tab w:val="left" w:pos="1535"/>
        </w:tabs>
        <w:spacing w:before="0" w:after="0" w:line="343" w:lineRule="auto"/>
        <w:ind w:left="452" w:right="492" w:firstLine="480"/>
        <w:jc w:val="both"/>
        <w:rPr>
          <w:sz w:val="24"/>
        </w:rPr>
      </w:pPr>
      <w:r>
        <w:rPr>
          <w:spacing w:val="-2"/>
          <w:sz w:val="24"/>
        </w:rPr>
        <w:t>非实质性偏离是指投标文件在实质上响应招标文件的要求，但在个别地方存在一</w:t>
      </w:r>
      <w:r>
        <w:rPr>
          <w:spacing w:val="-4"/>
          <w:sz w:val="24"/>
        </w:rPr>
        <w:t xml:space="preserve">些不规则、不一致、不完整的内容，并且澄清、说明或者补正这些内容不会改变投标文件的实质性内容。以下情况属于非实质性偏离： </w:t>
      </w:r>
    </w:p>
    <w:p>
      <w:pPr>
        <w:pStyle w:val="28"/>
        <w:numPr>
          <w:ilvl w:val="0"/>
          <w:numId w:val="24"/>
        </w:numPr>
        <w:tabs>
          <w:tab w:val="left" w:pos="1355"/>
        </w:tabs>
        <w:spacing w:before="0" w:after="0" w:line="240" w:lineRule="auto"/>
        <w:ind w:left="1354" w:right="0" w:hanging="362"/>
        <w:jc w:val="left"/>
        <w:rPr>
          <w:sz w:val="24"/>
        </w:rPr>
      </w:pPr>
      <w:r>
        <w:rPr>
          <w:sz w:val="24"/>
        </w:rPr>
        <w:t xml:space="preserve">文字表述的内容含义不明确； </w:t>
      </w:r>
    </w:p>
    <w:p>
      <w:pPr>
        <w:pStyle w:val="28"/>
        <w:numPr>
          <w:ilvl w:val="0"/>
          <w:numId w:val="24"/>
        </w:numPr>
        <w:tabs>
          <w:tab w:val="left" w:pos="1355"/>
        </w:tabs>
        <w:spacing w:before="128" w:after="0" w:line="240" w:lineRule="auto"/>
        <w:ind w:left="1354" w:right="0" w:hanging="362"/>
        <w:jc w:val="left"/>
        <w:rPr>
          <w:sz w:val="24"/>
        </w:rPr>
      </w:pPr>
      <w:r>
        <w:rPr>
          <w:sz w:val="24"/>
        </w:rPr>
        <w:t xml:space="preserve">同类问题表述不一致； </w:t>
      </w:r>
    </w:p>
    <w:p>
      <w:pPr>
        <w:pStyle w:val="28"/>
        <w:numPr>
          <w:ilvl w:val="0"/>
          <w:numId w:val="24"/>
        </w:numPr>
        <w:tabs>
          <w:tab w:val="left" w:pos="1355"/>
        </w:tabs>
        <w:spacing w:before="135" w:after="0" w:line="240" w:lineRule="auto"/>
        <w:ind w:left="1354" w:right="0" w:hanging="362"/>
        <w:jc w:val="left"/>
        <w:rPr>
          <w:sz w:val="24"/>
        </w:rPr>
      </w:pPr>
      <w:r>
        <w:rPr>
          <w:sz w:val="24"/>
        </w:rPr>
        <w:t xml:space="preserve">有明显文字和计算错误； </w:t>
      </w:r>
    </w:p>
    <w:p>
      <w:pPr>
        <w:pStyle w:val="28"/>
        <w:numPr>
          <w:ilvl w:val="0"/>
          <w:numId w:val="24"/>
        </w:numPr>
        <w:tabs>
          <w:tab w:val="left" w:pos="1355"/>
        </w:tabs>
        <w:spacing w:before="131" w:after="0" w:line="240" w:lineRule="auto"/>
        <w:ind w:left="1354" w:right="0" w:hanging="362"/>
        <w:jc w:val="left"/>
        <w:rPr>
          <w:sz w:val="24"/>
        </w:rPr>
      </w:pPr>
      <w:r>
        <w:rPr>
          <w:sz w:val="24"/>
        </w:rPr>
        <w:t xml:space="preserve">提供的技术信息和数据资料不完整； </w:t>
      </w:r>
    </w:p>
    <w:p>
      <w:pPr>
        <w:pStyle w:val="28"/>
        <w:numPr>
          <w:ilvl w:val="0"/>
          <w:numId w:val="24"/>
        </w:numPr>
        <w:tabs>
          <w:tab w:val="left" w:pos="1355"/>
        </w:tabs>
        <w:spacing w:before="132" w:after="0" w:line="240" w:lineRule="auto"/>
        <w:ind w:left="1354" w:right="0" w:hanging="362"/>
        <w:jc w:val="left"/>
        <w:rPr>
          <w:sz w:val="24"/>
        </w:rPr>
      </w:pPr>
      <w:r>
        <w:rPr>
          <w:sz w:val="24"/>
        </w:rPr>
        <w:t xml:space="preserve">投标文件未按招标文件要求进行装订或未编制目录、页码； </w:t>
      </w:r>
    </w:p>
    <w:p>
      <w:pPr>
        <w:pStyle w:val="28"/>
        <w:numPr>
          <w:ilvl w:val="0"/>
          <w:numId w:val="24"/>
        </w:numPr>
        <w:tabs>
          <w:tab w:val="left" w:pos="1355"/>
        </w:tabs>
        <w:spacing w:before="134" w:after="0" w:line="240" w:lineRule="auto"/>
        <w:ind w:left="1354" w:right="0" w:hanging="362"/>
        <w:jc w:val="left"/>
        <w:rPr>
          <w:sz w:val="24"/>
        </w:rPr>
      </w:pPr>
      <w:r>
        <w:rPr>
          <w:sz w:val="24"/>
        </w:rPr>
        <w:t xml:space="preserve">评标委员会认定的其他非实质性偏离。 </w:t>
      </w:r>
    </w:p>
    <w:p>
      <w:pPr>
        <w:pStyle w:val="11"/>
        <w:spacing w:before="132"/>
        <w:ind w:left="933"/>
      </w:pPr>
      <w:r>
        <w:t>投标文件有上述 1）~4）情形之一的，评标委员会应当书面要求供应商在规定的时间内</w:t>
      </w:r>
    </w:p>
    <w:p>
      <w:pPr>
        <w:spacing w:after="0"/>
        <w:sectPr>
          <w:pgSz w:w="11910" w:h="16840"/>
          <w:pgMar w:top="1140" w:right="640" w:bottom="920" w:left="680" w:header="0" w:footer="646" w:gutter="0"/>
          <w:cols w:space="720" w:num="1"/>
        </w:sectPr>
      </w:pPr>
    </w:p>
    <w:p>
      <w:pPr>
        <w:pStyle w:val="11"/>
        <w:spacing w:before="47" w:line="343" w:lineRule="auto"/>
        <w:ind w:left="452" w:right="499"/>
        <w:jc w:val="both"/>
      </w:pPr>
      <w:r>
        <w:t xml:space="preserve">予以澄清、说明或补正。供应商拒不或在规定的时间内没有进行澄清、说明或补正或澄清、说明、补正的内容也不能说明问题的，视为投标文件制作不规范，按每一项非实质性偏离进行扣分处理，直至该项分值扣完为止。评标委员会不接受供应商主动提出的澄清、说明。 </w:t>
      </w:r>
    </w:p>
    <w:p>
      <w:pPr>
        <w:pStyle w:val="28"/>
        <w:numPr>
          <w:ilvl w:val="1"/>
          <w:numId w:val="21"/>
        </w:numPr>
        <w:tabs>
          <w:tab w:val="left" w:pos="1287"/>
        </w:tabs>
        <w:spacing w:before="0" w:after="0" w:line="275" w:lineRule="exact"/>
        <w:ind w:left="1286" w:right="0" w:hanging="364"/>
        <w:jc w:val="left"/>
        <w:rPr>
          <w:sz w:val="22"/>
        </w:rPr>
      </w:pPr>
      <w:r>
        <w:rPr>
          <w:sz w:val="24"/>
        </w:rPr>
        <w:t>、在投标文件初审过程中，对是否实质性响应招标文件的要求有争议的投标，评标</w:t>
      </w:r>
    </w:p>
    <w:p>
      <w:pPr>
        <w:pStyle w:val="11"/>
        <w:spacing w:before="160" w:line="364" w:lineRule="auto"/>
        <w:ind w:left="452" w:right="521"/>
      </w:pPr>
      <w:r>
        <w:t>委员会将以记名方式表决，得票超过半数的供应商有资格进入下一阶段的评审，否则将被淘汰。</w:t>
      </w:r>
    </w:p>
    <w:p>
      <w:pPr>
        <w:pStyle w:val="28"/>
        <w:numPr>
          <w:ilvl w:val="1"/>
          <w:numId w:val="21"/>
        </w:numPr>
        <w:tabs>
          <w:tab w:val="left" w:pos="1287"/>
        </w:tabs>
        <w:spacing w:before="2" w:after="0" w:line="364" w:lineRule="auto"/>
        <w:ind w:left="452" w:right="579" w:firstLine="470"/>
        <w:jc w:val="both"/>
        <w:rPr>
          <w:sz w:val="22"/>
        </w:rPr>
      </w:pPr>
      <w:r>
        <w:rPr>
          <w:sz w:val="24"/>
        </w:rPr>
        <w:t>、评标委员会认为供应商的报价明显低于其他通过符合性审查供应商的报价，有可</w:t>
      </w:r>
      <w:r>
        <w:rPr>
          <w:spacing w:val="-4"/>
          <w:sz w:val="24"/>
        </w:rPr>
        <w:t>能影响产品或服务质量或者不能诚信履约的，应当要求其在评标现场合理的时间内提供书面</w:t>
      </w:r>
      <w:r>
        <w:rPr>
          <w:spacing w:val="-7"/>
          <w:sz w:val="24"/>
        </w:rPr>
        <w:t xml:space="preserve">说明，必要时提交相关证明材料；供应商不能证明其报价合理性的，评标委员会应当将其作为无效投标处理。 </w:t>
      </w:r>
    </w:p>
    <w:p>
      <w:pPr>
        <w:pStyle w:val="11"/>
        <w:spacing w:before="3" w:line="364" w:lineRule="auto"/>
        <w:ind w:left="452" w:right="520" w:firstLine="480"/>
      </w:pPr>
      <w:r>
        <w:t xml:space="preserve">如评标委员会认定所有投标报价均为不合理报价，则宣布本次招标失败，由招标单位重新组织招标。 </w:t>
      </w:r>
    </w:p>
    <w:p>
      <w:pPr>
        <w:pStyle w:val="10"/>
        <w:numPr>
          <w:ilvl w:val="1"/>
          <w:numId w:val="21"/>
        </w:numPr>
        <w:tabs>
          <w:tab w:val="left" w:pos="1295"/>
        </w:tabs>
        <w:spacing w:before="34" w:after="0" w:line="240" w:lineRule="auto"/>
        <w:ind w:left="1294" w:right="0" w:hanging="362"/>
        <w:jc w:val="left"/>
        <w:rPr>
          <w:sz w:val="22"/>
        </w:rPr>
      </w:pPr>
      <w:r>
        <w:rPr>
          <w:b w:val="0"/>
        </w:rPr>
        <w:t>、</w:t>
      </w:r>
      <w:r>
        <w:t>无效投标的认定</w:t>
      </w:r>
      <w:r>
        <w:rPr>
          <w:w w:val="99"/>
        </w:rPr>
        <w:t xml:space="preserve"> </w:t>
      </w:r>
    </w:p>
    <w:p>
      <w:pPr>
        <w:pStyle w:val="11"/>
        <w:spacing w:before="134"/>
        <w:ind w:left="1293"/>
      </w:pPr>
      <w:r>
        <w:t xml:space="preserve">投标文件出现但不限于下列情况的将被认定为无效投标： </w:t>
      </w:r>
    </w:p>
    <w:p>
      <w:pPr>
        <w:pStyle w:val="28"/>
        <w:numPr>
          <w:ilvl w:val="0"/>
          <w:numId w:val="25"/>
        </w:numPr>
        <w:tabs>
          <w:tab w:val="left" w:pos="1475"/>
        </w:tabs>
        <w:spacing w:before="132" w:after="0" w:line="240" w:lineRule="auto"/>
        <w:ind w:left="1474" w:right="0" w:hanging="602"/>
        <w:jc w:val="left"/>
        <w:rPr>
          <w:sz w:val="24"/>
        </w:rPr>
      </w:pPr>
      <w:r>
        <w:rPr>
          <w:sz w:val="24"/>
        </w:rPr>
        <w:t xml:space="preserve">供应商未按要求提供“供应商资格要求”中的有效证明资料的； </w:t>
      </w:r>
    </w:p>
    <w:p>
      <w:pPr>
        <w:pStyle w:val="28"/>
        <w:numPr>
          <w:ilvl w:val="0"/>
          <w:numId w:val="25"/>
        </w:numPr>
        <w:tabs>
          <w:tab w:val="left" w:pos="1475"/>
        </w:tabs>
        <w:spacing w:before="132" w:after="0" w:line="240" w:lineRule="auto"/>
        <w:ind w:left="1474" w:right="0" w:hanging="602"/>
        <w:jc w:val="left"/>
        <w:rPr>
          <w:sz w:val="24"/>
        </w:rPr>
      </w:pPr>
      <w:r>
        <w:rPr>
          <w:sz w:val="24"/>
        </w:rPr>
        <w:t xml:space="preserve">供应商未提交投标保证金或金额不足的； </w:t>
      </w:r>
    </w:p>
    <w:p>
      <w:pPr>
        <w:pStyle w:val="28"/>
        <w:numPr>
          <w:ilvl w:val="0"/>
          <w:numId w:val="25"/>
        </w:numPr>
        <w:tabs>
          <w:tab w:val="left" w:pos="1475"/>
        </w:tabs>
        <w:spacing w:before="134" w:after="0" w:line="240" w:lineRule="auto"/>
        <w:ind w:left="1474" w:right="0" w:hanging="602"/>
        <w:jc w:val="left"/>
        <w:rPr>
          <w:sz w:val="24"/>
        </w:rPr>
      </w:pPr>
      <w:r>
        <w:rPr>
          <w:sz w:val="24"/>
        </w:rPr>
        <w:t xml:space="preserve">交货期、工期或服务期不满要求的； </w:t>
      </w:r>
    </w:p>
    <w:p>
      <w:pPr>
        <w:pStyle w:val="28"/>
        <w:numPr>
          <w:ilvl w:val="0"/>
          <w:numId w:val="25"/>
        </w:numPr>
        <w:tabs>
          <w:tab w:val="left" w:pos="1475"/>
        </w:tabs>
        <w:spacing w:before="132" w:after="0" w:line="240" w:lineRule="auto"/>
        <w:ind w:left="1474" w:right="0" w:hanging="602"/>
        <w:jc w:val="left"/>
        <w:rPr>
          <w:sz w:val="24"/>
        </w:rPr>
      </w:pPr>
      <w:r>
        <w:rPr>
          <w:sz w:val="24"/>
        </w:rPr>
        <w:t xml:space="preserve">投标有效期不足的； </w:t>
      </w:r>
    </w:p>
    <w:p>
      <w:pPr>
        <w:pStyle w:val="28"/>
        <w:numPr>
          <w:ilvl w:val="0"/>
          <w:numId w:val="25"/>
        </w:numPr>
        <w:tabs>
          <w:tab w:val="left" w:pos="1475"/>
        </w:tabs>
        <w:spacing w:before="132" w:after="0" w:line="240" w:lineRule="auto"/>
        <w:ind w:left="1474" w:right="0" w:hanging="602"/>
        <w:jc w:val="left"/>
        <w:rPr>
          <w:sz w:val="24"/>
        </w:rPr>
      </w:pPr>
      <w:r>
        <w:rPr>
          <w:sz w:val="24"/>
        </w:rPr>
        <w:t xml:space="preserve">投标文件未按招标文件规定要求签署及盖章的； </w:t>
      </w:r>
    </w:p>
    <w:p>
      <w:pPr>
        <w:pStyle w:val="28"/>
        <w:numPr>
          <w:ilvl w:val="0"/>
          <w:numId w:val="25"/>
        </w:numPr>
        <w:tabs>
          <w:tab w:val="left" w:pos="1535"/>
        </w:tabs>
        <w:spacing w:before="134" w:after="0" w:line="240" w:lineRule="auto"/>
        <w:ind w:left="1534" w:right="0" w:hanging="602"/>
        <w:jc w:val="left"/>
        <w:rPr>
          <w:sz w:val="24"/>
        </w:rPr>
      </w:pPr>
      <w:r>
        <w:rPr>
          <w:sz w:val="24"/>
        </w:rPr>
        <w:t xml:space="preserve">不按要求填写开标一览表、用户需求响应/偏离表或技术要求响应表（如有）的；  </w:t>
      </w:r>
    </w:p>
    <w:p>
      <w:pPr>
        <w:pStyle w:val="28"/>
        <w:numPr>
          <w:ilvl w:val="0"/>
          <w:numId w:val="25"/>
        </w:numPr>
        <w:tabs>
          <w:tab w:val="left" w:pos="1535"/>
        </w:tabs>
        <w:spacing w:before="132" w:after="0" w:line="240" w:lineRule="auto"/>
        <w:ind w:left="1534" w:right="0" w:hanging="602"/>
        <w:jc w:val="left"/>
        <w:rPr>
          <w:sz w:val="24"/>
        </w:rPr>
      </w:pPr>
      <w:r>
        <w:rPr>
          <w:sz w:val="24"/>
        </w:rPr>
        <w:t xml:space="preserve">投标价不是固定价或者投标价不是唯一的； </w:t>
      </w:r>
    </w:p>
    <w:p>
      <w:pPr>
        <w:pStyle w:val="28"/>
        <w:numPr>
          <w:ilvl w:val="0"/>
          <w:numId w:val="25"/>
        </w:numPr>
        <w:tabs>
          <w:tab w:val="left" w:pos="1535"/>
        </w:tabs>
        <w:spacing w:before="131" w:after="0" w:line="345" w:lineRule="auto"/>
        <w:ind w:left="452" w:right="495" w:firstLine="480"/>
        <w:jc w:val="left"/>
        <w:rPr>
          <w:sz w:val="24"/>
        </w:rPr>
      </w:pPr>
      <w:r>
        <w:rPr>
          <w:spacing w:val="-3"/>
          <w:sz w:val="24"/>
        </w:rPr>
        <w:t>商务有实际性偏离</w:t>
      </w:r>
      <w:r>
        <w:rPr>
          <w:sz w:val="24"/>
        </w:rPr>
        <w:t>（重大偏离</w:t>
      </w:r>
      <w:r>
        <w:rPr>
          <w:spacing w:val="-17"/>
          <w:sz w:val="24"/>
        </w:rPr>
        <w:t>）</w:t>
      </w:r>
      <w:r>
        <w:rPr>
          <w:spacing w:val="-5"/>
          <w:sz w:val="24"/>
        </w:rPr>
        <w:t>或保留的</w:t>
      </w:r>
      <w:r>
        <w:rPr>
          <w:sz w:val="24"/>
        </w:rPr>
        <w:t>（</w:t>
      </w:r>
      <w:r>
        <w:rPr>
          <w:spacing w:val="-3"/>
          <w:sz w:val="24"/>
        </w:rPr>
        <w:t>如严重背离采购人的交货期需求、付款</w:t>
      </w:r>
      <w:r>
        <w:rPr>
          <w:sz w:val="24"/>
        </w:rPr>
        <w:t>计划等</w:t>
      </w:r>
      <w:r>
        <w:rPr>
          <w:spacing w:val="-120"/>
          <w:sz w:val="24"/>
        </w:rPr>
        <w:t>）</w:t>
      </w:r>
      <w:r>
        <w:rPr>
          <w:sz w:val="24"/>
        </w:rPr>
        <w:t xml:space="preserve">； </w:t>
      </w:r>
    </w:p>
    <w:p>
      <w:pPr>
        <w:pStyle w:val="28"/>
        <w:numPr>
          <w:ilvl w:val="0"/>
          <w:numId w:val="25"/>
        </w:numPr>
        <w:tabs>
          <w:tab w:val="left" w:pos="1535"/>
        </w:tabs>
        <w:spacing w:before="0" w:after="0" w:line="303" w:lineRule="exact"/>
        <w:ind w:left="1534" w:right="0" w:hanging="602"/>
        <w:jc w:val="left"/>
        <w:rPr>
          <w:sz w:val="24"/>
        </w:rPr>
      </w:pPr>
      <w:r>
        <w:rPr>
          <w:sz w:val="24"/>
        </w:rPr>
        <w:t xml:space="preserve">评标委员会认为投标未实质性响应招标文件的要求的。 </w:t>
      </w:r>
    </w:p>
    <w:p>
      <w:pPr>
        <w:pStyle w:val="10"/>
        <w:spacing w:before="84"/>
        <w:ind w:left="1175"/>
      </w:pPr>
      <w:r>
        <w:rPr>
          <w:u w:val="single"/>
        </w:rPr>
        <w:t>以上资格性审查和符合性审查的内容只要有一条不满足，则投标文件无效。</w:t>
      </w:r>
      <w:r>
        <w:rPr>
          <w:w w:val="99"/>
        </w:rPr>
        <w:t xml:space="preserve"> </w:t>
      </w:r>
    </w:p>
    <w:p>
      <w:pPr>
        <w:pStyle w:val="28"/>
        <w:numPr>
          <w:ilvl w:val="1"/>
          <w:numId w:val="21"/>
        </w:numPr>
        <w:tabs>
          <w:tab w:val="left" w:pos="1295"/>
        </w:tabs>
        <w:spacing w:before="9" w:after="0" w:line="362" w:lineRule="auto"/>
        <w:ind w:left="452" w:right="490" w:firstLine="480"/>
        <w:jc w:val="left"/>
        <w:rPr>
          <w:sz w:val="22"/>
        </w:rPr>
      </w:pPr>
      <w:r>
        <w:rPr>
          <w:spacing w:val="-9"/>
          <w:sz w:val="24"/>
        </w:rPr>
        <w:t>、编制在投标文件中所需的各种证书、证件、证明等系复印件，须在复印件上加盖供</w:t>
      </w:r>
      <w:r>
        <w:rPr>
          <w:sz w:val="24"/>
        </w:rPr>
        <w:t xml:space="preserve">应商单位公章，若要求原件核验的需提供原件。 </w:t>
      </w:r>
    </w:p>
    <w:p>
      <w:pPr>
        <w:pStyle w:val="28"/>
        <w:numPr>
          <w:ilvl w:val="1"/>
          <w:numId w:val="21"/>
        </w:numPr>
        <w:tabs>
          <w:tab w:val="left" w:pos="1474"/>
        </w:tabs>
        <w:spacing w:before="6" w:after="0" w:line="240" w:lineRule="auto"/>
        <w:ind w:left="1473" w:right="0" w:hanging="541"/>
        <w:jc w:val="left"/>
        <w:rPr>
          <w:sz w:val="24"/>
        </w:rPr>
      </w:pPr>
      <w:r>
        <w:rPr>
          <w:sz w:val="24"/>
        </w:rPr>
        <w:t xml:space="preserve">评标委员会在初审中，对算术错误的修正原则如下: </w:t>
      </w:r>
    </w:p>
    <w:p>
      <w:pPr>
        <w:pStyle w:val="28"/>
        <w:numPr>
          <w:ilvl w:val="0"/>
          <w:numId w:val="26"/>
        </w:numPr>
        <w:tabs>
          <w:tab w:val="left" w:pos="1535"/>
        </w:tabs>
        <w:spacing w:before="158" w:after="0" w:line="240" w:lineRule="auto"/>
        <w:ind w:left="1534" w:right="0" w:hanging="602"/>
        <w:jc w:val="left"/>
        <w:rPr>
          <w:sz w:val="24"/>
        </w:rPr>
      </w:pPr>
      <w:r>
        <w:rPr>
          <w:spacing w:val="-4"/>
          <w:sz w:val="24"/>
        </w:rPr>
        <w:t>投标文件中开标一览表内容与投标文件中相应内容不一致的，以开标一览表为准；</w:t>
      </w:r>
      <w:r>
        <w:rPr>
          <w:sz w:val="24"/>
        </w:rPr>
        <w:t xml:space="preserve"> </w:t>
      </w:r>
    </w:p>
    <w:p>
      <w:pPr>
        <w:pStyle w:val="28"/>
        <w:numPr>
          <w:ilvl w:val="0"/>
          <w:numId w:val="26"/>
        </w:numPr>
        <w:tabs>
          <w:tab w:val="left" w:pos="1535"/>
        </w:tabs>
        <w:spacing w:before="160" w:after="0" w:line="240" w:lineRule="auto"/>
        <w:ind w:left="1534" w:right="0" w:hanging="602"/>
        <w:jc w:val="left"/>
        <w:rPr>
          <w:sz w:val="24"/>
        </w:rPr>
      </w:pPr>
      <w:r>
        <w:rPr>
          <w:sz w:val="24"/>
        </w:rPr>
        <w:t xml:space="preserve">大写金额和小写金额不一致的，以大写金额为准； </w:t>
      </w:r>
    </w:p>
    <w:p>
      <w:pPr>
        <w:pStyle w:val="28"/>
        <w:numPr>
          <w:ilvl w:val="0"/>
          <w:numId w:val="26"/>
        </w:numPr>
        <w:tabs>
          <w:tab w:val="left" w:pos="1535"/>
        </w:tabs>
        <w:spacing w:before="158" w:after="0" w:line="240" w:lineRule="auto"/>
        <w:ind w:left="1534" w:right="0" w:hanging="602"/>
        <w:jc w:val="left"/>
        <w:rPr>
          <w:sz w:val="24"/>
        </w:rPr>
      </w:pPr>
      <w:r>
        <w:rPr>
          <w:spacing w:val="-10"/>
          <w:sz w:val="24"/>
        </w:rPr>
        <w:t>单价金额小数点或者百分比有明显错位的，以开标一览表的总价为准，并修改单价；</w:t>
      </w:r>
      <w:r>
        <w:rPr>
          <w:sz w:val="24"/>
        </w:rPr>
        <w:t xml:space="preserve"> </w:t>
      </w:r>
    </w:p>
    <w:p>
      <w:pPr>
        <w:pStyle w:val="28"/>
        <w:numPr>
          <w:ilvl w:val="0"/>
          <w:numId w:val="26"/>
        </w:numPr>
        <w:tabs>
          <w:tab w:val="left" w:pos="1535"/>
        </w:tabs>
        <w:spacing w:before="161" w:after="0" w:line="240" w:lineRule="auto"/>
        <w:ind w:left="1534" w:right="0" w:hanging="602"/>
        <w:jc w:val="left"/>
        <w:rPr>
          <w:sz w:val="24"/>
        </w:rPr>
      </w:pPr>
      <w:r>
        <w:rPr>
          <w:sz w:val="24"/>
        </w:rPr>
        <w:t xml:space="preserve">总价金额与按单价汇总金额不一致的，以单价金额计算结果为准，并修正总价。 </w:t>
      </w:r>
    </w:p>
    <w:p>
      <w:pPr>
        <w:spacing w:after="0" w:line="240" w:lineRule="auto"/>
        <w:jc w:val="left"/>
        <w:rPr>
          <w:sz w:val="24"/>
        </w:rPr>
        <w:sectPr>
          <w:pgSz w:w="11910" w:h="16840"/>
          <w:pgMar w:top="1180" w:right="640" w:bottom="920" w:left="680" w:header="0" w:footer="646" w:gutter="0"/>
          <w:cols w:space="720" w:num="1"/>
        </w:sectPr>
      </w:pPr>
    </w:p>
    <w:p>
      <w:pPr>
        <w:pStyle w:val="11"/>
        <w:spacing w:before="54" w:line="364" w:lineRule="auto"/>
        <w:ind w:left="452" w:right="497" w:firstLine="480"/>
      </w:pPr>
      <w:r>
        <w:t xml:space="preserve">同时出现两种以上不一致的，按照前款规定的顺序修正。修正后的报价经供应商确认后产生约束力，供应商不确认或不同意以上修正的，其投标无效。 </w:t>
      </w:r>
    </w:p>
    <w:p>
      <w:pPr>
        <w:pStyle w:val="10"/>
        <w:numPr>
          <w:ilvl w:val="1"/>
          <w:numId w:val="21"/>
        </w:numPr>
        <w:tabs>
          <w:tab w:val="left" w:pos="1421"/>
        </w:tabs>
        <w:spacing w:before="2" w:after="0" w:line="240" w:lineRule="auto"/>
        <w:ind w:left="1421" w:right="0" w:hanging="486"/>
        <w:jc w:val="left"/>
        <w:rPr>
          <w:sz w:val="22"/>
        </w:rPr>
      </w:pPr>
      <w:r>
        <w:t>、通过初步评审的供应商不足三家，则本次招标失败。</w:t>
      </w:r>
      <w:r>
        <w:rPr>
          <w:w w:val="99"/>
        </w:rPr>
        <w:t xml:space="preserve"> </w:t>
      </w:r>
    </w:p>
    <w:p>
      <w:pPr>
        <w:pStyle w:val="11"/>
        <w:spacing w:before="6"/>
        <w:rPr>
          <w:b/>
          <w:sz w:val="18"/>
        </w:rPr>
      </w:pPr>
    </w:p>
    <w:p>
      <w:pPr>
        <w:spacing w:before="0"/>
        <w:ind w:left="935" w:right="0" w:firstLine="0"/>
        <w:jc w:val="left"/>
        <w:rPr>
          <w:b/>
          <w:sz w:val="24"/>
        </w:rPr>
      </w:pPr>
      <w:r>
        <w:rPr>
          <w:b/>
          <w:sz w:val="24"/>
        </w:rPr>
        <w:t>3、详细评审</w:t>
      </w:r>
      <w:r>
        <w:rPr>
          <w:sz w:val="24"/>
        </w:rPr>
        <w:t>（比较与评价。详见附表 3 详细评审表）</w:t>
      </w:r>
      <w:r>
        <w:rPr>
          <w:b/>
          <w:w w:val="99"/>
          <w:sz w:val="24"/>
        </w:rPr>
        <w:t xml:space="preserve"> </w:t>
      </w:r>
    </w:p>
    <w:p>
      <w:pPr>
        <w:pStyle w:val="28"/>
        <w:numPr>
          <w:ilvl w:val="1"/>
          <w:numId w:val="27"/>
        </w:numPr>
        <w:tabs>
          <w:tab w:val="left" w:pos="1594"/>
        </w:tabs>
        <w:spacing w:before="161" w:after="0" w:line="240" w:lineRule="auto"/>
        <w:ind w:left="1593" w:right="0" w:hanging="421"/>
        <w:jc w:val="both"/>
        <w:rPr>
          <w:sz w:val="24"/>
        </w:rPr>
      </w:pPr>
      <w:r>
        <w:rPr>
          <w:sz w:val="24"/>
        </w:rPr>
        <w:t xml:space="preserve">详细评审是对通过资格和符合性审查的投标进行技术、商务的评审。 </w:t>
      </w:r>
    </w:p>
    <w:p>
      <w:pPr>
        <w:pStyle w:val="28"/>
        <w:numPr>
          <w:ilvl w:val="1"/>
          <w:numId w:val="27"/>
        </w:numPr>
        <w:tabs>
          <w:tab w:val="left" w:pos="1654"/>
        </w:tabs>
        <w:spacing w:before="81" w:after="0" w:line="364" w:lineRule="auto"/>
        <w:ind w:left="452" w:right="496" w:firstLine="720"/>
        <w:jc w:val="both"/>
        <w:rPr>
          <w:sz w:val="24"/>
        </w:rPr>
      </w:pPr>
      <w:r>
        <w:rPr>
          <w:spacing w:val="-1"/>
          <w:sz w:val="24"/>
        </w:rPr>
        <w:t>价格分统一采用低价优先法计算，将通过初步评审的所有供应商的投标价格，即满足招标文件要求且价格最低的投标价为基准价，其价格分为满分。其他供应商的价格分统</w:t>
      </w:r>
      <w:r>
        <w:rPr>
          <w:sz w:val="24"/>
        </w:rPr>
        <w:t xml:space="preserve">一按照下列公式计算： </w:t>
      </w:r>
    </w:p>
    <w:p>
      <w:pPr>
        <w:pStyle w:val="11"/>
        <w:spacing w:line="307" w:lineRule="exact"/>
        <w:ind w:left="933"/>
      </w:pPr>
      <w:r>
        <w:t xml:space="preserve">价格分=(基准价／投标报价)×价格权值×100 </w:t>
      </w:r>
    </w:p>
    <w:p>
      <w:pPr>
        <w:pStyle w:val="28"/>
        <w:numPr>
          <w:ilvl w:val="1"/>
          <w:numId w:val="27"/>
        </w:numPr>
        <w:tabs>
          <w:tab w:val="left" w:pos="1594"/>
        </w:tabs>
        <w:spacing w:before="159" w:after="0" w:line="240" w:lineRule="auto"/>
        <w:ind w:left="1593" w:right="0" w:hanging="421"/>
        <w:jc w:val="both"/>
        <w:rPr>
          <w:sz w:val="24"/>
        </w:rPr>
      </w:pPr>
      <w:r>
        <w:rPr>
          <w:sz w:val="24"/>
        </w:rPr>
        <w:t xml:space="preserve">价格、商务及技术权重分配如下： </w:t>
      </w:r>
    </w:p>
    <w:p>
      <w:pPr>
        <w:pStyle w:val="11"/>
        <w:spacing w:before="3"/>
        <w:rPr>
          <w:sz w:val="17"/>
        </w:rPr>
      </w:pPr>
    </w:p>
    <w:tbl>
      <w:tblPr>
        <w:tblStyle w:val="15"/>
        <w:tblW w:w="0" w:type="auto"/>
        <w:tblInd w:w="10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78"/>
        <w:gridCol w:w="1877"/>
        <w:gridCol w:w="1875"/>
        <w:gridCol w:w="1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2878" w:type="dxa"/>
          </w:tcPr>
          <w:p>
            <w:pPr>
              <w:pStyle w:val="29"/>
              <w:spacing w:before="11"/>
              <w:rPr>
                <w:sz w:val="17"/>
              </w:rPr>
            </w:pPr>
          </w:p>
          <w:p>
            <w:pPr>
              <w:pStyle w:val="29"/>
              <w:ind w:left="995" w:right="869"/>
              <w:jc w:val="center"/>
              <w:rPr>
                <w:b/>
                <w:sz w:val="24"/>
              </w:rPr>
            </w:pPr>
            <w:r>
              <w:rPr>
                <w:b/>
                <w:sz w:val="24"/>
              </w:rPr>
              <w:t>评估因素</w:t>
            </w:r>
            <w:r>
              <w:rPr>
                <w:b/>
                <w:w w:val="99"/>
                <w:sz w:val="24"/>
              </w:rPr>
              <w:t xml:space="preserve"> </w:t>
            </w:r>
          </w:p>
        </w:tc>
        <w:tc>
          <w:tcPr>
            <w:tcW w:w="1877" w:type="dxa"/>
          </w:tcPr>
          <w:p>
            <w:pPr>
              <w:pStyle w:val="29"/>
              <w:spacing w:before="11"/>
              <w:rPr>
                <w:sz w:val="17"/>
              </w:rPr>
            </w:pPr>
          </w:p>
          <w:p>
            <w:pPr>
              <w:pStyle w:val="29"/>
              <w:ind w:left="615" w:right="488"/>
              <w:jc w:val="center"/>
              <w:rPr>
                <w:b/>
                <w:sz w:val="24"/>
              </w:rPr>
            </w:pPr>
            <w:r>
              <w:rPr>
                <w:b/>
                <w:sz w:val="24"/>
              </w:rPr>
              <w:t>商务项</w:t>
            </w:r>
            <w:r>
              <w:rPr>
                <w:b/>
                <w:w w:val="99"/>
                <w:sz w:val="24"/>
              </w:rPr>
              <w:t xml:space="preserve"> </w:t>
            </w:r>
          </w:p>
        </w:tc>
        <w:tc>
          <w:tcPr>
            <w:tcW w:w="1875" w:type="dxa"/>
          </w:tcPr>
          <w:p>
            <w:pPr>
              <w:pStyle w:val="29"/>
              <w:spacing w:before="11"/>
              <w:rPr>
                <w:sz w:val="17"/>
              </w:rPr>
            </w:pPr>
          </w:p>
          <w:p>
            <w:pPr>
              <w:pStyle w:val="29"/>
              <w:ind w:left="615" w:right="486"/>
              <w:jc w:val="center"/>
              <w:rPr>
                <w:b/>
                <w:sz w:val="24"/>
              </w:rPr>
            </w:pPr>
            <w:r>
              <w:rPr>
                <w:b/>
                <w:sz w:val="24"/>
              </w:rPr>
              <w:t>技术项</w:t>
            </w:r>
            <w:r>
              <w:rPr>
                <w:b/>
                <w:w w:val="99"/>
                <w:sz w:val="24"/>
              </w:rPr>
              <w:t xml:space="preserve"> </w:t>
            </w:r>
          </w:p>
        </w:tc>
        <w:tc>
          <w:tcPr>
            <w:tcW w:w="1856" w:type="dxa"/>
          </w:tcPr>
          <w:p>
            <w:pPr>
              <w:pStyle w:val="29"/>
              <w:spacing w:before="11"/>
              <w:rPr>
                <w:sz w:val="17"/>
              </w:rPr>
            </w:pPr>
          </w:p>
          <w:p>
            <w:pPr>
              <w:pStyle w:val="29"/>
              <w:ind w:left="605" w:right="477"/>
              <w:jc w:val="center"/>
              <w:rPr>
                <w:b/>
                <w:sz w:val="24"/>
              </w:rPr>
            </w:pPr>
            <w:r>
              <w:rPr>
                <w:b/>
                <w:sz w:val="24"/>
              </w:rPr>
              <w:t>价格项</w:t>
            </w: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2878" w:type="dxa"/>
          </w:tcPr>
          <w:p>
            <w:pPr>
              <w:pStyle w:val="29"/>
              <w:spacing w:before="5"/>
              <w:rPr>
                <w:sz w:val="22"/>
              </w:rPr>
            </w:pPr>
          </w:p>
          <w:p>
            <w:pPr>
              <w:pStyle w:val="29"/>
              <w:ind w:left="995" w:right="869"/>
              <w:jc w:val="center"/>
              <w:rPr>
                <w:sz w:val="24"/>
              </w:rPr>
            </w:pPr>
            <w:r>
              <w:rPr>
                <w:sz w:val="24"/>
              </w:rPr>
              <w:t xml:space="preserve">权重 </w:t>
            </w:r>
          </w:p>
        </w:tc>
        <w:tc>
          <w:tcPr>
            <w:tcW w:w="1877" w:type="dxa"/>
          </w:tcPr>
          <w:p>
            <w:pPr>
              <w:pStyle w:val="29"/>
              <w:spacing w:before="5"/>
              <w:rPr>
                <w:sz w:val="22"/>
              </w:rPr>
            </w:pPr>
          </w:p>
          <w:p>
            <w:pPr>
              <w:pStyle w:val="29"/>
              <w:ind w:left="615" w:right="486"/>
              <w:jc w:val="center"/>
              <w:rPr>
                <w:sz w:val="24"/>
              </w:rPr>
            </w:pPr>
            <w:r>
              <w:rPr>
                <w:rFonts w:hint="eastAsia"/>
                <w:sz w:val="24"/>
                <w:lang w:val="en-US" w:eastAsia="zh-CN"/>
              </w:rPr>
              <w:t>45</w:t>
            </w:r>
            <w:r>
              <w:rPr>
                <w:sz w:val="24"/>
              </w:rPr>
              <w:t xml:space="preserve">% </w:t>
            </w:r>
          </w:p>
        </w:tc>
        <w:tc>
          <w:tcPr>
            <w:tcW w:w="1875" w:type="dxa"/>
          </w:tcPr>
          <w:p>
            <w:pPr>
              <w:pStyle w:val="29"/>
              <w:spacing w:before="5"/>
              <w:rPr>
                <w:sz w:val="22"/>
              </w:rPr>
            </w:pPr>
          </w:p>
          <w:p>
            <w:pPr>
              <w:pStyle w:val="29"/>
              <w:ind w:left="613" w:right="486"/>
              <w:jc w:val="center"/>
              <w:rPr>
                <w:sz w:val="24"/>
              </w:rPr>
            </w:pPr>
            <w:r>
              <w:rPr>
                <w:rFonts w:hint="eastAsia"/>
                <w:sz w:val="24"/>
                <w:lang w:val="en-US" w:eastAsia="zh-CN"/>
              </w:rPr>
              <w:t>45</w:t>
            </w:r>
            <w:r>
              <w:rPr>
                <w:sz w:val="24"/>
              </w:rPr>
              <w:t xml:space="preserve">% </w:t>
            </w:r>
          </w:p>
        </w:tc>
        <w:tc>
          <w:tcPr>
            <w:tcW w:w="1856" w:type="dxa"/>
          </w:tcPr>
          <w:p>
            <w:pPr>
              <w:pStyle w:val="29"/>
              <w:spacing w:before="5"/>
              <w:rPr>
                <w:sz w:val="22"/>
              </w:rPr>
            </w:pPr>
          </w:p>
          <w:p>
            <w:pPr>
              <w:pStyle w:val="29"/>
              <w:ind w:left="603" w:right="477"/>
              <w:jc w:val="center"/>
              <w:rPr>
                <w:sz w:val="24"/>
              </w:rPr>
            </w:pPr>
            <w:r>
              <w:rPr>
                <w:sz w:val="24"/>
              </w:rPr>
              <w:t xml:space="preserve">10% </w:t>
            </w:r>
          </w:p>
        </w:tc>
      </w:tr>
    </w:tbl>
    <w:p>
      <w:pPr>
        <w:pStyle w:val="10"/>
        <w:ind w:left="693"/>
      </w:pPr>
      <w:r>
        <w:rPr>
          <w:w w:val="99"/>
        </w:rPr>
        <w:t xml:space="preserve"> </w:t>
      </w:r>
    </w:p>
    <w:p>
      <w:pPr>
        <w:pStyle w:val="10"/>
        <w:numPr>
          <w:ilvl w:val="1"/>
          <w:numId w:val="27"/>
        </w:numPr>
        <w:tabs>
          <w:tab w:val="left" w:pos="1119"/>
        </w:tabs>
        <w:spacing w:before="158" w:after="0" w:line="240" w:lineRule="auto"/>
        <w:ind w:left="1118" w:right="0" w:hanging="426"/>
        <w:jc w:val="left"/>
      </w:pPr>
      <w:r>
        <w:t>关于政策性优惠</w:t>
      </w:r>
      <w:r>
        <w:rPr>
          <w:w w:val="99"/>
        </w:rPr>
        <w:t xml:space="preserve"> </w:t>
      </w:r>
    </w:p>
    <w:p>
      <w:pPr>
        <w:pStyle w:val="28"/>
        <w:numPr>
          <w:ilvl w:val="2"/>
          <w:numId w:val="27"/>
        </w:numPr>
        <w:tabs>
          <w:tab w:val="left" w:pos="1579"/>
        </w:tabs>
        <w:spacing w:before="160" w:after="0" w:line="240" w:lineRule="auto"/>
        <w:ind w:left="1578" w:right="0" w:hanging="661"/>
        <w:jc w:val="left"/>
        <w:rPr>
          <w:sz w:val="24"/>
        </w:rPr>
      </w:pPr>
      <w:r>
        <w:rPr>
          <w:spacing w:val="-1"/>
          <w:sz w:val="24"/>
        </w:rPr>
        <w:t>所投分包(如不分包则指本项目)的所有报价产品进入当期节能清单的，其评标价=</w:t>
      </w:r>
    </w:p>
    <w:p>
      <w:pPr>
        <w:pStyle w:val="11"/>
        <w:spacing w:before="161"/>
        <w:ind w:left="452"/>
      </w:pPr>
      <w:r>
        <w:t>报价*（</w:t>
      </w:r>
      <w:r>
        <w:rPr>
          <w:spacing w:val="-1"/>
        </w:rPr>
        <w:t>1</w:t>
      </w:r>
      <w:r>
        <w:t>-2%</w:t>
      </w:r>
      <w:r>
        <w:rPr>
          <w:spacing w:val="-120"/>
        </w:rPr>
        <w:t>）</w:t>
      </w:r>
      <w:r>
        <w:t xml:space="preserve">；供应商所投产品满足此规定的，必须提供声明函并提供相关证明文件。 </w:t>
      </w:r>
    </w:p>
    <w:p>
      <w:pPr>
        <w:pStyle w:val="28"/>
        <w:numPr>
          <w:ilvl w:val="2"/>
          <w:numId w:val="27"/>
        </w:numPr>
        <w:tabs>
          <w:tab w:val="left" w:pos="1579"/>
        </w:tabs>
        <w:spacing w:before="158" w:after="0" w:line="364" w:lineRule="auto"/>
        <w:ind w:left="452" w:right="491" w:firstLine="466"/>
        <w:jc w:val="left"/>
        <w:rPr>
          <w:sz w:val="24"/>
        </w:rPr>
      </w:pPr>
      <w:r>
        <w:rPr>
          <w:spacing w:val="-2"/>
          <w:sz w:val="24"/>
        </w:rPr>
        <w:t xml:space="preserve">所投分包(如不分包则指本项目)的所有报价产品进入当期环保清单的，其评标价= </w:t>
      </w:r>
      <w:r>
        <w:rPr>
          <w:sz w:val="24"/>
        </w:rPr>
        <w:t>报价*（</w:t>
      </w:r>
      <w:r>
        <w:rPr>
          <w:spacing w:val="-1"/>
          <w:sz w:val="24"/>
        </w:rPr>
        <w:t>1</w:t>
      </w:r>
      <w:r>
        <w:rPr>
          <w:sz w:val="24"/>
        </w:rPr>
        <w:t>-1%</w:t>
      </w:r>
      <w:r>
        <w:rPr>
          <w:spacing w:val="-120"/>
          <w:sz w:val="24"/>
        </w:rPr>
        <w:t>）</w:t>
      </w:r>
      <w:r>
        <w:rPr>
          <w:sz w:val="24"/>
        </w:rPr>
        <w:t xml:space="preserve">；供应商所投产品满足此规定的，必须提供声明函并提供相关证明文件。 </w:t>
      </w:r>
    </w:p>
    <w:p>
      <w:pPr>
        <w:pStyle w:val="28"/>
        <w:numPr>
          <w:ilvl w:val="2"/>
          <w:numId w:val="27"/>
        </w:numPr>
        <w:tabs>
          <w:tab w:val="left" w:pos="1584"/>
        </w:tabs>
        <w:spacing w:before="0" w:after="0" w:line="364" w:lineRule="auto"/>
        <w:ind w:left="452" w:right="489" w:firstLine="466"/>
        <w:jc w:val="left"/>
        <w:rPr>
          <w:sz w:val="24"/>
        </w:rPr>
      </w:pPr>
      <w:r>
        <w:rPr>
          <w:b/>
          <w:spacing w:val="-1"/>
          <w:w w:val="99"/>
          <w:sz w:val="24"/>
        </w:rPr>
        <w:t>供应商为中小型和微型企业</w:t>
      </w:r>
      <w:r>
        <w:rPr>
          <w:b/>
          <w:w w:val="99"/>
          <w:sz w:val="24"/>
        </w:rPr>
        <w:t>（含联合体</w:t>
      </w:r>
      <w:r>
        <w:rPr>
          <w:b/>
          <w:spacing w:val="-5"/>
          <w:w w:val="99"/>
          <w:sz w:val="24"/>
        </w:rPr>
        <w:t>）</w:t>
      </w:r>
      <w:r>
        <w:rPr>
          <w:b/>
          <w:spacing w:val="-30"/>
          <w:w w:val="99"/>
          <w:sz w:val="24"/>
        </w:rPr>
        <w:t>的情况：</w:t>
      </w:r>
      <w:r>
        <w:rPr>
          <w:sz w:val="24"/>
        </w:rPr>
        <w:t>（</w:t>
      </w:r>
      <w:r>
        <w:rPr>
          <w:spacing w:val="-5"/>
          <w:sz w:val="24"/>
        </w:rPr>
        <w:t>含中型、小型、微型企业，下</w:t>
      </w:r>
      <w:r>
        <w:rPr>
          <w:sz w:val="24"/>
        </w:rPr>
        <w:t xml:space="preserve">同） </w:t>
      </w:r>
    </w:p>
    <w:p>
      <w:pPr>
        <w:pStyle w:val="28"/>
        <w:numPr>
          <w:ilvl w:val="0"/>
          <w:numId w:val="28"/>
        </w:numPr>
        <w:tabs>
          <w:tab w:val="left" w:pos="1280"/>
        </w:tabs>
        <w:spacing w:before="0" w:after="0" w:line="306" w:lineRule="exact"/>
        <w:ind w:left="1279" w:right="0" w:hanging="362"/>
        <w:jc w:val="left"/>
        <w:rPr>
          <w:sz w:val="24"/>
        </w:rPr>
      </w:pPr>
      <w:r>
        <w:rPr>
          <w:sz w:val="24"/>
        </w:rPr>
        <w:t xml:space="preserve">中小企业划分标准 </w:t>
      </w:r>
    </w:p>
    <w:p>
      <w:pPr>
        <w:pStyle w:val="11"/>
        <w:spacing w:before="160" w:line="362" w:lineRule="auto"/>
        <w:ind w:left="452" w:right="495" w:firstLine="466"/>
      </w:pPr>
      <w:r>
        <w:rPr>
          <w:spacing w:val="-1"/>
        </w:rPr>
        <w:t>本规定所称中小企业划分标准，是指国务院有关部门根据企业从业人员、营业收入、资</w:t>
      </w:r>
      <w:r>
        <w:t>产总额等指标制定的中小企业划型标准（工信部联企业〔2011〕300</w:t>
      </w:r>
      <w:r>
        <w:rPr>
          <w:spacing w:val="-30"/>
        </w:rPr>
        <w:t xml:space="preserve"> 号</w:t>
      </w:r>
      <w:r>
        <w:rPr>
          <w:spacing w:val="-120"/>
        </w:rPr>
        <w:t>）</w:t>
      </w:r>
      <w:r>
        <w:t xml:space="preserve">； </w:t>
      </w:r>
    </w:p>
    <w:p>
      <w:pPr>
        <w:pStyle w:val="28"/>
        <w:numPr>
          <w:ilvl w:val="0"/>
          <w:numId w:val="28"/>
        </w:numPr>
        <w:tabs>
          <w:tab w:val="left" w:pos="1284"/>
        </w:tabs>
        <w:spacing w:before="5" w:after="0" w:line="364" w:lineRule="auto"/>
        <w:ind w:left="452" w:right="373" w:firstLine="466"/>
        <w:jc w:val="left"/>
        <w:rPr>
          <w:sz w:val="24"/>
        </w:rPr>
      </w:pPr>
      <w:r>
        <w:rPr>
          <w:spacing w:val="-1"/>
          <w:sz w:val="24"/>
        </w:rPr>
        <w:t xml:space="preserve">提供本企业制造的货物、承担的工程或者服务，或者提供其他中小企业制造的货物， </w:t>
      </w:r>
      <w:r>
        <w:rPr>
          <w:sz w:val="24"/>
        </w:rPr>
        <w:t xml:space="preserve">本项所称货物不包括提供或使用大型企业注册商标的货物； </w:t>
      </w:r>
    </w:p>
    <w:p>
      <w:pPr>
        <w:pStyle w:val="28"/>
        <w:numPr>
          <w:ilvl w:val="0"/>
          <w:numId w:val="28"/>
        </w:numPr>
        <w:tabs>
          <w:tab w:val="left" w:pos="1280"/>
        </w:tabs>
        <w:spacing w:before="0" w:after="0" w:line="307" w:lineRule="exact"/>
        <w:ind w:left="1279" w:right="0" w:hanging="362"/>
        <w:jc w:val="left"/>
        <w:rPr>
          <w:sz w:val="24"/>
        </w:rPr>
      </w:pPr>
      <w:r>
        <w:rPr>
          <w:sz w:val="24"/>
        </w:rPr>
        <w:t xml:space="preserve">小型、微型企业提供有中型企业制造的货物的，视同为中型企业； </w:t>
      </w:r>
    </w:p>
    <w:p>
      <w:pPr>
        <w:pStyle w:val="11"/>
        <w:spacing w:before="158"/>
        <w:ind w:left="1223"/>
      </w:pPr>
      <w:r>
        <w:t xml:space="preserve">小型、微型、中型企业提供有大型企业制造的货物的，视同为大型企业。 </w:t>
      </w:r>
    </w:p>
    <w:p>
      <w:pPr>
        <w:spacing w:before="160" w:line="362" w:lineRule="auto"/>
        <w:ind w:left="918" w:right="371" w:hanging="467"/>
        <w:jc w:val="left"/>
        <w:rPr>
          <w:sz w:val="24"/>
        </w:rPr>
      </w:pPr>
      <w:r>
        <w:rPr>
          <w:sz w:val="24"/>
        </w:rPr>
        <w:t>（</w:t>
      </w:r>
      <w:r>
        <w:rPr>
          <w:b/>
          <w:sz w:val="24"/>
        </w:rPr>
        <w:t>供应商为小型、微型企业，同时所投产品为小型、微型企业生产的才能享受政策性优惠</w:t>
      </w:r>
      <w:r>
        <w:rPr>
          <w:sz w:val="24"/>
        </w:rPr>
        <w:t xml:space="preserve">） 4）监狱企业视同为小型、微型企业。 </w:t>
      </w:r>
    </w:p>
    <w:p>
      <w:pPr>
        <w:pStyle w:val="28"/>
        <w:numPr>
          <w:ilvl w:val="0"/>
          <w:numId w:val="29"/>
        </w:numPr>
        <w:tabs>
          <w:tab w:val="left" w:pos="1520"/>
        </w:tabs>
        <w:spacing w:before="5" w:after="0" w:line="240" w:lineRule="auto"/>
        <w:ind w:left="1519" w:right="0" w:hanging="602"/>
        <w:jc w:val="left"/>
        <w:rPr>
          <w:sz w:val="24"/>
        </w:rPr>
      </w:pPr>
      <w:r>
        <w:rPr>
          <w:sz w:val="24"/>
        </w:rPr>
        <w:t xml:space="preserve">具体评审价说明： </w:t>
      </w:r>
    </w:p>
    <w:p>
      <w:pPr>
        <w:spacing w:after="0" w:line="240" w:lineRule="auto"/>
        <w:jc w:val="left"/>
        <w:rPr>
          <w:sz w:val="24"/>
        </w:rPr>
        <w:sectPr>
          <w:pgSz w:w="11910" w:h="16840"/>
          <w:pgMar w:top="1060" w:right="640" w:bottom="920" w:left="680" w:header="0" w:footer="646" w:gutter="0"/>
          <w:cols w:space="720" w:num="1"/>
        </w:sectPr>
      </w:pPr>
    </w:p>
    <w:p>
      <w:pPr>
        <w:pStyle w:val="28"/>
        <w:numPr>
          <w:ilvl w:val="0"/>
          <w:numId w:val="30"/>
        </w:numPr>
        <w:tabs>
          <w:tab w:val="left" w:pos="1280"/>
        </w:tabs>
        <w:spacing w:before="54" w:after="0" w:line="240" w:lineRule="auto"/>
        <w:ind w:left="1279" w:right="0" w:hanging="362"/>
        <w:jc w:val="both"/>
        <w:rPr>
          <w:sz w:val="24"/>
        </w:rPr>
      </w:pPr>
      <w:r>
        <w:rPr>
          <w:sz w:val="24"/>
        </w:rPr>
        <w:t>供应商为小型或微型企业，其评审价=报价*（1-6%</w:t>
      </w:r>
      <w:r>
        <w:rPr>
          <w:spacing w:val="-120"/>
          <w:sz w:val="24"/>
        </w:rPr>
        <w:t>）</w:t>
      </w:r>
      <w:r>
        <w:rPr>
          <w:sz w:val="24"/>
        </w:rPr>
        <w:t xml:space="preserve">； </w:t>
      </w:r>
    </w:p>
    <w:p>
      <w:pPr>
        <w:pStyle w:val="28"/>
        <w:numPr>
          <w:ilvl w:val="0"/>
          <w:numId w:val="29"/>
        </w:numPr>
        <w:tabs>
          <w:tab w:val="left" w:pos="1536"/>
        </w:tabs>
        <w:spacing w:before="0" w:after="0" w:line="364" w:lineRule="auto"/>
        <w:ind w:left="452" w:right="376" w:firstLine="480"/>
        <w:jc w:val="left"/>
        <w:rPr>
          <w:sz w:val="24"/>
        </w:rPr>
      </w:pPr>
      <w:r>
        <w:rPr>
          <w:sz w:val="24"/>
        </w:rPr>
        <w:t>供应商为工信部联企业〔2011〕300 号文规定的小型和微型企业（含联合体）</w:t>
      </w:r>
      <w:r>
        <w:rPr>
          <w:spacing w:val="-7"/>
          <w:sz w:val="24"/>
        </w:rPr>
        <w:t xml:space="preserve">的， </w:t>
      </w:r>
      <w:r>
        <w:rPr>
          <w:spacing w:val="-8"/>
          <w:sz w:val="24"/>
        </w:rPr>
        <w:t>必须如实填写“中小企业声明函”</w:t>
      </w:r>
      <w:r>
        <w:rPr>
          <w:sz w:val="24"/>
        </w:rPr>
        <w:t>（内容、格式见财库〔20</w:t>
      </w:r>
      <w:r>
        <w:rPr>
          <w:spacing w:val="2"/>
          <w:sz w:val="24"/>
        </w:rPr>
        <w:t>1</w:t>
      </w:r>
      <w:r>
        <w:rPr>
          <w:sz w:val="24"/>
        </w:rPr>
        <w:t>1〕181</w:t>
      </w:r>
      <w:r>
        <w:rPr>
          <w:spacing w:val="1"/>
          <w:sz w:val="24"/>
        </w:rPr>
        <w:t xml:space="preserve"> 号</w:t>
      </w:r>
      <w:r>
        <w:rPr>
          <w:spacing w:val="-120"/>
          <w:sz w:val="24"/>
        </w:rPr>
        <w:t>）</w:t>
      </w:r>
      <w:r>
        <w:rPr>
          <w:sz w:val="24"/>
        </w:rPr>
        <w:t xml:space="preserve">，并提供中小企业认定机构的证明材料，否则无效。 </w:t>
      </w:r>
    </w:p>
    <w:p>
      <w:pPr>
        <w:pStyle w:val="10"/>
        <w:spacing w:line="307" w:lineRule="exact"/>
        <w:ind w:left="933"/>
      </w:pPr>
      <w:r>
        <w:t>有虚假骗取政策性加分，将依法承担相应责任。</w:t>
      </w:r>
    </w:p>
    <w:p>
      <w:pPr>
        <w:pStyle w:val="28"/>
        <w:numPr>
          <w:ilvl w:val="2"/>
          <w:numId w:val="27"/>
        </w:numPr>
        <w:tabs>
          <w:tab w:val="left" w:pos="1654"/>
        </w:tabs>
        <w:spacing w:before="156" w:after="0" w:line="364" w:lineRule="auto"/>
        <w:ind w:left="452" w:right="496" w:firstLine="480"/>
        <w:jc w:val="left"/>
        <w:rPr>
          <w:sz w:val="24"/>
        </w:rPr>
      </w:pPr>
      <w:r>
        <w:rPr>
          <w:spacing w:val="-1"/>
          <w:sz w:val="24"/>
        </w:rPr>
        <w:t>如供应商满足“关于政策性优惠”规定的，应按该条规定对供应商的最终报价进</w:t>
      </w:r>
      <w:r>
        <w:rPr>
          <w:sz w:val="24"/>
        </w:rPr>
        <w:t xml:space="preserve">行调整。 </w:t>
      </w:r>
    </w:p>
    <w:p>
      <w:pPr>
        <w:pStyle w:val="28"/>
        <w:numPr>
          <w:ilvl w:val="1"/>
          <w:numId w:val="27"/>
        </w:numPr>
        <w:tabs>
          <w:tab w:val="left" w:pos="1295"/>
        </w:tabs>
        <w:spacing w:before="0" w:after="0" w:line="306" w:lineRule="exact"/>
        <w:ind w:left="1294" w:right="0" w:hanging="362"/>
        <w:jc w:val="left"/>
        <w:rPr>
          <w:sz w:val="22"/>
        </w:rPr>
      </w:pPr>
      <w:r>
        <w:rPr>
          <w:sz w:val="24"/>
        </w:rPr>
        <w:t>、技术、商务评分：具体评审的内容详见“</w:t>
      </w:r>
      <w:r>
        <w:rPr>
          <w:b/>
          <w:spacing w:val="1"/>
          <w:w w:val="99"/>
          <w:sz w:val="24"/>
        </w:rPr>
        <w:t>附表</w:t>
      </w:r>
      <w:r>
        <w:rPr>
          <w:b/>
          <w:spacing w:val="-61"/>
          <w:sz w:val="24"/>
        </w:rPr>
        <w:t xml:space="preserve"> </w:t>
      </w:r>
      <w:r>
        <w:rPr>
          <w:b/>
          <w:w w:val="99"/>
          <w:sz w:val="24"/>
        </w:rPr>
        <w:t>3</w:t>
      </w:r>
      <w:r>
        <w:rPr>
          <w:b/>
          <w:spacing w:val="-59"/>
          <w:sz w:val="24"/>
        </w:rPr>
        <w:t xml:space="preserve"> </w:t>
      </w:r>
      <w:r>
        <w:rPr>
          <w:b/>
          <w:spacing w:val="-20"/>
          <w:w w:val="99"/>
          <w:sz w:val="24"/>
        </w:rPr>
        <w:t>详细评审表”</w:t>
      </w:r>
      <w:r>
        <w:rPr>
          <w:sz w:val="24"/>
        </w:rPr>
        <w:t xml:space="preserve">； </w:t>
      </w:r>
    </w:p>
    <w:p>
      <w:pPr>
        <w:pStyle w:val="11"/>
        <w:spacing w:before="9"/>
        <w:rPr>
          <w:sz w:val="18"/>
        </w:rPr>
      </w:pPr>
    </w:p>
    <w:p>
      <w:pPr>
        <w:pStyle w:val="28"/>
        <w:numPr>
          <w:ilvl w:val="1"/>
          <w:numId w:val="27"/>
        </w:numPr>
        <w:tabs>
          <w:tab w:val="left" w:pos="1295"/>
        </w:tabs>
        <w:spacing w:before="0" w:after="0" w:line="364" w:lineRule="auto"/>
        <w:ind w:left="452" w:right="371" w:firstLine="480"/>
        <w:jc w:val="both"/>
        <w:rPr>
          <w:sz w:val="22"/>
        </w:rPr>
      </w:pPr>
      <w:r>
        <w:rPr>
          <w:spacing w:val="-9"/>
          <w:sz w:val="24"/>
        </w:rPr>
        <w:t>、技术商务分统计：按照评标程序、评分标准以及分值分配的规定，评标委员会成员分别就各个供应商的技术、商务状况，其对招标文件要求的响应情况进行评议和比较，评出</w:t>
      </w:r>
      <w:r>
        <w:rPr>
          <w:spacing w:val="-17"/>
          <w:sz w:val="24"/>
        </w:rPr>
        <w:t>各供应商的技术商务总分，全部评委的评分的算术平均值即为该供应商的技术商务最终得分。</w:t>
      </w:r>
      <w:r>
        <w:rPr>
          <w:sz w:val="24"/>
        </w:rPr>
        <w:t xml:space="preserve"> </w:t>
      </w:r>
    </w:p>
    <w:p>
      <w:pPr>
        <w:pStyle w:val="28"/>
        <w:numPr>
          <w:ilvl w:val="1"/>
          <w:numId w:val="27"/>
        </w:numPr>
        <w:tabs>
          <w:tab w:val="left" w:pos="1295"/>
        </w:tabs>
        <w:spacing w:before="2" w:after="0" w:line="364" w:lineRule="auto"/>
        <w:ind w:left="452" w:right="492" w:firstLine="480"/>
        <w:jc w:val="left"/>
        <w:rPr>
          <w:sz w:val="22"/>
        </w:rPr>
      </w:pPr>
      <w:r>
        <w:rPr>
          <w:spacing w:val="-11"/>
          <w:sz w:val="24"/>
        </w:rPr>
        <w:t>、综合得分：技术商务最终得分与投标报价得分相加得出综合得分。综合得分且投标</w:t>
      </w:r>
      <w:r>
        <w:rPr>
          <w:sz w:val="24"/>
        </w:rPr>
        <w:t xml:space="preserve">报价相同的，按技术指标优劣顺序排列。 </w:t>
      </w:r>
    </w:p>
    <w:p>
      <w:pPr>
        <w:pStyle w:val="28"/>
        <w:numPr>
          <w:ilvl w:val="0"/>
          <w:numId w:val="31"/>
        </w:numPr>
        <w:tabs>
          <w:tab w:val="left" w:pos="1535"/>
        </w:tabs>
        <w:spacing w:before="35" w:after="0" w:line="240" w:lineRule="auto"/>
        <w:ind w:left="1534" w:right="0" w:hanging="602"/>
        <w:jc w:val="left"/>
        <w:rPr>
          <w:sz w:val="24"/>
        </w:rPr>
      </w:pPr>
      <w:r>
        <w:rPr>
          <w:spacing w:val="-1"/>
          <w:sz w:val="24"/>
        </w:rPr>
        <w:t>商务项得分</w:t>
      </w:r>
      <w:r>
        <w:rPr>
          <w:sz w:val="24"/>
        </w:rPr>
        <w:t>=（∑各评委所审技术参数得分</w:t>
      </w:r>
      <w:r>
        <w:rPr>
          <w:spacing w:val="1"/>
          <w:sz w:val="24"/>
        </w:rPr>
        <w:t>）</w:t>
      </w:r>
      <w:r>
        <w:rPr>
          <w:sz w:val="24"/>
        </w:rPr>
        <w:t>/（评委人数</w:t>
      </w:r>
      <w:r>
        <w:rPr>
          <w:spacing w:val="-120"/>
          <w:sz w:val="24"/>
        </w:rPr>
        <w:t>）</w:t>
      </w:r>
      <w:r>
        <w:rPr>
          <w:sz w:val="24"/>
        </w:rPr>
        <w:t xml:space="preserve">； </w:t>
      </w:r>
    </w:p>
    <w:p>
      <w:pPr>
        <w:pStyle w:val="28"/>
        <w:numPr>
          <w:ilvl w:val="0"/>
          <w:numId w:val="31"/>
        </w:numPr>
        <w:tabs>
          <w:tab w:val="left" w:pos="1535"/>
        </w:tabs>
        <w:spacing w:before="132" w:after="0" w:line="240" w:lineRule="auto"/>
        <w:ind w:left="1534" w:right="0" w:hanging="602"/>
        <w:jc w:val="left"/>
        <w:rPr>
          <w:sz w:val="24"/>
        </w:rPr>
      </w:pPr>
      <w:r>
        <w:rPr>
          <w:spacing w:val="-1"/>
          <w:sz w:val="24"/>
        </w:rPr>
        <w:t>技术项得分</w:t>
      </w:r>
      <w:r>
        <w:rPr>
          <w:sz w:val="24"/>
        </w:rPr>
        <w:t>=（∑各评委所审商务参数得分</w:t>
      </w:r>
      <w:r>
        <w:rPr>
          <w:spacing w:val="1"/>
          <w:sz w:val="24"/>
        </w:rPr>
        <w:t>）</w:t>
      </w:r>
      <w:r>
        <w:rPr>
          <w:sz w:val="24"/>
        </w:rPr>
        <w:t>/（评委人数</w:t>
      </w:r>
      <w:r>
        <w:rPr>
          <w:spacing w:val="-120"/>
          <w:sz w:val="24"/>
        </w:rPr>
        <w:t>）</w:t>
      </w:r>
      <w:r>
        <w:rPr>
          <w:sz w:val="24"/>
        </w:rPr>
        <w:t xml:space="preserve">； </w:t>
      </w:r>
    </w:p>
    <w:p>
      <w:pPr>
        <w:pStyle w:val="28"/>
        <w:numPr>
          <w:ilvl w:val="0"/>
          <w:numId w:val="31"/>
        </w:numPr>
        <w:tabs>
          <w:tab w:val="left" w:pos="1535"/>
        </w:tabs>
        <w:spacing w:before="134" w:after="0" w:line="240" w:lineRule="auto"/>
        <w:ind w:left="1534" w:right="0" w:hanging="602"/>
        <w:jc w:val="left"/>
        <w:rPr>
          <w:sz w:val="24"/>
        </w:rPr>
      </w:pPr>
      <w:r>
        <w:rPr>
          <w:sz w:val="24"/>
        </w:rPr>
        <w:t>供应商综合得分=商务项得分+技术项得分+价格项得分（保留二位小数</w:t>
      </w:r>
      <w:r>
        <w:rPr>
          <w:spacing w:val="-120"/>
          <w:sz w:val="24"/>
        </w:rPr>
        <w:t>）</w:t>
      </w:r>
      <w:r>
        <w:rPr>
          <w:sz w:val="24"/>
        </w:rPr>
        <w:t xml:space="preserve">。 </w:t>
      </w:r>
    </w:p>
    <w:p>
      <w:pPr>
        <w:pStyle w:val="11"/>
        <w:spacing w:before="1"/>
        <w:rPr>
          <w:sz w:val="30"/>
        </w:rPr>
      </w:pPr>
    </w:p>
    <w:p>
      <w:pPr>
        <w:pStyle w:val="5"/>
      </w:pPr>
      <w:r>
        <w:t>四、推荐中标候选人</w:t>
      </w:r>
    </w:p>
    <w:p>
      <w:pPr>
        <w:pStyle w:val="11"/>
        <w:spacing w:before="12"/>
        <w:rPr>
          <w:b/>
          <w:sz w:val="34"/>
        </w:rPr>
      </w:pPr>
    </w:p>
    <w:p>
      <w:pPr>
        <w:pStyle w:val="11"/>
        <w:spacing w:line="364" w:lineRule="auto"/>
        <w:ind w:left="452" w:right="463" w:firstLine="470"/>
      </w:pPr>
      <w:r>
        <w:t>评标委员会将严格按照招标文件的要求和条件进行评标,根据供应商综合得分由高到低</w:t>
      </w:r>
      <w:r>
        <w:rPr>
          <w:spacing w:val="-15"/>
        </w:rPr>
        <w:t xml:space="preserve">进行排序，推荐排名前三的供应商为中标候选人。综合得分最高的供应商为第一中标候选人， </w:t>
      </w:r>
      <w:r>
        <w:rPr>
          <w:spacing w:val="-4"/>
        </w:rPr>
        <w:t>综合得分次高的供应商为第二中标候选人，以此类推。综合得分相同的，按投标报价由低到高顺序排列。综合得分和投标报价均相同的，按技术指标（方案）由优至劣顺序排列。</w:t>
      </w:r>
    </w:p>
    <w:p>
      <w:pPr>
        <w:pStyle w:val="11"/>
        <w:spacing w:before="8"/>
        <w:rPr>
          <w:sz w:val="22"/>
        </w:rPr>
      </w:pPr>
    </w:p>
    <w:p>
      <w:pPr>
        <w:pStyle w:val="5"/>
      </w:pPr>
      <w:r>
        <w:t>五、定标</w:t>
      </w:r>
    </w:p>
    <w:p>
      <w:pPr>
        <w:pStyle w:val="11"/>
        <w:spacing w:before="10"/>
        <w:rPr>
          <w:b/>
          <w:sz w:val="34"/>
        </w:rPr>
      </w:pPr>
    </w:p>
    <w:p>
      <w:pPr>
        <w:pStyle w:val="28"/>
        <w:numPr>
          <w:ilvl w:val="0"/>
          <w:numId w:val="32"/>
        </w:numPr>
        <w:tabs>
          <w:tab w:val="left" w:pos="1175"/>
        </w:tabs>
        <w:spacing w:before="0" w:after="0" w:line="240" w:lineRule="auto"/>
        <w:ind w:left="1174" w:right="0" w:hanging="242"/>
        <w:jc w:val="left"/>
        <w:rPr>
          <w:sz w:val="24"/>
        </w:rPr>
      </w:pPr>
      <w:r>
        <w:rPr>
          <w:sz w:val="24"/>
        </w:rPr>
        <w:t xml:space="preserve">定标原则：本项目根据评委会推荐的中标候选人名单，按顺序确定中标人。 </w:t>
      </w:r>
    </w:p>
    <w:p>
      <w:pPr>
        <w:pStyle w:val="28"/>
        <w:numPr>
          <w:ilvl w:val="0"/>
          <w:numId w:val="32"/>
        </w:numPr>
        <w:tabs>
          <w:tab w:val="left" w:pos="1175"/>
        </w:tabs>
        <w:spacing w:before="160" w:after="0" w:line="240" w:lineRule="auto"/>
        <w:ind w:left="1174" w:right="0" w:hanging="242"/>
        <w:jc w:val="left"/>
        <w:rPr>
          <w:sz w:val="24"/>
        </w:rPr>
      </w:pPr>
      <w:r>
        <w:rPr>
          <w:sz w:val="24"/>
        </w:rPr>
        <w:t xml:space="preserve">定标程序 </w:t>
      </w:r>
    </w:p>
    <w:p>
      <w:pPr>
        <w:spacing w:after="0" w:line="240" w:lineRule="auto"/>
        <w:jc w:val="left"/>
        <w:rPr>
          <w:sz w:val="24"/>
        </w:rPr>
        <w:sectPr>
          <w:pgSz w:w="11910" w:h="16840"/>
          <w:pgMar w:top="1060" w:right="640" w:bottom="920" w:left="680" w:header="0" w:footer="646" w:gutter="0"/>
          <w:cols w:space="720" w:num="1"/>
        </w:sectPr>
      </w:pPr>
    </w:p>
    <w:p>
      <w:pPr>
        <w:pStyle w:val="28"/>
        <w:numPr>
          <w:ilvl w:val="1"/>
          <w:numId w:val="32"/>
        </w:numPr>
        <w:tabs>
          <w:tab w:val="left" w:pos="1276"/>
        </w:tabs>
        <w:spacing w:before="53" w:after="0" w:line="364" w:lineRule="auto"/>
        <w:ind w:left="452" w:right="495" w:firstLine="461"/>
        <w:jc w:val="both"/>
        <w:rPr>
          <w:sz w:val="24"/>
        </w:rPr>
      </w:pPr>
      <w:r>
        <w:rPr>
          <w:spacing w:val="-1"/>
          <w:sz w:val="24"/>
        </w:rPr>
        <w:t>评委会将评标情况写出书面报告，推荐中标候选人，并按照综合得分高低标明排列顺序。综合得分相同的，按投标报价由低到高顺序排列。综合得分且投标报价相同的，按技</w:t>
      </w:r>
      <w:r>
        <w:rPr>
          <w:sz w:val="24"/>
        </w:rPr>
        <w:t>术指标（方案）</w:t>
      </w:r>
      <w:r>
        <w:rPr>
          <w:spacing w:val="-1"/>
          <w:sz w:val="24"/>
        </w:rPr>
        <w:t>优劣顺序排列。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w:t>
      </w:r>
      <w:r>
        <w:rPr>
          <w:sz w:val="24"/>
        </w:rPr>
        <w:t xml:space="preserve">实确有其事的，采购人将把合同授予排名第二的中标候选人或重新组织招标。如此类推。 </w:t>
      </w:r>
    </w:p>
    <w:p>
      <w:pPr>
        <w:pStyle w:val="28"/>
        <w:numPr>
          <w:ilvl w:val="1"/>
          <w:numId w:val="32"/>
        </w:numPr>
        <w:tabs>
          <w:tab w:val="left" w:pos="1295"/>
        </w:tabs>
        <w:spacing w:before="4" w:after="0" w:line="240" w:lineRule="auto"/>
        <w:ind w:left="1294" w:right="0" w:hanging="362"/>
        <w:jc w:val="both"/>
        <w:rPr>
          <w:sz w:val="24"/>
        </w:rPr>
      </w:pPr>
      <w:r>
        <w:rPr>
          <w:spacing w:val="-5"/>
          <w:sz w:val="24"/>
        </w:rPr>
        <w:t xml:space="preserve">采购代理机构在评标结束后 </w:t>
      </w:r>
      <w:r>
        <w:rPr>
          <w:sz w:val="24"/>
        </w:rPr>
        <w:t>2</w:t>
      </w:r>
      <w:r>
        <w:rPr>
          <w:spacing w:val="-8"/>
          <w:sz w:val="24"/>
        </w:rPr>
        <w:t xml:space="preserve"> 个工作日内将评标报告送采购人。 </w:t>
      </w:r>
    </w:p>
    <w:p>
      <w:pPr>
        <w:pStyle w:val="28"/>
        <w:numPr>
          <w:ilvl w:val="1"/>
          <w:numId w:val="32"/>
        </w:numPr>
        <w:tabs>
          <w:tab w:val="left" w:pos="1295"/>
        </w:tabs>
        <w:spacing w:before="161" w:after="0" w:line="364" w:lineRule="auto"/>
        <w:ind w:left="452" w:right="492" w:firstLine="480"/>
        <w:jc w:val="left"/>
        <w:rPr>
          <w:sz w:val="24"/>
        </w:rPr>
      </w:pPr>
      <w:r>
        <w:rPr>
          <w:spacing w:val="-4"/>
          <w:sz w:val="24"/>
        </w:rPr>
        <w:t xml:space="preserve">采购人在收到评标报告后 </w:t>
      </w:r>
      <w:r>
        <w:rPr>
          <w:sz w:val="24"/>
        </w:rPr>
        <w:t>5</w:t>
      </w:r>
      <w:r>
        <w:rPr>
          <w:spacing w:val="-8"/>
          <w:sz w:val="24"/>
        </w:rPr>
        <w:t xml:space="preserve"> 个工作日内，按照评标报告中推荐的中标候选人顺序确</w:t>
      </w:r>
      <w:r>
        <w:rPr>
          <w:sz w:val="24"/>
        </w:rPr>
        <w:t xml:space="preserve">定中标人。 </w:t>
      </w:r>
    </w:p>
    <w:p>
      <w:pPr>
        <w:pStyle w:val="28"/>
        <w:numPr>
          <w:ilvl w:val="1"/>
          <w:numId w:val="32"/>
        </w:numPr>
        <w:tabs>
          <w:tab w:val="left" w:pos="1295"/>
        </w:tabs>
        <w:spacing w:before="2" w:after="0" w:line="364" w:lineRule="auto"/>
        <w:ind w:left="452" w:right="500" w:firstLine="480"/>
        <w:jc w:val="left"/>
        <w:rPr>
          <w:sz w:val="24"/>
        </w:rPr>
      </w:pPr>
      <w:r>
        <w:rPr>
          <w:spacing w:val="-1"/>
          <w:sz w:val="24"/>
        </w:rPr>
        <w:t>根据采购人确定的中标人，招标人在法定媒体上发布中标公告，同时向中标人发出</w:t>
      </w:r>
      <w:r>
        <w:rPr>
          <w:sz w:val="24"/>
        </w:rPr>
        <w:t xml:space="preserve">中标通知书。 </w:t>
      </w:r>
    </w:p>
    <w:p>
      <w:pPr>
        <w:pStyle w:val="28"/>
        <w:numPr>
          <w:ilvl w:val="1"/>
          <w:numId w:val="32"/>
        </w:numPr>
        <w:tabs>
          <w:tab w:val="left" w:pos="1295"/>
        </w:tabs>
        <w:spacing w:before="1" w:after="0" w:line="240" w:lineRule="auto"/>
        <w:ind w:left="1294" w:right="0" w:hanging="362"/>
        <w:jc w:val="left"/>
        <w:rPr>
          <w:sz w:val="24"/>
        </w:rPr>
      </w:pPr>
      <w:r>
        <w:rPr>
          <w:sz w:val="24"/>
        </w:rPr>
        <w:t>采购人不解释中标或落标原因，不退回投标文件和其他投标资料。</w:t>
      </w:r>
    </w:p>
    <w:p>
      <w:pPr>
        <w:pStyle w:val="11"/>
        <w:spacing w:before="12"/>
        <w:rPr>
          <w:sz w:val="34"/>
        </w:rPr>
      </w:pPr>
    </w:p>
    <w:p>
      <w:pPr>
        <w:pStyle w:val="5"/>
      </w:pPr>
      <w:r>
        <w:t>六、废标</w:t>
      </w:r>
    </w:p>
    <w:p>
      <w:pPr>
        <w:pStyle w:val="11"/>
        <w:spacing w:before="12"/>
        <w:rPr>
          <w:b/>
          <w:sz w:val="34"/>
        </w:rPr>
      </w:pPr>
    </w:p>
    <w:p>
      <w:pPr>
        <w:pStyle w:val="11"/>
        <w:ind w:left="933"/>
      </w:pPr>
      <w:r>
        <w:t xml:space="preserve">本次政府采购活动中，出现下列情形之一的，予以废标： </w:t>
      </w:r>
    </w:p>
    <w:p>
      <w:pPr>
        <w:pStyle w:val="28"/>
        <w:numPr>
          <w:ilvl w:val="0"/>
          <w:numId w:val="33"/>
        </w:numPr>
        <w:tabs>
          <w:tab w:val="left" w:pos="1535"/>
        </w:tabs>
        <w:spacing w:before="160" w:after="0" w:line="240" w:lineRule="auto"/>
        <w:ind w:left="1534" w:right="0" w:hanging="602"/>
        <w:jc w:val="left"/>
        <w:rPr>
          <w:sz w:val="24"/>
        </w:rPr>
      </w:pPr>
      <w:r>
        <w:rPr>
          <w:sz w:val="24"/>
        </w:rPr>
        <w:t xml:space="preserve">符合专业条件的供应商或者对招标文件作实质响应的供应商不足三家的； </w:t>
      </w:r>
    </w:p>
    <w:p>
      <w:pPr>
        <w:pStyle w:val="28"/>
        <w:numPr>
          <w:ilvl w:val="0"/>
          <w:numId w:val="33"/>
        </w:numPr>
        <w:tabs>
          <w:tab w:val="left" w:pos="1535"/>
        </w:tabs>
        <w:spacing w:before="161" w:after="0" w:line="240" w:lineRule="auto"/>
        <w:ind w:left="1534" w:right="0" w:hanging="602"/>
        <w:jc w:val="left"/>
        <w:rPr>
          <w:sz w:val="24"/>
        </w:rPr>
      </w:pPr>
      <w:r>
        <w:rPr>
          <w:sz w:val="24"/>
        </w:rPr>
        <w:t xml:space="preserve">出现影响采购公正的违法、违规行为的； </w:t>
      </w:r>
    </w:p>
    <w:p>
      <w:pPr>
        <w:pStyle w:val="28"/>
        <w:numPr>
          <w:ilvl w:val="0"/>
          <w:numId w:val="33"/>
        </w:numPr>
        <w:tabs>
          <w:tab w:val="left" w:pos="1535"/>
        </w:tabs>
        <w:spacing w:before="161" w:after="0" w:line="240" w:lineRule="auto"/>
        <w:ind w:left="1534" w:right="0" w:hanging="602"/>
        <w:jc w:val="left"/>
        <w:rPr>
          <w:sz w:val="24"/>
        </w:rPr>
      </w:pPr>
      <w:r>
        <w:rPr>
          <w:sz w:val="24"/>
        </w:rPr>
        <w:t xml:space="preserve">因重大变故，采购任务取消的。 </w:t>
      </w:r>
    </w:p>
    <w:p>
      <w:pPr>
        <w:pStyle w:val="11"/>
        <w:spacing w:before="160"/>
        <w:ind w:left="933"/>
      </w:pPr>
      <w:r>
        <w:t xml:space="preserve">废标后，采购代理机构应在法定媒体上公告，并公告废标的详细理由。 </w:t>
      </w:r>
    </w:p>
    <w:p>
      <w:pPr>
        <w:spacing w:after="0"/>
        <w:sectPr>
          <w:pgSz w:w="11910" w:h="16840"/>
          <w:pgMar w:top="1140" w:right="640" w:bottom="920" w:left="680" w:header="0" w:footer="646" w:gutter="0"/>
          <w:cols w:space="720" w:num="1"/>
        </w:sectPr>
      </w:pPr>
    </w:p>
    <w:p>
      <w:pPr>
        <w:pStyle w:val="5"/>
        <w:spacing w:before="41"/>
        <w:ind w:left="410" w:right="450"/>
        <w:jc w:val="center"/>
      </w:pPr>
      <w:r>
        <w:t xml:space="preserve">附表 </w:t>
      </w:r>
      <w:r>
        <w:rPr>
          <w:rFonts w:ascii="Arial" w:eastAsia="Arial"/>
        </w:rPr>
        <w:t>1</w:t>
      </w:r>
      <w:r>
        <w:t>：资格性审查表</w:t>
      </w:r>
    </w:p>
    <w:p>
      <w:pPr>
        <w:pStyle w:val="11"/>
        <w:spacing w:before="9" w:after="1"/>
        <w:rPr>
          <w:b/>
          <w:sz w:val="28"/>
        </w:rPr>
      </w:pPr>
    </w:p>
    <w:tbl>
      <w:tblPr>
        <w:tblStyle w:val="15"/>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1"/>
        <w:gridCol w:w="1678"/>
        <w:gridCol w:w="694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711" w:type="dxa"/>
          </w:tcPr>
          <w:p>
            <w:pPr>
              <w:pStyle w:val="29"/>
              <w:spacing w:before="45"/>
              <w:ind w:left="160" w:right="19"/>
              <w:jc w:val="center"/>
              <w:rPr>
                <w:b/>
                <w:sz w:val="24"/>
              </w:rPr>
            </w:pPr>
            <w:r>
              <w:rPr>
                <w:b/>
                <w:sz w:val="24"/>
              </w:rPr>
              <w:t>序号</w:t>
            </w:r>
            <w:r>
              <w:rPr>
                <w:b/>
                <w:w w:val="99"/>
                <w:sz w:val="24"/>
              </w:rPr>
              <w:t xml:space="preserve"> </w:t>
            </w:r>
          </w:p>
        </w:tc>
        <w:tc>
          <w:tcPr>
            <w:tcW w:w="1678" w:type="dxa"/>
          </w:tcPr>
          <w:p>
            <w:pPr>
              <w:pStyle w:val="29"/>
              <w:spacing w:before="45"/>
              <w:ind w:left="154" w:right="28"/>
              <w:jc w:val="center"/>
              <w:rPr>
                <w:b/>
                <w:sz w:val="24"/>
              </w:rPr>
            </w:pPr>
            <w:r>
              <w:rPr>
                <w:b/>
                <w:sz w:val="24"/>
              </w:rPr>
              <w:t>审查项目</w:t>
            </w:r>
            <w:r>
              <w:rPr>
                <w:b/>
                <w:w w:val="99"/>
                <w:sz w:val="24"/>
              </w:rPr>
              <w:t xml:space="preserve"> </w:t>
            </w:r>
          </w:p>
        </w:tc>
        <w:tc>
          <w:tcPr>
            <w:tcW w:w="6948" w:type="dxa"/>
          </w:tcPr>
          <w:p>
            <w:pPr>
              <w:pStyle w:val="29"/>
              <w:spacing w:before="45"/>
              <w:ind w:left="2428" w:right="2301"/>
              <w:jc w:val="center"/>
              <w:rPr>
                <w:b/>
                <w:sz w:val="24"/>
              </w:rPr>
            </w:pPr>
            <w:r>
              <w:rPr>
                <w:b/>
                <w:sz w:val="24"/>
              </w:rPr>
              <w:t>资格性审查评议内容</w:t>
            </w:r>
            <w:r>
              <w:rPr>
                <w:b/>
                <w:w w:val="99"/>
                <w:sz w:val="24"/>
              </w:rPr>
              <w:t xml:space="preserve"> </w:t>
            </w:r>
          </w:p>
        </w:tc>
        <w:tc>
          <w:tcPr>
            <w:tcW w:w="992" w:type="dxa"/>
          </w:tcPr>
          <w:p>
            <w:pPr>
              <w:pStyle w:val="29"/>
              <w:spacing w:before="45"/>
              <w:ind w:left="172" w:right="46"/>
              <w:jc w:val="center"/>
              <w:rPr>
                <w:b/>
                <w:sz w:val="24"/>
              </w:rPr>
            </w:pPr>
            <w:r>
              <w:rPr>
                <w:b/>
                <w:sz w:val="24"/>
              </w:rPr>
              <w:t>供应商</w:t>
            </w: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2" w:hRule="atLeast"/>
        </w:trPr>
        <w:tc>
          <w:tcPr>
            <w:tcW w:w="711" w:type="dxa"/>
          </w:tcPr>
          <w:p>
            <w:pPr>
              <w:pStyle w:val="29"/>
              <w:rPr>
                <w:b/>
                <w:sz w:val="24"/>
              </w:rPr>
            </w:pPr>
          </w:p>
          <w:p>
            <w:pPr>
              <w:pStyle w:val="29"/>
              <w:rPr>
                <w:b/>
                <w:sz w:val="24"/>
              </w:rPr>
            </w:pPr>
          </w:p>
          <w:p>
            <w:pPr>
              <w:pStyle w:val="29"/>
              <w:spacing w:before="162"/>
              <w:ind w:left="148" w:right="19"/>
              <w:jc w:val="center"/>
              <w:rPr>
                <w:sz w:val="24"/>
              </w:rPr>
            </w:pPr>
            <w:r>
              <w:rPr>
                <w:sz w:val="24"/>
              </w:rPr>
              <w:t xml:space="preserve">1 </w:t>
            </w:r>
          </w:p>
        </w:tc>
        <w:tc>
          <w:tcPr>
            <w:tcW w:w="1678" w:type="dxa"/>
          </w:tcPr>
          <w:p>
            <w:pPr>
              <w:pStyle w:val="29"/>
              <w:rPr>
                <w:b/>
                <w:sz w:val="24"/>
              </w:rPr>
            </w:pPr>
          </w:p>
          <w:p>
            <w:pPr>
              <w:pStyle w:val="29"/>
              <w:rPr>
                <w:b/>
                <w:sz w:val="24"/>
              </w:rPr>
            </w:pPr>
          </w:p>
          <w:p>
            <w:pPr>
              <w:pStyle w:val="29"/>
              <w:spacing w:before="162"/>
              <w:ind w:left="34" w:right="28"/>
              <w:jc w:val="center"/>
              <w:rPr>
                <w:sz w:val="24"/>
              </w:rPr>
            </w:pPr>
            <w:r>
              <w:rPr>
                <w:sz w:val="24"/>
              </w:rPr>
              <w:t>企业证件</w:t>
            </w:r>
          </w:p>
        </w:tc>
        <w:tc>
          <w:tcPr>
            <w:tcW w:w="6948" w:type="dxa"/>
            <w:vAlign w:val="center"/>
          </w:tcPr>
          <w:p>
            <w:pPr>
              <w:pStyle w:val="29"/>
              <w:spacing w:before="2" w:line="310" w:lineRule="atLeast"/>
              <w:ind w:left="107" w:right="99"/>
              <w:rPr>
                <w:rFonts w:hint="eastAsia" w:eastAsia="宋体"/>
                <w:sz w:val="24"/>
                <w:lang w:eastAsia="zh-CN"/>
              </w:rPr>
            </w:pPr>
            <w:r>
              <w:rPr>
                <w:rFonts w:ascii="宋体" w:hAnsi="宋体" w:eastAsia="宋体" w:cs="宋体"/>
                <w:spacing w:val="9"/>
                <w:sz w:val="24"/>
              </w:rPr>
              <w:t>是否在中华人民共和国注册的具有独立承担民事责任能力的法人，</w:t>
            </w:r>
            <w:r>
              <w:rPr>
                <w:rFonts w:hint="eastAsia" w:ascii="宋体" w:hAnsi="宋体" w:eastAsia="宋体" w:cs="宋体"/>
                <w:spacing w:val="9"/>
                <w:sz w:val="24"/>
              </w:rPr>
              <w:t>同时具备</w:t>
            </w:r>
            <w:r>
              <w:rPr>
                <w:rFonts w:hint="eastAsia" w:asciiTheme="minorEastAsia" w:hAnsiTheme="minorEastAsia" w:eastAsiaTheme="minorEastAsia" w:cstheme="minorEastAsia"/>
              </w:rPr>
              <w:t>地质灾害危险</w:t>
            </w:r>
            <w:r>
              <w:rPr>
                <w:rFonts w:hint="eastAsia" w:asciiTheme="minorEastAsia" w:hAnsiTheme="minorEastAsia" w:eastAsiaTheme="minorEastAsia" w:cstheme="minorEastAsia"/>
                <w:lang w:eastAsia="zh-CN"/>
              </w:rPr>
              <w:t>性</w:t>
            </w:r>
            <w:r>
              <w:rPr>
                <w:rFonts w:hint="eastAsia" w:asciiTheme="minorEastAsia" w:hAnsiTheme="minorEastAsia" w:eastAsiaTheme="minorEastAsia" w:cstheme="minorEastAsia"/>
              </w:rPr>
              <w:t>评估</w:t>
            </w:r>
            <w:r>
              <w:rPr>
                <w:rFonts w:hint="eastAsia" w:asciiTheme="minorEastAsia" w:hAnsiTheme="minorEastAsia" w:eastAsiaTheme="minorEastAsia" w:cstheme="minorEastAsia"/>
                <w:lang w:eastAsia="zh-CN"/>
              </w:rPr>
              <w:t>、测绘乙级（含）</w:t>
            </w:r>
            <w:r>
              <w:rPr>
                <w:rFonts w:hint="eastAsia" w:asciiTheme="minorEastAsia" w:hAnsiTheme="minorEastAsia" w:eastAsiaTheme="minorEastAsia" w:cstheme="minorEastAsia"/>
              </w:rPr>
              <w:t>以上资质</w:t>
            </w:r>
            <w:r>
              <w:rPr>
                <w:rFonts w:hint="eastAsia" w:ascii="宋体" w:hAnsi="宋体" w:eastAsia="宋体" w:cs="宋体"/>
                <w:spacing w:val="9"/>
                <w:sz w:val="24"/>
                <w:lang w:eastAsia="zh-CN"/>
              </w:rPr>
              <w:t>（</w:t>
            </w:r>
            <w:r>
              <w:rPr>
                <w:rFonts w:hint="eastAsia" w:ascii="宋体" w:hAnsi="宋体" w:eastAsia="宋体" w:cs="宋体"/>
                <w:spacing w:val="9"/>
                <w:sz w:val="24"/>
              </w:rPr>
              <w:t>供应商须</w:t>
            </w:r>
            <w:r>
              <w:rPr>
                <w:rFonts w:hint="eastAsia" w:ascii="宋体" w:hAnsi="宋体" w:eastAsia="宋体" w:cs="宋体"/>
                <w:spacing w:val="9"/>
                <w:sz w:val="24"/>
                <w:lang w:eastAsia="zh-CN"/>
              </w:rPr>
              <w:t>提供相关</w:t>
            </w:r>
            <w:r>
              <w:rPr>
                <w:rFonts w:hint="eastAsia" w:ascii="宋体" w:hAnsi="宋体" w:eastAsia="宋体" w:cs="宋体"/>
                <w:spacing w:val="9"/>
                <w:sz w:val="24"/>
              </w:rPr>
              <w:t>资质</w:t>
            </w:r>
            <w:r>
              <w:rPr>
                <w:rFonts w:hint="eastAsia" w:ascii="宋体" w:hAnsi="宋体" w:eastAsia="宋体" w:cs="宋体"/>
                <w:spacing w:val="9"/>
                <w:sz w:val="24"/>
                <w:lang w:eastAsia="zh-CN"/>
              </w:rPr>
              <w:t>证书</w:t>
            </w:r>
            <w:r>
              <w:rPr>
                <w:rFonts w:hint="eastAsia" w:ascii="宋体" w:hAnsi="宋体" w:eastAsia="宋体" w:cs="宋体"/>
                <w:spacing w:val="9"/>
                <w:sz w:val="24"/>
              </w:rPr>
              <w:t>，复印件加盖公章）</w:t>
            </w:r>
            <w:r>
              <w:rPr>
                <w:rFonts w:hint="eastAsia" w:ascii="宋体" w:hAnsi="宋体" w:eastAsia="宋体" w:cs="宋体"/>
                <w:spacing w:val="9"/>
                <w:sz w:val="24"/>
                <w:lang w:eastAsia="zh-CN"/>
              </w:rPr>
              <w:t>。</w:t>
            </w:r>
          </w:p>
        </w:tc>
        <w:tc>
          <w:tcPr>
            <w:tcW w:w="992" w:type="dxa"/>
          </w:tcPr>
          <w:p>
            <w:pPr>
              <w:pStyle w:val="29"/>
              <w:rPr>
                <w:b/>
                <w:sz w:val="24"/>
              </w:rPr>
            </w:pPr>
          </w:p>
          <w:p>
            <w:pPr>
              <w:pStyle w:val="29"/>
              <w:rPr>
                <w:b/>
                <w:sz w:val="24"/>
              </w:rPr>
            </w:pPr>
          </w:p>
          <w:p>
            <w:pPr>
              <w:pStyle w:val="29"/>
              <w:spacing w:before="162"/>
              <w:ind w:left="123"/>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11" w:type="dxa"/>
          </w:tcPr>
          <w:p>
            <w:pPr>
              <w:pStyle w:val="29"/>
              <w:rPr>
                <w:b/>
                <w:sz w:val="24"/>
              </w:rPr>
            </w:pPr>
          </w:p>
          <w:p>
            <w:pPr>
              <w:pStyle w:val="29"/>
              <w:spacing w:before="160"/>
              <w:ind w:left="148" w:right="19"/>
              <w:jc w:val="center"/>
              <w:rPr>
                <w:rFonts w:hint="eastAsia" w:eastAsia="宋体"/>
                <w:sz w:val="24"/>
                <w:lang w:eastAsia="zh-CN"/>
              </w:rPr>
            </w:pPr>
            <w:r>
              <w:rPr>
                <w:rFonts w:hint="eastAsia"/>
                <w:sz w:val="24"/>
                <w:lang w:val="en-US" w:eastAsia="zh-CN"/>
              </w:rPr>
              <w:t>2</w:t>
            </w:r>
          </w:p>
        </w:tc>
        <w:tc>
          <w:tcPr>
            <w:tcW w:w="1678" w:type="dxa"/>
          </w:tcPr>
          <w:p>
            <w:pPr>
              <w:pStyle w:val="29"/>
              <w:rPr>
                <w:b/>
                <w:sz w:val="24"/>
              </w:rPr>
            </w:pPr>
          </w:p>
          <w:p>
            <w:pPr>
              <w:pStyle w:val="29"/>
              <w:spacing w:before="160"/>
              <w:ind w:left="34" w:right="28"/>
              <w:jc w:val="center"/>
              <w:rPr>
                <w:sz w:val="24"/>
              </w:rPr>
            </w:pPr>
            <w:r>
              <w:rPr>
                <w:sz w:val="24"/>
              </w:rPr>
              <w:t>财务要求</w:t>
            </w:r>
          </w:p>
        </w:tc>
        <w:tc>
          <w:tcPr>
            <w:tcW w:w="6948" w:type="dxa"/>
            <w:vAlign w:val="center"/>
          </w:tcPr>
          <w:p>
            <w:pPr>
              <w:pStyle w:val="29"/>
              <w:spacing w:before="4" w:line="292" w:lineRule="exact"/>
              <w:ind w:left="107"/>
              <w:rPr>
                <w:rFonts w:hint="eastAsia" w:eastAsia="宋体"/>
                <w:sz w:val="24"/>
                <w:lang w:eastAsia="zh-CN"/>
              </w:rPr>
            </w:pPr>
            <w:r>
              <w:rPr>
                <w:rFonts w:ascii="宋体" w:hAnsi="宋体" w:eastAsia="宋体" w:cs="宋体"/>
                <w:sz w:val="24"/>
              </w:rPr>
              <w:t>是否提供</w:t>
            </w:r>
            <w:r>
              <w:rPr>
                <w:rFonts w:hint="eastAsia" w:ascii="宋体" w:hAnsi="宋体" w:eastAsia="宋体" w:cs="宋体"/>
                <w:sz w:val="24"/>
              </w:rPr>
              <w:t>202</w:t>
            </w:r>
            <w:r>
              <w:rPr>
                <w:rFonts w:hint="eastAsia" w:cs="宋体"/>
                <w:sz w:val="24"/>
                <w:lang w:val="en-US" w:eastAsia="zh-CN"/>
              </w:rPr>
              <w:t>1</w:t>
            </w:r>
            <w:r>
              <w:rPr>
                <w:rFonts w:hint="eastAsia" w:ascii="宋体" w:hAnsi="宋体" w:eastAsia="宋体" w:cs="宋体"/>
                <w:sz w:val="24"/>
              </w:rPr>
              <w:t>年至今任意1个月的企业财务报表（资产负债表、利润表、现金流量表）或20</w:t>
            </w:r>
            <w:r>
              <w:rPr>
                <w:rFonts w:hint="eastAsia" w:cs="宋体"/>
                <w:sz w:val="24"/>
                <w:lang w:val="en-US" w:eastAsia="zh-CN"/>
              </w:rPr>
              <w:t>20</w:t>
            </w:r>
            <w:r>
              <w:rPr>
                <w:rFonts w:hint="eastAsia" w:ascii="宋体" w:hAnsi="宋体" w:eastAsia="宋体" w:cs="宋体"/>
                <w:sz w:val="24"/>
              </w:rPr>
              <w:t>年度财务审计报告</w:t>
            </w:r>
            <w:r>
              <w:rPr>
                <w:rFonts w:ascii="宋体" w:hAnsi="宋体" w:eastAsia="宋体" w:cs="宋体"/>
                <w:sz w:val="24"/>
              </w:rPr>
              <w:t>，</w:t>
            </w:r>
            <w:r>
              <w:rPr>
                <w:spacing w:val="-1"/>
                <w:sz w:val="24"/>
              </w:rPr>
              <w:t>供应商成立时</w:t>
            </w:r>
            <w:r>
              <w:rPr>
                <w:sz w:val="24"/>
              </w:rPr>
              <w:t>间不足一年的，按实际成立日期至今提供所有财务报表</w:t>
            </w:r>
            <w:r>
              <w:rPr>
                <w:rFonts w:hint="eastAsia"/>
                <w:sz w:val="24"/>
                <w:lang w:eastAsia="zh-CN"/>
              </w:rPr>
              <w:t>，</w:t>
            </w:r>
            <w:r>
              <w:rPr>
                <w:rFonts w:ascii="宋体" w:hAnsi="宋体" w:eastAsia="宋体" w:cs="宋体"/>
                <w:sz w:val="24"/>
              </w:rPr>
              <w:t>复印件</w:t>
            </w:r>
            <w:r>
              <w:rPr>
                <w:sz w:val="24"/>
              </w:rPr>
              <w:t>并加盖公章</w:t>
            </w:r>
            <w:r>
              <w:rPr>
                <w:rFonts w:hint="eastAsia"/>
                <w:sz w:val="24"/>
                <w:lang w:eastAsia="zh-CN"/>
              </w:rPr>
              <w:t>。</w:t>
            </w:r>
          </w:p>
        </w:tc>
        <w:tc>
          <w:tcPr>
            <w:tcW w:w="992" w:type="dxa"/>
          </w:tcPr>
          <w:p>
            <w:pPr>
              <w:pStyle w:val="29"/>
              <w:rPr>
                <w:b/>
                <w:sz w:val="24"/>
              </w:rPr>
            </w:pPr>
          </w:p>
          <w:p>
            <w:pPr>
              <w:pStyle w:val="29"/>
              <w:spacing w:before="160"/>
              <w:ind w:left="123"/>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11" w:type="dxa"/>
          </w:tcPr>
          <w:p>
            <w:pPr>
              <w:pStyle w:val="29"/>
              <w:spacing w:before="156"/>
              <w:ind w:left="148" w:right="19"/>
              <w:jc w:val="center"/>
              <w:rPr>
                <w:rFonts w:hint="eastAsia" w:eastAsia="宋体"/>
                <w:sz w:val="24"/>
                <w:lang w:eastAsia="zh-CN"/>
              </w:rPr>
            </w:pPr>
            <w:r>
              <w:rPr>
                <w:rFonts w:hint="eastAsia"/>
                <w:sz w:val="24"/>
                <w:lang w:val="en-US" w:eastAsia="zh-CN"/>
              </w:rPr>
              <w:t>3</w:t>
            </w:r>
          </w:p>
        </w:tc>
        <w:tc>
          <w:tcPr>
            <w:tcW w:w="1678" w:type="dxa"/>
          </w:tcPr>
          <w:p>
            <w:pPr>
              <w:pStyle w:val="29"/>
              <w:spacing w:before="156"/>
              <w:ind w:left="154" w:right="28"/>
              <w:jc w:val="center"/>
              <w:rPr>
                <w:sz w:val="24"/>
              </w:rPr>
            </w:pPr>
            <w:r>
              <w:rPr>
                <w:sz w:val="24"/>
              </w:rPr>
              <w:t xml:space="preserve">承诺函 </w:t>
            </w:r>
          </w:p>
        </w:tc>
        <w:tc>
          <w:tcPr>
            <w:tcW w:w="6948" w:type="dxa"/>
            <w:vAlign w:val="center"/>
          </w:tcPr>
          <w:p>
            <w:pPr>
              <w:pStyle w:val="29"/>
              <w:spacing w:before="4" w:line="292" w:lineRule="exact"/>
              <w:ind w:left="107"/>
              <w:rPr>
                <w:rFonts w:hint="eastAsia" w:eastAsia="宋体"/>
                <w:sz w:val="24"/>
                <w:lang w:eastAsia="zh-CN"/>
              </w:rPr>
            </w:pPr>
            <w:r>
              <w:rPr>
                <w:sz w:val="24"/>
              </w:rPr>
              <w:t>是否提供具有履行合同必需的设备和专业技术能力</w:t>
            </w:r>
            <w:r>
              <w:rPr>
                <w:rFonts w:hint="eastAsia"/>
                <w:sz w:val="24"/>
                <w:lang w:eastAsia="zh-CN"/>
              </w:rPr>
              <w:t>。</w:t>
            </w:r>
          </w:p>
        </w:tc>
        <w:tc>
          <w:tcPr>
            <w:tcW w:w="992" w:type="dxa"/>
          </w:tcPr>
          <w:p>
            <w:pPr>
              <w:pStyle w:val="29"/>
              <w:spacing w:before="156"/>
              <w:ind w:left="123"/>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711" w:type="dxa"/>
          </w:tcPr>
          <w:p>
            <w:pPr>
              <w:pStyle w:val="29"/>
              <w:spacing w:before="168"/>
              <w:ind w:left="148" w:right="19"/>
              <w:jc w:val="center"/>
              <w:rPr>
                <w:rFonts w:hint="eastAsia" w:eastAsia="宋体"/>
                <w:sz w:val="24"/>
                <w:lang w:eastAsia="zh-CN"/>
              </w:rPr>
            </w:pPr>
            <w:r>
              <w:rPr>
                <w:rFonts w:hint="eastAsia"/>
                <w:sz w:val="24"/>
                <w:lang w:val="en-US" w:eastAsia="zh-CN"/>
              </w:rPr>
              <w:t>4</w:t>
            </w:r>
          </w:p>
        </w:tc>
        <w:tc>
          <w:tcPr>
            <w:tcW w:w="1678" w:type="dxa"/>
          </w:tcPr>
          <w:p>
            <w:pPr>
              <w:pStyle w:val="29"/>
              <w:spacing w:before="9" w:line="310" w:lineRule="atLeast"/>
              <w:ind w:left="237" w:right="108" w:hanging="120"/>
              <w:rPr>
                <w:sz w:val="24"/>
              </w:rPr>
            </w:pPr>
            <w:r>
              <w:rPr>
                <w:sz w:val="24"/>
              </w:rPr>
              <w:t>税收及社会保障资金要求</w:t>
            </w:r>
          </w:p>
        </w:tc>
        <w:tc>
          <w:tcPr>
            <w:tcW w:w="6948" w:type="dxa"/>
            <w:vAlign w:val="center"/>
          </w:tcPr>
          <w:p>
            <w:pPr>
              <w:pStyle w:val="29"/>
              <w:spacing w:before="9" w:line="310" w:lineRule="atLeast"/>
              <w:ind w:left="107" w:right="96"/>
              <w:rPr>
                <w:rFonts w:hint="eastAsia" w:eastAsia="宋体"/>
                <w:sz w:val="24"/>
                <w:lang w:eastAsia="zh-CN"/>
              </w:rPr>
            </w:pPr>
            <w:r>
              <w:rPr>
                <w:spacing w:val="10"/>
                <w:sz w:val="24"/>
              </w:rPr>
              <w:t>是否提</w:t>
            </w:r>
            <w:r>
              <w:rPr>
                <w:rFonts w:ascii="宋体" w:hAnsi="宋体" w:eastAsia="宋体" w:cs="宋体"/>
                <w:sz w:val="24"/>
              </w:rPr>
              <w:t>供</w:t>
            </w:r>
            <w:r>
              <w:rPr>
                <w:rFonts w:hint="eastAsia" w:ascii="宋体" w:hAnsi="宋体" w:eastAsia="宋体" w:cs="宋体"/>
                <w:sz w:val="24"/>
              </w:rPr>
              <w:t>202</w:t>
            </w:r>
            <w:r>
              <w:rPr>
                <w:rFonts w:hint="eastAsia" w:cs="宋体"/>
                <w:sz w:val="24"/>
                <w:lang w:val="en-US" w:eastAsia="zh-CN"/>
              </w:rPr>
              <w:t>1</w:t>
            </w:r>
            <w:r>
              <w:rPr>
                <w:rFonts w:hint="eastAsia" w:ascii="宋体" w:hAnsi="宋体" w:eastAsia="宋体" w:cs="宋体"/>
                <w:sz w:val="24"/>
              </w:rPr>
              <w:t>年</w:t>
            </w:r>
            <w:r>
              <w:rPr>
                <w:rFonts w:hint="eastAsia" w:ascii="宋体" w:hAnsi="宋体" w:eastAsia="宋体" w:cs="宋体"/>
                <w:sz w:val="24"/>
                <w:lang w:eastAsia="zh-CN"/>
              </w:rPr>
              <w:t>至今</w:t>
            </w:r>
            <w:r>
              <w:rPr>
                <w:rFonts w:hint="eastAsia" w:ascii="宋体" w:hAnsi="宋体" w:eastAsia="宋体" w:cs="宋体"/>
                <w:sz w:val="24"/>
              </w:rPr>
              <w:t>任意1个月的纳税证明及社会保障金缴纳证明，</w:t>
            </w:r>
            <w:r>
              <w:rPr>
                <w:rFonts w:ascii="宋体" w:hAnsi="宋体" w:eastAsia="宋体" w:cs="宋体"/>
                <w:sz w:val="24"/>
              </w:rPr>
              <w:t>复印件</w:t>
            </w:r>
            <w:r>
              <w:rPr>
                <w:sz w:val="24"/>
              </w:rPr>
              <w:t>并加盖公章</w:t>
            </w:r>
            <w:r>
              <w:rPr>
                <w:rFonts w:hint="eastAsia"/>
                <w:sz w:val="24"/>
                <w:lang w:eastAsia="zh-CN"/>
              </w:rPr>
              <w:t>。</w:t>
            </w:r>
          </w:p>
        </w:tc>
        <w:tc>
          <w:tcPr>
            <w:tcW w:w="992" w:type="dxa"/>
          </w:tcPr>
          <w:p>
            <w:pPr>
              <w:pStyle w:val="29"/>
              <w:spacing w:before="168"/>
              <w:ind w:left="123"/>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711" w:type="dxa"/>
          </w:tcPr>
          <w:p>
            <w:pPr>
              <w:pStyle w:val="29"/>
              <w:spacing w:before="4"/>
              <w:rPr>
                <w:b/>
                <w:sz w:val="30"/>
              </w:rPr>
            </w:pPr>
          </w:p>
          <w:p>
            <w:pPr>
              <w:pStyle w:val="29"/>
              <w:ind w:left="148" w:right="19"/>
              <w:jc w:val="center"/>
              <w:rPr>
                <w:rFonts w:hint="eastAsia" w:eastAsia="宋体"/>
                <w:sz w:val="24"/>
                <w:lang w:eastAsia="zh-CN"/>
              </w:rPr>
            </w:pPr>
            <w:r>
              <w:rPr>
                <w:rFonts w:hint="eastAsia"/>
                <w:sz w:val="24"/>
                <w:lang w:val="en-US" w:eastAsia="zh-CN"/>
              </w:rPr>
              <w:t>5</w:t>
            </w:r>
          </w:p>
        </w:tc>
        <w:tc>
          <w:tcPr>
            <w:tcW w:w="1678" w:type="dxa"/>
          </w:tcPr>
          <w:p>
            <w:pPr>
              <w:pStyle w:val="29"/>
              <w:spacing w:before="2"/>
              <w:rPr>
                <w:b/>
                <w:sz w:val="18"/>
              </w:rPr>
            </w:pPr>
          </w:p>
          <w:p>
            <w:pPr>
              <w:pStyle w:val="29"/>
              <w:spacing w:line="242" w:lineRule="auto"/>
              <w:ind w:left="477" w:right="108" w:hanging="360"/>
              <w:rPr>
                <w:sz w:val="24"/>
              </w:rPr>
            </w:pPr>
            <w:r>
              <w:rPr>
                <w:sz w:val="24"/>
              </w:rPr>
              <w:t xml:space="preserve">重大违法记录声明函 </w:t>
            </w:r>
          </w:p>
        </w:tc>
        <w:tc>
          <w:tcPr>
            <w:tcW w:w="6948" w:type="dxa"/>
            <w:vAlign w:val="center"/>
          </w:tcPr>
          <w:p>
            <w:pPr>
              <w:pStyle w:val="29"/>
              <w:spacing w:before="156"/>
              <w:ind w:left="107"/>
              <w:rPr>
                <w:sz w:val="24"/>
              </w:rPr>
            </w:pPr>
            <w:r>
              <w:rPr>
                <w:sz w:val="24"/>
              </w:rPr>
              <w:t>是否提供参加政府采购活动前三年内（成立不足三年的从成立之</w:t>
            </w:r>
          </w:p>
          <w:p>
            <w:pPr>
              <w:pStyle w:val="29"/>
              <w:spacing w:before="2" w:line="310" w:lineRule="atLeast"/>
              <w:ind w:left="107" w:right="99"/>
              <w:rPr>
                <w:rFonts w:hint="eastAsia" w:eastAsia="宋体"/>
                <w:sz w:val="24"/>
                <w:lang w:eastAsia="zh-CN"/>
              </w:rPr>
            </w:pPr>
            <w:r>
              <w:rPr>
                <w:sz w:val="24"/>
              </w:rPr>
              <w:t>日起算</w:t>
            </w:r>
            <w:r>
              <w:rPr>
                <w:spacing w:val="-88"/>
                <w:sz w:val="24"/>
              </w:rPr>
              <w:t>）</w:t>
            </w:r>
            <w:r>
              <w:rPr>
                <w:spacing w:val="-13"/>
                <w:sz w:val="24"/>
              </w:rPr>
              <w:t>，在经营活动中没有重大违法记录的声明函</w:t>
            </w:r>
            <w:r>
              <w:rPr>
                <w:rFonts w:hint="eastAsia"/>
                <w:sz w:val="24"/>
                <w:lang w:eastAsia="zh-CN"/>
              </w:rPr>
              <w:t>。</w:t>
            </w:r>
          </w:p>
        </w:tc>
        <w:tc>
          <w:tcPr>
            <w:tcW w:w="992" w:type="dxa"/>
          </w:tcPr>
          <w:p>
            <w:pPr>
              <w:pStyle w:val="29"/>
              <w:spacing w:before="4"/>
              <w:rPr>
                <w:b/>
                <w:sz w:val="30"/>
              </w:rPr>
            </w:pPr>
          </w:p>
          <w:p>
            <w:pPr>
              <w:pStyle w:val="29"/>
              <w:ind w:left="123"/>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3" w:hRule="atLeast"/>
        </w:trPr>
        <w:tc>
          <w:tcPr>
            <w:tcW w:w="711" w:type="dxa"/>
          </w:tcPr>
          <w:p>
            <w:pPr>
              <w:pStyle w:val="29"/>
              <w:rPr>
                <w:b/>
                <w:sz w:val="24"/>
              </w:rPr>
            </w:pPr>
          </w:p>
          <w:p>
            <w:pPr>
              <w:pStyle w:val="29"/>
              <w:spacing w:before="8"/>
              <w:rPr>
                <w:b/>
                <w:sz w:val="30"/>
              </w:rPr>
            </w:pPr>
          </w:p>
          <w:p>
            <w:pPr>
              <w:pStyle w:val="29"/>
              <w:ind w:left="148" w:right="19"/>
              <w:jc w:val="center"/>
              <w:rPr>
                <w:rFonts w:hint="eastAsia" w:eastAsia="宋体"/>
                <w:sz w:val="24"/>
                <w:lang w:eastAsia="zh-CN"/>
              </w:rPr>
            </w:pPr>
            <w:r>
              <w:rPr>
                <w:rFonts w:hint="eastAsia"/>
                <w:sz w:val="24"/>
                <w:lang w:val="en-US" w:eastAsia="zh-CN"/>
              </w:rPr>
              <w:t>6</w:t>
            </w:r>
          </w:p>
        </w:tc>
        <w:tc>
          <w:tcPr>
            <w:tcW w:w="1678" w:type="dxa"/>
          </w:tcPr>
          <w:p>
            <w:pPr>
              <w:pStyle w:val="29"/>
              <w:rPr>
                <w:b/>
                <w:sz w:val="24"/>
              </w:rPr>
            </w:pPr>
          </w:p>
          <w:p>
            <w:pPr>
              <w:pStyle w:val="29"/>
              <w:spacing w:before="8"/>
              <w:rPr>
                <w:b/>
                <w:sz w:val="30"/>
              </w:rPr>
            </w:pPr>
          </w:p>
          <w:p>
            <w:pPr>
              <w:pStyle w:val="29"/>
              <w:ind w:left="160" w:right="28"/>
              <w:jc w:val="center"/>
              <w:rPr>
                <w:sz w:val="24"/>
              </w:rPr>
            </w:pPr>
            <w:r>
              <w:rPr>
                <w:sz w:val="24"/>
              </w:rPr>
              <w:t xml:space="preserve">网页查询截图 </w:t>
            </w:r>
          </w:p>
        </w:tc>
        <w:tc>
          <w:tcPr>
            <w:tcW w:w="6948" w:type="dxa"/>
            <w:vAlign w:val="center"/>
          </w:tcPr>
          <w:p>
            <w:pPr>
              <w:pStyle w:val="29"/>
              <w:spacing w:before="156" w:line="242" w:lineRule="auto"/>
              <w:ind w:left="107" w:right="-29"/>
              <w:rPr>
                <w:rFonts w:hint="eastAsia" w:eastAsia="宋体"/>
                <w:sz w:val="24"/>
                <w:lang w:eastAsia="zh-CN"/>
              </w:rPr>
            </w:pPr>
            <w:r>
              <w:rPr>
                <w:spacing w:val="-20"/>
                <w:sz w:val="24"/>
              </w:rPr>
              <w:t xml:space="preserve">是否提供未被列入“信用中国” 网站( </w:t>
            </w:r>
            <w:r>
              <w:rPr>
                <w:sz w:val="24"/>
              </w:rPr>
              <w:t>www.creditchina.gov.cn) 失信被执行人、重大税收违法案件当事人名单、政府采购严重违</w:t>
            </w:r>
            <w:r>
              <w:rPr>
                <w:spacing w:val="-8"/>
                <w:sz w:val="24"/>
              </w:rPr>
              <w:t xml:space="preserve">法失信行为记录名单和“中国政府采购网” ( </w:t>
            </w:r>
            <w:r>
              <w:rPr>
                <w:sz w:val="24"/>
              </w:rPr>
              <w:t>www.ccgp.gov.cn) 政府采购严重违法失信行为记录名单的响应人网页查询截图盖章</w:t>
            </w:r>
            <w:r>
              <w:rPr>
                <w:rFonts w:hint="eastAsia"/>
                <w:sz w:val="24"/>
                <w:lang w:eastAsia="zh-CN"/>
              </w:rPr>
              <w:t>。</w:t>
            </w:r>
          </w:p>
        </w:tc>
        <w:tc>
          <w:tcPr>
            <w:tcW w:w="992" w:type="dxa"/>
          </w:tcPr>
          <w:p>
            <w:pPr>
              <w:pStyle w:val="29"/>
              <w:rPr>
                <w:b/>
                <w:sz w:val="24"/>
              </w:rPr>
            </w:pPr>
          </w:p>
          <w:p>
            <w:pPr>
              <w:pStyle w:val="29"/>
              <w:spacing w:before="8"/>
              <w:rPr>
                <w:b/>
                <w:sz w:val="30"/>
              </w:rPr>
            </w:pPr>
          </w:p>
          <w:p>
            <w:pPr>
              <w:pStyle w:val="29"/>
              <w:ind w:left="123"/>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11" w:type="dxa"/>
          </w:tcPr>
          <w:p>
            <w:pPr>
              <w:pStyle w:val="29"/>
              <w:spacing w:before="76"/>
              <w:ind w:left="148" w:right="19"/>
              <w:jc w:val="center"/>
              <w:rPr>
                <w:rFonts w:hint="eastAsia" w:eastAsia="宋体"/>
                <w:sz w:val="24"/>
                <w:lang w:eastAsia="zh-CN"/>
              </w:rPr>
            </w:pPr>
            <w:r>
              <w:rPr>
                <w:rFonts w:hint="eastAsia"/>
                <w:sz w:val="24"/>
                <w:lang w:val="en-US" w:eastAsia="zh-CN"/>
              </w:rPr>
              <w:t>7</w:t>
            </w:r>
          </w:p>
        </w:tc>
        <w:tc>
          <w:tcPr>
            <w:tcW w:w="1678" w:type="dxa"/>
          </w:tcPr>
          <w:p>
            <w:pPr>
              <w:pStyle w:val="29"/>
              <w:spacing w:before="76"/>
              <w:ind w:left="154" w:right="28"/>
              <w:jc w:val="center"/>
              <w:rPr>
                <w:sz w:val="24"/>
              </w:rPr>
            </w:pPr>
            <w:r>
              <w:rPr>
                <w:rFonts w:hint="eastAsia" w:asciiTheme="minorEastAsia" w:hAnsiTheme="minorEastAsia" w:eastAsiaTheme="minorEastAsia" w:cstheme="minorEastAsia"/>
                <w:sz w:val="24"/>
                <w:szCs w:val="32"/>
                <w:lang w:val="en-US" w:eastAsia="zh-CN"/>
              </w:rPr>
              <w:t>在海南省有办公场所</w:t>
            </w:r>
            <w:r>
              <w:rPr>
                <w:sz w:val="24"/>
              </w:rPr>
              <w:t xml:space="preserve"> </w:t>
            </w:r>
          </w:p>
        </w:tc>
        <w:tc>
          <w:tcPr>
            <w:tcW w:w="6948" w:type="dxa"/>
            <w:vAlign w:val="center"/>
          </w:tcPr>
          <w:p>
            <w:pPr>
              <w:pStyle w:val="29"/>
              <w:spacing w:before="155" w:line="292" w:lineRule="exact"/>
              <w:ind w:left="107"/>
              <w:rPr>
                <w:sz w:val="24"/>
              </w:rPr>
            </w:pPr>
            <w:r>
              <w:rPr>
                <w:rFonts w:hint="eastAsia" w:asciiTheme="minorEastAsia" w:hAnsiTheme="minorEastAsia" w:eastAsiaTheme="minorEastAsia" w:cstheme="minorEastAsia"/>
                <w:sz w:val="24"/>
                <w:szCs w:val="32"/>
                <w:lang w:val="en-US" w:eastAsia="zh-CN"/>
              </w:rPr>
              <w:t>是否</w:t>
            </w:r>
            <w:r>
              <w:rPr>
                <w:rFonts w:hint="eastAsia" w:asciiTheme="minorEastAsia" w:hAnsiTheme="minorEastAsia" w:eastAsiaTheme="minorEastAsia" w:cstheme="minorEastAsia"/>
                <w:b w:val="0"/>
                <w:bCs w:val="0"/>
                <w:sz w:val="24"/>
                <w:szCs w:val="24"/>
                <w:lang w:val="en-US" w:eastAsia="zh-CN" w:bidi="zh-CN"/>
              </w:rPr>
              <w:t>提供营业执照或办公场地的产权证明或租赁合同</w:t>
            </w:r>
            <w:r>
              <w:rPr>
                <w:rFonts w:hint="eastAsia" w:asciiTheme="minorEastAsia" w:hAnsiTheme="minorEastAsia" w:eastAsiaTheme="minorEastAsia" w:cstheme="minorEastAsia"/>
                <w:b w:val="0"/>
                <w:bCs w:val="0"/>
                <w:sz w:val="24"/>
                <w:szCs w:val="24"/>
                <w:lang w:val="zh-CN" w:eastAsia="zh-CN" w:bidi="zh-CN"/>
              </w:rPr>
              <w:t>复印件加盖公章</w:t>
            </w:r>
          </w:p>
        </w:tc>
        <w:tc>
          <w:tcPr>
            <w:tcW w:w="992" w:type="dxa"/>
          </w:tcPr>
          <w:p>
            <w:pPr>
              <w:pStyle w:val="29"/>
              <w:spacing w:before="76"/>
              <w:ind w:left="123"/>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711" w:type="dxa"/>
          </w:tcPr>
          <w:p>
            <w:pPr>
              <w:pStyle w:val="29"/>
              <w:spacing w:before="81"/>
              <w:ind w:left="148" w:right="19"/>
              <w:jc w:val="center"/>
              <w:rPr>
                <w:rFonts w:hint="eastAsia" w:eastAsia="宋体"/>
                <w:sz w:val="24"/>
                <w:lang w:eastAsia="zh-CN"/>
              </w:rPr>
            </w:pPr>
            <w:r>
              <w:rPr>
                <w:rFonts w:hint="eastAsia"/>
                <w:sz w:val="24"/>
                <w:lang w:val="en-US" w:eastAsia="zh-CN"/>
              </w:rPr>
              <w:t>8</w:t>
            </w:r>
          </w:p>
        </w:tc>
        <w:tc>
          <w:tcPr>
            <w:tcW w:w="1678" w:type="dxa"/>
          </w:tcPr>
          <w:p>
            <w:pPr>
              <w:pStyle w:val="29"/>
              <w:spacing w:before="81"/>
              <w:ind w:left="154" w:right="28"/>
              <w:jc w:val="center"/>
              <w:rPr>
                <w:sz w:val="24"/>
              </w:rPr>
            </w:pPr>
            <w:r>
              <w:rPr>
                <w:sz w:val="24"/>
              </w:rPr>
              <w:t xml:space="preserve">其他 </w:t>
            </w:r>
          </w:p>
        </w:tc>
        <w:tc>
          <w:tcPr>
            <w:tcW w:w="6948" w:type="dxa"/>
            <w:vAlign w:val="center"/>
          </w:tcPr>
          <w:p>
            <w:pPr>
              <w:pStyle w:val="29"/>
              <w:spacing w:before="158" w:line="297" w:lineRule="exact"/>
              <w:ind w:left="107"/>
              <w:rPr>
                <w:sz w:val="24"/>
              </w:rPr>
            </w:pPr>
            <w:r>
              <w:rPr>
                <w:sz w:val="24"/>
              </w:rPr>
              <w:t xml:space="preserve">是否有其它无效响应法律、行政法规规定的认定的条件 </w:t>
            </w:r>
          </w:p>
        </w:tc>
        <w:tc>
          <w:tcPr>
            <w:tcW w:w="992" w:type="dxa"/>
          </w:tcPr>
          <w:p>
            <w:pPr>
              <w:pStyle w:val="29"/>
              <w:spacing w:before="81"/>
              <w:ind w:left="123"/>
              <w:jc w:val="center"/>
              <w:rPr>
                <w:sz w:val="24"/>
              </w:rPr>
            </w:pPr>
            <w:r>
              <w:rPr>
                <w:sz w:val="24"/>
              </w:rPr>
              <w:t xml:space="preserve"> </w:t>
            </w:r>
          </w:p>
        </w:tc>
      </w:tr>
    </w:tbl>
    <w:p>
      <w:pPr>
        <w:pStyle w:val="11"/>
        <w:keepNext w:val="0"/>
        <w:keepLines w:val="0"/>
        <w:pageBreakBefore w:val="0"/>
        <w:widowControl w:val="0"/>
        <w:kinsoku/>
        <w:wordWrap/>
        <w:overflowPunct/>
        <w:topLinePunct w:val="0"/>
        <w:autoSpaceDE w:val="0"/>
        <w:autoSpaceDN w:val="0"/>
        <w:bidi w:val="0"/>
        <w:adjustRightInd/>
        <w:snapToGrid/>
        <w:spacing w:line="360" w:lineRule="auto"/>
        <w:ind w:left="454"/>
        <w:textAlignment w:val="auto"/>
      </w:pPr>
      <w:r>
        <w:t xml:space="preserve">备注： </w:t>
      </w:r>
    </w:p>
    <w:p>
      <w:pPr>
        <w:pStyle w:val="11"/>
        <w:keepNext w:val="0"/>
        <w:keepLines w:val="0"/>
        <w:pageBreakBefore w:val="0"/>
        <w:widowControl w:val="0"/>
        <w:kinsoku/>
        <w:wordWrap/>
        <w:overflowPunct/>
        <w:topLinePunct w:val="0"/>
        <w:autoSpaceDE w:val="0"/>
        <w:autoSpaceDN w:val="0"/>
        <w:bidi w:val="0"/>
        <w:adjustRightInd/>
        <w:snapToGrid/>
        <w:spacing w:before="5" w:line="360" w:lineRule="auto"/>
        <w:ind w:left="454"/>
        <w:textAlignment w:val="auto"/>
      </w:pPr>
      <w:r>
        <w:t xml:space="preserve">1、由采购人或代理机构根据“资格性审查表”对投标文件的资格性进行评审。 </w:t>
      </w:r>
    </w:p>
    <w:p>
      <w:pPr>
        <w:pStyle w:val="11"/>
        <w:keepNext w:val="0"/>
        <w:keepLines w:val="0"/>
        <w:pageBreakBefore w:val="0"/>
        <w:widowControl w:val="0"/>
        <w:kinsoku/>
        <w:wordWrap/>
        <w:overflowPunct/>
        <w:topLinePunct w:val="0"/>
        <w:autoSpaceDE w:val="0"/>
        <w:autoSpaceDN w:val="0"/>
        <w:bidi w:val="0"/>
        <w:adjustRightInd/>
        <w:snapToGrid/>
        <w:spacing w:before="4" w:line="360" w:lineRule="auto"/>
        <w:ind w:left="454"/>
        <w:textAlignment w:val="auto"/>
      </w:pPr>
      <w:r>
        <w:t xml:space="preserve">2、在表中的各项只需填写“√/通过”或“×/不通过”。 </w:t>
      </w:r>
    </w:p>
    <w:p>
      <w:pPr>
        <w:pStyle w:val="11"/>
        <w:keepNext w:val="0"/>
        <w:keepLines w:val="0"/>
        <w:pageBreakBefore w:val="0"/>
        <w:widowControl w:val="0"/>
        <w:kinsoku/>
        <w:wordWrap/>
        <w:overflowPunct/>
        <w:topLinePunct w:val="0"/>
        <w:autoSpaceDE w:val="0"/>
        <w:autoSpaceDN w:val="0"/>
        <w:bidi w:val="0"/>
        <w:adjustRightInd/>
        <w:snapToGrid/>
        <w:spacing w:before="5" w:line="360" w:lineRule="auto"/>
        <w:ind w:left="454" w:right="529"/>
        <w:textAlignment w:val="auto"/>
      </w:pPr>
      <w:r>
        <w:t xml:space="preserve">3、在结论中按“一项否决”的原则，只有全部是√/通过的，填写：“合格”；只要其中有一项×/不通过的，填写“不合格”。 </w:t>
      </w:r>
    </w:p>
    <w:p>
      <w:pPr>
        <w:pStyle w:val="11"/>
        <w:keepNext w:val="0"/>
        <w:keepLines w:val="0"/>
        <w:pageBreakBefore w:val="0"/>
        <w:widowControl w:val="0"/>
        <w:kinsoku/>
        <w:wordWrap/>
        <w:overflowPunct/>
        <w:topLinePunct w:val="0"/>
        <w:autoSpaceDE w:val="0"/>
        <w:autoSpaceDN w:val="0"/>
        <w:bidi w:val="0"/>
        <w:adjustRightInd/>
        <w:snapToGrid/>
        <w:spacing w:before="3" w:line="360" w:lineRule="auto"/>
        <w:ind w:left="454"/>
        <w:textAlignment w:val="auto"/>
      </w:pPr>
      <w:r>
        <w:t xml:space="preserve">4、符合性审查表的结论是合格的，才能进入下一轮；不合格的被淘汰。 </w:t>
      </w:r>
    </w:p>
    <w:p>
      <w:pPr>
        <w:pStyle w:val="10"/>
        <w:spacing w:before="83"/>
        <w:ind w:left="452"/>
      </w:pPr>
      <w:r>
        <w:rPr>
          <w:spacing w:val="1"/>
          <w:w w:val="99"/>
        </w:rPr>
        <w:t>采购人</w:t>
      </w:r>
      <w:r>
        <w:rPr>
          <w:w w:val="99"/>
        </w:rPr>
        <w:t>（</w:t>
      </w:r>
      <w:r>
        <w:rPr>
          <w:spacing w:val="1"/>
          <w:w w:val="99"/>
        </w:rPr>
        <w:t>签名</w:t>
      </w:r>
      <w:r>
        <w:rPr>
          <w:spacing w:val="-120"/>
          <w:w w:val="99"/>
        </w:rPr>
        <w:t>）</w:t>
      </w:r>
      <w:r>
        <w:rPr>
          <w:spacing w:val="1"/>
          <w:w w:val="99"/>
        </w:rPr>
        <w:t>：</w:t>
      </w:r>
      <w:r>
        <w:rPr>
          <w:w w:val="99"/>
        </w:rPr>
        <w:t xml:space="preserve">                               采购代理机构（</w:t>
      </w:r>
      <w:r>
        <w:rPr>
          <w:spacing w:val="1"/>
          <w:w w:val="99"/>
        </w:rPr>
        <w:t>签名</w:t>
      </w:r>
      <w:r>
        <w:rPr>
          <w:spacing w:val="-120"/>
          <w:w w:val="99"/>
        </w:rPr>
        <w:t>）</w:t>
      </w:r>
      <w:r>
        <w:rPr>
          <w:spacing w:val="1"/>
          <w:w w:val="99"/>
        </w:rPr>
        <w:t>：</w:t>
      </w:r>
      <w:r>
        <w:rPr>
          <w:w w:val="99"/>
        </w:rPr>
        <w:t xml:space="preserve"> </w:t>
      </w:r>
    </w:p>
    <w:p>
      <w:pPr>
        <w:spacing w:after="0"/>
        <w:sectPr>
          <w:pgSz w:w="11910" w:h="16840"/>
          <w:pgMar w:top="1440" w:right="640" w:bottom="920" w:left="680" w:header="0" w:footer="646" w:gutter="0"/>
          <w:cols w:space="720" w:num="1"/>
        </w:sectPr>
      </w:pPr>
    </w:p>
    <w:p>
      <w:pPr>
        <w:pStyle w:val="5"/>
        <w:spacing w:before="41"/>
        <w:ind w:left="77"/>
        <w:jc w:val="center"/>
        <w:rPr>
          <w:sz w:val="24"/>
        </w:rPr>
      </w:pPr>
      <w:r>
        <w:t xml:space="preserve">附表 </w:t>
      </w:r>
      <w:r>
        <w:rPr>
          <w:rFonts w:ascii="Arial" w:eastAsia="Arial"/>
        </w:rPr>
        <w:t>2</w:t>
      </w:r>
      <w:r>
        <w:t>：符合性审查表</w:t>
      </w:r>
      <w:r>
        <w:rPr>
          <w:w w:val="99"/>
          <w:sz w:val="24"/>
        </w:rPr>
        <w:t xml:space="preserve"> </w:t>
      </w:r>
    </w:p>
    <w:p>
      <w:pPr>
        <w:pStyle w:val="11"/>
        <w:spacing w:before="9" w:after="1"/>
        <w:rPr>
          <w:b/>
          <w:sz w:val="28"/>
        </w:rPr>
      </w:pPr>
    </w:p>
    <w:tbl>
      <w:tblPr>
        <w:tblStyle w:val="15"/>
        <w:tblW w:w="0" w:type="auto"/>
        <w:tblInd w:w="4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2203"/>
        <w:gridCol w:w="5920"/>
        <w:gridCol w:w="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531" w:type="dxa"/>
          </w:tcPr>
          <w:p>
            <w:pPr>
              <w:pStyle w:val="29"/>
              <w:spacing w:before="86"/>
              <w:ind w:left="146"/>
              <w:rPr>
                <w:b/>
                <w:sz w:val="24"/>
              </w:rPr>
            </w:pPr>
            <w:r>
              <w:rPr>
                <w:b/>
                <w:w w:val="99"/>
                <w:sz w:val="24"/>
              </w:rPr>
              <w:t>序</w:t>
            </w:r>
          </w:p>
          <w:p>
            <w:pPr>
              <w:pStyle w:val="29"/>
              <w:spacing w:before="160"/>
              <w:ind w:left="146"/>
              <w:rPr>
                <w:b/>
                <w:sz w:val="24"/>
              </w:rPr>
            </w:pPr>
            <w:r>
              <w:rPr>
                <w:b/>
                <w:sz w:val="24"/>
              </w:rPr>
              <w:t>号</w:t>
            </w:r>
            <w:r>
              <w:rPr>
                <w:b/>
                <w:w w:val="99"/>
                <w:sz w:val="24"/>
              </w:rPr>
              <w:t xml:space="preserve"> </w:t>
            </w:r>
          </w:p>
        </w:tc>
        <w:tc>
          <w:tcPr>
            <w:tcW w:w="2203" w:type="dxa"/>
          </w:tcPr>
          <w:p>
            <w:pPr>
              <w:pStyle w:val="29"/>
              <w:spacing w:before="11"/>
              <w:rPr>
                <w:b/>
                <w:sz w:val="24"/>
              </w:rPr>
            </w:pPr>
          </w:p>
          <w:p>
            <w:pPr>
              <w:pStyle w:val="29"/>
              <w:ind w:left="243" w:right="109"/>
              <w:jc w:val="center"/>
              <w:rPr>
                <w:b/>
                <w:sz w:val="24"/>
              </w:rPr>
            </w:pPr>
            <w:r>
              <w:rPr>
                <w:b/>
                <w:sz w:val="24"/>
              </w:rPr>
              <w:t>审查项目</w:t>
            </w:r>
            <w:r>
              <w:rPr>
                <w:b/>
                <w:w w:val="99"/>
                <w:sz w:val="24"/>
              </w:rPr>
              <w:t xml:space="preserve"> </w:t>
            </w:r>
          </w:p>
        </w:tc>
        <w:tc>
          <w:tcPr>
            <w:tcW w:w="5920" w:type="dxa"/>
          </w:tcPr>
          <w:p>
            <w:pPr>
              <w:pStyle w:val="29"/>
              <w:spacing w:before="11"/>
              <w:rPr>
                <w:b/>
                <w:sz w:val="24"/>
              </w:rPr>
            </w:pPr>
          </w:p>
          <w:p>
            <w:pPr>
              <w:pStyle w:val="29"/>
              <w:ind w:left="1874"/>
              <w:rPr>
                <w:b/>
                <w:sz w:val="24"/>
              </w:rPr>
            </w:pPr>
            <w:r>
              <w:rPr>
                <w:b/>
                <w:sz w:val="24"/>
              </w:rPr>
              <w:t>符合性审查评议内容</w:t>
            </w:r>
            <w:r>
              <w:rPr>
                <w:b/>
                <w:w w:val="99"/>
                <w:sz w:val="24"/>
              </w:rPr>
              <w:t xml:space="preserve"> </w:t>
            </w:r>
          </w:p>
        </w:tc>
        <w:tc>
          <w:tcPr>
            <w:tcW w:w="982" w:type="dxa"/>
          </w:tcPr>
          <w:p>
            <w:pPr>
              <w:pStyle w:val="29"/>
              <w:spacing w:before="11"/>
              <w:rPr>
                <w:b/>
                <w:sz w:val="24"/>
              </w:rPr>
            </w:pPr>
          </w:p>
          <w:p>
            <w:pPr>
              <w:pStyle w:val="29"/>
              <w:ind w:left="169" w:right="40"/>
              <w:jc w:val="center"/>
              <w:rPr>
                <w:b/>
                <w:sz w:val="24"/>
              </w:rPr>
            </w:pPr>
            <w:r>
              <w:rPr>
                <w:b/>
                <w:sz w:val="24"/>
              </w:rPr>
              <w:t>供应商</w:t>
            </w: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4" w:hRule="atLeast"/>
        </w:trPr>
        <w:tc>
          <w:tcPr>
            <w:tcW w:w="531" w:type="dxa"/>
          </w:tcPr>
          <w:p>
            <w:pPr>
              <w:pStyle w:val="29"/>
              <w:spacing w:before="4"/>
              <w:rPr>
                <w:b/>
                <w:sz w:val="35"/>
              </w:rPr>
            </w:pPr>
          </w:p>
          <w:p>
            <w:pPr>
              <w:pStyle w:val="29"/>
              <w:spacing w:before="1"/>
              <w:ind w:right="72"/>
              <w:jc w:val="right"/>
              <w:rPr>
                <w:sz w:val="24"/>
              </w:rPr>
            </w:pPr>
            <w:r>
              <w:rPr>
                <w:sz w:val="24"/>
              </w:rPr>
              <w:t xml:space="preserve">1 </w:t>
            </w:r>
          </w:p>
        </w:tc>
        <w:tc>
          <w:tcPr>
            <w:tcW w:w="2203" w:type="dxa"/>
          </w:tcPr>
          <w:p>
            <w:pPr>
              <w:pStyle w:val="29"/>
              <w:spacing w:before="172"/>
              <w:ind w:left="243" w:right="109"/>
              <w:jc w:val="center"/>
              <w:rPr>
                <w:sz w:val="24"/>
              </w:rPr>
            </w:pPr>
            <w:r>
              <w:rPr>
                <w:sz w:val="24"/>
              </w:rPr>
              <w:t xml:space="preserve">报价项目 </w:t>
            </w:r>
          </w:p>
          <w:p>
            <w:pPr>
              <w:pStyle w:val="29"/>
              <w:spacing w:before="11"/>
              <w:rPr>
                <w:b/>
                <w:sz w:val="19"/>
              </w:rPr>
            </w:pPr>
          </w:p>
          <w:p>
            <w:pPr>
              <w:pStyle w:val="29"/>
              <w:ind w:left="243" w:right="109"/>
              <w:jc w:val="center"/>
              <w:rPr>
                <w:sz w:val="24"/>
              </w:rPr>
            </w:pPr>
            <w:r>
              <w:rPr>
                <w:sz w:val="24"/>
              </w:rPr>
              <w:t xml:space="preserve">完整性、唯一性 </w:t>
            </w:r>
          </w:p>
        </w:tc>
        <w:tc>
          <w:tcPr>
            <w:tcW w:w="5920" w:type="dxa"/>
          </w:tcPr>
          <w:p>
            <w:pPr>
              <w:pStyle w:val="29"/>
              <w:rPr>
                <w:b/>
                <w:sz w:val="17"/>
              </w:rPr>
            </w:pPr>
          </w:p>
          <w:p>
            <w:pPr>
              <w:pStyle w:val="29"/>
              <w:spacing w:line="364" w:lineRule="auto"/>
              <w:ind w:left="108" w:right="28"/>
              <w:rPr>
                <w:sz w:val="24"/>
              </w:rPr>
            </w:pPr>
            <w:r>
              <w:rPr>
                <w:sz w:val="24"/>
              </w:rPr>
              <w:t xml:space="preserve">是否对本项目内所有的内容进行投标，漏报其投标将被拒绝。报价是否唯一且未超出采购预算。 </w:t>
            </w:r>
          </w:p>
        </w:tc>
        <w:tc>
          <w:tcPr>
            <w:tcW w:w="982" w:type="dxa"/>
          </w:tcPr>
          <w:p>
            <w:pPr>
              <w:pStyle w:val="29"/>
              <w:spacing w:before="4"/>
              <w:rPr>
                <w:b/>
                <w:sz w:val="35"/>
              </w:rPr>
            </w:pPr>
          </w:p>
          <w:p>
            <w:pPr>
              <w:pStyle w:val="29"/>
              <w:spacing w:before="1"/>
              <w:ind w:left="131"/>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trPr>
        <w:tc>
          <w:tcPr>
            <w:tcW w:w="531" w:type="dxa"/>
          </w:tcPr>
          <w:p>
            <w:pPr>
              <w:pStyle w:val="29"/>
              <w:spacing w:before="6"/>
              <w:rPr>
                <w:b/>
                <w:sz w:val="24"/>
              </w:rPr>
            </w:pPr>
          </w:p>
          <w:p>
            <w:pPr>
              <w:pStyle w:val="29"/>
              <w:ind w:right="72"/>
              <w:jc w:val="right"/>
              <w:rPr>
                <w:sz w:val="24"/>
              </w:rPr>
            </w:pPr>
            <w:r>
              <w:rPr>
                <w:sz w:val="24"/>
              </w:rPr>
              <w:t xml:space="preserve">2 </w:t>
            </w:r>
          </w:p>
        </w:tc>
        <w:tc>
          <w:tcPr>
            <w:tcW w:w="2203" w:type="dxa"/>
          </w:tcPr>
          <w:p>
            <w:pPr>
              <w:pStyle w:val="29"/>
              <w:spacing w:before="79"/>
              <w:ind w:left="183" w:right="169"/>
              <w:jc w:val="center"/>
              <w:rPr>
                <w:sz w:val="24"/>
              </w:rPr>
            </w:pPr>
            <w:r>
              <w:rPr>
                <w:sz w:val="24"/>
              </w:rPr>
              <w:t>投标文件的有效</w:t>
            </w:r>
          </w:p>
          <w:p>
            <w:pPr>
              <w:pStyle w:val="29"/>
              <w:spacing w:before="160"/>
              <w:ind w:left="183" w:right="169"/>
              <w:jc w:val="center"/>
              <w:rPr>
                <w:sz w:val="24"/>
              </w:rPr>
            </w:pPr>
            <w:r>
              <w:rPr>
                <w:sz w:val="24"/>
              </w:rPr>
              <w:t>性、完整性</w:t>
            </w:r>
          </w:p>
        </w:tc>
        <w:tc>
          <w:tcPr>
            <w:tcW w:w="5920" w:type="dxa"/>
          </w:tcPr>
          <w:p>
            <w:pPr>
              <w:pStyle w:val="29"/>
              <w:spacing w:before="79"/>
              <w:ind w:left="108"/>
              <w:rPr>
                <w:sz w:val="24"/>
              </w:rPr>
            </w:pPr>
            <w:r>
              <w:rPr>
                <w:sz w:val="24"/>
              </w:rPr>
              <w:t>是否符合招标文件的样式、格式和签署盖章要求且内容</w:t>
            </w:r>
          </w:p>
          <w:p>
            <w:pPr>
              <w:pStyle w:val="29"/>
              <w:spacing w:before="160"/>
              <w:ind w:left="108"/>
              <w:rPr>
                <w:sz w:val="24"/>
              </w:rPr>
            </w:pPr>
            <w:r>
              <w:rPr>
                <w:sz w:val="24"/>
              </w:rPr>
              <w:t>完整无缺漏</w:t>
            </w:r>
          </w:p>
        </w:tc>
        <w:tc>
          <w:tcPr>
            <w:tcW w:w="982" w:type="dxa"/>
          </w:tcPr>
          <w:p>
            <w:pPr>
              <w:pStyle w:val="29"/>
              <w:spacing w:before="6"/>
              <w:rPr>
                <w:b/>
                <w:sz w:val="24"/>
              </w:rPr>
            </w:pPr>
          </w:p>
          <w:p>
            <w:pPr>
              <w:pStyle w:val="29"/>
              <w:ind w:left="131"/>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531" w:type="dxa"/>
          </w:tcPr>
          <w:p>
            <w:pPr>
              <w:pStyle w:val="29"/>
              <w:spacing w:before="7"/>
              <w:rPr>
                <w:b/>
                <w:sz w:val="18"/>
              </w:rPr>
            </w:pPr>
          </w:p>
          <w:p>
            <w:pPr>
              <w:pStyle w:val="29"/>
              <w:ind w:right="72"/>
              <w:jc w:val="right"/>
              <w:rPr>
                <w:sz w:val="24"/>
              </w:rPr>
            </w:pPr>
            <w:r>
              <w:rPr>
                <w:sz w:val="24"/>
              </w:rPr>
              <w:t xml:space="preserve">3 </w:t>
            </w:r>
          </w:p>
        </w:tc>
        <w:tc>
          <w:tcPr>
            <w:tcW w:w="2203" w:type="dxa"/>
          </w:tcPr>
          <w:p>
            <w:pPr>
              <w:pStyle w:val="29"/>
              <w:spacing w:before="9"/>
              <w:rPr>
                <w:b/>
                <w:sz w:val="18"/>
              </w:rPr>
            </w:pPr>
          </w:p>
          <w:p>
            <w:pPr>
              <w:pStyle w:val="29"/>
              <w:ind w:left="243" w:right="109"/>
              <w:jc w:val="center"/>
              <w:rPr>
                <w:sz w:val="24"/>
              </w:rPr>
            </w:pPr>
            <w:r>
              <w:rPr>
                <w:rFonts w:hint="eastAsia"/>
                <w:sz w:val="24"/>
                <w:lang w:eastAsia="zh-CN"/>
              </w:rPr>
              <w:t>服务期限</w:t>
            </w:r>
            <w:r>
              <w:rPr>
                <w:sz w:val="24"/>
              </w:rPr>
              <w:t xml:space="preserve"> </w:t>
            </w:r>
          </w:p>
        </w:tc>
        <w:tc>
          <w:tcPr>
            <w:tcW w:w="5920" w:type="dxa"/>
          </w:tcPr>
          <w:p>
            <w:pPr>
              <w:pStyle w:val="29"/>
              <w:spacing w:before="9"/>
              <w:rPr>
                <w:b/>
                <w:sz w:val="18"/>
              </w:rPr>
            </w:pPr>
          </w:p>
          <w:p>
            <w:pPr>
              <w:pStyle w:val="29"/>
              <w:ind w:left="108"/>
              <w:rPr>
                <w:sz w:val="24"/>
              </w:rPr>
            </w:pPr>
            <w:r>
              <w:rPr>
                <w:sz w:val="24"/>
              </w:rPr>
              <w:t xml:space="preserve">是否满足招标文件要求 </w:t>
            </w:r>
          </w:p>
        </w:tc>
        <w:tc>
          <w:tcPr>
            <w:tcW w:w="982" w:type="dxa"/>
          </w:tcPr>
          <w:p>
            <w:pPr>
              <w:pStyle w:val="29"/>
              <w:spacing w:before="7"/>
              <w:rPr>
                <w:b/>
                <w:sz w:val="18"/>
              </w:rPr>
            </w:pPr>
          </w:p>
          <w:p>
            <w:pPr>
              <w:pStyle w:val="29"/>
              <w:ind w:left="131"/>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531" w:type="dxa"/>
          </w:tcPr>
          <w:p>
            <w:pPr>
              <w:pStyle w:val="29"/>
              <w:spacing w:before="187"/>
              <w:ind w:right="72"/>
              <w:jc w:val="right"/>
              <w:rPr>
                <w:sz w:val="24"/>
              </w:rPr>
            </w:pPr>
            <w:r>
              <w:rPr>
                <w:sz w:val="24"/>
              </w:rPr>
              <w:t xml:space="preserve">4 </w:t>
            </w:r>
          </w:p>
        </w:tc>
        <w:tc>
          <w:tcPr>
            <w:tcW w:w="2203" w:type="dxa"/>
          </w:tcPr>
          <w:p>
            <w:pPr>
              <w:pStyle w:val="29"/>
              <w:spacing w:before="187"/>
              <w:ind w:left="243" w:right="109"/>
              <w:jc w:val="center"/>
              <w:rPr>
                <w:sz w:val="24"/>
              </w:rPr>
            </w:pPr>
            <w:r>
              <w:rPr>
                <w:sz w:val="24"/>
              </w:rPr>
              <w:t xml:space="preserve">投标保证金 </w:t>
            </w:r>
          </w:p>
        </w:tc>
        <w:tc>
          <w:tcPr>
            <w:tcW w:w="5920" w:type="dxa"/>
          </w:tcPr>
          <w:p>
            <w:pPr>
              <w:pStyle w:val="29"/>
              <w:spacing w:before="187"/>
              <w:ind w:left="108"/>
              <w:rPr>
                <w:sz w:val="24"/>
              </w:rPr>
            </w:pPr>
            <w:r>
              <w:rPr>
                <w:sz w:val="24"/>
              </w:rPr>
              <w:t xml:space="preserve">是否满足招标文件要求 </w:t>
            </w:r>
          </w:p>
        </w:tc>
        <w:tc>
          <w:tcPr>
            <w:tcW w:w="982" w:type="dxa"/>
          </w:tcPr>
          <w:p>
            <w:pPr>
              <w:pStyle w:val="29"/>
              <w:spacing w:before="187"/>
              <w:ind w:left="131"/>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31" w:type="dxa"/>
          </w:tcPr>
          <w:p>
            <w:pPr>
              <w:pStyle w:val="29"/>
              <w:spacing w:before="122"/>
              <w:ind w:right="72"/>
              <w:jc w:val="right"/>
              <w:rPr>
                <w:sz w:val="24"/>
              </w:rPr>
            </w:pPr>
            <w:r>
              <w:rPr>
                <w:sz w:val="24"/>
              </w:rPr>
              <w:t xml:space="preserve">5 </w:t>
            </w:r>
          </w:p>
        </w:tc>
        <w:tc>
          <w:tcPr>
            <w:tcW w:w="2203" w:type="dxa"/>
          </w:tcPr>
          <w:p>
            <w:pPr>
              <w:pStyle w:val="29"/>
              <w:spacing w:before="122"/>
              <w:ind w:left="183" w:right="169"/>
              <w:jc w:val="center"/>
              <w:rPr>
                <w:sz w:val="24"/>
              </w:rPr>
            </w:pPr>
            <w:r>
              <w:rPr>
                <w:sz w:val="24"/>
              </w:rPr>
              <w:t>投标有效期</w:t>
            </w:r>
          </w:p>
        </w:tc>
        <w:tc>
          <w:tcPr>
            <w:tcW w:w="5920" w:type="dxa"/>
          </w:tcPr>
          <w:p>
            <w:pPr>
              <w:pStyle w:val="29"/>
              <w:spacing w:before="122"/>
              <w:ind w:left="108"/>
              <w:rPr>
                <w:sz w:val="24"/>
              </w:rPr>
            </w:pPr>
            <w:r>
              <w:rPr>
                <w:sz w:val="24"/>
              </w:rPr>
              <w:t>是否满足招标文件要求</w:t>
            </w:r>
          </w:p>
        </w:tc>
        <w:tc>
          <w:tcPr>
            <w:tcW w:w="982" w:type="dxa"/>
          </w:tcPr>
          <w:p>
            <w:pPr>
              <w:pStyle w:val="29"/>
              <w:spacing w:before="122"/>
              <w:ind w:left="131"/>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531" w:type="dxa"/>
          </w:tcPr>
          <w:p>
            <w:pPr>
              <w:pStyle w:val="29"/>
              <w:spacing w:before="9"/>
              <w:rPr>
                <w:b/>
                <w:sz w:val="17"/>
              </w:rPr>
            </w:pPr>
          </w:p>
          <w:p>
            <w:pPr>
              <w:pStyle w:val="29"/>
              <w:spacing w:before="1"/>
              <w:ind w:right="72"/>
              <w:jc w:val="right"/>
              <w:rPr>
                <w:sz w:val="24"/>
              </w:rPr>
            </w:pPr>
            <w:r>
              <w:rPr>
                <w:sz w:val="24"/>
              </w:rPr>
              <w:t xml:space="preserve">6 </w:t>
            </w:r>
          </w:p>
        </w:tc>
        <w:tc>
          <w:tcPr>
            <w:tcW w:w="2203" w:type="dxa"/>
          </w:tcPr>
          <w:p>
            <w:pPr>
              <w:pStyle w:val="29"/>
              <w:spacing w:before="9"/>
              <w:rPr>
                <w:b/>
                <w:sz w:val="17"/>
              </w:rPr>
            </w:pPr>
          </w:p>
          <w:p>
            <w:pPr>
              <w:pStyle w:val="29"/>
              <w:spacing w:before="1"/>
              <w:ind w:left="183" w:right="169"/>
              <w:jc w:val="center"/>
              <w:rPr>
                <w:sz w:val="24"/>
              </w:rPr>
            </w:pPr>
            <w:r>
              <w:rPr>
                <w:sz w:val="24"/>
              </w:rPr>
              <w:t>其它</w:t>
            </w:r>
          </w:p>
        </w:tc>
        <w:tc>
          <w:tcPr>
            <w:tcW w:w="5920" w:type="dxa"/>
          </w:tcPr>
          <w:p>
            <w:pPr>
              <w:pStyle w:val="29"/>
              <w:spacing w:before="9"/>
              <w:rPr>
                <w:b/>
                <w:sz w:val="17"/>
              </w:rPr>
            </w:pPr>
          </w:p>
          <w:p>
            <w:pPr>
              <w:pStyle w:val="29"/>
              <w:spacing w:before="1"/>
              <w:ind w:left="108"/>
              <w:rPr>
                <w:sz w:val="24"/>
              </w:rPr>
            </w:pPr>
            <w:r>
              <w:rPr>
                <w:sz w:val="24"/>
              </w:rPr>
              <w:t>是否有其它无效响应认定的条件</w:t>
            </w:r>
          </w:p>
        </w:tc>
        <w:tc>
          <w:tcPr>
            <w:tcW w:w="982" w:type="dxa"/>
          </w:tcPr>
          <w:p>
            <w:pPr>
              <w:pStyle w:val="29"/>
              <w:spacing w:before="9"/>
              <w:rPr>
                <w:b/>
                <w:sz w:val="17"/>
              </w:rPr>
            </w:pPr>
          </w:p>
          <w:p>
            <w:pPr>
              <w:pStyle w:val="29"/>
              <w:spacing w:before="1"/>
              <w:ind w:left="131"/>
              <w:jc w:val="center"/>
              <w:rPr>
                <w:sz w:val="24"/>
              </w:rPr>
            </w:pPr>
            <w:r>
              <w:rPr>
                <w:sz w:val="24"/>
              </w:rPr>
              <w:t xml:space="preserve"> </w:t>
            </w:r>
          </w:p>
        </w:tc>
      </w:tr>
    </w:tbl>
    <w:p>
      <w:pPr>
        <w:pStyle w:val="11"/>
        <w:ind w:left="452"/>
      </w:pPr>
      <w:r>
        <w:t xml:space="preserve">备注： </w:t>
      </w:r>
    </w:p>
    <w:p>
      <w:pPr>
        <w:pStyle w:val="11"/>
        <w:spacing w:before="4"/>
        <w:ind w:left="452"/>
      </w:pPr>
      <w:r>
        <w:t xml:space="preserve">1、评标委员会根据“符合性审查表”对投标文件符合性进行评审。 </w:t>
      </w:r>
    </w:p>
    <w:p>
      <w:pPr>
        <w:pStyle w:val="11"/>
        <w:spacing w:before="5"/>
        <w:ind w:left="452"/>
      </w:pPr>
      <w:r>
        <w:t xml:space="preserve">2、在表中的各项只需填写“√/通过”或“×/不通过”。 </w:t>
      </w:r>
    </w:p>
    <w:p>
      <w:pPr>
        <w:pStyle w:val="11"/>
        <w:spacing w:before="5" w:line="242" w:lineRule="auto"/>
        <w:ind w:left="452" w:right="529"/>
      </w:pPr>
      <w:r>
        <w:t xml:space="preserve">3、在结论中按“一项否决”的原则，只有全部是√/通过的，填写：“合格”；只要其中有一项×/不通过的，填写“不合格”。 </w:t>
      </w:r>
    </w:p>
    <w:p>
      <w:pPr>
        <w:pStyle w:val="11"/>
        <w:spacing w:before="2"/>
        <w:ind w:left="452"/>
      </w:pPr>
      <w:r>
        <w:t xml:space="preserve">4、符合性审查表的结论是合格的，才能进入下一轮；不合格的被淘汰。 </w:t>
      </w:r>
    </w:p>
    <w:p>
      <w:pPr>
        <w:pStyle w:val="11"/>
        <w:spacing w:before="5"/>
        <w:ind w:left="452"/>
      </w:pPr>
      <w:r>
        <w:t xml:space="preserve">5、初步评审（资格性审查表和符合性审查表）至少达到三家或以上，才能进入详细评审。 </w:t>
      </w:r>
    </w:p>
    <w:p>
      <w:pPr>
        <w:pStyle w:val="10"/>
        <w:spacing w:before="84"/>
        <w:ind w:left="452"/>
      </w:pPr>
      <w:r>
        <w:rPr>
          <w:w w:val="99"/>
        </w:rPr>
        <w:t xml:space="preserve">  </w:t>
      </w:r>
    </w:p>
    <w:p>
      <w:pPr>
        <w:pStyle w:val="10"/>
        <w:spacing w:before="160"/>
        <w:ind w:left="452"/>
      </w:pPr>
      <w:r>
        <w:rPr>
          <w:w w:val="99"/>
        </w:rPr>
        <w:t>评标委员会全体成员（</w:t>
      </w:r>
      <w:r>
        <w:rPr>
          <w:spacing w:val="1"/>
          <w:w w:val="99"/>
        </w:rPr>
        <w:t>签名</w:t>
      </w:r>
      <w:r>
        <w:rPr>
          <w:spacing w:val="-120"/>
          <w:w w:val="99"/>
        </w:rPr>
        <w:t>）</w:t>
      </w:r>
      <w:r>
        <w:rPr>
          <w:spacing w:val="1"/>
          <w:w w:val="99"/>
        </w:rPr>
        <w:t>：</w:t>
      </w:r>
      <w:r>
        <w:rPr>
          <w:w w:val="99"/>
        </w:rPr>
        <w:t xml:space="preserve"> </w:t>
      </w:r>
    </w:p>
    <w:p>
      <w:pPr>
        <w:spacing w:after="0"/>
        <w:sectPr>
          <w:pgSz w:w="11910" w:h="16840"/>
          <w:pgMar w:top="1440" w:right="640" w:bottom="920" w:left="680" w:header="0" w:footer="646" w:gutter="0"/>
          <w:cols w:space="720" w:num="1"/>
        </w:sectPr>
      </w:pPr>
    </w:p>
    <w:p>
      <w:pPr>
        <w:pStyle w:val="5"/>
        <w:spacing w:before="41"/>
        <w:ind w:left="410" w:right="450"/>
        <w:jc w:val="center"/>
        <w:rPr>
          <w:color w:val="FF0000"/>
        </w:rPr>
      </w:pPr>
      <w:r>
        <w:rPr>
          <w:color w:val="FF0000"/>
        </w:rPr>
        <w:t xml:space="preserve">附表 </w:t>
      </w:r>
      <w:r>
        <w:rPr>
          <w:rFonts w:ascii="Arial" w:eastAsia="Arial"/>
          <w:color w:val="FF0000"/>
        </w:rPr>
        <w:t>3</w:t>
      </w:r>
      <w:r>
        <w:rPr>
          <w:color w:val="FF0000"/>
        </w:rPr>
        <w:t>：详细评审表</w:t>
      </w:r>
    </w:p>
    <w:p>
      <w:pPr>
        <w:pStyle w:val="11"/>
        <w:spacing w:before="9" w:after="1"/>
        <w:rPr>
          <w:b/>
          <w:sz w:val="28"/>
        </w:rPr>
      </w:pP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8"/>
        <w:gridCol w:w="1558"/>
        <w:gridCol w:w="5989"/>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jc w:val="center"/>
        </w:trPr>
        <w:tc>
          <w:tcPr>
            <w:tcW w:w="1858" w:type="dxa"/>
          </w:tcPr>
          <w:p>
            <w:pPr>
              <w:pStyle w:val="29"/>
              <w:spacing w:before="9"/>
              <w:rPr>
                <w:b/>
                <w:sz w:val="19"/>
              </w:rPr>
            </w:pPr>
          </w:p>
          <w:p>
            <w:pPr>
              <w:pStyle w:val="29"/>
              <w:ind w:left="698" w:right="688"/>
              <w:jc w:val="center"/>
              <w:rPr>
                <w:b/>
                <w:sz w:val="21"/>
              </w:rPr>
            </w:pPr>
            <w:r>
              <w:rPr>
                <w:b/>
                <w:sz w:val="21"/>
              </w:rPr>
              <w:t>分项</w:t>
            </w:r>
          </w:p>
        </w:tc>
        <w:tc>
          <w:tcPr>
            <w:tcW w:w="1558" w:type="dxa"/>
          </w:tcPr>
          <w:p>
            <w:pPr>
              <w:pStyle w:val="29"/>
              <w:spacing w:before="9"/>
              <w:rPr>
                <w:b/>
                <w:sz w:val="19"/>
              </w:rPr>
            </w:pPr>
          </w:p>
          <w:p>
            <w:pPr>
              <w:pStyle w:val="29"/>
              <w:ind w:left="357"/>
              <w:rPr>
                <w:b/>
                <w:sz w:val="21"/>
              </w:rPr>
            </w:pPr>
            <w:r>
              <w:rPr>
                <w:b/>
                <w:sz w:val="21"/>
              </w:rPr>
              <w:t>评分指标</w:t>
            </w:r>
          </w:p>
        </w:tc>
        <w:tc>
          <w:tcPr>
            <w:tcW w:w="5989" w:type="dxa"/>
          </w:tcPr>
          <w:p>
            <w:pPr>
              <w:pStyle w:val="29"/>
              <w:spacing w:before="9"/>
              <w:rPr>
                <w:b/>
                <w:sz w:val="19"/>
              </w:rPr>
            </w:pPr>
          </w:p>
          <w:p>
            <w:pPr>
              <w:pStyle w:val="29"/>
              <w:ind w:left="2556" w:right="2539"/>
              <w:jc w:val="center"/>
              <w:rPr>
                <w:b/>
                <w:sz w:val="21"/>
              </w:rPr>
            </w:pPr>
            <w:r>
              <w:rPr>
                <w:b/>
                <w:sz w:val="21"/>
              </w:rPr>
              <w:t>评分标准</w:t>
            </w:r>
          </w:p>
        </w:tc>
        <w:tc>
          <w:tcPr>
            <w:tcW w:w="828" w:type="dxa"/>
          </w:tcPr>
          <w:p>
            <w:pPr>
              <w:pStyle w:val="29"/>
              <w:spacing w:before="9"/>
              <w:rPr>
                <w:b/>
                <w:sz w:val="19"/>
              </w:rPr>
            </w:pPr>
          </w:p>
          <w:p>
            <w:pPr>
              <w:pStyle w:val="29"/>
              <w:ind w:left="153" w:right="146"/>
              <w:jc w:val="center"/>
              <w:rPr>
                <w:b/>
                <w:sz w:val="21"/>
              </w:rPr>
            </w:pPr>
            <w:r>
              <w:rPr>
                <w:b/>
                <w:sz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8" w:hRule="atLeast"/>
          <w:jc w:val="center"/>
        </w:trPr>
        <w:tc>
          <w:tcPr>
            <w:tcW w:w="1858" w:type="dxa"/>
            <w:vMerge w:val="restart"/>
          </w:tcPr>
          <w:p>
            <w:pPr>
              <w:pStyle w:val="29"/>
              <w:rPr>
                <w:b/>
                <w:sz w:val="20"/>
              </w:rPr>
            </w:pPr>
          </w:p>
          <w:p>
            <w:pPr>
              <w:pStyle w:val="29"/>
              <w:rPr>
                <w:b/>
                <w:sz w:val="20"/>
              </w:rPr>
            </w:pPr>
          </w:p>
          <w:p>
            <w:pPr>
              <w:pStyle w:val="29"/>
              <w:rPr>
                <w:b/>
                <w:sz w:val="20"/>
              </w:rPr>
            </w:pPr>
          </w:p>
          <w:p>
            <w:pPr>
              <w:pStyle w:val="29"/>
              <w:rPr>
                <w:b/>
                <w:sz w:val="20"/>
              </w:rPr>
            </w:pPr>
          </w:p>
          <w:p>
            <w:pPr>
              <w:pStyle w:val="29"/>
              <w:rPr>
                <w:b/>
                <w:sz w:val="20"/>
              </w:rPr>
            </w:pPr>
          </w:p>
          <w:p>
            <w:pPr>
              <w:pStyle w:val="29"/>
              <w:rPr>
                <w:b/>
                <w:sz w:val="20"/>
              </w:rPr>
            </w:pPr>
          </w:p>
          <w:p>
            <w:pPr>
              <w:pStyle w:val="29"/>
              <w:rPr>
                <w:b/>
                <w:sz w:val="20"/>
              </w:rPr>
            </w:pPr>
          </w:p>
          <w:p>
            <w:pPr>
              <w:pStyle w:val="29"/>
              <w:rPr>
                <w:b/>
                <w:sz w:val="20"/>
              </w:rPr>
            </w:pPr>
          </w:p>
          <w:p>
            <w:pPr>
              <w:pStyle w:val="29"/>
              <w:rPr>
                <w:b/>
                <w:sz w:val="20"/>
              </w:rPr>
            </w:pPr>
          </w:p>
          <w:p>
            <w:pPr>
              <w:pStyle w:val="29"/>
              <w:rPr>
                <w:b/>
                <w:sz w:val="20"/>
              </w:rPr>
            </w:pPr>
          </w:p>
          <w:p>
            <w:pPr>
              <w:pStyle w:val="29"/>
              <w:rPr>
                <w:b/>
                <w:sz w:val="20"/>
              </w:rPr>
            </w:pPr>
          </w:p>
          <w:p>
            <w:pPr>
              <w:pStyle w:val="29"/>
              <w:rPr>
                <w:b/>
                <w:sz w:val="20"/>
              </w:rPr>
            </w:pPr>
          </w:p>
          <w:p>
            <w:pPr>
              <w:pStyle w:val="29"/>
              <w:rPr>
                <w:b/>
                <w:sz w:val="20"/>
              </w:rPr>
            </w:pPr>
          </w:p>
          <w:p>
            <w:pPr>
              <w:pStyle w:val="29"/>
              <w:rPr>
                <w:b/>
                <w:sz w:val="20"/>
              </w:rPr>
            </w:pPr>
          </w:p>
          <w:p>
            <w:pPr>
              <w:pStyle w:val="29"/>
              <w:rPr>
                <w:b/>
                <w:sz w:val="20"/>
              </w:rPr>
            </w:pPr>
          </w:p>
          <w:p>
            <w:pPr>
              <w:pStyle w:val="29"/>
              <w:rPr>
                <w:b/>
                <w:sz w:val="20"/>
              </w:rPr>
            </w:pPr>
          </w:p>
          <w:p>
            <w:pPr>
              <w:pStyle w:val="29"/>
              <w:rPr>
                <w:b/>
                <w:sz w:val="20"/>
              </w:rPr>
            </w:pPr>
          </w:p>
          <w:p>
            <w:pPr>
              <w:pStyle w:val="29"/>
              <w:rPr>
                <w:b/>
                <w:sz w:val="20"/>
              </w:rPr>
            </w:pPr>
          </w:p>
          <w:p>
            <w:pPr>
              <w:pStyle w:val="29"/>
              <w:rPr>
                <w:b/>
                <w:sz w:val="20"/>
              </w:rPr>
            </w:pPr>
          </w:p>
          <w:p>
            <w:pPr>
              <w:pStyle w:val="29"/>
              <w:rPr>
                <w:b/>
                <w:sz w:val="20"/>
              </w:rPr>
            </w:pPr>
          </w:p>
          <w:p>
            <w:pPr>
              <w:pStyle w:val="29"/>
              <w:rPr>
                <w:b/>
                <w:sz w:val="20"/>
              </w:rPr>
            </w:pPr>
          </w:p>
          <w:p>
            <w:pPr>
              <w:pStyle w:val="29"/>
              <w:spacing w:before="4"/>
              <w:rPr>
                <w:b/>
                <w:sz w:val="28"/>
              </w:rPr>
            </w:pPr>
          </w:p>
          <w:p>
            <w:pPr>
              <w:pStyle w:val="29"/>
              <w:spacing w:before="1"/>
              <w:ind w:left="509"/>
              <w:rPr>
                <w:b/>
                <w:sz w:val="21"/>
              </w:rPr>
            </w:pPr>
            <w:r>
              <w:rPr>
                <w:b/>
                <w:sz w:val="21"/>
              </w:rPr>
              <w:t>商务部分</w:t>
            </w:r>
          </w:p>
          <w:p>
            <w:pPr>
              <w:pStyle w:val="29"/>
              <w:spacing w:before="57"/>
              <w:ind w:left="482"/>
              <w:rPr>
                <w:b/>
                <w:sz w:val="21"/>
              </w:rPr>
            </w:pPr>
            <w:r>
              <w:rPr>
                <w:b/>
                <w:sz w:val="21"/>
              </w:rPr>
              <w:t>（</w:t>
            </w:r>
            <w:r>
              <w:rPr>
                <w:rFonts w:hint="eastAsia" w:ascii="Times New Roman"/>
                <w:b/>
                <w:sz w:val="21"/>
                <w:lang w:val="en-US" w:eastAsia="zh-CN"/>
              </w:rPr>
              <w:t>4</w:t>
            </w:r>
            <w:r>
              <w:rPr>
                <w:rFonts w:hint="eastAsia" w:ascii="Times New Roman" w:eastAsia="宋体"/>
                <w:b/>
                <w:sz w:val="21"/>
                <w:lang w:val="en-US" w:eastAsia="zh-CN"/>
              </w:rPr>
              <w:t>5</w:t>
            </w:r>
            <w:r>
              <w:rPr>
                <w:b/>
                <w:sz w:val="21"/>
              </w:rPr>
              <w:t>分）</w:t>
            </w:r>
          </w:p>
        </w:tc>
        <w:tc>
          <w:tcPr>
            <w:tcW w:w="1558" w:type="dxa"/>
            <w:tcBorders>
              <w:top w:val="nil"/>
              <w:bottom w:val="single" w:color="auto" w:sz="4" w:space="0"/>
            </w:tcBorders>
            <w:vAlign w:val="center"/>
          </w:tcPr>
          <w:p>
            <w:pPr>
              <w:pStyle w:val="29"/>
              <w:spacing w:before="1"/>
              <w:ind w:left="129" w:right="118"/>
              <w:jc w:val="center"/>
              <w:rPr>
                <w:sz w:val="21"/>
              </w:rPr>
            </w:pPr>
            <w:r>
              <w:rPr>
                <w:sz w:val="21"/>
              </w:rPr>
              <w:t>类似项目业绩</w:t>
            </w:r>
          </w:p>
          <w:p>
            <w:pPr>
              <w:ind w:firstLine="210" w:firstLineChars="100"/>
              <w:rPr>
                <w:sz w:val="21"/>
              </w:rPr>
            </w:pPr>
            <w:r>
              <w:rPr>
                <w:sz w:val="21"/>
              </w:rPr>
              <w:t>（</w:t>
            </w:r>
            <w:r>
              <w:rPr>
                <w:rFonts w:hint="eastAsia" w:ascii="Times New Roman"/>
                <w:sz w:val="21"/>
                <w:lang w:val="en-US" w:eastAsia="zh-CN"/>
              </w:rPr>
              <w:t>10</w:t>
            </w:r>
            <w:r>
              <w:rPr>
                <w:sz w:val="21"/>
              </w:rPr>
              <w:t>分）</w:t>
            </w:r>
          </w:p>
        </w:tc>
        <w:tc>
          <w:tcPr>
            <w:tcW w:w="5989" w:type="dxa"/>
          </w:tcPr>
          <w:p>
            <w:pPr>
              <w:pStyle w:val="29"/>
              <w:spacing w:before="1" w:line="290" w:lineRule="auto"/>
              <w:ind w:left="110" w:right="89"/>
              <w:rPr>
                <w:sz w:val="21"/>
              </w:rPr>
            </w:pPr>
            <w:r>
              <w:rPr>
                <w:spacing w:val="-14"/>
                <w:sz w:val="21"/>
              </w:rPr>
              <w:t xml:space="preserve">供应商 </w:t>
            </w:r>
            <w:r>
              <w:rPr>
                <w:sz w:val="21"/>
              </w:rPr>
              <w:t>2017</w:t>
            </w:r>
            <w:r>
              <w:rPr>
                <w:spacing w:val="-34"/>
                <w:sz w:val="21"/>
              </w:rPr>
              <w:t xml:space="preserve"> 年 </w:t>
            </w:r>
            <w:r>
              <w:rPr>
                <w:sz w:val="21"/>
              </w:rPr>
              <w:t>1</w:t>
            </w:r>
            <w:r>
              <w:rPr>
                <w:spacing w:val="-33"/>
                <w:sz w:val="21"/>
              </w:rPr>
              <w:t xml:space="preserve"> 月 </w:t>
            </w:r>
            <w:r>
              <w:rPr>
                <w:sz w:val="21"/>
              </w:rPr>
              <w:t>1</w:t>
            </w:r>
            <w:r>
              <w:rPr>
                <w:spacing w:val="-9"/>
                <w:sz w:val="21"/>
              </w:rPr>
              <w:t xml:space="preserve"> 日至今承接过建设工程项目的地质灾害危</w:t>
            </w:r>
            <w:r>
              <w:rPr>
                <w:spacing w:val="-5"/>
                <w:sz w:val="21"/>
              </w:rPr>
              <w:t>险性评估业绩个数进行评分：</w:t>
            </w:r>
            <w:r>
              <w:rPr>
                <w:sz w:val="21"/>
              </w:rPr>
              <w:t xml:space="preserve"> </w:t>
            </w:r>
          </w:p>
          <w:p>
            <w:pPr>
              <w:pStyle w:val="29"/>
              <w:spacing w:before="1"/>
              <w:ind w:left="110"/>
              <w:rPr>
                <w:sz w:val="21"/>
              </w:rPr>
            </w:pPr>
            <w:r>
              <w:rPr>
                <w:sz w:val="21"/>
              </w:rPr>
              <w:t xml:space="preserve">1、提供 3 个合同业绩得 3 分； </w:t>
            </w:r>
          </w:p>
          <w:p>
            <w:pPr>
              <w:pStyle w:val="29"/>
              <w:spacing w:before="60"/>
              <w:ind w:left="110"/>
              <w:rPr>
                <w:sz w:val="21"/>
              </w:rPr>
            </w:pPr>
            <w:r>
              <w:rPr>
                <w:sz w:val="21"/>
              </w:rPr>
              <w:t xml:space="preserve">2、提供 5 个合同业绩得 10 分；  </w:t>
            </w:r>
          </w:p>
          <w:p>
            <w:pPr>
              <w:pStyle w:val="29"/>
              <w:spacing w:before="58"/>
              <w:ind w:left="110"/>
              <w:rPr>
                <w:sz w:val="21"/>
              </w:rPr>
            </w:pPr>
            <w:r>
              <w:rPr>
                <w:sz w:val="21"/>
              </w:rPr>
              <w:t>本项最高得</w:t>
            </w:r>
            <w:r>
              <w:rPr>
                <w:rFonts w:hint="eastAsia"/>
                <w:sz w:val="21"/>
                <w:lang w:val="en-US" w:eastAsia="zh-CN"/>
              </w:rPr>
              <w:t xml:space="preserve"> 1</w:t>
            </w:r>
            <w:r>
              <w:rPr>
                <w:sz w:val="21"/>
              </w:rPr>
              <w:t xml:space="preserve">0 分，以上业绩不重复计分。 </w:t>
            </w:r>
          </w:p>
          <w:p>
            <w:pPr>
              <w:pStyle w:val="29"/>
              <w:spacing w:before="57" w:line="290" w:lineRule="auto"/>
              <w:ind w:left="110" w:right="101"/>
              <w:rPr>
                <w:sz w:val="21"/>
              </w:rPr>
            </w:pPr>
            <w:r>
              <w:rPr>
                <w:sz w:val="21"/>
              </w:rPr>
              <w:t xml:space="preserve">【证明材料：投标文件中提供合同或中标通知书复印件加盖公章，原件备查】 </w:t>
            </w:r>
          </w:p>
          <w:p>
            <w:pPr>
              <w:pStyle w:val="29"/>
              <w:spacing w:before="2"/>
              <w:ind w:left="110"/>
              <w:rPr>
                <w:sz w:val="21"/>
              </w:rPr>
            </w:pPr>
            <w:r>
              <w:rPr>
                <w:sz w:val="21"/>
              </w:rPr>
              <w:t xml:space="preserve">备注： </w:t>
            </w:r>
          </w:p>
          <w:p>
            <w:pPr>
              <w:pStyle w:val="29"/>
              <w:numPr>
                <w:ilvl w:val="0"/>
                <w:numId w:val="34"/>
              </w:numPr>
              <w:tabs>
                <w:tab w:val="left" w:pos="640"/>
              </w:tabs>
              <w:spacing w:before="60" w:after="0" w:line="290" w:lineRule="auto"/>
              <w:ind w:left="110" w:right="86" w:firstLine="0"/>
              <w:jc w:val="both"/>
              <w:rPr>
                <w:sz w:val="21"/>
              </w:rPr>
            </w:pPr>
            <w:r>
              <w:rPr>
                <w:spacing w:val="-3"/>
                <w:sz w:val="21"/>
              </w:rPr>
              <w:t>合同须提供合同关键页扫描件（包括但不限于合同标的、</w:t>
            </w:r>
            <w:r>
              <w:rPr>
                <w:spacing w:val="-4"/>
                <w:w w:val="100"/>
                <w:sz w:val="21"/>
              </w:rPr>
              <w:t>合同金额、合同双方签字页、合同签订时间</w:t>
            </w:r>
            <w:r>
              <w:rPr>
                <w:spacing w:val="-106"/>
                <w:w w:val="100"/>
                <w:sz w:val="21"/>
              </w:rPr>
              <w:t>）</w:t>
            </w:r>
            <w:r>
              <w:rPr>
                <w:spacing w:val="-3"/>
                <w:w w:val="100"/>
                <w:sz w:val="21"/>
              </w:rPr>
              <w:t>，以合同签订时间</w:t>
            </w:r>
            <w:r>
              <w:rPr>
                <w:sz w:val="21"/>
              </w:rPr>
              <w:t>为准；若双方签署日期不一致，则以签订日期后者为准；若合</w:t>
            </w:r>
            <w:r>
              <w:rPr>
                <w:spacing w:val="-4"/>
                <w:sz w:val="21"/>
              </w:rPr>
              <w:t>同仅体现单方日期的以该日期为准,若双方均无时间，则不纳入</w:t>
            </w:r>
            <w:r>
              <w:rPr>
                <w:spacing w:val="-3"/>
                <w:sz w:val="21"/>
              </w:rPr>
              <w:t>统计范围；</w:t>
            </w:r>
            <w:r>
              <w:rPr>
                <w:sz w:val="21"/>
              </w:rPr>
              <w:t xml:space="preserve"> </w:t>
            </w:r>
          </w:p>
          <w:p>
            <w:pPr>
              <w:pStyle w:val="29"/>
              <w:numPr>
                <w:ilvl w:val="0"/>
                <w:numId w:val="34"/>
              </w:numPr>
              <w:tabs>
                <w:tab w:val="left" w:pos="640"/>
              </w:tabs>
              <w:spacing w:before="4" w:after="0" w:line="240" w:lineRule="auto"/>
              <w:ind w:left="639" w:right="-15" w:hanging="530"/>
              <w:jc w:val="left"/>
              <w:rPr>
                <w:sz w:val="21"/>
              </w:rPr>
            </w:pPr>
            <w:r>
              <w:rPr>
                <w:spacing w:val="-7"/>
                <w:sz w:val="21"/>
              </w:rPr>
              <w:t>框架合同须提供框架合同关键页</w:t>
            </w:r>
            <w:r>
              <w:rPr>
                <w:sz w:val="21"/>
              </w:rPr>
              <w:t>（</w:t>
            </w:r>
            <w:r>
              <w:rPr>
                <w:spacing w:val="-3"/>
                <w:sz w:val="21"/>
              </w:rPr>
              <w:t>包括但不限于合同标的</w:t>
            </w:r>
            <w:r>
              <w:rPr>
                <w:sz w:val="21"/>
              </w:rPr>
              <w:t>、</w:t>
            </w:r>
          </w:p>
          <w:p>
            <w:pPr>
              <w:pStyle w:val="29"/>
              <w:spacing w:line="267" w:lineRule="exact"/>
              <w:ind w:left="110" w:right="-29"/>
              <w:rPr>
                <w:sz w:val="21"/>
              </w:rPr>
            </w:pPr>
            <w:r>
              <w:rPr>
                <w:spacing w:val="-3"/>
                <w:w w:val="100"/>
                <w:sz w:val="21"/>
              </w:rPr>
              <w:t>合同双方签字页、合同签订时间</w:t>
            </w:r>
            <w:r>
              <w:rPr>
                <w:spacing w:val="-106"/>
                <w:w w:val="100"/>
                <w:sz w:val="21"/>
              </w:rPr>
              <w:t>）</w:t>
            </w:r>
            <w:r>
              <w:rPr>
                <w:spacing w:val="-3"/>
                <w:w w:val="100"/>
                <w:sz w:val="21"/>
              </w:rPr>
              <w:t>，同时附上对应的订单或结</w:t>
            </w:r>
            <w:r>
              <w:rPr>
                <w:spacing w:val="-3"/>
                <w:sz w:val="21"/>
              </w:rPr>
              <w:t xml:space="preserve">单等单据扫描件，以订单或结算单据的时间和累计金额为准。 </w:t>
            </w:r>
            <w:r>
              <w:rPr>
                <w:sz w:val="21"/>
              </w:rPr>
              <w:t xml:space="preserve"> </w:t>
            </w:r>
          </w:p>
          <w:p>
            <w:pPr>
              <w:pStyle w:val="29"/>
              <w:spacing w:before="57" w:line="290" w:lineRule="auto"/>
              <w:ind w:left="110" w:right="-15"/>
              <w:rPr>
                <w:b/>
                <w:sz w:val="21"/>
              </w:rPr>
            </w:pPr>
            <w:r>
              <w:rPr>
                <w:sz w:val="21"/>
              </w:rPr>
              <w:t>（3）</w:t>
            </w:r>
            <w:r>
              <w:rPr>
                <w:spacing w:val="-3"/>
                <w:sz w:val="21"/>
              </w:rPr>
              <w:t>若提供的证明材料中的数字、文字、公章模糊不清、缺关</w:t>
            </w:r>
            <w:r>
              <w:rPr>
                <w:spacing w:val="-4"/>
                <w:sz w:val="21"/>
              </w:rPr>
              <w:t xml:space="preserve">键页、未体现签订时间或签字盖章页无签字人姓名或未盖章的， </w:t>
            </w:r>
            <w:r>
              <w:rPr>
                <w:spacing w:val="-3"/>
                <w:sz w:val="21"/>
              </w:rPr>
              <w:t>视为无效业绩。</w:t>
            </w:r>
            <w:r>
              <w:rPr>
                <w:sz w:val="21"/>
              </w:rPr>
              <w:t xml:space="preserve"> </w:t>
            </w:r>
          </w:p>
        </w:tc>
        <w:tc>
          <w:tcPr>
            <w:tcW w:w="828" w:type="dxa"/>
          </w:tcPr>
          <w:p>
            <w:pPr>
              <w:pStyle w:val="29"/>
              <w:rPr>
                <w:b/>
                <w:sz w:val="22"/>
              </w:rPr>
            </w:pPr>
          </w:p>
          <w:p>
            <w:pPr>
              <w:pStyle w:val="29"/>
              <w:rPr>
                <w:b/>
                <w:sz w:val="22"/>
              </w:rPr>
            </w:pPr>
          </w:p>
          <w:p>
            <w:pPr>
              <w:pStyle w:val="29"/>
              <w:rPr>
                <w:b/>
                <w:sz w:val="22"/>
              </w:rPr>
            </w:pPr>
          </w:p>
          <w:p>
            <w:pPr>
              <w:pStyle w:val="29"/>
              <w:rPr>
                <w:b/>
                <w:sz w:val="22"/>
              </w:rPr>
            </w:pPr>
          </w:p>
          <w:p>
            <w:pPr>
              <w:pStyle w:val="29"/>
              <w:rPr>
                <w:b/>
                <w:sz w:val="22"/>
              </w:rPr>
            </w:pPr>
          </w:p>
          <w:p>
            <w:pPr>
              <w:pStyle w:val="29"/>
              <w:rPr>
                <w:b/>
                <w:sz w:val="22"/>
              </w:rPr>
            </w:pPr>
          </w:p>
          <w:p>
            <w:pPr>
              <w:pStyle w:val="29"/>
              <w:rPr>
                <w:b/>
                <w:sz w:val="22"/>
              </w:rPr>
            </w:pPr>
          </w:p>
          <w:p>
            <w:pPr>
              <w:pStyle w:val="29"/>
              <w:rPr>
                <w:b/>
                <w:sz w:val="22"/>
              </w:rPr>
            </w:pPr>
          </w:p>
          <w:p>
            <w:pPr>
              <w:pStyle w:val="29"/>
              <w:spacing w:before="196"/>
              <w:ind w:left="158" w:right="146"/>
              <w:jc w:val="center"/>
              <w:rPr>
                <w:sz w:val="21"/>
              </w:rPr>
            </w:pPr>
            <w:r>
              <w:rPr>
                <w:rFonts w:hint="eastAsia" w:ascii="Times New Roman" w:eastAsia="宋体"/>
                <w:sz w:val="21"/>
                <w:lang w:val="en-US" w:eastAsia="zh-CN"/>
              </w:rPr>
              <w:t>1</w:t>
            </w:r>
            <w:r>
              <w:rPr>
                <w:rFonts w:ascii="Times New Roman" w:eastAsia="Times New Roman"/>
                <w:sz w:val="21"/>
              </w:rPr>
              <w:t xml:space="preserve">0 </w:t>
            </w:r>
            <w:r>
              <w:rPr>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858" w:type="dxa"/>
            <w:vMerge w:val="continue"/>
            <w:tcBorders>
              <w:right w:val="single" w:color="auto" w:sz="4" w:space="0"/>
            </w:tcBorders>
          </w:tcPr>
          <w:p>
            <w:pPr>
              <w:rPr>
                <w:sz w:val="2"/>
                <w:szCs w:val="2"/>
              </w:rPr>
            </w:pPr>
          </w:p>
        </w:tc>
        <w:tc>
          <w:tcPr>
            <w:tcW w:w="1558" w:type="dxa"/>
            <w:tcBorders>
              <w:top w:val="single" w:color="auto" w:sz="4" w:space="0"/>
              <w:left w:val="single" w:color="auto" w:sz="4" w:space="0"/>
              <w:bottom w:val="single" w:color="auto" w:sz="4" w:space="0"/>
              <w:right w:val="single" w:color="auto" w:sz="4" w:space="0"/>
            </w:tcBorders>
          </w:tcPr>
          <w:p>
            <w:pPr>
              <w:jc w:val="both"/>
              <w:rPr>
                <w:rFonts w:hint="eastAsia"/>
                <w:lang w:eastAsia="zh-CN"/>
              </w:rPr>
            </w:pPr>
          </w:p>
          <w:p>
            <w:pPr>
              <w:jc w:val="center"/>
              <w:rPr>
                <w:rFonts w:hint="eastAsia"/>
                <w:lang w:eastAsia="zh-CN"/>
              </w:rPr>
            </w:pPr>
          </w:p>
          <w:p>
            <w:pPr>
              <w:jc w:val="center"/>
              <w:rPr>
                <w:rFonts w:hint="eastAsia"/>
                <w:lang w:eastAsia="zh-CN"/>
              </w:rPr>
            </w:pPr>
            <w:r>
              <w:rPr>
                <w:rFonts w:hint="eastAsia"/>
                <w:lang w:eastAsia="zh-CN"/>
              </w:rPr>
              <w:t>项目负责人</w:t>
            </w:r>
          </w:p>
          <w:p>
            <w:pPr>
              <w:jc w:val="center"/>
              <w:rPr>
                <w:rFonts w:hint="eastAsia"/>
                <w:lang w:eastAsia="zh-CN"/>
              </w:rPr>
            </w:pPr>
            <w:r>
              <w:rPr>
                <w:rFonts w:hint="eastAsia"/>
                <w:lang w:eastAsia="zh-CN"/>
              </w:rPr>
              <w:t>（</w:t>
            </w:r>
            <w:r>
              <w:rPr>
                <w:rFonts w:hint="eastAsia"/>
                <w:lang w:val="en-US" w:eastAsia="zh-CN"/>
              </w:rPr>
              <w:t>10分</w:t>
            </w:r>
            <w:r>
              <w:rPr>
                <w:rFonts w:hint="eastAsia"/>
                <w:lang w:eastAsia="zh-CN"/>
              </w:rPr>
              <w:t>）</w:t>
            </w:r>
          </w:p>
          <w:p>
            <w:pPr>
              <w:bidi w:val="0"/>
              <w:jc w:val="left"/>
              <w:rPr>
                <w:rFonts w:hint="eastAsia"/>
                <w:lang w:val="zh-CN" w:eastAsia="zh-CN"/>
              </w:rPr>
            </w:pPr>
          </w:p>
          <w:p>
            <w:pPr>
              <w:pStyle w:val="2"/>
              <w:outlineLvl w:val="9"/>
              <w:rPr>
                <w:rFonts w:hint="eastAsia"/>
                <w:lang w:val="zh-CN" w:eastAsia="zh-CN"/>
              </w:rPr>
            </w:pPr>
          </w:p>
        </w:tc>
        <w:tc>
          <w:tcPr>
            <w:tcW w:w="5989" w:type="dxa"/>
            <w:tcBorders>
              <w:left w:val="single" w:color="auto" w:sz="4" w:space="0"/>
            </w:tcBorders>
            <w:vAlign w:val="center"/>
          </w:tcPr>
          <w:p>
            <w:pPr>
              <w:rPr>
                <w:rFonts w:ascii="宋体" w:hAnsi="宋体" w:eastAsia="宋体"/>
                <w:sz w:val="21"/>
                <w:szCs w:val="21"/>
              </w:rPr>
            </w:pPr>
            <w:r>
              <w:rPr>
                <w:rFonts w:hint="eastAsia" w:ascii="宋体" w:hAnsi="宋体" w:eastAsia="宋体"/>
                <w:sz w:val="21"/>
                <w:szCs w:val="21"/>
              </w:rPr>
              <w:t>项目负责人具备水文地质、工程地质、环境地质高级工程师职称的得</w:t>
            </w:r>
            <w:r>
              <w:rPr>
                <w:rFonts w:hint="eastAsia" w:ascii="宋体" w:hAnsi="宋体" w:eastAsia="宋体"/>
                <w:sz w:val="21"/>
                <w:szCs w:val="21"/>
                <w:lang w:val="en-US" w:eastAsia="zh-CN"/>
              </w:rPr>
              <w:t>10</w:t>
            </w:r>
            <w:r>
              <w:rPr>
                <w:rFonts w:hint="eastAsia" w:ascii="宋体" w:hAnsi="宋体" w:eastAsia="宋体"/>
                <w:sz w:val="21"/>
                <w:szCs w:val="21"/>
              </w:rPr>
              <w:t>分；</w:t>
            </w:r>
          </w:p>
          <w:p>
            <w:pPr>
              <w:keepNext w:val="0"/>
              <w:keepLines w:val="0"/>
              <w:widowControl/>
              <w:suppressLineNumbers w:val="0"/>
              <w:jc w:val="left"/>
              <w:rPr>
                <w:sz w:val="21"/>
                <w:szCs w:val="21"/>
              </w:rPr>
            </w:pPr>
            <w:r>
              <w:rPr>
                <w:rFonts w:hint="eastAsia" w:ascii="宋体" w:hAnsi="宋体" w:eastAsia="宋体" w:cs="宋体"/>
                <w:b/>
                <w:sz w:val="21"/>
                <w:szCs w:val="21"/>
                <w:lang w:val="en-US" w:eastAsia="zh-CN" w:bidi="zh-CN"/>
              </w:rPr>
              <w:t>【证明材料：投标文件中提供</w:t>
            </w:r>
            <w:r>
              <w:rPr>
                <w:rFonts w:hint="eastAsia" w:cs="宋体"/>
                <w:b/>
                <w:sz w:val="21"/>
                <w:szCs w:val="21"/>
                <w:lang w:val="en-US" w:eastAsia="zh-CN" w:bidi="zh-CN"/>
              </w:rPr>
              <w:t>职称证</w:t>
            </w:r>
            <w:r>
              <w:rPr>
                <w:rFonts w:hint="default" w:ascii="宋体" w:hAnsi="宋体" w:eastAsia="宋体" w:cs="宋体"/>
                <w:b/>
                <w:sz w:val="21"/>
                <w:szCs w:val="21"/>
                <w:lang w:val="en-US" w:eastAsia="zh-CN" w:bidi="zh-CN"/>
              </w:rPr>
              <w:t>及2020年</w:t>
            </w:r>
            <w:r>
              <w:rPr>
                <w:rFonts w:hint="eastAsia" w:cs="宋体"/>
                <w:b/>
                <w:sz w:val="21"/>
                <w:szCs w:val="21"/>
                <w:lang w:val="en-US" w:eastAsia="zh-CN" w:bidi="zh-CN"/>
              </w:rPr>
              <w:t>9</w:t>
            </w:r>
            <w:r>
              <w:rPr>
                <w:rFonts w:hint="default" w:ascii="宋体" w:hAnsi="宋体" w:eastAsia="宋体" w:cs="宋体"/>
                <w:b/>
                <w:sz w:val="21"/>
                <w:szCs w:val="21"/>
                <w:lang w:val="en-US" w:eastAsia="zh-CN" w:bidi="zh-CN"/>
              </w:rPr>
              <w:t>月至今任意连续</w:t>
            </w:r>
            <w:r>
              <w:rPr>
                <w:rFonts w:hint="eastAsia" w:cs="宋体"/>
                <w:b/>
                <w:sz w:val="21"/>
                <w:szCs w:val="21"/>
                <w:lang w:val="en-US" w:eastAsia="zh-CN" w:bidi="zh-CN"/>
              </w:rPr>
              <w:t>三</w:t>
            </w:r>
            <w:r>
              <w:rPr>
                <w:rFonts w:hint="default" w:ascii="宋体" w:hAnsi="宋体" w:eastAsia="宋体" w:cs="宋体"/>
                <w:b/>
                <w:sz w:val="21"/>
                <w:szCs w:val="21"/>
                <w:lang w:val="en-US" w:eastAsia="zh-CN" w:bidi="zh-CN"/>
              </w:rPr>
              <w:t>个月的社保证明材料复印件加盖公章，开标时需提原件核查（网上打印的社保清单有加盖社保管理单位电子公章的可视为原件）】</w:t>
            </w:r>
          </w:p>
        </w:tc>
        <w:tc>
          <w:tcPr>
            <w:tcW w:w="828" w:type="dxa"/>
            <w:vAlign w:val="center"/>
          </w:tcPr>
          <w:p>
            <w:pPr>
              <w:pStyle w:val="29"/>
              <w:spacing w:before="196"/>
              <w:ind w:left="158" w:right="146"/>
              <w:jc w:val="center"/>
              <w:rPr>
                <w:rFonts w:hint="default" w:eastAsia="宋体"/>
                <w:sz w:val="21"/>
                <w:lang w:val="en-US" w:eastAsia="zh-CN"/>
              </w:rPr>
            </w:pPr>
            <w:r>
              <w:rPr>
                <w:rFonts w:hint="eastAsia"/>
                <w:sz w:val="21"/>
                <w:lang w:val="en-US" w:eastAsia="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858" w:type="dxa"/>
            <w:vMerge w:val="continue"/>
            <w:tcBorders>
              <w:right w:val="single" w:color="auto" w:sz="4" w:space="0"/>
            </w:tcBorders>
          </w:tcPr>
          <w:p>
            <w:pPr>
              <w:rPr>
                <w:sz w:val="2"/>
                <w:szCs w:val="2"/>
              </w:rPr>
            </w:pPr>
          </w:p>
        </w:tc>
        <w:tc>
          <w:tcPr>
            <w:tcW w:w="1558" w:type="dxa"/>
            <w:tcBorders>
              <w:top w:val="single" w:color="auto" w:sz="4" w:space="0"/>
              <w:left w:val="single" w:color="auto" w:sz="4" w:space="0"/>
              <w:bottom w:val="single" w:color="auto" w:sz="4" w:space="0"/>
              <w:right w:val="single" w:color="auto" w:sz="4" w:space="0"/>
            </w:tcBorders>
            <w:vAlign w:val="center"/>
          </w:tcPr>
          <w:p>
            <w:pPr>
              <w:pStyle w:val="29"/>
              <w:rPr>
                <w:b/>
                <w:sz w:val="20"/>
              </w:rPr>
            </w:pPr>
          </w:p>
          <w:p>
            <w:pPr>
              <w:pStyle w:val="29"/>
              <w:rPr>
                <w:b/>
                <w:sz w:val="19"/>
              </w:rPr>
            </w:pPr>
          </w:p>
          <w:p>
            <w:pPr>
              <w:pStyle w:val="29"/>
              <w:spacing w:line="333" w:lineRule="auto"/>
              <w:ind w:left="359" w:right="8" w:rightChars="0"/>
              <w:rPr>
                <w:sz w:val="21"/>
              </w:rPr>
            </w:pPr>
            <w:r>
              <w:rPr>
                <w:spacing w:val="-5"/>
                <w:sz w:val="21"/>
              </w:rPr>
              <w:t>项目</w:t>
            </w:r>
            <w:r>
              <w:rPr>
                <w:rFonts w:hint="eastAsia"/>
                <w:spacing w:val="-5"/>
                <w:sz w:val="21"/>
                <w:lang w:eastAsia="zh-CN"/>
              </w:rPr>
              <w:t>管理</w:t>
            </w:r>
            <w:r>
              <w:rPr>
                <w:spacing w:val="-5"/>
                <w:sz w:val="21"/>
              </w:rPr>
              <w:t>机构配备人员</w:t>
            </w:r>
          </w:p>
          <w:p>
            <w:pPr>
              <w:pStyle w:val="29"/>
              <w:spacing w:line="217" w:lineRule="exact"/>
              <w:ind w:left="333" w:leftChars="0" w:right="0" w:rightChars="0"/>
              <w:rPr>
                <w:rFonts w:hint="eastAsia" w:ascii="宋体" w:hAnsi="宋体" w:eastAsia="宋体" w:cs="宋体"/>
                <w:sz w:val="21"/>
                <w:szCs w:val="22"/>
                <w:lang w:val="zh-CN" w:eastAsia="zh-CN" w:bidi="zh-CN"/>
              </w:rPr>
            </w:pPr>
            <w:r>
              <w:rPr>
                <w:sz w:val="21"/>
              </w:rPr>
              <w:t>（</w:t>
            </w:r>
            <w:r>
              <w:rPr>
                <w:rFonts w:hint="eastAsia" w:ascii="Times New Roman" w:eastAsia="宋体"/>
                <w:sz w:val="21"/>
                <w:lang w:val="en-US" w:eastAsia="zh-CN"/>
              </w:rPr>
              <w:t>15</w:t>
            </w:r>
            <w:r>
              <w:rPr>
                <w:rFonts w:ascii="Times New Roman" w:eastAsia="Times New Roman"/>
                <w:spacing w:val="1"/>
                <w:sz w:val="21"/>
              </w:rPr>
              <w:t xml:space="preserve"> </w:t>
            </w:r>
            <w:r>
              <w:rPr>
                <w:sz w:val="21"/>
              </w:rPr>
              <w:t>分）</w:t>
            </w:r>
          </w:p>
        </w:tc>
        <w:tc>
          <w:tcPr>
            <w:tcW w:w="5989" w:type="dxa"/>
            <w:tcBorders>
              <w:left w:val="single" w:color="auto" w:sz="4" w:space="0"/>
            </w:tcBorders>
            <w:vAlign w:val="top"/>
          </w:tcPr>
          <w:p>
            <w:pPr>
              <w:snapToGrid w:val="0"/>
              <w:spacing w:line="300" w:lineRule="exact"/>
              <w:rPr>
                <w:rFonts w:ascii="宋体" w:hAnsi="宋体" w:eastAsia="宋体"/>
                <w:sz w:val="21"/>
                <w:szCs w:val="21"/>
              </w:rPr>
            </w:pPr>
            <w:r>
              <w:rPr>
                <w:rFonts w:hint="eastAsia" w:ascii="宋体" w:hAnsi="宋体" w:eastAsia="宋体"/>
                <w:sz w:val="21"/>
                <w:szCs w:val="21"/>
              </w:rPr>
              <w:t>除项目负责人外，投标人机构其他人员：</w:t>
            </w:r>
          </w:p>
          <w:p>
            <w:pPr>
              <w:snapToGrid w:val="0"/>
              <w:spacing w:line="300" w:lineRule="exact"/>
              <w:rPr>
                <w:rFonts w:ascii="宋体" w:hAnsi="宋体" w:eastAsia="宋体"/>
                <w:sz w:val="21"/>
                <w:szCs w:val="21"/>
              </w:rPr>
            </w:pPr>
            <w:r>
              <w:rPr>
                <w:rFonts w:hint="eastAsia" w:ascii="宋体" w:hAnsi="宋体" w:eastAsia="宋体"/>
                <w:sz w:val="21"/>
                <w:szCs w:val="21"/>
              </w:rPr>
              <w:t>1、具有水文地质、工程地质、环境地质调查高级职称得</w:t>
            </w:r>
            <w:r>
              <w:rPr>
                <w:rFonts w:hint="eastAsia"/>
                <w:sz w:val="21"/>
                <w:szCs w:val="21"/>
                <w:lang w:val="en-US" w:eastAsia="zh-CN"/>
              </w:rPr>
              <w:t>5</w:t>
            </w:r>
            <w:r>
              <w:rPr>
                <w:rFonts w:hint="eastAsia" w:ascii="宋体" w:hAnsi="宋体" w:eastAsia="宋体"/>
                <w:sz w:val="21"/>
                <w:szCs w:val="21"/>
              </w:rPr>
              <w:t>分，中级职称的得</w:t>
            </w:r>
            <w:r>
              <w:rPr>
                <w:rFonts w:ascii="宋体" w:hAnsi="宋体" w:eastAsia="宋体"/>
                <w:sz w:val="21"/>
                <w:szCs w:val="21"/>
              </w:rPr>
              <w:t>2</w:t>
            </w:r>
            <w:r>
              <w:rPr>
                <w:rFonts w:hint="eastAsia" w:ascii="宋体" w:hAnsi="宋体" w:eastAsia="宋体"/>
                <w:sz w:val="21"/>
                <w:szCs w:val="21"/>
              </w:rPr>
              <w:t>分</w:t>
            </w:r>
            <w:r>
              <w:rPr>
                <w:rFonts w:hint="eastAsia" w:ascii="宋体" w:hAnsi="宋体" w:eastAsia="宋体"/>
                <w:b/>
                <w:bCs/>
                <w:sz w:val="21"/>
                <w:szCs w:val="21"/>
              </w:rPr>
              <w:t>（满分：5分）</w:t>
            </w:r>
          </w:p>
          <w:p>
            <w:pPr>
              <w:snapToGrid w:val="0"/>
              <w:spacing w:line="300" w:lineRule="exact"/>
              <w:rPr>
                <w:rFonts w:ascii="宋体" w:hAnsi="宋体" w:eastAsia="宋体"/>
                <w:sz w:val="21"/>
                <w:szCs w:val="21"/>
              </w:rPr>
            </w:pPr>
            <w:r>
              <w:rPr>
                <w:rFonts w:hint="eastAsia" w:ascii="宋体" w:hAnsi="宋体" w:eastAsia="宋体"/>
                <w:sz w:val="21"/>
                <w:szCs w:val="21"/>
              </w:rPr>
              <w:t>2、具有测绘高级职称得</w:t>
            </w:r>
            <w:r>
              <w:rPr>
                <w:rFonts w:hint="eastAsia"/>
                <w:sz w:val="21"/>
                <w:szCs w:val="21"/>
                <w:lang w:val="en-US" w:eastAsia="zh-CN"/>
              </w:rPr>
              <w:t>5</w:t>
            </w:r>
            <w:r>
              <w:rPr>
                <w:rFonts w:hint="eastAsia" w:ascii="宋体" w:hAnsi="宋体" w:eastAsia="宋体"/>
                <w:sz w:val="21"/>
                <w:szCs w:val="21"/>
              </w:rPr>
              <w:t>分，中级职称的得</w:t>
            </w:r>
            <w:r>
              <w:rPr>
                <w:rFonts w:ascii="宋体" w:hAnsi="宋体" w:eastAsia="宋体"/>
                <w:sz w:val="21"/>
                <w:szCs w:val="21"/>
              </w:rPr>
              <w:t>2</w:t>
            </w:r>
            <w:r>
              <w:rPr>
                <w:rFonts w:hint="eastAsia" w:ascii="宋体" w:hAnsi="宋体" w:eastAsia="宋体"/>
                <w:sz w:val="21"/>
                <w:szCs w:val="21"/>
              </w:rPr>
              <w:t>分</w:t>
            </w:r>
            <w:r>
              <w:rPr>
                <w:rFonts w:hint="eastAsia"/>
                <w:sz w:val="21"/>
                <w:szCs w:val="21"/>
                <w:lang w:eastAsia="zh-CN"/>
              </w:rPr>
              <w:t>。</w:t>
            </w:r>
            <w:r>
              <w:rPr>
                <w:rFonts w:hint="eastAsia" w:ascii="宋体" w:hAnsi="宋体" w:eastAsia="宋体"/>
                <w:b/>
                <w:bCs/>
                <w:sz w:val="21"/>
                <w:szCs w:val="21"/>
              </w:rPr>
              <w:t>（满分：5分）</w:t>
            </w:r>
            <w:r>
              <w:rPr>
                <w:rFonts w:hint="eastAsia" w:ascii="宋体" w:hAnsi="宋体" w:eastAsia="宋体"/>
                <w:sz w:val="21"/>
                <w:szCs w:val="21"/>
              </w:rPr>
              <w:t>；</w:t>
            </w:r>
          </w:p>
          <w:p>
            <w:pPr>
              <w:snapToGrid w:val="0"/>
              <w:spacing w:line="300" w:lineRule="exact"/>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、具有地球物理勘查高级职称得</w:t>
            </w:r>
            <w:r>
              <w:rPr>
                <w:rFonts w:hint="eastAsia"/>
                <w:sz w:val="21"/>
                <w:szCs w:val="21"/>
                <w:lang w:val="en-US" w:eastAsia="zh-CN"/>
              </w:rPr>
              <w:t>5</w:t>
            </w:r>
            <w:r>
              <w:rPr>
                <w:rFonts w:hint="eastAsia" w:ascii="宋体" w:hAnsi="宋体" w:eastAsia="宋体"/>
                <w:sz w:val="21"/>
                <w:szCs w:val="21"/>
              </w:rPr>
              <w:t>分，中级职称的得</w:t>
            </w:r>
            <w:r>
              <w:rPr>
                <w:rFonts w:ascii="宋体" w:hAnsi="宋体" w:eastAsia="宋体"/>
                <w:sz w:val="21"/>
                <w:szCs w:val="21"/>
              </w:rPr>
              <w:t>2</w:t>
            </w:r>
            <w:r>
              <w:rPr>
                <w:rFonts w:hint="eastAsia" w:ascii="宋体" w:hAnsi="宋体" w:eastAsia="宋体"/>
                <w:sz w:val="21"/>
                <w:szCs w:val="21"/>
              </w:rPr>
              <w:t>分</w:t>
            </w:r>
            <w:r>
              <w:rPr>
                <w:rFonts w:hint="eastAsia"/>
                <w:sz w:val="21"/>
                <w:szCs w:val="21"/>
                <w:lang w:eastAsia="zh-CN"/>
              </w:rPr>
              <w:t>。</w:t>
            </w:r>
            <w:r>
              <w:rPr>
                <w:rFonts w:hint="eastAsia" w:ascii="宋体" w:hAnsi="宋体" w:eastAsia="宋体"/>
                <w:b/>
                <w:bCs/>
                <w:sz w:val="21"/>
                <w:szCs w:val="21"/>
              </w:rPr>
              <w:t>（满分：5分）</w:t>
            </w:r>
          </w:p>
          <w:p>
            <w:pPr>
              <w:keepNext w:val="0"/>
              <w:keepLines w:val="0"/>
              <w:widowControl/>
              <w:suppressLineNumbers w:val="0"/>
              <w:jc w:val="left"/>
              <w:rPr>
                <w:rFonts w:hint="eastAsia" w:ascii="宋体" w:hAnsi="宋体" w:eastAsia="宋体" w:cs="宋体"/>
                <w:b/>
                <w:sz w:val="21"/>
                <w:szCs w:val="21"/>
                <w:lang w:val="zh-CN" w:eastAsia="zh-CN" w:bidi="zh-CN"/>
              </w:rPr>
            </w:pPr>
            <w:r>
              <w:rPr>
                <w:rFonts w:hint="eastAsia" w:ascii="宋体" w:hAnsi="宋体" w:eastAsia="宋体" w:cs="宋体"/>
                <w:b/>
                <w:sz w:val="21"/>
                <w:szCs w:val="21"/>
                <w:lang w:val="en-US" w:eastAsia="zh-CN" w:bidi="zh-CN"/>
              </w:rPr>
              <w:t>【证明材料：投标文件中提供</w:t>
            </w:r>
            <w:r>
              <w:rPr>
                <w:rFonts w:hint="eastAsia" w:cs="宋体"/>
                <w:b/>
                <w:sz w:val="21"/>
                <w:szCs w:val="21"/>
                <w:lang w:val="en-US" w:eastAsia="zh-CN" w:bidi="zh-CN"/>
              </w:rPr>
              <w:t>职称证</w:t>
            </w:r>
            <w:r>
              <w:rPr>
                <w:rFonts w:hint="default" w:ascii="宋体" w:hAnsi="宋体" w:eastAsia="宋体" w:cs="宋体"/>
                <w:b/>
                <w:sz w:val="21"/>
                <w:szCs w:val="21"/>
                <w:lang w:val="en-US" w:eastAsia="zh-CN" w:bidi="zh-CN"/>
              </w:rPr>
              <w:t>及202</w:t>
            </w:r>
            <w:r>
              <w:rPr>
                <w:rFonts w:hint="eastAsia" w:cs="宋体"/>
                <w:b/>
                <w:sz w:val="21"/>
                <w:szCs w:val="21"/>
                <w:lang w:val="en-US" w:eastAsia="zh-CN" w:bidi="zh-CN"/>
              </w:rPr>
              <w:t>1</w:t>
            </w:r>
            <w:r>
              <w:rPr>
                <w:rFonts w:hint="default" w:ascii="宋体" w:hAnsi="宋体" w:eastAsia="宋体" w:cs="宋体"/>
                <w:b/>
                <w:sz w:val="21"/>
                <w:szCs w:val="21"/>
                <w:lang w:val="en-US" w:eastAsia="zh-CN" w:bidi="zh-CN"/>
              </w:rPr>
              <w:t>年</w:t>
            </w:r>
            <w:r>
              <w:rPr>
                <w:rFonts w:hint="eastAsia" w:cs="宋体"/>
                <w:b/>
                <w:sz w:val="21"/>
                <w:szCs w:val="21"/>
                <w:lang w:val="en-US" w:eastAsia="zh-CN" w:bidi="zh-CN"/>
              </w:rPr>
              <w:t>1</w:t>
            </w:r>
            <w:r>
              <w:rPr>
                <w:rFonts w:hint="default" w:ascii="宋体" w:hAnsi="宋体" w:eastAsia="宋体" w:cs="宋体"/>
                <w:b/>
                <w:sz w:val="21"/>
                <w:szCs w:val="21"/>
                <w:lang w:val="en-US" w:eastAsia="zh-CN" w:bidi="zh-CN"/>
              </w:rPr>
              <w:t>月至今任意连续</w:t>
            </w:r>
            <w:r>
              <w:rPr>
                <w:rFonts w:hint="eastAsia" w:cs="宋体"/>
                <w:b/>
                <w:sz w:val="21"/>
                <w:szCs w:val="21"/>
                <w:lang w:val="en-US" w:eastAsia="zh-CN" w:bidi="zh-CN"/>
              </w:rPr>
              <w:t>三</w:t>
            </w:r>
            <w:r>
              <w:rPr>
                <w:rFonts w:hint="default" w:ascii="宋体" w:hAnsi="宋体" w:eastAsia="宋体" w:cs="宋体"/>
                <w:b/>
                <w:sz w:val="21"/>
                <w:szCs w:val="21"/>
                <w:lang w:val="en-US" w:eastAsia="zh-CN" w:bidi="zh-CN"/>
              </w:rPr>
              <w:t>个月的社保证明材料复印件加盖公章，开标时需提原件核查（网上打印的社保清单有加盖社保管理单位电子公章的可视为原件）】</w:t>
            </w:r>
          </w:p>
        </w:tc>
        <w:tc>
          <w:tcPr>
            <w:tcW w:w="828" w:type="dxa"/>
            <w:vAlign w:val="center"/>
          </w:tcPr>
          <w:p>
            <w:pPr>
              <w:pStyle w:val="29"/>
              <w:spacing w:before="9"/>
              <w:rPr>
                <w:b/>
                <w:sz w:val="31"/>
              </w:rPr>
            </w:pPr>
          </w:p>
          <w:p>
            <w:pPr>
              <w:pStyle w:val="29"/>
              <w:ind w:left="158" w:leftChars="0" w:right="146" w:rightChars="0"/>
              <w:jc w:val="center"/>
              <w:rPr>
                <w:rFonts w:hint="eastAsia" w:ascii="宋体" w:hAnsi="宋体" w:eastAsia="宋体" w:cs="宋体"/>
                <w:sz w:val="21"/>
                <w:szCs w:val="22"/>
                <w:lang w:val="en-US" w:eastAsia="zh-CN" w:bidi="zh-CN"/>
              </w:rPr>
            </w:pPr>
            <w:r>
              <w:rPr>
                <w:rFonts w:hint="eastAsia" w:ascii="Times New Roman" w:eastAsia="宋体"/>
                <w:sz w:val="21"/>
                <w:lang w:val="en-US" w:eastAsia="zh-CN"/>
              </w:rPr>
              <w:t>15</w:t>
            </w:r>
            <w:r>
              <w:rPr>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 w:hRule="atLeast"/>
          <w:jc w:val="center"/>
        </w:trPr>
        <w:tc>
          <w:tcPr>
            <w:tcW w:w="1858" w:type="dxa"/>
            <w:tcBorders>
              <w:right w:val="single" w:color="auto" w:sz="4" w:space="0"/>
            </w:tcBorders>
          </w:tcPr>
          <w:p>
            <w:pPr>
              <w:rPr>
                <w:sz w:val="2"/>
                <w:szCs w:val="2"/>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服务能力</w:t>
            </w:r>
          </w:p>
          <w:p>
            <w:pPr>
              <w:pStyle w:val="29"/>
              <w:spacing w:line="217" w:lineRule="exact"/>
              <w:ind w:left="107" w:leftChars="0" w:right="0" w:rightChars="0" w:hanging="107" w:hangingChars="51"/>
              <w:jc w:val="center"/>
              <w:rPr>
                <w:sz w:val="21"/>
                <w:szCs w:val="21"/>
              </w:rPr>
            </w:pPr>
            <w:r>
              <w:rPr>
                <w:rFonts w:hint="eastAsia" w:ascii="宋体" w:hAnsi="宋体" w:eastAsia="宋体"/>
                <w:sz w:val="21"/>
                <w:szCs w:val="21"/>
              </w:rPr>
              <w:t>（满分10分）</w:t>
            </w:r>
          </w:p>
        </w:tc>
        <w:tc>
          <w:tcPr>
            <w:tcW w:w="5989" w:type="dxa"/>
            <w:tcBorders>
              <w:left w:val="single" w:color="auto" w:sz="4" w:space="0"/>
            </w:tcBorders>
            <w:vAlign w:val="center"/>
          </w:tcPr>
          <w:p>
            <w:pPr>
              <w:snapToGrid w:val="0"/>
              <w:spacing w:line="300" w:lineRule="auto"/>
              <w:rPr>
                <w:rFonts w:ascii="宋体" w:hAnsi="宋体" w:eastAsia="宋体" w:cs="宋体"/>
                <w:sz w:val="21"/>
                <w:szCs w:val="21"/>
              </w:rPr>
            </w:pPr>
            <w:r>
              <w:rPr>
                <w:rFonts w:hint="eastAsia" w:ascii="宋体" w:hAnsi="宋体" w:eastAsia="宋体" w:cs="宋体"/>
                <w:sz w:val="21"/>
                <w:szCs w:val="21"/>
              </w:rPr>
              <w:t>投标人技术服务支持，即技术服务队伍人数&gt;40人得10分；人数在30--40人得5分；其他情况不得分。</w:t>
            </w:r>
          </w:p>
          <w:p>
            <w:pPr>
              <w:snapToGrid w:val="0"/>
              <w:spacing w:line="300" w:lineRule="auto"/>
              <w:rPr>
                <w:rFonts w:ascii="宋体" w:hAnsi="宋体" w:eastAsia="宋体" w:cs="宋体"/>
                <w:sz w:val="21"/>
                <w:szCs w:val="21"/>
              </w:rPr>
            </w:pPr>
          </w:p>
          <w:p>
            <w:pPr>
              <w:keepNext w:val="0"/>
              <w:keepLines w:val="0"/>
              <w:widowControl/>
              <w:suppressLineNumbers w:val="0"/>
              <w:jc w:val="left"/>
              <w:rPr>
                <w:rFonts w:hint="eastAsia" w:ascii="宋体" w:hAnsi="宋体" w:eastAsia="宋体"/>
                <w:b/>
                <w:sz w:val="21"/>
                <w:szCs w:val="21"/>
              </w:rPr>
            </w:pPr>
            <w:r>
              <w:rPr>
                <w:rFonts w:hint="eastAsia" w:ascii="宋体" w:hAnsi="宋体" w:eastAsia="宋体"/>
                <w:b/>
                <w:sz w:val="21"/>
                <w:szCs w:val="21"/>
              </w:rPr>
              <w:t>证明材料：</w:t>
            </w:r>
            <w:r>
              <w:rPr>
                <w:rFonts w:hint="eastAsia" w:ascii="宋体" w:hAnsi="宋体" w:eastAsia="宋体" w:cs="宋体"/>
                <w:b/>
                <w:sz w:val="21"/>
                <w:szCs w:val="21"/>
                <w:lang w:val="en-US" w:eastAsia="zh-CN" w:bidi="zh-CN"/>
              </w:rPr>
              <w:t>投标文件中提供</w:t>
            </w:r>
            <w:r>
              <w:rPr>
                <w:rFonts w:hint="default" w:ascii="宋体" w:hAnsi="宋体" w:eastAsia="宋体" w:cs="宋体"/>
                <w:b/>
                <w:sz w:val="21"/>
                <w:szCs w:val="21"/>
                <w:lang w:val="en-US" w:eastAsia="zh-CN" w:bidi="zh-CN"/>
              </w:rPr>
              <w:t>202</w:t>
            </w:r>
            <w:r>
              <w:rPr>
                <w:rFonts w:hint="eastAsia" w:cs="宋体"/>
                <w:b/>
                <w:sz w:val="21"/>
                <w:szCs w:val="21"/>
                <w:lang w:val="en-US" w:eastAsia="zh-CN" w:bidi="zh-CN"/>
              </w:rPr>
              <w:t>1</w:t>
            </w:r>
            <w:r>
              <w:rPr>
                <w:rFonts w:hint="default" w:ascii="宋体" w:hAnsi="宋体" w:eastAsia="宋体" w:cs="宋体"/>
                <w:b/>
                <w:sz w:val="21"/>
                <w:szCs w:val="21"/>
                <w:lang w:val="en-US" w:eastAsia="zh-CN" w:bidi="zh-CN"/>
              </w:rPr>
              <w:t>年</w:t>
            </w:r>
            <w:r>
              <w:rPr>
                <w:rFonts w:hint="eastAsia" w:cs="宋体"/>
                <w:b/>
                <w:sz w:val="21"/>
                <w:szCs w:val="21"/>
                <w:lang w:val="en-US" w:eastAsia="zh-CN" w:bidi="zh-CN"/>
              </w:rPr>
              <w:t>1</w:t>
            </w:r>
            <w:r>
              <w:rPr>
                <w:rFonts w:hint="default" w:ascii="宋体" w:hAnsi="宋体" w:eastAsia="宋体" w:cs="宋体"/>
                <w:b/>
                <w:sz w:val="21"/>
                <w:szCs w:val="21"/>
                <w:lang w:val="en-US" w:eastAsia="zh-CN" w:bidi="zh-CN"/>
              </w:rPr>
              <w:t>月至今任意连续</w:t>
            </w:r>
            <w:r>
              <w:rPr>
                <w:rFonts w:hint="eastAsia" w:cs="宋体"/>
                <w:b/>
                <w:sz w:val="21"/>
                <w:szCs w:val="21"/>
                <w:lang w:val="en-US" w:eastAsia="zh-CN" w:bidi="zh-CN"/>
              </w:rPr>
              <w:t>三</w:t>
            </w:r>
            <w:r>
              <w:rPr>
                <w:rFonts w:hint="default" w:ascii="宋体" w:hAnsi="宋体" w:eastAsia="宋体" w:cs="宋体"/>
                <w:b/>
                <w:sz w:val="21"/>
                <w:szCs w:val="21"/>
                <w:lang w:val="en-US" w:eastAsia="zh-CN" w:bidi="zh-CN"/>
              </w:rPr>
              <w:t>个月的社保证明材料复印件加盖公章，开标时需提原件核查（网上打印的社保清单有加盖社保管理单位电子公章的可视为原件）】</w:t>
            </w:r>
          </w:p>
        </w:tc>
        <w:tc>
          <w:tcPr>
            <w:tcW w:w="828" w:type="dxa"/>
            <w:vAlign w:val="center"/>
          </w:tcPr>
          <w:p>
            <w:pPr>
              <w:pStyle w:val="29"/>
              <w:ind w:left="158" w:leftChars="0" w:right="146" w:rightChars="0"/>
              <w:jc w:val="center"/>
              <w:rPr>
                <w:rFonts w:hint="eastAsia" w:ascii="Times New Roman" w:eastAsia="宋体"/>
                <w:sz w:val="21"/>
                <w:szCs w:val="21"/>
                <w:lang w:val="en-US" w:eastAsia="zh-CN"/>
              </w:rPr>
            </w:pPr>
          </w:p>
          <w:p>
            <w:pPr>
              <w:pStyle w:val="29"/>
              <w:ind w:left="158" w:leftChars="0" w:right="146" w:rightChars="0"/>
              <w:jc w:val="center"/>
              <w:rPr>
                <w:rFonts w:hint="eastAsia" w:ascii="Times New Roman" w:eastAsia="宋体"/>
                <w:sz w:val="21"/>
                <w:szCs w:val="21"/>
                <w:lang w:val="en-US" w:eastAsia="zh-CN"/>
              </w:rPr>
            </w:pPr>
          </w:p>
          <w:p>
            <w:pPr>
              <w:pStyle w:val="29"/>
              <w:ind w:right="146" w:rightChars="0"/>
              <w:jc w:val="center"/>
              <w:rPr>
                <w:rFonts w:hint="default" w:ascii="Times New Roman" w:eastAsia="宋体"/>
                <w:sz w:val="21"/>
                <w:szCs w:val="21"/>
                <w:lang w:val="en-US" w:eastAsia="zh-CN"/>
              </w:rPr>
            </w:pPr>
            <w:r>
              <w:rPr>
                <w:rFonts w:hint="eastAsia" w:ascii="Times New Roman" w:eastAsia="宋体"/>
                <w:sz w:val="21"/>
                <w:szCs w:val="21"/>
                <w:lang w:val="en-US" w:eastAsia="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 w:hRule="atLeast"/>
          <w:jc w:val="center"/>
        </w:trPr>
        <w:tc>
          <w:tcPr>
            <w:tcW w:w="1858" w:type="dxa"/>
            <w:tcBorders>
              <w:right w:val="single" w:color="auto" w:sz="4" w:space="0"/>
            </w:tcBorders>
            <w:vAlign w:val="center"/>
          </w:tcPr>
          <w:p>
            <w:pPr>
              <w:pStyle w:val="29"/>
              <w:rPr>
                <w:b/>
                <w:sz w:val="20"/>
              </w:rPr>
            </w:pPr>
          </w:p>
          <w:p>
            <w:pPr>
              <w:pStyle w:val="29"/>
              <w:spacing w:before="2"/>
              <w:rPr>
                <w:b/>
                <w:sz w:val="27"/>
              </w:rPr>
            </w:pPr>
          </w:p>
          <w:p>
            <w:pPr>
              <w:pStyle w:val="29"/>
              <w:spacing w:before="1"/>
              <w:ind w:left="509"/>
              <w:rPr>
                <w:b/>
                <w:sz w:val="21"/>
              </w:rPr>
            </w:pPr>
            <w:r>
              <w:rPr>
                <w:b/>
                <w:sz w:val="21"/>
              </w:rPr>
              <w:t>技术部分</w:t>
            </w:r>
          </w:p>
          <w:p>
            <w:pPr>
              <w:pStyle w:val="29"/>
              <w:spacing w:before="57"/>
              <w:ind w:left="482" w:leftChars="0" w:right="0" w:rightChars="0"/>
              <w:rPr>
                <w:rFonts w:ascii="宋体" w:hAnsi="宋体" w:eastAsia="宋体" w:cs="宋体"/>
                <w:sz w:val="2"/>
                <w:szCs w:val="2"/>
                <w:lang w:val="zh-CN" w:eastAsia="zh-CN" w:bidi="zh-CN"/>
              </w:rPr>
            </w:pPr>
            <w:r>
              <w:rPr>
                <w:b/>
                <w:sz w:val="21"/>
              </w:rPr>
              <w:t>（</w:t>
            </w:r>
            <w:r>
              <w:rPr>
                <w:rFonts w:hint="eastAsia" w:ascii="Times New Roman" w:eastAsia="宋体"/>
                <w:b/>
                <w:sz w:val="21"/>
                <w:lang w:val="en-US" w:eastAsia="zh-CN"/>
              </w:rPr>
              <w:t>45</w:t>
            </w:r>
            <w:r>
              <w:rPr>
                <w:rFonts w:ascii="Times New Roman" w:eastAsia="Times New Roman"/>
                <w:b/>
                <w:spacing w:val="-2"/>
                <w:sz w:val="21"/>
              </w:rPr>
              <w:t xml:space="preserve"> </w:t>
            </w:r>
            <w:r>
              <w:rPr>
                <w:b/>
                <w:sz w:val="21"/>
              </w:rPr>
              <w:t>分）</w:t>
            </w:r>
          </w:p>
        </w:tc>
        <w:tc>
          <w:tcPr>
            <w:tcW w:w="1558" w:type="dxa"/>
            <w:tcBorders>
              <w:top w:val="single" w:color="auto" w:sz="4" w:space="0"/>
              <w:left w:val="single" w:color="auto" w:sz="4" w:space="0"/>
              <w:bottom w:val="single" w:color="auto" w:sz="4" w:space="0"/>
              <w:right w:val="single" w:color="auto" w:sz="4" w:space="0"/>
            </w:tcBorders>
            <w:vAlign w:val="center"/>
          </w:tcPr>
          <w:p>
            <w:pPr>
              <w:pStyle w:val="29"/>
              <w:rPr>
                <w:b/>
                <w:sz w:val="20"/>
              </w:rPr>
            </w:pPr>
          </w:p>
          <w:p>
            <w:pPr>
              <w:pStyle w:val="29"/>
              <w:spacing w:before="6"/>
              <w:rPr>
                <w:b/>
                <w:sz w:val="14"/>
              </w:rPr>
            </w:pPr>
          </w:p>
          <w:p>
            <w:pPr>
              <w:pStyle w:val="29"/>
              <w:spacing w:line="290" w:lineRule="auto"/>
              <w:ind w:left="358" w:leftChars="0" w:right="8" w:rightChars="0" w:hanging="358" w:hangingChars="179"/>
              <w:jc w:val="center"/>
              <w:rPr>
                <w:sz w:val="21"/>
              </w:rPr>
            </w:pPr>
            <w:r>
              <w:rPr>
                <w:rFonts w:hint="eastAsia"/>
                <w:spacing w:val="-5"/>
                <w:sz w:val="21"/>
                <w:lang w:eastAsia="zh-CN"/>
              </w:rPr>
              <w:t>技术</w:t>
            </w:r>
            <w:r>
              <w:rPr>
                <w:spacing w:val="-5"/>
                <w:sz w:val="21"/>
              </w:rPr>
              <w:t>服务方案</w:t>
            </w:r>
          </w:p>
          <w:p>
            <w:pPr>
              <w:pStyle w:val="29"/>
              <w:spacing w:before="2"/>
              <w:ind w:left="333" w:leftChars="0" w:right="0" w:rightChars="0"/>
              <w:rPr>
                <w:rFonts w:hint="eastAsia" w:ascii="宋体" w:hAnsi="宋体" w:eastAsia="宋体" w:cs="宋体"/>
                <w:sz w:val="21"/>
                <w:szCs w:val="22"/>
                <w:lang w:val="zh-CN" w:eastAsia="zh-CN" w:bidi="zh-CN"/>
              </w:rPr>
            </w:pPr>
            <w:r>
              <w:rPr>
                <w:sz w:val="21"/>
              </w:rPr>
              <w:t>（</w:t>
            </w:r>
            <w:r>
              <w:rPr>
                <w:rFonts w:hint="eastAsia" w:ascii="Times New Roman"/>
                <w:sz w:val="21"/>
                <w:lang w:val="en-US" w:eastAsia="zh-CN"/>
              </w:rPr>
              <w:t>4</w:t>
            </w:r>
            <w:r>
              <w:rPr>
                <w:rFonts w:hint="eastAsia" w:ascii="Times New Roman" w:eastAsia="宋体"/>
                <w:sz w:val="21"/>
                <w:lang w:val="en-US" w:eastAsia="zh-CN"/>
              </w:rPr>
              <w:t>5</w:t>
            </w:r>
            <w:r>
              <w:rPr>
                <w:rFonts w:ascii="Times New Roman" w:eastAsia="Times New Roman"/>
                <w:spacing w:val="1"/>
                <w:sz w:val="21"/>
              </w:rPr>
              <w:t xml:space="preserve"> </w:t>
            </w:r>
            <w:r>
              <w:rPr>
                <w:sz w:val="21"/>
              </w:rPr>
              <w:t>分）</w:t>
            </w:r>
          </w:p>
        </w:tc>
        <w:tc>
          <w:tcPr>
            <w:tcW w:w="5989" w:type="dxa"/>
            <w:tcBorders>
              <w:left w:val="single" w:color="auto" w:sz="4" w:space="0"/>
            </w:tcBorders>
            <w:vAlign w:val="top"/>
          </w:tcPr>
          <w:p>
            <w:pPr>
              <w:snapToGrid w:val="0"/>
              <w:spacing w:line="300" w:lineRule="exact"/>
              <w:ind w:firstLine="420" w:firstLineChars="200"/>
              <w:rPr>
                <w:rFonts w:hint="eastAsia" w:ascii="宋体" w:hAnsi="宋体" w:eastAsia="宋体"/>
                <w:sz w:val="21"/>
                <w:szCs w:val="21"/>
              </w:rPr>
            </w:pPr>
            <w:r>
              <w:rPr>
                <w:rFonts w:hint="eastAsia" w:ascii="宋体" w:hAnsi="宋体" w:eastAsia="宋体"/>
                <w:sz w:val="21"/>
                <w:szCs w:val="21"/>
              </w:rPr>
              <w:t>方案思路新、针对性强，管理设想新颖、服务定位明确、可行，可根据以下各方面综合评分：</w:t>
            </w:r>
          </w:p>
          <w:p>
            <w:pPr>
              <w:snapToGrid w:val="0"/>
              <w:spacing w:line="300" w:lineRule="exact"/>
              <w:ind w:firstLine="420" w:firstLineChars="200"/>
              <w:rPr>
                <w:rFonts w:hint="eastAsia" w:ascii="宋体" w:hAnsi="宋体" w:eastAsia="宋体"/>
                <w:sz w:val="21"/>
                <w:szCs w:val="21"/>
              </w:rPr>
            </w:pPr>
            <w:r>
              <w:rPr>
                <w:rFonts w:hint="eastAsia" w:ascii="宋体" w:hAnsi="宋体" w:eastAsia="宋体"/>
                <w:sz w:val="21"/>
                <w:szCs w:val="21"/>
              </w:rPr>
              <w:t>1、目标任务符合总体要求，对目标任务进行了具体分解，对项目要解决的问题表述清楚，优：5分，良：3-4分，一般：1-2分</w:t>
            </w:r>
            <w:r>
              <w:rPr>
                <w:rFonts w:hint="eastAsia" w:ascii="宋体" w:hAnsi="宋体" w:eastAsia="宋体"/>
                <w:b/>
                <w:bCs/>
                <w:sz w:val="21"/>
                <w:szCs w:val="21"/>
              </w:rPr>
              <w:t>（满分：5分）</w:t>
            </w:r>
            <w:r>
              <w:rPr>
                <w:rFonts w:hint="eastAsia" w:ascii="宋体" w:hAnsi="宋体" w:eastAsia="宋体"/>
                <w:sz w:val="21"/>
                <w:szCs w:val="21"/>
              </w:rPr>
              <w:t>。</w:t>
            </w:r>
          </w:p>
          <w:p>
            <w:pPr>
              <w:snapToGrid w:val="0"/>
              <w:spacing w:line="300" w:lineRule="exact"/>
              <w:ind w:firstLine="420" w:firstLineChars="200"/>
              <w:rPr>
                <w:rFonts w:hint="eastAsia" w:ascii="宋体" w:hAnsi="宋体" w:eastAsia="宋体"/>
                <w:sz w:val="21"/>
                <w:szCs w:val="21"/>
              </w:rPr>
            </w:pPr>
            <w:r>
              <w:rPr>
                <w:rFonts w:hint="eastAsia" w:ascii="宋体" w:hAnsi="宋体" w:eastAsia="宋体"/>
                <w:sz w:val="21"/>
                <w:szCs w:val="21"/>
              </w:rPr>
              <w:t>2、方案有较好的地质依据（对以往资料收集齐全，对以往成果评述准确并充分利用），优：5分，良：3-4分，一般：1-2分</w:t>
            </w:r>
            <w:r>
              <w:rPr>
                <w:rFonts w:hint="eastAsia" w:ascii="宋体" w:hAnsi="宋体" w:eastAsia="宋体"/>
                <w:b/>
                <w:bCs/>
                <w:sz w:val="21"/>
                <w:szCs w:val="21"/>
              </w:rPr>
              <w:t>（满分：5分）</w:t>
            </w:r>
            <w:r>
              <w:rPr>
                <w:rFonts w:hint="eastAsia" w:ascii="宋体" w:hAnsi="宋体" w:eastAsia="宋体"/>
                <w:sz w:val="21"/>
                <w:szCs w:val="21"/>
              </w:rPr>
              <w:t>。</w:t>
            </w:r>
          </w:p>
          <w:p>
            <w:pPr>
              <w:snapToGrid w:val="0"/>
              <w:spacing w:line="300" w:lineRule="exact"/>
              <w:ind w:firstLine="420" w:firstLineChars="200"/>
              <w:rPr>
                <w:rFonts w:hint="eastAsia" w:ascii="宋体" w:hAnsi="宋体" w:eastAsia="宋体"/>
                <w:sz w:val="21"/>
                <w:szCs w:val="21"/>
              </w:rPr>
            </w:pPr>
            <w:r>
              <w:rPr>
                <w:rFonts w:hint="eastAsia" w:ascii="宋体" w:hAnsi="宋体" w:eastAsia="宋体"/>
                <w:sz w:val="21"/>
                <w:szCs w:val="21"/>
              </w:rPr>
              <w:t>3、工作部署、工作方法和技术路线</w:t>
            </w:r>
            <w:r>
              <w:rPr>
                <w:rFonts w:hint="eastAsia" w:ascii="宋体" w:hAnsi="宋体" w:eastAsia="宋体"/>
                <w:b/>
                <w:bCs/>
                <w:sz w:val="21"/>
                <w:szCs w:val="21"/>
              </w:rPr>
              <w:t>（共</w:t>
            </w:r>
            <w:r>
              <w:rPr>
                <w:rFonts w:hint="eastAsia"/>
                <w:b/>
                <w:bCs/>
                <w:sz w:val="21"/>
                <w:szCs w:val="21"/>
                <w:lang w:val="en-US" w:eastAsia="zh-CN"/>
              </w:rPr>
              <w:t>2</w:t>
            </w:r>
            <w:r>
              <w:rPr>
                <w:rFonts w:hint="eastAsia" w:ascii="宋体" w:hAnsi="宋体" w:eastAsia="宋体"/>
                <w:b/>
                <w:bCs/>
                <w:sz w:val="21"/>
                <w:szCs w:val="21"/>
              </w:rPr>
              <w:t>5分）</w:t>
            </w:r>
            <w:r>
              <w:rPr>
                <w:rFonts w:hint="eastAsia" w:ascii="宋体" w:hAnsi="宋体" w:eastAsia="宋体"/>
                <w:sz w:val="21"/>
                <w:szCs w:val="21"/>
              </w:rPr>
              <w:t>。</w:t>
            </w:r>
          </w:p>
          <w:p>
            <w:pPr>
              <w:snapToGrid w:val="0"/>
              <w:spacing w:line="300" w:lineRule="exact"/>
              <w:ind w:firstLine="420" w:firstLineChars="200"/>
              <w:rPr>
                <w:rFonts w:hint="eastAsia" w:ascii="宋体" w:hAnsi="宋体" w:eastAsia="宋体"/>
                <w:sz w:val="21"/>
                <w:szCs w:val="21"/>
              </w:rPr>
            </w:pPr>
            <w:r>
              <w:rPr>
                <w:rFonts w:hint="eastAsia" w:ascii="宋体" w:hAnsi="宋体" w:eastAsia="宋体"/>
                <w:sz w:val="21"/>
                <w:szCs w:val="21"/>
              </w:rPr>
              <w:t>(1)总体工作部署合理，工作阶段划分明确、依据充分，调查工作顺序合理，优：5分，良：3-4分，一般：1-2分</w:t>
            </w:r>
            <w:r>
              <w:rPr>
                <w:rFonts w:hint="eastAsia" w:ascii="宋体" w:hAnsi="宋体" w:eastAsia="宋体"/>
                <w:b/>
                <w:bCs/>
                <w:sz w:val="21"/>
                <w:szCs w:val="21"/>
              </w:rPr>
              <w:t>（满分：5分）</w:t>
            </w:r>
            <w:r>
              <w:rPr>
                <w:rFonts w:hint="eastAsia" w:ascii="宋体" w:hAnsi="宋体" w:eastAsia="宋体"/>
                <w:sz w:val="21"/>
                <w:szCs w:val="21"/>
              </w:rPr>
              <w:t>。</w:t>
            </w:r>
          </w:p>
          <w:p>
            <w:pPr>
              <w:snapToGrid w:val="0"/>
              <w:spacing w:line="300" w:lineRule="exact"/>
              <w:ind w:firstLine="420" w:firstLineChars="200"/>
              <w:rPr>
                <w:rFonts w:hint="eastAsia" w:ascii="宋体" w:hAnsi="宋体" w:eastAsia="宋体"/>
                <w:sz w:val="21"/>
                <w:szCs w:val="21"/>
              </w:rPr>
            </w:pPr>
            <w:r>
              <w:rPr>
                <w:rFonts w:hint="eastAsia" w:ascii="宋体" w:hAnsi="宋体" w:eastAsia="宋体"/>
                <w:sz w:val="21"/>
                <w:szCs w:val="21"/>
              </w:rPr>
              <w:t>（2）工作部署能达到预期成果目标，优：5分，良：3-4分，一般：1-2分</w:t>
            </w:r>
            <w:r>
              <w:rPr>
                <w:rFonts w:hint="eastAsia" w:ascii="宋体" w:hAnsi="宋体" w:eastAsia="宋体"/>
                <w:b/>
                <w:bCs/>
                <w:sz w:val="21"/>
                <w:szCs w:val="21"/>
              </w:rPr>
              <w:t>（满分：5分）</w:t>
            </w:r>
            <w:r>
              <w:rPr>
                <w:rFonts w:hint="eastAsia" w:ascii="宋体" w:hAnsi="宋体" w:eastAsia="宋体"/>
                <w:sz w:val="21"/>
                <w:szCs w:val="21"/>
              </w:rPr>
              <w:t>。</w:t>
            </w:r>
          </w:p>
          <w:p>
            <w:pPr>
              <w:snapToGrid w:val="0"/>
              <w:spacing w:line="300" w:lineRule="exact"/>
              <w:ind w:firstLine="420" w:firstLineChars="200"/>
              <w:rPr>
                <w:rFonts w:hint="eastAsia" w:ascii="宋体" w:hAnsi="宋体" w:eastAsia="宋体"/>
                <w:sz w:val="21"/>
                <w:szCs w:val="21"/>
              </w:rPr>
            </w:pPr>
            <w:r>
              <w:rPr>
                <w:rFonts w:hint="eastAsia" w:ascii="宋体" w:hAnsi="宋体" w:eastAsia="宋体"/>
                <w:sz w:val="21"/>
                <w:szCs w:val="21"/>
              </w:rPr>
              <w:t>（3）各项具体工作安排和工程布置的明确、依据充分，工作安排合理，优：5分，良：3-4分，一般：1-2分</w:t>
            </w:r>
            <w:r>
              <w:rPr>
                <w:rFonts w:hint="eastAsia" w:ascii="宋体" w:hAnsi="宋体" w:eastAsia="宋体"/>
                <w:b/>
                <w:bCs/>
                <w:sz w:val="21"/>
                <w:szCs w:val="21"/>
              </w:rPr>
              <w:t>（满分：5分）</w:t>
            </w:r>
            <w:r>
              <w:rPr>
                <w:rFonts w:hint="eastAsia" w:ascii="宋体" w:hAnsi="宋体" w:eastAsia="宋体"/>
                <w:sz w:val="21"/>
                <w:szCs w:val="21"/>
              </w:rPr>
              <w:t>。</w:t>
            </w:r>
          </w:p>
          <w:p>
            <w:pPr>
              <w:snapToGrid w:val="0"/>
              <w:spacing w:line="300" w:lineRule="exact"/>
              <w:ind w:firstLine="420" w:firstLineChars="200"/>
              <w:rPr>
                <w:rFonts w:hint="eastAsia" w:ascii="宋体" w:hAnsi="宋体" w:eastAsia="宋体"/>
                <w:sz w:val="21"/>
                <w:szCs w:val="21"/>
              </w:rPr>
            </w:pPr>
            <w:r>
              <w:rPr>
                <w:rFonts w:hint="eastAsia" w:ascii="宋体" w:hAnsi="宋体" w:eastAsia="宋体"/>
                <w:sz w:val="21"/>
                <w:szCs w:val="21"/>
              </w:rPr>
              <w:t>（4）技术路线可行，工作方法选择得当，可操作性强，优：5分，良：3-4分，一般：1-2分</w:t>
            </w:r>
            <w:r>
              <w:rPr>
                <w:rFonts w:hint="eastAsia" w:ascii="宋体" w:hAnsi="宋体" w:eastAsia="宋体"/>
                <w:b/>
                <w:bCs/>
                <w:sz w:val="21"/>
                <w:szCs w:val="21"/>
              </w:rPr>
              <w:t>（满分：5分）</w:t>
            </w:r>
            <w:r>
              <w:rPr>
                <w:rFonts w:hint="eastAsia" w:ascii="宋体" w:hAnsi="宋体" w:eastAsia="宋体"/>
                <w:sz w:val="21"/>
                <w:szCs w:val="21"/>
              </w:rPr>
              <w:t>。</w:t>
            </w:r>
          </w:p>
          <w:p>
            <w:pPr>
              <w:snapToGrid w:val="0"/>
              <w:spacing w:line="300" w:lineRule="exact"/>
              <w:ind w:firstLine="420" w:firstLineChars="200"/>
              <w:rPr>
                <w:rFonts w:hint="eastAsia" w:ascii="宋体" w:hAnsi="宋体" w:eastAsia="宋体"/>
                <w:sz w:val="21"/>
                <w:szCs w:val="21"/>
              </w:rPr>
            </w:pPr>
            <w:r>
              <w:rPr>
                <w:rFonts w:hint="eastAsia" w:ascii="宋体" w:hAnsi="宋体" w:eastAsia="宋体"/>
                <w:sz w:val="21"/>
                <w:szCs w:val="21"/>
              </w:rPr>
              <w:t>（5）调查工作质量要求明确，并符合相关规范，优：5分，良：3-4分，一般：1-2分</w:t>
            </w:r>
            <w:r>
              <w:rPr>
                <w:rFonts w:hint="eastAsia" w:ascii="宋体" w:hAnsi="宋体" w:eastAsia="宋体"/>
                <w:b/>
                <w:bCs/>
                <w:sz w:val="21"/>
                <w:szCs w:val="21"/>
              </w:rPr>
              <w:t>（满分：5分）</w:t>
            </w:r>
            <w:r>
              <w:rPr>
                <w:rFonts w:hint="eastAsia" w:ascii="宋体" w:hAnsi="宋体" w:eastAsia="宋体"/>
                <w:sz w:val="21"/>
                <w:szCs w:val="21"/>
              </w:rPr>
              <w:t>。</w:t>
            </w:r>
          </w:p>
          <w:p>
            <w:pPr>
              <w:snapToGrid w:val="0"/>
              <w:spacing w:line="300" w:lineRule="exact"/>
              <w:ind w:firstLine="420" w:firstLineChars="200"/>
              <w:rPr>
                <w:rFonts w:hint="eastAsia" w:ascii="宋体" w:hAnsi="宋体" w:eastAsia="宋体"/>
                <w:sz w:val="21"/>
                <w:szCs w:val="21"/>
              </w:rPr>
            </w:pPr>
            <w:r>
              <w:rPr>
                <w:rFonts w:hint="eastAsia" w:ascii="宋体" w:hAnsi="宋体" w:eastAsia="宋体"/>
                <w:sz w:val="21"/>
                <w:szCs w:val="21"/>
              </w:rPr>
              <w:t>4、组织管理和质量保证：</w:t>
            </w:r>
            <w:r>
              <w:rPr>
                <w:rFonts w:hint="eastAsia" w:ascii="宋体" w:hAnsi="宋体" w:eastAsia="宋体"/>
                <w:b/>
                <w:bCs/>
                <w:sz w:val="21"/>
                <w:szCs w:val="21"/>
              </w:rPr>
              <w:t>（共10分）</w:t>
            </w:r>
            <w:r>
              <w:rPr>
                <w:rFonts w:hint="eastAsia" w:ascii="宋体" w:hAnsi="宋体" w:eastAsia="宋体"/>
                <w:sz w:val="21"/>
                <w:szCs w:val="21"/>
              </w:rPr>
              <w:t>。</w:t>
            </w:r>
          </w:p>
          <w:p>
            <w:pPr>
              <w:snapToGrid w:val="0"/>
              <w:spacing w:line="300" w:lineRule="exact"/>
              <w:ind w:firstLine="420" w:firstLineChars="200"/>
              <w:rPr>
                <w:rFonts w:hint="eastAsia" w:ascii="宋体" w:hAnsi="宋体" w:eastAsia="宋体"/>
                <w:sz w:val="21"/>
                <w:szCs w:val="21"/>
              </w:rPr>
            </w:pPr>
            <w:r>
              <w:rPr>
                <w:rFonts w:hint="eastAsia" w:ascii="宋体" w:hAnsi="宋体" w:eastAsia="宋体"/>
                <w:sz w:val="21"/>
                <w:szCs w:val="21"/>
              </w:rPr>
              <w:t>（1）人员配置、管理是否合理，技术人员的水平是否熟悉相关业务，满足项目任务需要，优：3分，良：2分，一般：1分</w:t>
            </w:r>
            <w:r>
              <w:rPr>
                <w:rFonts w:hint="eastAsia" w:ascii="宋体" w:hAnsi="宋体" w:eastAsia="宋体"/>
                <w:b/>
                <w:bCs/>
                <w:sz w:val="21"/>
                <w:szCs w:val="21"/>
              </w:rPr>
              <w:t>（满分：3分）</w:t>
            </w:r>
            <w:r>
              <w:rPr>
                <w:rFonts w:hint="eastAsia" w:ascii="宋体" w:hAnsi="宋体" w:eastAsia="宋体"/>
                <w:sz w:val="21"/>
                <w:szCs w:val="21"/>
              </w:rPr>
              <w:t>。</w:t>
            </w:r>
          </w:p>
          <w:p>
            <w:pPr>
              <w:snapToGrid w:val="0"/>
              <w:spacing w:line="300" w:lineRule="exact"/>
              <w:ind w:firstLine="420" w:firstLineChars="200"/>
              <w:rPr>
                <w:rFonts w:hint="eastAsia" w:ascii="宋体" w:hAnsi="宋体" w:eastAsia="宋体"/>
                <w:sz w:val="21"/>
                <w:szCs w:val="21"/>
              </w:rPr>
            </w:pPr>
            <w:r>
              <w:rPr>
                <w:rFonts w:hint="eastAsia" w:ascii="宋体" w:hAnsi="宋体" w:eastAsia="宋体"/>
                <w:sz w:val="21"/>
                <w:szCs w:val="21"/>
              </w:rPr>
              <w:t>（2）质量保证，措施完备，优：2分，良：1分，一般：不得分</w:t>
            </w:r>
            <w:r>
              <w:rPr>
                <w:rFonts w:hint="eastAsia" w:ascii="宋体" w:hAnsi="宋体" w:eastAsia="宋体"/>
                <w:b/>
                <w:bCs/>
                <w:sz w:val="21"/>
                <w:szCs w:val="21"/>
              </w:rPr>
              <w:t>（满分：2分）</w:t>
            </w:r>
            <w:r>
              <w:rPr>
                <w:rFonts w:hint="eastAsia" w:ascii="宋体" w:hAnsi="宋体" w:eastAsia="宋体"/>
                <w:sz w:val="21"/>
                <w:szCs w:val="21"/>
              </w:rPr>
              <w:t>。</w:t>
            </w:r>
          </w:p>
          <w:p>
            <w:pPr>
              <w:snapToGrid w:val="0"/>
              <w:spacing w:line="300" w:lineRule="exact"/>
              <w:ind w:firstLine="420" w:firstLineChars="200"/>
              <w:rPr>
                <w:rFonts w:hint="eastAsia" w:ascii="宋体" w:hAnsi="宋体" w:eastAsia="宋体"/>
                <w:sz w:val="21"/>
                <w:szCs w:val="21"/>
              </w:rPr>
            </w:pPr>
            <w:r>
              <w:rPr>
                <w:rFonts w:hint="eastAsia" w:ascii="宋体" w:hAnsi="宋体" w:eastAsia="宋体"/>
                <w:sz w:val="21"/>
                <w:szCs w:val="21"/>
              </w:rPr>
              <w:t>（3）有明确的进度控制责任人的得1分；有明确的进度控制责任人，但人选设置不合理的得0.5 分；无进度控制责任人的得0 分。</w:t>
            </w:r>
          </w:p>
          <w:p>
            <w:pPr>
              <w:snapToGrid w:val="0"/>
              <w:spacing w:line="300" w:lineRule="exact"/>
              <w:ind w:firstLine="420" w:firstLineChars="200"/>
              <w:rPr>
                <w:rFonts w:hint="eastAsia" w:ascii="宋体" w:hAnsi="宋体" w:eastAsia="宋体"/>
                <w:sz w:val="21"/>
                <w:szCs w:val="21"/>
              </w:rPr>
            </w:pPr>
            <w:r>
              <w:rPr>
                <w:rFonts w:hint="eastAsia" w:ascii="宋体" w:hAnsi="宋体" w:eastAsia="宋体"/>
                <w:sz w:val="21"/>
                <w:szCs w:val="21"/>
              </w:rPr>
              <w:t>（4）控制节点设置科学合理的得1分；有明确的进度控制节点但设置欠合理的得0.5 分；未设置进度控制节点的得0 分。</w:t>
            </w:r>
          </w:p>
          <w:p>
            <w:pPr>
              <w:snapToGrid w:val="0"/>
              <w:spacing w:line="300" w:lineRule="exact"/>
              <w:ind w:left="0" w:leftChars="0" w:right="0" w:rightChars="0" w:firstLine="420" w:firstLineChars="200"/>
              <w:rPr>
                <w:rFonts w:hint="eastAsia" w:ascii="宋体" w:hAnsi="宋体" w:eastAsia="宋体" w:cs="宋体"/>
                <w:b/>
                <w:sz w:val="21"/>
                <w:szCs w:val="22"/>
                <w:lang w:val="en-US" w:eastAsia="zh-CN" w:bidi="zh-CN"/>
              </w:rPr>
            </w:pPr>
            <w:r>
              <w:rPr>
                <w:rFonts w:hint="eastAsia" w:ascii="宋体" w:hAnsi="宋体" w:eastAsia="宋体"/>
                <w:sz w:val="21"/>
                <w:szCs w:val="21"/>
              </w:rPr>
              <w:t>（5）进度控制措施明确、得力的得3 分；进度控制措施较为明确，基本满足进度控制要求的得1.5分；进度控制措施无力或缺失的得0 分。本项得分总分为各细项分数累加</w:t>
            </w:r>
            <w:r>
              <w:rPr>
                <w:rFonts w:hint="eastAsia"/>
                <w:sz w:val="21"/>
                <w:szCs w:val="21"/>
                <w:lang w:eastAsia="zh-CN"/>
              </w:rPr>
              <w:t>。</w:t>
            </w:r>
          </w:p>
        </w:tc>
        <w:tc>
          <w:tcPr>
            <w:tcW w:w="828" w:type="dxa"/>
            <w:vAlign w:val="center"/>
          </w:tcPr>
          <w:p>
            <w:pPr>
              <w:pStyle w:val="29"/>
              <w:rPr>
                <w:b/>
                <w:sz w:val="22"/>
              </w:rPr>
            </w:pPr>
          </w:p>
          <w:p>
            <w:pPr>
              <w:pStyle w:val="29"/>
              <w:rPr>
                <w:b/>
                <w:sz w:val="22"/>
              </w:rPr>
            </w:pPr>
          </w:p>
          <w:p>
            <w:pPr>
              <w:pStyle w:val="29"/>
              <w:spacing w:before="12"/>
              <w:rPr>
                <w:b/>
                <w:sz w:val="15"/>
              </w:rPr>
            </w:pPr>
          </w:p>
          <w:p>
            <w:pPr>
              <w:pStyle w:val="29"/>
              <w:ind w:left="158" w:leftChars="0" w:right="146" w:rightChars="0"/>
              <w:jc w:val="center"/>
              <w:rPr>
                <w:rFonts w:hint="eastAsia" w:ascii="宋体" w:hAnsi="宋体" w:eastAsia="宋体" w:cs="宋体"/>
                <w:sz w:val="21"/>
                <w:szCs w:val="22"/>
                <w:lang w:val="en-US" w:eastAsia="zh-CN" w:bidi="zh-CN"/>
              </w:rPr>
            </w:pPr>
            <w:r>
              <w:rPr>
                <w:rFonts w:hint="eastAsia" w:ascii="Times New Roman"/>
                <w:sz w:val="21"/>
                <w:lang w:val="en-US" w:eastAsia="zh-CN"/>
              </w:rPr>
              <w:t>4</w:t>
            </w:r>
            <w:r>
              <w:rPr>
                <w:rFonts w:hint="eastAsia" w:ascii="Times New Roman" w:eastAsia="宋体"/>
                <w:sz w:val="21"/>
                <w:lang w:val="en-US" w:eastAsia="zh-CN"/>
              </w:rPr>
              <w:t>5</w:t>
            </w:r>
            <w:r>
              <w:rPr>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 w:hRule="atLeast"/>
          <w:jc w:val="center"/>
        </w:trPr>
        <w:tc>
          <w:tcPr>
            <w:tcW w:w="1858" w:type="dxa"/>
            <w:tcBorders>
              <w:right w:val="single" w:color="auto" w:sz="4" w:space="0"/>
            </w:tcBorders>
            <w:vAlign w:val="center"/>
          </w:tcPr>
          <w:p>
            <w:pPr>
              <w:pStyle w:val="29"/>
              <w:spacing w:before="151"/>
              <w:ind w:left="509"/>
              <w:rPr>
                <w:b/>
                <w:sz w:val="21"/>
              </w:rPr>
            </w:pPr>
            <w:r>
              <w:rPr>
                <w:b/>
                <w:sz w:val="21"/>
              </w:rPr>
              <w:t>价格部分</w:t>
            </w:r>
          </w:p>
          <w:p>
            <w:pPr>
              <w:pStyle w:val="29"/>
              <w:spacing w:before="57"/>
              <w:ind w:left="482" w:leftChars="0" w:right="0" w:rightChars="0"/>
              <w:rPr>
                <w:b/>
                <w:sz w:val="21"/>
              </w:rPr>
            </w:pPr>
            <w:r>
              <w:rPr>
                <w:b/>
                <w:sz w:val="21"/>
              </w:rPr>
              <w:t>（</w:t>
            </w:r>
            <w:r>
              <w:rPr>
                <w:rFonts w:ascii="Times New Roman" w:eastAsia="Times New Roman"/>
                <w:b/>
                <w:sz w:val="21"/>
              </w:rPr>
              <w:t>10</w:t>
            </w:r>
            <w:r>
              <w:rPr>
                <w:rFonts w:ascii="Times New Roman" w:eastAsia="Times New Roman"/>
                <w:b/>
                <w:spacing w:val="-2"/>
                <w:sz w:val="21"/>
              </w:rPr>
              <w:t xml:space="preserve"> </w:t>
            </w:r>
            <w:r>
              <w:rPr>
                <w:b/>
                <w:sz w:val="21"/>
              </w:rPr>
              <w:t>分）</w:t>
            </w:r>
          </w:p>
        </w:tc>
        <w:tc>
          <w:tcPr>
            <w:tcW w:w="7547" w:type="dxa"/>
            <w:gridSpan w:val="2"/>
            <w:tcBorders>
              <w:top w:val="single" w:color="auto" w:sz="4" w:space="0"/>
              <w:left w:val="single" w:color="auto" w:sz="4" w:space="0"/>
              <w:bottom w:val="single" w:color="auto" w:sz="4" w:space="0"/>
            </w:tcBorders>
            <w:vAlign w:val="top"/>
          </w:tcPr>
          <w:p>
            <w:pPr>
              <w:pStyle w:val="29"/>
              <w:spacing w:before="151"/>
              <w:ind w:left="1097" w:right="1108"/>
              <w:jc w:val="center"/>
              <w:rPr>
                <w:rFonts w:ascii="Times New Roman" w:hAnsi="Times New Roman" w:eastAsia="Times New Roman"/>
                <w:sz w:val="21"/>
              </w:rPr>
            </w:pPr>
            <w:r>
              <w:rPr>
                <w:sz w:val="21"/>
              </w:rPr>
              <w:t>价格部分得分</w:t>
            </w:r>
            <w:r>
              <w:rPr>
                <w:rFonts w:ascii="Times New Roman" w:hAnsi="Times New Roman" w:eastAsia="Times New Roman"/>
                <w:sz w:val="21"/>
              </w:rPr>
              <w:t>=</w:t>
            </w:r>
            <w:r>
              <w:rPr>
                <w:sz w:val="21"/>
              </w:rPr>
              <w:t>（评标基准价／投标报价）</w:t>
            </w:r>
            <w:r>
              <w:rPr>
                <w:rFonts w:ascii="Times New Roman" w:hAnsi="Times New Roman" w:eastAsia="Times New Roman"/>
                <w:sz w:val="21"/>
              </w:rPr>
              <w:t>×</w:t>
            </w:r>
            <w:r>
              <w:rPr>
                <w:sz w:val="21"/>
              </w:rPr>
              <w:t>价格权重</w:t>
            </w:r>
            <w:r>
              <w:rPr>
                <w:rFonts w:ascii="Times New Roman" w:hAnsi="Times New Roman" w:eastAsia="Times New Roman"/>
                <w:sz w:val="21"/>
              </w:rPr>
              <w:t>×100</w:t>
            </w:r>
          </w:p>
          <w:p>
            <w:pPr>
              <w:pStyle w:val="29"/>
              <w:spacing w:before="57"/>
              <w:ind w:left="1097" w:leftChars="0" w:right="1088" w:rightChars="0"/>
              <w:jc w:val="center"/>
              <w:rPr>
                <w:rFonts w:hint="eastAsia" w:ascii="宋体" w:hAnsi="宋体" w:eastAsia="宋体" w:cs="宋体"/>
                <w:sz w:val="21"/>
                <w:szCs w:val="22"/>
                <w:lang w:val="zh-CN" w:eastAsia="zh-CN" w:bidi="zh-CN"/>
              </w:rPr>
            </w:pPr>
            <w:r>
              <w:rPr>
                <w:sz w:val="21"/>
              </w:rPr>
              <w:t>（满足招标文件要求且价格最低的报价为评标基准价）</w:t>
            </w:r>
          </w:p>
        </w:tc>
        <w:tc>
          <w:tcPr>
            <w:tcW w:w="828" w:type="dxa"/>
            <w:vAlign w:val="top"/>
          </w:tcPr>
          <w:p>
            <w:pPr>
              <w:pStyle w:val="29"/>
              <w:spacing w:before="7"/>
              <w:rPr>
                <w:b/>
                <w:sz w:val="24"/>
              </w:rPr>
            </w:pPr>
          </w:p>
          <w:p>
            <w:pPr>
              <w:pStyle w:val="29"/>
              <w:ind w:left="177" w:leftChars="0" w:right="0" w:rightChars="0"/>
              <w:rPr>
                <w:rFonts w:hint="eastAsia" w:ascii="宋体" w:hAnsi="宋体" w:eastAsia="宋体" w:cs="宋体"/>
                <w:sz w:val="21"/>
                <w:szCs w:val="22"/>
                <w:lang w:val="en-US" w:eastAsia="zh-CN" w:bidi="zh-CN"/>
              </w:rPr>
            </w:pPr>
            <w:r>
              <w:rPr>
                <w:rFonts w:ascii="Times New Roman" w:eastAsia="Times New Roman"/>
                <w:sz w:val="21"/>
              </w:rPr>
              <w:t xml:space="preserve">10 </w:t>
            </w:r>
            <w:r>
              <w:rPr>
                <w:sz w:val="21"/>
              </w:rPr>
              <w:t>分</w:t>
            </w:r>
          </w:p>
        </w:tc>
      </w:tr>
    </w:tbl>
    <w:p>
      <w:pPr>
        <w:pStyle w:val="11"/>
        <w:spacing w:line="302" w:lineRule="exact"/>
        <w:jc w:val="center"/>
        <w:sectPr>
          <w:pgSz w:w="11910" w:h="16840"/>
          <w:pgMar w:top="1120" w:right="640" w:bottom="840" w:left="680" w:header="0" w:footer="646" w:gutter="0"/>
          <w:cols w:space="720" w:num="1"/>
        </w:sectPr>
      </w:pPr>
    </w:p>
    <w:p>
      <w:pPr>
        <w:pStyle w:val="3"/>
        <w:tabs>
          <w:tab w:val="left" w:pos="1937"/>
        </w:tabs>
        <w:spacing w:before="22"/>
        <w:ind w:left="0" w:leftChars="0" w:firstLine="0" w:firstLineChars="0"/>
        <w:jc w:val="center"/>
        <w:outlineLvl w:val="0"/>
      </w:pPr>
      <w:bookmarkStart w:id="24" w:name="_Toc27836"/>
      <w:r>
        <w:t>第六章</w:t>
      </w:r>
      <w:r>
        <w:tab/>
      </w:r>
      <w:r>
        <w:rPr>
          <w:w w:val="95"/>
        </w:rPr>
        <w:t>投标文件格式</w:t>
      </w:r>
      <w:bookmarkEnd w:id="24"/>
    </w:p>
    <w:p>
      <w:pPr>
        <w:pStyle w:val="11"/>
        <w:spacing w:before="1"/>
        <w:rPr>
          <w:b/>
          <w:sz w:val="39"/>
        </w:rPr>
      </w:pPr>
    </w:p>
    <w:p>
      <w:pPr>
        <w:pStyle w:val="10"/>
        <w:ind w:left="79"/>
        <w:jc w:val="center"/>
      </w:pPr>
      <w:r>
        <w:rPr>
          <w:w w:val="99"/>
        </w:rPr>
        <w:t xml:space="preserve"> </w:t>
      </w:r>
    </w:p>
    <w:p>
      <w:pPr>
        <w:pStyle w:val="11"/>
        <w:rPr>
          <w:b/>
          <w:sz w:val="20"/>
        </w:rPr>
      </w:pPr>
    </w:p>
    <w:p>
      <w:pPr>
        <w:pStyle w:val="11"/>
        <w:rPr>
          <w:b/>
          <w:sz w:val="20"/>
        </w:rPr>
      </w:pPr>
    </w:p>
    <w:p>
      <w:pPr>
        <w:pStyle w:val="11"/>
        <w:rPr>
          <w:b/>
          <w:sz w:val="20"/>
        </w:rPr>
      </w:pPr>
    </w:p>
    <w:p>
      <w:pPr>
        <w:pStyle w:val="11"/>
        <w:rPr>
          <w:b/>
          <w:sz w:val="20"/>
        </w:rPr>
      </w:pPr>
    </w:p>
    <w:p>
      <w:pPr>
        <w:pStyle w:val="11"/>
        <w:spacing w:before="8"/>
        <w:rPr>
          <w:b/>
          <w:sz w:val="18"/>
        </w:rPr>
      </w:pPr>
    </w:p>
    <w:p>
      <w:pPr>
        <w:pStyle w:val="4"/>
        <w:jc w:val="center"/>
        <w:rPr>
          <w:u w:val="none"/>
        </w:rPr>
      </w:pPr>
      <w:bookmarkStart w:id="25" w:name="_Toc12653"/>
      <w:r>
        <w:rPr>
          <w:spacing w:val="-3"/>
          <w:u w:val="single"/>
        </w:rPr>
        <w:t>（</w:t>
      </w:r>
      <w:r>
        <w:rPr>
          <w:u w:val="single"/>
        </w:rPr>
        <w:t>项目名称）</w:t>
      </w:r>
      <w:bookmarkEnd w:id="25"/>
    </w:p>
    <w:p>
      <w:pPr>
        <w:pStyle w:val="6"/>
        <w:rPr>
          <w:b/>
        </w:rPr>
      </w:pPr>
      <w:r>
        <w:t>项目编号：</w:t>
      </w:r>
      <w:r>
        <w:rPr>
          <w:b/>
          <w:w w:val="98"/>
        </w:rPr>
        <w:t xml:space="preserve"> </w:t>
      </w:r>
    </w:p>
    <w:p>
      <w:pPr>
        <w:pStyle w:val="10"/>
        <w:spacing w:before="189"/>
        <w:ind w:left="79"/>
        <w:jc w:val="center"/>
      </w:pPr>
      <w:r>
        <w:rPr>
          <w:w w:val="99"/>
        </w:rPr>
        <w:t xml:space="preserve"> </w:t>
      </w:r>
    </w:p>
    <w:p>
      <w:pPr>
        <w:spacing w:before="86"/>
        <w:ind w:left="319" w:right="0" w:firstLine="0"/>
        <w:jc w:val="center"/>
        <w:rPr>
          <w:b/>
          <w:sz w:val="72"/>
        </w:rPr>
      </w:pPr>
      <w:r>
        <w:rPr>
          <w:b/>
          <w:w w:val="99"/>
          <w:sz w:val="72"/>
        </w:rPr>
        <w:t xml:space="preserve"> </w:t>
      </w:r>
    </w:p>
    <w:p>
      <w:pPr>
        <w:pStyle w:val="11"/>
        <w:spacing w:before="2"/>
        <w:rPr>
          <w:b/>
          <w:sz w:val="74"/>
        </w:rPr>
      </w:pPr>
    </w:p>
    <w:p>
      <w:pPr>
        <w:spacing w:before="0"/>
        <w:ind w:left="317" w:right="0" w:firstLine="0"/>
        <w:jc w:val="center"/>
        <w:outlineLvl w:val="0"/>
        <w:rPr>
          <w:b/>
          <w:sz w:val="72"/>
        </w:rPr>
      </w:pPr>
      <w:bookmarkStart w:id="26" w:name="_Toc25809"/>
      <w:r>
        <w:rPr>
          <w:b/>
          <w:sz w:val="72"/>
        </w:rPr>
        <w:t>投标文件</w:t>
      </w:r>
      <w:bookmarkEnd w:id="26"/>
      <w:r>
        <w:rPr>
          <w:b/>
          <w:w w:val="99"/>
          <w:sz w:val="72"/>
        </w:rPr>
        <w:t xml:space="preserve"> </w:t>
      </w: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5"/>
        <w:spacing w:before="204"/>
        <w:ind w:left="410" w:right="773" w:firstLine="2249" w:firstLineChars="700"/>
        <w:jc w:val="both"/>
      </w:pPr>
      <w:r>
        <w:rPr>
          <w:rFonts w:hint="eastAsia"/>
          <w:lang w:eastAsia="zh-CN"/>
        </w:rPr>
        <w:t>供应商</w:t>
      </w:r>
      <w:r>
        <w:t xml:space="preserve"> ：</w:t>
      </w:r>
      <w:r>
        <w:rPr>
          <w:spacing w:val="13"/>
          <w:u w:val="single"/>
        </w:rPr>
        <w:t xml:space="preserve">          </w:t>
      </w:r>
      <w:r>
        <w:t>（ 公 章 ）</w:t>
      </w:r>
      <w:r>
        <w:rPr>
          <w:w w:val="98"/>
        </w:rPr>
        <w:t xml:space="preserve"> </w:t>
      </w:r>
    </w:p>
    <w:p>
      <w:pPr>
        <w:pStyle w:val="11"/>
        <w:rPr>
          <w:b/>
          <w:sz w:val="20"/>
        </w:rPr>
      </w:pPr>
    </w:p>
    <w:p>
      <w:pPr>
        <w:pStyle w:val="11"/>
        <w:spacing w:before="10"/>
        <w:rPr>
          <w:b/>
          <w:sz w:val="16"/>
        </w:rPr>
      </w:pPr>
    </w:p>
    <w:p>
      <w:pPr>
        <w:pStyle w:val="5"/>
        <w:spacing w:before="54"/>
        <w:ind w:left="410" w:right="773" w:firstLine="2249" w:firstLineChars="700"/>
        <w:jc w:val="both"/>
      </w:pPr>
      <w:r>
        <w:t>法人或法定代表人：</w:t>
      </w:r>
      <w:r>
        <w:rPr>
          <w:spacing w:val="18"/>
          <w:u w:val="single"/>
        </w:rPr>
        <w:t xml:space="preserve">        </w:t>
      </w:r>
      <w:r>
        <w:t>（签字或签章）</w:t>
      </w:r>
      <w:r>
        <w:rPr>
          <w:w w:val="98"/>
        </w:rPr>
        <w:t xml:space="preserve"> </w:t>
      </w:r>
    </w:p>
    <w:p>
      <w:pPr>
        <w:pStyle w:val="11"/>
        <w:rPr>
          <w:b/>
          <w:sz w:val="20"/>
        </w:rPr>
      </w:pPr>
    </w:p>
    <w:p>
      <w:pPr>
        <w:pStyle w:val="11"/>
        <w:spacing w:before="11"/>
        <w:rPr>
          <w:b/>
          <w:sz w:val="16"/>
        </w:rPr>
      </w:pPr>
    </w:p>
    <w:p>
      <w:pPr>
        <w:pStyle w:val="5"/>
        <w:spacing w:before="55"/>
        <w:ind w:left="3470"/>
        <w:sectPr>
          <w:pgSz w:w="11910" w:h="16840"/>
          <w:pgMar w:top="1120" w:right="640" w:bottom="920" w:left="680" w:header="0" w:footer="646" w:gutter="0"/>
          <w:cols w:space="720" w:num="1"/>
        </w:sectPr>
      </w:pPr>
      <w:r>
        <w:t>202</w:t>
      </w:r>
      <w:r>
        <w:rPr>
          <w:rFonts w:hint="eastAsia"/>
          <w:lang w:val="en-US" w:eastAsia="zh-CN"/>
        </w:rPr>
        <w:t>1</w:t>
      </w:r>
      <w:r>
        <w:t xml:space="preserve"> 年 月 日</w:t>
      </w:r>
      <w:r>
        <w:rPr>
          <w:w w:val="98"/>
        </w:rPr>
        <w:t xml:space="preserve"> </w:t>
      </w:r>
    </w:p>
    <w:p>
      <w:pPr>
        <w:jc w:val="center"/>
        <w:outlineLvl w:val="0"/>
        <w:rPr>
          <w:rFonts w:hint="eastAsia"/>
          <w:sz w:val="28"/>
          <w:szCs w:val="28"/>
          <w:lang w:eastAsia="zh-CN"/>
        </w:rPr>
      </w:pPr>
      <w:bookmarkStart w:id="27" w:name="_Toc27823"/>
      <w:r>
        <w:rPr>
          <w:rFonts w:hint="eastAsia"/>
          <w:sz w:val="28"/>
          <w:szCs w:val="28"/>
          <w:lang w:eastAsia="zh-CN"/>
        </w:rPr>
        <w:t>资格性、符合性评审表索引表</w:t>
      </w:r>
      <w:bookmarkEnd w:id="27"/>
    </w:p>
    <w:p>
      <w:pPr>
        <w:pStyle w:val="2"/>
        <w:outlineLvl w:val="9"/>
        <w:rPr>
          <w:rFonts w:hint="eastAsia"/>
          <w:lang w:eastAsia="zh-CN"/>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3"/>
        <w:gridCol w:w="4089"/>
        <w:gridCol w:w="2702"/>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pStyle w:val="2"/>
              <w:jc w:val="center"/>
              <w:rPr>
                <w:rFonts w:hint="eastAsia"/>
                <w:sz w:val="21"/>
                <w:szCs w:val="21"/>
                <w:vertAlign w:val="baseline"/>
                <w:lang w:eastAsia="zh-CN"/>
              </w:rPr>
            </w:pPr>
            <w:r>
              <w:rPr>
                <w:rFonts w:hint="eastAsia"/>
                <w:sz w:val="21"/>
                <w:szCs w:val="21"/>
                <w:vertAlign w:val="baseline"/>
                <w:lang w:eastAsia="zh-CN"/>
              </w:rPr>
              <w:t>序号</w:t>
            </w:r>
          </w:p>
        </w:tc>
        <w:tc>
          <w:tcPr>
            <w:tcW w:w="4089" w:type="dxa"/>
          </w:tcPr>
          <w:p>
            <w:pPr>
              <w:pStyle w:val="2"/>
              <w:jc w:val="center"/>
              <w:rPr>
                <w:rFonts w:hint="eastAsia"/>
                <w:sz w:val="21"/>
                <w:szCs w:val="21"/>
                <w:vertAlign w:val="baseline"/>
                <w:lang w:eastAsia="zh-CN"/>
              </w:rPr>
            </w:pPr>
            <w:r>
              <w:rPr>
                <w:rFonts w:hint="eastAsia"/>
                <w:sz w:val="21"/>
                <w:szCs w:val="21"/>
                <w:vertAlign w:val="baseline"/>
                <w:lang w:eastAsia="zh-CN"/>
              </w:rPr>
              <w:t>评审项</w:t>
            </w:r>
          </w:p>
        </w:tc>
        <w:tc>
          <w:tcPr>
            <w:tcW w:w="2702" w:type="dxa"/>
          </w:tcPr>
          <w:p>
            <w:pPr>
              <w:pStyle w:val="2"/>
              <w:jc w:val="center"/>
              <w:rPr>
                <w:rFonts w:hint="eastAsia"/>
                <w:sz w:val="21"/>
                <w:szCs w:val="21"/>
                <w:vertAlign w:val="baseline"/>
                <w:lang w:eastAsia="zh-CN"/>
              </w:rPr>
            </w:pPr>
            <w:r>
              <w:rPr>
                <w:rFonts w:hint="eastAsia"/>
                <w:sz w:val="21"/>
                <w:szCs w:val="21"/>
                <w:vertAlign w:val="baseline"/>
                <w:lang w:eastAsia="zh-CN"/>
              </w:rPr>
              <w:t>响应情况</w:t>
            </w:r>
          </w:p>
        </w:tc>
        <w:tc>
          <w:tcPr>
            <w:tcW w:w="2702" w:type="dxa"/>
          </w:tcPr>
          <w:p>
            <w:pPr>
              <w:pStyle w:val="2"/>
              <w:jc w:val="center"/>
              <w:rPr>
                <w:rFonts w:hint="eastAsia"/>
                <w:sz w:val="21"/>
                <w:szCs w:val="21"/>
                <w:lang w:eastAsia="zh-CN"/>
              </w:rPr>
            </w:pPr>
            <w:r>
              <w:rPr>
                <w:rFonts w:hint="eastAsia"/>
                <w:sz w:val="21"/>
                <w:szCs w:val="21"/>
                <w:lang w:eastAsia="zh-CN"/>
              </w:rPr>
              <w:t>材料所在页码</w:t>
            </w:r>
          </w:p>
          <w:p>
            <w:pPr>
              <w:jc w:val="center"/>
              <w:rPr>
                <w:rFonts w:hint="eastAsia"/>
                <w:sz w:val="21"/>
                <w:szCs w:val="21"/>
                <w:lang w:eastAsia="zh-CN"/>
              </w:rPr>
            </w:pPr>
            <w:r>
              <w:rPr>
                <w:rFonts w:hint="eastAsia"/>
                <w:sz w:val="21"/>
                <w:szCs w:val="21"/>
                <w:vertAlign w:val="baseline"/>
                <w:lang w:eastAsia="zh-CN"/>
              </w:rPr>
              <w:t>（第</w:t>
            </w:r>
            <w:r>
              <w:rPr>
                <w:rFonts w:hint="eastAsia"/>
                <w:sz w:val="21"/>
                <w:szCs w:val="21"/>
                <w:u w:val="single"/>
                <w:vertAlign w:val="baseline"/>
                <w:lang w:val="en-US" w:eastAsia="zh-CN"/>
              </w:rPr>
              <w:t xml:space="preserve">  </w:t>
            </w:r>
            <w:r>
              <w:rPr>
                <w:rFonts w:hint="eastAsia"/>
                <w:sz w:val="21"/>
                <w:szCs w:val="21"/>
                <w:vertAlign w:val="baseline"/>
                <w:lang w:val="en-US" w:eastAsia="zh-CN"/>
              </w:rPr>
              <w:t>页</w:t>
            </w:r>
            <w:r>
              <w:rPr>
                <w:rFonts w:hint="eastAsia"/>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pStyle w:val="2"/>
              <w:rPr>
                <w:rFonts w:hint="default"/>
                <w:vertAlign w:val="baseline"/>
                <w:lang w:val="en-US" w:eastAsia="zh-CN"/>
              </w:rPr>
            </w:pPr>
            <w:r>
              <w:rPr>
                <w:rFonts w:hint="eastAsia"/>
                <w:vertAlign w:val="baseline"/>
                <w:lang w:val="en-US" w:eastAsia="zh-CN"/>
              </w:rPr>
              <w:t>1</w:t>
            </w:r>
          </w:p>
        </w:tc>
        <w:tc>
          <w:tcPr>
            <w:tcW w:w="4089" w:type="dxa"/>
          </w:tcPr>
          <w:p>
            <w:pPr>
              <w:pStyle w:val="2"/>
              <w:outlineLvl w:val="9"/>
              <w:rPr>
                <w:rFonts w:hint="eastAsia"/>
                <w:vertAlign w:val="baseline"/>
                <w:lang w:eastAsia="zh-CN"/>
              </w:rPr>
            </w:pPr>
          </w:p>
        </w:tc>
        <w:tc>
          <w:tcPr>
            <w:tcW w:w="2702" w:type="dxa"/>
          </w:tcPr>
          <w:p>
            <w:pPr>
              <w:pStyle w:val="2"/>
              <w:outlineLvl w:val="9"/>
              <w:rPr>
                <w:rFonts w:hint="eastAsia"/>
                <w:vertAlign w:val="baseline"/>
                <w:lang w:eastAsia="zh-CN"/>
              </w:rPr>
            </w:pPr>
          </w:p>
        </w:tc>
        <w:tc>
          <w:tcPr>
            <w:tcW w:w="2702" w:type="dxa"/>
          </w:tcPr>
          <w:p>
            <w:pPr>
              <w:pStyle w:val="2"/>
              <w:outlineLvl w:val="9"/>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pStyle w:val="2"/>
              <w:rPr>
                <w:rFonts w:hint="default"/>
                <w:vertAlign w:val="baseline"/>
                <w:lang w:val="en-US" w:eastAsia="zh-CN"/>
              </w:rPr>
            </w:pPr>
            <w:r>
              <w:rPr>
                <w:rFonts w:hint="eastAsia"/>
                <w:vertAlign w:val="baseline"/>
                <w:lang w:val="en-US" w:eastAsia="zh-CN"/>
              </w:rPr>
              <w:t>2</w:t>
            </w:r>
          </w:p>
        </w:tc>
        <w:tc>
          <w:tcPr>
            <w:tcW w:w="4089" w:type="dxa"/>
          </w:tcPr>
          <w:p>
            <w:pPr>
              <w:pStyle w:val="2"/>
              <w:outlineLvl w:val="9"/>
              <w:rPr>
                <w:rFonts w:hint="eastAsia"/>
                <w:vertAlign w:val="baseline"/>
                <w:lang w:eastAsia="zh-CN"/>
              </w:rPr>
            </w:pPr>
          </w:p>
        </w:tc>
        <w:tc>
          <w:tcPr>
            <w:tcW w:w="2702" w:type="dxa"/>
          </w:tcPr>
          <w:p>
            <w:pPr>
              <w:pStyle w:val="2"/>
              <w:outlineLvl w:val="9"/>
              <w:rPr>
                <w:rFonts w:hint="eastAsia"/>
                <w:vertAlign w:val="baseline"/>
                <w:lang w:eastAsia="zh-CN"/>
              </w:rPr>
            </w:pPr>
          </w:p>
        </w:tc>
        <w:tc>
          <w:tcPr>
            <w:tcW w:w="2702" w:type="dxa"/>
          </w:tcPr>
          <w:p>
            <w:pPr>
              <w:pStyle w:val="2"/>
              <w:outlineLvl w:val="9"/>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pStyle w:val="2"/>
              <w:rPr>
                <w:rFonts w:hint="default"/>
                <w:vertAlign w:val="baseline"/>
                <w:lang w:val="en-US" w:eastAsia="zh-CN"/>
              </w:rPr>
            </w:pPr>
            <w:r>
              <w:rPr>
                <w:rFonts w:hint="eastAsia"/>
                <w:vertAlign w:val="baseline"/>
                <w:lang w:val="en-US" w:eastAsia="zh-CN"/>
              </w:rPr>
              <w:t>3</w:t>
            </w:r>
          </w:p>
        </w:tc>
        <w:tc>
          <w:tcPr>
            <w:tcW w:w="4089" w:type="dxa"/>
          </w:tcPr>
          <w:p>
            <w:pPr>
              <w:pStyle w:val="2"/>
              <w:outlineLvl w:val="9"/>
              <w:rPr>
                <w:rFonts w:hint="eastAsia"/>
                <w:vertAlign w:val="baseline"/>
                <w:lang w:eastAsia="zh-CN"/>
              </w:rPr>
            </w:pPr>
          </w:p>
        </w:tc>
        <w:tc>
          <w:tcPr>
            <w:tcW w:w="2702" w:type="dxa"/>
          </w:tcPr>
          <w:p>
            <w:pPr>
              <w:pStyle w:val="2"/>
              <w:outlineLvl w:val="9"/>
              <w:rPr>
                <w:rFonts w:hint="eastAsia"/>
                <w:vertAlign w:val="baseline"/>
                <w:lang w:eastAsia="zh-CN"/>
              </w:rPr>
            </w:pPr>
          </w:p>
        </w:tc>
        <w:tc>
          <w:tcPr>
            <w:tcW w:w="2702" w:type="dxa"/>
          </w:tcPr>
          <w:p>
            <w:pPr>
              <w:pStyle w:val="2"/>
              <w:outlineLvl w:val="9"/>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pStyle w:val="2"/>
              <w:rPr>
                <w:rFonts w:hint="default"/>
                <w:vertAlign w:val="baseline"/>
                <w:lang w:val="en-US" w:eastAsia="zh-CN"/>
              </w:rPr>
            </w:pPr>
            <w:r>
              <w:rPr>
                <w:rFonts w:hint="eastAsia"/>
                <w:vertAlign w:val="baseline"/>
                <w:lang w:val="en-US" w:eastAsia="zh-CN"/>
              </w:rPr>
              <w:t>4</w:t>
            </w:r>
          </w:p>
        </w:tc>
        <w:tc>
          <w:tcPr>
            <w:tcW w:w="4089" w:type="dxa"/>
          </w:tcPr>
          <w:p>
            <w:pPr>
              <w:pStyle w:val="2"/>
              <w:outlineLvl w:val="9"/>
              <w:rPr>
                <w:rFonts w:hint="eastAsia"/>
                <w:vertAlign w:val="baseline"/>
                <w:lang w:eastAsia="zh-CN"/>
              </w:rPr>
            </w:pPr>
          </w:p>
        </w:tc>
        <w:tc>
          <w:tcPr>
            <w:tcW w:w="2702" w:type="dxa"/>
          </w:tcPr>
          <w:p>
            <w:pPr>
              <w:pStyle w:val="2"/>
              <w:outlineLvl w:val="9"/>
              <w:rPr>
                <w:rFonts w:hint="eastAsia"/>
                <w:vertAlign w:val="baseline"/>
                <w:lang w:eastAsia="zh-CN"/>
              </w:rPr>
            </w:pPr>
          </w:p>
        </w:tc>
        <w:tc>
          <w:tcPr>
            <w:tcW w:w="2702" w:type="dxa"/>
          </w:tcPr>
          <w:p>
            <w:pPr>
              <w:pStyle w:val="2"/>
              <w:outlineLvl w:val="9"/>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pStyle w:val="2"/>
              <w:rPr>
                <w:rFonts w:hint="default"/>
                <w:vertAlign w:val="baseline"/>
                <w:lang w:val="en-US" w:eastAsia="zh-CN"/>
              </w:rPr>
            </w:pPr>
            <w:r>
              <w:rPr>
                <w:rFonts w:hint="eastAsia"/>
                <w:vertAlign w:val="baseline"/>
                <w:lang w:val="en-US" w:eastAsia="zh-CN"/>
              </w:rPr>
              <w:t>.....</w:t>
            </w:r>
          </w:p>
        </w:tc>
        <w:tc>
          <w:tcPr>
            <w:tcW w:w="4089" w:type="dxa"/>
          </w:tcPr>
          <w:p>
            <w:pPr>
              <w:pStyle w:val="2"/>
              <w:outlineLvl w:val="9"/>
              <w:rPr>
                <w:rFonts w:hint="eastAsia"/>
                <w:vertAlign w:val="baseline"/>
                <w:lang w:eastAsia="zh-CN"/>
              </w:rPr>
            </w:pPr>
          </w:p>
        </w:tc>
        <w:tc>
          <w:tcPr>
            <w:tcW w:w="2702" w:type="dxa"/>
          </w:tcPr>
          <w:p>
            <w:pPr>
              <w:pStyle w:val="2"/>
              <w:outlineLvl w:val="9"/>
              <w:rPr>
                <w:rFonts w:hint="eastAsia"/>
                <w:vertAlign w:val="baseline"/>
                <w:lang w:eastAsia="zh-CN"/>
              </w:rPr>
            </w:pPr>
          </w:p>
        </w:tc>
        <w:tc>
          <w:tcPr>
            <w:tcW w:w="2702" w:type="dxa"/>
          </w:tcPr>
          <w:p>
            <w:pPr>
              <w:pStyle w:val="2"/>
              <w:outlineLvl w:val="9"/>
              <w:rPr>
                <w:rFonts w:hint="eastAsia"/>
                <w:vertAlign w:val="baseline"/>
                <w:lang w:eastAsia="zh-CN"/>
              </w:rPr>
            </w:pPr>
          </w:p>
        </w:tc>
      </w:tr>
    </w:tbl>
    <w:p>
      <w:pPr>
        <w:rPr>
          <w:rFonts w:hint="eastAsia"/>
          <w:lang w:eastAsia="zh-CN"/>
        </w:rPr>
      </w:pPr>
      <w:r>
        <w:rPr>
          <w:rFonts w:hint="eastAsia"/>
          <w:lang w:eastAsia="zh-CN"/>
        </w:rPr>
        <w:br w:type="page"/>
      </w:r>
    </w:p>
    <w:p>
      <w:pPr>
        <w:jc w:val="center"/>
        <w:outlineLvl w:val="0"/>
        <w:rPr>
          <w:rFonts w:hint="eastAsia"/>
          <w:sz w:val="28"/>
          <w:szCs w:val="28"/>
          <w:lang w:eastAsia="zh-CN"/>
        </w:rPr>
      </w:pPr>
      <w:bookmarkStart w:id="28" w:name="_Toc15266"/>
      <w:r>
        <w:rPr>
          <w:rFonts w:hint="eastAsia"/>
          <w:sz w:val="28"/>
          <w:szCs w:val="28"/>
          <w:lang w:eastAsia="zh-CN"/>
        </w:rPr>
        <w:t>详细评审表索引表</w:t>
      </w:r>
      <w:bookmarkEnd w:id="28"/>
    </w:p>
    <w:p>
      <w:pPr>
        <w:pStyle w:val="2"/>
        <w:outlineLvl w:val="9"/>
        <w:rPr>
          <w:rFonts w:hint="eastAsia"/>
          <w:lang w:eastAsia="zh-CN"/>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3"/>
        <w:gridCol w:w="4089"/>
        <w:gridCol w:w="2702"/>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pStyle w:val="2"/>
              <w:jc w:val="center"/>
              <w:rPr>
                <w:rFonts w:hint="eastAsia"/>
                <w:sz w:val="21"/>
                <w:szCs w:val="21"/>
                <w:vertAlign w:val="baseline"/>
                <w:lang w:eastAsia="zh-CN"/>
              </w:rPr>
            </w:pPr>
            <w:r>
              <w:rPr>
                <w:rFonts w:hint="eastAsia"/>
                <w:sz w:val="21"/>
                <w:szCs w:val="21"/>
                <w:vertAlign w:val="baseline"/>
                <w:lang w:eastAsia="zh-CN"/>
              </w:rPr>
              <w:t>序号</w:t>
            </w:r>
          </w:p>
        </w:tc>
        <w:tc>
          <w:tcPr>
            <w:tcW w:w="4089" w:type="dxa"/>
          </w:tcPr>
          <w:p>
            <w:pPr>
              <w:pStyle w:val="2"/>
              <w:jc w:val="center"/>
              <w:rPr>
                <w:rFonts w:hint="eastAsia"/>
                <w:sz w:val="21"/>
                <w:szCs w:val="21"/>
                <w:vertAlign w:val="baseline"/>
                <w:lang w:eastAsia="zh-CN"/>
              </w:rPr>
            </w:pPr>
            <w:r>
              <w:rPr>
                <w:rFonts w:hint="eastAsia"/>
                <w:sz w:val="21"/>
                <w:szCs w:val="21"/>
                <w:vertAlign w:val="baseline"/>
                <w:lang w:eastAsia="zh-CN"/>
              </w:rPr>
              <w:t>评审项</w:t>
            </w:r>
          </w:p>
        </w:tc>
        <w:tc>
          <w:tcPr>
            <w:tcW w:w="2702" w:type="dxa"/>
          </w:tcPr>
          <w:p>
            <w:pPr>
              <w:pStyle w:val="2"/>
              <w:jc w:val="center"/>
              <w:rPr>
                <w:rFonts w:hint="eastAsia"/>
                <w:sz w:val="21"/>
                <w:szCs w:val="21"/>
                <w:vertAlign w:val="baseline"/>
                <w:lang w:eastAsia="zh-CN"/>
              </w:rPr>
            </w:pPr>
            <w:r>
              <w:rPr>
                <w:rFonts w:hint="eastAsia"/>
                <w:sz w:val="21"/>
                <w:szCs w:val="21"/>
                <w:vertAlign w:val="baseline"/>
                <w:lang w:eastAsia="zh-CN"/>
              </w:rPr>
              <w:t>响应情况</w:t>
            </w:r>
          </w:p>
        </w:tc>
        <w:tc>
          <w:tcPr>
            <w:tcW w:w="2702" w:type="dxa"/>
          </w:tcPr>
          <w:p>
            <w:pPr>
              <w:pStyle w:val="2"/>
              <w:jc w:val="center"/>
              <w:rPr>
                <w:rFonts w:hint="eastAsia"/>
                <w:sz w:val="21"/>
                <w:szCs w:val="21"/>
                <w:lang w:eastAsia="zh-CN"/>
              </w:rPr>
            </w:pPr>
            <w:r>
              <w:rPr>
                <w:rFonts w:hint="eastAsia"/>
                <w:sz w:val="21"/>
                <w:szCs w:val="21"/>
                <w:lang w:eastAsia="zh-CN"/>
              </w:rPr>
              <w:t>材料所在页码</w:t>
            </w:r>
          </w:p>
          <w:p>
            <w:pPr>
              <w:jc w:val="center"/>
              <w:rPr>
                <w:rFonts w:hint="eastAsia"/>
                <w:sz w:val="21"/>
                <w:szCs w:val="21"/>
                <w:lang w:eastAsia="zh-CN"/>
              </w:rPr>
            </w:pPr>
            <w:r>
              <w:rPr>
                <w:rFonts w:hint="eastAsia"/>
                <w:sz w:val="21"/>
                <w:szCs w:val="21"/>
                <w:vertAlign w:val="baseline"/>
                <w:lang w:eastAsia="zh-CN"/>
              </w:rPr>
              <w:t>（第</w:t>
            </w:r>
            <w:r>
              <w:rPr>
                <w:rFonts w:hint="eastAsia"/>
                <w:sz w:val="21"/>
                <w:szCs w:val="21"/>
                <w:u w:val="single"/>
                <w:vertAlign w:val="baseline"/>
                <w:lang w:val="en-US" w:eastAsia="zh-CN"/>
              </w:rPr>
              <w:t xml:space="preserve">  </w:t>
            </w:r>
            <w:r>
              <w:rPr>
                <w:rFonts w:hint="eastAsia"/>
                <w:sz w:val="21"/>
                <w:szCs w:val="21"/>
                <w:vertAlign w:val="baseline"/>
                <w:lang w:val="en-US" w:eastAsia="zh-CN"/>
              </w:rPr>
              <w:t>页</w:t>
            </w:r>
            <w:r>
              <w:rPr>
                <w:rFonts w:hint="eastAsia"/>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pStyle w:val="2"/>
              <w:rPr>
                <w:rFonts w:hint="default"/>
                <w:vertAlign w:val="baseline"/>
                <w:lang w:val="en-US" w:eastAsia="zh-CN"/>
              </w:rPr>
            </w:pPr>
            <w:r>
              <w:rPr>
                <w:rFonts w:hint="eastAsia"/>
                <w:vertAlign w:val="baseline"/>
                <w:lang w:val="en-US" w:eastAsia="zh-CN"/>
              </w:rPr>
              <w:t>1</w:t>
            </w:r>
          </w:p>
        </w:tc>
        <w:tc>
          <w:tcPr>
            <w:tcW w:w="4089" w:type="dxa"/>
          </w:tcPr>
          <w:p>
            <w:pPr>
              <w:pStyle w:val="2"/>
              <w:outlineLvl w:val="9"/>
              <w:rPr>
                <w:rFonts w:hint="eastAsia"/>
                <w:vertAlign w:val="baseline"/>
                <w:lang w:eastAsia="zh-CN"/>
              </w:rPr>
            </w:pPr>
          </w:p>
        </w:tc>
        <w:tc>
          <w:tcPr>
            <w:tcW w:w="2702" w:type="dxa"/>
          </w:tcPr>
          <w:p>
            <w:pPr>
              <w:pStyle w:val="2"/>
              <w:outlineLvl w:val="9"/>
              <w:rPr>
                <w:rFonts w:hint="eastAsia"/>
                <w:vertAlign w:val="baseline"/>
                <w:lang w:eastAsia="zh-CN"/>
              </w:rPr>
            </w:pPr>
          </w:p>
        </w:tc>
        <w:tc>
          <w:tcPr>
            <w:tcW w:w="2702" w:type="dxa"/>
          </w:tcPr>
          <w:p>
            <w:pPr>
              <w:pStyle w:val="2"/>
              <w:outlineLvl w:val="9"/>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pStyle w:val="2"/>
              <w:rPr>
                <w:rFonts w:hint="default"/>
                <w:vertAlign w:val="baseline"/>
                <w:lang w:val="en-US" w:eastAsia="zh-CN"/>
              </w:rPr>
            </w:pPr>
            <w:r>
              <w:rPr>
                <w:rFonts w:hint="eastAsia"/>
                <w:vertAlign w:val="baseline"/>
                <w:lang w:val="en-US" w:eastAsia="zh-CN"/>
              </w:rPr>
              <w:t>2</w:t>
            </w:r>
          </w:p>
        </w:tc>
        <w:tc>
          <w:tcPr>
            <w:tcW w:w="4089" w:type="dxa"/>
          </w:tcPr>
          <w:p>
            <w:pPr>
              <w:pStyle w:val="2"/>
              <w:outlineLvl w:val="9"/>
              <w:rPr>
                <w:rFonts w:hint="eastAsia"/>
                <w:vertAlign w:val="baseline"/>
                <w:lang w:eastAsia="zh-CN"/>
              </w:rPr>
            </w:pPr>
          </w:p>
        </w:tc>
        <w:tc>
          <w:tcPr>
            <w:tcW w:w="2702" w:type="dxa"/>
          </w:tcPr>
          <w:p>
            <w:pPr>
              <w:pStyle w:val="2"/>
              <w:outlineLvl w:val="9"/>
              <w:rPr>
                <w:rFonts w:hint="eastAsia"/>
                <w:vertAlign w:val="baseline"/>
                <w:lang w:eastAsia="zh-CN"/>
              </w:rPr>
            </w:pPr>
          </w:p>
        </w:tc>
        <w:tc>
          <w:tcPr>
            <w:tcW w:w="2702" w:type="dxa"/>
          </w:tcPr>
          <w:p>
            <w:pPr>
              <w:pStyle w:val="2"/>
              <w:outlineLvl w:val="9"/>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pStyle w:val="2"/>
              <w:rPr>
                <w:rFonts w:hint="default"/>
                <w:vertAlign w:val="baseline"/>
                <w:lang w:val="en-US" w:eastAsia="zh-CN"/>
              </w:rPr>
            </w:pPr>
            <w:r>
              <w:rPr>
                <w:rFonts w:hint="eastAsia"/>
                <w:vertAlign w:val="baseline"/>
                <w:lang w:val="en-US" w:eastAsia="zh-CN"/>
              </w:rPr>
              <w:t>3</w:t>
            </w:r>
          </w:p>
        </w:tc>
        <w:tc>
          <w:tcPr>
            <w:tcW w:w="4089" w:type="dxa"/>
          </w:tcPr>
          <w:p>
            <w:pPr>
              <w:pStyle w:val="2"/>
              <w:outlineLvl w:val="9"/>
              <w:rPr>
                <w:rFonts w:hint="eastAsia"/>
                <w:vertAlign w:val="baseline"/>
                <w:lang w:eastAsia="zh-CN"/>
              </w:rPr>
            </w:pPr>
          </w:p>
        </w:tc>
        <w:tc>
          <w:tcPr>
            <w:tcW w:w="2702" w:type="dxa"/>
          </w:tcPr>
          <w:p>
            <w:pPr>
              <w:pStyle w:val="2"/>
              <w:outlineLvl w:val="9"/>
              <w:rPr>
                <w:rFonts w:hint="eastAsia"/>
                <w:vertAlign w:val="baseline"/>
                <w:lang w:eastAsia="zh-CN"/>
              </w:rPr>
            </w:pPr>
          </w:p>
        </w:tc>
        <w:tc>
          <w:tcPr>
            <w:tcW w:w="2702" w:type="dxa"/>
          </w:tcPr>
          <w:p>
            <w:pPr>
              <w:pStyle w:val="2"/>
              <w:outlineLvl w:val="9"/>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pStyle w:val="2"/>
              <w:rPr>
                <w:rFonts w:hint="default"/>
                <w:vertAlign w:val="baseline"/>
                <w:lang w:val="en-US" w:eastAsia="zh-CN"/>
              </w:rPr>
            </w:pPr>
            <w:r>
              <w:rPr>
                <w:rFonts w:hint="eastAsia"/>
                <w:vertAlign w:val="baseline"/>
                <w:lang w:val="en-US" w:eastAsia="zh-CN"/>
              </w:rPr>
              <w:t>4</w:t>
            </w:r>
          </w:p>
        </w:tc>
        <w:tc>
          <w:tcPr>
            <w:tcW w:w="4089" w:type="dxa"/>
          </w:tcPr>
          <w:p>
            <w:pPr>
              <w:pStyle w:val="2"/>
              <w:outlineLvl w:val="9"/>
              <w:rPr>
                <w:rFonts w:hint="eastAsia"/>
                <w:vertAlign w:val="baseline"/>
                <w:lang w:eastAsia="zh-CN"/>
              </w:rPr>
            </w:pPr>
          </w:p>
        </w:tc>
        <w:tc>
          <w:tcPr>
            <w:tcW w:w="2702" w:type="dxa"/>
          </w:tcPr>
          <w:p>
            <w:pPr>
              <w:pStyle w:val="2"/>
              <w:outlineLvl w:val="9"/>
              <w:rPr>
                <w:rFonts w:hint="eastAsia"/>
                <w:vertAlign w:val="baseline"/>
                <w:lang w:eastAsia="zh-CN"/>
              </w:rPr>
            </w:pPr>
          </w:p>
        </w:tc>
        <w:tc>
          <w:tcPr>
            <w:tcW w:w="2702" w:type="dxa"/>
          </w:tcPr>
          <w:p>
            <w:pPr>
              <w:pStyle w:val="2"/>
              <w:outlineLvl w:val="9"/>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tcPr>
          <w:p>
            <w:pPr>
              <w:pStyle w:val="2"/>
              <w:rPr>
                <w:rFonts w:hint="default"/>
                <w:vertAlign w:val="baseline"/>
                <w:lang w:val="en-US" w:eastAsia="zh-CN"/>
              </w:rPr>
            </w:pPr>
            <w:r>
              <w:rPr>
                <w:rFonts w:hint="eastAsia"/>
                <w:vertAlign w:val="baseline"/>
                <w:lang w:val="en-US" w:eastAsia="zh-CN"/>
              </w:rPr>
              <w:t>.....</w:t>
            </w:r>
          </w:p>
        </w:tc>
        <w:tc>
          <w:tcPr>
            <w:tcW w:w="4089" w:type="dxa"/>
          </w:tcPr>
          <w:p>
            <w:pPr>
              <w:pStyle w:val="2"/>
              <w:outlineLvl w:val="9"/>
              <w:rPr>
                <w:rFonts w:hint="eastAsia"/>
                <w:vertAlign w:val="baseline"/>
                <w:lang w:eastAsia="zh-CN"/>
              </w:rPr>
            </w:pPr>
          </w:p>
        </w:tc>
        <w:tc>
          <w:tcPr>
            <w:tcW w:w="2702" w:type="dxa"/>
          </w:tcPr>
          <w:p>
            <w:pPr>
              <w:pStyle w:val="2"/>
              <w:outlineLvl w:val="9"/>
              <w:rPr>
                <w:rFonts w:hint="eastAsia"/>
                <w:vertAlign w:val="baseline"/>
                <w:lang w:eastAsia="zh-CN"/>
              </w:rPr>
            </w:pPr>
          </w:p>
        </w:tc>
        <w:tc>
          <w:tcPr>
            <w:tcW w:w="2702" w:type="dxa"/>
          </w:tcPr>
          <w:p>
            <w:pPr>
              <w:pStyle w:val="2"/>
              <w:outlineLvl w:val="9"/>
              <w:rPr>
                <w:rFonts w:hint="eastAsia"/>
                <w:vertAlign w:val="baseline"/>
                <w:lang w:eastAsia="zh-CN"/>
              </w:rPr>
            </w:pPr>
          </w:p>
        </w:tc>
      </w:tr>
    </w:tbl>
    <w:p>
      <w:pPr>
        <w:pStyle w:val="2"/>
        <w:outlineLvl w:val="9"/>
        <w:rPr>
          <w:rFonts w:hint="eastAsia"/>
          <w:lang w:eastAsia="zh-CN"/>
        </w:rPr>
      </w:pPr>
    </w:p>
    <w:p>
      <w:pPr>
        <w:rPr>
          <w:rFonts w:hint="eastAsia"/>
          <w:lang w:eastAsia="zh-CN"/>
        </w:rPr>
      </w:pPr>
    </w:p>
    <w:p>
      <w:r>
        <w:br w:type="page"/>
      </w:r>
    </w:p>
    <w:p>
      <w:pPr>
        <w:pStyle w:val="10"/>
        <w:spacing w:before="54"/>
        <w:ind w:left="77"/>
        <w:jc w:val="center"/>
      </w:pPr>
      <w:r>
        <w:t>目录</w:t>
      </w:r>
      <w:r>
        <w:rPr>
          <w:w w:val="99"/>
        </w:rPr>
        <w:t xml:space="preserve"> </w:t>
      </w:r>
    </w:p>
    <w:p>
      <w:pPr>
        <w:pStyle w:val="11"/>
        <w:rPr>
          <w:b/>
          <w:sz w:val="20"/>
        </w:rPr>
      </w:pPr>
    </w:p>
    <w:p>
      <w:pPr>
        <w:pStyle w:val="11"/>
        <w:rPr>
          <w:b/>
          <w:sz w:val="20"/>
        </w:rPr>
      </w:pPr>
    </w:p>
    <w:p>
      <w:pPr>
        <w:pStyle w:val="11"/>
        <w:rPr>
          <w:b/>
          <w:sz w:val="20"/>
        </w:rPr>
      </w:pPr>
    </w:p>
    <w:p>
      <w:pPr>
        <w:pStyle w:val="11"/>
        <w:rPr>
          <w:b/>
          <w:sz w:val="20"/>
        </w:rPr>
      </w:pPr>
    </w:p>
    <w:p>
      <w:pPr>
        <w:pStyle w:val="11"/>
        <w:spacing w:before="3"/>
        <w:rPr>
          <w:b/>
          <w:sz w:val="15"/>
        </w:rPr>
      </w:pPr>
    </w:p>
    <w:p>
      <w:pPr>
        <w:pStyle w:val="11"/>
        <w:spacing w:before="66"/>
        <w:ind w:left="933"/>
      </w:pPr>
      <w:r>
        <w:t xml:space="preserve">一、投标函 </w:t>
      </w:r>
    </w:p>
    <w:p>
      <w:pPr>
        <w:pStyle w:val="11"/>
        <w:spacing w:before="11"/>
        <w:rPr>
          <w:sz w:val="22"/>
        </w:rPr>
      </w:pPr>
    </w:p>
    <w:p>
      <w:pPr>
        <w:pStyle w:val="11"/>
        <w:ind w:left="933"/>
      </w:pPr>
      <w:r>
        <w:t xml:space="preserve">二、开标一览表 </w:t>
      </w:r>
    </w:p>
    <w:p>
      <w:pPr>
        <w:pStyle w:val="11"/>
        <w:spacing w:before="10"/>
        <w:rPr>
          <w:sz w:val="22"/>
        </w:rPr>
      </w:pPr>
    </w:p>
    <w:p>
      <w:pPr>
        <w:pStyle w:val="11"/>
        <w:spacing w:before="1" w:line="468" w:lineRule="auto"/>
        <w:ind w:left="933" w:right="5450"/>
      </w:pPr>
      <w:r>
        <w:t>三、法定代表人身份证明或授权委托书</w:t>
      </w:r>
    </w:p>
    <w:p>
      <w:pPr>
        <w:pStyle w:val="11"/>
        <w:spacing w:line="468" w:lineRule="auto"/>
        <w:ind w:left="933" w:right="7611"/>
      </w:pPr>
      <w:r>
        <w:t>四、资格审查资料</w:t>
      </w:r>
      <w:r>
        <w:rPr>
          <w:spacing w:val="-1"/>
        </w:rPr>
        <w:t xml:space="preserve">五、项目管理机构 </w:t>
      </w:r>
    </w:p>
    <w:p>
      <w:pPr>
        <w:pStyle w:val="11"/>
        <w:spacing w:before="2" w:line="468" w:lineRule="auto"/>
        <w:ind w:left="933" w:right="6770"/>
      </w:pPr>
      <w:r>
        <w:t xml:space="preserve">六、类似项目业绩一览表 七、用户需求响应/偏离表八、技术部分 </w:t>
      </w:r>
    </w:p>
    <w:p>
      <w:pPr>
        <w:pStyle w:val="11"/>
        <w:spacing w:before="1" w:line="468" w:lineRule="auto"/>
        <w:ind w:left="933" w:right="6410"/>
      </w:pPr>
      <w:r>
        <w:t xml:space="preserve">九、中小企业声明函（如有） 十、监狱企业证明（如有） </w:t>
      </w:r>
    </w:p>
    <w:p>
      <w:pPr>
        <w:pStyle w:val="11"/>
        <w:spacing w:before="1" w:line="468" w:lineRule="auto"/>
        <w:ind w:left="933" w:right="5210"/>
      </w:pPr>
      <w:r>
        <w:t>十一、残疾人福利性单位声明函（如有） 十二、其他材料</w:t>
      </w:r>
    </w:p>
    <w:p>
      <w:pPr>
        <w:pStyle w:val="11"/>
        <w:spacing w:before="4"/>
        <w:rPr>
          <w:sz w:val="20"/>
        </w:rPr>
      </w:pPr>
    </w:p>
    <w:p>
      <w:pPr>
        <w:pStyle w:val="11"/>
        <w:spacing w:before="67" w:line="364" w:lineRule="auto"/>
        <w:ind w:left="452" w:right="499"/>
      </w:pPr>
      <w:r>
        <w:t xml:space="preserve">注：请供应商按照以下文件的要求格式、内容制作投标文件，并请编制目录及页码，否则可能将影响对投标文件的评价。 </w:t>
      </w:r>
    </w:p>
    <w:p>
      <w:pPr>
        <w:spacing w:after="0" w:line="364" w:lineRule="auto"/>
        <w:sectPr>
          <w:pgSz w:w="11910" w:h="16840"/>
          <w:pgMar w:top="1060" w:right="640" w:bottom="920" w:left="680" w:header="0" w:footer="646" w:gutter="0"/>
          <w:cols w:space="720" w:num="1"/>
        </w:sectPr>
      </w:pPr>
    </w:p>
    <w:p>
      <w:pPr>
        <w:pStyle w:val="2"/>
        <w:spacing w:before="38"/>
        <w:ind w:left="410" w:right="451"/>
        <w:outlineLvl w:val="0"/>
      </w:pPr>
      <w:bookmarkStart w:id="29" w:name="_Toc29969"/>
      <w:r>
        <w:t>一、投标函</w:t>
      </w:r>
      <w:bookmarkEnd w:id="29"/>
    </w:p>
    <w:p>
      <w:pPr>
        <w:pStyle w:val="11"/>
        <w:spacing w:before="7"/>
        <w:rPr>
          <w:b/>
          <w:sz w:val="26"/>
        </w:rPr>
      </w:pPr>
    </w:p>
    <w:p>
      <w:pPr>
        <w:pStyle w:val="11"/>
        <w:ind w:left="452"/>
        <w:rPr>
          <w:rFonts w:hint="eastAsia" w:eastAsia="宋体"/>
          <w:lang w:eastAsia="zh-CN"/>
        </w:rPr>
      </w:pPr>
      <w:r>
        <w:t>致：</w:t>
      </w:r>
      <w:r>
        <w:rPr>
          <w:rFonts w:hint="eastAsia"/>
          <w:u w:val="single"/>
          <w:lang w:eastAsia="zh-CN"/>
        </w:rPr>
        <w:t>五指山市自然资源和规划局</w:t>
      </w:r>
    </w:p>
    <w:p>
      <w:pPr>
        <w:pStyle w:val="11"/>
        <w:rPr>
          <w:sz w:val="20"/>
        </w:rPr>
      </w:pPr>
    </w:p>
    <w:p>
      <w:pPr>
        <w:pStyle w:val="11"/>
        <w:spacing w:before="207"/>
        <w:ind w:left="933"/>
      </w:pPr>
      <w:r>
        <w:t>根据贵司</w:t>
      </w:r>
      <w:r>
        <w:rPr>
          <w:spacing w:val="34"/>
          <w:u w:val="single"/>
        </w:rPr>
        <w:t xml:space="preserve">   </w:t>
      </w:r>
      <w:r>
        <w:rPr>
          <w:u w:val="single"/>
        </w:rPr>
        <w:t>（项名称目</w:t>
      </w:r>
      <w:r>
        <w:rPr>
          <w:spacing w:val="-17"/>
          <w:u w:val="single"/>
        </w:rPr>
        <w:t>）</w:t>
      </w:r>
      <w:r>
        <w:rPr>
          <w:spacing w:val="-6"/>
          <w:u w:val="single"/>
        </w:rPr>
        <w:t xml:space="preserve">   </w:t>
      </w:r>
      <w:r>
        <w:t>（项目编号为</w:t>
      </w:r>
      <w:r>
        <w:rPr>
          <w:u w:val="single"/>
        </w:rPr>
        <w:t xml:space="preserve">        </w:t>
      </w:r>
      <w:r>
        <w:rPr>
          <w:spacing w:val="-17"/>
        </w:rPr>
        <w:t>）</w:t>
      </w:r>
      <w:r>
        <w:rPr>
          <w:spacing w:val="-3"/>
        </w:rPr>
        <w:t>的招标文件，正式授权下述签字</w:t>
      </w:r>
    </w:p>
    <w:p>
      <w:pPr>
        <w:pStyle w:val="11"/>
        <w:spacing w:before="5"/>
        <w:rPr>
          <w:sz w:val="14"/>
        </w:rPr>
      </w:pPr>
    </w:p>
    <w:p>
      <w:pPr>
        <w:pStyle w:val="11"/>
        <w:spacing w:before="67"/>
        <w:ind w:left="452"/>
      </w:pPr>
      <w:r>
        <w:t>人</w:t>
      </w:r>
      <w:r>
        <w:rPr>
          <w:spacing w:val="8"/>
          <w:u w:val="single"/>
        </w:rPr>
        <w:t xml:space="preserve">        </w:t>
      </w:r>
      <w:r>
        <w:rPr>
          <w:u w:val="single"/>
        </w:rPr>
        <w:t>（</w:t>
      </w:r>
      <w:r>
        <w:t>姓名和职务</w:t>
      </w:r>
      <w:r>
        <w:rPr>
          <w:spacing w:val="-51"/>
        </w:rPr>
        <w:t>）</w:t>
      </w:r>
      <w:r>
        <w:t>代表供应商</w:t>
      </w:r>
      <w:r>
        <w:rPr>
          <w:spacing w:val="10"/>
          <w:u w:val="single"/>
        </w:rPr>
        <w:t xml:space="preserve">       </w:t>
      </w:r>
      <w:r>
        <w:rPr>
          <w:u w:val="single"/>
        </w:rPr>
        <w:t>（</w:t>
      </w:r>
      <w:r>
        <w:t>投标单位名称</w:t>
      </w:r>
      <w:r>
        <w:rPr>
          <w:spacing w:val="-86"/>
        </w:rPr>
        <w:t>）</w:t>
      </w:r>
      <w:r>
        <w:rPr>
          <w:spacing w:val="-12"/>
        </w:rPr>
        <w:t>，提交投标书正本</w:t>
      </w:r>
      <w:r>
        <w:rPr>
          <w:u w:val="single"/>
        </w:rPr>
        <w:t xml:space="preserve">    </w:t>
      </w:r>
      <w:r>
        <w:t>份，</w:t>
      </w:r>
    </w:p>
    <w:p>
      <w:pPr>
        <w:pStyle w:val="11"/>
        <w:spacing w:before="8"/>
        <w:rPr>
          <w:sz w:val="14"/>
        </w:rPr>
      </w:pPr>
    </w:p>
    <w:p>
      <w:pPr>
        <w:pStyle w:val="11"/>
        <w:spacing w:before="67" w:line="338" w:lineRule="auto"/>
        <w:ind w:left="933" w:right="3770" w:hanging="481"/>
      </w:pPr>
      <w:r>
        <w:t>副本</w:t>
      </w:r>
      <w:r>
        <w:rPr>
          <w:u w:val="single"/>
        </w:rPr>
        <w:t xml:space="preserve">   </w:t>
      </w:r>
      <w:r>
        <w:t>份，开标一览表</w:t>
      </w:r>
      <w:r>
        <w:rPr>
          <w:u w:val="single"/>
        </w:rPr>
        <w:t xml:space="preserve">    </w:t>
      </w:r>
      <w:r>
        <w:t>份，投标文件电子版</w:t>
      </w:r>
      <w:r>
        <w:rPr>
          <w:u w:val="single"/>
        </w:rPr>
        <w:t xml:space="preserve">    </w:t>
      </w:r>
      <w:r>
        <w:t xml:space="preserve">份。根据此函，我们宣布同意如下： </w:t>
      </w:r>
    </w:p>
    <w:p>
      <w:pPr>
        <w:pStyle w:val="28"/>
        <w:numPr>
          <w:ilvl w:val="0"/>
          <w:numId w:val="35"/>
        </w:numPr>
        <w:tabs>
          <w:tab w:val="left" w:pos="1294"/>
        </w:tabs>
        <w:spacing w:before="128" w:after="0" w:line="240" w:lineRule="auto"/>
        <w:ind w:left="1293" w:right="0" w:hanging="421"/>
        <w:jc w:val="left"/>
        <w:rPr>
          <w:sz w:val="24"/>
        </w:rPr>
      </w:pPr>
      <w:r>
        <w:rPr>
          <w:sz w:val="24"/>
        </w:rPr>
        <w:t xml:space="preserve">我方接受招标文件的所有的条款和规定。 </w:t>
      </w:r>
    </w:p>
    <w:p>
      <w:pPr>
        <w:pStyle w:val="11"/>
        <w:spacing w:before="9"/>
        <w:rPr>
          <w:sz w:val="19"/>
        </w:rPr>
      </w:pPr>
    </w:p>
    <w:p>
      <w:pPr>
        <w:pStyle w:val="28"/>
        <w:numPr>
          <w:ilvl w:val="0"/>
          <w:numId w:val="35"/>
        </w:numPr>
        <w:tabs>
          <w:tab w:val="left" w:pos="1294"/>
        </w:tabs>
        <w:spacing w:before="0" w:after="0" w:line="439" w:lineRule="auto"/>
        <w:ind w:left="1293" w:right="435" w:hanging="420"/>
        <w:jc w:val="left"/>
        <w:rPr>
          <w:sz w:val="24"/>
        </w:rPr>
      </w:pPr>
      <w:r>
        <w:rPr>
          <w:spacing w:val="55"/>
          <w:sz w:val="24"/>
        </w:rPr>
        <w:t>我方同意按招标文件要求提交的投标保证金一份，金额为人民币（</w:t>
      </w:r>
      <w:r>
        <w:rPr>
          <w:sz w:val="24"/>
        </w:rPr>
        <w:t>大写 ） （¥</w:t>
      </w:r>
      <w:r>
        <w:rPr>
          <w:spacing w:val="119"/>
          <w:sz w:val="24"/>
        </w:rPr>
        <w:t xml:space="preserve"> </w:t>
      </w:r>
      <w:r>
        <w:rPr>
          <w:spacing w:val="-120"/>
          <w:sz w:val="24"/>
        </w:rPr>
        <w:t>）</w:t>
      </w:r>
      <w:r>
        <w:rPr>
          <w:sz w:val="24"/>
        </w:rPr>
        <w:t xml:space="preserve">。 </w:t>
      </w:r>
    </w:p>
    <w:p>
      <w:pPr>
        <w:pStyle w:val="28"/>
        <w:numPr>
          <w:ilvl w:val="0"/>
          <w:numId w:val="35"/>
        </w:numPr>
        <w:tabs>
          <w:tab w:val="left" w:pos="1294"/>
        </w:tabs>
        <w:spacing w:before="0" w:after="0" w:line="439" w:lineRule="auto"/>
        <w:ind w:left="1293" w:right="492" w:hanging="420"/>
        <w:jc w:val="left"/>
        <w:rPr>
          <w:sz w:val="24"/>
        </w:rPr>
      </w:pPr>
      <w:r>
        <w:rPr>
          <w:spacing w:val="-7"/>
          <w:sz w:val="24"/>
        </w:rPr>
        <w:t>我方同意按照招标文件第二章“供应商须知”的规定，本投标文件的有效期为从投标</w:t>
      </w:r>
      <w:r>
        <w:rPr>
          <w:sz w:val="24"/>
        </w:rPr>
        <w:t>截止日期起计算的</w:t>
      </w:r>
      <w:r>
        <w:rPr>
          <w:spacing w:val="-3"/>
          <w:sz w:val="24"/>
        </w:rPr>
        <w:t xml:space="preserve"> 天，在此期间，本投标文件将始终对我方具有约束力，并可随</w:t>
      </w:r>
    </w:p>
    <w:p>
      <w:pPr>
        <w:pStyle w:val="11"/>
        <w:spacing w:line="299" w:lineRule="exact"/>
        <w:ind w:left="1293"/>
      </w:pPr>
      <w:r>
        <w:t xml:space="preserve">时被接受。 </w:t>
      </w:r>
    </w:p>
    <w:p>
      <w:pPr>
        <w:pStyle w:val="11"/>
        <w:spacing w:before="9"/>
        <w:rPr>
          <w:sz w:val="29"/>
        </w:rPr>
      </w:pPr>
    </w:p>
    <w:p>
      <w:pPr>
        <w:pStyle w:val="28"/>
        <w:numPr>
          <w:ilvl w:val="0"/>
          <w:numId w:val="35"/>
        </w:numPr>
        <w:tabs>
          <w:tab w:val="left" w:pos="1294"/>
        </w:tabs>
        <w:spacing w:before="0" w:after="0" w:line="240" w:lineRule="auto"/>
        <w:ind w:left="1293" w:right="0" w:hanging="421"/>
        <w:jc w:val="left"/>
        <w:rPr>
          <w:sz w:val="24"/>
        </w:rPr>
      </w:pPr>
      <w:r>
        <w:rPr>
          <w:sz w:val="24"/>
        </w:rPr>
        <w:t xml:space="preserve">如果在开标后规定的投标有效期内撤回投标，我方的投标保证金可被贵方没收。 </w:t>
      </w:r>
    </w:p>
    <w:p>
      <w:pPr>
        <w:pStyle w:val="11"/>
        <w:spacing w:before="11"/>
        <w:rPr>
          <w:sz w:val="19"/>
        </w:rPr>
      </w:pPr>
    </w:p>
    <w:p>
      <w:pPr>
        <w:pStyle w:val="28"/>
        <w:numPr>
          <w:ilvl w:val="0"/>
          <w:numId w:val="35"/>
        </w:numPr>
        <w:tabs>
          <w:tab w:val="left" w:pos="1294"/>
        </w:tabs>
        <w:spacing w:before="1" w:after="0" w:line="240" w:lineRule="auto"/>
        <w:ind w:left="1293" w:right="0" w:hanging="421"/>
        <w:jc w:val="left"/>
        <w:rPr>
          <w:sz w:val="24"/>
        </w:rPr>
      </w:pPr>
      <w:r>
        <w:rPr>
          <w:sz w:val="24"/>
        </w:rPr>
        <w:t xml:space="preserve">我方完全理解贵方不一定要接受最低价的投标。 </w:t>
      </w:r>
    </w:p>
    <w:p>
      <w:pPr>
        <w:pStyle w:val="28"/>
        <w:numPr>
          <w:ilvl w:val="0"/>
          <w:numId w:val="35"/>
        </w:numPr>
        <w:tabs>
          <w:tab w:val="left" w:pos="1294"/>
        </w:tabs>
        <w:spacing w:before="124" w:after="0" w:line="240" w:lineRule="auto"/>
        <w:ind w:left="1293" w:right="0" w:hanging="421"/>
        <w:jc w:val="left"/>
        <w:rPr>
          <w:sz w:val="24"/>
        </w:rPr>
      </w:pPr>
      <w:r>
        <w:rPr>
          <w:sz w:val="24"/>
        </w:rPr>
        <w:t xml:space="preserve">我们同意提供贵单位要求的有关本次投标的所有资料或证据。 </w:t>
      </w:r>
    </w:p>
    <w:p>
      <w:pPr>
        <w:pStyle w:val="11"/>
        <w:spacing w:before="10"/>
        <w:rPr>
          <w:sz w:val="19"/>
        </w:rPr>
      </w:pPr>
    </w:p>
    <w:p>
      <w:pPr>
        <w:pStyle w:val="28"/>
        <w:numPr>
          <w:ilvl w:val="0"/>
          <w:numId w:val="35"/>
        </w:numPr>
        <w:tabs>
          <w:tab w:val="left" w:pos="1294"/>
        </w:tabs>
        <w:spacing w:before="1" w:after="0" w:line="240" w:lineRule="auto"/>
        <w:ind w:left="1293" w:right="0" w:hanging="421"/>
        <w:jc w:val="left"/>
        <w:rPr>
          <w:sz w:val="24"/>
        </w:rPr>
      </w:pPr>
      <w:r>
        <w:rPr>
          <w:sz w:val="24"/>
        </w:rPr>
        <w:t xml:space="preserve">如果我方中标，我们将根据招标文件的规定严格履行自己的责任和义务。 </w:t>
      </w:r>
    </w:p>
    <w:p>
      <w:pPr>
        <w:pStyle w:val="11"/>
        <w:spacing w:before="8"/>
        <w:rPr>
          <w:sz w:val="19"/>
        </w:rPr>
      </w:pPr>
    </w:p>
    <w:p>
      <w:pPr>
        <w:pStyle w:val="11"/>
        <w:ind w:left="452"/>
      </w:pPr>
      <w:r>
        <w:t xml:space="preserve">        供 应 商 名 称 ：</w:t>
      </w:r>
      <w:r>
        <w:rPr>
          <w:u w:val="single"/>
        </w:rPr>
        <w:t xml:space="preserve"> （ 公 章 ）</w:t>
      </w:r>
      <w:r>
        <w:t xml:space="preserve"> </w:t>
      </w:r>
    </w:p>
    <w:p>
      <w:pPr>
        <w:pStyle w:val="11"/>
        <w:spacing w:before="7"/>
        <w:rPr>
          <w:sz w:val="19"/>
        </w:rPr>
      </w:pPr>
    </w:p>
    <w:p>
      <w:pPr>
        <w:pStyle w:val="11"/>
        <w:spacing w:before="66"/>
        <w:ind w:left="452"/>
      </w:pPr>
      <w:r>
        <w:t xml:space="preserve">        地 址 ：</w:t>
      </w:r>
      <w:r>
        <w:rPr>
          <w:u w:val="single"/>
        </w:rPr>
        <w:t xml:space="preserve"> </w:t>
      </w:r>
      <w:r>
        <w:t>邮 编 ：</w:t>
      </w:r>
      <w:r>
        <w:rPr>
          <w:u w:val="single"/>
        </w:rPr>
        <w:t xml:space="preserve">          </w:t>
      </w:r>
      <w:r>
        <w:t xml:space="preserve"> </w:t>
      </w:r>
    </w:p>
    <w:p>
      <w:pPr>
        <w:pStyle w:val="11"/>
        <w:spacing w:before="4"/>
        <w:rPr>
          <w:sz w:val="19"/>
        </w:rPr>
      </w:pPr>
    </w:p>
    <w:p>
      <w:pPr>
        <w:pStyle w:val="11"/>
        <w:spacing w:before="67"/>
        <w:ind w:left="452"/>
      </w:pPr>
      <w:r>
        <w:t xml:space="preserve">        电 话 ：</w:t>
      </w:r>
      <w:r>
        <w:rPr>
          <w:u w:val="single"/>
        </w:rPr>
        <w:t xml:space="preserve"> </w:t>
      </w:r>
      <w:r>
        <w:t>传 真 ：</w:t>
      </w:r>
      <w:r>
        <w:rPr>
          <w:u w:val="single"/>
        </w:rPr>
        <w:t xml:space="preserve">             </w:t>
      </w:r>
      <w:r>
        <w:t xml:space="preserve"> </w:t>
      </w:r>
    </w:p>
    <w:p>
      <w:pPr>
        <w:pStyle w:val="11"/>
        <w:spacing w:before="4"/>
        <w:rPr>
          <w:sz w:val="19"/>
        </w:rPr>
      </w:pPr>
    </w:p>
    <w:p>
      <w:pPr>
        <w:pStyle w:val="11"/>
        <w:spacing w:before="66"/>
        <w:ind w:left="452"/>
      </w:pPr>
      <w:r>
        <w:t xml:space="preserve">        开户名：</w:t>
      </w:r>
      <w:r>
        <w:rPr>
          <w:u w:val="single"/>
        </w:rPr>
        <w:t xml:space="preserve">                              </w:t>
      </w:r>
      <w:r>
        <w:rPr>
          <w:spacing w:val="1"/>
          <w:u w:val="single"/>
        </w:rPr>
        <w:t xml:space="preserve"> </w:t>
      </w:r>
      <w:r>
        <w:t xml:space="preserve"> </w:t>
      </w:r>
    </w:p>
    <w:p>
      <w:pPr>
        <w:pStyle w:val="11"/>
        <w:spacing w:before="8"/>
        <w:rPr>
          <w:sz w:val="19"/>
        </w:rPr>
      </w:pPr>
    </w:p>
    <w:p>
      <w:pPr>
        <w:pStyle w:val="11"/>
        <w:spacing w:before="66"/>
        <w:ind w:left="452"/>
      </w:pPr>
      <w:r>
        <w:t xml:space="preserve">        开户行： </w:t>
      </w:r>
      <w:r>
        <w:rPr>
          <w:u w:val="single"/>
        </w:rPr>
        <w:t xml:space="preserve">                               </w:t>
      </w:r>
      <w:r>
        <w:rPr>
          <w:spacing w:val="1"/>
          <w:u w:val="single"/>
        </w:rPr>
        <w:t xml:space="preserve"> </w:t>
      </w:r>
      <w:r>
        <w:t xml:space="preserve"> </w:t>
      </w:r>
    </w:p>
    <w:p>
      <w:pPr>
        <w:pStyle w:val="11"/>
        <w:spacing w:before="4"/>
        <w:rPr>
          <w:sz w:val="19"/>
        </w:rPr>
      </w:pPr>
    </w:p>
    <w:p>
      <w:pPr>
        <w:pStyle w:val="11"/>
        <w:spacing w:before="67"/>
        <w:ind w:left="452"/>
      </w:pPr>
      <w:r>
        <w:t xml:space="preserve">        账 户 ：</w:t>
      </w:r>
      <w:r>
        <w:rPr>
          <w:u w:val="single"/>
        </w:rPr>
        <w:t xml:space="preserve">                                 </w:t>
      </w:r>
      <w:r>
        <w:rPr>
          <w:spacing w:val="1"/>
          <w:u w:val="single"/>
        </w:rPr>
        <w:t xml:space="preserve"> </w:t>
      </w:r>
      <w:r>
        <w:t xml:space="preserve"> </w:t>
      </w:r>
    </w:p>
    <w:p>
      <w:pPr>
        <w:pStyle w:val="11"/>
        <w:spacing w:before="6"/>
        <w:rPr>
          <w:sz w:val="19"/>
        </w:rPr>
      </w:pPr>
    </w:p>
    <w:p>
      <w:pPr>
        <w:pStyle w:val="11"/>
        <w:spacing w:before="67"/>
        <w:ind w:left="452"/>
      </w:pPr>
      <w:r>
        <w:t xml:space="preserve">        授 权 代 表 签 字 ：</w:t>
      </w:r>
      <w:r>
        <w:rPr>
          <w:u w:val="single"/>
        </w:rPr>
        <w:t xml:space="preserve">     </w:t>
      </w:r>
      <w:r>
        <w:t xml:space="preserve">  职 务 ：</w:t>
      </w:r>
      <w:r>
        <w:rPr>
          <w:u w:val="single"/>
        </w:rPr>
        <w:t xml:space="preserve">                  </w:t>
      </w:r>
      <w:r>
        <w:t xml:space="preserve"> </w:t>
      </w:r>
    </w:p>
    <w:p>
      <w:pPr>
        <w:pStyle w:val="11"/>
        <w:spacing w:before="4"/>
        <w:rPr>
          <w:sz w:val="19"/>
        </w:rPr>
      </w:pPr>
    </w:p>
    <w:p>
      <w:pPr>
        <w:pStyle w:val="11"/>
        <w:spacing w:before="66"/>
        <w:ind w:left="452"/>
        <w:rPr>
          <w:b/>
        </w:rPr>
      </w:pPr>
      <w:r>
        <w:t xml:space="preserve">                                    </w:t>
      </w:r>
      <w:r>
        <w:rPr>
          <w:spacing w:val="1"/>
        </w:rPr>
        <w:t xml:space="preserve"> </w:t>
      </w:r>
      <w:r>
        <w:t>日期：</w:t>
      </w:r>
      <w:r>
        <w:rPr>
          <w:u w:val="single"/>
        </w:rPr>
        <w:t xml:space="preserve">                  </w:t>
      </w:r>
      <w:r>
        <w:rPr>
          <w:b/>
          <w:w w:val="99"/>
        </w:rPr>
        <w:t xml:space="preserve"> </w:t>
      </w:r>
    </w:p>
    <w:p>
      <w:pPr>
        <w:spacing w:after="0"/>
        <w:sectPr>
          <w:pgSz w:w="11910" w:h="16840"/>
          <w:pgMar w:top="1420" w:right="640" w:bottom="920" w:left="680" w:header="0" w:footer="646" w:gutter="0"/>
          <w:cols w:space="720" w:num="1"/>
        </w:sectPr>
      </w:pPr>
    </w:p>
    <w:p>
      <w:pPr>
        <w:pStyle w:val="11"/>
        <w:spacing w:before="1"/>
        <w:rPr>
          <w:b/>
          <w:sz w:val="23"/>
        </w:rPr>
      </w:pPr>
    </w:p>
    <w:p>
      <w:pPr>
        <w:pStyle w:val="2"/>
        <w:ind w:left="410" w:right="454"/>
        <w:outlineLvl w:val="0"/>
      </w:pPr>
      <w:bookmarkStart w:id="30" w:name="_Toc2078"/>
      <w:r>
        <w:t>二、开标一览表</w:t>
      </w:r>
      <w:bookmarkEnd w:id="30"/>
    </w:p>
    <w:p>
      <w:pPr>
        <w:pStyle w:val="11"/>
        <w:spacing w:before="9"/>
        <w:rPr>
          <w:b/>
          <w:sz w:val="32"/>
        </w:rPr>
      </w:pPr>
    </w:p>
    <w:p>
      <w:pPr>
        <w:pStyle w:val="11"/>
        <w:spacing w:before="1"/>
        <w:ind w:left="452"/>
      </w:pPr>
      <w:r>
        <w:t xml:space="preserve">项目名称： </w:t>
      </w:r>
    </w:p>
    <w:p>
      <w:pPr>
        <w:pStyle w:val="11"/>
        <w:spacing w:before="160"/>
        <w:ind w:left="452"/>
      </w:pPr>
      <w:r>
        <w:t xml:space="preserve">项目编号：                                                   </w:t>
      </w:r>
    </w:p>
    <w:p>
      <w:pPr>
        <w:pStyle w:val="11"/>
        <w:spacing w:before="4"/>
        <w:rPr>
          <w:sz w:val="6"/>
        </w:rPr>
      </w:pPr>
    </w:p>
    <w:tbl>
      <w:tblPr>
        <w:tblStyle w:val="15"/>
        <w:tblW w:w="0" w:type="auto"/>
        <w:tblInd w:w="76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99"/>
        <w:gridCol w:w="59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7" w:hRule="atLeast"/>
        </w:trPr>
        <w:tc>
          <w:tcPr>
            <w:tcW w:w="3099" w:type="dxa"/>
          </w:tcPr>
          <w:p>
            <w:pPr>
              <w:pStyle w:val="29"/>
              <w:spacing w:before="160"/>
              <w:ind w:left="384" w:right="251"/>
              <w:jc w:val="center"/>
              <w:rPr>
                <w:b/>
                <w:sz w:val="24"/>
              </w:rPr>
            </w:pPr>
            <w:r>
              <w:rPr>
                <w:b/>
                <w:sz w:val="24"/>
              </w:rPr>
              <w:t>列名称</w:t>
            </w:r>
            <w:r>
              <w:rPr>
                <w:b/>
                <w:w w:val="99"/>
                <w:sz w:val="24"/>
              </w:rPr>
              <w:t xml:space="preserve"> </w:t>
            </w:r>
          </w:p>
        </w:tc>
        <w:tc>
          <w:tcPr>
            <w:tcW w:w="5931" w:type="dxa"/>
          </w:tcPr>
          <w:p>
            <w:pPr>
              <w:pStyle w:val="29"/>
              <w:spacing w:before="160"/>
              <w:ind w:left="2634" w:right="2514"/>
              <w:jc w:val="center"/>
              <w:rPr>
                <w:b/>
                <w:sz w:val="24"/>
              </w:rPr>
            </w:pPr>
            <w:r>
              <w:rPr>
                <w:b/>
                <w:sz w:val="24"/>
              </w:rPr>
              <w:t>列内容</w:t>
            </w:r>
            <w:r>
              <w:rPr>
                <w:b/>
                <w:w w:val="99"/>
                <w:sz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0" w:hRule="atLeast"/>
        </w:trPr>
        <w:tc>
          <w:tcPr>
            <w:tcW w:w="3099" w:type="dxa"/>
          </w:tcPr>
          <w:p>
            <w:pPr>
              <w:pStyle w:val="29"/>
              <w:spacing w:before="160"/>
              <w:ind w:left="387" w:right="251"/>
              <w:jc w:val="center"/>
              <w:rPr>
                <w:sz w:val="24"/>
              </w:rPr>
            </w:pPr>
            <w:r>
              <w:rPr>
                <w:sz w:val="24"/>
              </w:rPr>
              <w:t xml:space="preserve">供应商名称 </w:t>
            </w:r>
          </w:p>
        </w:tc>
        <w:tc>
          <w:tcPr>
            <w:tcW w:w="5931" w:type="dxa"/>
          </w:tcPr>
          <w:p>
            <w:pPr>
              <w:pStyle w:val="29"/>
              <w:spacing w:before="160"/>
              <w:ind w:left="117"/>
              <w:jc w:val="center"/>
              <w:rPr>
                <w:sz w:val="24"/>
              </w:rPr>
            </w:pPr>
            <w:r>
              <w:rPr>
                <w:sz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0" w:hRule="atLeast"/>
        </w:trPr>
        <w:tc>
          <w:tcPr>
            <w:tcW w:w="3099" w:type="dxa"/>
          </w:tcPr>
          <w:p>
            <w:pPr>
              <w:pStyle w:val="29"/>
              <w:spacing w:before="8"/>
              <w:rPr>
                <w:sz w:val="19"/>
              </w:rPr>
            </w:pPr>
          </w:p>
          <w:p>
            <w:pPr>
              <w:pStyle w:val="29"/>
              <w:ind w:left="387" w:right="251"/>
              <w:jc w:val="center"/>
              <w:rPr>
                <w:sz w:val="24"/>
              </w:rPr>
            </w:pPr>
            <w:r>
              <w:rPr>
                <w:sz w:val="24"/>
              </w:rPr>
              <w:t xml:space="preserve">投标报价总价（小写） </w:t>
            </w:r>
          </w:p>
        </w:tc>
        <w:tc>
          <w:tcPr>
            <w:tcW w:w="5931" w:type="dxa"/>
          </w:tcPr>
          <w:p>
            <w:pPr>
              <w:pStyle w:val="29"/>
              <w:spacing w:before="8"/>
              <w:rPr>
                <w:sz w:val="19"/>
              </w:rPr>
            </w:pPr>
          </w:p>
          <w:p>
            <w:pPr>
              <w:pStyle w:val="29"/>
              <w:ind w:left="-1"/>
              <w:rPr>
                <w:sz w:val="24"/>
              </w:rPr>
            </w:pPr>
            <w:r>
              <w:rPr>
                <w:sz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8" w:hRule="atLeast"/>
        </w:trPr>
        <w:tc>
          <w:tcPr>
            <w:tcW w:w="3099" w:type="dxa"/>
          </w:tcPr>
          <w:p>
            <w:pPr>
              <w:pStyle w:val="29"/>
              <w:spacing w:before="210"/>
              <w:ind w:left="387" w:right="251"/>
              <w:jc w:val="center"/>
              <w:rPr>
                <w:sz w:val="24"/>
              </w:rPr>
            </w:pPr>
            <w:r>
              <w:rPr>
                <w:sz w:val="24"/>
              </w:rPr>
              <w:t xml:space="preserve">投标报价总价（大写） </w:t>
            </w:r>
          </w:p>
        </w:tc>
        <w:tc>
          <w:tcPr>
            <w:tcW w:w="5931" w:type="dxa"/>
          </w:tcPr>
          <w:p>
            <w:pPr>
              <w:pStyle w:val="29"/>
              <w:spacing w:before="210"/>
              <w:ind w:left="117"/>
              <w:jc w:val="center"/>
              <w:rPr>
                <w:sz w:val="24"/>
              </w:rPr>
            </w:pPr>
            <w:r>
              <w:rPr>
                <w:sz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8" w:hRule="atLeast"/>
        </w:trPr>
        <w:tc>
          <w:tcPr>
            <w:tcW w:w="3099" w:type="dxa"/>
          </w:tcPr>
          <w:p>
            <w:pPr>
              <w:pStyle w:val="29"/>
              <w:spacing w:before="208"/>
              <w:ind w:left="387" w:right="251"/>
              <w:jc w:val="center"/>
              <w:rPr>
                <w:sz w:val="24"/>
              </w:rPr>
            </w:pPr>
            <w:r>
              <w:rPr>
                <w:sz w:val="24"/>
              </w:rPr>
              <w:t xml:space="preserve">合同履行期限 </w:t>
            </w:r>
          </w:p>
        </w:tc>
        <w:tc>
          <w:tcPr>
            <w:tcW w:w="5931" w:type="dxa"/>
          </w:tcPr>
          <w:p>
            <w:pPr>
              <w:pStyle w:val="29"/>
              <w:spacing w:before="208"/>
              <w:ind w:left="117"/>
              <w:jc w:val="center"/>
              <w:rPr>
                <w:sz w:val="24"/>
              </w:rPr>
            </w:pPr>
            <w:r>
              <w:rPr>
                <w:sz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099" w:type="dxa"/>
          </w:tcPr>
          <w:p>
            <w:pPr>
              <w:pStyle w:val="29"/>
              <w:rPr>
                <w:sz w:val="17"/>
              </w:rPr>
            </w:pPr>
          </w:p>
          <w:p>
            <w:pPr>
              <w:pStyle w:val="29"/>
              <w:ind w:left="387" w:right="251"/>
              <w:jc w:val="center"/>
              <w:rPr>
                <w:sz w:val="24"/>
              </w:rPr>
            </w:pPr>
            <w:r>
              <w:rPr>
                <w:sz w:val="24"/>
              </w:rPr>
              <w:t xml:space="preserve">备注 </w:t>
            </w:r>
          </w:p>
        </w:tc>
        <w:tc>
          <w:tcPr>
            <w:tcW w:w="5931" w:type="dxa"/>
          </w:tcPr>
          <w:p>
            <w:pPr>
              <w:pStyle w:val="29"/>
              <w:rPr>
                <w:sz w:val="17"/>
              </w:rPr>
            </w:pPr>
          </w:p>
          <w:p>
            <w:pPr>
              <w:pStyle w:val="29"/>
              <w:ind w:left="117"/>
              <w:jc w:val="center"/>
              <w:rPr>
                <w:sz w:val="24"/>
              </w:rPr>
            </w:pPr>
            <w:r>
              <w:rPr>
                <w:sz w:val="24"/>
              </w:rPr>
              <w:t xml:space="preserve"> </w:t>
            </w:r>
          </w:p>
        </w:tc>
      </w:tr>
    </w:tbl>
    <w:p>
      <w:pPr>
        <w:pStyle w:val="11"/>
        <w:spacing w:before="5"/>
        <w:ind w:left="452"/>
      </w:pPr>
      <w:r>
        <w:t xml:space="preserve">  </w:t>
      </w:r>
    </w:p>
    <w:p>
      <w:pPr>
        <w:pStyle w:val="11"/>
        <w:spacing w:before="163"/>
        <w:ind w:left="693"/>
      </w:pPr>
      <w:r>
        <w:rPr>
          <w:spacing w:val="-21"/>
        </w:rPr>
        <w:t>供应商名称：</w:t>
      </w:r>
      <w:r>
        <w:rPr>
          <w:u w:val="single"/>
        </w:rPr>
        <w:t xml:space="preserve">（盖章）     </w:t>
      </w:r>
      <w:r>
        <w:t xml:space="preserve">    </w:t>
      </w:r>
    </w:p>
    <w:p>
      <w:pPr>
        <w:pStyle w:val="11"/>
        <w:spacing w:before="163"/>
        <w:ind w:left="693"/>
      </w:pPr>
      <w:r>
        <w:t xml:space="preserve"> </w:t>
      </w:r>
    </w:p>
    <w:p>
      <w:pPr>
        <w:pStyle w:val="11"/>
        <w:spacing w:before="166"/>
        <w:ind w:left="693"/>
      </w:pPr>
      <w:r>
        <w:t>法人或授权代表：</w:t>
      </w:r>
      <w:r>
        <w:rPr>
          <w:spacing w:val="119"/>
          <w:u w:val="single"/>
        </w:rPr>
        <w:t xml:space="preserve"> </w:t>
      </w:r>
      <w:r>
        <w:t xml:space="preserve">（签名或盖章） </w:t>
      </w:r>
    </w:p>
    <w:p>
      <w:pPr>
        <w:pStyle w:val="10"/>
        <w:spacing w:before="163"/>
        <w:ind w:left="693"/>
      </w:pPr>
      <w:r>
        <w:rPr>
          <w:w w:val="99"/>
        </w:rPr>
        <w:t xml:space="preserve"> </w:t>
      </w:r>
    </w:p>
    <w:p>
      <w:pPr>
        <w:pStyle w:val="11"/>
        <w:spacing w:before="163"/>
        <w:ind w:left="693"/>
      </w:pPr>
      <w:r>
        <w:t xml:space="preserve">日期： </w:t>
      </w:r>
    </w:p>
    <w:p>
      <w:pPr>
        <w:pStyle w:val="10"/>
        <w:spacing w:before="162"/>
        <w:ind w:left="693"/>
      </w:pPr>
      <w:r>
        <w:rPr>
          <w:w w:val="99"/>
        </w:rPr>
        <w:t xml:space="preserve"> </w:t>
      </w:r>
    </w:p>
    <w:p>
      <w:pPr>
        <w:pStyle w:val="11"/>
        <w:spacing w:before="163" w:line="417" w:lineRule="auto"/>
        <w:ind w:left="1070" w:right="3047" w:hanging="377"/>
        <w:rPr>
          <w:b/>
        </w:rPr>
      </w:pPr>
      <w:r>
        <w:rPr>
          <w:b/>
        </w:rPr>
        <w:t>注:</w:t>
      </w:r>
      <w:r>
        <w:t>1</w:t>
      </w:r>
      <w:r>
        <w:rPr>
          <w:spacing w:val="-1"/>
        </w:rPr>
        <w:t xml:space="preserve">、投标报价应包括招标文件所规定的招标范围的全部内容； 2、投标报价必须是唯一的，不接受任何有选择的报价。 </w:t>
      </w:r>
      <w:r>
        <w:rPr>
          <w:b/>
          <w:spacing w:val="-1"/>
          <w:w w:val="99"/>
        </w:rPr>
        <w:t xml:space="preserve"> </w:t>
      </w:r>
    </w:p>
    <w:p>
      <w:pPr>
        <w:pStyle w:val="11"/>
        <w:spacing w:line="305" w:lineRule="exact"/>
        <w:ind w:left="1070"/>
        <w:rPr>
          <w:b/>
        </w:rPr>
      </w:pPr>
      <w:r>
        <w:t>3、此表为表样，行数可自行添加，但表式不变。</w:t>
      </w:r>
      <w:r>
        <w:rPr>
          <w:b/>
          <w:w w:val="99"/>
        </w:rPr>
        <w:t xml:space="preserve">   </w:t>
      </w:r>
    </w:p>
    <w:p>
      <w:pPr>
        <w:spacing w:after="0" w:line="305" w:lineRule="exact"/>
        <w:sectPr>
          <w:pgSz w:w="11910" w:h="16840"/>
          <w:pgMar w:top="1580" w:right="640" w:bottom="920" w:left="680" w:header="0" w:footer="646" w:gutter="0"/>
          <w:cols w:space="720" w:num="1"/>
        </w:sectPr>
      </w:pPr>
    </w:p>
    <w:p>
      <w:pPr>
        <w:pStyle w:val="2"/>
        <w:spacing w:before="23"/>
        <w:ind w:right="1242"/>
        <w:outlineLvl w:val="0"/>
      </w:pPr>
      <w:bookmarkStart w:id="31" w:name="_Toc14933"/>
      <w:r>
        <w:t>三、法定代表人身份证明或授权委托书</w:t>
      </w:r>
      <w:bookmarkEnd w:id="31"/>
    </w:p>
    <w:p>
      <w:pPr>
        <w:pStyle w:val="11"/>
        <w:rPr>
          <w:b/>
          <w:sz w:val="36"/>
        </w:rPr>
      </w:pPr>
    </w:p>
    <w:p>
      <w:pPr>
        <w:pStyle w:val="11"/>
        <w:spacing w:before="11"/>
        <w:rPr>
          <w:b/>
          <w:sz w:val="49"/>
        </w:rPr>
      </w:pPr>
    </w:p>
    <w:p>
      <w:pPr>
        <w:pStyle w:val="5"/>
        <w:ind w:left="0" w:right="1237"/>
        <w:jc w:val="center"/>
        <w:outlineLvl w:val="1"/>
      </w:pPr>
      <w:bookmarkStart w:id="32" w:name="_Toc9546"/>
      <w:r>
        <w:t>（一）法定代表人身份证明</w:t>
      </w:r>
      <w:bookmarkEnd w:id="32"/>
    </w:p>
    <w:p>
      <w:pPr>
        <w:pStyle w:val="11"/>
        <w:spacing w:before="9"/>
        <w:rPr>
          <w:b/>
          <w:sz w:val="43"/>
        </w:rPr>
      </w:pPr>
    </w:p>
    <w:p>
      <w:pPr>
        <w:pStyle w:val="11"/>
        <w:tabs>
          <w:tab w:val="left" w:pos="6075"/>
        </w:tabs>
        <w:ind w:left="620"/>
        <w:rPr>
          <w:rFonts w:ascii="Times New Roman" w:eastAsia="Times New Roman"/>
        </w:rPr>
      </w:pPr>
      <w:r>
        <w:rPr>
          <w:spacing w:val="-1"/>
        </w:rPr>
        <w:t>供</w:t>
      </w:r>
      <w:r>
        <w:t>应商名称：</w:t>
      </w:r>
      <w:r>
        <w:rPr>
          <w:rFonts w:ascii="Times New Roman" w:eastAsia="Times New Roman"/>
          <w:u w:val="single"/>
        </w:rPr>
        <w:t xml:space="preserve"> </w:t>
      </w:r>
      <w:r>
        <w:rPr>
          <w:rFonts w:ascii="Times New Roman" w:eastAsia="Times New Roman"/>
          <w:u w:val="single"/>
        </w:rPr>
        <w:tab/>
      </w:r>
    </w:p>
    <w:p>
      <w:pPr>
        <w:pStyle w:val="11"/>
        <w:spacing w:before="2"/>
        <w:rPr>
          <w:rFonts w:ascii="Times New Roman"/>
          <w:sz w:val="21"/>
        </w:rPr>
      </w:pPr>
    </w:p>
    <w:p>
      <w:pPr>
        <w:pStyle w:val="11"/>
        <w:tabs>
          <w:tab w:val="left" w:pos="6075"/>
        </w:tabs>
        <w:spacing w:before="74"/>
        <w:ind w:left="620"/>
        <w:rPr>
          <w:rFonts w:ascii="Times New Roman" w:eastAsia="Times New Roman"/>
        </w:rPr>
      </w:pPr>
      <w:r>
        <w:rPr>
          <w:spacing w:val="-1"/>
        </w:rPr>
        <w:t>单</w:t>
      </w:r>
      <w:r>
        <w:t>位性质：</w:t>
      </w:r>
      <w:r>
        <w:rPr>
          <w:rFonts w:ascii="Times New Roman" w:eastAsia="Times New Roman"/>
          <w:u w:val="single"/>
        </w:rPr>
        <w:t xml:space="preserve"> </w:t>
      </w:r>
      <w:r>
        <w:rPr>
          <w:rFonts w:ascii="Times New Roman" w:eastAsia="Times New Roman"/>
          <w:u w:val="single"/>
        </w:rPr>
        <w:tab/>
      </w:r>
    </w:p>
    <w:p>
      <w:pPr>
        <w:pStyle w:val="11"/>
        <w:spacing w:before="10"/>
        <w:rPr>
          <w:rFonts w:ascii="Times New Roman"/>
          <w:sz w:val="20"/>
        </w:rPr>
      </w:pPr>
    </w:p>
    <w:p>
      <w:pPr>
        <w:pStyle w:val="11"/>
        <w:tabs>
          <w:tab w:val="left" w:pos="6075"/>
        </w:tabs>
        <w:spacing w:before="74"/>
        <w:ind w:left="620"/>
        <w:rPr>
          <w:rFonts w:ascii="Times New Roman" w:eastAsia="Times New Roman"/>
        </w:rPr>
      </w:pPr>
      <w:r>
        <w:rPr>
          <w:spacing w:val="-1"/>
        </w:rPr>
        <w:t>地</w:t>
      </w:r>
      <w:r>
        <w:t>址：</w:t>
      </w:r>
      <w:r>
        <w:rPr>
          <w:rFonts w:ascii="Times New Roman" w:eastAsia="Times New Roman"/>
          <w:u w:val="single"/>
        </w:rPr>
        <w:t xml:space="preserve"> </w:t>
      </w:r>
      <w:r>
        <w:rPr>
          <w:rFonts w:ascii="Times New Roman" w:eastAsia="Times New Roman"/>
          <w:u w:val="single"/>
        </w:rPr>
        <w:tab/>
      </w:r>
    </w:p>
    <w:p>
      <w:pPr>
        <w:pStyle w:val="11"/>
        <w:spacing w:before="9"/>
        <w:rPr>
          <w:rFonts w:ascii="Times New Roman"/>
          <w:sz w:val="21"/>
        </w:rPr>
      </w:pPr>
    </w:p>
    <w:p>
      <w:pPr>
        <w:pStyle w:val="11"/>
        <w:spacing w:before="66"/>
        <w:ind w:left="620"/>
      </w:pPr>
      <w:r>
        <w:t>成 立 时 间 ：</w:t>
      </w:r>
      <w:r>
        <w:rPr>
          <w:spacing w:val="119"/>
          <w:u w:val="single"/>
        </w:rPr>
        <w:t xml:space="preserve"> </w:t>
      </w:r>
      <w:r>
        <w:t>年</w:t>
      </w:r>
      <w:r>
        <w:rPr>
          <w:u w:val="single"/>
        </w:rPr>
        <w:t xml:space="preserve"> </w:t>
      </w:r>
      <w:r>
        <w:t>月 日</w:t>
      </w:r>
    </w:p>
    <w:p>
      <w:pPr>
        <w:pStyle w:val="11"/>
        <w:spacing w:before="4"/>
        <w:rPr>
          <w:sz w:val="19"/>
        </w:rPr>
      </w:pPr>
    </w:p>
    <w:p>
      <w:pPr>
        <w:pStyle w:val="11"/>
        <w:spacing w:before="67"/>
        <w:ind w:left="620"/>
      </w:pPr>
      <w:r>
        <w:t>经营期限：</w:t>
      </w:r>
      <w:r>
        <w:rPr>
          <w:u w:val="single"/>
        </w:rPr>
        <w:t xml:space="preserve">                                 </w:t>
      </w:r>
      <w:r>
        <w:t xml:space="preserve"> </w:t>
      </w:r>
    </w:p>
    <w:p>
      <w:pPr>
        <w:pStyle w:val="11"/>
        <w:spacing w:before="9"/>
        <w:rPr>
          <w:sz w:val="18"/>
        </w:rPr>
      </w:pPr>
    </w:p>
    <w:p>
      <w:pPr>
        <w:pStyle w:val="11"/>
        <w:tabs>
          <w:tab w:val="left" w:pos="7636"/>
        </w:tabs>
        <w:spacing w:before="74"/>
        <w:ind w:left="620"/>
        <w:rPr>
          <w:rFonts w:ascii="Times New Roman" w:eastAsia="Times New Roman"/>
        </w:rPr>
      </w:pPr>
      <w:r>
        <w:t>姓名：</w:t>
      </w:r>
      <w:r>
        <w:rPr>
          <w:u w:val="single"/>
        </w:rPr>
        <w:t xml:space="preserve">        </w:t>
      </w:r>
      <w:r>
        <w:rPr>
          <w:spacing w:val="119"/>
        </w:rPr>
        <w:t xml:space="preserve"> </w:t>
      </w:r>
      <w:r>
        <w:t>性别：</w:t>
      </w:r>
      <w:r>
        <w:rPr>
          <w:u w:val="single"/>
        </w:rPr>
        <w:t xml:space="preserve">       </w:t>
      </w:r>
      <w:r>
        <w:t>年龄：</w:t>
      </w:r>
      <w:r>
        <w:rPr>
          <w:u w:val="single"/>
        </w:rPr>
        <w:t xml:space="preserve">      </w:t>
      </w:r>
      <w:r>
        <w:t>职务：</w:t>
      </w:r>
      <w:r>
        <w:rPr>
          <w:rFonts w:ascii="Times New Roman" w:eastAsia="Times New Roman"/>
          <w:u w:val="single"/>
        </w:rPr>
        <w:t xml:space="preserve"> </w:t>
      </w:r>
      <w:r>
        <w:rPr>
          <w:rFonts w:ascii="Times New Roman" w:eastAsia="Times New Roman"/>
          <w:u w:val="single"/>
        </w:rPr>
        <w:tab/>
      </w:r>
    </w:p>
    <w:p>
      <w:pPr>
        <w:pStyle w:val="11"/>
        <w:spacing w:before="9"/>
        <w:rPr>
          <w:rFonts w:ascii="Times New Roman"/>
          <w:sz w:val="21"/>
        </w:rPr>
      </w:pPr>
    </w:p>
    <w:p>
      <w:pPr>
        <w:pStyle w:val="11"/>
        <w:spacing w:before="67"/>
        <w:ind w:left="620"/>
      </w:pPr>
      <w:r>
        <w:t>系</w:t>
      </w:r>
      <w:r>
        <w:rPr>
          <w:spacing w:val="119"/>
          <w:u w:val="single"/>
        </w:rPr>
        <w:t xml:space="preserve"> </w:t>
      </w:r>
      <w:r>
        <w:t>（ 供 应 商 名 称 ） 的 法 定 代 表 人 。</w:t>
      </w:r>
    </w:p>
    <w:p>
      <w:pPr>
        <w:pStyle w:val="11"/>
        <w:spacing w:before="4"/>
        <w:rPr>
          <w:sz w:val="19"/>
        </w:rPr>
      </w:pPr>
    </w:p>
    <w:p>
      <w:pPr>
        <w:pStyle w:val="11"/>
        <w:spacing w:before="66"/>
        <w:ind w:left="1040"/>
      </w:pPr>
      <w:r>
        <w:pict>
          <v:group id="_x0000_s1028" o:spid="_x0000_s1028" o:spt="203" style="position:absolute;left:0pt;margin-left:90pt;margin-top:34.35pt;height:113.7pt;width:189.15pt;mso-position-horizontal-relative:page;z-index:-251655168;mso-width-relative:page;mso-height-relative:page;" coordorigin="1800,688" coordsize="3783,2274">
            <o:lock v:ext="edit"/>
            <v:shape id="_x0000_s1029" o:spid="_x0000_s1029" style="position:absolute;left:1800;top:687;height:70;width:10;" fillcolor="#000000" filled="t" stroked="f" coordorigin="1800,688" coordsize="10,70" path="m1810,688l1800,688,1800,697,1800,757,1810,757,1810,697,1810,688e">
              <v:path arrowok="t"/>
              <v:fill on="t" focussize="0,0"/>
              <v:stroke on="f"/>
              <v:imagedata o:title=""/>
              <o:lock v:ext="edit"/>
            </v:shape>
            <v:line id="_x0000_s1030" o:spid="_x0000_s1030" o:spt="20" style="position:absolute;left:1810;top:692;height:0;width:3773;" stroked="t" coordsize="21600,21600">
              <v:path arrowok="t"/>
              <v:fill focussize="0,0"/>
              <v:stroke weight="0.48pt" color="#000000"/>
              <v:imagedata o:title=""/>
              <o:lock v:ext="edit"/>
            </v:line>
            <v:line id="_x0000_s1031" o:spid="_x0000_s1031" o:spt="20" style="position:absolute;left:1805;top:757;height:2194;width:0;" stroked="t" coordsize="21600,21600">
              <v:path arrowok="t"/>
              <v:fill focussize="0,0"/>
              <v:stroke weight="0.48pt" color="#000000"/>
              <v:imagedata o:title=""/>
              <o:lock v:ext="edit"/>
            </v:line>
            <v:rect id="_x0000_s1032" o:spid="_x0000_s1032" o:spt="1" style="position:absolute;left:1800;top:2951;height:10;width:10;" fillcolor="#000000" filled="t" stroked="f" coordsize="21600,21600">
              <v:path/>
              <v:fill on="t" focussize="0,0"/>
              <v:stroke on="f"/>
              <v:imagedata o:title=""/>
              <o:lock v:ext="edit"/>
            </v:rect>
            <v:line id="_x0000_s1033" o:spid="_x0000_s1033" o:spt="20" style="position:absolute;left:1810;top:2956;height:0;width:3773;" stroked="t" coordsize="21600,21600">
              <v:path arrowok="t"/>
              <v:fill focussize="0,0"/>
              <v:stroke weight="0.48pt" color="#000000"/>
              <v:imagedata o:title=""/>
              <o:lock v:ext="edit"/>
            </v:line>
          </v:group>
        </w:pict>
      </w:r>
      <w:r>
        <w:pict>
          <v:group id="_x0000_s1034" o:spid="_x0000_s1034" o:spt="203" style="position:absolute;left:0pt;margin-left:315.15pt;margin-top:34.35pt;height:113.7pt;width:189.55pt;mso-position-horizontal-relative:page;z-index:-251654144;mso-width-relative:page;mso-height-relative:page;" coordorigin="6304,688" coordsize="3791,2274">
            <o:lock v:ext="edit"/>
            <v:rect id="_x0000_s1035" o:spid="_x0000_s1035" o:spt="1" style="position:absolute;left:6303;top:687;height:10;width:10;" fillcolor="#000000" filled="t" stroked="f" coordsize="21600,21600">
              <v:path/>
              <v:fill on="t" focussize="0,0"/>
              <v:stroke on="f"/>
              <v:imagedata o:title=""/>
              <o:lock v:ext="edit"/>
            </v:rect>
            <v:line id="_x0000_s1036" o:spid="_x0000_s1036" o:spt="20" style="position:absolute;left:6313;top:692;height:0;width:3771;" stroked="t" coordsize="21600,21600">
              <v:path arrowok="t"/>
              <v:fill focussize="0,0"/>
              <v:stroke weight="0.48pt" color="#000000"/>
              <v:imagedata o:title=""/>
              <o:lock v:ext="edit"/>
            </v:line>
            <v:shape id="_x0000_s1037" o:spid="_x0000_s1037" style="position:absolute;left:10084;top:687;height:70;width:10;" fillcolor="#000000" filled="t" stroked="f" coordorigin="10084,688" coordsize="10,70" path="m10094,688l10084,688,10084,697,10084,757,10094,757,10094,697,10094,688e">
              <v:path arrowok="t"/>
              <v:fill on="t" focussize="0,0"/>
              <v:stroke on="f"/>
              <v:imagedata o:title=""/>
              <o:lock v:ext="edit"/>
            </v:shape>
            <v:line id="_x0000_s1038" o:spid="_x0000_s1038" o:spt="20" style="position:absolute;left:6313;top:2956;height:0;width:3771;" stroked="t" coordsize="21600,21600">
              <v:path arrowok="t"/>
              <v:fill focussize="0,0"/>
              <v:stroke weight="0.48pt" color="#000000"/>
              <v:imagedata o:title=""/>
              <o:lock v:ext="edit"/>
            </v:line>
            <v:line id="_x0000_s1039" o:spid="_x0000_s1039" o:spt="20" style="position:absolute;left:10089;top:757;height:2194;width:0;" stroked="t" coordsize="21600,21600">
              <v:path arrowok="t"/>
              <v:fill focussize="0,0"/>
              <v:stroke weight="0.48pt" color="#000000"/>
              <v:imagedata o:title=""/>
              <o:lock v:ext="edit"/>
            </v:line>
            <v:rect id="_x0000_s1040" o:spid="_x0000_s1040" o:spt="1" style="position:absolute;left:10084;top:2951;height:10;width:10;" fillcolor="#000000" filled="t" stroked="f" coordsize="21600,21600">
              <v:path/>
              <v:fill on="t" focussize="0,0"/>
              <v:stroke on="f"/>
              <v:imagedata o:title=""/>
              <o:lock v:ext="edit"/>
            </v:rect>
          </v:group>
        </w:pict>
      </w:r>
      <w:r>
        <w:t>特此证明。</w:t>
      </w:r>
    </w:p>
    <w:p>
      <w:pPr>
        <w:pStyle w:val="11"/>
        <w:spacing w:before="11" w:after="1"/>
      </w:pPr>
    </w:p>
    <w:tbl>
      <w:tblPr>
        <w:tblStyle w:val="15"/>
        <w:tblW w:w="0" w:type="auto"/>
        <w:tblInd w:w="11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77"/>
        <w:gridCol w:w="721"/>
        <w:gridCol w:w="2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6" w:hRule="atLeast"/>
        </w:trPr>
        <w:tc>
          <w:tcPr>
            <w:tcW w:w="3177" w:type="dxa"/>
            <w:tcBorders>
              <w:right w:val="single" w:color="000000" w:sz="4" w:space="0"/>
            </w:tcBorders>
          </w:tcPr>
          <w:p>
            <w:pPr>
              <w:pStyle w:val="29"/>
              <w:rPr>
                <w:rFonts w:ascii="Times New Roman"/>
                <w:sz w:val="24"/>
              </w:rPr>
            </w:pPr>
          </w:p>
        </w:tc>
        <w:tc>
          <w:tcPr>
            <w:tcW w:w="721" w:type="dxa"/>
            <w:tcBorders>
              <w:left w:val="single" w:color="000000" w:sz="4" w:space="0"/>
              <w:right w:val="single" w:color="000000" w:sz="4" w:space="0"/>
            </w:tcBorders>
          </w:tcPr>
          <w:p>
            <w:pPr>
              <w:pStyle w:val="29"/>
              <w:spacing w:before="55"/>
              <w:ind w:left="100"/>
              <w:rPr>
                <w:sz w:val="24"/>
              </w:rPr>
            </w:pPr>
            <w:r>
              <w:rPr>
                <w:sz w:val="24"/>
              </w:rPr>
              <w:t xml:space="preserve"> </w:t>
            </w:r>
          </w:p>
        </w:tc>
        <w:tc>
          <w:tcPr>
            <w:tcW w:w="2258" w:type="dxa"/>
            <w:tcBorders>
              <w:left w:val="single" w:color="000000" w:sz="4" w:space="0"/>
            </w:tcBorders>
          </w:tcPr>
          <w:p>
            <w:pPr>
              <w:pStyle w:val="29"/>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7" w:hRule="atLeast"/>
        </w:trPr>
        <w:tc>
          <w:tcPr>
            <w:tcW w:w="3177" w:type="dxa"/>
            <w:tcBorders>
              <w:right w:val="single" w:color="000000" w:sz="4" w:space="0"/>
            </w:tcBorders>
          </w:tcPr>
          <w:p>
            <w:pPr>
              <w:pStyle w:val="29"/>
              <w:spacing w:before="10"/>
              <w:rPr>
                <w:sz w:val="22"/>
              </w:rPr>
            </w:pPr>
          </w:p>
          <w:p>
            <w:pPr>
              <w:pStyle w:val="29"/>
              <w:ind w:left="200"/>
              <w:rPr>
                <w:sz w:val="24"/>
              </w:rPr>
            </w:pPr>
            <w:r>
              <w:rPr>
                <w:sz w:val="24"/>
              </w:rPr>
              <w:t xml:space="preserve">附法人身份证复印件 </w:t>
            </w:r>
          </w:p>
        </w:tc>
        <w:tc>
          <w:tcPr>
            <w:tcW w:w="721" w:type="dxa"/>
            <w:tcBorders>
              <w:left w:val="single" w:color="000000" w:sz="4" w:space="0"/>
              <w:right w:val="single" w:color="000000" w:sz="4" w:space="0"/>
            </w:tcBorders>
          </w:tcPr>
          <w:p>
            <w:pPr>
              <w:pStyle w:val="29"/>
              <w:rPr>
                <w:rFonts w:ascii="Times New Roman"/>
                <w:sz w:val="24"/>
              </w:rPr>
            </w:pPr>
          </w:p>
        </w:tc>
        <w:tc>
          <w:tcPr>
            <w:tcW w:w="2258" w:type="dxa"/>
            <w:tcBorders>
              <w:left w:val="single" w:color="000000" w:sz="4" w:space="0"/>
            </w:tcBorders>
          </w:tcPr>
          <w:p>
            <w:pPr>
              <w:pStyle w:val="29"/>
              <w:spacing w:before="4"/>
              <w:rPr>
                <w:sz w:val="21"/>
              </w:rPr>
            </w:pPr>
          </w:p>
          <w:p>
            <w:pPr>
              <w:pStyle w:val="29"/>
              <w:ind w:right="199"/>
              <w:jc w:val="right"/>
              <w:rPr>
                <w:sz w:val="24"/>
              </w:rPr>
            </w:pPr>
            <w:r>
              <w:rPr>
                <w:sz w:val="24"/>
              </w:rPr>
              <w:t xml:space="preserve"> </w:t>
            </w:r>
          </w:p>
        </w:tc>
      </w:tr>
    </w:tbl>
    <w:p>
      <w:pPr>
        <w:pStyle w:val="11"/>
      </w:pPr>
    </w:p>
    <w:p>
      <w:pPr>
        <w:pStyle w:val="11"/>
      </w:pPr>
    </w:p>
    <w:p>
      <w:pPr>
        <w:pStyle w:val="11"/>
        <w:spacing w:before="12"/>
        <w:rPr>
          <w:sz w:val="16"/>
        </w:rPr>
      </w:pPr>
    </w:p>
    <w:p>
      <w:pPr>
        <w:pStyle w:val="11"/>
        <w:tabs>
          <w:tab w:val="left" w:pos="3000"/>
        </w:tabs>
        <w:ind w:right="1315"/>
        <w:jc w:val="right"/>
      </w:pPr>
      <w:r>
        <w:t>供应商：</w:t>
      </w:r>
      <w:r>
        <w:rPr>
          <w:u w:val="single"/>
        </w:rPr>
        <w:t xml:space="preserve"> </w:t>
      </w:r>
      <w:r>
        <w:rPr>
          <w:u w:val="single"/>
        </w:rPr>
        <w:tab/>
      </w:r>
      <w:r>
        <w:t xml:space="preserve">（盖单位章） </w:t>
      </w:r>
    </w:p>
    <w:p>
      <w:pPr>
        <w:pStyle w:val="11"/>
        <w:spacing w:before="161"/>
        <w:ind w:right="1315"/>
        <w:jc w:val="right"/>
      </w:pPr>
      <w:r>
        <w:t xml:space="preserve"> </w:t>
      </w:r>
    </w:p>
    <w:p>
      <w:pPr>
        <w:pStyle w:val="11"/>
        <w:tabs>
          <w:tab w:val="left" w:pos="7881"/>
          <w:tab w:val="left" w:pos="8601"/>
          <w:tab w:val="left" w:pos="9321"/>
        </w:tabs>
        <w:spacing w:before="160"/>
        <w:ind w:left="6681"/>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footerReference r:id="rId7" w:type="default"/>
          <w:pgSz w:w="12240" w:h="15840"/>
          <w:pgMar w:top="1420" w:right="0" w:bottom="920" w:left="1240" w:header="0" w:footer="727" w:gutter="0"/>
          <w:pgNumType w:start="54"/>
          <w:cols w:space="720" w:num="1"/>
        </w:sectPr>
      </w:pPr>
    </w:p>
    <w:p>
      <w:pPr>
        <w:pStyle w:val="5"/>
        <w:spacing w:before="42"/>
        <w:ind w:left="3594"/>
        <w:outlineLvl w:val="1"/>
      </w:pPr>
      <w:bookmarkStart w:id="33" w:name="_Toc21647"/>
      <w:r>
        <w:t>（二）授权委托书</w:t>
      </w:r>
      <w:bookmarkEnd w:id="33"/>
    </w:p>
    <w:p>
      <w:pPr>
        <w:pStyle w:val="11"/>
        <w:rPr>
          <w:b/>
          <w:sz w:val="20"/>
        </w:rPr>
      </w:pPr>
    </w:p>
    <w:p>
      <w:pPr>
        <w:pStyle w:val="11"/>
        <w:rPr>
          <w:b/>
          <w:sz w:val="20"/>
        </w:rPr>
      </w:pPr>
    </w:p>
    <w:p>
      <w:pPr>
        <w:pStyle w:val="11"/>
        <w:rPr>
          <w:b/>
          <w:sz w:val="20"/>
        </w:rPr>
      </w:pPr>
    </w:p>
    <w:p>
      <w:pPr>
        <w:pStyle w:val="11"/>
        <w:spacing w:before="8"/>
        <w:rPr>
          <w:b/>
          <w:sz w:val="21"/>
        </w:rPr>
      </w:pPr>
    </w:p>
    <w:p>
      <w:pPr>
        <w:pStyle w:val="11"/>
        <w:spacing w:before="66" w:line="364" w:lineRule="auto"/>
        <w:ind w:left="200" w:right="1195" w:firstLine="839"/>
      </w:pPr>
      <w:r>
        <w:t>我</w:t>
      </w:r>
      <w:r>
        <w:rPr>
          <w:spacing w:val="73"/>
          <w:u w:val="single"/>
        </w:rPr>
        <w:t xml:space="preserve"> </w:t>
      </w:r>
      <w:r>
        <w:rPr>
          <w:u w:val="single"/>
        </w:rPr>
        <w:t>（姓名</w:t>
      </w:r>
      <w:r>
        <w:rPr>
          <w:spacing w:val="-48"/>
          <w:u w:val="single"/>
        </w:rPr>
        <w:t>）</w:t>
      </w:r>
      <w:r>
        <w:rPr>
          <w:spacing w:val="1"/>
          <w:u w:val="single"/>
        </w:rPr>
        <w:t xml:space="preserve"> </w:t>
      </w:r>
      <w:r>
        <w:t>系</w:t>
      </w:r>
      <w:r>
        <w:rPr>
          <w:spacing w:val="73"/>
          <w:u w:val="single"/>
        </w:rPr>
        <w:t xml:space="preserve"> </w:t>
      </w:r>
      <w:r>
        <w:rPr>
          <w:u w:val="single"/>
        </w:rPr>
        <w:t>（供应商全称</w:t>
      </w:r>
      <w:r>
        <w:rPr>
          <w:spacing w:val="-48"/>
          <w:u w:val="single"/>
        </w:rPr>
        <w:t>）</w:t>
      </w:r>
      <w:r>
        <w:rPr>
          <w:spacing w:val="-36"/>
          <w:u w:val="single"/>
        </w:rPr>
        <w:t xml:space="preserve">  </w:t>
      </w:r>
      <w:r>
        <w:rPr>
          <w:spacing w:val="-7"/>
        </w:rPr>
        <w:t>法定代表人，兹委派我单位</w:t>
      </w:r>
      <w:r>
        <w:rPr>
          <w:u w:val="single"/>
        </w:rPr>
        <w:t xml:space="preserve">  (全权代表姓名)</w:t>
      </w:r>
      <w:r>
        <w:t xml:space="preserve"> 参加贵方组织的</w:t>
      </w:r>
      <w:r>
        <w:rPr>
          <w:u w:val="single"/>
        </w:rPr>
        <w:t xml:space="preserve">         </w:t>
      </w:r>
      <w:r>
        <w:rPr>
          <w:spacing w:val="-8"/>
        </w:rPr>
        <w:t>招标项目</w:t>
      </w:r>
      <w:r>
        <w:t>（</w:t>
      </w:r>
      <w:r>
        <w:rPr>
          <w:spacing w:val="-7"/>
        </w:rPr>
        <w:t>项目编号：</w:t>
      </w:r>
      <w:r>
        <w:rPr>
          <w:spacing w:val="-28"/>
          <w:u w:val="single"/>
        </w:rPr>
        <w:t xml:space="preserve">             </w:t>
      </w:r>
      <w:r>
        <w:rPr>
          <w:spacing w:val="-32"/>
        </w:rPr>
        <w:t>）</w:t>
      </w:r>
      <w:r>
        <w:rPr>
          <w:spacing w:val="-6"/>
        </w:rPr>
        <w:t xml:space="preserve">的投标活动，全权代表我单位处理本次投标中的有关事务。本授权书于签字盖章后生效，特此声明。 </w:t>
      </w:r>
    </w:p>
    <w:p>
      <w:pPr>
        <w:pStyle w:val="11"/>
        <w:spacing w:line="362" w:lineRule="auto"/>
        <w:ind w:left="680" w:right="4196" w:hanging="480"/>
      </w:pPr>
      <w:r>
        <w:t xml:space="preserve">    委 托 期 限 ：</w:t>
      </w:r>
      <w:r>
        <w:rPr>
          <w:u w:val="single"/>
        </w:rPr>
        <w:t xml:space="preserve"> 年 月   日 止     年   月   日  </w:t>
      </w:r>
      <w:r>
        <w:t xml:space="preserve">。授权人无转委权。 </w:t>
      </w:r>
    </w:p>
    <w:p>
      <w:pPr>
        <w:pStyle w:val="11"/>
        <w:rPr>
          <w:sz w:val="20"/>
        </w:rPr>
      </w:pPr>
    </w:p>
    <w:p>
      <w:pPr>
        <w:pStyle w:val="11"/>
        <w:spacing w:before="3"/>
        <w:rPr>
          <w:sz w:val="12"/>
        </w:rPr>
      </w:pPr>
    </w:p>
    <w:tbl>
      <w:tblPr>
        <w:tblStyle w:val="15"/>
        <w:tblW w:w="0" w:type="auto"/>
        <w:tblInd w:w="5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81"/>
        <w:gridCol w:w="721"/>
        <w:gridCol w:w="3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3781" w:type="dxa"/>
            <w:tcBorders>
              <w:bottom w:val="nil"/>
            </w:tcBorders>
          </w:tcPr>
          <w:p>
            <w:pPr>
              <w:pStyle w:val="29"/>
              <w:rPr>
                <w:rFonts w:ascii="Times New Roman"/>
                <w:sz w:val="24"/>
              </w:rPr>
            </w:pPr>
          </w:p>
        </w:tc>
        <w:tc>
          <w:tcPr>
            <w:tcW w:w="721" w:type="dxa"/>
            <w:tcBorders>
              <w:top w:val="nil"/>
              <w:bottom w:val="nil"/>
            </w:tcBorders>
          </w:tcPr>
          <w:p>
            <w:pPr>
              <w:pStyle w:val="29"/>
              <w:spacing w:before="1"/>
              <w:ind w:left="107"/>
              <w:rPr>
                <w:sz w:val="20"/>
              </w:rPr>
            </w:pPr>
            <w:r>
              <w:rPr>
                <w:w w:val="99"/>
                <w:sz w:val="20"/>
              </w:rPr>
              <w:t xml:space="preserve"> </w:t>
            </w:r>
          </w:p>
        </w:tc>
        <w:tc>
          <w:tcPr>
            <w:tcW w:w="3781" w:type="dxa"/>
            <w:tcBorders>
              <w:bottom w:val="nil"/>
            </w:tcBorders>
          </w:tcPr>
          <w:p>
            <w:pPr>
              <w:pStyle w:val="2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5" w:hRule="atLeast"/>
        </w:trPr>
        <w:tc>
          <w:tcPr>
            <w:tcW w:w="3781" w:type="dxa"/>
            <w:tcBorders>
              <w:top w:val="nil"/>
            </w:tcBorders>
          </w:tcPr>
          <w:p>
            <w:pPr>
              <w:pStyle w:val="29"/>
              <w:rPr>
                <w:sz w:val="25"/>
              </w:rPr>
            </w:pPr>
          </w:p>
          <w:p>
            <w:pPr>
              <w:pStyle w:val="29"/>
              <w:ind w:left="789"/>
              <w:rPr>
                <w:sz w:val="20"/>
              </w:rPr>
            </w:pPr>
            <w:r>
              <w:rPr>
                <w:sz w:val="20"/>
                <w:u w:val="single"/>
              </w:rPr>
              <w:t>附被委托人身份证复印件</w:t>
            </w:r>
            <w:r>
              <w:rPr>
                <w:sz w:val="20"/>
              </w:rPr>
              <w:t xml:space="preserve"> </w:t>
            </w:r>
          </w:p>
        </w:tc>
        <w:tc>
          <w:tcPr>
            <w:tcW w:w="721" w:type="dxa"/>
            <w:tcBorders>
              <w:top w:val="nil"/>
              <w:bottom w:val="nil"/>
            </w:tcBorders>
          </w:tcPr>
          <w:p>
            <w:pPr>
              <w:pStyle w:val="29"/>
              <w:rPr>
                <w:rFonts w:ascii="Times New Roman"/>
                <w:sz w:val="24"/>
              </w:rPr>
            </w:pPr>
          </w:p>
        </w:tc>
        <w:tc>
          <w:tcPr>
            <w:tcW w:w="3781" w:type="dxa"/>
            <w:tcBorders>
              <w:top w:val="nil"/>
            </w:tcBorders>
          </w:tcPr>
          <w:p>
            <w:pPr>
              <w:pStyle w:val="29"/>
              <w:rPr>
                <w:sz w:val="25"/>
              </w:rPr>
            </w:pPr>
          </w:p>
          <w:p>
            <w:pPr>
              <w:pStyle w:val="29"/>
              <w:ind w:left="103"/>
              <w:jc w:val="center"/>
              <w:rPr>
                <w:sz w:val="20"/>
              </w:rPr>
            </w:pPr>
            <w:r>
              <w:rPr>
                <w:w w:val="99"/>
                <w:sz w:val="20"/>
              </w:rPr>
              <w:t xml:space="preserve"> </w:t>
            </w:r>
          </w:p>
        </w:tc>
      </w:tr>
    </w:tbl>
    <w:p>
      <w:pPr>
        <w:pStyle w:val="11"/>
        <w:rPr>
          <w:sz w:val="20"/>
        </w:rPr>
      </w:pPr>
    </w:p>
    <w:p>
      <w:pPr>
        <w:pStyle w:val="11"/>
        <w:spacing w:before="4"/>
        <w:rPr>
          <w:sz w:val="17"/>
        </w:rPr>
      </w:pPr>
    </w:p>
    <w:p>
      <w:pPr>
        <w:pStyle w:val="11"/>
        <w:tabs>
          <w:tab w:val="left" w:pos="7857"/>
          <w:tab w:val="left" w:pos="8121"/>
          <w:tab w:val="left" w:pos="9592"/>
        </w:tabs>
        <w:spacing w:before="74" w:line="487" w:lineRule="auto"/>
        <w:ind w:left="3777" w:right="1405" w:firstLine="24"/>
        <w:jc w:val="both"/>
        <w:rPr>
          <w:rFonts w:ascii="Times New Roman" w:eastAsia="Times New Roman"/>
        </w:rPr>
      </w:pPr>
      <w:r>
        <w:t>供应商：</w:t>
      </w:r>
      <w:r>
        <w:rPr>
          <w:u w:val="single"/>
        </w:rPr>
        <w:t xml:space="preserve"> </w:t>
      </w:r>
      <w:r>
        <w:rPr>
          <w:u w:val="single"/>
        </w:rPr>
        <w:tab/>
      </w:r>
      <w:r>
        <w:rPr>
          <w:u w:val="single"/>
        </w:rPr>
        <w:tab/>
      </w:r>
      <w:r>
        <w:t>（盖单位章） 法定代表人：</w:t>
      </w:r>
      <w:r>
        <w:rPr>
          <w:u w:val="single"/>
        </w:rPr>
        <w:t xml:space="preserve"> </w:t>
      </w:r>
      <w:r>
        <w:rPr>
          <w:u w:val="single"/>
        </w:rPr>
        <w:tab/>
      </w:r>
      <w:r>
        <w:t>（签字或盖章） 身份证号码：</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11"/>
        <w:tabs>
          <w:tab w:val="left" w:pos="7881"/>
          <w:tab w:val="left" w:pos="9592"/>
        </w:tabs>
        <w:spacing w:line="487" w:lineRule="auto"/>
        <w:ind w:left="3777" w:right="1405" w:firstLine="24"/>
        <w:rPr>
          <w:rFonts w:ascii="Times New Roman" w:eastAsia="Times New Roman"/>
        </w:rPr>
      </w:pPr>
      <w:r>
        <w:t>委托代理人：</w:t>
      </w:r>
      <w:r>
        <w:rPr>
          <w:u w:val="single"/>
        </w:rPr>
        <w:t xml:space="preserve"> </w:t>
      </w:r>
      <w:r>
        <w:rPr>
          <w:u w:val="single"/>
        </w:rPr>
        <w:tab/>
      </w:r>
      <w:r>
        <w:t>（签字或盖章） 身份证号码：</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pStyle w:val="11"/>
        <w:tabs>
          <w:tab w:val="left" w:pos="7881"/>
          <w:tab w:val="left" w:pos="8601"/>
          <w:tab w:val="left" w:pos="9321"/>
        </w:tabs>
        <w:spacing w:line="300" w:lineRule="exact"/>
        <w:ind w:left="6921"/>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 xml:space="preserve">日 </w:t>
      </w:r>
    </w:p>
    <w:p>
      <w:pPr>
        <w:spacing w:after="0" w:line="300" w:lineRule="exact"/>
        <w:sectPr>
          <w:pgSz w:w="12240" w:h="15840"/>
          <w:pgMar w:top="1400" w:right="0" w:bottom="920" w:left="1240" w:header="0" w:footer="727" w:gutter="0"/>
          <w:cols w:space="720" w:num="1"/>
        </w:sectPr>
      </w:pPr>
    </w:p>
    <w:p>
      <w:pPr>
        <w:pStyle w:val="11"/>
        <w:spacing w:before="11"/>
        <w:rPr>
          <w:sz w:val="11"/>
        </w:rPr>
      </w:pPr>
    </w:p>
    <w:p>
      <w:pPr>
        <w:pStyle w:val="11"/>
        <w:spacing w:before="11"/>
        <w:rPr>
          <w:sz w:val="11"/>
        </w:rPr>
      </w:pPr>
    </w:p>
    <w:p>
      <w:pPr>
        <w:pStyle w:val="2"/>
        <w:ind w:right="1239"/>
        <w:outlineLvl w:val="0"/>
      </w:pPr>
      <w:bookmarkStart w:id="34" w:name="_Toc22397"/>
      <w:r>
        <w:t>四、资格审查资料</w:t>
      </w:r>
      <w:bookmarkEnd w:id="34"/>
    </w:p>
    <w:p>
      <w:pPr>
        <w:pStyle w:val="11"/>
        <w:spacing w:before="4"/>
        <w:rPr>
          <w:b/>
          <w:sz w:val="48"/>
        </w:rPr>
      </w:pPr>
    </w:p>
    <w:p>
      <w:pPr>
        <w:pStyle w:val="8"/>
        <w:ind w:right="1236"/>
        <w:jc w:val="center"/>
      </w:pPr>
      <w:r>
        <w:t>（一）供应商的基本情况表</w:t>
      </w:r>
    </w:p>
    <w:p>
      <w:pPr>
        <w:pStyle w:val="11"/>
        <w:spacing w:before="1"/>
        <w:rPr>
          <w:b/>
          <w:sz w:val="39"/>
        </w:rPr>
      </w:pPr>
    </w:p>
    <w:tbl>
      <w:tblPr>
        <w:tblStyle w:val="15"/>
        <w:tblW w:w="0" w:type="auto"/>
        <w:tblInd w:w="643"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519"/>
        <w:gridCol w:w="958"/>
        <w:gridCol w:w="1173"/>
        <w:gridCol w:w="1053"/>
        <w:gridCol w:w="450"/>
        <w:gridCol w:w="1489"/>
        <w:gridCol w:w="792"/>
        <w:gridCol w:w="1081"/>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90" w:hRule="atLeast"/>
        </w:trPr>
        <w:tc>
          <w:tcPr>
            <w:tcW w:w="1519" w:type="dxa"/>
            <w:tcBorders>
              <w:bottom w:val="single" w:color="000000" w:sz="6" w:space="0"/>
              <w:right w:val="single" w:color="000000" w:sz="6" w:space="0"/>
            </w:tcBorders>
          </w:tcPr>
          <w:p>
            <w:pPr>
              <w:pStyle w:val="29"/>
              <w:spacing w:before="2"/>
              <w:ind w:left="213" w:right="185"/>
              <w:jc w:val="center"/>
              <w:rPr>
                <w:sz w:val="21"/>
              </w:rPr>
            </w:pPr>
            <w:r>
              <w:rPr>
                <w:sz w:val="21"/>
              </w:rPr>
              <w:t>供应商名称</w:t>
            </w:r>
          </w:p>
        </w:tc>
        <w:tc>
          <w:tcPr>
            <w:tcW w:w="6996" w:type="dxa"/>
            <w:gridSpan w:val="7"/>
            <w:tcBorders>
              <w:left w:val="single" w:color="000000" w:sz="6" w:space="0"/>
              <w:bottom w:val="single" w:color="000000" w:sz="6" w:space="0"/>
            </w:tcBorders>
          </w:tcPr>
          <w:p>
            <w:pPr>
              <w:pStyle w:val="29"/>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92" w:hRule="atLeast"/>
        </w:trPr>
        <w:tc>
          <w:tcPr>
            <w:tcW w:w="1519" w:type="dxa"/>
            <w:tcBorders>
              <w:top w:val="single" w:color="000000" w:sz="6" w:space="0"/>
              <w:bottom w:val="single" w:color="000000" w:sz="6" w:space="0"/>
              <w:right w:val="single" w:color="000000" w:sz="6" w:space="0"/>
            </w:tcBorders>
          </w:tcPr>
          <w:p>
            <w:pPr>
              <w:pStyle w:val="29"/>
              <w:spacing w:before="4"/>
              <w:ind w:left="213" w:right="185"/>
              <w:jc w:val="center"/>
              <w:rPr>
                <w:sz w:val="21"/>
              </w:rPr>
            </w:pPr>
            <w:r>
              <w:rPr>
                <w:sz w:val="21"/>
              </w:rPr>
              <w:t>注册地址</w:t>
            </w:r>
          </w:p>
        </w:tc>
        <w:tc>
          <w:tcPr>
            <w:tcW w:w="3184" w:type="dxa"/>
            <w:gridSpan w:val="3"/>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939" w:type="dxa"/>
            <w:gridSpan w:val="2"/>
            <w:tcBorders>
              <w:top w:val="single" w:color="000000" w:sz="6" w:space="0"/>
              <w:left w:val="single" w:color="000000" w:sz="6" w:space="0"/>
              <w:bottom w:val="single" w:color="000000" w:sz="6" w:space="0"/>
              <w:right w:val="single" w:color="000000" w:sz="6" w:space="0"/>
            </w:tcBorders>
          </w:tcPr>
          <w:p>
            <w:pPr>
              <w:pStyle w:val="29"/>
              <w:spacing w:before="4"/>
              <w:ind w:left="558"/>
              <w:rPr>
                <w:sz w:val="21"/>
              </w:rPr>
            </w:pPr>
            <w:r>
              <w:rPr>
                <w:sz w:val="21"/>
              </w:rPr>
              <w:t>邮政编码</w:t>
            </w:r>
          </w:p>
        </w:tc>
        <w:tc>
          <w:tcPr>
            <w:tcW w:w="1873" w:type="dxa"/>
            <w:gridSpan w:val="2"/>
            <w:tcBorders>
              <w:top w:val="single" w:color="000000" w:sz="6" w:space="0"/>
              <w:left w:val="single" w:color="000000" w:sz="6" w:space="0"/>
              <w:bottom w:val="single" w:color="000000" w:sz="6" w:space="0"/>
            </w:tcBorders>
          </w:tcPr>
          <w:p>
            <w:pPr>
              <w:pStyle w:val="29"/>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488" w:hRule="atLeast"/>
        </w:trPr>
        <w:tc>
          <w:tcPr>
            <w:tcW w:w="1519" w:type="dxa"/>
            <w:vMerge w:val="restart"/>
            <w:tcBorders>
              <w:top w:val="single" w:color="000000" w:sz="6" w:space="0"/>
              <w:bottom w:val="single" w:color="000000" w:sz="6" w:space="0"/>
              <w:right w:val="single" w:color="000000" w:sz="6" w:space="0"/>
            </w:tcBorders>
          </w:tcPr>
          <w:p>
            <w:pPr>
              <w:pStyle w:val="29"/>
              <w:spacing w:before="9"/>
              <w:rPr>
                <w:sz w:val="19"/>
              </w:rPr>
            </w:pPr>
          </w:p>
          <w:p>
            <w:pPr>
              <w:pStyle w:val="29"/>
              <w:ind w:left="337"/>
              <w:rPr>
                <w:sz w:val="21"/>
              </w:rPr>
            </w:pPr>
            <w:r>
              <w:rPr>
                <w:sz w:val="21"/>
              </w:rPr>
              <w:t>联系方式</w:t>
            </w:r>
          </w:p>
        </w:tc>
        <w:tc>
          <w:tcPr>
            <w:tcW w:w="958" w:type="dxa"/>
            <w:tcBorders>
              <w:top w:val="single" w:color="000000" w:sz="6" w:space="0"/>
              <w:left w:val="single" w:color="000000" w:sz="6" w:space="0"/>
              <w:bottom w:val="single" w:color="000000" w:sz="6" w:space="0"/>
              <w:right w:val="single" w:color="000000" w:sz="6" w:space="0"/>
            </w:tcBorders>
          </w:tcPr>
          <w:p>
            <w:pPr>
              <w:pStyle w:val="29"/>
              <w:spacing w:before="1"/>
              <w:ind w:left="159" w:right="113"/>
              <w:jc w:val="center"/>
              <w:rPr>
                <w:sz w:val="21"/>
              </w:rPr>
            </w:pPr>
            <w:r>
              <w:rPr>
                <w:sz w:val="21"/>
              </w:rPr>
              <w:t>联系人</w:t>
            </w:r>
          </w:p>
        </w:tc>
        <w:tc>
          <w:tcPr>
            <w:tcW w:w="2226" w:type="dxa"/>
            <w:gridSpan w:val="2"/>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939" w:type="dxa"/>
            <w:gridSpan w:val="2"/>
            <w:tcBorders>
              <w:top w:val="single" w:color="000000" w:sz="6" w:space="0"/>
              <w:left w:val="single" w:color="000000" w:sz="6" w:space="0"/>
              <w:bottom w:val="single" w:color="000000" w:sz="6" w:space="0"/>
              <w:right w:val="single" w:color="000000" w:sz="6" w:space="0"/>
            </w:tcBorders>
          </w:tcPr>
          <w:p>
            <w:pPr>
              <w:pStyle w:val="29"/>
              <w:spacing w:before="1"/>
              <w:ind w:left="748" w:right="716"/>
              <w:jc w:val="center"/>
              <w:rPr>
                <w:sz w:val="21"/>
              </w:rPr>
            </w:pPr>
            <w:r>
              <w:rPr>
                <w:sz w:val="21"/>
              </w:rPr>
              <w:t>电话</w:t>
            </w:r>
          </w:p>
        </w:tc>
        <w:tc>
          <w:tcPr>
            <w:tcW w:w="1873" w:type="dxa"/>
            <w:gridSpan w:val="2"/>
            <w:tcBorders>
              <w:top w:val="single" w:color="000000" w:sz="6" w:space="0"/>
              <w:left w:val="single" w:color="000000" w:sz="6" w:space="0"/>
              <w:bottom w:val="single" w:color="000000" w:sz="6" w:space="0"/>
            </w:tcBorders>
          </w:tcPr>
          <w:p>
            <w:pPr>
              <w:pStyle w:val="29"/>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91" w:hRule="atLeast"/>
        </w:trPr>
        <w:tc>
          <w:tcPr>
            <w:tcW w:w="1519" w:type="dxa"/>
            <w:vMerge w:val="continue"/>
            <w:tcBorders>
              <w:top w:val="nil"/>
              <w:bottom w:val="single" w:color="000000" w:sz="6" w:space="0"/>
              <w:right w:val="single" w:color="000000" w:sz="6" w:space="0"/>
            </w:tcBorders>
          </w:tcPr>
          <w:p>
            <w:pPr>
              <w:rPr>
                <w:sz w:val="2"/>
                <w:szCs w:val="2"/>
              </w:rPr>
            </w:pPr>
          </w:p>
        </w:tc>
        <w:tc>
          <w:tcPr>
            <w:tcW w:w="958" w:type="dxa"/>
            <w:tcBorders>
              <w:top w:val="single" w:color="000000" w:sz="6" w:space="0"/>
              <w:left w:val="single" w:color="000000" w:sz="6" w:space="0"/>
              <w:bottom w:val="single" w:color="000000" w:sz="6" w:space="0"/>
              <w:right w:val="single" w:color="000000" w:sz="6" w:space="0"/>
            </w:tcBorders>
          </w:tcPr>
          <w:p>
            <w:pPr>
              <w:pStyle w:val="29"/>
              <w:spacing w:before="3"/>
              <w:ind w:left="159" w:right="113"/>
              <w:jc w:val="center"/>
              <w:rPr>
                <w:sz w:val="21"/>
              </w:rPr>
            </w:pPr>
            <w:r>
              <w:rPr>
                <w:sz w:val="21"/>
              </w:rPr>
              <w:t>传真</w:t>
            </w:r>
          </w:p>
        </w:tc>
        <w:tc>
          <w:tcPr>
            <w:tcW w:w="2226" w:type="dxa"/>
            <w:gridSpan w:val="2"/>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939" w:type="dxa"/>
            <w:gridSpan w:val="2"/>
            <w:tcBorders>
              <w:top w:val="single" w:color="000000" w:sz="6" w:space="0"/>
              <w:left w:val="single" w:color="000000" w:sz="6" w:space="0"/>
              <w:bottom w:val="single" w:color="000000" w:sz="6" w:space="0"/>
              <w:right w:val="single" w:color="000000" w:sz="6" w:space="0"/>
            </w:tcBorders>
          </w:tcPr>
          <w:p>
            <w:pPr>
              <w:pStyle w:val="29"/>
              <w:spacing w:before="3"/>
              <w:ind w:left="748" w:right="716"/>
              <w:jc w:val="center"/>
              <w:rPr>
                <w:sz w:val="21"/>
              </w:rPr>
            </w:pPr>
            <w:r>
              <w:rPr>
                <w:sz w:val="21"/>
              </w:rPr>
              <w:t>邮箱</w:t>
            </w:r>
          </w:p>
        </w:tc>
        <w:tc>
          <w:tcPr>
            <w:tcW w:w="1873" w:type="dxa"/>
            <w:gridSpan w:val="2"/>
            <w:tcBorders>
              <w:top w:val="single" w:color="000000" w:sz="6" w:space="0"/>
              <w:left w:val="single" w:color="000000" w:sz="6" w:space="0"/>
              <w:bottom w:val="single" w:color="000000" w:sz="6" w:space="0"/>
            </w:tcBorders>
          </w:tcPr>
          <w:p>
            <w:pPr>
              <w:pStyle w:val="29"/>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88" w:hRule="atLeast"/>
        </w:trPr>
        <w:tc>
          <w:tcPr>
            <w:tcW w:w="1519" w:type="dxa"/>
            <w:tcBorders>
              <w:top w:val="single" w:color="000000" w:sz="6" w:space="0"/>
              <w:bottom w:val="single" w:color="000000" w:sz="6" w:space="0"/>
              <w:right w:val="single" w:color="000000" w:sz="6" w:space="0"/>
            </w:tcBorders>
          </w:tcPr>
          <w:p>
            <w:pPr>
              <w:pStyle w:val="29"/>
              <w:spacing w:before="1"/>
              <w:ind w:left="213" w:right="185"/>
              <w:jc w:val="center"/>
              <w:rPr>
                <w:sz w:val="21"/>
              </w:rPr>
            </w:pPr>
            <w:r>
              <w:rPr>
                <w:sz w:val="21"/>
              </w:rPr>
              <w:t>法定代表人</w:t>
            </w:r>
          </w:p>
        </w:tc>
        <w:tc>
          <w:tcPr>
            <w:tcW w:w="958" w:type="dxa"/>
            <w:tcBorders>
              <w:top w:val="single" w:color="000000" w:sz="6" w:space="0"/>
              <w:left w:val="single" w:color="000000" w:sz="6" w:space="0"/>
              <w:bottom w:val="single" w:color="000000" w:sz="6" w:space="0"/>
              <w:right w:val="single" w:color="000000" w:sz="6" w:space="0"/>
            </w:tcBorders>
          </w:tcPr>
          <w:p>
            <w:pPr>
              <w:pStyle w:val="29"/>
              <w:spacing w:before="1"/>
              <w:ind w:left="159" w:right="113"/>
              <w:jc w:val="center"/>
              <w:rPr>
                <w:sz w:val="21"/>
              </w:rPr>
            </w:pPr>
            <w:r>
              <w:rPr>
                <w:sz w:val="21"/>
              </w:rPr>
              <w:t>姓名</w:t>
            </w:r>
          </w:p>
        </w:tc>
        <w:tc>
          <w:tcPr>
            <w:tcW w:w="1173"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053" w:type="dxa"/>
            <w:tcBorders>
              <w:top w:val="single" w:color="000000" w:sz="6" w:space="0"/>
              <w:left w:val="single" w:color="000000" w:sz="6" w:space="0"/>
              <w:bottom w:val="single" w:color="000000" w:sz="6" w:space="0"/>
              <w:right w:val="single" w:color="000000" w:sz="6" w:space="0"/>
            </w:tcBorders>
          </w:tcPr>
          <w:p>
            <w:pPr>
              <w:pStyle w:val="29"/>
              <w:spacing w:before="1"/>
              <w:ind w:left="313" w:right="265"/>
              <w:jc w:val="center"/>
              <w:rPr>
                <w:sz w:val="21"/>
              </w:rPr>
            </w:pPr>
            <w:r>
              <w:rPr>
                <w:sz w:val="21"/>
              </w:rPr>
              <w:t>职位</w:t>
            </w:r>
          </w:p>
        </w:tc>
        <w:tc>
          <w:tcPr>
            <w:tcW w:w="1939" w:type="dxa"/>
            <w:gridSpan w:val="2"/>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792" w:type="dxa"/>
            <w:tcBorders>
              <w:top w:val="single" w:color="000000" w:sz="6" w:space="0"/>
              <w:left w:val="single" w:color="000000" w:sz="6" w:space="0"/>
              <w:bottom w:val="single" w:color="000000" w:sz="6" w:space="0"/>
              <w:right w:val="single" w:color="000000" w:sz="6" w:space="0"/>
            </w:tcBorders>
          </w:tcPr>
          <w:p>
            <w:pPr>
              <w:pStyle w:val="29"/>
              <w:spacing w:before="1"/>
              <w:ind w:right="155"/>
              <w:jc w:val="right"/>
              <w:rPr>
                <w:sz w:val="21"/>
              </w:rPr>
            </w:pPr>
            <w:r>
              <w:rPr>
                <w:sz w:val="21"/>
              </w:rPr>
              <w:t>电话</w:t>
            </w:r>
          </w:p>
        </w:tc>
        <w:tc>
          <w:tcPr>
            <w:tcW w:w="1081" w:type="dxa"/>
            <w:tcBorders>
              <w:top w:val="single" w:color="000000" w:sz="6" w:space="0"/>
              <w:left w:val="single" w:color="000000" w:sz="6" w:space="0"/>
              <w:bottom w:val="single" w:color="000000" w:sz="6" w:space="0"/>
            </w:tcBorders>
          </w:tcPr>
          <w:p>
            <w:pPr>
              <w:pStyle w:val="29"/>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91" w:hRule="atLeast"/>
        </w:trPr>
        <w:tc>
          <w:tcPr>
            <w:tcW w:w="1519" w:type="dxa"/>
            <w:tcBorders>
              <w:top w:val="single" w:color="000000" w:sz="6" w:space="0"/>
              <w:bottom w:val="single" w:color="000000" w:sz="6" w:space="0"/>
              <w:right w:val="single" w:color="000000" w:sz="6" w:space="0"/>
            </w:tcBorders>
          </w:tcPr>
          <w:p>
            <w:pPr>
              <w:pStyle w:val="29"/>
              <w:spacing w:before="3"/>
              <w:ind w:left="213" w:right="185"/>
              <w:jc w:val="center"/>
              <w:rPr>
                <w:sz w:val="21"/>
              </w:rPr>
            </w:pPr>
            <w:r>
              <w:rPr>
                <w:sz w:val="21"/>
              </w:rPr>
              <w:t>技术负责人</w:t>
            </w:r>
          </w:p>
        </w:tc>
        <w:tc>
          <w:tcPr>
            <w:tcW w:w="958" w:type="dxa"/>
            <w:tcBorders>
              <w:top w:val="single" w:color="000000" w:sz="6" w:space="0"/>
              <w:left w:val="single" w:color="000000" w:sz="6" w:space="0"/>
              <w:bottom w:val="single" w:color="000000" w:sz="6" w:space="0"/>
              <w:right w:val="single" w:color="000000" w:sz="6" w:space="0"/>
            </w:tcBorders>
          </w:tcPr>
          <w:p>
            <w:pPr>
              <w:pStyle w:val="29"/>
              <w:spacing w:before="3"/>
              <w:ind w:left="159" w:right="113"/>
              <w:jc w:val="center"/>
              <w:rPr>
                <w:sz w:val="21"/>
              </w:rPr>
            </w:pPr>
            <w:r>
              <w:rPr>
                <w:sz w:val="21"/>
              </w:rPr>
              <w:t>姓名</w:t>
            </w:r>
          </w:p>
        </w:tc>
        <w:tc>
          <w:tcPr>
            <w:tcW w:w="1173" w:type="dxa"/>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1053" w:type="dxa"/>
            <w:tcBorders>
              <w:top w:val="single" w:color="000000" w:sz="6" w:space="0"/>
              <w:left w:val="single" w:color="000000" w:sz="6" w:space="0"/>
              <w:bottom w:val="single" w:color="000000" w:sz="6" w:space="0"/>
              <w:right w:val="single" w:color="000000" w:sz="6" w:space="0"/>
            </w:tcBorders>
          </w:tcPr>
          <w:p>
            <w:pPr>
              <w:pStyle w:val="29"/>
              <w:spacing w:before="3"/>
              <w:ind w:left="313" w:right="265"/>
              <w:jc w:val="center"/>
              <w:rPr>
                <w:sz w:val="21"/>
              </w:rPr>
            </w:pPr>
            <w:r>
              <w:rPr>
                <w:sz w:val="21"/>
              </w:rPr>
              <w:t>职位</w:t>
            </w:r>
          </w:p>
        </w:tc>
        <w:tc>
          <w:tcPr>
            <w:tcW w:w="1939" w:type="dxa"/>
            <w:gridSpan w:val="2"/>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792" w:type="dxa"/>
            <w:tcBorders>
              <w:top w:val="single" w:color="000000" w:sz="6" w:space="0"/>
              <w:left w:val="single" w:color="000000" w:sz="6" w:space="0"/>
              <w:bottom w:val="single" w:color="000000" w:sz="6" w:space="0"/>
              <w:right w:val="single" w:color="000000" w:sz="6" w:space="0"/>
            </w:tcBorders>
          </w:tcPr>
          <w:p>
            <w:pPr>
              <w:pStyle w:val="29"/>
              <w:spacing w:before="3"/>
              <w:ind w:right="155"/>
              <w:jc w:val="right"/>
              <w:rPr>
                <w:sz w:val="21"/>
              </w:rPr>
            </w:pPr>
            <w:r>
              <w:rPr>
                <w:sz w:val="21"/>
              </w:rPr>
              <w:t>电话</w:t>
            </w:r>
          </w:p>
        </w:tc>
        <w:tc>
          <w:tcPr>
            <w:tcW w:w="1081" w:type="dxa"/>
            <w:tcBorders>
              <w:top w:val="single" w:color="000000" w:sz="6" w:space="0"/>
              <w:left w:val="single" w:color="000000" w:sz="6" w:space="0"/>
              <w:bottom w:val="single" w:color="000000" w:sz="6" w:space="0"/>
            </w:tcBorders>
          </w:tcPr>
          <w:p>
            <w:pPr>
              <w:pStyle w:val="29"/>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89" w:hRule="atLeast"/>
        </w:trPr>
        <w:tc>
          <w:tcPr>
            <w:tcW w:w="1519" w:type="dxa"/>
            <w:tcBorders>
              <w:top w:val="single" w:color="000000" w:sz="6" w:space="0"/>
              <w:bottom w:val="single" w:color="000000" w:sz="6" w:space="0"/>
              <w:right w:val="single" w:color="000000" w:sz="6" w:space="0"/>
            </w:tcBorders>
          </w:tcPr>
          <w:p>
            <w:pPr>
              <w:pStyle w:val="29"/>
              <w:spacing w:before="1"/>
              <w:ind w:left="213" w:right="185"/>
              <w:jc w:val="center"/>
              <w:rPr>
                <w:sz w:val="21"/>
              </w:rPr>
            </w:pPr>
            <w:r>
              <w:rPr>
                <w:sz w:val="21"/>
              </w:rPr>
              <w:t>营业执照号</w:t>
            </w:r>
          </w:p>
        </w:tc>
        <w:tc>
          <w:tcPr>
            <w:tcW w:w="3184" w:type="dxa"/>
            <w:gridSpan w:val="3"/>
            <w:tcBorders>
              <w:top w:val="single" w:color="000000" w:sz="6" w:space="0"/>
              <w:left w:val="single" w:color="000000" w:sz="6" w:space="0"/>
              <w:bottom w:val="single" w:color="000000" w:sz="6" w:space="0"/>
              <w:right w:val="single" w:color="000000" w:sz="4" w:space="0"/>
            </w:tcBorders>
          </w:tcPr>
          <w:p>
            <w:pPr>
              <w:pStyle w:val="29"/>
              <w:rPr>
                <w:rFonts w:ascii="Times New Roman"/>
                <w:sz w:val="22"/>
              </w:rPr>
            </w:pPr>
          </w:p>
        </w:tc>
        <w:tc>
          <w:tcPr>
            <w:tcW w:w="3812" w:type="dxa"/>
            <w:gridSpan w:val="4"/>
            <w:tcBorders>
              <w:top w:val="single" w:color="000000" w:sz="6" w:space="0"/>
              <w:left w:val="single" w:color="000000" w:sz="4" w:space="0"/>
              <w:bottom w:val="single" w:color="000000" w:sz="6" w:space="0"/>
            </w:tcBorders>
          </w:tcPr>
          <w:p>
            <w:pPr>
              <w:pStyle w:val="29"/>
              <w:spacing w:before="1"/>
              <w:ind w:left="126"/>
              <w:rPr>
                <w:sz w:val="21"/>
              </w:rPr>
            </w:pPr>
            <w:r>
              <w:rPr>
                <w:sz w:val="21"/>
              </w:rPr>
              <w:t>员工总人数：</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91" w:hRule="atLeast"/>
        </w:trPr>
        <w:tc>
          <w:tcPr>
            <w:tcW w:w="1519" w:type="dxa"/>
            <w:tcBorders>
              <w:top w:val="single" w:color="000000" w:sz="6" w:space="0"/>
              <w:bottom w:val="single" w:color="000000" w:sz="6" w:space="0"/>
              <w:right w:val="single" w:color="000000" w:sz="6" w:space="0"/>
            </w:tcBorders>
          </w:tcPr>
          <w:p>
            <w:pPr>
              <w:pStyle w:val="29"/>
              <w:spacing w:before="3"/>
              <w:ind w:left="213" w:right="185"/>
              <w:jc w:val="center"/>
              <w:rPr>
                <w:sz w:val="21"/>
              </w:rPr>
            </w:pPr>
            <w:r>
              <w:rPr>
                <w:sz w:val="21"/>
              </w:rPr>
              <w:t>注册资本</w:t>
            </w:r>
          </w:p>
        </w:tc>
        <w:tc>
          <w:tcPr>
            <w:tcW w:w="3184" w:type="dxa"/>
            <w:gridSpan w:val="3"/>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450" w:type="dxa"/>
            <w:vMerge w:val="restart"/>
            <w:tcBorders>
              <w:top w:val="single" w:color="000000" w:sz="6" w:space="0"/>
              <w:left w:val="single" w:color="000000" w:sz="6" w:space="0"/>
              <w:bottom w:val="single" w:color="000000" w:sz="6" w:space="0"/>
              <w:right w:val="single" w:color="000000" w:sz="4" w:space="0"/>
            </w:tcBorders>
          </w:tcPr>
          <w:p>
            <w:pPr>
              <w:pStyle w:val="29"/>
              <w:rPr>
                <w:sz w:val="20"/>
              </w:rPr>
            </w:pPr>
          </w:p>
          <w:p>
            <w:pPr>
              <w:pStyle w:val="29"/>
              <w:spacing w:before="2"/>
              <w:rPr>
                <w:sz w:val="20"/>
              </w:rPr>
            </w:pPr>
          </w:p>
          <w:p>
            <w:pPr>
              <w:pStyle w:val="29"/>
              <w:spacing w:line="436" w:lineRule="auto"/>
              <w:ind w:left="133" w:right="90"/>
              <w:rPr>
                <w:sz w:val="21"/>
              </w:rPr>
            </w:pPr>
            <w:r>
              <w:rPr>
                <w:sz w:val="21"/>
              </w:rPr>
              <w:t>其中</w:t>
            </w:r>
          </w:p>
        </w:tc>
        <w:tc>
          <w:tcPr>
            <w:tcW w:w="1489" w:type="dxa"/>
            <w:tcBorders>
              <w:top w:val="single" w:color="000000" w:sz="6" w:space="0"/>
              <w:left w:val="single" w:color="000000" w:sz="4" w:space="0"/>
              <w:bottom w:val="single" w:color="000000" w:sz="6" w:space="0"/>
              <w:right w:val="single" w:color="000000" w:sz="6" w:space="0"/>
            </w:tcBorders>
          </w:tcPr>
          <w:p>
            <w:pPr>
              <w:pStyle w:val="29"/>
              <w:spacing w:before="3"/>
              <w:ind w:left="120" w:right="55"/>
              <w:jc w:val="center"/>
              <w:rPr>
                <w:sz w:val="21"/>
              </w:rPr>
            </w:pPr>
            <w:r>
              <w:rPr>
                <w:sz w:val="21"/>
              </w:rPr>
              <w:t>高级职称人员</w:t>
            </w:r>
          </w:p>
        </w:tc>
        <w:tc>
          <w:tcPr>
            <w:tcW w:w="1873" w:type="dxa"/>
            <w:gridSpan w:val="2"/>
            <w:tcBorders>
              <w:top w:val="single" w:color="000000" w:sz="6" w:space="0"/>
              <w:left w:val="single" w:color="000000" w:sz="6" w:space="0"/>
              <w:bottom w:val="single" w:color="000000" w:sz="6" w:space="0"/>
            </w:tcBorders>
          </w:tcPr>
          <w:p>
            <w:pPr>
              <w:pStyle w:val="29"/>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89" w:hRule="atLeast"/>
        </w:trPr>
        <w:tc>
          <w:tcPr>
            <w:tcW w:w="1519" w:type="dxa"/>
            <w:tcBorders>
              <w:top w:val="single" w:color="000000" w:sz="6" w:space="0"/>
              <w:bottom w:val="single" w:color="000000" w:sz="6" w:space="0"/>
              <w:right w:val="single" w:color="000000" w:sz="6" w:space="0"/>
            </w:tcBorders>
          </w:tcPr>
          <w:p>
            <w:pPr>
              <w:pStyle w:val="29"/>
              <w:spacing w:before="1"/>
              <w:ind w:left="213" w:right="185"/>
              <w:jc w:val="center"/>
              <w:rPr>
                <w:sz w:val="21"/>
              </w:rPr>
            </w:pPr>
            <w:r>
              <w:rPr>
                <w:sz w:val="21"/>
              </w:rPr>
              <w:t>成立日期</w:t>
            </w:r>
          </w:p>
        </w:tc>
        <w:tc>
          <w:tcPr>
            <w:tcW w:w="3184" w:type="dxa"/>
            <w:gridSpan w:val="3"/>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450" w:type="dxa"/>
            <w:vMerge w:val="continue"/>
            <w:tcBorders>
              <w:top w:val="nil"/>
              <w:left w:val="single" w:color="000000" w:sz="6" w:space="0"/>
              <w:bottom w:val="single" w:color="000000" w:sz="6" w:space="0"/>
              <w:right w:val="single" w:color="000000" w:sz="4" w:space="0"/>
            </w:tcBorders>
          </w:tcPr>
          <w:p>
            <w:pPr>
              <w:rPr>
                <w:sz w:val="2"/>
                <w:szCs w:val="2"/>
              </w:rPr>
            </w:pPr>
          </w:p>
        </w:tc>
        <w:tc>
          <w:tcPr>
            <w:tcW w:w="1489" w:type="dxa"/>
            <w:tcBorders>
              <w:top w:val="single" w:color="000000" w:sz="6" w:space="0"/>
              <w:left w:val="single" w:color="000000" w:sz="4" w:space="0"/>
              <w:bottom w:val="single" w:color="000000" w:sz="6" w:space="0"/>
              <w:right w:val="single" w:color="000000" w:sz="6" w:space="0"/>
            </w:tcBorders>
          </w:tcPr>
          <w:p>
            <w:pPr>
              <w:pStyle w:val="29"/>
              <w:spacing w:before="1"/>
              <w:ind w:left="120" w:right="55"/>
              <w:jc w:val="center"/>
              <w:rPr>
                <w:sz w:val="21"/>
              </w:rPr>
            </w:pPr>
            <w:r>
              <w:rPr>
                <w:sz w:val="21"/>
              </w:rPr>
              <w:t>中级职称人员</w:t>
            </w:r>
          </w:p>
        </w:tc>
        <w:tc>
          <w:tcPr>
            <w:tcW w:w="1873" w:type="dxa"/>
            <w:gridSpan w:val="2"/>
            <w:tcBorders>
              <w:top w:val="single" w:color="000000" w:sz="6" w:space="0"/>
              <w:left w:val="single" w:color="000000" w:sz="6" w:space="0"/>
              <w:bottom w:val="single" w:color="000000" w:sz="6" w:space="0"/>
            </w:tcBorders>
          </w:tcPr>
          <w:p>
            <w:pPr>
              <w:pStyle w:val="29"/>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91" w:hRule="atLeast"/>
        </w:trPr>
        <w:tc>
          <w:tcPr>
            <w:tcW w:w="1519" w:type="dxa"/>
            <w:tcBorders>
              <w:top w:val="single" w:color="000000" w:sz="6" w:space="0"/>
              <w:bottom w:val="single" w:color="000000" w:sz="6" w:space="0"/>
              <w:right w:val="single" w:color="000000" w:sz="6" w:space="0"/>
            </w:tcBorders>
          </w:tcPr>
          <w:p>
            <w:pPr>
              <w:pStyle w:val="29"/>
              <w:spacing w:before="7" w:line="240" w:lineRule="exact"/>
              <w:ind w:left="548" w:right="95" w:hanging="420"/>
              <w:rPr>
                <w:sz w:val="21"/>
              </w:rPr>
            </w:pPr>
            <w:r>
              <w:rPr>
                <w:sz w:val="21"/>
              </w:rPr>
              <w:t>基本账户开户银行</w:t>
            </w:r>
          </w:p>
        </w:tc>
        <w:tc>
          <w:tcPr>
            <w:tcW w:w="3184" w:type="dxa"/>
            <w:gridSpan w:val="3"/>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450" w:type="dxa"/>
            <w:vMerge w:val="continue"/>
            <w:tcBorders>
              <w:top w:val="nil"/>
              <w:left w:val="single" w:color="000000" w:sz="6" w:space="0"/>
              <w:bottom w:val="single" w:color="000000" w:sz="6" w:space="0"/>
              <w:right w:val="single" w:color="000000" w:sz="4" w:space="0"/>
            </w:tcBorders>
          </w:tcPr>
          <w:p>
            <w:pPr>
              <w:rPr>
                <w:sz w:val="2"/>
                <w:szCs w:val="2"/>
              </w:rPr>
            </w:pPr>
          </w:p>
        </w:tc>
        <w:tc>
          <w:tcPr>
            <w:tcW w:w="1489" w:type="dxa"/>
            <w:tcBorders>
              <w:top w:val="single" w:color="000000" w:sz="6" w:space="0"/>
              <w:left w:val="single" w:color="000000" w:sz="4" w:space="0"/>
              <w:bottom w:val="single" w:color="000000" w:sz="6" w:space="0"/>
              <w:right w:val="single" w:color="000000" w:sz="6" w:space="0"/>
            </w:tcBorders>
          </w:tcPr>
          <w:p>
            <w:pPr>
              <w:pStyle w:val="29"/>
              <w:spacing w:before="3"/>
              <w:ind w:left="120" w:right="55"/>
              <w:jc w:val="center"/>
              <w:rPr>
                <w:sz w:val="21"/>
              </w:rPr>
            </w:pPr>
            <w:r>
              <w:rPr>
                <w:sz w:val="21"/>
              </w:rPr>
              <w:t>技术人员数量</w:t>
            </w:r>
          </w:p>
        </w:tc>
        <w:tc>
          <w:tcPr>
            <w:tcW w:w="1873" w:type="dxa"/>
            <w:gridSpan w:val="2"/>
            <w:tcBorders>
              <w:top w:val="single" w:color="000000" w:sz="6" w:space="0"/>
              <w:left w:val="single" w:color="000000" w:sz="6" w:space="0"/>
              <w:bottom w:val="single" w:color="000000" w:sz="6" w:space="0"/>
            </w:tcBorders>
          </w:tcPr>
          <w:p>
            <w:pPr>
              <w:pStyle w:val="29"/>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88" w:hRule="atLeast"/>
        </w:trPr>
        <w:tc>
          <w:tcPr>
            <w:tcW w:w="1519" w:type="dxa"/>
            <w:tcBorders>
              <w:top w:val="single" w:color="000000" w:sz="6" w:space="0"/>
              <w:bottom w:val="single" w:color="000000" w:sz="6" w:space="0"/>
              <w:right w:val="single" w:color="000000" w:sz="6" w:space="0"/>
            </w:tcBorders>
          </w:tcPr>
          <w:p>
            <w:pPr>
              <w:pStyle w:val="29"/>
              <w:spacing w:before="4" w:line="240" w:lineRule="exact"/>
              <w:ind w:left="548" w:right="95" w:hanging="420"/>
              <w:rPr>
                <w:sz w:val="21"/>
              </w:rPr>
            </w:pPr>
            <w:r>
              <w:rPr>
                <w:sz w:val="21"/>
              </w:rPr>
              <w:t>基本账户银行账号</w:t>
            </w:r>
          </w:p>
        </w:tc>
        <w:tc>
          <w:tcPr>
            <w:tcW w:w="3184" w:type="dxa"/>
            <w:gridSpan w:val="3"/>
            <w:tcBorders>
              <w:top w:val="single" w:color="000000" w:sz="6" w:space="0"/>
              <w:left w:val="single" w:color="000000" w:sz="6" w:space="0"/>
              <w:bottom w:val="single" w:color="000000" w:sz="6" w:space="0"/>
              <w:right w:val="single" w:color="000000" w:sz="6" w:space="0"/>
            </w:tcBorders>
          </w:tcPr>
          <w:p>
            <w:pPr>
              <w:pStyle w:val="29"/>
              <w:rPr>
                <w:rFonts w:ascii="Times New Roman"/>
                <w:sz w:val="22"/>
              </w:rPr>
            </w:pPr>
          </w:p>
        </w:tc>
        <w:tc>
          <w:tcPr>
            <w:tcW w:w="450" w:type="dxa"/>
            <w:vMerge w:val="continue"/>
            <w:tcBorders>
              <w:top w:val="nil"/>
              <w:left w:val="single" w:color="000000" w:sz="6" w:space="0"/>
              <w:bottom w:val="single" w:color="000000" w:sz="6" w:space="0"/>
              <w:right w:val="single" w:color="000000" w:sz="4" w:space="0"/>
            </w:tcBorders>
          </w:tcPr>
          <w:p>
            <w:pPr>
              <w:rPr>
                <w:sz w:val="2"/>
                <w:szCs w:val="2"/>
              </w:rPr>
            </w:pPr>
          </w:p>
        </w:tc>
        <w:tc>
          <w:tcPr>
            <w:tcW w:w="1489" w:type="dxa"/>
            <w:tcBorders>
              <w:top w:val="single" w:color="000000" w:sz="6" w:space="0"/>
              <w:left w:val="single" w:color="000000" w:sz="4" w:space="0"/>
              <w:bottom w:val="single" w:color="000000" w:sz="6" w:space="0"/>
              <w:right w:val="single" w:color="000000" w:sz="6" w:space="0"/>
            </w:tcBorders>
          </w:tcPr>
          <w:p>
            <w:pPr>
              <w:pStyle w:val="29"/>
              <w:spacing w:before="1"/>
              <w:ind w:left="120" w:right="55"/>
              <w:jc w:val="center"/>
              <w:rPr>
                <w:sz w:val="21"/>
              </w:rPr>
            </w:pPr>
            <w:r>
              <w:rPr>
                <w:sz w:val="21"/>
              </w:rPr>
              <w:t>各类注册人员</w:t>
            </w:r>
          </w:p>
        </w:tc>
        <w:tc>
          <w:tcPr>
            <w:tcW w:w="1873" w:type="dxa"/>
            <w:gridSpan w:val="2"/>
            <w:tcBorders>
              <w:top w:val="single" w:color="000000" w:sz="6" w:space="0"/>
              <w:left w:val="single" w:color="000000" w:sz="6" w:space="0"/>
              <w:bottom w:val="single" w:color="000000" w:sz="6" w:space="0"/>
            </w:tcBorders>
          </w:tcPr>
          <w:p>
            <w:pPr>
              <w:pStyle w:val="29"/>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092" w:hRule="atLeast"/>
        </w:trPr>
        <w:tc>
          <w:tcPr>
            <w:tcW w:w="1519" w:type="dxa"/>
            <w:tcBorders>
              <w:top w:val="single" w:color="000000" w:sz="6" w:space="0"/>
              <w:bottom w:val="single" w:color="000000" w:sz="6" w:space="0"/>
              <w:right w:val="single" w:color="000000" w:sz="6" w:space="0"/>
            </w:tcBorders>
          </w:tcPr>
          <w:p>
            <w:pPr>
              <w:pStyle w:val="29"/>
              <w:rPr>
                <w:sz w:val="20"/>
              </w:rPr>
            </w:pPr>
          </w:p>
          <w:p>
            <w:pPr>
              <w:pStyle w:val="29"/>
              <w:rPr>
                <w:sz w:val="20"/>
              </w:rPr>
            </w:pPr>
          </w:p>
          <w:p>
            <w:pPr>
              <w:pStyle w:val="29"/>
              <w:spacing w:before="8"/>
              <w:rPr>
                <w:sz w:val="22"/>
              </w:rPr>
            </w:pPr>
          </w:p>
          <w:p>
            <w:pPr>
              <w:pStyle w:val="29"/>
              <w:ind w:left="213" w:right="185"/>
              <w:jc w:val="center"/>
              <w:rPr>
                <w:sz w:val="21"/>
              </w:rPr>
            </w:pPr>
            <w:r>
              <w:rPr>
                <w:sz w:val="21"/>
              </w:rPr>
              <w:t>经营范围</w:t>
            </w:r>
          </w:p>
        </w:tc>
        <w:tc>
          <w:tcPr>
            <w:tcW w:w="6996" w:type="dxa"/>
            <w:gridSpan w:val="7"/>
            <w:tcBorders>
              <w:top w:val="single" w:color="000000" w:sz="6" w:space="0"/>
              <w:left w:val="single" w:color="000000" w:sz="6" w:space="0"/>
              <w:bottom w:val="single" w:color="000000" w:sz="6" w:space="0"/>
            </w:tcBorders>
          </w:tcPr>
          <w:p>
            <w:pPr>
              <w:pStyle w:val="29"/>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31" w:hRule="atLeast"/>
        </w:trPr>
        <w:tc>
          <w:tcPr>
            <w:tcW w:w="1519" w:type="dxa"/>
            <w:tcBorders>
              <w:top w:val="single" w:color="000000" w:sz="6" w:space="0"/>
              <w:right w:val="single" w:color="000000" w:sz="6" w:space="0"/>
            </w:tcBorders>
          </w:tcPr>
          <w:p>
            <w:pPr>
              <w:pStyle w:val="29"/>
              <w:spacing w:before="173"/>
              <w:ind w:left="213" w:right="183"/>
              <w:jc w:val="center"/>
              <w:rPr>
                <w:sz w:val="21"/>
              </w:rPr>
            </w:pPr>
            <w:r>
              <w:rPr>
                <w:sz w:val="21"/>
              </w:rPr>
              <w:t>备注</w:t>
            </w:r>
          </w:p>
        </w:tc>
        <w:tc>
          <w:tcPr>
            <w:tcW w:w="6996" w:type="dxa"/>
            <w:gridSpan w:val="7"/>
            <w:tcBorders>
              <w:top w:val="single" w:color="000000" w:sz="6" w:space="0"/>
              <w:left w:val="single" w:color="000000" w:sz="6" w:space="0"/>
            </w:tcBorders>
          </w:tcPr>
          <w:p>
            <w:pPr>
              <w:pStyle w:val="29"/>
              <w:rPr>
                <w:rFonts w:ascii="Times New Roman"/>
                <w:sz w:val="22"/>
              </w:rPr>
            </w:pPr>
          </w:p>
        </w:tc>
      </w:tr>
    </w:tbl>
    <w:p>
      <w:pPr>
        <w:spacing w:before="3"/>
        <w:ind w:left="200" w:right="0" w:firstLine="0"/>
        <w:jc w:val="left"/>
        <w:rPr>
          <w:sz w:val="21"/>
        </w:rPr>
      </w:pPr>
      <w:r>
        <w:rPr>
          <w:sz w:val="21"/>
        </w:rPr>
        <w:t>附：提供</w:t>
      </w:r>
      <w:r>
        <w:rPr>
          <w:rFonts w:ascii="Times New Roman" w:hAnsi="Times New Roman" w:eastAsia="Times New Roman"/>
          <w:sz w:val="21"/>
        </w:rPr>
        <w:t>“</w:t>
      </w:r>
      <w:r>
        <w:rPr>
          <w:sz w:val="21"/>
        </w:rPr>
        <w:t>一照三号</w:t>
      </w:r>
      <w:r>
        <w:rPr>
          <w:rFonts w:ascii="Times New Roman" w:hAnsi="Times New Roman" w:eastAsia="Times New Roman"/>
          <w:sz w:val="21"/>
        </w:rPr>
        <w:t>”</w:t>
      </w:r>
      <w:r>
        <w:rPr>
          <w:sz w:val="21"/>
        </w:rPr>
        <w:t>或</w:t>
      </w:r>
      <w:r>
        <w:rPr>
          <w:rFonts w:ascii="Times New Roman" w:hAnsi="Times New Roman" w:eastAsia="Times New Roman"/>
          <w:sz w:val="21"/>
        </w:rPr>
        <w:t>“</w:t>
      </w:r>
      <w:r>
        <w:rPr>
          <w:sz w:val="21"/>
        </w:rPr>
        <w:t>一照一码</w:t>
      </w:r>
      <w:r>
        <w:rPr>
          <w:rFonts w:ascii="Times New Roman" w:hAnsi="Times New Roman" w:eastAsia="Times New Roman"/>
          <w:sz w:val="21"/>
        </w:rPr>
        <w:t>”</w:t>
      </w:r>
      <w:r>
        <w:rPr>
          <w:sz w:val="21"/>
        </w:rPr>
        <w:t>的营业执照副本、资质证书复印件等加盖公章。</w:t>
      </w:r>
    </w:p>
    <w:p>
      <w:pPr>
        <w:spacing w:after="0"/>
        <w:jc w:val="left"/>
        <w:rPr>
          <w:sz w:val="21"/>
        </w:rPr>
        <w:sectPr>
          <w:pgSz w:w="12240" w:h="15840"/>
          <w:pgMar w:top="1500" w:right="0" w:bottom="920" w:left="1240" w:header="0" w:footer="727" w:gutter="0"/>
          <w:cols w:space="720" w:num="1"/>
        </w:sectPr>
      </w:pPr>
    </w:p>
    <w:p>
      <w:pPr>
        <w:pStyle w:val="9"/>
        <w:spacing w:line="379" w:lineRule="auto"/>
        <w:rPr>
          <w:rFonts w:ascii="宋体" w:hAnsi="宋体" w:eastAsia="宋体" w:cs="宋体"/>
          <w:sz w:val="28"/>
          <w:szCs w:val="22"/>
          <w:lang w:val="zh-CN" w:eastAsia="zh-CN" w:bidi="zh-CN"/>
        </w:rPr>
      </w:pPr>
      <w:r>
        <w:rPr>
          <w:b/>
          <w:sz w:val="28"/>
        </w:rPr>
        <w:t>（二）有良好的商业信誉和健全的财务会计制度</w:t>
      </w:r>
      <w:r>
        <w:rPr>
          <w:rFonts w:hint="eastAsia"/>
          <w:b/>
          <w:sz w:val="28"/>
          <w:lang w:eastAsia="zh-CN"/>
        </w:rPr>
        <w:t>（</w:t>
      </w:r>
      <w:r>
        <w:rPr>
          <w:rFonts w:hint="eastAsia" w:ascii="宋体" w:hAnsi="宋体" w:eastAsia="宋体" w:cs="宋体"/>
          <w:sz w:val="28"/>
          <w:szCs w:val="22"/>
          <w:lang w:val="zh-CN" w:eastAsia="zh-CN" w:bidi="zh-CN"/>
        </w:rPr>
        <w:t>提供202</w:t>
      </w:r>
      <w:r>
        <w:rPr>
          <w:rFonts w:hint="eastAsia" w:cs="宋体"/>
          <w:sz w:val="28"/>
          <w:szCs w:val="22"/>
          <w:lang w:val="en-US" w:eastAsia="zh-CN" w:bidi="zh-CN"/>
        </w:rPr>
        <w:t>1</w:t>
      </w:r>
      <w:r>
        <w:rPr>
          <w:rFonts w:hint="eastAsia" w:ascii="宋体" w:hAnsi="宋体" w:eastAsia="宋体" w:cs="宋体"/>
          <w:sz w:val="28"/>
          <w:szCs w:val="22"/>
          <w:lang w:val="zh-CN" w:eastAsia="zh-CN" w:bidi="zh-CN"/>
        </w:rPr>
        <w:t>年至今任意1个月的企业财务报表（资产负债表、利润表、现金流量表）或20</w:t>
      </w:r>
      <w:r>
        <w:rPr>
          <w:rFonts w:hint="eastAsia" w:cs="宋体"/>
          <w:sz w:val="28"/>
          <w:szCs w:val="22"/>
          <w:lang w:val="en-US" w:eastAsia="zh-CN" w:bidi="zh-CN"/>
        </w:rPr>
        <w:t>20</w:t>
      </w:r>
      <w:r>
        <w:rPr>
          <w:rFonts w:hint="eastAsia" w:ascii="宋体" w:hAnsi="宋体" w:eastAsia="宋体" w:cs="宋体"/>
          <w:sz w:val="28"/>
          <w:szCs w:val="22"/>
          <w:lang w:val="zh-CN" w:eastAsia="zh-CN" w:bidi="zh-CN"/>
        </w:rPr>
        <w:t>年度财务审计报告，复印件加盖公章。</w:t>
      </w:r>
      <w:r>
        <w:rPr>
          <w:rFonts w:ascii="宋体" w:hAnsi="宋体" w:eastAsia="宋体" w:cs="宋体"/>
          <w:sz w:val="28"/>
          <w:szCs w:val="22"/>
          <w:lang w:val="zh-CN" w:eastAsia="zh-CN" w:bidi="zh-CN"/>
        </w:rPr>
        <w:t>供应商成立时间不足一年的，按实际成立日期至今提供所有财务报表</w:t>
      </w:r>
      <w:r>
        <w:rPr>
          <w:rFonts w:hint="eastAsia" w:ascii="宋体" w:hAnsi="宋体" w:eastAsia="宋体" w:cs="宋体"/>
          <w:sz w:val="28"/>
          <w:szCs w:val="22"/>
          <w:lang w:val="zh-CN" w:eastAsia="zh-CN" w:bidi="zh-CN"/>
        </w:rPr>
        <w:t>）</w:t>
      </w: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spacing w:before="5"/>
        <w:rPr>
          <w:sz w:val="38"/>
        </w:rPr>
      </w:pPr>
    </w:p>
    <w:p>
      <w:pPr>
        <w:spacing w:before="0"/>
        <w:ind w:left="200" w:right="0" w:firstLine="0"/>
        <w:jc w:val="both"/>
        <w:rPr>
          <w:sz w:val="28"/>
        </w:rPr>
      </w:pPr>
      <w:r>
        <w:rPr>
          <w:b/>
          <w:sz w:val="28"/>
        </w:rPr>
        <w:t>（三）具有依法缴纳税收和社会保障资金的良好记录</w:t>
      </w:r>
      <w:r>
        <w:rPr>
          <w:sz w:val="28"/>
        </w:rPr>
        <w:t xml:space="preserve">（提供 </w:t>
      </w:r>
      <w:r>
        <w:rPr>
          <w:rFonts w:ascii="Times New Roman" w:eastAsia="Times New Roman"/>
          <w:sz w:val="28"/>
        </w:rPr>
        <w:t>202</w:t>
      </w:r>
      <w:r>
        <w:rPr>
          <w:rFonts w:hint="eastAsia" w:ascii="Times New Roman" w:eastAsia="宋体"/>
          <w:sz w:val="28"/>
          <w:lang w:val="en-US" w:eastAsia="zh-CN"/>
        </w:rPr>
        <w:t>1</w:t>
      </w:r>
      <w:r>
        <w:rPr>
          <w:rFonts w:ascii="Times New Roman" w:eastAsia="Times New Roman"/>
          <w:sz w:val="28"/>
        </w:rPr>
        <w:t xml:space="preserve"> </w:t>
      </w:r>
      <w:r>
        <w:rPr>
          <w:sz w:val="28"/>
        </w:rPr>
        <w:t xml:space="preserve">年 </w:t>
      </w:r>
      <w:r>
        <w:rPr>
          <w:rFonts w:ascii="Times New Roman" w:eastAsia="Times New Roman"/>
          <w:sz w:val="28"/>
        </w:rPr>
        <w:t xml:space="preserve">1 </w:t>
      </w:r>
      <w:r>
        <w:rPr>
          <w:sz w:val="28"/>
        </w:rPr>
        <w:t>月至今</w:t>
      </w:r>
    </w:p>
    <w:p>
      <w:pPr>
        <w:pStyle w:val="9"/>
        <w:spacing w:line="379" w:lineRule="auto"/>
        <w:ind w:right="1438"/>
      </w:pPr>
      <w:r>
        <w:rPr>
          <w:w w:val="100"/>
        </w:rPr>
        <w:t>任意</w:t>
      </w:r>
      <w:r>
        <w:rPr>
          <w:spacing w:val="-71"/>
        </w:rPr>
        <w:t xml:space="preserve"> </w:t>
      </w:r>
      <w:r>
        <w:rPr>
          <w:rFonts w:hint="eastAsia" w:ascii="Times New Roman"/>
          <w:w w:val="100"/>
          <w:lang w:val="en-US" w:eastAsia="zh-CN"/>
        </w:rPr>
        <w:t>1</w:t>
      </w:r>
      <w:r>
        <w:rPr>
          <w:spacing w:val="-3"/>
          <w:w w:val="100"/>
        </w:rPr>
        <w:t>个月的社保缴纳记录凭证和纳税证明复印件并加盖公章</w:t>
      </w:r>
      <w:r>
        <w:rPr>
          <w:spacing w:val="-156"/>
          <w:w w:val="100"/>
        </w:rPr>
        <w:t>）</w:t>
      </w:r>
    </w:p>
    <w:p>
      <w:pPr>
        <w:spacing w:after="0" w:line="379" w:lineRule="auto"/>
        <w:sectPr>
          <w:pgSz w:w="12240" w:h="15840"/>
          <w:pgMar w:top="1380" w:right="0" w:bottom="920" w:left="1240" w:header="0" w:footer="727" w:gutter="0"/>
          <w:cols w:space="720" w:num="1"/>
        </w:sectPr>
      </w:pPr>
    </w:p>
    <w:p>
      <w:pPr>
        <w:spacing w:before="39"/>
        <w:ind w:left="200" w:right="0" w:firstLine="0"/>
        <w:jc w:val="left"/>
        <w:rPr>
          <w:sz w:val="24"/>
        </w:rPr>
      </w:pPr>
      <w:r>
        <w:rPr>
          <w:b/>
          <w:sz w:val="28"/>
        </w:rPr>
        <w:t>（四）无重大违法记录的声明函</w:t>
      </w:r>
    </w:p>
    <w:p>
      <w:pPr>
        <w:pStyle w:val="11"/>
        <w:rPr>
          <w:sz w:val="28"/>
        </w:rPr>
      </w:pPr>
    </w:p>
    <w:p>
      <w:pPr>
        <w:pStyle w:val="11"/>
        <w:rPr>
          <w:sz w:val="28"/>
        </w:rPr>
      </w:pPr>
    </w:p>
    <w:p>
      <w:pPr>
        <w:pStyle w:val="10"/>
        <w:spacing w:before="197"/>
        <w:ind w:left="200"/>
      </w:pPr>
      <w:r>
        <w:t>致</w:t>
      </w:r>
      <w:r>
        <w:rPr>
          <w:u w:val="single"/>
        </w:rPr>
        <w:t xml:space="preserve"> </w:t>
      </w:r>
      <w:r>
        <w:rPr>
          <w:rFonts w:hint="eastAsia"/>
          <w:u w:val="single"/>
          <w:lang w:eastAsia="zh-CN"/>
        </w:rPr>
        <w:t>五指山市自然资源和规划局</w:t>
      </w:r>
      <w:r>
        <w:rPr>
          <w:u w:val="single"/>
        </w:rPr>
        <w:t>：</w:t>
      </w:r>
    </w:p>
    <w:p>
      <w:pPr>
        <w:pStyle w:val="11"/>
        <w:spacing w:before="1"/>
        <w:rPr>
          <w:b/>
          <w:sz w:val="14"/>
        </w:rPr>
      </w:pPr>
    </w:p>
    <w:p>
      <w:pPr>
        <w:pStyle w:val="11"/>
        <w:tabs>
          <w:tab w:val="left" w:pos="3361"/>
        </w:tabs>
        <w:spacing w:before="74" w:line="364" w:lineRule="auto"/>
        <w:ind w:left="200" w:right="1438" w:firstLine="540"/>
        <w:jc w:val="both"/>
      </w:pPr>
      <w:r>
        <w:t>我公司</w:t>
      </w:r>
      <w:r>
        <w:rPr>
          <w:u w:val="single"/>
        </w:rPr>
        <w:t xml:space="preserve"> </w:t>
      </w:r>
      <w:r>
        <w:rPr>
          <w:u w:val="single"/>
        </w:rPr>
        <w:tab/>
      </w:r>
      <w:r>
        <w:t>（公司名称</w:t>
      </w:r>
      <w:r>
        <w:rPr>
          <w:spacing w:val="-20"/>
        </w:rPr>
        <w:t>）</w:t>
      </w:r>
      <w:r>
        <w:t>在本</w:t>
      </w:r>
      <w:r>
        <w:rPr>
          <w:spacing w:val="-3"/>
        </w:rPr>
        <w:t>项</w:t>
      </w:r>
      <w:r>
        <w:t>目招标公告近三年内</w:t>
      </w:r>
      <w:r>
        <w:rPr>
          <w:spacing w:val="-20"/>
        </w:rPr>
        <w:t>，</w:t>
      </w:r>
      <w:r>
        <w:t>政府采购活动</w:t>
      </w:r>
      <w:r>
        <w:rPr>
          <w:spacing w:val="-16"/>
        </w:rPr>
        <w:t>没</w:t>
      </w:r>
      <w:r>
        <w:t>有重大违法记录。我司在经营活动中没有被列入失信被执行人、重大税收违法案件当事</w:t>
      </w:r>
      <w:r>
        <w:rPr>
          <w:spacing w:val="-18"/>
        </w:rPr>
        <w:t>人</w:t>
      </w:r>
      <w:r>
        <w:t>名单、政府采购严重违法失信行为记录名单等重大违法记录。</w:t>
      </w:r>
    </w:p>
    <w:p>
      <w:pPr>
        <w:pStyle w:val="11"/>
        <w:spacing w:line="364" w:lineRule="auto"/>
        <w:ind w:left="740" w:right="6417"/>
      </w:pPr>
      <w:r>
        <w:t>如有虚假，我司愿意接受相关处罚。特此声明。</w:t>
      </w:r>
    </w:p>
    <w:p>
      <w:pPr>
        <w:pStyle w:val="11"/>
        <w:spacing w:before="1"/>
        <w:rPr>
          <w:sz w:val="32"/>
        </w:rPr>
      </w:pPr>
    </w:p>
    <w:p>
      <w:pPr>
        <w:pStyle w:val="11"/>
        <w:tabs>
          <w:tab w:val="left" w:pos="6856"/>
        </w:tabs>
        <w:ind w:left="2000"/>
        <w:rPr>
          <w:rFonts w:ascii="Times New Roman" w:eastAsia="Times New Roman"/>
        </w:rPr>
      </w:pPr>
      <w:r>
        <w:t>供应商名称（盖章</w:t>
      </w:r>
      <w:r>
        <w:rPr>
          <w:spacing w:val="-120"/>
        </w:rPr>
        <w:t>）</w:t>
      </w:r>
      <w:r>
        <w:t>：</w:t>
      </w:r>
      <w:r>
        <w:rPr>
          <w:rFonts w:ascii="Times New Roman" w:eastAsia="Times New Roman"/>
          <w:u w:val="single"/>
        </w:rPr>
        <w:t xml:space="preserve"> </w:t>
      </w:r>
      <w:r>
        <w:rPr>
          <w:rFonts w:ascii="Times New Roman" w:eastAsia="Times New Roman"/>
          <w:u w:val="single"/>
        </w:rPr>
        <w:tab/>
      </w:r>
    </w:p>
    <w:p>
      <w:pPr>
        <w:pStyle w:val="11"/>
        <w:tabs>
          <w:tab w:val="left" w:pos="3920"/>
          <w:tab w:val="left" w:pos="4816"/>
          <w:tab w:val="left" w:pos="5656"/>
          <w:tab w:val="left" w:pos="7163"/>
        </w:tabs>
        <w:spacing w:before="158" w:line="364" w:lineRule="auto"/>
        <w:ind w:left="2000" w:right="3833"/>
      </w:pPr>
      <w:r>
        <w:t>法定代表人</w:t>
      </w:r>
      <w:r>
        <w:rPr>
          <w:rFonts w:ascii="Times New Roman" w:eastAsia="Times New Roman"/>
        </w:rPr>
        <w:t>/</w:t>
      </w:r>
      <w:r>
        <w:t>授权代表（签字或盖章</w:t>
      </w:r>
      <w:r>
        <w:rPr>
          <w:spacing w:val="-120"/>
        </w:rPr>
        <w:t>）</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pStyle w:val="11"/>
        <w:rPr>
          <w:sz w:val="20"/>
        </w:rPr>
      </w:pPr>
    </w:p>
    <w:p>
      <w:pPr>
        <w:pStyle w:val="11"/>
        <w:rPr>
          <w:sz w:val="20"/>
        </w:rPr>
      </w:pPr>
    </w:p>
    <w:p>
      <w:pPr>
        <w:pStyle w:val="11"/>
        <w:rPr>
          <w:sz w:val="20"/>
        </w:rPr>
      </w:pPr>
    </w:p>
    <w:p>
      <w:pPr>
        <w:pStyle w:val="11"/>
        <w:rPr>
          <w:sz w:val="27"/>
        </w:rPr>
      </w:pPr>
    </w:p>
    <w:p>
      <w:pPr>
        <w:rPr>
          <w:b/>
          <w:sz w:val="28"/>
        </w:rPr>
      </w:pPr>
      <w:r>
        <w:rPr>
          <w:b/>
          <w:sz w:val="28"/>
        </w:rPr>
        <w:br w:type="page"/>
      </w:r>
    </w:p>
    <w:p>
      <w:pPr>
        <w:spacing w:before="62"/>
        <w:ind w:left="200" w:right="0" w:firstLine="0"/>
        <w:jc w:val="left"/>
        <w:rPr>
          <w:sz w:val="24"/>
        </w:rPr>
      </w:pPr>
      <w:r>
        <w:rPr>
          <w:b/>
          <w:sz w:val="28"/>
        </w:rPr>
        <w:t>（五）承诺函</w:t>
      </w:r>
    </w:p>
    <w:p>
      <w:pPr>
        <w:pStyle w:val="11"/>
        <w:rPr>
          <w:sz w:val="28"/>
        </w:rPr>
      </w:pPr>
    </w:p>
    <w:p>
      <w:pPr>
        <w:pStyle w:val="11"/>
        <w:rPr>
          <w:sz w:val="28"/>
        </w:rPr>
      </w:pPr>
    </w:p>
    <w:p>
      <w:pPr>
        <w:pStyle w:val="10"/>
        <w:spacing w:before="197"/>
        <w:ind w:left="200"/>
      </w:pPr>
      <w:r>
        <w:t>致</w:t>
      </w:r>
      <w:r>
        <w:rPr>
          <w:u w:val="single"/>
        </w:rPr>
        <w:t xml:space="preserve"> </w:t>
      </w:r>
      <w:r>
        <w:rPr>
          <w:rFonts w:hint="eastAsia"/>
          <w:u w:val="single"/>
          <w:lang w:eastAsia="zh-CN"/>
        </w:rPr>
        <w:t>五指山市自然资源和规划局</w:t>
      </w:r>
      <w:r>
        <w:rPr>
          <w:u w:val="single"/>
        </w:rPr>
        <w:t>：</w:t>
      </w:r>
    </w:p>
    <w:p>
      <w:pPr>
        <w:pStyle w:val="11"/>
        <w:spacing w:before="1"/>
        <w:rPr>
          <w:b/>
          <w:sz w:val="14"/>
        </w:rPr>
      </w:pPr>
    </w:p>
    <w:p>
      <w:pPr>
        <w:pStyle w:val="11"/>
        <w:tabs>
          <w:tab w:val="left" w:pos="3440"/>
        </w:tabs>
        <w:spacing w:before="74" w:line="364" w:lineRule="auto"/>
        <w:ind w:left="680" w:right="2036"/>
      </w:pPr>
      <w:r>
        <w:t>本公司</w:t>
      </w:r>
      <w:r>
        <w:rPr>
          <w:u w:val="single"/>
        </w:rPr>
        <w:t xml:space="preserve"> </w:t>
      </w:r>
      <w:r>
        <w:rPr>
          <w:spacing w:val="119"/>
          <w:u w:val="single"/>
        </w:rPr>
        <w:t xml:space="preserve"> </w:t>
      </w:r>
      <w:r>
        <w:rPr>
          <w:u w:val="single"/>
        </w:rPr>
        <w:t>（公司名称）</w:t>
      </w:r>
      <w:r>
        <w:rPr>
          <w:u w:val="single"/>
        </w:rPr>
        <w:tab/>
      </w:r>
      <w:r>
        <w:t>参加</w:t>
      </w:r>
      <w:r>
        <w:rPr>
          <w:u w:val="single"/>
        </w:rPr>
        <w:t xml:space="preserve"> （项目名称）</w:t>
      </w:r>
      <w:r>
        <w:t>的公开招标采购活动，现承诺</w:t>
      </w:r>
      <w:r>
        <w:rPr>
          <w:spacing w:val="-16"/>
        </w:rPr>
        <w:t xml:space="preserve">： </w:t>
      </w:r>
      <w:r>
        <w:t>我公司具有履行合同所必需的设备和专业技术能力。</w:t>
      </w:r>
    </w:p>
    <w:p>
      <w:pPr>
        <w:pStyle w:val="11"/>
        <w:spacing w:line="307" w:lineRule="exact"/>
        <w:ind w:left="680"/>
      </w:pPr>
      <w:r>
        <w:t>如违反以上承诺，本公司愿承担一切法律责任。</w:t>
      </w:r>
    </w:p>
    <w:p>
      <w:pPr>
        <w:pStyle w:val="11"/>
      </w:pPr>
    </w:p>
    <w:p>
      <w:pPr>
        <w:pStyle w:val="11"/>
        <w:spacing w:before="9"/>
        <w:rPr>
          <w:sz w:val="20"/>
        </w:rPr>
      </w:pPr>
    </w:p>
    <w:p>
      <w:pPr>
        <w:pStyle w:val="11"/>
        <w:tabs>
          <w:tab w:val="left" w:pos="6856"/>
        </w:tabs>
        <w:ind w:left="2000"/>
        <w:rPr>
          <w:rFonts w:ascii="Times New Roman" w:eastAsia="Times New Roman"/>
        </w:rPr>
      </w:pPr>
      <w:r>
        <w:t>供应商名称（盖章</w:t>
      </w:r>
      <w:r>
        <w:rPr>
          <w:spacing w:val="-120"/>
        </w:rPr>
        <w:t>）</w:t>
      </w:r>
      <w:r>
        <w:t>：</w:t>
      </w:r>
      <w:r>
        <w:rPr>
          <w:rFonts w:ascii="Times New Roman" w:eastAsia="Times New Roman"/>
          <w:u w:val="single"/>
        </w:rPr>
        <w:t xml:space="preserve"> </w:t>
      </w:r>
      <w:r>
        <w:rPr>
          <w:rFonts w:ascii="Times New Roman" w:eastAsia="Times New Roman"/>
          <w:u w:val="single"/>
        </w:rPr>
        <w:tab/>
      </w:r>
    </w:p>
    <w:p>
      <w:pPr>
        <w:pStyle w:val="11"/>
        <w:tabs>
          <w:tab w:val="left" w:pos="3920"/>
          <w:tab w:val="left" w:pos="4816"/>
          <w:tab w:val="left" w:pos="5656"/>
          <w:tab w:val="left" w:pos="7163"/>
        </w:tabs>
        <w:spacing w:before="158" w:line="364" w:lineRule="auto"/>
        <w:ind w:left="2000" w:right="3833"/>
      </w:pPr>
      <w:r>
        <w:t>法定代表人</w:t>
      </w:r>
      <w:r>
        <w:rPr>
          <w:rFonts w:ascii="Times New Roman" w:eastAsia="Times New Roman"/>
        </w:rPr>
        <w:t>/</w:t>
      </w:r>
      <w:r>
        <w:t>授权代表（签字或盖章</w:t>
      </w:r>
      <w:r>
        <w:rPr>
          <w:spacing w:val="-120"/>
        </w:rPr>
        <w:t>）</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spacing w:after="0" w:line="364" w:lineRule="auto"/>
        <w:sectPr>
          <w:pgSz w:w="12240" w:h="15840"/>
          <w:pgMar w:top="1400" w:right="0" w:bottom="920" w:left="1240" w:header="0" w:footer="727" w:gutter="0"/>
          <w:cols w:space="720" w:num="1"/>
        </w:sectPr>
      </w:pPr>
    </w:p>
    <w:p>
      <w:pPr>
        <w:spacing w:before="59" w:line="381" w:lineRule="auto"/>
        <w:ind w:left="200" w:right="1522" w:firstLine="0"/>
        <w:jc w:val="left"/>
        <w:rPr>
          <w:sz w:val="28"/>
        </w:rPr>
      </w:pPr>
      <w:r>
        <w:rPr>
          <w:b/>
          <w:sz w:val="28"/>
        </w:rPr>
        <w:t>（六）供应商必须为未被列入</w:t>
      </w:r>
      <w:r>
        <w:rPr>
          <w:rFonts w:ascii="Times New Roman" w:hAnsi="Times New Roman" w:eastAsia="Times New Roman"/>
          <w:b/>
          <w:sz w:val="28"/>
        </w:rPr>
        <w:t>“</w:t>
      </w:r>
      <w:r>
        <w:rPr>
          <w:b/>
          <w:sz w:val="28"/>
        </w:rPr>
        <w:t>信用中国</w:t>
      </w:r>
      <w:r>
        <w:rPr>
          <w:rFonts w:ascii="Times New Roman" w:hAnsi="Times New Roman" w:eastAsia="Times New Roman"/>
          <w:b/>
          <w:sz w:val="28"/>
        </w:rPr>
        <w:t xml:space="preserve">” </w:t>
      </w:r>
      <w:r>
        <w:rPr>
          <w:b/>
          <w:sz w:val="28"/>
        </w:rPr>
        <w:t>网站</w:t>
      </w:r>
      <w:r>
        <w:rPr>
          <w:rFonts w:ascii="Times New Roman" w:hAnsi="Times New Roman" w:eastAsia="Times New Roman"/>
          <w:b/>
          <w:sz w:val="28"/>
        </w:rPr>
        <w:t xml:space="preserve">( www.creditchina.gov.cn) </w:t>
      </w:r>
      <w:r>
        <w:rPr>
          <w:b/>
          <w:sz w:val="28"/>
        </w:rPr>
        <w:t>失信被执行人、重大税收违法案件当事人名单、政府采购严重违法失信行为记录名单和</w:t>
      </w:r>
      <w:r>
        <w:rPr>
          <w:rFonts w:ascii="Times New Roman" w:hAnsi="Times New Roman" w:eastAsia="Times New Roman"/>
          <w:b/>
          <w:sz w:val="28"/>
        </w:rPr>
        <w:t>“</w:t>
      </w:r>
      <w:r>
        <w:rPr>
          <w:b/>
          <w:sz w:val="28"/>
        </w:rPr>
        <w:t>中国政府采购网</w:t>
      </w:r>
      <w:r>
        <w:rPr>
          <w:rFonts w:ascii="Times New Roman" w:hAnsi="Times New Roman" w:eastAsia="Times New Roman"/>
          <w:b/>
          <w:sz w:val="28"/>
        </w:rPr>
        <w:t>” ( www.ccgp.gov.cn)</w:t>
      </w:r>
      <w:r>
        <w:rPr>
          <w:b/>
          <w:sz w:val="28"/>
        </w:rPr>
        <w:t>政府采购严重违法失信行为记录名单的响应人</w:t>
      </w:r>
      <w:r>
        <w:rPr>
          <w:sz w:val="28"/>
        </w:rPr>
        <w:t>（提供网页查询截图加盖单位公章</w:t>
      </w:r>
      <w:r>
        <w:rPr>
          <w:rFonts w:hint="eastAsia"/>
          <w:sz w:val="28"/>
          <w:lang w:eastAsia="zh-CN"/>
        </w:rPr>
        <w:t>。</w:t>
      </w:r>
      <w:r>
        <w:rPr>
          <w:sz w:val="28"/>
        </w:rPr>
        <w:t>）</w:t>
      </w: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spacing w:before="9"/>
        <w:rPr>
          <w:sz w:val="25"/>
        </w:rPr>
      </w:pPr>
    </w:p>
    <w:p>
      <w:pPr>
        <w:spacing w:before="0"/>
        <w:ind w:left="200" w:right="0" w:firstLine="0"/>
        <w:jc w:val="left"/>
        <w:rPr>
          <w:sz w:val="24"/>
        </w:rPr>
      </w:pPr>
      <w:r>
        <w:rPr>
          <w:b/>
          <w:sz w:val="28"/>
        </w:rPr>
        <w:t>（</w:t>
      </w:r>
      <w:r>
        <w:rPr>
          <w:rFonts w:hint="eastAsia"/>
          <w:b/>
          <w:sz w:val="28"/>
          <w:lang w:eastAsia="zh-CN"/>
        </w:rPr>
        <w:t>七</w:t>
      </w:r>
      <w:r>
        <w:rPr>
          <w:b/>
          <w:sz w:val="28"/>
        </w:rPr>
        <w:t>）投标保证金</w:t>
      </w:r>
    </w:p>
    <w:p>
      <w:pPr>
        <w:pStyle w:val="11"/>
        <w:spacing w:before="1"/>
        <w:rPr>
          <w:sz w:val="39"/>
        </w:rPr>
      </w:pPr>
    </w:p>
    <w:p>
      <w:pPr>
        <w:pStyle w:val="9"/>
        <w:spacing w:before="0" w:line="244" w:lineRule="auto"/>
        <w:ind w:right="1441"/>
        <w:jc w:val="left"/>
      </w:pPr>
      <w:r>
        <w:t>（提供投标保证金转账凭证复印件、开户许可证（如有）复印件加盖单位公章）</w:t>
      </w:r>
    </w:p>
    <w:p>
      <w:pPr>
        <w:spacing w:after="0" w:line="244" w:lineRule="auto"/>
        <w:jc w:val="left"/>
        <w:sectPr>
          <w:pgSz w:w="12240" w:h="15840"/>
          <w:pgMar w:top="1380" w:right="0" w:bottom="920" w:left="1240" w:header="0" w:footer="727" w:gutter="0"/>
          <w:cols w:space="720" w:num="1"/>
        </w:sectPr>
      </w:pPr>
    </w:p>
    <w:p>
      <w:pPr>
        <w:spacing w:before="39"/>
        <w:ind w:left="200" w:right="0" w:firstLine="0"/>
        <w:jc w:val="left"/>
        <w:rPr>
          <w:sz w:val="24"/>
        </w:rPr>
      </w:pPr>
      <w:r>
        <w:rPr>
          <w:b/>
          <w:sz w:val="28"/>
        </w:rPr>
        <w:t>（</w:t>
      </w:r>
      <w:r>
        <w:rPr>
          <w:rFonts w:hint="eastAsia"/>
          <w:b/>
          <w:sz w:val="28"/>
          <w:lang w:eastAsia="zh-CN"/>
        </w:rPr>
        <w:t>八</w:t>
      </w:r>
      <w:r>
        <w:rPr>
          <w:b/>
          <w:sz w:val="28"/>
        </w:rPr>
        <w:t>）诚信投标、诚信履约承诺书</w:t>
      </w:r>
    </w:p>
    <w:p>
      <w:pPr>
        <w:pStyle w:val="11"/>
        <w:rPr>
          <w:sz w:val="28"/>
        </w:rPr>
      </w:pPr>
    </w:p>
    <w:p>
      <w:pPr>
        <w:pStyle w:val="11"/>
        <w:rPr>
          <w:sz w:val="28"/>
        </w:rPr>
      </w:pPr>
    </w:p>
    <w:p>
      <w:pPr>
        <w:pStyle w:val="10"/>
        <w:spacing w:before="197"/>
        <w:ind w:left="200"/>
      </w:pPr>
      <w:r>
        <w:t>致</w:t>
      </w:r>
      <w:r>
        <w:rPr>
          <w:u w:val="single"/>
        </w:rPr>
        <w:t xml:space="preserve"> </w:t>
      </w:r>
      <w:r>
        <w:rPr>
          <w:rFonts w:hint="eastAsia"/>
          <w:u w:val="single"/>
          <w:lang w:eastAsia="zh-CN"/>
        </w:rPr>
        <w:t>五指山市自然资源和规划局</w:t>
      </w:r>
      <w:r>
        <w:rPr>
          <w:u w:val="single"/>
        </w:rPr>
        <w:t>：</w:t>
      </w:r>
    </w:p>
    <w:p>
      <w:pPr>
        <w:pStyle w:val="11"/>
        <w:spacing w:before="8"/>
        <w:rPr>
          <w:b/>
          <w:sz w:val="14"/>
        </w:rPr>
      </w:pPr>
    </w:p>
    <w:p>
      <w:pPr>
        <w:pStyle w:val="11"/>
        <w:spacing w:before="67"/>
        <w:ind w:left="680"/>
      </w:pPr>
      <w:r>
        <w:t>我方就本次公开招标采购活动向贵方郑重承诺：</w:t>
      </w:r>
    </w:p>
    <w:p>
      <w:pPr>
        <w:pStyle w:val="11"/>
        <w:spacing w:before="158" w:line="364" w:lineRule="auto"/>
        <w:ind w:left="200" w:right="1437" w:firstLine="480"/>
      </w:pPr>
      <w:r>
        <w:t>一、我方已经充分理解了招标文件规定的所有要求、成交条件和合同条款，没有任何异议。</w:t>
      </w:r>
    </w:p>
    <w:p>
      <w:pPr>
        <w:pStyle w:val="11"/>
        <w:spacing w:line="364" w:lineRule="auto"/>
        <w:ind w:left="200" w:right="1437" w:firstLine="480"/>
        <w:jc w:val="both"/>
      </w:pPr>
      <w:r>
        <w:t>二、我方在响应文件中提交的所有证明材料都是真实有效的；我方做出的所有响应都是真实可信、可以实现、并经得起验收检验的。我方保证所有的投标响应在报价有效期内不发生任何变更。</w:t>
      </w:r>
    </w:p>
    <w:p>
      <w:pPr>
        <w:pStyle w:val="11"/>
        <w:spacing w:line="364" w:lineRule="auto"/>
        <w:ind w:left="200" w:right="1436" w:firstLine="480"/>
        <w:jc w:val="both"/>
      </w:pPr>
      <w:r>
        <w:t>三、我方知道，如果成交后放弃成交，不论原因何在，都是不诚信投标的行为，都会给采购项目造成损失。如果采购人将本合同授予我方，我方将承担所有的潜在合同风险， 绝不以任何理由弃标。</w:t>
      </w:r>
    </w:p>
    <w:p>
      <w:pPr>
        <w:pStyle w:val="11"/>
        <w:spacing w:line="364" w:lineRule="auto"/>
        <w:ind w:left="200" w:right="1437" w:firstLine="480"/>
        <w:jc w:val="both"/>
      </w:pPr>
      <w:r>
        <w:t>四、我方知道，成交后拒签或故意拖延签署合同、拒绝履行或故意拖延履行合同，不论原因何在，都是不诚信履约的行为。如果采购人将本合同授予我方，我方将如约在规定的期限内签署合同，在规定的期限内履行合同。</w:t>
      </w:r>
    </w:p>
    <w:p>
      <w:pPr>
        <w:pStyle w:val="11"/>
        <w:spacing w:line="364" w:lineRule="auto"/>
        <w:ind w:left="200" w:right="1438" w:firstLine="480"/>
      </w:pPr>
      <w:r>
        <w:t>五、我方声明：我方在过往两年内的政府采购活动中，没有成交后放弃成交、拒签或故意拖延签署合同、拒绝履行或故意拖延履行合同的不诚信行为。</w:t>
      </w:r>
    </w:p>
    <w:p>
      <w:pPr>
        <w:pStyle w:val="11"/>
        <w:spacing w:line="364" w:lineRule="auto"/>
        <w:ind w:left="200" w:right="1437"/>
      </w:pPr>
      <w:r>
        <w:t>以上承诺，能够经受来自任何方面的审查和监督。如有虚假或背离，我方愿承担由此引发的一切不利后果，无条件接受采购人的处置和政府采购监管单位的处罚。</w:t>
      </w:r>
    </w:p>
    <w:p>
      <w:pPr>
        <w:pStyle w:val="11"/>
        <w:spacing w:before="11"/>
        <w:rPr>
          <w:sz w:val="31"/>
        </w:rPr>
      </w:pPr>
    </w:p>
    <w:p>
      <w:pPr>
        <w:pStyle w:val="11"/>
        <w:tabs>
          <w:tab w:val="left" w:pos="5056"/>
        </w:tabs>
        <w:ind w:left="200"/>
        <w:rPr>
          <w:rFonts w:ascii="Times New Roman" w:eastAsia="Times New Roman"/>
        </w:rPr>
      </w:pPr>
      <w:r>
        <w:t>供应</w:t>
      </w:r>
      <w:r>
        <w:rPr>
          <w:spacing w:val="-1"/>
        </w:rPr>
        <w:t>商</w:t>
      </w:r>
      <w:r>
        <w:t>名称（盖章</w:t>
      </w:r>
      <w:r>
        <w:rPr>
          <w:spacing w:val="-120"/>
        </w:rPr>
        <w:t>）</w:t>
      </w:r>
      <w:r>
        <w:t>：</w:t>
      </w:r>
      <w:r>
        <w:rPr>
          <w:rFonts w:ascii="Times New Roman" w:eastAsia="Times New Roman"/>
          <w:u w:val="single"/>
        </w:rPr>
        <w:t xml:space="preserve"> </w:t>
      </w:r>
      <w:r>
        <w:rPr>
          <w:rFonts w:ascii="Times New Roman" w:eastAsia="Times New Roman"/>
          <w:u w:val="single"/>
        </w:rPr>
        <w:tab/>
      </w:r>
    </w:p>
    <w:p>
      <w:pPr>
        <w:pStyle w:val="11"/>
        <w:tabs>
          <w:tab w:val="left" w:pos="2120"/>
          <w:tab w:val="left" w:pos="3015"/>
          <w:tab w:val="left" w:pos="3855"/>
          <w:tab w:val="left" w:pos="5363"/>
        </w:tabs>
        <w:spacing w:before="159" w:line="364" w:lineRule="auto"/>
        <w:ind w:left="200" w:right="5634"/>
      </w:pPr>
      <w:r>
        <w:t>法定代表</w:t>
      </w:r>
      <w:r>
        <w:rPr>
          <w:spacing w:val="-1"/>
        </w:rPr>
        <w:t>人</w:t>
      </w:r>
      <w:r>
        <w:rPr>
          <w:rFonts w:ascii="Times New Roman" w:eastAsia="Times New Roman"/>
        </w:rPr>
        <w:t>/</w:t>
      </w:r>
      <w:r>
        <w:t>授权代表（签字或盖章</w:t>
      </w:r>
      <w:r>
        <w:rPr>
          <w:spacing w:val="-120"/>
        </w:rPr>
        <w:t>）</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pStyle w:val="10"/>
        <w:spacing w:line="306" w:lineRule="exact"/>
        <w:ind w:left="200"/>
      </w:pPr>
      <w:r>
        <w:rPr>
          <w:w w:val="99"/>
        </w:rPr>
        <w:t xml:space="preserve"> </w:t>
      </w:r>
    </w:p>
    <w:p>
      <w:pPr>
        <w:spacing w:after="0" w:line="306" w:lineRule="exact"/>
        <w:sectPr>
          <w:pgSz w:w="12240" w:h="15840"/>
          <w:pgMar w:top="1400" w:right="0" w:bottom="920" w:left="1240" w:header="0" w:footer="727" w:gutter="0"/>
          <w:cols w:space="720" w:num="1"/>
        </w:sectPr>
      </w:pPr>
    </w:p>
    <w:p>
      <w:pPr>
        <w:pStyle w:val="11"/>
        <w:spacing w:before="11"/>
        <w:rPr>
          <w:b/>
          <w:sz w:val="11"/>
        </w:rPr>
      </w:pPr>
    </w:p>
    <w:p>
      <w:pPr>
        <w:pStyle w:val="2"/>
        <w:ind w:right="1239"/>
        <w:outlineLvl w:val="0"/>
      </w:pPr>
      <w:bookmarkStart w:id="35" w:name="_Toc14575"/>
      <w:r>
        <w:t>五、项目管理机构</w:t>
      </w:r>
      <w:bookmarkEnd w:id="35"/>
    </w:p>
    <w:p>
      <w:pPr>
        <w:pStyle w:val="11"/>
        <w:spacing w:before="8"/>
        <w:rPr>
          <w:b/>
          <w:sz w:val="46"/>
        </w:rPr>
      </w:pPr>
    </w:p>
    <w:p>
      <w:pPr>
        <w:pStyle w:val="8"/>
        <w:ind w:left="2351"/>
        <w:outlineLvl w:val="1"/>
      </w:pPr>
      <w:bookmarkStart w:id="36" w:name="_Toc16536"/>
      <w:r>
        <w:t>（一）拟投入本项目主要岗位人员一览表</w:t>
      </w:r>
      <w:bookmarkEnd w:id="36"/>
      <w:r>
        <w:rPr>
          <w:w w:val="99"/>
        </w:rPr>
        <w:t xml:space="preserve"> </w:t>
      </w:r>
    </w:p>
    <w:p>
      <w:pPr>
        <w:pStyle w:val="11"/>
        <w:spacing w:before="1"/>
        <w:rPr>
          <w:b/>
        </w:rPr>
      </w:pPr>
    </w:p>
    <w:p>
      <w:pPr>
        <w:pStyle w:val="11"/>
        <w:spacing w:before="9"/>
        <w:rPr>
          <w:sz w:val="10"/>
        </w:rPr>
      </w:pPr>
    </w:p>
    <w:tbl>
      <w:tblPr>
        <w:tblStyle w:val="15"/>
        <w:tblW w:w="0" w:type="auto"/>
        <w:tblInd w:w="3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07"/>
        <w:gridCol w:w="902"/>
        <w:gridCol w:w="772"/>
        <w:gridCol w:w="789"/>
        <w:gridCol w:w="1530"/>
        <w:gridCol w:w="981"/>
        <w:gridCol w:w="923"/>
        <w:gridCol w:w="1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08" w:type="dxa"/>
            <w:vMerge w:val="restart"/>
          </w:tcPr>
          <w:p>
            <w:pPr>
              <w:pStyle w:val="29"/>
              <w:spacing w:before="9"/>
              <w:rPr>
                <w:sz w:val="28"/>
              </w:rPr>
            </w:pPr>
          </w:p>
          <w:p>
            <w:pPr>
              <w:pStyle w:val="29"/>
              <w:ind w:left="143"/>
              <w:rPr>
                <w:sz w:val="21"/>
              </w:rPr>
            </w:pPr>
            <w:r>
              <w:rPr>
                <w:sz w:val="21"/>
              </w:rPr>
              <w:t xml:space="preserve">序号 </w:t>
            </w:r>
          </w:p>
        </w:tc>
        <w:tc>
          <w:tcPr>
            <w:tcW w:w="1407" w:type="dxa"/>
            <w:vMerge w:val="restart"/>
          </w:tcPr>
          <w:p>
            <w:pPr>
              <w:pStyle w:val="29"/>
              <w:spacing w:before="9"/>
              <w:rPr>
                <w:sz w:val="28"/>
              </w:rPr>
            </w:pPr>
          </w:p>
          <w:p>
            <w:pPr>
              <w:pStyle w:val="29"/>
              <w:ind w:left="177"/>
              <w:rPr>
                <w:sz w:val="21"/>
              </w:rPr>
            </w:pPr>
            <w:r>
              <w:rPr>
                <w:sz w:val="21"/>
              </w:rPr>
              <w:t xml:space="preserve">本项目任职 </w:t>
            </w:r>
          </w:p>
        </w:tc>
        <w:tc>
          <w:tcPr>
            <w:tcW w:w="902" w:type="dxa"/>
            <w:vMerge w:val="restart"/>
          </w:tcPr>
          <w:p>
            <w:pPr>
              <w:pStyle w:val="29"/>
              <w:spacing w:before="9"/>
              <w:rPr>
                <w:sz w:val="28"/>
              </w:rPr>
            </w:pPr>
          </w:p>
          <w:p>
            <w:pPr>
              <w:pStyle w:val="29"/>
              <w:ind w:left="239"/>
              <w:rPr>
                <w:sz w:val="21"/>
              </w:rPr>
            </w:pPr>
            <w:r>
              <w:rPr>
                <w:sz w:val="21"/>
              </w:rPr>
              <w:t xml:space="preserve">姓名 </w:t>
            </w:r>
          </w:p>
        </w:tc>
        <w:tc>
          <w:tcPr>
            <w:tcW w:w="772" w:type="dxa"/>
            <w:vMerge w:val="restart"/>
          </w:tcPr>
          <w:p>
            <w:pPr>
              <w:pStyle w:val="29"/>
              <w:spacing w:before="9"/>
              <w:rPr>
                <w:sz w:val="28"/>
              </w:rPr>
            </w:pPr>
          </w:p>
          <w:p>
            <w:pPr>
              <w:pStyle w:val="29"/>
              <w:ind w:left="175"/>
              <w:rPr>
                <w:sz w:val="21"/>
              </w:rPr>
            </w:pPr>
            <w:r>
              <w:rPr>
                <w:sz w:val="21"/>
              </w:rPr>
              <w:t xml:space="preserve">职称 </w:t>
            </w:r>
          </w:p>
        </w:tc>
        <w:tc>
          <w:tcPr>
            <w:tcW w:w="789" w:type="dxa"/>
            <w:vMerge w:val="restart"/>
          </w:tcPr>
          <w:p>
            <w:pPr>
              <w:pStyle w:val="29"/>
              <w:spacing w:before="9"/>
              <w:rPr>
                <w:sz w:val="28"/>
              </w:rPr>
            </w:pPr>
          </w:p>
          <w:p>
            <w:pPr>
              <w:pStyle w:val="29"/>
              <w:ind w:left="185"/>
              <w:rPr>
                <w:sz w:val="21"/>
              </w:rPr>
            </w:pPr>
            <w:r>
              <w:rPr>
                <w:sz w:val="21"/>
              </w:rPr>
              <w:t xml:space="preserve">专业 </w:t>
            </w:r>
          </w:p>
        </w:tc>
        <w:tc>
          <w:tcPr>
            <w:tcW w:w="3434" w:type="dxa"/>
            <w:gridSpan w:val="3"/>
          </w:tcPr>
          <w:p>
            <w:pPr>
              <w:pStyle w:val="29"/>
              <w:spacing w:before="85"/>
              <w:ind w:left="774"/>
              <w:rPr>
                <w:sz w:val="21"/>
              </w:rPr>
            </w:pPr>
            <w:r>
              <w:rPr>
                <w:sz w:val="21"/>
              </w:rPr>
              <w:t xml:space="preserve">执业或职业资格证明 </w:t>
            </w:r>
          </w:p>
        </w:tc>
        <w:tc>
          <w:tcPr>
            <w:tcW w:w="1029" w:type="dxa"/>
          </w:tcPr>
          <w:p>
            <w:pPr>
              <w:pStyle w:val="29"/>
              <w:spacing w:before="85"/>
              <w:ind w:left="342" w:right="216"/>
              <w:jc w:val="center"/>
              <w:rPr>
                <w:sz w:val="21"/>
              </w:rPr>
            </w:pPr>
            <w:r>
              <w:rPr>
                <w:sz w:val="21"/>
              </w:rPr>
              <w:t xml:space="preserve">备注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708" w:type="dxa"/>
            <w:vMerge w:val="continue"/>
            <w:tcBorders>
              <w:top w:val="nil"/>
            </w:tcBorders>
          </w:tcPr>
          <w:p>
            <w:pPr>
              <w:rPr>
                <w:sz w:val="2"/>
                <w:szCs w:val="2"/>
              </w:rPr>
            </w:pPr>
          </w:p>
        </w:tc>
        <w:tc>
          <w:tcPr>
            <w:tcW w:w="1407" w:type="dxa"/>
            <w:vMerge w:val="continue"/>
            <w:tcBorders>
              <w:top w:val="nil"/>
            </w:tcBorders>
          </w:tcPr>
          <w:p>
            <w:pPr>
              <w:rPr>
                <w:sz w:val="2"/>
                <w:szCs w:val="2"/>
              </w:rPr>
            </w:pPr>
          </w:p>
        </w:tc>
        <w:tc>
          <w:tcPr>
            <w:tcW w:w="902" w:type="dxa"/>
            <w:vMerge w:val="continue"/>
            <w:tcBorders>
              <w:top w:val="nil"/>
            </w:tcBorders>
          </w:tcPr>
          <w:p>
            <w:pPr>
              <w:rPr>
                <w:sz w:val="2"/>
                <w:szCs w:val="2"/>
              </w:rPr>
            </w:pPr>
          </w:p>
        </w:tc>
        <w:tc>
          <w:tcPr>
            <w:tcW w:w="772" w:type="dxa"/>
            <w:vMerge w:val="continue"/>
            <w:tcBorders>
              <w:top w:val="nil"/>
            </w:tcBorders>
          </w:tcPr>
          <w:p>
            <w:pPr>
              <w:rPr>
                <w:sz w:val="2"/>
                <w:szCs w:val="2"/>
              </w:rPr>
            </w:pPr>
          </w:p>
        </w:tc>
        <w:tc>
          <w:tcPr>
            <w:tcW w:w="789" w:type="dxa"/>
            <w:vMerge w:val="continue"/>
            <w:tcBorders>
              <w:top w:val="nil"/>
            </w:tcBorders>
          </w:tcPr>
          <w:p>
            <w:pPr>
              <w:rPr>
                <w:sz w:val="2"/>
                <w:szCs w:val="2"/>
              </w:rPr>
            </w:pPr>
          </w:p>
        </w:tc>
        <w:tc>
          <w:tcPr>
            <w:tcW w:w="1530" w:type="dxa"/>
          </w:tcPr>
          <w:p>
            <w:pPr>
              <w:pStyle w:val="29"/>
              <w:spacing w:before="76"/>
              <w:ind w:left="380" w:right="260"/>
              <w:jc w:val="center"/>
              <w:rPr>
                <w:sz w:val="21"/>
              </w:rPr>
            </w:pPr>
            <w:r>
              <w:rPr>
                <w:sz w:val="21"/>
              </w:rPr>
              <w:t xml:space="preserve">证书名称 </w:t>
            </w:r>
          </w:p>
        </w:tc>
        <w:tc>
          <w:tcPr>
            <w:tcW w:w="981" w:type="dxa"/>
          </w:tcPr>
          <w:p>
            <w:pPr>
              <w:pStyle w:val="29"/>
              <w:spacing w:before="76"/>
              <w:ind w:left="317" w:right="194"/>
              <w:jc w:val="center"/>
              <w:rPr>
                <w:sz w:val="21"/>
              </w:rPr>
            </w:pPr>
            <w:r>
              <w:rPr>
                <w:sz w:val="21"/>
              </w:rPr>
              <w:t xml:space="preserve">级别 </w:t>
            </w:r>
          </w:p>
        </w:tc>
        <w:tc>
          <w:tcPr>
            <w:tcW w:w="923" w:type="dxa"/>
          </w:tcPr>
          <w:p>
            <w:pPr>
              <w:pStyle w:val="29"/>
              <w:spacing w:before="76"/>
              <w:ind w:left="286" w:right="166"/>
              <w:jc w:val="center"/>
              <w:rPr>
                <w:sz w:val="21"/>
              </w:rPr>
            </w:pPr>
            <w:r>
              <w:rPr>
                <w:sz w:val="21"/>
              </w:rPr>
              <w:t xml:space="preserve">证号 </w:t>
            </w:r>
          </w:p>
        </w:tc>
        <w:tc>
          <w:tcPr>
            <w:tcW w:w="1029" w:type="dxa"/>
          </w:tcPr>
          <w:p>
            <w:pPr>
              <w:pStyle w:val="29"/>
              <w:spacing w:before="76"/>
              <w:ind w:left="129"/>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08" w:type="dxa"/>
          </w:tcPr>
          <w:p>
            <w:pPr>
              <w:pStyle w:val="29"/>
              <w:spacing w:before="61"/>
              <w:ind w:right="237"/>
              <w:jc w:val="right"/>
              <w:rPr>
                <w:sz w:val="21"/>
              </w:rPr>
            </w:pPr>
            <w:r>
              <w:rPr>
                <w:w w:val="100"/>
                <w:sz w:val="21"/>
              </w:rPr>
              <w:t xml:space="preserve"> </w:t>
            </w:r>
          </w:p>
        </w:tc>
        <w:tc>
          <w:tcPr>
            <w:tcW w:w="1407" w:type="dxa"/>
          </w:tcPr>
          <w:p>
            <w:pPr>
              <w:pStyle w:val="29"/>
              <w:spacing w:before="61"/>
              <w:ind w:right="586"/>
              <w:jc w:val="right"/>
              <w:rPr>
                <w:sz w:val="21"/>
              </w:rPr>
            </w:pPr>
            <w:r>
              <w:rPr>
                <w:w w:val="100"/>
                <w:sz w:val="21"/>
              </w:rPr>
              <w:t xml:space="preserve"> </w:t>
            </w:r>
          </w:p>
        </w:tc>
        <w:tc>
          <w:tcPr>
            <w:tcW w:w="902" w:type="dxa"/>
          </w:tcPr>
          <w:p>
            <w:pPr>
              <w:pStyle w:val="29"/>
              <w:spacing w:before="61"/>
              <w:ind w:right="333"/>
              <w:jc w:val="right"/>
              <w:rPr>
                <w:sz w:val="21"/>
              </w:rPr>
            </w:pPr>
            <w:r>
              <w:rPr>
                <w:w w:val="100"/>
                <w:sz w:val="21"/>
              </w:rPr>
              <w:t xml:space="preserve"> </w:t>
            </w:r>
          </w:p>
        </w:tc>
        <w:tc>
          <w:tcPr>
            <w:tcW w:w="772" w:type="dxa"/>
          </w:tcPr>
          <w:p>
            <w:pPr>
              <w:pStyle w:val="29"/>
              <w:spacing w:before="61"/>
              <w:ind w:right="267"/>
              <w:jc w:val="right"/>
              <w:rPr>
                <w:sz w:val="21"/>
              </w:rPr>
            </w:pPr>
            <w:r>
              <w:rPr>
                <w:w w:val="100"/>
                <w:sz w:val="21"/>
              </w:rPr>
              <w:t xml:space="preserve"> </w:t>
            </w:r>
          </w:p>
        </w:tc>
        <w:tc>
          <w:tcPr>
            <w:tcW w:w="789" w:type="dxa"/>
          </w:tcPr>
          <w:p>
            <w:pPr>
              <w:pStyle w:val="29"/>
              <w:spacing w:before="61"/>
              <w:ind w:right="276"/>
              <w:jc w:val="right"/>
              <w:rPr>
                <w:sz w:val="21"/>
              </w:rPr>
            </w:pPr>
            <w:r>
              <w:rPr>
                <w:w w:val="100"/>
                <w:sz w:val="21"/>
              </w:rPr>
              <w:t xml:space="preserve"> </w:t>
            </w:r>
          </w:p>
        </w:tc>
        <w:tc>
          <w:tcPr>
            <w:tcW w:w="1530" w:type="dxa"/>
          </w:tcPr>
          <w:p>
            <w:pPr>
              <w:pStyle w:val="29"/>
              <w:spacing w:before="61"/>
              <w:ind w:left="120"/>
              <w:jc w:val="center"/>
              <w:rPr>
                <w:sz w:val="21"/>
              </w:rPr>
            </w:pPr>
            <w:r>
              <w:rPr>
                <w:w w:val="100"/>
                <w:sz w:val="21"/>
              </w:rPr>
              <w:t xml:space="preserve"> </w:t>
            </w:r>
          </w:p>
        </w:tc>
        <w:tc>
          <w:tcPr>
            <w:tcW w:w="981" w:type="dxa"/>
          </w:tcPr>
          <w:p>
            <w:pPr>
              <w:pStyle w:val="29"/>
              <w:spacing w:before="61"/>
              <w:ind w:left="124"/>
              <w:jc w:val="center"/>
              <w:rPr>
                <w:sz w:val="21"/>
              </w:rPr>
            </w:pPr>
            <w:r>
              <w:rPr>
                <w:w w:val="100"/>
                <w:sz w:val="21"/>
              </w:rPr>
              <w:t xml:space="preserve"> </w:t>
            </w:r>
          </w:p>
        </w:tc>
        <w:tc>
          <w:tcPr>
            <w:tcW w:w="923" w:type="dxa"/>
          </w:tcPr>
          <w:p>
            <w:pPr>
              <w:pStyle w:val="29"/>
              <w:spacing w:before="61"/>
              <w:ind w:left="122"/>
              <w:jc w:val="center"/>
              <w:rPr>
                <w:sz w:val="21"/>
              </w:rPr>
            </w:pPr>
            <w:r>
              <w:rPr>
                <w:w w:val="100"/>
                <w:sz w:val="21"/>
              </w:rPr>
              <w:t xml:space="preserve"> </w:t>
            </w:r>
          </w:p>
        </w:tc>
        <w:tc>
          <w:tcPr>
            <w:tcW w:w="1029" w:type="dxa"/>
          </w:tcPr>
          <w:p>
            <w:pPr>
              <w:pStyle w:val="29"/>
              <w:spacing w:before="61"/>
              <w:ind w:left="129"/>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708" w:type="dxa"/>
          </w:tcPr>
          <w:p>
            <w:pPr>
              <w:pStyle w:val="29"/>
              <w:spacing w:before="73"/>
              <w:ind w:right="237"/>
              <w:jc w:val="right"/>
              <w:rPr>
                <w:sz w:val="21"/>
              </w:rPr>
            </w:pPr>
            <w:r>
              <w:rPr>
                <w:w w:val="100"/>
                <w:sz w:val="21"/>
              </w:rPr>
              <w:t xml:space="preserve"> </w:t>
            </w:r>
          </w:p>
        </w:tc>
        <w:tc>
          <w:tcPr>
            <w:tcW w:w="1407" w:type="dxa"/>
          </w:tcPr>
          <w:p>
            <w:pPr>
              <w:pStyle w:val="29"/>
              <w:spacing w:before="73"/>
              <w:ind w:right="586"/>
              <w:jc w:val="right"/>
              <w:rPr>
                <w:sz w:val="21"/>
              </w:rPr>
            </w:pPr>
            <w:r>
              <w:rPr>
                <w:w w:val="100"/>
                <w:sz w:val="21"/>
              </w:rPr>
              <w:t xml:space="preserve"> </w:t>
            </w:r>
          </w:p>
        </w:tc>
        <w:tc>
          <w:tcPr>
            <w:tcW w:w="902" w:type="dxa"/>
          </w:tcPr>
          <w:p>
            <w:pPr>
              <w:pStyle w:val="29"/>
              <w:spacing w:before="73"/>
              <w:ind w:right="333"/>
              <w:jc w:val="right"/>
              <w:rPr>
                <w:sz w:val="21"/>
              </w:rPr>
            </w:pPr>
            <w:r>
              <w:rPr>
                <w:w w:val="100"/>
                <w:sz w:val="21"/>
              </w:rPr>
              <w:t xml:space="preserve"> </w:t>
            </w:r>
          </w:p>
        </w:tc>
        <w:tc>
          <w:tcPr>
            <w:tcW w:w="772" w:type="dxa"/>
          </w:tcPr>
          <w:p>
            <w:pPr>
              <w:pStyle w:val="29"/>
              <w:spacing w:before="73"/>
              <w:ind w:right="267"/>
              <w:jc w:val="right"/>
              <w:rPr>
                <w:sz w:val="21"/>
              </w:rPr>
            </w:pPr>
            <w:r>
              <w:rPr>
                <w:w w:val="100"/>
                <w:sz w:val="21"/>
              </w:rPr>
              <w:t xml:space="preserve"> </w:t>
            </w:r>
          </w:p>
        </w:tc>
        <w:tc>
          <w:tcPr>
            <w:tcW w:w="789" w:type="dxa"/>
          </w:tcPr>
          <w:p>
            <w:pPr>
              <w:pStyle w:val="29"/>
              <w:spacing w:before="73"/>
              <w:ind w:right="276"/>
              <w:jc w:val="right"/>
              <w:rPr>
                <w:sz w:val="21"/>
              </w:rPr>
            </w:pPr>
            <w:r>
              <w:rPr>
                <w:w w:val="100"/>
                <w:sz w:val="21"/>
              </w:rPr>
              <w:t xml:space="preserve"> </w:t>
            </w:r>
          </w:p>
        </w:tc>
        <w:tc>
          <w:tcPr>
            <w:tcW w:w="1530" w:type="dxa"/>
          </w:tcPr>
          <w:p>
            <w:pPr>
              <w:pStyle w:val="29"/>
              <w:spacing w:before="73"/>
              <w:ind w:left="120"/>
              <w:jc w:val="center"/>
              <w:rPr>
                <w:sz w:val="21"/>
              </w:rPr>
            </w:pPr>
            <w:r>
              <w:rPr>
                <w:w w:val="100"/>
                <w:sz w:val="21"/>
              </w:rPr>
              <w:t xml:space="preserve"> </w:t>
            </w:r>
          </w:p>
        </w:tc>
        <w:tc>
          <w:tcPr>
            <w:tcW w:w="981" w:type="dxa"/>
          </w:tcPr>
          <w:p>
            <w:pPr>
              <w:pStyle w:val="29"/>
              <w:spacing w:before="73"/>
              <w:ind w:left="124"/>
              <w:jc w:val="center"/>
              <w:rPr>
                <w:sz w:val="21"/>
              </w:rPr>
            </w:pPr>
            <w:r>
              <w:rPr>
                <w:w w:val="100"/>
                <w:sz w:val="21"/>
              </w:rPr>
              <w:t xml:space="preserve"> </w:t>
            </w:r>
          </w:p>
        </w:tc>
        <w:tc>
          <w:tcPr>
            <w:tcW w:w="923" w:type="dxa"/>
          </w:tcPr>
          <w:p>
            <w:pPr>
              <w:pStyle w:val="29"/>
              <w:spacing w:before="73"/>
              <w:ind w:left="122"/>
              <w:jc w:val="center"/>
              <w:rPr>
                <w:sz w:val="21"/>
              </w:rPr>
            </w:pPr>
            <w:r>
              <w:rPr>
                <w:w w:val="100"/>
                <w:sz w:val="21"/>
              </w:rPr>
              <w:t xml:space="preserve"> </w:t>
            </w:r>
          </w:p>
        </w:tc>
        <w:tc>
          <w:tcPr>
            <w:tcW w:w="1029" w:type="dxa"/>
          </w:tcPr>
          <w:p>
            <w:pPr>
              <w:pStyle w:val="29"/>
              <w:spacing w:before="73"/>
              <w:ind w:left="129"/>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708" w:type="dxa"/>
          </w:tcPr>
          <w:p>
            <w:pPr>
              <w:pStyle w:val="29"/>
              <w:spacing w:before="61"/>
              <w:ind w:right="237"/>
              <w:jc w:val="right"/>
              <w:rPr>
                <w:sz w:val="21"/>
              </w:rPr>
            </w:pPr>
            <w:r>
              <w:rPr>
                <w:w w:val="100"/>
                <w:sz w:val="21"/>
              </w:rPr>
              <w:t xml:space="preserve"> </w:t>
            </w:r>
          </w:p>
        </w:tc>
        <w:tc>
          <w:tcPr>
            <w:tcW w:w="1407" w:type="dxa"/>
          </w:tcPr>
          <w:p>
            <w:pPr>
              <w:pStyle w:val="29"/>
              <w:spacing w:before="61"/>
              <w:ind w:right="586"/>
              <w:jc w:val="right"/>
              <w:rPr>
                <w:sz w:val="21"/>
              </w:rPr>
            </w:pPr>
            <w:r>
              <w:rPr>
                <w:w w:val="100"/>
                <w:sz w:val="21"/>
              </w:rPr>
              <w:t xml:space="preserve"> </w:t>
            </w:r>
          </w:p>
        </w:tc>
        <w:tc>
          <w:tcPr>
            <w:tcW w:w="902" w:type="dxa"/>
          </w:tcPr>
          <w:p>
            <w:pPr>
              <w:pStyle w:val="29"/>
              <w:spacing w:before="61"/>
              <w:ind w:right="333"/>
              <w:jc w:val="right"/>
              <w:rPr>
                <w:sz w:val="21"/>
              </w:rPr>
            </w:pPr>
            <w:r>
              <w:rPr>
                <w:w w:val="100"/>
                <w:sz w:val="21"/>
              </w:rPr>
              <w:t xml:space="preserve"> </w:t>
            </w:r>
          </w:p>
        </w:tc>
        <w:tc>
          <w:tcPr>
            <w:tcW w:w="772" w:type="dxa"/>
          </w:tcPr>
          <w:p>
            <w:pPr>
              <w:pStyle w:val="29"/>
              <w:spacing w:before="61"/>
              <w:ind w:right="267"/>
              <w:jc w:val="right"/>
              <w:rPr>
                <w:sz w:val="21"/>
              </w:rPr>
            </w:pPr>
            <w:r>
              <w:rPr>
                <w:w w:val="100"/>
                <w:sz w:val="21"/>
              </w:rPr>
              <w:t xml:space="preserve"> </w:t>
            </w:r>
          </w:p>
        </w:tc>
        <w:tc>
          <w:tcPr>
            <w:tcW w:w="789" w:type="dxa"/>
          </w:tcPr>
          <w:p>
            <w:pPr>
              <w:pStyle w:val="29"/>
              <w:spacing w:before="61"/>
              <w:ind w:right="276"/>
              <w:jc w:val="right"/>
              <w:rPr>
                <w:sz w:val="21"/>
              </w:rPr>
            </w:pPr>
            <w:r>
              <w:rPr>
                <w:w w:val="100"/>
                <w:sz w:val="21"/>
              </w:rPr>
              <w:t xml:space="preserve"> </w:t>
            </w:r>
          </w:p>
        </w:tc>
        <w:tc>
          <w:tcPr>
            <w:tcW w:w="1530" w:type="dxa"/>
          </w:tcPr>
          <w:p>
            <w:pPr>
              <w:pStyle w:val="29"/>
              <w:spacing w:before="61"/>
              <w:ind w:left="120"/>
              <w:jc w:val="center"/>
              <w:rPr>
                <w:sz w:val="21"/>
              </w:rPr>
            </w:pPr>
            <w:r>
              <w:rPr>
                <w:w w:val="100"/>
                <w:sz w:val="21"/>
              </w:rPr>
              <w:t xml:space="preserve"> </w:t>
            </w:r>
          </w:p>
        </w:tc>
        <w:tc>
          <w:tcPr>
            <w:tcW w:w="981" w:type="dxa"/>
          </w:tcPr>
          <w:p>
            <w:pPr>
              <w:pStyle w:val="29"/>
              <w:spacing w:before="61"/>
              <w:ind w:left="124"/>
              <w:jc w:val="center"/>
              <w:rPr>
                <w:sz w:val="21"/>
              </w:rPr>
            </w:pPr>
            <w:r>
              <w:rPr>
                <w:w w:val="100"/>
                <w:sz w:val="21"/>
              </w:rPr>
              <w:t xml:space="preserve"> </w:t>
            </w:r>
          </w:p>
        </w:tc>
        <w:tc>
          <w:tcPr>
            <w:tcW w:w="923" w:type="dxa"/>
          </w:tcPr>
          <w:p>
            <w:pPr>
              <w:pStyle w:val="29"/>
              <w:spacing w:before="61"/>
              <w:ind w:left="122"/>
              <w:jc w:val="center"/>
              <w:rPr>
                <w:sz w:val="21"/>
              </w:rPr>
            </w:pPr>
            <w:r>
              <w:rPr>
                <w:w w:val="100"/>
                <w:sz w:val="21"/>
              </w:rPr>
              <w:t xml:space="preserve"> </w:t>
            </w:r>
          </w:p>
        </w:tc>
        <w:tc>
          <w:tcPr>
            <w:tcW w:w="1029" w:type="dxa"/>
          </w:tcPr>
          <w:p>
            <w:pPr>
              <w:pStyle w:val="29"/>
              <w:spacing w:before="61"/>
              <w:ind w:left="129"/>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08" w:type="dxa"/>
          </w:tcPr>
          <w:p>
            <w:pPr>
              <w:pStyle w:val="29"/>
              <w:spacing w:before="75"/>
              <w:ind w:right="237"/>
              <w:jc w:val="right"/>
              <w:rPr>
                <w:sz w:val="21"/>
              </w:rPr>
            </w:pPr>
            <w:r>
              <w:rPr>
                <w:w w:val="100"/>
                <w:sz w:val="21"/>
              </w:rPr>
              <w:t xml:space="preserve"> </w:t>
            </w:r>
          </w:p>
        </w:tc>
        <w:tc>
          <w:tcPr>
            <w:tcW w:w="1407" w:type="dxa"/>
          </w:tcPr>
          <w:p>
            <w:pPr>
              <w:pStyle w:val="29"/>
              <w:spacing w:before="75"/>
              <w:ind w:right="586"/>
              <w:jc w:val="right"/>
              <w:rPr>
                <w:sz w:val="21"/>
              </w:rPr>
            </w:pPr>
            <w:r>
              <w:rPr>
                <w:w w:val="100"/>
                <w:sz w:val="21"/>
              </w:rPr>
              <w:t xml:space="preserve"> </w:t>
            </w:r>
          </w:p>
        </w:tc>
        <w:tc>
          <w:tcPr>
            <w:tcW w:w="902" w:type="dxa"/>
          </w:tcPr>
          <w:p>
            <w:pPr>
              <w:pStyle w:val="29"/>
              <w:spacing w:before="75"/>
              <w:ind w:right="333"/>
              <w:jc w:val="right"/>
              <w:rPr>
                <w:sz w:val="21"/>
              </w:rPr>
            </w:pPr>
            <w:r>
              <w:rPr>
                <w:w w:val="100"/>
                <w:sz w:val="21"/>
              </w:rPr>
              <w:t xml:space="preserve"> </w:t>
            </w:r>
          </w:p>
        </w:tc>
        <w:tc>
          <w:tcPr>
            <w:tcW w:w="772" w:type="dxa"/>
          </w:tcPr>
          <w:p>
            <w:pPr>
              <w:pStyle w:val="29"/>
              <w:spacing w:before="75"/>
              <w:ind w:right="267"/>
              <w:jc w:val="right"/>
              <w:rPr>
                <w:sz w:val="21"/>
              </w:rPr>
            </w:pPr>
            <w:r>
              <w:rPr>
                <w:w w:val="100"/>
                <w:sz w:val="21"/>
              </w:rPr>
              <w:t xml:space="preserve"> </w:t>
            </w:r>
          </w:p>
        </w:tc>
        <w:tc>
          <w:tcPr>
            <w:tcW w:w="789" w:type="dxa"/>
          </w:tcPr>
          <w:p>
            <w:pPr>
              <w:pStyle w:val="29"/>
              <w:spacing w:before="75"/>
              <w:ind w:right="276"/>
              <w:jc w:val="right"/>
              <w:rPr>
                <w:sz w:val="21"/>
              </w:rPr>
            </w:pPr>
            <w:r>
              <w:rPr>
                <w:w w:val="100"/>
                <w:sz w:val="21"/>
              </w:rPr>
              <w:t xml:space="preserve"> </w:t>
            </w:r>
          </w:p>
        </w:tc>
        <w:tc>
          <w:tcPr>
            <w:tcW w:w="1530" w:type="dxa"/>
          </w:tcPr>
          <w:p>
            <w:pPr>
              <w:pStyle w:val="29"/>
              <w:spacing w:before="75"/>
              <w:ind w:left="120"/>
              <w:jc w:val="center"/>
              <w:rPr>
                <w:sz w:val="21"/>
              </w:rPr>
            </w:pPr>
            <w:r>
              <w:rPr>
                <w:w w:val="100"/>
                <w:sz w:val="21"/>
              </w:rPr>
              <w:t xml:space="preserve"> </w:t>
            </w:r>
          </w:p>
        </w:tc>
        <w:tc>
          <w:tcPr>
            <w:tcW w:w="981" w:type="dxa"/>
          </w:tcPr>
          <w:p>
            <w:pPr>
              <w:pStyle w:val="29"/>
              <w:spacing w:before="75"/>
              <w:ind w:left="124"/>
              <w:jc w:val="center"/>
              <w:rPr>
                <w:sz w:val="21"/>
              </w:rPr>
            </w:pPr>
            <w:r>
              <w:rPr>
                <w:w w:val="100"/>
                <w:sz w:val="21"/>
              </w:rPr>
              <w:t xml:space="preserve"> </w:t>
            </w:r>
          </w:p>
        </w:tc>
        <w:tc>
          <w:tcPr>
            <w:tcW w:w="923" w:type="dxa"/>
          </w:tcPr>
          <w:p>
            <w:pPr>
              <w:pStyle w:val="29"/>
              <w:spacing w:before="75"/>
              <w:ind w:left="122"/>
              <w:jc w:val="center"/>
              <w:rPr>
                <w:sz w:val="21"/>
              </w:rPr>
            </w:pPr>
            <w:r>
              <w:rPr>
                <w:w w:val="100"/>
                <w:sz w:val="21"/>
              </w:rPr>
              <w:t xml:space="preserve"> </w:t>
            </w:r>
          </w:p>
        </w:tc>
        <w:tc>
          <w:tcPr>
            <w:tcW w:w="1029" w:type="dxa"/>
          </w:tcPr>
          <w:p>
            <w:pPr>
              <w:pStyle w:val="29"/>
              <w:spacing w:before="75"/>
              <w:ind w:left="129"/>
              <w:jc w:val="center"/>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708" w:type="dxa"/>
          </w:tcPr>
          <w:p>
            <w:pPr>
              <w:pStyle w:val="29"/>
              <w:spacing w:before="61"/>
              <w:ind w:right="237"/>
              <w:jc w:val="right"/>
              <w:rPr>
                <w:sz w:val="21"/>
              </w:rPr>
            </w:pPr>
            <w:r>
              <w:rPr>
                <w:w w:val="100"/>
                <w:sz w:val="21"/>
              </w:rPr>
              <w:t xml:space="preserve"> </w:t>
            </w:r>
          </w:p>
        </w:tc>
        <w:tc>
          <w:tcPr>
            <w:tcW w:w="1407" w:type="dxa"/>
          </w:tcPr>
          <w:p>
            <w:pPr>
              <w:pStyle w:val="29"/>
              <w:spacing w:before="61"/>
              <w:ind w:right="586"/>
              <w:jc w:val="right"/>
              <w:rPr>
                <w:sz w:val="21"/>
              </w:rPr>
            </w:pPr>
            <w:r>
              <w:rPr>
                <w:w w:val="100"/>
                <w:sz w:val="21"/>
              </w:rPr>
              <w:t xml:space="preserve"> </w:t>
            </w:r>
          </w:p>
        </w:tc>
        <w:tc>
          <w:tcPr>
            <w:tcW w:w="902" w:type="dxa"/>
          </w:tcPr>
          <w:p>
            <w:pPr>
              <w:pStyle w:val="29"/>
              <w:spacing w:before="61"/>
              <w:ind w:right="333"/>
              <w:jc w:val="right"/>
              <w:rPr>
                <w:sz w:val="21"/>
              </w:rPr>
            </w:pPr>
            <w:r>
              <w:rPr>
                <w:w w:val="100"/>
                <w:sz w:val="21"/>
              </w:rPr>
              <w:t xml:space="preserve"> </w:t>
            </w:r>
          </w:p>
        </w:tc>
        <w:tc>
          <w:tcPr>
            <w:tcW w:w="772" w:type="dxa"/>
          </w:tcPr>
          <w:p>
            <w:pPr>
              <w:pStyle w:val="29"/>
              <w:spacing w:before="61"/>
              <w:ind w:right="267"/>
              <w:jc w:val="right"/>
              <w:rPr>
                <w:sz w:val="21"/>
              </w:rPr>
            </w:pPr>
            <w:r>
              <w:rPr>
                <w:w w:val="100"/>
                <w:sz w:val="21"/>
              </w:rPr>
              <w:t xml:space="preserve"> </w:t>
            </w:r>
          </w:p>
        </w:tc>
        <w:tc>
          <w:tcPr>
            <w:tcW w:w="789" w:type="dxa"/>
          </w:tcPr>
          <w:p>
            <w:pPr>
              <w:pStyle w:val="29"/>
              <w:spacing w:before="61"/>
              <w:ind w:right="276"/>
              <w:jc w:val="right"/>
              <w:rPr>
                <w:sz w:val="21"/>
              </w:rPr>
            </w:pPr>
            <w:r>
              <w:rPr>
                <w:w w:val="100"/>
                <w:sz w:val="21"/>
              </w:rPr>
              <w:t xml:space="preserve"> </w:t>
            </w:r>
          </w:p>
        </w:tc>
        <w:tc>
          <w:tcPr>
            <w:tcW w:w="1530" w:type="dxa"/>
          </w:tcPr>
          <w:p>
            <w:pPr>
              <w:pStyle w:val="29"/>
              <w:spacing w:before="61"/>
              <w:ind w:left="120"/>
              <w:jc w:val="center"/>
              <w:rPr>
                <w:sz w:val="21"/>
              </w:rPr>
            </w:pPr>
            <w:r>
              <w:rPr>
                <w:w w:val="100"/>
                <w:sz w:val="21"/>
              </w:rPr>
              <w:t xml:space="preserve"> </w:t>
            </w:r>
          </w:p>
        </w:tc>
        <w:tc>
          <w:tcPr>
            <w:tcW w:w="981" w:type="dxa"/>
          </w:tcPr>
          <w:p>
            <w:pPr>
              <w:pStyle w:val="29"/>
              <w:spacing w:before="61"/>
              <w:ind w:left="124"/>
              <w:jc w:val="center"/>
              <w:rPr>
                <w:sz w:val="21"/>
              </w:rPr>
            </w:pPr>
            <w:r>
              <w:rPr>
                <w:w w:val="100"/>
                <w:sz w:val="21"/>
              </w:rPr>
              <w:t xml:space="preserve"> </w:t>
            </w:r>
          </w:p>
        </w:tc>
        <w:tc>
          <w:tcPr>
            <w:tcW w:w="923" w:type="dxa"/>
          </w:tcPr>
          <w:p>
            <w:pPr>
              <w:pStyle w:val="29"/>
              <w:spacing w:before="61"/>
              <w:ind w:left="122"/>
              <w:jc w:val="center"/>
              <w:rPr>
                <w:sz w:val="21"/>
              </w:rPr>
            </w:pPr>
            <w:r>
              <w:rPr>
                <w:w w:val="100"/>
                <w:sz w:val="21"/>
              </w:rPr>
              <w:t xml:space="preserve"> </w:t>
            </w:r>
          </w:p>
        </w:tc>
        <w:tc>
          <w:tcPr>
            <w:tcW w:w="1029" w:type="dxa"/>
          </w:tcPr>
          <w:p>
            <w:pPr>
              <w:pStyle w:val="29"/>
              <w:spacing w:before="61"/>
              <w:ind w:left="129"/>
              <w:jc w:val="center"/>
              <w:rPr>
                <w:sz w:val="21"/>
              </w:rPr>
            </w:pPr>
            <w:r>
              <w:rPr>
                <w:w w:val="100"/>
                <w:sz w:val="21"/>
              </w:rPr>
              <w:t xml:space="preserve"> </w:t>
            </w:r>
          </w:p>
        </w:tc>
      </w:tr>
    </w:tbl>
    <w:p>
      <w:pPr>
        <w:pStyle w:val="7"/>
        <w:outlineLvl w:val="9"/>
      </w:pPr>
      <w:r>
        <w:t xml:space="preserve"> </w:t>
      </w:r>
    </w:p>
    <w:p>
      <w:pPr>
        <w:spacing w:after="0"/>
        <w:sectPr>
          <w:pgSz w:w="12240" w:h="15840"/>
          <w:pgMar w:top="1500" w:right="0" w:bottom="920" w:left="1240" w:header="0" w:footer="727" w:gutter="0"/>
          <w:cols w:space="720" w:num="1"/>
        </w:sectPr>
      </w:pPr>
    </w:p>
    <w:p>
      <w:pPr>
        <w:pStyle w:val="8"/>
        <w:spacing w:before="61"/>
        <w:ind w:left="3474"/>
        <w:outlineLvl w:val="1"/>
      </w:pPr>
      <w:bookmarkStart w:id="37" w:name="_Toc9616"/>
      <w:r>
        <w:t>（二）主要人员简历表</w:t>
      </w:r>
      <w:bookmarkEnd w:id="37"/>
      <w:r>
        <w:rPr>
          <w:w w:val="99"/>
        </w:rPr>
        <w:t xml:space="preserve"> </w:t>
      </w:r>
    </w:p>
    <w:p>
      <w:pPr>
        <w:pStyle w:val="11"/>
        <w:rPr>
          <w:b/>
          <w:sz w:val="20"/>
        </w:rPr>
      </w:pPr>
    </w:p>
    <w:p>
      <w:pPr>
        <w:pStyle w:val="11"/>
        <w:spacing w:before="3"/>
        <w:rPr>
          <w:b/>
          <w:sz w:val="12"/>
        </w:rPr>
      </w:pPr>
    </w:p>
    <w:tbl>
      <w:tblPr>
        <w:tblStyle w:val="15"/>
        <w:tblW w:w="0" w:type="auto"/>
        <w:tblInd w:w="2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0"/>
        <w:gridCol w:w="1208"/>
        <w:gridCol w:w="975"/>
        <w:gridCol w:w="826"/>
        <w:gridCol w:w="3633"/>
        <w:gridCol w:w="1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1090" w:type="dxa"/>
          </w:tcPr>
          <w:p>
            <w:pPr>
              <w:pStyle w:val="29"/>
              <w:rPr>
                <w:b/>
                <w:sz w:val="21"/>
              </w:rPr>
            </w:pPr>
          </w:p>
          <w:p>
            <w:pPr>
              <w:pStyle w:val="29"/>
              <w:tabs>
                <w:tab w:val="left" w:pos="530"/>
              </w:tabs>
              <w:ind w:left="107"/>
              <w:rPr>
                <w:sz w:val="21"/>
              </w:rPr>
            </w:pPr>
            <w:r>
              <w:rPr>
                <w:sz w:val="21"/>
              </w:rPr>
              <w:t>姓</w:t>
            </w:r>
            <w:r>
              <w:rPr>
                <w:sz w:val="21"/>
              </w:rPr>
              <w:tab/>
            </w:r>
            <w:r>
              <w:rPr>
                <w:sz w:val="21"/>
              </w:rPr>
              <w:t>名</w:t>
            </w:r>
          </w:p>
        </w:tc>
        <w:tc>
          <w:tcPr>
            <w:tcW w:w="1208" w:type="dxa"/>
          </w:tcPr>
          <w:p>
            <w:pPr>
              <w:pStyle w:val="29"/>
              <w:rPr>
                <w:rFonts w:ascii="Times New Roman"/>
                <w:sz w:val="20"/>
              </w:rPr>
            </w:pPr>
          </w:p>
        </w:tc>
        <w:tc>
          <w:tcPr>
            <w:tcW w:w="975" w:type="dxa"/>
          </w:tcPr>
          <w:p>
            <w:pPr>
              <w:pStyle w:val="29"/>
              <w:rPr>
                <w:b/>
                <w:sz w:val="21"/>
              </w:rPr>
            </w:pPr>
          </w:p>
          <w:p>
            <w:pPr>
              <w:pStyle w:val="29"/>
              <w:ind w:left="107"/>
              <w:rPr>
                <w:sz w:val="21"/>
              </w:rPr>
            </w:pPr>
            <w:r>
              <w:rPr>
                <w:sz w:val="21"/>
              </w:rPr>
              <w:t>年龄</w:t>
            </w:r>
          </w:p>
        </w:tc>
        <w:tc>
          <w:tcPr>
            <w:tcW w:w="826" w:type="dxa"/>
          </w:tcPr>
          <w:p>
            <w:pPr>
              <w:pStyle w:val="29"/>
              <w:rPr>
                <w:rFonts w:ascii="Times New Roman"/>
                <w:sz w:val="20"/>
              </w:rPr>
            </w:pPr>
          </w:p>
        </w:tc>
        <w:tc>
          <w:tcPr>
            <w:tcW w:w="3633" w:type="dxa"/>
          </w:tcPr>
          <w:p>
            <w:pPr>
              <w:pStyle w:val="29"/>
              <w:rPr>
                <w:b/>
                <w:sz w:val="21"/>
              </w:rPr>
            </w:pPr>
          </w:p>
          <w:p>
            <w:pPr>
              <w:pStyle w:val="29"/>
              <w:ind w:left="106"/>
              <w:rPr>
                <w:sz w:val="21"/>
              </w:rPr>
            </w:pPr>
            <w:r>
              <w:rPr>
                <w:sz w:val="21"/>
              </w:rPr>
              <w:t>执业资格证书（或上岗证书）名称</w:t>
            </w:r>
          </w:p>
        </w:tc>
        <w:tc>
          <w:tcPr>
            <w:tcW w:w="1561" w:type="dxa"/>
          </w:tcPr>
          <w:p>
            <w:pPr>
              <w:pStyle w:val="2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1090" w:type="dxa"/>
          </w:tcPr>
          <w:p>
            <w:pPr>
              <w:pStyle w:val="29"/>
              <w:spacing w:before="11"/>
              <w:rPr>
                <w:b/>
                <w:sz w:val="20"/>
              </w:rPr>
            </w:pPr>
          </w:p>
          <w:p>
            <w:pPr>
              <w:pStyle w:val="29"/>
              <w:tabs>
                <w:tab w:val="left" w:pos="530"/>
              </w:tabs>
              <w:ind w:left="107"/>
              <w:rPr>
                <w:sz w:val="21"/>
              </w:rPr>
            </w:pPr>
            <w:r>
              <w:rPr>
                <w:sz w:val="21"/>
              </w:rPr>
              <w:t>职</w:t>
            </w:r>
            <w:r>
              <w:rPr>
                <w:sz w:val="21"/>
              </w:rPr>
              <w:tab/>
            </w:r>
            <w:r>
              <w:rPr>
                <w:sz w:val="21"/>
              </w:rPr>
              <w:t>称</w:t>
            </w:r>
          </w:p>
        </w:tc>
        <w:tc>
          <w:tcPr>
            <w:tcW w:w="1208" w:type="dxa"/>
          </w:tcPr>
          <w:p>
            <w:pPr>
              <w:pStyle w:val="29"/>
              <w:rPr>
                <w:rFonts w:ascii="Times New Roman"/>
                <w:sz w:val="20"/>
              </w:rPr>
            </w:pPr>
          </w:p>
        </w:tc>
        <w:tc>
          <w:tcPr>
            <w:tcW w:w="975" w:type="dxa"/>
          </w:tcPr>
          <w:p>
            <w:pPr>
              <w:pStyle w:val="29"/>
              <w:spacing w:before="11"/>
              <w:rPr>
                <w:b/>
                <w:sz w:val="20"/>
              </w:rPr>
            </w:pPr>
          </w:p>
          <w:p>
            <w:pPr>
              <w:pStyle w:val="29"/>
              <w:ind w:left="107"/>
              <w:rPr>
                <w:sz w:val="21"/>
              </w:rPr>
            </w:pPr>
            <w:r>
              <w:rPr>
                <w:sz w:val="21"/>
              </w:rPr>
              <w:t>学历</w:t>
            </w:r>
          </w:p>
        </w:tc>
        <w:tc>
          <w:tcPr>
            <w:tcW w:w="826" w:type="dxa"/>
          </w:tcPr>
          <w:p>
            <w:pPr>
              <w:pStyle w:val="29"/>
              <w:rPr>
                <w:rFonts w:ascii="Times New Roman"/>
                <w:sz w:val="20"/>
              </w:rPr>
            </w:pPr>
          </w:p>
        </w:tc>
        <w:tc>
          <w:tcPr>
            <w:tcW w:w="3633" w:type="dxa"/>
          </w:tcPr>
          <w:p>
            <w:pPr>
              <w:pStyle w:val="29"/>
              <w:spacing w:before="11"/>
              <w:rPr>
                <w:b/>
                <w:sz w:val="20"/>
              </w:rPr>
            </w:pPr>
          </w:p>
          <w:p>
            <w:pPr>
              <w:pStyle w:val="29"/>
              <w:ind w:left="106"/>
              <w:rPr>
                <w:sz w:val="21"/>
              </w:rPr>
            </w:pPr>
            <w:r>
              <w:rPr>
                <w:sz w:val="21"/>
              </w:rPr>
              <w:t>拟在本项目任职</w:t>
            </w:r>
          </w:p>
        </w:tc>
        <w:tc>
          <w:tcPr>
            <w:tcW w:w="1561" w:type="dxa"/>
          </w:tcPr>
          <w:p>
            <w:pPr>
              <w:pStyle w:val="2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1090" w:type="dxa"/>
          </w:tcPr>
          <w:p>
            <w:pPr>
              <w:pStyle w:val="29"/>
              <w:rPr>
                <w:b/>
                <w:sz w:val="21"/>
              </w:rPr>
            </w:pPr>
          </w:p>
          <w:p>
            <w:pPr>
              <w:pStyle w:val="29"/>
              <w:ind w:left="107"/>
              <w:rPr>
                <w:sz w:val="21"/>
              </w:rPr>
            </w:pPr>
            <w:r>
              <w:rPr>
                <w:sz w:val="21"/>
              </w:rPr>
              <w:t>工作年限</w:t>
            </w:r>
          </w:p>
        </w:tc>
        <w:tc>
          <w:tcPr>
            <w:tcW w:w="3009" w:type="dxa"/>
            <w:gridSpan w:val="3"/>
          </w:tcPr>
          <w:p>
            <w:pPr>
              <w:pStyle w:val="29"/>
              <w:rPr>
                <w:rFonts w:ascii="Times New Roman"/>
                <w:sz w:val="20"/>
              </w:rPr>
            </w:pPr>
          </w:p>
        </w:tc>
        <w:tc>
          <w:tcPr>
            <w:tcW w:w="3633" w:type="dxa"/>
          </w:tcPr>
          <w:p>
            <w:pPr>
              <w:pStyle w:val="29"/>
              <w:rPr>
                <w:b/>
                <w:sz w:val="21"/>
              </w:rPr>
            </w:pPr>
          </w:p>
          <w:p>
            <w:pPr>
              <w:pStyle w:val="29"/>
              <w:ind w:left="106"/>
              <w:rPr>
                <w:sz w:val="21"/>
              </w:rPr>
            </w:pPr>
            <w:r>
              <w:rPr>
                <w:sz w:val="21"/>
              </w:rPr>
              <w:t>从事相关工作年限</w:t>
            </w:r>
          </w:p>
        </w:tc>
        <w:tc>
          <w:tcPr>
            <w:tcW w:w="1561" w:type="dxa"/>
          </w:tcPr>
          <w:p>
            <w:pPr>
              <w:pStyle w:val="2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1090" w:type="dxa"/>
          </w:tcPr>
          <w:p>
            <w:pPr>
              <w:pStyle w:val="29"/>
              <w:spacing w:before="11"/>
              <w:rPr>
                <w:b/>
                <w:sz w:val="20"/>
              </w:rPr>
            </w:pPr>
          </w:p>
          <w:p>
            <w:pPr>
              <w:pStyle w:val="29"/>
              <w:ind w:left="107"/>
              <w:rPr>
                <w:sz w:val="21"/>
              </w:rPr>
            </w:pPr>
            <w:r>
              <w:rPr>
                <w:sz w:val="21"/>
              </w:rPr>
              <w:t>毕业学校</w:t>
            </w:r>
          </w:p>
        </w:tc>
        <w:tc>
          <w:tcPr>
            <w:tcW w:w="8203" w:type="dxa"/>
            <w:gridSpan w:val="5"/>
          </w:tcPr>
          <w:p>
            <w:pPr>
              <w:pStyle w:val="29"/>
              <w:spacing w:before="11"/>
              <w:rPr>
                <w:b/>
                <w:sz w:val="20"/>
              </w:rPr>
            </w:pPr>
          </w:p>
          <w:p>
            <w:pPr>
              <w:pStyle w:val="29"/>
              <w:tabs>
                <w:tab w:val="left" w:pos="1473"/>
              </w:tabs>
              <w:ind w:left="107"/>
              <w:rPr>
                <w:sz w:val="21"/>
              </w:rPr>
            </w:pPr>
            <w:r>
              <w:rPr>
                <w:sz w:val="21"/>
              </w:rPr>
              <w:t>年毕</w:t>
            </w:r>
            <w:r>
              <w:rPr>
                <w:spacing w:val="-3"/>
                <w:sz w:val="21"/>
              </w:rPr>
              <w:t>业</w:t>
            </w:r>
            <w:r>
              <w:rPr>
                <w:sz w:val="21"/>
              </w:rPr>
              <w:t>于</w:t>
            </w:r>
            <w:r>
              <w:rPr>
                <w:sz w:val="21"/>
              </w:rPr>
              <w:tab/>
            </w:r>
            <w:r>
              <w:rPr>
                <w:sz w:val="21"/>
              </w:rPr>
              <w:t>学</w:t>
            </w:r>
            <w:r>
              <w:rPr>
                <w:spacing w:val="-3"/>
                <w:sz w:val="21"/>
              </w:rPr>
              <w:t>校</w:t>
            </w:r>
            <w:r>
              <w:rPr>
                <w:sz w:val="21"/>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9293" w:type="dxa"/>
            <w:gridSpan w:val="6"/>
          </w:tcPr>
          <w:p>
            <w:pPr>
              <w:pStyle w:val="29"/>
              <w:rPr>
                <w:b/>
                <w:sz w:val="21"/>
              </w:rPr>
            </w:pPr>
          </w:p>
          <w:p>
            <w:pPr>
              <w:pStyle w:val="29"/>
              <w:ind w:left="107"/>
              <w:rPr>
                <w:sz w:val="21"/>
              </w:rPr>
            </w:pPr>
            <w:r>
              <w:rPr>
                <w:sz w:val="21"/>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1090" w:type="dxa"/>
          </w:tcPr>
          <w:p>
            <w:pPr>
              <w:pStyle w:val="29"/>
              <w:rPr>
                <w:b/>
                <w:sz w:val="21"/>
              </w:rPr>
            </w:pPr>
          </w:p>
          <w:p>
            <w:pPr>
              <w:pStyle w:val="29"/>
              <w:tabs>
                <w:tab w:val="left" w:pos="530"/>
              </w:tabs>
              <w:ind w:left="107"/>
              <w:rPr>
                <w:sz w:val="21"/>
              </w:rPr>
            </w:pPr>
            <w:r>
              <w:rPr>
                <w:sz w:val="21"/>
              </w:rPr>
              <w:t>时</w:t>
            </w:r>
            <w:r>
              <w:rPr>
                <w:sz w:val="21"/>
              </w:rPr>
              <w:tab/>
            </w:r>
            <w:r>
              <w:rPr>
                <w:sz w:val="21"/>
              </w:rPr>
              <w:t>间</w:t>
            </w:r>
          </w:p>
        </w:tc>
        <w:tc>
          <w:tcPr>
            <w:tcW w:w="3009" w:type="dxa"/>
            <w:gridSpan w:val="3"/>
          </w:tcPr>
          <w:p>
            <w:pPr>
              <w:pStyle w:val="29"/>
              <w:rPr>
                <w:b/>
                <w:sz w:val="21"/>
              </w:rPr>
            </w:pPr>
          </w:p>
          <w:p>
            <w:pPr>
              <w:pStyle w:val="29"/>
              <w:ind w:left="107"/>
              <w:rPr>
                <w:sz w:val="21"/>
              </w:rPr>
            </w:pPr>
            <w:r>
              <w:rPr>
                <w:sz w:val="21"/>
              </w:rPr>
              <w:t>参加过的类似项目</w:t>
            </w:r>
          </w:p>
        </w:tc>
        <w:tc>
          <w:tcPr>
            <w:tcW w:w="3633" w:type="dxa"/>
          </w:tcPr>
          <w:p>
            <w:pPr>
              <w:pStyle w:val="29"/>
              <w:rPr>
                <w:b/>
                <w:sz w:val="21"/>
              </w:rPr>
            </w:pPr>
          </w:p>
          <w:p>
            <w:pPr>
              <w:pStyle w:val="29"/>
              <w:ind w:left="106"/>
              <w:rPr>
                <w:sz w:val="21"/>
              </w:rPr>
            </w:pPr>
            <w:r>
              <w:rPr>
                <w:sz w:val="21"/>
              </w:rPr>
              <w:t>担任职务</w:t>
            </w:r>
          </w:p>
        </w:tc>
        <w:tc>
          <w:tcPr>
            <w:tcW w:w="1561" w:type="dxa"/>
          </w:tcPr>
          <w:p>
            <w:pPr>
              <w:pStyle w:val="29"/>
              <w:spacing w:before="133" w:line="244" w:lineRule="auto"/>
              <w:ind w:left="105" w:right="98"/>
              <w:rPr>
                <w:sz w:val="21"/>
              </w:rPr>
            </w:pPr>
            <w:r>
              <w:rPr>
                <w:sz w:val="21"/>
              </w:rPr>
              <w:t>委托人及联系电话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1090" w:type="dxa"/>
          </w:tcPr>
          <w:p>
            <w:pPr>
              <w:pStyle w:val="29"/>
              <w:rPr>
                <w:rFonts w:ascii="Times New Roman"/>
                <w:sz w:val="20"/>
              </w:rPr>
            </w:pPr>
          </w:p>
        </w:tc>
        <w:tc>
          <w:tcPr>
            <w:tcW w:w="3009" w:type="dxa"/>
            <w:gridSpan w:val="3"/>
          </w:tcPr>
          <w:p>
            <w:pPr>
              <w:pStyle w:val="29"/>
              <w:rPr>
                <w:rFonts w:ascii="Times New Roman"/>
                <w:sz w:val="20"/>
              </w:rPr>
            </w:pPr>
          </w:p>
        </w:tc>
        <w:tc>
          <w:tcPr>
            <w:tcW w:w="3633" w:type="dxa"/>
          </w:tcPr>
          <w:p>
            <w:pPr>
              <w:pStyle w:val="29"/>
              <w:rPr>
                <w:rFonts w:ascii="Times New Roman"/>
                <w:sz w:val="20"/>
              </w:rPr>
            </w:pPr>
          </w:p>
        </w:tc>
        <w:tc>
          <w:tcPr>
            <w:tcW w:w="1561" w:type="dxa"/>
          </w:tcPr>
          <w:p>
            <w:pPr>
              <w:pStyle w:val="2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1090" w:type="dxa"/>
          </w:tcPr>
          <w:p>
            <w:pPr>
              <w:pStyle w:val="29"/>
              <w:rPr>
                <w:rFonts w:ascii="Times New Roman"/>
                <w:sz w:val="20"/>
              </w:rPr>
            </w:pPr>
          </w:p>
        </w:tc>
        <w:tc>
          <w:tcPr>
            <w:tcW w:w="3009" w:type="dxa"/>
            <w:gridSpan w:val="3"/>
          </w:tcPr>
          <w:p>
            <w:pPr>
              <w:pStyle w:val="29"/>
              <w:rPr>
                <w:rFonts w:ascii="Times New Roman"/>
                <w:sz w:val="20"/>
              </w:rPr>
            </w:pPr>
          </w:p>
        </w:tc>
        <w:tc>
          <w:tcPr>
            <w:tcW w:w="3633" w:type="dxa"/>
          </w:tcPr>
          <w:p>
            <w:pPr>
              <w:pStyle w:val="29"/>
              <w:rPr>
                <w:rFonts w:ascii="Times New Roman"/>
                <w:sz w:val="20"/>
              </w:rPr>
            </w:pPr>
          </w:p>
        </w:tc>
        <w:tc>
          <w:tcPr>
            <w:tcW w:w="1561" w:type="dxa"/>
          </w:tcPr>
          <w:p>
            <w:pPr>
              <w:pStyle w:val="2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1090" w:type="dxa"/>
          </w:tcPr>
          <w:p>
            <w:pPr>
              <w:pStyle w:val="29"/>
              <w:rPr>
                <w:rFonts w:ascii="Times New Roman"/>
                <w:sz w:val="20"/>
              </w:rPr>
            </w:pPr>
          </w:p>
        </w:tc>
        <w:tc>
          <w:tcPr>
            <w:tcW w:w="3009" w:type="dxa"/>
            <w:gridSpan w:val="3"/>
          </w:tcPr>
          <w:p>
            <w:pPr>
              <w:pStyle w:val="29"/>
              <w:rPr>
                <w:rFonts w:ascii="Times New Roman"/>
                <w:sz w:val="20"/>
              </w:rPr>
            </w:pPr>
          </w:p>
        </w:tc>
        <w:tc>
          <w:tcPr>
            <w:tcW w:w="3633" w:type="dxa"/>
          </w:tcPr>
          <w:p>
            <w:pPr>
              <w:pStyle w:val="29"/>
              <w:rPr>
                <w:rFonts w:ascii="Times New Roman"/>
                <w:sz w:val="20"/>
              </w:rPr>
            </w:pPr>
          </w:p>
        </w:tc>
        <w:tc>
          <w:tcPr>
            <w:tcW w:w="1561" w:type="dxa"/>
          </w:tcPr>
          <w:p>
            <w:pPr>
              <w:pStyle w:val="2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1090" w:type="dxa"/>
          </w:tcPr>
          <w:p>
            <w:pPr>
              <w:pStyle w:val="29"/>
              <w:rPr>
                <w:rFonts w:ascii="Times New Roman"/>
                <w:sz w:val="20"/>
              </w:rPr>
            </w:pPr>
          </w:p>
        </w:tc>
        <w:tc>
          <w:tcPr>
            <w:tcW w:w="3009" w:type="dxa"/>
            <w:gridSpan w:val="3"/>
          </w:tcPr>
          <w:p>
            <w:pPr>
              <w:pStyle w:val="29"/>
              <w:rPr>
                <w:rFonts w:ascii="Times New Roman"/>
                <w:sz w:val="20"/>
              </w:rPr>
            </w:pPr>
          </w:p>
        </w:tc>
        <w:tc>
          <w:tcPr>
            <w:tcW w:w="3633" w:type="dxa"/>
          </w:tcPr>
          <w:p>
            <w:pPr>
              <w:pStyle w:val="29"/>
              <w:rPr>
                <w:rFonts w:ascii="Times New Roman"/>
                <w:sz w:val="20"/>
              </w:rPr>
            </w:pPr>
          </w:p>
        </w:tc>
        <w:tc>
          <w:tcPr>
            <w:tcW w:w="1561" w:type="dxa"/>
          </w:tcPr>
          <w:p>
            <w:pPr>
              <w:pStyle w:val="29"/>
              <w:rPr>
                <w:rFonts w:ascii="Times New Roman"/>
                <w:sz w:val="20"/>
              </w:rPr>
            </w:pPr>
          </w:p>
        </w:tc>
      </w:tr>
    </w:tbl>
    <w:p>
      <w:pPr>
        <w:spacing w:before="1"/>
        <w:ind w:left="200" w:right="0" w:firstLine="0"/>
        <w:jc w:val="left"/>
        <w:rPr>
          <w:sz w:val="21"/>
        </w:rPr>
      </w:pPr>
      <w:r>
        <w:rPr>
          <w:sz w:val="21"/>
        </w:rPr>
        <w:t xml:space="preserve">注：需提供相关证书复印件等证明材料。 </w:t>
      </w:r>
    </w:p>
    <w:p>
      <w:pPr>
        <w:pStyle w:val="10"/>
        <w:spacing w:before="138"/>
        <w:ind w:left="200"/>
      </w:pPr>
      <w:r>
        <w:rPr>
          <w:w w:val="99"/>
        </w:rPr>
        <w:t xml:space="preserve"> </w:t>
      </w:r>
    </w:p>
    <w:p>
      <w:pPr>
        <w:pStyle w:val="11"/>
        <w:spacing w:before="3"/>
        <w:rPr>
          <w:b/>
          <w:sz w:val="31"/>
        </w:rPr>
      </w:pPr>
    </w:p>
    <w:p>
      <w:pPr>
        <w:pStyle w:val="10"/>
        <w:spacing w:before="1"/>
        <w:ind w:left="200"/>
      </w:pPr>
      <w:r>
        <w:rPr>
          <w:w w:val="99"/>
        </w:rPr>
        <w:t xml:space="preserve"> </w:t>
      </w:r>
    </w:p>
    <w:p>
      <w:pPr>
        <w:spacing w:after="0"/>
        <w:sectPr>
          <w:pgSz w:w="12240" w:h="15840"/>
          <w:pgMar w:top="1500" w:right="0" w:bottom="920" w:left="1240" w:header="0" w:footer="727" w:gutter="0"/>
          <w:cols w:space="720" w:num="1"/>
        </w:sectPr>
      </w:pPr>
    </w:p>
    <w:p>
      <w:pPr>
        <w:pStyle w:val="11"/>
        <w:spacing w:before="11"/>
        <w:rPr>
          <w:b/>
          <w:sz w:val="11"/>
        </w:rPr>
      </w:pPr>
    </w:p>
    <w:p>
      <w:pPr>
        <w:pStyle w:val="2"/>
        <w:ind w:left="2891"/>
        <w:jc w:val="left"/>
        <w:outlineLvl w:val="0"/>
      </w:pPr>
      <w:bookmarkStart w:id="38" w:name="_Toc17154"/>
      <w:r>
        <w:t>六、类似项目业绩一览表</w:t>
      </w:r>
      <w:bookmarkEnd w:id="38"/>
    </w:p>
    <w:p>
      <w:pPr>
        <w:pStyle w:val="11"/>
        <w:rPr>
          <w:b/>
          <w:sz w:val="20"/>
        </w:rPr>
      </w:pPr>
    </w:p>
    <w:p>
      <w:pPr>
        <w:pStyle w:val="11"/>
        <w:spacing w:before="10"/>
        <w:rPr>
          <w:b/>
          <w:sz w:val="26"/>
        </w:rPr>
      </w:pPr>
    </w:p>
    <w:tbl>
      <w:tblPr>
        <w:tblStyle w:val="15"/>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0"/>
        <w:gridCol w:w="1553"/>
        <w:gridCol w:w="1548"/>
        <w:gridCol w:w="1551"/>
        <w:gridCol w:w="1443"/>
        <w:gridCol w:w="1572"/>
        <w:gridCol w:w="1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6" w:hRule="atLeast"/>
        </w:trPr>
        <w:tc>
          <w:tcPr>
            <w:tcW w:w="1020" w:type="dxa"/>
          </w:tcPr>
          <w:p>
            <w:pPr>
              <w:pStyle w:val="29"/>
              <w:spacing w:before="139"/>
              <w:ind w:left="107"/>
              <w:rPr>
                <w:sz w:val="24"/>
              </w:rPr>
            </w:pPr>
            <w:r>
              <w:rPr>
                <w:sz w:val="24"/>
              </w:rPr>
              <w:t>序号</w:t>
            </w:r>
          </w:p>
        </w:tc>
        <w:tc>
          <w:tcPr>
            <w:tcW w:w="1553" w:type="dxa"/>
          </w:tcPr>
          <w:p>
            <w:pPr>
              <w:pStyle w:val="29"/>
              <w:spacing w:before="139"/>
              <w:ind w:left="107"/>
              <w:rPr>
                <w:sz w:val="24"/>
              </w:rPr>
            </w:pPr>
            <w:r>
              <w:rPr>
                <w:sz w:val="24"/>
              </w:rPr>
              <w:t>项目名称</w:t>
            </w:r>
          </w:p>
        </w:tc>
        <w:tc>
          <w:tcPr>
            <w:tcW w:w="1548" w:type="dxa"/>
          </w:tcPr>
          <w:p>
            <w:pPr>
              <w:pStyle w:val="29"/>
              <w:spacing w:before="139"/>
              <w:ind w:left="105"/>
              <w:rPr>
                <w:sz w:val="24"/>
              </w:rPr>
            </w:pPr>
            <w:r>
              <w:rPr>
                <w:sz w:val="24"/>
              </w:rPr>
              <w:t>业主名称</w:t>
            </w:r>
          </w:p>
        </w:tc>
        <w:tc>
          <w:tcPr>
            <w:tcW w:w="1551" w:type="dxa"/>
          </w:tcPr>
          <w:p>
            <w:pPr>
              <w:pStyle w:val="29"/>
              <w:spacing w:before="139"/>
              <w:ind w:left="108"/>
              <w:rPr>
                <w:sz w:val="24"/>
              </w:rPr>
            </w:pPr>
            <w:r>
              <w:rPr>
                <w:sz w:val="24"/>
              </w:rPr>
              <w:t>完成情况</w:t>
            </w:r>
          </w:p>
        </w:tc>
        <w:tc>
          <w:tcPr>
            <w:tcW w:w="1443" w:type="dxa"/>
          </w:tcPr>
          <w:p>
            <w:pPr>
              <w:pStyle w:val="29"/>
              <w:spacing w:before="139"/>
              <w:ind w:left="107"/>
              <w:rPr>
                <w:sz w:val="24"/>
              </w:rPr>
            </w:pPr>
            <w:r>
              <w:rPr>
                <w:sz w:val="24"/>
              </w:rPr>
              <w:t>合同金额</w:t>
            </w:r>
          </w:p>
        </w:tc>
        <w:tc>
          <w:tcPr>
            <w:tcW w:w="1572" w:type="dxa"/>
          </w:tcPr>
          <w:p>
            <w:pPr>
              <w:pStyle w:val="29"/>
              <w:spacing w:before="139"/>
              <w:ind w:left="107"/>
              <w:rPr>
                <w:sz w:val="24"/>
              </w:rPr>
            </w:pPr>
            <w:r>
              <w:rPr>
                <w:sz w:val="24"/>
              </w:rPr>
              <w:t>签订日期</w:t>
            </w:r>
          </w:p>
        </w:tc>
        <w:tc>
          <w:tcPr>
            <w:tcW w:w="1167" w:type="dxa"/>
          </w:tcPr>
          <w:p>
            <w:pPr>
              <w:pStyle w:val="29"/>
              <w:spacing w:before="139"/>
              <w:ind w:left="107"/>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1020" w:type="dxa"/>
          </w:tcPr>
          <w:p>
            <w:pPr>
              <w:pStyle w:val="29"/>
              <w:rPr>
                <w:rFonts w:ascii="Times New Roman"/>
                <w:sz w:val="22"/>
              </w:rPr>
            </w:pPr>
          </w:p>
        </w:tc>
        <w:tc>
          <w:tcPr>
            <w:tcW w:w="1553" w:type="dxa"/>
          </w:tcPr>
          <w:p>
            <w:pPr>
              <w:pStyle w:val="29"/>
              <w:spacing w:before="119"/>
              <w:ind w:left="107"/>
              <w:rPr>
                <w:sz w:val="24"/>
              </w:rPr>
            </w:pPr>
            <w:r>
              <w:rPr>
                <w:sz w:val="24"/>
              </w:rPr>
              <w:t xml:space="preserve"> </w:t>
            </w:r>
          </w:p>
        </w:tc>
        <w:tc>
          <w:tcPr>
            <w:tcW w:w="1548" w:type="dxa"/>
          </w:tcPr>
          <w:p>
            <w:pPr>
              <w:pStyle w:val="29"/>
              <w:spacing w:before="119"/>
              <w:ind w:left="105"/>
              <w:rPr>
                <w:sz w:val="24"/>
              </w:rPr>
            </w:pPr>
            <w:r>
              <w:rPr>
                <w:sz w:val="24"/>
              </w:rPr>
              <w:t xml:space="preserve"> </w:t>
            </w:r>
          </w:p>
        </w:tc>
        <w:tc>
          <w:tcPr>
            <w:tcW w:w="1551" w:type="dxa"/>
          </w:tcPr>
          <w:p>
            <w:pPr>
              <w:pStyle w:val="29"/>
              <w:spacing w:before="119"/>
              <w:ind w:left="108"/>
              <w:rPr>
                <w:sz w:val="24"/>
              </w:rPr>
            </w:pPr>
            <w:r>
              <w:rPr>
                <w:sz w:val="24"/>
              </w:rPr>
              <w:t xml:space="preserve"> </w:t>
            </w:r>
          </w:p>
        </w:tc>
        <w:tc>
          <w:tcPr>
            <w:tcW w:w="1443" w:type="dxa"/>
          </w:tcPr>
          <w:p>
            <w:pPr>
              <w:pStyle w:val="29"/>
              <w:spacing w:before="119"/>
              <w:ind w:left="107"/>
              <w:rPr>
                <w:sz w:val="24"/>
              </w:rPr>
            </w:pPr>
            <w:r>
              <w:rPr>
                <w:sz w:val="24"/>
              </w:rPr>
              <w:t xml:space="preserve"> </w:t>
            </w:r>
          </w:p>
        </w:tc>
        <w:tc>
          <w:tcPr>
            <w:tcW w:w="1572" w:type="dxa"/>
          </w:tcPr>
          <w:p>
            <w:pPr>
              <w:pStyle w:val="29"/>
              <w:spacing w:before="119"/>
              <w:ind w:left="107"/>
              <w:rPr>
                <w:sz w:val="24"/>
              </w:rPr>
            </w:pPr>
            <w:r>
              <w:rPr>
                <w:sz w:val="24"/>
              </w:rPr>
              <w:t xml:space="preserve"> </w:t>
            </w:r>
          </w:p>
        </w:tc>
        <w:tc>
          <w:tcPr>
            <w:tcW w:w="1167" w:type="dxa"/>
          </w:tcPr>
          <w:p>
            <w:pPr>
              <w:pStyle w:val="29"/>
              <w:spacing w:before="119"/>
              <w:ind w:left="107"/>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9" w:hRule="atLeast"/>
        </w:trPr>
        <w:tc>
          <w:tcPr>
            <w:tcW w:w="1020" w:type="dxa"/>
          </w:tcPr>
          <w:p>
            <w:pPr>
              <w:pStyle w:val="29"/>
              <w:rPr>
                <w:rFonts w:ascii="Times New Roman"/>
                <w:sz w:val="22"/>
              </w:rPr>
            </w:pPr>
          </w:p>
        </w:tc>
        <w:tc>
          <w:tcPr>
            <w:tcW w:w="1553" w:type="dxa"/>
          </w:tcPr>
          <w:p>
            <w:pPr>
              <w:pStyle w:val="29"/>
              <w:spacing w:before="118"/>
              <w:ind w:left="107"/>
              <w:rPr>
                <w:sz w:val="24"/>
              </w:rPr>
            </w:pPr>
            <w:r>
              <w:rPr>
                <w:sz w:val="24"/>
              </w:rPr>
              <w:t xml:space="preserve"> </w:t>
            </w:r>
          </w:p>
        </w:tc>
        <w:tc>
          <w:tcPr>
            <w:tcW w:w="1548" w:type="dxa"/>
          </w:tcPr>
          <w:p>
            <w:pPr>
              <w:pStyle w:val="29"/>
              <w:spacing w:before="118"/>
              <w:ind w:left="105"/>
              <w:rPr>
                <w:sz w:val="24"/>
              </w:rPr>
            </w:pPr>
            <w:r>
              <w:rPr>
                <w:sz w:val="24"/>
              </w:rPr>
              <w:t xml:space="preserve"> </w:t>
            </w:r>
          </w:p>
        </w:tc>
        <w:tc>
          <w:tcPr>
            <w:tcW w:w="1551" w:type="dxa"/>
          </w:tcPr>
          <w:p>
            <w:pPr>
              <w:pStyle w:val="29"/>
              <w:spacing w:before="118"/>
              <w:ind w:left="108"/>
              <w:rPr>
                <w:sz w:val="24"/>
              </w:rPr>
            </w:pPr>
            <w:r>
              <w:rPr>
                <w:sz w:val="24"/>
              </w:rPr>
              <w:t xml:space="preserve"> </w:t>
            </w:r>
          </w:p>
        </w:tc>
        <w:tc>
          <w:tcPr>
            <w:tcW w:w="1443" w:type="dxa"/>
          </w:tcPr>
          <w:p>
            <w:pPr>
              <w:pStyle w:val="29"/>
              <w:spacing w:before="118"/>
              <w:ind w:left="107"/>
              <w:rPr>
                <w:sz w:val="24"/>
              </w:rPr>
            </w:pPr>
            <w:r>
              <w:rPr>
                <w:sz w:val="24"/>
              </w:rPr>
              <w:t xml:space="preserve"> </w:t>
            </w:r>
          </w:p>
        </w:tc>
        <w:tc>
          <w:tcPr>
            <w:tcW w:w="1572" w:type="dxa"/>
          </w:tcPr>
          <w:p>
            <w:pPr>
              <w:pStyle w:val="29"/>
              <w:spacing w:before="118"/>
              <w:ind w:left="107"/>
              <w:rPr>
                <w:sz w:val="24"/>
              </w:rPr>
            </w:pPr>
            <w:r>
              <w:rPr>
                <w:sz w:val="24"/>
              </w:rPr>
              <w:t xml:space="preserve"> </w:t>
            </w:r>
          </w:p>
        </w:tc>
        <w:tc>
          <w:tcPr>
            <w:tcW w:w="1167" w:type="dxa"/>
          </w:tcPr>
          <w:p>
            <w:pPr>
              <w:pStyle w:val="29"/>
              <w:spacing w:before="118"/>
              <w:ind w:left="107"/>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8" w:hRule="atLeast"/>
        </w:trPr>
        <w:tc>
          <w:tcPr>
            <w:tcW w:w="1020" w:type="dxa"/>
          </w:tcPr>
          <w:p>
            <w:pPr>
              <w:pStyle w:val="29"/>
              <w:rPr>
                <w:rFonts w:ascii="Times New Roman"/>
                <w:sz w:val="22"/>
              </w:rPr>
            </w:pPr>
          </w:p>
        </w:tc>
        <w:tc>
          <w:tcPr>
            <w:tcW w:w="1553" w:type="dxa"/>
          </w:tcPr>
          <w:p>
            <w:pPr>
              <w:pStyle w:val="29"/>
              <w:spacing w:before="117"/>
              <w:ind w:left="107"/>
              <w:rPr>
                <w:sz w:val="24"/>
              </w:rPr>
            </w:pPr>
            <w:r>
              <w:rPr>
                <w:sz w:val="24"/>
              </w:rPr>
              <w:t xml:space="preserve"> </w:t>
            </w:r>
          </w:p>
        </w:tc>
        <w:tc>
          <w:tcPr>
            <w:tcW w:w="1548" w:type="dxa"/>
          </w:tcPr>
          <w:p>
            <w:pPr>
              <w:pStyle w:val="29"/>
              <w:spacing w:before="117"/>
              <w:ind w:left="105"/>
              <w:rPr>
                <w:sz w:val="24"/>
              </w:rPr>
            </w:pPr>
            <w:r>
              <w:rPr>
                <w:sz w:val="24"/>
              </w:rPr>
              <w:t xml:space="preserve"> </w:t>
            </w:r>
          </w:p>
        </w:tc>
        <w:tc>
          <w:tcPr>
            <w:tcW w:w="1551" w:type="dxa"/>
          </w:tcPr>
          <w:p>
            <w:pPr>
              <w:pStyle w:val="29"/>
              <w:spacing w:before="117"/>
              <w:ind w:left="108"/>
              <w:rPr>
                <w:sz w:val="24"/>
              </w:rPr>
            </w:pPr>
            <w:r>
              <w:rPr>
                <w:sz w:val="24"/>
              </w:rPr>
              <w:t xml:space="preserve"> </w:t>
            </w:r>
          </w:p>
        </w:tc>
        <w:tc>
          <w:tcPr>
            <w:tcW w:w="1443" w:type="dxa"/>
          </w:tcPr>
          <w:p>
            <w:pPr>
              <w:pStyle w:val="29"/>
              <w:spacing w:before="117"/>
              <w:ind w:left="107"/>
              <w:rPr>
                <w:sz w:val="24"/>
              </w:rPr>
            </w:pPr>
            <w:r>
              <w:rPr>
                <w:sz w:val="24"/>
              </w:rPr>
              <w:t xml:space="preserve"> </w:t>
            </w:r>
          </w:p>
        </w:tc>
        <w:tc>
          <w:tcPr>
            <w:tcW w:w="1572" w:type="dxa"/>
          </w:tcPr>
          <w:p>
            <w:pPr>
              <w:pStyle w:val="29"/>
              <w:spacing w:before="117"/>
              <w:ind w:left="107"/>
              <w:rPr>
                <w:sz w:val="24"/>
              </w:rPr>
            </w:pPr>
            <w:r>
              <w:rPr>
                <w:sz w:val="24"/>
              </w:rPr>
              <w:t xml:space="preserve"> </w:t>
            </w:r>
          </w:p>
        </w:tc>
        <w:tc>
          <w:tcPr>
            <w:tcW w:w="1167" w:type="dxa"/>
          </w:tcPr>
          <w:p>
            <w:pPr>
              <w:pStyle w:val="29"/>
              <w:spacing w:before="117"/>
              <w:ind w:left="107"/>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3" w:hRule="atLeast"/>
        </w:trPr>
        <w:tc>
          <w:tcPr>
            <w:tcW w:w="1020" w:type="dxa"/>
          </w:tcPr>
          <w:p>
            <w:pPr>
              <w:pStyle w:val="29"/>
              <w:rPr>
                <w:rFonts w:ascii="Times New Roman"/>
                <w:sz w:val="22"/>
              </w:rPr>
            </w:pPr>
          </w:p>
        </w:tc>
        <w:tc>
          <w:tcPr>
            <w:tcW w:w="1553" w:type="dxa"/>
          </w:tcPr>
          <w:p>
            <w:pPr>
              <w:pStyle w:val="29"/>
              <w:spacing w:before="119"/>
              <w:ind w:left="107"/>
              <w:rPr>
                <w:sz w:val="24"/>
              </w:rPr>
            </w:pPr>
            <w:r>
              <w:rPr>
                <w:sz w:val="24"/>
              </w:rPr>
              <w:t xml:space="preserve"> </w:t>
            </w:r>
          </w:p>
        </w:tc>
        <w:tc>
          <w:tcPr>
            <w:tcW w:w="1548" w:type="dxa"/>
          </w:tcPr>
          <w:p>
            <w:pPr>
              <w:pStyle w:val="29"/>
              <w:spacing w:before="119"/>
              <w:ind w:left="105"/>
              <w:rPr>
                <w:sz w:val="24"/>
              </w:rPr>
            </w:pPr>
            <w:r>
              <w:rPr>
                <w:sz w:val="24"/>
              </w:rPr>
              <w:t xml:space="preserve"> </w:t>
            </w:r>
          </w:p>
        </w:tc>
        <w:tc>
          <w:tcPr>
            <w:tcW w:w="1551" w:type="dxa"/>
          </w:tcPr>
          <w:p>
            <w:pPr>
              <w:pStyle w:val="29"/>
              <w:spacing w:before="119"/>
              <w:ind w:left="108"/>
              <w:rPr>
                <w:sz w:val="24"/>
              </w:rPr>
            </w:pPr>
            <w:r>
              <w:rPr>
                <w:sz w:val="24"/>
              </w:rPr>
              <w:t xml:space="preserve"> </w:t>
            </w:r>
          </w:p>
        </w:tc>
        <w:tc>
          <w:tcPr>
            <w:tcW w:w="1443" w:type="dxa"/>
          </w:tcPr>
          <w:p>
            <w:pPr>
              <w:pStyle w:val="29"/>
              <w:spacing w:before="119"/>
              <w:ind w:left="107"/>
              <w:rPr>
                <w:sz w:val="24"/>
              </w:rPr>
            </w:pPr>
            <w:r>
              <w:rPr>
                <w:sz w:val="24"/>
              </w:rPr>
              <w:t xml:space="preserve"> </w:t>
            </w:r>
          </w:p>
        </w:tc>
        <w:tc>
          <w:tcPr>
            <w:tcW w:w="1572" w:type="dxa"/>
          </w:tcPr>
          <w:p>
            <w:pPr>
              <w:pStyle w:val="29"/>
              <w:spacing w:before="119"/>
              <w:ind w:left="107"/>
              <w:rPr>
                <w:sz w:val="24"/>
              </w:rPr>
            </w:pPr>
            <w:r>
              <w:rPr>
                <w:sz w:val="24"/>
              </w:rPr>
              <w:t xml:space="preserve"> </w:t>
            </w:r>
          </w:p>
        </w:tc>
        <w:tc>
          <w:tcPr>
            <w:tcW w:w="1167" w:type="dxa"/>
          </w:tcPr>
          <w:p>
            <w:pPr>
              <w:pStyle w:val="29"/>
              <w:spacing w:before="119"/>
              <w:ind w:left="107"/>
              <w:rPr>
                <w:sz w:val="24"/>
              </w:rPr>
            </w:pPr>
            <w:r>
              <w:rPr>
                <w:sz w:val="24"/>
              </w:rPr>
              <w:t xml:space="preserve"> </w:t>
            </w:r>
          </w:p>
        </w:tc>
      </w:tr>
    </w:tbl>
    <w:p>
      <w:pPr>
        <w:spacing w:before="1"/>
        <w:ind w:left="200" w:right="0" w:firstLine="0"/>
        <w:jc w:val="left"/>
        <w:rPr>
          <w:sz w:val="21"/>
        </w:rPr>
      </w:pPr>
      <w:r>
        <w:rPr>
          <w:sz w:val="21"/>
        </w:rPr>
        <w:t>注：</w:t>
      </w:r>
    </w:p>
    <w:p>
      <w:pPr>
        <w:pStyle w:val="28"/>
        <w:numPr>
          <w:ilvl w:val="0"/>
          <w:numId w:val="36"/>
        </w:numPr>
        <w:tabs>
          <w:tab w:val="left" w:pos="620"/>
          <w:tab w:val="left" w:pos="621"/>
        </w:tabs>
        <w:spacing w:before="139" w:after="0" w:line="240" w:lineRule="auto"/>
        <w:ind w:left="620" w:right="0" w:hanging="421"/>
        <w:jc w:val="left"/>
        <w:rPr>
          <w:sz w:val="21"/>
        </w:rPr>
      </w:pPr>
      <w:r>
        <w:rPr>
          <w:spacing w:val="-3"/>
          <w:sz w:val="21"/>
        </w:rPr>
        <w:t>业绩表中所列项目业绩应提供相关业绩合同或中标通知书证明材料复印件；</w:t>
      </w:r>
    </w:p>
    <w:p>
      <w:pPr>
        <w:pStyle w:val="28"/>
        <w:numPr>
          <w:ilvl w:val="0"/>
          <w:numId w:val="36"/>
        </w:numPr>
        <w:tabs>
          <w:tab w:val="left" w:pos="515"/>
        </w:tabs>
        <w:spacing w:before="139" w:after="0" w:line="240" w:lineRule="auto"/>
        <w:ind w:left="514" w:right="0" w:hanging="315"/>
        <w:jc w:val="left"/>
        <w:rPr>
          <w:sz w:val="21"/>
        </w:rPr>
      </w:pPr>
      <w:r>
        <w:rPr>
          <w:spacing w:val="-9"/>
          <w:sz w:val="21"/>
        </w:rPr>
        <w:t>表格长度和内容可根据需要自行调整，供应商根据招标文件要求结合实际情况和自身状况进行填写；</w:t>
      </w:r>
    </w:p>
    <w:p>
      <w:pPr>
        <w:spacing w:after="0" w:line="240" w:lineRule="auto"/>
        <w:jc w:val="left"/>
        <w:rPr>
          <w:sz w:val="21"/>
        </w:rPr>
        <w:sectPr>
          <w:pgSz w:w="12240" w:h="15840"/>
          <w:pgMar w:top="1500" w:right="0" w:bottom="920" w:left="1240" w:header="0" w:footer="727" w:gutter="0"/>
          <w:cols w:space="720" w:num="1"/>
        </w:sectPr>
      </w:pPr>
    </w:p>
    <w:p>
      <w:pPr>
        <w:pStyle w:val="11"/>
        <w:spacing w:before="7"/>
        <w:rPr>
          <w:sz w:val="10"/>
        </w:rPr>
      </w:pPr>
    </w:p>
    <w:p>
      <w:pPr>
        <w:pStyle w:val="2"/>
        <w:spacing w:before="67"/>
        <w:ind w:left="2841"/>
        <w:jc w:val="left"/>
        <w:outlineLvl w:val="0"/>
        <w:rPr>
          <w:b w:val="0"/>
          <w:sz w:val="24"/>
        </w:rPr>
      </w:pPr>
      <w:bookmarkStart w:id="39" w:name="_Toc1296"/>
      <w:r>
        <w:t>七、用户需求响应</w:t>
      </w:r>
      <w:r>
        <w:rPr>
          <w:rFonts w:ascii="Arial" w:eastAsia="Arial"/>
        </w:rPr>
        <w:t>/</w:t>
      </w:r>
      <w:r>
        <w:t>偏离表</w:t>
      </w:r>
      <w:bookmarkEnd w:id="39"/>
      <w:r>
        <w:rPr>
          <w:b w:val="0"/>
          <w:sz w:val="24"/>
        </w:rPr>
        <w:t xml:space="preserve"> </w:t>
      </w:r>
    </w:p>
    <w:p>
      <w:pPr>
        <w:pStyle w:val="11"/>
        <w:spacing w:before="10"/>
        <w:rPr>
          <w:sz w:val="46"/>
        </w:rPr>
      </w:pPr>
    </w:p>
    <w:p>
      <w:pPr>
        <w:pStyle w:val="11"/>
        <w:tabs>
          <w:tab w:val="left" w:pos="3135"/>
          <w:tab w:val="left" w:pos="3495"/>
        </w:tabs>
        <w:spacing w:after="5" w:line="362" w:lineRule="auto"/>
        <w:ind w:left="200" w:right="7502"/>
        <w:rPr>
          <w:rFonts w:ascii="Times New Roman" w:eastAsia="Times New Roman"/>
        </w:rPr>
      </w:pPr>
      <w:r>
        <w:rPr>
          <w:spacing w:val="-1"/>
        </w:rPr>
        <w:t>项</w:t>
      </w:r>
      <w:r>
        <w:t>目名称：</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15"/>
          <w:u w:val="single"/>
        </w:rPr>
        <w:t xml:space="preserve"> </w:t>
      </w:r>
      <w:r>
        <w:rPr>
          <w:spacing w:val="-1"/>
        </w:rPr>
        <w:t>项</w:t>
      </w:r>
      <w:r>
        <w:t>目编号：</w:t>
      </w:r>
      <w:r>
        <w:rPr>
          <w:rFonts w:ascii="Times New Roman" w:eastAsia="Times New Roman"/>
          <w:u w:val="single"/>
        </w:rPr>
        <w:t xml:space="preserve"> </w:t>
      </w:r>
      <w:r>
        <w:rPr>
          <w:rFonts w:ascii="Times New Roman" w:eastAsia="Times New Roman"/>
          <w:u w:val="single"/>
        </w:rPr>
        <w:tab/>
      </w:r>
    </w:p>
    <w:p>
      <w:pPr>
        <w:pStyle w:val="11"/>
        <w:tabs>
          <w:tab w:val="left" w:pos="3135"/>
          <w:tab w:val="left" w:pos="3495"/>
        </w:tabs>
        <w:spacing w:after="5" w:line="362" w:lineRule="auto"/>
        <w:ind w:left="200" w:right="1100" w:rightChars="0"/>
      </w:pPr>
      <w:r>
        <w:rPr>
          <w:rFonts w:hint="eastAsia"/>
        </w:rPr>
        <w:t>供应商应逐条对应磋商文件第</w:t>
      </w:r>
      <w:r>
        <w:rPr>
          <w:rFonts w:hint="eastAsia"/>
          <w:lang w:eastAsia="zh-CN"/>
        </w:rPr>
        <w:t>三</w:t>
      </w:r>
      <w:r>
        <w:rPr>
          <w:rFonts w:hint="eastAsia"/>
        </w:rPr>
        <w:t>章 “</w:t>
      </w:r>
      <w:r>
        <w:rPr>
          <w:rFonts w:hint="eastAsia"/>
          <w:lang w:eastAsia="zh-CN"/>
        </w:rPr>
        <w:t>用户需求书</w:t>
      </w:r>
      <w:r>
        <w:rPr>
          <w:rFonts w:hint="eastAsia"/>
        </w:rPr>
        <w:t>”的所有内容，并根据实际情况如实填写本表格。</w:t>
      </w:r>
    </w:p>
    <w:p>
      <w:pPr>
        <w:pStyle w:val="11"/>
        <w:tabs>
          <w:tab w:val="left" w:pos="3135"/>
          <w:tab w:val="left" w:pos="3495"/>
        </w:tabs>
        <w:spacing w:after="5" w:line="362" w:lineRule="auto"/>
        <w:ind w:left="200" w:right="1100" w:rightChars="0"/>
      </w:pPr>
      <w:r>
        <w:t>A</w:t>
      </w:r>
      <w:r>
        <w:rPr>
          <w:rFonts w:hint="eastAsia"/>
        </w:rPr>
        <w:t>、□ 我公司已详细阅读磋商文件中各项要求，所有要求均无偏离，成交后我公司将严格遵照执行。</w:t>
      </w:r>
    </w:p>
    <w:p>
      <w:pPr>
        <w:pStyle w:val="11"/>
        <w:tabs>
          <w:tab w:val="left" w:pos="3135"/>
          <w:tab w:val="left" w:pos="3495"/>
        </w:tabs>
        <w:spacing w:after="5" w:line="362" w:lineRule="auto"/>
        <w:ind w:left="200" w:right="1100" w:rightChars="0"/>
      </w:pPr>
      <w:r>
        <w:rPr>
          <w:rFonts w:hint="eastAsia"/>
        </w:rPr>
        <w:t>B、□ 我公司已详细阅读磋商文件中各项要求，除下述条款有偏离外，其余条款我公司均予以认可，成交后将严格遵照执行。</w:t>
      </w:r>
    </w:p>
    <w:tbl>
      <w:tblPr>
        <w:tblStyle w:val="15"/>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4023"/>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651" w:type="dxa"/>
            <w:shd w:val="clear" w:color="auto" w:fill="D7D7D7"/>
            <w:noWrap w:val="0"/>
            <w:vAlign w:val="center"/>
          </w:tcPr>
          <w:p>
            <w:pPr>
              <w:ind w:right="1100" w:rightChars="500"/>
              <w:jc w:val="center"/>
              <w:rPr>
                <w:rFonts w:hint="eastAsia" w:ascii="宋体" w:hAnsi="宋体"/>
                <w:sz w:val="22"/>
                <w:szCs w:val="21"/>
              </w:rPr>
            </w:pPr>
            <w:r>
              <w:rPr>
                <w:rFonts w:hint="eastAsia" w:ascii="宋体" w:hAnsi="宋体"/>
                <w:sz w:val="22"/>
                <w:szCs w:val="21"/>
              </w:rPr>
              <w:t>序号</w:t>
            </w:r>
          </w:p>
        </w:tc>
        <w:tc>
          <w:tcPr>
            <w:tcW w:w="4023" w:type="dxa"/>
            <w:shd w:val="clear" w:color="auto" w:fill="D7D7D7"/>
            <w:noWrap w:val="0"/>
            <w:vAlign w:val="center"/>
          </w:tcPr>
          <w:p>
            <w:pPr>
              <w:ind w:right="1100" w:rightChars="500"/>
              <w:jc w:val="center"/>
              <w:rPr>
                <w:rFonts w:hint="eastAsia" w:ascii="宋体" w:hAnsi="宋体"/>
                <w:sz w:val="22"/>
                <w:szCs w:val="21"/>
              </w:rPr>
            </w:pPr>
            <w:r>
              <w:rPr>
                <w:rFonts w:hint="eastAsia" w:ascii="宋体" w:hAnsi="宋体"/>
                <w:sz w:val="22"/>
                <w:szCs w:val="21"/>
              </w:rPr>
              <w:t>磋商文件技术规范和服务要求条款描述</w:t>
            </w:r>
          </w:p>
        </w:tc>
        <w:tc>
          <w:tcPr>
            <w:tcW w:w="4161" w:type="dxa"/>
            <w:shd w:val="clear" w:color="auto" w:fill="D7D7D7"/>
            <w:noWrap w:val="0"/>
            <w:vAlign w:val="center"/>
          </w:tcPr>
          <w:p>
            <w:pPr>
              <w:ind w:right="1100" w:rightChars="500"/>
              <w:jc w:val="center"/>
              <w:rPr>
                <w:rFonts w:ascii="宋体"/>
                <w:sz w:val="22"/>
              </w:rPr>
            </w:pPr>
            <w:r>
              <w:rPr>
                <w:rFonts w:hint="eastAsia" w:ascii="宋体" w:hAnsi="宋体"/>
                <w:sz w:val="22"/>
                <w:szCs w:val="21"/>
              </w:rPr>
              <w:t>供应商技术规范和服务要求响应条款描述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651" w:type="dxa"/>
            <w:noWrap w:val="0"/>
            <w:vAlign w:val="center"/>
          </w:tcPr>
          <w:p>
            <w:pPr>
              <w:ind w:right="1100" w:rightChars="500"/>
              <w:jc w:val="center"/>
              <w:rPr>
                <w:rFonts w:ascii="宋体"/>
                <w:sz w:val="22"/>
              </w:rPr>
            </w:pPr>
            <w:r>
              <w:rPr>
                <w:sz w:val="22"/>
                <w:szCs w:val="21"/>
              </w:rPr>
              <w:t>1</w:t>
            </w:r>
          </w:p>
        </w:tc>
        <w:tc>
          <w:tcPr>
            <w:tcW w:w="4023" w:type="dxa"/>
            <w:noWrap w:val="0"/>
            <w:vAlign w:val="center"/>
          </w:tcPr>
          <w:p>
            <w:pPr>
              <w:spacing w:line="360" w:lineRule="auto"/>
              <w:ind w:right="1100" w:rightChars="500"/>
              <w:jc w:val="center"/>
              <w:rPr>
                <w:rFonts w:ascii="宋体"/>
                <w:sz w:val="22"/>
              </w:rPr>
            </w:pPr>
          </w:p>
        </w:tc>
        <w:tc>
          <w:tcPr>
            <w:tcW w:w="4161" w:type="dxa"/>
            <w:noWrap w:val="0"/>
            <w:vAlign w:val="center"/>
          </w:tcPr>
          <w:p>
            <w:pPr>
              <w:spacing w:line="360" w:lineRule="auto"/>
              <w:ind w:right="1100" w:rightChars="50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651" w:type="dxa"/>
            <w:noWrap w:val="0"/>
            <w:vAlign w:val="center"/>
          </w:tcPr>
          <w:p>
            <w:pPr>
              <w:ind w:right="1100" w:rightChars="500"/>
              <w:jc w:val="center"/>
              <w:rPr>
                <w:rFonts w:ascii="宋体"/>
                <w:sz w:val="22"/>
              </w:rPr>
            </w:pPr>
            <w:r>
              <w:rPr>
                <w:sz w:val="22"/>
                <w:szCs w:val="21"/>
              </w:rPr>
              <w:t>2</w:t>
            </w:r>
          </w:p>
        </w:tc>
        <w:tc>
          <w:tcPr>
            <w:tcW w:w="4023" w:type="dxa"/>
            <w:noWrap w:val="0"/>
            <w:vAlign w:val="center"/>
          </w:tcPr>
          <w:p>
            <w:pPr>
              <w:spacing w:line="360" w:lineRule="auto"/>
              <w:ind w:right="1100" w:rightChars="500"/>
              <w:jc w:val="center"/>
              <w:rPr>
                <w:rFonts w:ascii="宋体"/>
                <w:sz w:val="22"/>
              </w:rPr>
            </w:pPr>
          </w:p>
        </w:tc>
        <w:tc>
          <w:tcPr>
            <w:tcW w:w="4161" w:type="dxa"/>
            <w:noWrap w:val="0"/>
            <w:vAlign w:val="center"/>
          </w:tcPr>
          <w:p>
            <w:pPr>
              <w:spacing w:line="360" w:lineRule="auto"/>
              <w:ind w:right="1100" w:rightChars="50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651" w:type="dxa"/>
            <w:noWrap w:val="0"/>
            <w:vAlign w:val="center"/>
          </w:tcPr>
          <w:p>
            <w:pPr>
              <w:ind w:right="1100" w:rightChars="500"/>
              <w:jc w:val="center"/>
              <w:rPr>
                <w:rFonts w:ascii="宋体"/>
                <w:sz w:val="22"/>
              </w:rPr>
            </w:pPr>
            <w:r>
              <w:rPr>
                <w:rFonts w:ascii="宋体" w:hAnsi="宋体"/>
                <w:sz w:val="22"/>
                <w:szCs w:val="21"/>
              </w:rPr>
              <w:t>…</w:t>
            </w:r>
          </w:p>
        </w:tc>
        <w:tc>
          <w:tcPr>
            <w:tcW w:w="4023" w:type="dxa"/>
            <w:noWrap w:val="0"/>
            <w:vAlign w:val="center"/>
          </w:tcPr>
          <w:p>
            <w:pPr>
              <w:spacing w:line="360" w:lineRule="auto"/>
              <w:ind w:right="1100" w:rightChars="500"/>
              <w:jc w:val="center"/>
              <w:rPr>
                <w:rFonts w:ascii="宋体"/>
                <w:sz w:val="22"/>
              </w:rPr>
            </w:pPr>
          </w:p>
        </w:tc>
        <w:tc>
          <w:tcPr>
            <w:tcW w:w="4161" w:type="dxa"/>
            <w:noWrap w:val="0"/>
            <w:vAlign w:val="center"/>
          </w:tcPr>
          <w:p>
            <w:pPr>
              <w:spacing w:line="360" w:lineRule="auto"/>
              <w:ind w:right="1100" w:rightChars="500"/>
              <w:jc w:val="center"/>
              <w:rPr>
                <w:rFonts w:ascii="宋体"/>
                <w:sz w:val="22"/>
              </w:rPr>
            </w:pPr>
          </w:p>
        </w:tc>
      </w:tr>
    </w:tbl>
    <w:p>
      <w:pPr>
        <w:pStyle w:val="54"/>
        <w:spacing w:line="360" w:lineRule="auto"/>
        <w:ind w:right="1100" w:rightChars="500"/>
        <w:rPr>
          <w:rFonts w:hAnsi="宋体" w:cs="Calibri"/>
          <w:sz w:val="20"/>
          <w:szCs w:val="21"/>
        </w:rPr>
      </w:pPr>
      <w:r>
        <w:rPr>
          <w:rFonts w:hint="eastAsia" w:hAnsi="宋体" w:cs="Calibri"/>
          <w:b/>
          <w:sz w:val="20"/>
          <w:szCs w:val="21"/>
        </w:rPr>
        <w:t>表格填写说明</w:t>
      </w:r>
      <w:r>
        <w:rPr>
          <w:rFonts w:hint="eastAsia" w:hAnsi="宋体" w:cs="Calibri"/>
          <w:sz w:val="20"/>
          <w:szCs w:val="21"/>
        </w:rPr>
        <w:t>：</w:t>
      </w:r>
    </w:p>
    <w:p>
      <w:pPr>
        <w:pStyle w:val="54"/>
        <w:spacing w:line="360" w:lineRule="auto"/>
        <w:ind w:right="1100" w:rightChars="500" w:firstLine="420"/>
        <w:rPr>
          <w:rFonts w:hAnsi="宋体" w:cs="Calibri"/>
          <w:b/>
          <w:bCs/>
          <w:sz w:val="20"/>
          <w:szCs w:val="21"/>
        </w:rPr>
      </w:pPr>
      <w:r>
        <w:rPr>
          <w:rFonts w:hAnsi="宋体" w:cs="Calibri"/>
          <w:b/>
          <w:bCs/>
          <w:sz w:val="20"/>
          <w:szCs w:val="21"/>
        </w:rPr>
        <w:t>1</w:t>
      </w:r>
      <w:r>
        <w:rPr>
          <w:rFonts w:hint="eastAsia" w:hAnsi="宋体" w:cs="Calibri"/>
          <w:b/>
          <w:bCs/>
          <w:sz w:val="20"/>
          <w:szCs w:val="21"/>
        </w:rPr>
        <w:t>、供应商应根据实际情况，填写本表格，若无偏离，则勾选A项，签字盖章即可。若有偏离，则勾选B项，按表格要求及实际情况填写后，签字盖章。</w:t>
      </w:r>
    </w:p>
    <w:p>
      <w:pPr>
        <w:pStyle w:val="54"/>
        <w:spacing w:before="120" w:after="120" w:line="360" w:lineRule="auto"/>
        <w:ind w:right="1100" w:rightChars="500" w:firstLine="420"/>
        <w:rPr>
          <w:rFonts w:hAnsi="宋体" w:cs="Calibri"/>
          <w:b/>
          <w:bCs/>
          <w:sz w:val="21"/>
          <w:szCs w:val="22"/>
        </w:rPr>
      </w:pPr>
      <w:r>
        <w:rPr>
          <w:rFonts w:hint="eastAsia" w:hAnsi="宋体" w:cs="Calibri"/>
          <w:b/>
          <w:bCs/>
          <w:sz w:val="20"/>
          <w:szCs w:val="21"/>
        </w:rPr>
        <w:t>2、表格中“供应商技术规范和服务要求响应条款描述”请供应商根据实际情况如实、完</w:t>
      </w:r>
      <w:r>
        <w:rPr>
          <w:rFonts w:hint="eastAsia" w:hAnsi="宋体" w:cs="Calibri"/>
          <w:b/>
          <w:bCs/>
          <w:sz w:val="21"/>
          <w:szCs w:val="22"/>
        </w:rPr>
        <w:t>整、准确的填写。</w:t>
      </w:r>
    </w:p>
    <w:p>
      <w:pPr>
        <w:pStyle w:val="11"/>
        <w:rPr>
          <w:sz w:val="20"/>
        </w:rPr>
      </w:pPr>
    </w:p>
    <w:p>
      <w:pPr>
        <w:pStyle w:val="11"/>
        <w:spacing w:before="10"/>
        <w:rPr>
          <w:sz w:val="15"/>
        </w:rPr>
      </w:pPr>
    </w:p>
    <w:p>
      <w:pPr>
        <w:pStyle w:val="11"/>
        <w:spacing w:before="66"/>
        <w:ind w:left="440"/>
      </w:pPr>
      <w:r>
        <w:rPr>
          <w:spacing w:val="-21"/>
        </w:rPr>
        <w:t>供应商名称：</w:t>
      </w:r>
      <w:r>
        <w:rPr>
          <w:u w:val="single"/>
        </w:rPr>
        <w:t xml:space="preserve">（盖章）     </w:t>
      </w:r>
      <w:r>
        <w:t xml:space="preserve">    </w:t>
      </w:r>
    </w:p>
    <w:p>
      <w:pPr>
        <w:pStyle w:val="11"/>
        <w:spacing w:before="163" w:line="367" w:lineRule="auto"/>
        <w:ind w:left="440" w:right="5396"/>
      </w:pPr>
      <w:r>
        <w:t>法人或授权代表：</w:t>
      </w:r>
      <w:r>
        <w:rPr>
          <w:u w:val="single"/>
        </w:rPr>
        <w:t xml:space="preserve">           </w:t>
      </w:r>
      <w:r>
        <w:t xml:space="preserve">（签名或盖章） 日期： </w:t>
      </w:r>
    </w:p>
    <w:p>
      <w:pPr>
        <w:spacing w:after="0" w:line="367" w:lineRule="auto"/>
        <w:sectPr>
          <w:pgSz w:w="12240" w:h="15840"/>
          <w:pgMar w:top="1500" w:right="0" w:bottom="920" w:left="1240" w:header="0" w:footer="727" w:gutter="0"/>
          <w:cols w:space="720" w:num="1"/>
        </w:sectPr>
      </w:pPr>
    </w:p>
    <w:p>
      <w:pPr>
        <w:pStyle w:val="11"/>
        <w:spacing w:before="11"/>
        <w:rPr>
          <w:sz w:val="11"/>
        </w:rPr>
      </w:pPr>
    </w:p>
    <w:p>
      <w:pPr>
        <w:pStyle w:val="2"/>
        <w:ind w:right="1236"/>
        <w:outlineLvl w:val="0"/>
      </w:pPr>
      <w:bookmarkStart w:id="40" w:name="_Toc12647"/>
      <w:r>
        <w:t>八、技术部分</w:t>
      </w:r>
      <w:bookmarkEnd w:id="40"/>
    </w:p>
    <w:p>
      <w:pPr>
        <w:pStyle w:val="11"/>
        <w:spacing w:before="9"/>
        <w:rPr>
          <w:b/>
          <w:sz w:val="40"/>
        </w:rPr>
      </w:pPr>
    </w:p>
    <w:p>
      <w:pPr>
        <w:spacing w:before="1"/>
        <w:ind w:left="200" w:right="0" w:firstLine="0"/>
        <w:jc w:val="left"/>
        <w:rPr>
          <w:sz w:val="21"/>
        </w:rPr>
      </w:pPr>
      <w:r>
        <w:rPr>
          <w:rFonts w:hint="eastAsia"/>
          <w:sz w:val="21"/>
          <w:lang w:eastAsia="zh-CN"/>
        </w:rPr>
        <w:t>（</w:t>
      </w:r>
      <w:r>
        <w:rPr>
          <w:sz w:val="21"/>
        </w:rPr>
        <w:t>供应商应根据招标文件的服务要求，可采用文字并结合图形式，包括不限于地质灾害评估服务方案</w:t>
      </w:r>
      <w:r>
        <w:rPr>
          <w:rFonts w:hint="eastAsia"/>
          <w:sz w:val="21"/>
          <w:lang w:eastAsia="zh-CN"/>
        </w:rPr>
        <w:t>）</w:t>
      </w:r>
    </w:p>
    <w:p>
      <w:pPr>
        <w:spacing w:after="0"/>
        <w:jc w:val="left"/>
        <w:rPr>
          <w:sz w:val="21"/>
        </w:rPr>
        <w:sectPr>
          <w:pgSz w:w="12240" w:h="15840"/>
          <w:pgMar w:top="1500" w:right="0" w:bottom="920" w:left="1240" w:header="0" w:footer="727" w:gutter="0"/>
          <w:cols w:space="720" w:num="1"/>
        </w:sectPr>
      </w:pPr>
    </w:p>
    <w:p>
      <w:pPr>
        <w:pStyle w:val="11"/>
        <w:spacing w:before="11"/>
        <w:rPr>
          <w:sz w:val="11"/>
        </w:rPr>
      </w:pPr>
    </w:p>
    <w:p>
      <w:pPr>
        <w:pStyle w:val="2"/>
        <w:ind w:left="2528"/>
        <w:jc w:val="left"/>
        <w:outlineLvl w:val="0"/>
      </w:pPr>
      <w:bookmarkStart w:id="41" w:name="_Toc20428"/>
      <w:r>
        <w:t>九、中小企业声明函（如有）</w:t>
      </w:r>
      <w:bookmarkEnd w:id="41"/>
    </w:p>
    <w:p>
      <w:pPr>
        <w:pStyle w:val="11"/>
        <w:spacing w:before="10"/>
        <w:rPr>
          <w:b/>
          <w:sz w:val="46"/>
        </w:rPr>
      </w:pPr>
    </w:p>
    <w:p>
      <w:pPr>
        <w:pStyle w:val="11"/>
        <w:tabs>
          <w:tab w:val="left" w:pos="2840"/>
        </w:tabs>
        <w:spacing w:line="364" w:lineRule="auto"/>
        <w:ind w:left="200" w:right="1433" w:firstLine="480"/>
        <w:jc w:val="both"/>
      </w:pPr>
      <w:r>
        <w:t>本公司郑重声明，根据《政府采购促进中小企业发展暂行办法</w:t>
      </w:r>
      <w:r>
        <w:rPr>
          <w:spacing w:val="-120"/>
        </w:rPr>
        <w:t>》</w:t>
      </w:r>
      <w:r>
        <w:t>（财库</w:t>
      </w:r>
      <w:r>
        <w:rPr>
          <w:rFonts w:ascii="Times New Roman" w:eastAsia="Times New Roman"/>
        </w:rPr>
        <w:t>[2011]181</w:t>
      </w:r>
      <w:r>
        <w:rPr>
          <w:rFonts w:ascii="Times New Roman" w:eastAsia="Times New Roman"/>
          <w:spacing w:val="23"/>
        </w:rPr>
        <w:t xml:space="preserve"> </w:t>
      </w:r>
      <w:r>
        <w:t>号</w:t>
      </w:r>
      <w:r>
        <w:rPr>
          <w:spacing w:val="-15"/>
        </w:rPr>
        <w:t xml:space="preserve">） </w:t>
      </w:r>
      <w:r>
        <w:t>的规定，本公司为</w:t>
      </w:r>
      <w:r>
        <w:rPr>
          <w:u w:val="single"/>
        </w:rPr>
        <w:t xml:space="preserve"> </w:t>
      </w:r>
      <w:r>
        <w:rPr>
          <w:u w:val="single"/>
        </w:rPr>
        <w:tab/>
      </w:r>
      <w:r>
        <w:t>（请填写：中型、小型、微型）企业。即，本公司同时满足以</w:t>
      </w:r>
      <w:r>
        <w:rPr>
          <w:spacing w:val="-13"/>
        </w:rPr>
        <w:t>下</w:t>
      </w:r>
      <w:r>
        <w:t>条件：</w:t>
      </w:r>
    </w:p>
    <w:p>
      <w:pPr>
        <w:pStyle w:val="28"/>
        <w:numPr>
          <w:ilvl w:val="1"/>
          <w:numId w:val="36"/>
        </w:numPr>
        <w:tabs>
          <w:tab w:val="left" w:pos="863"/>
        </w:tabs>
        <w:spacing w:before="0" w:after="0" w:line="364" w:lineRule="auto"/>
        <w:ind w:left="200" w:right="1437" w:firstLine="480"/>
        <w:jc w:val="both"/>
        <w:rPr>
          <w:sz w:val="24"/>
        </w:rPr>
      </w:pPr>
      <w:r>
        <w:rPr>
          <w:sz w:val="24"/>
        </w:rPr>
        <w:t>根据《工业和信息化部、国家统计局、国家发展和改革委员会、财政部关于印发中</w:t>
      </w:r>
      <w:r>
        <w:rPr>
          <w:spacing w:val="-5"/>
          <w:sz w:val="24"/>
        </w:rPr>
        <w:t>小企业划型标准规定的通知》</w:t>
      </w:r>
      <w:r>
        <w:rPr>
          <w:spacing w:val="4"/>
          <w:sz w:val="24"/>
        </w:rPr>
        <w:t>（</w:t>
      </w:r>
      <w:r>
        <w:rPr>
          <w:spacing w:val="5"/>
          <w:sz w:val="24"/>
        </w:rPr>
        <w:t>工信部联企业</w:t>
      </w:r>
      <w:r>
        <w:rPr>
          <w:rFonts w:ascii="Times New Roman" w:eastAsia="Times New Roman"/>
          <w:sz w:val="24"/>
        </w:rPr>
        <w:t>[2011]300</w:t>
      </w:r>
      <w:r>
        <w:rPr>
          <w:rFonts w:ascii="Times New Roman" w:eastAsia="Times New Roman"/>
          <w:spacing w:val="58"/>
          <w:sz w:val="24"/>
        </w:rPr>
        <w:t xml:space="preserve"> </w:t>
      </w:r>
      <w:r>
        <w:rPr>
          <w:spacing w:val="4"/>
          <w:sz w:val="24"/>
        </w:rPr>
        <w:t>号</w:t>
      </w:r>
      <w:r>
        <w:rPr>
          <w:spacing w:val="6"/>
          <w:sz w:val="24"/>
        </w:rPr>
        <w:t>）</w:t>
      </w:r>
      <w:r>
        <w:rPr>
          <w:spacing w:val="3"/>
          <w:sz w:val="24"/>
        </w:rPr>
        <w:t>规定的划分标准，本公司为</w:t>
      </w:r>
    </w:p>
    <w:p>
      <w:pPr>
        <w:pStyle w:val="11"/>
        <w:tabs>
          <w:tab w:val="left" w:pos="920"/>
        </w:tabs>
        <w:spacing w:line="307" w:lineRule="exact"/>
        <w:ind w:left="200"/>
      </w:pPr>
      <w:r>
        <w:rPr>
          <w:rFonts w:ascii="Times New Roman" w:eastAsia="Times New Roman"/>
          <w:u w:val="single"/>
        </w:rPr>
        <w:t xml:space="preserve"> </w:t>
      </w:r>
      <w:r>
        <w:rPr>
          <w:rFonts w:ascii="Times New Roman" w:eastAsia="Times New Roman"/>
          <w:u w:val="single"/>
        </w:rPr>
        <w:tab/>
      </w:r>
      <w:r>
        <w:t>（请填写：中型、小型、微型）企业。</w:t>
      </w:r>
    </w:p>
    <w:p>
      <w:pPr>
        <w:pStyle w:val="28"/>
        <w:numPr>
          <w:ilvl w:val="1"/>
          <w:numId w:val="36"/>
        </w:numPr>
        <w:tabs>
          <w:tab w:val="left" w:pos="863"/>
          <w:tab w:val="left" w:pos="2795"/>
          <w:tab w:val="left" w:pos="4242"/>
        </w:tabs>
        <w:spacing w:before="157" w:after="0" w:line="364" w:lineRule="auto"/>
        <w:ind w:left="200" w:right="1434" w:firstLine="480"/>
        <w:jc w:val="both"/>
        <w:rPr>
          <w:sz w:val="24"/>
        </w:rPr>
      </w:pPr>
      <w:r>
        <w:rPr>
          <w:sz w:val="24"/>
        </w:rPr>
        <w:t>本公司参加</w:t>
      </w:r>
      <w:r>
        <w:rPr>
          <w:sz w:val="24"/>
          <w:u w:val="single"/>
        </w:rPr>
        <w:t xml:space="preserve"> </w:t>
      </w:r>
      <w:r>
        <w:rPr>
          <w:sz w:val="24"/>
          <w:u w:val="single"/>
        </w:rPr>
        <w:tab/>
      </w:r>
      <w:r>
        <w:rPr>
          <w:sz w:val="24"/>
        </w:rPr>
        <w:t>单位的</w:t>
      </w:r>
      <w:r>
        <w:rPr>
          <w:sz w:val="24"/>
          <w:u w:val="single"/>
        </w:rPr>
        <w:t xml:space="preserve"> </w:t>
      </w:r>
      <w:r>
        <w:rPr>
          <w:sz w:val="24"/>
          <w:u w:val="single"/>
        </w:rPr>
        <w:tab/>
      </w:r>
      <w:r>
        <w:rPr>
          <w:sz w:val="24"/>
        </w:rPr>
        <w:t>项目采购活动提供本企业制造的货物，由本企业</w:t>
      </w:r>
      <w:r>
        <w:rPr>
          <w:spacing w:val="-10"/>
          <w:sz w:val="24"/>
        </w:rPr>
        <w:t>承</w:t>
      </w:r>
      <w:r>
        <w:rPr>
          <w:sz w:val="24"/>
        </w:rPr>
        <w:t>担工程</w:t>
      </w:r>
      <w:r>
        <w:rPr>
          <w:spacing w:val="-34"/>
          <w:sz w:val="24"/>
        </w:rPr>
        <w:t>、</w:t>
      </w:r>
      <w:r>
        <w:rPr>
          <w:sz w:val="24"/>
        </w:rPr>
        <w:t>提供服务</w:t>
      </w:r>
      <w:r>
        <w:rPr>
          <w:spacing w:val="-34"/>
          <w:sz w:val="24"/>
        </w:rPr>
        <w:t>，</w:t>
      </w:r>
      <w:r>
        <w:rPr>
          <w:sz w:val="24"/>
        </w:rPr>
        <w:t>或者提供其他</w:t>
      </w:r>
      <w:r>
        <w:rPr>
          <w:sz w:val="24"/>
          <w:u w:val="single"/>
        </w:rPr>
        <w:t xml:space="preserve">   </w:t>
      </w:r>
      <w:r>
        <w:rPr>
          <w:spacing w:val="86"/>
          <w:sz w:val="24"/>
        </w:rPr>
        <w:t xml:space="preserve"> </w:t>
      </w:r>
      <w:r>
        <w:rPr>
          <w:sz w:val="24"/>
        </w:rPr>
        <w:t>（请填写</w:t>
      </w:r>
      <w:r>
        <w:rPr>
          <w:spacing w:val="-34"/>
          <w:sz w:val="24"/>
        </w:rPr>
        <w:t>：</w:t>
      </w:r>
      <w:r>
        <w:rPr>
          <w:sz w:val="24"/>
        </w:rPr>
        <w:t>中型</w:t>
      </w:r>
      <w:r>
        <w:rPr>
          <w:spacing w:val="-34"/>
          <w:sz w:val="24"/>
        </w:rPr>
        <w:t>、</w:t>
      </w:r>
      <w:r>
        <w:rPr>
          <w:sz w:val="24"/>
        </w:rPr>
        <w:t>小型</w:t>
      </w:r>
      <w:r>
        <w:rPr>
          <w:spacing w:val="-34"/>
          <w:sz w:val="24"/>
        </w:rPr>
        <w:t>、</w:t>
      </w:r>
      <w:r>
        <w:rPr>
          <w:spacing w:val="-3"/>
          <w:sz w:val="24"/>
        </w:rPr>
        <w:t>微</w:t>
      </w:r>
      <w:r>
        <w:rPr>
          <w:sz w:val="24"/>
        </w:rPr>
        <w:t>型</w:t>
      </w:r>
      <w:r>
        <w:rPr>
          <w:spacing w:val="-34"/>
          <w:sz w:val="24"/>
        </w:rPr>
        <w:t>）</w:t>
      </w:r>
      <w:r>
        <w:rPr>
          <w:sz w:val="24"/>
        </w:rPr>
        <w:t>企业制造的货物</w:t>
      </w:r>
      <w:r>
        <w:rPr>
          <w:spacing w:val="-13"/>
          <w:sz w:val="24"/>
        </w:rPr>
        <w:t>。</w:t>
      </w:r>
      <w:r>
        <w:rPr>
          <w:sz w:val="24"/>
        </w:rPr>
        <w:t>本条所称货物不包括使用大型企业注册商标的货物。</w:t>
      </w:r>
    </w:p>
    <w:p>
      <w:pPr>
        <w:pStyle w:val="28"/>
        <w:numPr>
          <w:ilvl w:val="1"/>
          <w:numId w:val="36"/>
        </w:numPr>
        <w:tabs>
          <w:tab w:val="left" w:pos="1017"/>
        </w:tabs>
        <w:spacing w:before="0" w:after="0" w:line="305" w:lineRule="exact"/>
        <w:ind w:left="1016" w:right="0" w:hanging="337"/>
        <w:jc w:val="both"/>
        <w:rPr>
          <w:sz w:val="24"/>
        </w:rPr>
      </w:pPr>
      <w:r>
        <w:rPr>
          <w:spacing w:val="35"/>
          <w:sz w:val="24"/>
        </w:rPr>
        <w:t>中华人民共和国工商行政管理总局官网上</w:t>
      </w:r>
      <w:r>
        <w:rPr>
          <w:rFonts w:ascii="Times New Roman" w:hAnsi="Times New Roman" w:eastAsia="Times New Roman"/>
          <w:spacing w:val="-13"/>
          <w:sz w:val="24"/>
        </w:rPr>
        <w:t xml:space="preserve">“ </w:t>
      </w:r>
      <w:r>
        <w:rPr>
          <w:spacing w:val="35"/>
          <w:sz w:val="24"/>
        </w:rPr>
        <w:t>小微企业名录</w:t>
      </w:r>
      <w:r>
        <w:rPr>
          <w:rFonts w:ascii="Times New Roman" w:hAnsi="Times New Roman" w:eastAsia="Times New Roman"/>
          <w:spacing w:val="-13"/>
          <w:sz w:val="24"/>
        </w:rPr>
        <w:t xml:space="preserve">” </w:t>
      </w:r>
      <w:r>
        <w:rPr>
          <w:spacing w:val="29"/>
          <w:sz w:val="24"/>
        </w:rPr>
        <w:t>查询截图证明</w:t>
      </w:r>
    </w:p>
    <w:p>
      <w:pPr>
        <w:pStyle w:val="11"/>
        <w:spacing w:before="161"/>
        <w:ind w:left="200"/>
      </w:pPr>
      <w:r>
        <w:t xml:space="preserve">（ </w:t>
      </w:r>
      <w:r>
        <w:fldChar w:fldCharType="begin"/>
      </w:r>
      <w:r>
        <w:instrText xml:space="preserve"> HYPERLINK "http://xwqy.gsxt.gov.cn/" \h </w:instrText>
      </w:r>
      <w:r>
        <w:fldChar w:fldCharType="separate"/>
      </w:r>
      <w:r>
        <w:rPr>
          <w:rFonts w:ascii="Times New Roman" w:eastAsia="Times New Roman"/>
        </w:rPr>
        <w:t>http:/</w:t>
      </w:r>
      <w:r>
        <w:rPr>
          <w:rFonts w:ascii="Times New Roman" w:eastAsia="Times New Roman"/>
          <w:spacing w:val="-2"/>
        </w:rPr>
        <w:t>/</w:t>
      </w:r>
      <w:r>
        <w:rPr>
          <w:rFonts w:ascii="Times New Roman" w:eastAsia="Times New Roman"/>
          <w:spacing w:val="2"/>
        </w:rPr>
        <w:t>x</w:t>
      </w:r>
      <w:r>
        <w:rPr>
          <w:rFonts w:ascii="Times New Roman" w:eastAsia="Times New Roman"/>
          <w:w w:val="99"/>
        </w:rPr>
        <w:t>w</w:t>
      </w:r>
      <w:r>
        <w:rPr>
          <w:rFonts w:ascii="Times New Roman" w:eastAsia="Times New Roman"/>
          <w:spacing w:val="1"/>
          <w:w w:val="99"/>
        </w:rPr>
        <w:t>q</w:t>
      </w:r>
      <w:r>
        <w:rPr>
          <w:rFonts w:ascii="Times New Roman" w:eastAsia="Times New Roman"/>
          <w:spacing w:val="-22"/>
        </w:rPr>
        <w:t>y</w:t>
      </w:r>
      <w:r>
        <w:rPr>
          <w:rFonts w:ascii="Times New Roman" w:eastAsia="Times New Roman"/>
          <w:spacing w:val="2"/>
        </w:rPr>
        <w:t>.</w:t>
      </w:r>
      <w:r>
        <w:rPr>
          <w:rFonts w:ascii="Times New Roman" w:eastAsia="Times New Roman"/>
          <w:spacing w:val="-3"/>
        </w:rPr>
        <w:t>g</w:t>
      </w:r>
      <w:r>
        <w:rPr>
          <w:rFonts w:ascii="Times New Roman" w:eastAsia="Times New Roman"/>
          <w:w w:val="99"/>
        </w:rPr>
        <w:t>s</w:t>
      </w:r>
      <w:r>
        <w:rPr>
          <w:rFonts w:ascii="Times New Roman" w:eastAsia="Times New Roman"/>
          <w:spacing w:val="2"/>
          <w:w w:val="99"/>
        </w:rPr>
        <w:t>x</w:t>
      </w:r>
      <w:r>
        <w:rPr>
          <w:rFonts w:ascii="Times New Roman" w:eastAsia="Times New Roman"/>
        </w:rPr>
        <w:t>t.</w:t>
      </w:r>
      <w:r>
        <w:rPr>
          <w:rFonts w:ascii="Times New Roman" w:eastAsia="Times New Roman"/>
          <w:spacing w:val="-2"/>
        </w:rPr>
        <w:t>g</w:t>
      </w:r>
      <w:r>
        <w:rPr>
          <w:rFonts w:ascii="Times New Roman" w:eastAsia="Times New Roman"/>
        </w:rPr>
        <w:t>o</w:t>
      </w:r>
      <w:r>
        <w:rPr>
          <w:rFonts w:ascii="Times New Roman" w:eastAsia="Times New Roman"/>
          <w:spacing w:val="-15"/>
        </w:rPr>
        <w:t>v</w:t>
      </w:r>
      <w:r>
        <w:rPr>
          <w:rFonts w:ascii="Times New Roman" w:eastAsia="Times New Roman"/>
        </w:rPr>
        <w:t>.</w:t>
      </w:r>
      <w:r>
        <w:rPr>
          <w:rFonts w:ascii="Times New Roman" w:eastAsia="Times New Roman"/>
          <w:spacing w:val="-1"/>
        </w:rPr>
        <w:t>c</w:t>
      </w:r>
      <w:r>
        <w:rPr>
          <w:rFonts w:ascii="Times New Roman" w:eastAsia="Times New Roman"/>
        </w:rPr>
        <w:t>n</w:t>
      </w:r>
      <w:r>
        <w:rPr>
          <w:rFonts w:ascii="Times New Roman" w:eastAsia="Times New Roman"/>
          <w:spacing w:val="2"/>
        </w:rPr>
        <w:t>/</w:t>
      </w:r>
      <w:r>
        <w:rPr>
          <w:rFonts w:ascii="Times New Roman" w:eastAsia="Times New Roman"/>
          <w:spacing w:val="2"/>
        </w:rPr>
        <w:fldChar w:fldCharType="end"/>
      </w:r>
      <w:r>
        <w:rPr>
          <w:spacing w:val="-120"/>
        </w:rPr>
        <w:t>）。</w:t>
      </w:r>
    </w:p>
    <w:p>
      <w:pPr>
        <w:pStyle w:val="11"/>
        <w:spacing w:before="158"/>
        <w:ind w:left="680"/>
      </w:pPr>
      <w:r>
        <w:t>本公司对上述声明的真实性负责。如有虚假，将依法承担相应责任。</w:t>
      </w:r>
    </w:p>
    <w:p>
      <w:pPr>
        <w:pStyle w:val="11"/>
      </w:pPr>
    </w:p>
    <w:p>
      <w:pPr>
        <w:pStyle w:val="11"/>
      </w:pPr>
    </w:p>
    <w:p>
      <w:pPr>
        <w:pStyle w:val="11"/>
      </w:pPr>
    </w:p>
    <w:p>
      <w:pPr>
        <w:pStyle w:val="11"/>
      </w:pPr>
    </w:p>
    <w:p>
      <w:pPr>
        <w:pStyle w:val="11"/>
        <w:spacing w:before="172" w:line="364" w:lineRule="auto"/>
        <w:ind w:left="680" w:right="8277"/>
      </w:pPr>
      <w:r>
        <w:t>单位名称（盖章</w:t>
      </w:r>
      <w:r>
        <w:rPr>
          <w:spacing w:val="-129"/>
        </w:rPr>
        <w:t>）</w:t>
      </w:r>
      <w:r>
        <w:rPr>
          <w:spacing w:val="-9"/>
        </w:rPr>
        <w:t>：</w:t>
      </w:r>
      <w:r>
        <w:t>日期：</w:t>
      </w:r>
    </w:p>
    <w:p>
      <w:pPr>
        <w:pStyle w:val="11"/>
      </w:pPr>
    </w:p>
    <w:p>
      <w:pPr>
        <w:pStyle w:val="11"/>
      </w:pPr>
    </w:p>
    <w:p>
      <w:pPr>
        <w:pStyle w:val="11"/>
        <w:spacing w:before="12"/>
        <w:rPr>
          <w:sz w:val="25"/>
        </w:rPr>
      </w:pPr>
    </w:p>
    <w:p>
      <w:pPr>
        <w:pStyle w:val="11"/>
        <w:ind w:left="680"/>
      </w:pPr>
      <w:r>
        <w:t>注：</w:t>
      </w:r>
    </w:p>
    <w:p>
      <w:pPr>
        <w:pStyle w:val="11"/>
        <w:spacing w:before="160" w:line="364" w:lineRule="auto"/>
        <w:ind w:left="200" w:right="1436" w:firstLine="480"/>
        <w:jc w:val="both"/>
      </w:pPr>
      <w:r>
        <w:rPr>
          <w:rFonts w:ascii="Times New Roman" w:eastAsia="Times New Roman"/>
        </w:rPr>
        <w:t>1</w:t>
      </w:r>
      <w:r>
        <w:rPr>
          <w:spacing w:val="-12"/>
        </w:rPr>
        <w:t>、供应商符合《工业和信息化部、国家统计局、国家发展和改革委员会、财政部关于</w:t>
      </w:r>
      <w:r>
        <w:t>印发中小企业划型标准规定的通知</w:t>
      </w:r>
      <w:r>
        <w:rPr>
          <w:spacing w:val="-149"/>
        </w:rPr>
        <w:t>》</w:t>
      </w:r>
      <w:r>
        <w:t>（</w:t>
      </w:r>
      <w:r>
        <w:rPr>
          <w:spacing w:val="-5"/>
        </w:rPr>
        <w:t>工信部联企业〔</w:t>
      </w:r>
      <w:r>
        <w:rPr>
          <w:rFonts w:ascii="Times New Roman" w:eastAsia="Times New Roman"/>
          <w:spacing w:val="-3"/>
        </w:rPr>
        <w:t>2011</w:t>
      </w:r>
      <w:r>
        <w:rPr>
          <w:spacing w:val="-29"/>
        </w:rPr>
        <w:t>〕</w:t>
      </w:r>
      <w:r>
        <w:rPr>
          <w:rFonts w:ascii="Times New Roman" w:eastAsia="Times New Roman"/>
        </w:rPr>
        <w:t xml:space="preserve">300 </w:t>
      </w:r>
      <w:r>
        <w:t>号</w:t>
      </w:r>
      <w:r>
        <w:rPr>
          <w:spacing w:val="-29"/>
        </w:rPr>
        <w:t>）</w:t>
      </w:r>
      <w:r>
        <w:rPr>
          <w:spacing w:val="-2"/>
        </w:rPr>
        <w:t>规定的划分标准为中</w:t>
      </w:r>
      <w:r>
        <w:rPr>
          <w:spacing w:val="-18"/>
        </w:rPr>
        <w:t>小型企业适用。</w:t>
      </w:r>
      <w:r>
        <w:t>）</w:t>
      </w:r>
    </w:p>
    <w:p>
      <w:pPr>
        <w:pStyle w:val="11"/>
        <w:spacing w:line="307" w:lineRule="exact"/>
        <w:ind w:left="680"/>
      </w:pPr>
      <w:r>
        <w:rPr>
          <w:rFonts w:ascii="Times New Roman" w:eastAsia="Times New Roman"/>
        </w:rPr>
        <w:t>2</w:t>
      </w:r>
      <w:r>
        <w:t>、供应商为非企业单位的，可不提供此声明。</w:t>
      </w:r>
    </w:p>
    <w:p>
      <w:pPr>
        <w:spacing w:after="0" w:line="307" w:lineRule="exact"/>
        <w:sectPr>
          <w:pgSz w:w="12240" w:h="15840"/>
          <w:pgMar w:top="1500" w:right="0" w:bottom="920" w:left="1240" w:header="0" w:footer="727" w:gutter="0"/>
          <w:cols w:space="720" w:num="1"/>
        </w:sectPr>
      </w:pPr>
    </w:p>
    <w:p>
      <w:pPr>
        <w:pStyle w:val="11"/>
        <w:spacing w:before="11"/>
        <w:rPr>
          <w:sz w:val="11"/>
        </w:rPr>
      </w:pPr>
    </w:p>
    <w:p>
      <w:pPr>
        <w:pStyle w:val="2"/>
        <w:ind w:right="1237"/>
        <w:outlineLvl w:val="0"/>
      </w:pPr>
      <w:bookmarkStart w:id="42" w:name="_Toc22926"/>
      <w:r>
        <w:t>十、监狱企业证明（如有）</w:t>
      </w:r>
      <w:bookmarkEnd w:id="42"/>
    </w:p>
    <w:p>
      <w:pPr>
        <w:pStyle w:val="11"/>
        <w:rPr>
          <w:b/>
          <w:sz w:val="36"/>
        </w:rPr>
      </w:pPr>
    </w:p>
    <w:p>
      <w:pPr>
        <w:pStyle w:val="11"/>
        <w:rPr>
          <w:b/>
          <w:sz w:val="43"/>
        </w:rPr>
      </w:pPr>
    </w:p>
    <w:p>
      <w:pPr>
        <w:pStyle w:val="11"/>
        <w:spacing w:line="364" w:lineRule="auto"/>
        <w:ind w:left="200" w:right="1437" w:firstLine="480"/>
      </w:pPr>
      <w:r>
        <w:t>省级以上监狱管理局、戒毒管理局（含新疆生产建设兵团）出具的属于监狱企业的证明文件。</w:t>
      </w:r>
    </w:p>
    <w:p>
      <w:pPr>
        <w:pStyle w:val="11"/>
      </w:pPr>
    </w:p>
    <w:p>
      <w:pPr>
        <w:pStyle w:val="11"/>
      </w:pPr>
    </w:p>
    <w:p>
      <w:pPr>
        <w:pStyle w:val="11"/>
      </w:pPr>
    </w:p>
    <w:p>
      <w:pPr>
        <w:pStyle w:val="11"/>
        <w:spacing w:before="5"/>
        <w:rPr>
          <w:sz w:val="18"/>
        </w:rPr>
      </w:pPr>
    </w:p>
    <w:p>
      <w:r>
        <w:br w:type="page"/>
      </w:r>
    </w:p>
    <w:p>
      <w:pPr>
        <w:pStyle w:val="2"/>
        <w:spacing w:before="0"/>
        <w:ind w:right="1240"/>
        <w:outlineLvl w:val="0"/>
      </w:pPr>
      <w:bookmarkStart w:id="43" w:name="_Toc24548"/>
      <w:r>
        <w:t>十一、残疾人福利性单位声明函（如有）</w:t>
      </w:r>
      <w:bookmarkEnd w:id="43"/>
    </w:p>
    <w:p>
      <w:pPr>
        <w:pStyle w:val="11"/>
        <w:rPr>
          <w:b/>
          <w:sz w:val="36"/>
        </w:rPr>
      </w:pPr>
    </w:p>
    <w:p>
      <w:pPr>
        <w:pStyle w:val="11"/>
        <w:rPr>
          <w:b/>
          <w:sz w:val="43"/>
        </w:rPr>
      </w:pPr>
    </w:p>
    <w:p>
      <w:pPr>
        <w:pStyle w:val="11"/>
        <w:tabs>
          <w:tab w:val="left" w:pos="2360"/>
          <w:tab w:val="left" w:pos="3800"/>
        </w:tabs>
        <w:spacing w:before="1" w:line="364" w:lineRule="auto"/>
        <w:ind w:left="200" w:right="1436" w:firstLine="480"/>
        <w:jc w:val="both"/>
      </w:pPr>
      <w:r>
        <w:t>本单位郑重声明，根据《财政部 民政部 中国残疾人联合会关于促进残疾人就业政</w:t>
      </w:r>
      <w:r>
        <w:rPr>
          <w:spacing w:val="-16"/>
        </w:rPr>
        <w:t>府</w:t>
      </w:r>
      <w:r>
        <w:t>采购政策的通知</w:t>
      </w:r>
      <w:r>
        <w:rPr>
          <w:spacing w:val="-180"/>
        </w:rPr>
        <w:t>》</w:t>
      </w:r>
      <w:r>
        <w:t>（财</w:t>
      </w:r>
      <w:r>
        <w:rPr>
          <w:spacing w:val="-60"/>
        </w:rPr>
        <w:t>库</w:t>
      </w:r>
      <w:r>
        <w:t>〔</w:t>
      </w:r>
      <w:r>
        <w:rPr>
          <w:rFonts w:ascii="Times New Roman" w:eastAsia="Times New Roman"/>
        </w:rPr>
        <w:t>2017</w:t>
      </w:r>
      <w:r>
        <w:rPr>
          <w:spacing w:val="-60"/>
        </w:rPr>
        <w:t>〕</w:t>
      </w:r>
      <w:r>
        <w:rPr>
          <w:rFonts w:ascii="Times New Roman" w:eastAsia="Times New Roman"/>
        </w:rPr>
        <w:t xml:space="preserve">141 </w:t>
      </w:r>
      <w:r>
        <w:t>号</w:t>
      </w:r>
      <w:r>
        <w:rPr>
          <w:spacing w:val="-60"/>
        </w:rPr>
        <w:t>）</w:t>
      </w:r>
      <w:r>
        <w:t>的规定</w:t>
      </w:r>
      <w:r>
        <w:rPr>
          <w:spacing w:val="-60"/>
        </w:rPr>
        <w:t>，</w:t>
      </w:r>
      <w:r>
        <w:t>本单位为符合条件的残疾人福利性单位</w:t>
      </w:r>
      <w:r>
        <w:rPr>
          <w:spacing w:val="-16"/>
        </w:rPr>
        <w:t xml:space="preserve">， </w:t>
      </w:r>
      <w:r>
        <w:t>且本单位参加</w:t>
      </w:r>
      <w:r>
        <w:rPr>
          <w:u w:val="single"/>
        </w:rPr>
        <w:t xml:space="preserve"> </w:t>
      </w:r>
      <w:r>
        <w:rPr>
          <w:u w:val="single"/>
        </w:rPr>
        <w:tab/>
      </w:r>
      <w:r>
        <w:t>单位的</w:t>
      </w:r>
      <w:r>
        <w:rPr>
          <w:u w:val="single"/>
        </w:rPr>
        <w:t xml:space="preserve"> </w:t>
      </w:r>
      <w:r>
        <w:rPr>
          <w:u w:val="single"/>
        </w:rPr>
        <w:tab/>
      </w:r>
      <w:r>
        <w:t>项目采购活动提供本单位制造的货物（由本单位承担</w:t>
      </w:r>
      <w:r>
        <w:rPr>
          <w:spacing w:val="-16"/>
        </w:rPr>
        <w:t>工</w:t>
      </w:r>
      <w:r>
        <w:rPr>
          <w:spacing w:val="2"/>
        </w:rPr>
        <w:t>程</w:t>
      </w:r>
      <w:r>
        <w:rPr>
          <w:rFonts w:ascii="Times New Roman" w:eastAsia="Times New Roman"/>
          <w:spacing w:val="2"/>
        </w:rPr>
        <w:t>/</w:t>
      </w:r>
      <w:r>
        <w:t>提</w:t>
      </w:r>
      <w:r>
        <w:rPr>
          <w:spacing w:val="2"/>
        </w:rPr>
        <w:t>供</w:t>
      </w:r>
      <w:r>
        <w:t>服</w:t>
      </w:r>
      <w:r>
        <w:rPr>
          <w:spacing w:val="2"/>
        </w:rPr>
        <w:t>务</w:t>
      </w:r>
      <w:r>
        <w:rPr>
          <w:spacing w:val="-120"/>
        </w:rPr>
        <w:t>）</w:t>
      </w:r>
      <w:r>
        <w:rPr>
          <w:spacing w:val="2"/>
        </w:rPr>
        <w:t>，或</w:t>
      </w:r>
      <w:r>
        <w:t>者提</w:t>
      </w:r>
      <w:r>
        <w:rPr>
          <w:spacing w:val="2"/>
        </w:rPr>
        <w:t>供其</w:t>
      </w:r>
      <w:r>
        <w:t>他</w:t>
      </w:r>
      <w:r>
        <w:rPr>
          <w:spacing w:val="2"/>
        </w:rPr>
        <w:t>残</w:t>
      </w:r>
      <w:r>
        <w:t>疾</w:t>
      </w:r>
      <w:r>
        <w:rPr>
          <w:spacing w:val="2"/>
        </w:rPr>
        <w:t>人福</w:t>
      </w:r>
      <w:r>
        <w:t>利</w:t>
      </w:r>
      <w:r>
        <w:rPr>
          <w:spacing w:val="2"/>
        </w:rPr>
        <w:t>性</w:t>
      </w:r>
      <w:r>
        <w:t>单</w:t>
      </w:r>
      <w:r>
        <w:rPr>
          <w:spacing w:val="2"/>
        </w:rPr>
        <w:t>位制</w:t>
      </w:r>
      <w:r>
        <w:t>造</w:t>
      </w:r>
      <w:r>
        <w:rPr>
          <w:spacing w:val="2"/>
        </w:rPr>
        <w:t>的</w:t>
      </w:r>
      <w:r>
        <w:t>货</w:t>
      </w:r>
      <w:r>
        <w:rPr>
          <w:spacing w:val="2"/>
        </w:rPr>
        <w:t>物（</w:t>
      </w:r>
      <w:r>
        <w:t>不</w:t>
      </w:r>
      <w:r>
        <w:rPr>
          <w:spacing w:val="2"/>
        </w:rPr>
        <w:t>包</w:t>
      </w:r>
      <w:r>
        <w:t>括</w:t>
      </w:r>
      <w:r>
        <w:rPr>
          <w:spacing w:val="2"/>
        </w:rPr>
        <w:t>使用</w:t>
      </w:r>
      <w:r>
        <w:t>非</w:t>
      </w:r>
      <w:r>
        <w:rPr>
          <w:spacing w:val="2"/>
        </w:rPr>
        <w:t>残</w:t>
      </w:r>
      <w:r>
        <w:t>疾</w:t>
      </w:r>
      <w:r>
        <w:rPr>
          <w:spacing w:val="2"/>
        </w:rPr>
        <w:t>人福利</w:t>
      </w:r>
      <w:r>
        <w:rPr>
          <w:spacing w:val="-11"/>
        </w:rPr>
        <w:t>性</w:t>
      </w:r>
      <w:r>
        <w:t>单位注册商标的货物</w:t>
      </w:r>
      <w:r>
        <w:rPr>
          <w:spacing w:val="-120"/>
        </w:rPr>
        <w:t>）</w:t>
      </w:r>
      <w:r>
        <w:t>。</w:t>
      </w:r>
    </w:p>
    <w:p>
      <w:pPr>
        <w:pStyle w:val="11"/>
        <w:spacing w:before="1"/>
        <w:rPr>
          <w:sz w:val="32"/>
        </w:rPr>
      </w:pPr>
    </w:p>
    <w:p>
      <w:pPr>
        <w:pStyle w:val="11"/>
        <w:ind w:left="200"/>
      </w:pPr>
      <w:r>
        <w:t>本单位对上述声明的真实性负责。如有虚假，将依法承担相应责任。</w:t>
      </w:r>
    </w:p>
    <w:p>
      <w:pPr>
        <w:pStyle w:val="11"/>
      </w:pPr>
    </w:p>
    <w:p>
      <w:pPr>
        <w:pStyle w:val="11"/>
      </w:pPr>
    </w:p>
    <w:p>
      <w:pPr>
        <w:pStyle w:val="11"/>
      </w:pPr>
    </w:p>
    <w:p>
      <w:pPr>
        <w:pStyle w:val="11"/>
      </w:pPr>
    </w:p>
    <w:p>
      <w:pPr>
        <w:pStyle w:val="11"/>
        <w:tabs>
          <w:tab w:val="left" w:pos="1160"/>
        </w:tabs>
        <w:spacing w:before="172" w:line="364" w:lineRule="auto"/>
        <w:ind w:left="680" w:right="8277"/>
      </w:pPr>
      <w:r>
        <w:t>单位名称（盖章</w:t>
      </w:r>
      <w:r>
        <w:rPr>
          <w:spacing w:val="-129"/>
        </w:rPr>
        <w:t>）</w:t>
      </w:r>
      <w:r>
        <w:rPr>
          <w:spacing w:val="-9"/>
        </w:rPr>
        <w:t>：</w:t>
      </w:r>
      <w:r>
        <w:t>日</w:t>
      </w:r>
      <w:r>
        <w:tab/>
      </w:r>
      <w:r>
        <w:t>期：</w:t>
      </w:r>
    </w:p>
    <w:p>
      <w:pPr>
        <w:pStyle w:val="11"/>
        <w:spacing w:line="306" w:lineRule="exact"/>
        <w:ind w:left="200"/>
      </w:pPr>
      <w:r>
        <w:t>注：</w:t>
      </w:r>
    </w:p>
    <w:p>
      <w:pPr>
        <w:pStyle w:val="11"/>
        <w:spacing w:before="160" w:line="362" w:lineRule="auto"/>
        <w:ind w:left="200" w:right="1435"/>
      </w:pPr>
      <w:r>
        <w:rPr>
          <w:rFonts w:ascii="Times New Roman" w:eastAsia="Times New Roman"/>
        </w:rPr>
        <w:t>1</w:t>
      </w:r>
      <w:r>
        <w:rPr>
          <w:spacing w:val="-12"/>
        </w:rPr>
        <w:t>、残疾人福利性单位视同小型、微型企业，享受预留份额、评审中价格扣除等促进中小企</w:t>
      </w:r>
      <w:r>
        <w:t>业发展的政府采购政策。残疾人福利性单位属于小型、微型企业的，不重复享受政策。</w:t>
      </w:r>
    </w:p>
    <w:p>
      <w:pPr>
        <w:pStyle w:val="11"/>
        <w:spacing w:before="5"/>
        <w:ind w:left="200"/>
      </w:pPr>
      <w:r>
        <w:rPr>
          <w:rFonts w:ascii="Times New Roman" w:eastAsia="Times New Roman"/>
        </w:rPr>
        <w:t>2</w:t>
      </w:r>
      <w:r>
        <w:t>、供应商为非残疾人福利性单位的，可不提供此声明。</w:t>
      </w:r>
    </w:p>
    <w:p>
      <w:pPr>
        <w:spacing w:after="0"/>
        <w:sectPr>
          <w:pgSz w:w="12240" w:h="15840"/>
          <w:pgMar w:top="1500" w:right="0" w:bottom="920" w:left="1240" w:header="0" w:footer="727" w:gutter="0"/>
          <w:cols w:space="720" w:num="1"/>
        </w:sectPr>
      </w:pPr>
    </w:p>
    <w:p>
      <w:pPr>
        <w:pStyle w:val="2"/>
        <w:spacing w:before="23"/>
        <w:ind w:left="3613"/>
        <w:jc w:val="left"/>
        <w:outlineLvl w:val="0"/>
      </w:pPr>
      <w:bookmarkStart w:id="44" w:name="_Toc10946"/>
      <w:r>
        <w:t>十二、其他资料</w:t>
      </w:r>
      <w:bookmarkEnd w:id="44"/>
    </w:p>
    <w:p>
      <w:pPr>
        <w:pStyle w:val="11"/>
        <w:spacing w:before="8"/>
        <w:rPr>
          <w:b/>
          <w:sz w:val="46"/>
        </w:rPr>
      </w:pPr>
    </w:p>
    <w:p>
      <w:pPr>
        <w:spacing w:before="0"/>
        <w:ind w:left="2577" w:right="0" w:firstLine="0"/>
        <w:jc w:val="left"/>
        <w:outlineLvl w:val="0"/>
        <w:rPr>
          <w:b/>
          <w:sz w:val="21"/>
        </w:rPr>
      </w:pPr>
      <w:bookmarkStart w:id="45" w:name="_Toc5749"/>
      <w:r>
        <w:rPr>
          <w:b/>
          <w:sz w:val="21"/>
        </w:rPr>
        <w:t>（供应商认为对投标有利的其他证明材料）</w:t>
      </w:r>
      <w:bookmarkEnd w:id="45"/>
    </w:p>
    <w:sectPr>
      <w:pgSz w:w="12240" w:h="15840"/>
      <w:pgMar w:top="1420" w:right="0" w:bottom="920" w:left="1240" w:header="0" w:footer="72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FontAwesome">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2"/>
      </w:rPr>
    </w:pPr>
    <w:r>
      <w:pict>
        <v:shape id="_x0000_s2049" o:spid="_x0000_s2049" o:spt="202" type="#_x0000_t202" style="position:absolute;left:0pt;margin-left:297.05pt;margin-top:781.25pt;height:12pt;width:13.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2"/>
      </w:rPr>
    </w:pPr>
    <w:r>
      <w:pict>
        <v:shape id="_x0000_s2050" o:spid="_x0000_s2050" o:spt="202" type="#_x0000_t202" style="position:absolute;left:0pt;margin-left:291.2pt;margin-top:794.6pt;height:11pt;width:13.1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20" w:lineRule="exact"/>
                  <w:ind w:left="40" w:right="0" w:firstLine="0"/>
                  <w:jc w:val="left"/>
                  <w:rPr>
                    <w:rFonts w:ascii="仿宋"/>
                    <w:b/>
                    <w:sz w:val="18"/>
                  </w:rPr>
                </w:pPr>
                <w:r>
                  <w:fldChar w:fldCharType="begin"/>
                </w:r>
                <w:r>
                  <w:rPr>
                    <w:rFonts w:ascii="仿宋"/>
                    <w:b/>
                    <w:sz w:val="18"/>
                  </w:rPr>
                  <w:instrText xml:space="preserve"> PAGE </w:instrText>
                </w:r>
                <w:r>
                  <w:fldChar w:fldCharType="separate"/>
                </w:r>
                <w:r>
                  <w:t>47</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pict>
        <v:shape id="_x0000_s2051" o:spid="_x0000_s2051" o:spt="202" type="#_x0000_t202" style="position:absolute;left:0pt;margin-left:299.5pt;margin-top:744.6pt;height:11pt;width:13.1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220" w:lineRule="exact"/>
                  <w:ind w:left="40" w:right="0" w:firstLine="0"/>
                  <w:jc w:val="left"/>
                  <w:rPr>
                    <w:rFonts w:ascii="仿宋"/>
                    <w:b/>
                    <w:sz w:val="18"/>
                  </w:rPr>
                </w:pPr>
                <w:r>
                  <w:fldChar w:fldCharType="begin"/>
                </w:r>
                <w:r>
                  <w:rPr>
                    <w:rFonts w:ascii="仿宋"/>
                    <w:b/>
                    <w:sz w:val="18"/>
                  </w:rPr>
                  <w:instrText xml:space="preserve"> PAGE </w:instrText>
                </w:r>
                <w:r>
                  <w:fldChar w:fldCharType="separate"/>
                </w:r>
                <w:r>
                  <w:t>54</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1474"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390" w:hanging="601"/>
      </w:pPr>
      <w:rPr>
        <w:rFonts w:hint="default"/>
        <w:lang w:val="zh-CN" w:eastAsia="zh-CN" w:bidi="zh-CN"/>
      </w:rPr>
    </w:lvl>
    <w:lvl w:ilvl="2" w:tentative="0">
      <w:start w:val="0"/>
      <w:numFmt w:val="bullet"/>
      <w:lvlText w:val="•"/>
      <w:lvlJc w:val="left"/>
      <w:pPr>
        <w:ind w:left="3301" w:hanging="601"/>
      </w:pPr>
      <w:rPr>
        <w:rFonts w:hint="default"/>
        <w:lang w:val="zh-CN" w:eastAsia="zh-CN" w:bidi="zh-CN"/>
      </w:rPr>
    </w:lvl>
    <w:lvl w:ilvl="3" w:tentative="0">
      <w:start w:val="0"/>
      <w:numFmt w:val="bullet"/>
      <w:lvlText w:val="•"/>
      <w:lvlJc w:val="left"/>
      <w:pPr>
        <w:ind w:left="4211" w:hanging="601"/>
      </w:pPr>
      <w:rPr>
        <w:rFonts w:hint="default"/>
        <w:lang w:val="zh-CN" w:eastAsia="zh-CN" w:bidi="zh-CN"/>
      </w:rPr>
    </w:lvl>
    <w:lvl w:ilvl="4" w:tentative="0">
      <w:start w:val="0"/>
      <w:numFmt w:val="bullet"/>
      <w:lvlText w:val="•"/>
      <w:lvlJc w:val="left"/>
      <w:pPr>
        <w:ind w:left="5122" w:hanging="601"/>
      </w:pPr>
      <w:rPr>
        <w:rFonts w:hint="default"/>
        <w:lang w:val="zh-CN" w:eastAsia="zh-CN" w:bidi="zh-CN"/>
      </w:rPr>
    </w:lvl>
    <w:lvl w:ilvl="5" w:tentative="0">
      <w:start w:val="0"/>
      <w:numFmt w:val="bullet"/>
      <w:lvlText w:val="•"/>
      <w:lvlJc w:val="left"/>
      <w:pPr>
        <w:ind w:left="6033" w:hanging="601"/>
      </w:pPr>
      <w:rPr>
        <w:rFonts w:hint="default"/>
        <w:lang w:val="zh-CN" w:eastAsia="zh-CN" w:bidi="zh-CN"/>
      </w:rPr>
    </w:lvl>
    <w:lvl w:ilvl="6" w:tentative="0">
      <w:start w:val="0"/>
      <w:numFmt w:val="bullet"/>
      <w:lvlText w:val="•"/>
      <w:lvlJc w:val="left"/>
      <w:pPr>
        <w:ind w:left="6943" w:hanging="601"/>
      </w:pPr>
      <w:rPr>
        <w:rFonts w:hint="default"/>
        <w:lang w:val="zh-CN" w:eastAsia="zh-CN" w:bidi="zh-CN"/>
      </w:rPr>
    </w:lvl>
    <w:lvl w:ilvl="7" w:tentative="0">
      <w:start w:val="0"/>
      <w:numFmt w:val="bullet"/>
      <w:lvlText w:val="•"/>
      <w:lvlJc w:val="left"/>
      <w:pPr>
        <w:ind w:left="7854" w:hanging="601"/>
      </w:pPr>
      <w:rPr>
        <w:rFonts w:hint="default"/>
        <w:lang w:val="zh-CN" w:eastAsia="zh-CN" w:bidi="zh-CN"/>
      </w:rPr>
    </w:lvl>
    <w:lvl w:ilvl="8" w:tentative="0">
      <w:start w:val="0"/>
      <w:numFmt w:val="bullet"/>
      <w:lvlText w:val="•"/>
      <w:lvlJc w:val="left"/>
      <w:pPr>
        <w:ind w:left="8765" w:hanging="601"/>
      </w:pPr>
      <w:rPr>
        <w:rFonts w:hint="default"/>
        <w:lang w:val="zh-CN" w:eastAsia="zh-CN" w:bidi="zh-CN"/>
      </w:rPr>
    </w:lvl>
  </w:abstractNum>
  <w:abstractNum w:abstractNumId="1">
    <w:nsid w:val="8461FADE"/>
    <w:multiLevelType w:val="multilevel"/>
    <w:tmpl w:val="8461FADE"/>
    <w:lvl w:ilvl="0" w:tentative="0">
      <w:start w:val="1"/>
      <w:numFmt w:val="decimal"/>
      <w:lvlText w:val="（%1）"/>
      <w:lvlJc w:val="left"/>
      <w:pPr>
        <w:ind w:left="452" w:hanging="60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472" w:hanging="603"/>
      </w:pPr>
      <w:rPr>
        <w:rFonts w:hint="default"/>
        <w:lang w:val="zh-CN" w:eastAsia="zh-CN" w:bidi="zh-CN"/>
      </w:rPr>
    </w:lvl>
    <w:lvl w:ilvl="2" w:tentative="0">
      <w:start w:val="0"/>
      <w:numFmt w:val="bullet"/>
      <w:lvlText w:val="•"/>
      <w:lvlJc w:val="left"/>
      <w:pPr>
        <w:ind w:left="2485" w:hanging="603"/>
      </w:pPr>
      <w:rPr>
        <w:rFonts w:hint="default"/>
        <w:lang w:val="zh-CN" w:eastAsia="zh-CN" w:bidi="zh-CN"/>
      </w:rPr>
    </w:lvl>
    <w:lvl w:ilvl="3" w:tentative="0">
      <w:start w:val="0"/>
      <w:numFmt w:val="bullet"/>
      <w:lvlText w:val="•"/>
      <w:lvlJc w:val="left"/>
      <w:pPr>
        <w:ind w:left="3497" w:hanging="603"/>
      </w:pPr>
      <w:rPr>
        <w:rFonts w:hint="default"/>
        <w:lang w:val="zh-CN" w:eastAsia="zh-CN" w:bidi="zh-CN"/>
      </w:rPr>
    </w:lvl>
    <w:lvl w:ilvl="4" w:tentative="0">
      <w:start w:val="0"/>
      <w:numFmt w:val="bullet"/>
      <w:lvlText w:val="•"/>
      <w:lvlJc w:val="left"/>
      <w:pPr>
        <w:ind w:left="4510" w:hanging="603"/>
      </w:pPr>
      <w:rPr>
        <w:rFonts w:hint="default"/>
        <w:lang w:val="zh-CN" w:eastAsia="zh-CN" w:bidi="zh-CN"/>
      </w:rPr>
    </w:lvl>
    <w:lvl w:ilvl="5" w:tentative="0">
      <w:start w:val="0"/>
      <w:numFmt w:val="bullet"/>
      <w:lvlText w:val="•"/>
      <w:lvlJc w:val="left"/>
      <w:pPr>
        <w:ind w:left="5523" w:hanging="603"/>
      </w:pPr>
      <w:rPr>
        <w:rFonts w:hint="default"/>
        <w:lang w:val="zh-CN" w:eastAsia="zh-CN" w:bidi="zh-CN"/>
      </w:rPr>
    </w:lvl>
    <w:lvl w:ilvl="6" w:tentative="0">
      <w:start w:val="0"/>
      <w:numFmt w:val="bullet"/>
      <w:lvlText w:val="•"/>
      <w:lvlJc w:val="left"/>
      <w:pPr>
        <w:ind w:left="6535" w:hanging="603"/>
      </w:pPr>
      <w:rPr>
        <w:rFonts w:hint="default"/>
        <w:lang w:val="zh-CN" w:eastAsia="zh-CN" w:bidi="zh-CN"/>
      </w:rPr>
    </w:lvl>
    <w:lvl w:ilvl="7" w:tentative="0">
      <w:start w:val="0"/>
      <w:numFmt w:val="bullet"/>
      <w:lvlText w:val="•"/>
      <w:lvlJc w:val="left"/>
      <w:pPr>
        <w:ind w:left="7548" w:hanging="603"/>
      </w:pPr>
      <w:rPr>
        <w:rFonts w:hint="default"/>
        <w:lang w:val="zh-CN" w:eastAsia="zh-CN" w:bidi="zh-CN"/>
      </w:rPr>
    </w:lvl>
    <w:lvl w:ilvl="8" w:tentative="0">
      <w:start w:val="0"/>
      <w:numFmt w:val="bullet"/>
      <w:lvlText w:val="•"/>
      <w:lvlJc w:val="left"/>
      <w:pPr>
        <w:ind w:left="8561" w:hanging="603"/>
      </w:pPr>
      <w:rPr>
        <w:rFonts w:hint="default"/>
        <w:lang w:val="zh-CN" w:eastAsia="zh-CN" w:bidi="zh-CN"/>
      </w:rPr>
    </w:lvl>
  </w:abstractNum>
  <w:abstractNum w:abstractNumId="2">
    <w:nsid w:val="8CAEB125"/>
    <w:multiLevelType w:val="multilevel"/>
    <w:tmpl w:val="8CAEB125"/>
    <w:lvl w:ilvl="0" w:tentative="0">
      <w:start w:val="1"/>
      <w:numFmt w:val="decimal"/>
      <w:lvlText w:val="%1."/>
      <w:lvlJc w:val="left"/>
      <w:pPr>
        <w:ind w:left="1293" w:hanging="42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228" w:hanging="420"/>
      </w:pPr>
      <w:rPr>
        <w:rFonts w:hint="default"/>
        <w:lang w:val="zh-CN" w:eastAsia="zh-CN" w:bidi="zh-CN"/>
      </w:rPr>
    </w:lvl>
    <w:lvl w:ilvl="2" w:tentative="0">
      <w:start w:val="0"/>
      <w:numFmt w:val="bullet"/>
      <w:lvlText w:val="•"/>
      <w:lvlJc w:val="left"/>
      <w:pPr>
        <w:ind w:left="3157" w:hanging="420"/>
      </w:pPr>
      <w:rPr>
        <w:rFonts w:hint="default"/>
        <w:lang w:val="zh-CN" w:eastAsia="zh-CN" w:bidi="zh-CN"/>
      </w:rPr>
    </w:lvl>
    <w:lvl w:ilvl="3" w:tentative="0">
      <w:start w:val="0"/>
      <w:numFmt w:val="bullet"/>
      <w:lvlText w:val="•"/>
      <w:lvlJc w:val="left"/>
      <w:pPr>
        <w:ind w:left="4085" w:hanging="420"/>
      </w:pPr>
      <w:rPr>
        <w:rFonts w:hint="default"/>
        <w:lang w:val="zh-CN" w:eastAsia="zh-CN" w:bidi="zh-CN"/>
      </w:rPr>
    </w:lvl>
    <w:lvl w:ilvl="4" w:tentative="0">
      <w:start w:val="0"/>
      <w:numFmt w:val="bullet"/>
      <w:lvlText w:val="•"/>
      <w:lvlJc w:val="left"/>
      <w:pPr>
        <w:ind w:left="5014" w:hanging="420"/>
      </w:pPr>
      <w:rPr>
        <w:rFonts w:hint="default"/>
        <w:lang w:val="zh-CN" w:eastAsia="zh-CN" w:bidi="zh-CN"/>
      </w:rPr>
    </w:lvl>
    <w:lvl w:ilvl="5" w:tentative="0">
      <w:start w:val="0"/>
      <w:numFmt w:val="bullet"/>
      <w:lvlText w:val="•"/>
      <w:lvlJc w:val="left"/>
      <w:pPr>
        <w:ind w:left="5943" w:hanging="420"/>
      </w:pPr>
      <w:rPr>
        <w:rFonts w:hint="default"/>
        <w:lang w:val="zh-CN" w:eastAsia="zh-CN" w:bidi="zh-CN"/>
      </w:rPr>
    </w:lvl>
    <w:lvl w:ilvl="6" w:tentative="0">
      <w:start w:val="0"/>
      <w:numFmt w:val="bullet"/>
      <w:lvlText w:val="•"/>
      <w:lvlJc w:val="left"/>
      <w:pPr>
        <w:ind w:left="6871" w:hanging="420"/>
      </w:pPr>
      <w:rPr>
        <w:rFonts w:hint="default"/>
        <w:lang w:val="zh-CN" w:eastAsia="zh-CN" w:bidi="zh-CN"/>
      </w:rPr>
    </w:lvl>
    <w:lvl w:ilvl="7" w:tentative="0">
      <w:start w:val="0"/>
      <w:numFmt w:val="bullet"/>
      <w:lvlText w:val="•"/>
      <w:lvlJc w:val="left"/>
      <w:pPr>
        <w:ind w:left="7800" w:hanging="420"/>
      </w:pPr>
      <w:rPr>
        <w:rFonts w:hint="default"/>
        <w:lang w:val="zh-CN" w:eastAsia="zh-CN" w:bidi="zh-CN"/>
      </w:rPr>
    </w:lvl>
    <w:lvl w:ilvl="8" w:tentative="0">
      <w:start w:val="0"/>
      <w:numFmt w:val="bullet"/>
      <w:lvlText w:val="•"/>
      <w:lvlJc w:val="left"/>
      <w:pPr>
        <w:ind w:left="8729" w:hanging="420"/>
      </w:pPr>
      <w:rPr>
        <w:rFonts w:hint="default"/>
        <w:lang w:val="zh-CN" w:eastAsia="zh-CN" w:bidi="zh-CN"/>
      </w:rPr>
    </w:lvl>
  </w:abstractNum>
  <w:abstractNum w:abstractNumId="3">
    <w:nsid w:val="91995D4F"/>
    <w:multiLevelType w:val="multilevel"/>
    <w:tmpl w:val="91995D4F"/>
    <w:lvl w:ilvl="0" w:tentative="0">
      <w:start w:val="1"/>
      <w:numFmt w:val="decimal"/>
      <w:lvlText w:val="（%1）"/>
      <w:lvlJc w:val="left"/>
      <w:pPr>
        <w:ind w:left="1534"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444" w:hanging="601"/>
      </w:pPr>
      <w:rPr>
        <w:rFonts w:hint="default"/>
        <w:lang w:val="zh-CN" w:eastAsia="zh-CN" w:bidi="zh-CN"/>
      </w:rPr>
    </w:lvl>
    <w:lvl w:ilvl="2" w:tentative="0">
      <w:start w:val="0"/>
      <w:numFmt w:val="bullet"/>
      <w:lvlText w:val="•"/>
      <w:lvlJc w:val="left"/>
      <w:pPr>
        <w:ind w:left="3349" w:hanging="601"/>
      </w:pPr>
      <w:rPr>
        <w:rFonts w:hint="default"/>
        <w:lang w:val="zh-CN" w:eastAsia="zh-CN" w:bidi="zh-CN"/>
      </w:rPr>
    </w:lvl>
    <w:lvl w:ilvl="3" w:tentative="0">
      <w:start w:val="0"/>
      <w:numFmt w:val="bullet"/>
      <w:lvlText w:val="•"/>
      <w:lvlJc w:val="left"/>
      <w:pPr>
        <w:ind w:left="4253" w:hanging="601"/>
      </w:pPr>
      <w:rPr>
        <w:rFonts w:hint="default"/>
        <w:lang w:val="zh-CN" w:eastAsia="zh-CN" w:bidi="zh-CN"/>
      </w:rPr>
    </w:lvl>
    <w:lvl w:ilvl="4" w:tentative="0">
      <w:start w:val="0"/>
      <w:numFmt w:val="bullet"/>
      <w:lvlText w:val="•"/>
      <w:lvlJc w:val="left"/>
      <w:pPr>
        <w:ind w:left="5158" w:hanging="601"/>
      </w:pPr>
      <w:rPr>
        <w:rFonts w:hint="default"/>
        <w:lang w:val="zh-CN" w:eastAsia="zh-CN" w:bidi="zh-CN"/>
      </w:rPr>
    </w:lvl>
    <w:lvl w:ilvl="5" w:tentative="0">
      <w:start w:val="0"/>
      <w:numFmt w:val="bullet"/>
      <w:lvlText w:val="•"/>
      <w:lvlJc w:val="left"/>
      <w:pPr>
        <w:ind w:left="6063" w:hanging="601"/>
      </w:pPr>
      <w:rPr>
        <w:rFonts w:hint="default"/>
        <w:lang w:val="zh-CN" w:eastAsia="zh-CN" w:bidi="zh-CN"/>
      </w:rPr>
    </w:lvl>
    <w:lvl w:ilvl="6" w:tentative="0">
      <w:start w:val="0"/>
      <w:numFmt w:val="bullet"/>
      <w:lvlText w:val="•"/>
      <w:lvlJc w:val="left"/>
      <w:pPr>
        <w:ind w:left="6967" w:hanging="601"/>
      </w:pPr>
      <w:rPr>
        <w:rFonts w:hint="default"/>
        <w:lang w:val="zh-CN" w:eastAsia="zh-CN" w:bidi="zh-CN"/>
      </w:rPr>
    </w:lvl>
    <w:lvl w:ilvl="7" w:tentative="0">
      <w:start w:val="0"/>
      <w:numFmt w:val="bullet"/>
      <w:lvlText w:val="•"/>
      <w:lvlJc w:val="left"/>
      <w:pPr>
        <w:ind w:left="7872" w:hanging="601"/>
      </w:pPr>
      <w:rPr>
        <w:rFonts w:hint="default"/>
        <w:lang w:val="zh-CN" w:eastAsia="zh-CN" w:bidi="zh-CN"/>
      </w:rPr>
    </w:lvl>
    <w:lvl w:ilvl="8" w:tentative="0">
      <w:start w:val="0"/>
      <w:numFmt w:val="bullet"/>
      <w:lvlText w:val="•"/>
      <w:lvlJc w:val="left"/>
      <w:pPr>
        <w:ind w:left="8777" w:hanging="601"/>
      </w:pPr>
      <w:rPr>
        <w:rFonts w:hint="default"/>
        <w:lang w:val="zh-CN" w:eastAsia="zh-CN" w:bidi="zh-CN"/>
      </w:rPr>
    </w:lvl>
  </w:abstractNum>
  <w:abstractNum w:abstractNumId="4">
    <w:nsid w:val="9239341B"/>
    <w:multiLevelType w:val="multilevel"/>
    <w:tmpl w:val="9239341B"/>
    <w:lvl w:ilvl="0" w:tentative="0">
      <w:start w:val="7"/>
      <w:numFmt w:val="decimal"/>
      <w:lvlText w:val="%1."/>
      <w:lvlJc w:val="left"/>
      <w:pPr>
        <w:ind w:left="1481"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118" w:hanging="452"/>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491" w:hanging="452"/>
      </w:pPr>
      <w:rPr>
        <w:rFonts w:hint="default"/>
        <w:lang w:val="zh-CN" w:eastAsia="zh-CN" w:bidi="zh-CN"/>
      </w:rPr>
    </w:lvl>
    <w:lvl w:ilvl="3" w:tentative="0">
      <w:start w:val="0"/>
      <w:numFmt w:val="bullet"/>
      <w:lvlText w:val="•"/>
      <w:lvlJc w:val="left"/>
      <w:pPr>
        <w:ind w:left="3503" w:hanging="452"/>
      </w:pPr>
      <w:rPr>
        <w:rFonts w:hint="default"/>
        <w:lang w:val="zh-CN" w:eastAsia="zh-CN" w:bidi="zh-CN"/>
      </w:rPr>
    </w:lvl>
    <w:lvl w:ilvl="4" w:tentative="0">
      <w:start w:val="0"/>
      <w:numFmt w:val="bullet"/>
      <w:lvlText w:val="•"/>
      <w:lvlJc w:val="left"/>
      <w:pPr>
        <w:ind w:left="4515" w:hanging="452"/>
      </w:pPr>
      <w:rPr>
        <w:rFonts w:hint="default"/>
        <w:lang w:val="zh-CN" w:eastAsia="zh-CN" w:bidi="zh-CN"/>
      </w:rPr>
    </w:lvl>
    <w:lvl w:ilvl="5" w:tentative="0">
      <w:start w:val="0"/>
      <w:numFmt w:val="bullet"/>
      <w:lvlText w:val="•"/>
      <w:lvlJc w:val="left"/>
      <w:pPr>
        <w:ind w:left="5527" w:hanging="452"/>
      </w:pPr>
      <w:rPr>
        <w:rFonts w:hint="default"/>
        <w:lang w:val="zh-CN" w:eastAsia="zh-CN" w:bidi="zh-CN"/>
      </w:rPr>
    </w:lvl>
    <w:lvl w:ilvl="6" w:tentative="0">
      <w:start w:val="0"/>
      <w:numFmt w:val="bullet"/>
      <w:lvlText w:val="•"/>
      <w:lvlJc w:val="left"/>
      <w:pPr>
        <w:ind w:left="6539" w:hanging="452"/>
      </w:pPr>
      <w:rPr>
        <w:rFonts w:hint="default"/>
        <w:lang w:val="zh-CN" w:eastAsia="zh-CN" w:bidi="zh-CN"/>
      </w:rPr>
    </w:lvl>
    <w:lvl w:ilvl="7" w:tentative="0">
      <w:start w:val="0"/>
      <w:numFmt w:val="bullet"/>
      <w:lvlText w:val="•"/>
      <w:lvlJc w:val="left"/>
      <w:pPr>
        <w:ind w:left="7550" w:hanging="452"/>
      </w:pPr>
      <w:rPr>
        <w:rFonts w:hint="default"/>
        <w:lang w:val="zh-CN" w:eastAsia="zh-CN" w:bidi="zh-CN"/>
      </w:rPr>
    </w:lvl>
    <w:lvl w:ilvl="8" w:tentative="0">
      <w:start w:val="0"/>
      <w:numFmt w:val="bullet"/>
      <w:lvlText w:val="•"/>
      <w:lvlJc w:val="left"/>
      <w:pPr>
        <w:ind w:left="8562" w:hanging="452"/>
      </w:pPr>
      <w:rPr>
        <w:rFonts w:hint="default"/>
        <w:lang w:val="zh-CN" w:eastAsia="zh-CN" w:bidi="zh-CN"/>
      </w:rPr>
    </w:lvl>
  </w:abstractNum>
  <w:abstractNum w:abstractNumId="5">
    <w:nsid w:val="9C8AC8EF"/>
    <w:multiLevelType w:val="multilevel"/>
    <w:tmpl w:val="9C8AC8EF"/>
    <w:lvl w:ilvl="0" w:tentative="0">
      <w:start w:val="1"/>
      <w:numFmt w:val="decimal"/>
      <w:lvlText w:val="（%1）"/>
      <w:lvlJc w:val="left"/>
      <w:pPr>
        <w:ind w:left="1118" w:hanging="60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66" w:hanging="603"/>
      </w:pPr>
      <w:rPr>
        <w:rFonts w:hint="default"/>
        <w:lang w:val="zh-CN" w:eastAsia="zh-CN" w:bidi="zh-CN"/>
      </w:rPr>
    </w:lvl>
    <w:lvl w:ilvl="2" w:tentative="0">
      <w:start w:val="0"/>
      <w:numFmt w:val="bullet"/>
      <w:lvlText w:val="•"/>
      <w:lvlJc w:val="left"/>
      <w:pPr>
        <w:ind w:left="3013" w:hanging="603"/>
      </w:pPr>
      <w:rPr>
        <w:rFonts w:hint="default"/>
        <w:lang w:val="zh-CN" w:eastAsia="zh-CN" w:bidi="zh-CN"/>
      </w:rPr>
    </w:lvl>
    <w:lvl w:ilvl="3" w:tentative="0">
      <w:start w:val="0"/>
      <w:numFmt w:val="bullet"/>
      <w:lvlText w:val="•"/>
      <w:lvlJc w:val="left"/>
      <w:pPr>
        <w:ind w:left="3959" w:hanging="603"/>
      </w:pPr>
      <w:rPr>
        <w:rFonts w:hint="default"/>
        <w:lang w:val="zh-CN" w:eastAsia="zh-CN" w:bidi="zh-CN"/>
      </w:rPr>
    </w:lvl>
    <w:lvl w:ilvl="4" w:tentative="0">
      <w:start w:val="0"/>
      <w:numFmt w:val="bullet"/>
      <w:lvlText w:val="•"/>
      <w:lvlJc w:val="left"/>
      <w:pPr>
        <w:ind w:left="4906" w:hanging="603"/>
      </w:pPr>
      <w:rPr>
        <w:rFonts w:hint="default"/>
        <w:lang w:val="zh-CN" w:eastAsia="zh-CN" w:bidi="zh-CN"/>
      </w:rPr>
    </w:lvl>
    <w:lvl w:ilvl="5" w:tentative="0">
      <w:start w:val="0"/>
      <w:numFmt w:val="bullet"/>
      <w:lvlText w:val="•"/>
      <w:lvlJc w:val="left"/>
      <w:pPr>
        <w:ind w:left="5853" w:hanging="603"/>
      </w:pPr>
      <w:rPr>
        <w:rFonts w:hint="default"/>
        <w:lang w:val="zh-CN" w:eastAsia="zh-CN" w:bidi="zh-CN"/>
      </w:rPr>
    </w:lvl>
    <w:lvl w:ilvl="6" w:tentative="0">
      <w:start w:val="0"/>
      <w:numFmt w:val="bullet"/>
      <w:lvlText w:val="•"/>
      <w:lvlJc w:val="left"/>
      <w:pPr>
        <w:ind w:left="6799" w:hanging="603"/>
      </w:pPr>
      <w:rPr>
        <w:rFonts w:hint="default"/>
        <w:lang w:val="zh-CN" w:eastAsia="zh-CN" w:bidi="zh-CN"/>
      </w:rPr>
    </w:lvl>
    <w:lvl w:ilvl="7" w:tentative="0">
      <w:start w:val="0"/>
      <w:numFmt w:val="bullet"/>
      <w:lvlText w:val="•"/>
      <w:lvlJc w:val="left"/>
      <w:pPr>
        <w:ind w:left="7746" w:hanging="603"/>
      </w:pPr>
      <w:rPr>
        <w:rFonts w:hint="default"/>
        <w:lang w:val="zh-CN" w:eastAsia="zh-CN" w:bidi="zh-CN"/>
      </w:rPr>
    </w:lvl>
    <w:lvl w:ilvl="8" w:tentative="0">
      <w:start w:val="0"/>
      <w:numFmt w:val="bullet"/>
      <w:lvlText w:val="•"/>
      <w:lvlJc w:val="left"/>
      <w:pPr>
        <w:ind w:left="8693" w:hanging="603"/>
      </w:pPr>
      <w:rPr>
        <w:rFonts w:hint="default"/>
        <w:lang w:val="zh-CN" w:eastAsia="zh-CN" w:bidi="zh-CN"/>
      </w:rPr>
    </w:lvl>
  </w:abstractNum>
  <w:abstractNum w:abstractNumId="6">
    <w:nsid w:val="B0F1ACD9"/>
    <w:multiLevelType w:val="multilevel"/>
    <w:tmpl w:val="B0F1ACD9"/>
    <w:lvl w:ilvl="0" w:tentative="0">
      <w:start w:val="1"/>
      <w:numFmt w:val="decimal"/>
      <w:lvlText w:val="%1)"/>
      <w:lvlJc w:val="left"/>
      <w:pPr>
        <w:ind w:left="183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714" w:hanging="241"/>
      </w:pPr>
      <w:rPr>
        <w:rFonts w:hint="default"/>
        <w:lang w:val="zh-CN" w:eastAsia="zh-CN" w:bidi="zh-CN"/>
      </w:rPr>
    </w:lvl>
    <w:lvl w:ilvl="2" w:tentative="0">
      <w:start w:val="0"/>
      <w:numFmt w:val="bullet"/>
      <w:lvlText w:val="•"/>
      <w:lvlJc w:val="left"/>
      <w:pPr>
        <w:ind w:left="3589" w:hanging="241"/>
      </w:pPr>
      <w:rPr>
        <w:rFonts w:hint="default"/>
        <w:lang w:val="zh-CN" w:eastAsia="zh-CN" w:bidi="zh-CN"/>
      </w:rPr>
    </w:lvl>
    <w:lvl w:ilvl="3" w:tentative="0">
      <w:start w:val="0"/>
      <w:numFmt w:val="bullet"/>
      <w:lvlText w:val="•"/>
      <w:lvlJc w:val="left"/>
      <w:pPr>
        <w:ind w:left="4463" w:hanging="241"/>
      </w:pPr>
      <w:rPr>
        <w:rFonts w:hint="default"/>
        <w:lang w:val="zh-CN" w:eastAsia="zh-CN" w:bidi="zh-CN"/>
      </w:rPr>
    </w:lvl>
    <w:lvl w:ilvl="4" w:tentative="0">
      <w:start w:val="0"/>
      <w:numFmt w:val="bullet"/>
      <w:lvlText w:val="•"/>
      <w:lvlJc w:val="left"/>
      <w:pPr>
        <w:ind w:left="5338" w:hanging="241"/>
      </w:pPr>
      <w:rPr>
        <w:rFonts w:hint="default"/>
        <w:lang w:val="zh-CN" w:eastAsia="zh-CN" w:bidi="zh-CN"/>
      </w:rPr>
    </w:lvl>
    <w:lvl w:ilvl="5" w:tentative="0">
      <w:start w:val="0"/>
      <w:numFmt w:val="bullet"/>
      <w:lvlText w:val="•"/>
      <w:lvlJc w:val="left"/>
      <w:pPr>
        <w:ind w:left="6213" w:hanging="241"/>
      </w:pPr>
      <w:rPr>
        <w:rFonts w:hint="default"/>
        <w:lang w:val="zh-CN" w:eastAsia="zh-CN" w:bidi="zh-CN"/>
      </w:rPr>
    </w:lvl>
    <w:lvl w:ilvl="6" w:tentative="0">
      <w:start w:val="0"/>
      <w:numFmt w:val="bullet"/>
      <w:lvlText w:val="•"/>
      <w:lvlJc w:val="left"/>
      <w:pPr>
        <w:ind w:left="7087" w:hanging="241"/>
      </w:pPr>
      <w:rPr>
        <w:rFonts w:hint="default"/>
        <w:lang w:val="zh-CN" w:eastAsia="zh-CN" w:bidi="zh-CN"/>
      </w:rPr>
    </w:lvl>
    <w:lvl w:ilvl="7" w:tentative="0">
      <w:start w:val="0"/>
      <w:numFmt w:val="bullet"/>
      <w:lvlText w:val="•"/>
      <w:lvlJc w:val="left"/>
      <w:pPr>
        <w:ind w:left="7962" w:hanging="241"/>
      </w:pPr>
      <w:rPr>
        <w:rFonts w:hint="default"/>
        <w:lang w:val="zh-CN" w:eastAsia="zh-CN" w:bidi="zh-CN"/>
      </w:rPr>
    </w:lvl>
    <w:lvl w:ilvl="8" w:tentative="0">
      <w:start w:val="0"/>
      <w:numFmt w:val="bullet"/>
      <w:lvlText w:val="•"/>
      <w:lvlJc w:val="left"/>
      <w:pPr>
        <w:ind w:left="8837" w:hanging="241"/>
      </w:pPr>
      <w:rPr>
        <w:rFonts w:hint="default"/>
        <w:lang w:val="zh-CN" w:eastAsia="zh-CN" w:bidi="zh-CN"/>
      </w:rPr>
    </w:lvl>
  </w:abstractNum>
  <w:abstractNum w:abstractNumId="7">
    <w:nsid w:val="BB64CFA9"/>
    <w:multiLevelType w:val="multilevel"/>
    <w:tmpl w:val="BB64CFA9"/>
    <w:lvl w:ilvl="0" w:tentative="0">
      <w:start w:val="1"/>
      <w:numFmt w:val="decimal"/>
      <w:lvlText w:val="%1."/>
      <w:lvlJc w:val="left"/>
      <w:pPr>
        <w:ind w:left="1174" w:hanging="241"/>
        <w:jc w:val="left"/>
      </w:pPr>
      <w:rPr>
        <w:rFonts w:hint="default" w:ascii="宋体" w:hAnsi="宋体" w:eastAsia="宋体" w:cs="宋体"/>
        <w:w w:val="100"/>
        <w:sz w:val="22"/>
        <w:szCs w:val="22"/>
        <w:lang w:val="zh-CN" w:eastAsia="zh-CN" w:bidi="zh-CN"/>
      </w:rPr>
    </w:lvl>
    <w:lvl w:ilvl="1" w:tentative="0">
      <w:start w:val="1"/>
      <w:numFmt w:val="decimal"/>
      <w:lvlText w:val="%1.%2"/>
      <w:lvlJc w:val="left"/>
      <w:pPr>
        <w:ind w:left="452"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225" w:hanging="361"/>
      </w:pPr>
      <w:rPr>
        <w:rFonts w:hint="default"/>
        <w:lang w:val="zh-CN" w:eastAsia="zh-CN" w:bidi="zh-CN"/>
      </w:rPr>
    </w:lvl>
    <w:lvl w:ilvl="3" w:tentative="0">
      <w:start w:val="0"/>
      <w:numFmt w:val="bullet"/>
      <w:lvlText w:val="•"/>
      <w:lvlJc w:val="left"/>
      <w:pPr>
        <w:ind w:left="3270" w:hanging="361"/>
      </w:pPr>
      <w:rPr>
        <w:rFonts w:hint="default"/>
        <w:lang w:val="zh-CN" w:eastAsia="zh-CN" w:bidi="zh-CN"/>
      </w:rPr>
    </w:lvl>
    <w:lvl w:ilvl="4" w:tentative="0">
      <w:start w:val="0"/>
      <w:numFmt w:val="bullet"/>
      <w:lvlText w:val="•"/>
      <w:lvlJc w:val="left"/>
      <w:pPr>
        <w:ind w:left="4315" w:hanging="361"/>
      </w:pPr>
      <w:rPr>
        <w:rFonts w:hint="default"/>
        <w:lang w:val="zh-CN" w:eastAsia="zh-CN" w:bidi="zh-CN"/>
      </w:rPr>
    </w:lvl>
    <w:lvl w:ilvl="5" w:tentative="0">
      <w:start w:val="0"/>
      <w:numFmt w:val="bullet"/>
      <w:lvlText w:val="•"/>
      <w:lvlJc w:val="left"/>
      <w:pPr>
        <w:ind w:left="5360" w:hanging="361"/>
      </w:pPr>
      <w:rPr>
        <w:rFonts w:hint="default"/>
        <w:lang w:val="zh-CN" w:eastAsia="zh-CN" w:bidi="zh-CN"/>
      </w:rPr>
    </w:lvl>
    <w:lvl w:ilvl="6" w:tentative="0">
      <w:start w:val="0"/>
      <w:numFmt w:val="bullet"/>
      <w:lvlText w:val="•"/>
      <w:lvlJc w:val="left"/>
      <w:pPr>
        <w:ind w:left="6405" w:hanging="361"/>
      </w:pPr>
      <w:rPr>
        <w:rFonts w:hint="default"/>
        <w:lang w:val="zh-CN" w:eastAsia="zh-CN" w:bidi="zh-CN"/>
      </w:rPr>
    </w:lvl>
    <w:lvl w:ilvl="7" w:tentative="0">
      <w:start w:val="0"/>
      <w:numFmt w:val="bullet"/>
      <w:lvlText w:val="•"/>
      <w:lvlJc w:val="left"/>
      <w:pPr>
        <w:ind w:left="7450" w:hanging="361"/>
      </w:pPr>
      <w:rPr>
        <w:rFonts w:hint="default"/>
        <w:lang w:val="zh-CN" w:eastAsia="zh-CN" w:bidi="zh-CN"/>
      </w:rPr>
    </w:lvl>
    <w:lvl w:ilvl="8" w:tentative="0">
      <w:start w:val="0"/>
      <w:numFmt w:val="bullet"/>
      <w:lvlText w:val="•"/>
      <w:lvlJc w:val="left"/>
      <w:pPr>
        <w:ind w:left="8496" w:hanging="361"/>
      </w:pPr>
      <w:rPr>
        <w:rFonts w:hint="default"/>
        <w:lang w:val="zh-CN" w:eastAsia="zh-CN" w:bidi="zh-CN"/>
      </w:rPr>
    </w:lvl>
  </w:abstractNum>
  <w:abstractNum w:abstractNumId="8">
    <w:nsid w:val="BE923771"/>
    <w:multiLevelType w:val="multilevel"/>
    <w:tmpl w:val="BE923771"/>
    <w:lvl w:ilvl="0" w:tentative="0">
      <w:start w:val="8"/>
      <w:numFmt w:val="decimal"/>
      <w:lvlText w:val="%1"/>
      <w:lvlJc w:val="left"/>
      <w:pPr>
        <w:ind w:left="1534" w:hanging="361"/>
        <w:jc w:val="left"/>
      </w:pPr>
      <w:rPr>
        <w:rFonts w:hint="default"/>
        <w:lang w:val="zh-CN" w:eastAsia="zh-CN" w:bidi="zh-CN"/>
      </w:rPr>
    </w:lvl>
    <w:lvl w:ilvl="1" w:tentative="0">
      <w:start w:val="1"/>
      <w:numFmt w:val="decimal"/>
      <w:lvlText w:val="%1.%2"/>
      <w:lvlJc w:val="left"/>
      <w:pPr>
        <w:ind w:left="1534"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3349" w:hanging="361"/>
      </w:pPr>
      <w:rPr>
        <w:rFonts w:hint="default"/>
        <w:lang w:val="zh-CN" w:eastAsia="zh-CN" w:bidi="zh-CN"/>
      </w:rPr>
    </w:lvl>
    <w:lvl w:ilvl="3" w:tentative="0">
      <w:start w:val="0"/>
      <w:numFmt w:val="bullet"/>
      <w:lvlText w:val="•"/>
      <w:lvlJc w:val="left"/>
      <w:pPr>
        <w:ind w:left="4253" w:hanging="361"/>
      </w:pPr>
      <w:rPr>
        <w:rFonts w:hint="default"/>
        <w:lang w:val="zh-CN" w:eastAsia="zh-CN" w:bidi="zh-CN"/>
      </w:rPr>
    </w:lvl>
    <w:lvl w:ilvl="4" w:tentative="0">
      <w:start w:val="0"/>
      <w:numFmt w:val="bullet"/>
      <w:lvlText w:val="•"/>
      <w:lvlJc w:val="left"/>
      <w:pPr>
        <w:ind w:left="5158" w:hanging="361"/>
      </w:pPr>
      <w:rPr>
        <w:rFonts w:hint="default"/>
        <w:lang w:val="zh-CN" w:eastAsia="zh-CN" w:bidi="zh-CN"/>
      </w:rPr>
    </w:lvl>
    <w:lvl w:ilvl="5" w:tentative="0">
      <w:start w:val="0"/>
      <w:numFmt w:val="bullet"/>
      <w:lvlText w:val="•"/>
      <w:lvlJc w:val="left"/>
      <w:pPr>
        <w:ind w:left="6063" w:hanging="361"/>
      </w:pPr>
      <w:rPr>
        <w:rFonts w:hint="default"/>
        <w:lang w:val="zh-CN" w:eastAsia="zh-CN" w:bidi="zh-CN"/>
      </w:rPr>
    </w:lvl>
    <w:lvl w:ilvl="6" w:tentative="0">
      <w:start w:val="0"/>
      <w:numFmt w:val="bullet"/>
      <w:lvlText w:val="•"/>
      <w:lvlJc w:val="left"/>
      <w:pPr>
        <w:ind w:left="6967" w:hanging="361"/>
      </w:pPr>
      <w:rPr>
        <w:rFonts w:hint="default"/>
        <w:lang w:val="zh-CN" w:eastAsia="zh-CN" w:bidi="zh-CN"/>
      </w:rPr>
    </w:lvl>
    <w:lvl w:ilvl="7" w:tentative="0">
      <w:start w:val="0"/>
      <w:numFmt w:val="bullet"/>
      <w:lvlText w:val="•"/>
      <w:lvlJc w:val="left"/>
      <w:pPr>
        <w:ind w:left="7872" w:hanging="361"/>
      </w:pPr>
      <w:rPr>
        <w:rFonts w:hint="default"/>
        <w:lang w:val="zh-CN" w:eastAsia="zh-CN" w:bidi="zh-CN"/>
      </w:rPr>
    </w:lvl>
    <w:lvl w:ilvl="8" w:tentative="0">
      <w:start w:val="0"/>
      <w:numFmt w:val="bullet"/>
      <w:lvlText w:val="•"/>
      <w:lvlJc w:val="left"/>
      <w:pPr>
        <w:ind w:left="8777" w:hanging="361"/>
      </w:pPr>
      <w:rPr>
        <w:rFonts w:hint="default"/>
        <w:lang w:val="zh-CN" w:eastAsia="zh-CN" w:bidi="zh-CN"/>
      </w:rPr>
    </w:lvl>
  </w:abstractNum>
  <w:abstractNum w:abstractNumId="9">
    <w:nsid w:val="C8879AEF"/>
    <w:multiLevelType w:val="multilevel"/>
    <w:tmpl w:val="C8879AEF"/>
    <w:lvl w:ilvl="0" w:tentative="0">
      <w:start w:val="14"/>
      <w:numFmt w:val="decimal"/>
      <w:lvlText w:val="%1."/>
      <w:lvlJc w:val="left"/>
      <w:pPr>
        <w:ind w:left="1602" w:hanging="485"/>
        <w:jc w:val="left"/>
      </w:pPr>
      <w:rPr>
        <w:rFonts w:hint="default" w:ascii="宋体" w:hAnsi="宋体" w:eastAsia="宋体" w:cs="宋体"/>
        <w:b/>
        <w:bCs/>
        <w:spacing w:val="-1"/>
        <w:w w:val="99"/>
        <w:sz w:val="22"/>
        <w:szCs w:val="22"/>
        <w:lang w:val="zh-CN" w:eastAsia="zh-CN" w:bidi="zh-CN"/>
      </w:rPr>
    </w:lvl>
    <w:lvl w:ilvl="1" w:tentative="0">
      <w:start w:val="1"/>
      <w:numFmt w:val="decimal"/>
      <w:lvlText w:val="%1.%2"/>
      <w:lvlJc w:val="left"/>
      <w:pPr>
        <w:ind w:left="1118" w:hanging="481"/>
        <w:jc w:val="left"/>
      </w:pPr>
      <w:rPr>
        <w:rFonts w:hint="default" w:ascii="宋体" w:hAnsi="宋体" w:eastAsia="宋体" w:cs="宋体"/>
        <w:w w:val="100"/>
        <w:sz w:val="22"/>
        <w:szCs w:val="22"/>
        <w:lang w:val="zh-CN" w:eastAsia="zh-CN" w:bidi="zh-CN"/>
      </w:rPr>
    </w:lvl>
    <w:lvl w:ilvl="2" w:tentative="0">
      <w:start w:val="1"/>
      <w:numFmt w:val="decimal"/>
      <w:lvlText w:val="%1.%2.%3"/>
      <w:lvlJc w:val="left"/>
      <w:pPr>
        <w:ind w:left="1118" w:hanging="812"/>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596" w:hanging="812"/>
      </w:pPr>
      <w:rPr>
        <w:rFonts w:hint="default"/>
        <w:lang w:val="zh-CN" w:eastAsia="zh-CN" w:bidi="zh-CN"/>
      </w:rPr>
    </w:lvl>
    <w:lvl w:ilvl="4" w:tentative="0">
      <w:start w:val="0"/>
      <w:numFmt w:val="bullet"/>
      <w:lvlText w:val="•"/>
      <w:lvlJc w:val="left"/>
      <w:pPr>
        <w:ind w:left="4595" w:hanging="812"/>
      </w:pPr>
      <w:rPr>
        <w:rFonts w:hint="default"/>
        <w:lang w:val="zh-CN" w:eastAsia="zh-CN" w:bidi="zh-CN"/>
      </w:rPr>
    </w:lvl>
    <w:lvl w:ilvl="5" w:tentative="0">
      <w:start w:val="0"/>
      <w:numFmt w:val="bullet"/>
      <w:lvlText w:val="•"/>
      <w:lvlJc w:val="left"/>
      <w:pPr>
        <w:ind w:left="5593" w:hanging="812"/>
      </w:pPr>
      <w:rPr>
        <w:rFonts w:hint="default"/>
        <w:lang w:val="zh-CN" w:eastAsia="zh-CN" w:bidi="zh-CN"/>
      </w:rPr>
    </w:lvl>
    <w:lvl w:ilvl="6" w:tentative="0">
      <w:start w:val="0"/>
      <w:numFmt w:val="bullet"/>
      <w:lvlText w:val="•"/>
      <w:lvlJc w:val="left"/>
      <w:pPr>
        <w:ind w:left="6592" w:hanging="812"/>
      </w:pPr>
      <w:rPr>
        <w:rFonts w:hint="default"/>
        <w:lang w:val="zh-CN" w:eastAsia="zh-CN" w:bidi="zh-CN"/>
      </w:rPr>
    </w:lvl>
    <w:lvl w:ilvl="7" w:tentative="0">
      <w:start w:val="0"/>
      <w:numFmt w:val="bullet"/>
      <w:lvlText w:val="•"/>
      <w:lvlJc w:val="left"/>
      <w:pPr>
        <w:ind w:left="7590" w:hanging="812"/>
      </w:pPr>
      <w:rPr>
        <w:rFonts w:hint="default"/>
        <w:lang w:val="zh-CN" w:eastAsia="zh-CN" w:bidi="zh-CN"/>
      </w:rPr>
    </w:lvl>
    <w:lvl w:ilvl="8" w:tentative="0">
      <w:start w:val="0"/>
      <w:numFmt w:val="bullet"/>
      <w:lvlText w:val="•"/>
      <w:lvlJc w:val="left"/>
      <w:pPr>
        <w:ind w:left="8589" w:hanging="812"/>
      </w:pPr>
      <w:rPr>
        <w:rFonts w:hint="default"/>
        <w:lang w:val="zh-CN" w:eastAsia="zh-CN" w:bidi="zh-CN"/>
      </w:rPr>
    </w:lvl>
  </w:abstractNum>
  <w:abstractNum w:abstractNumId="10">
    <w:nsid w:val="D7F9FE59"/>
    <w:multiLevelType w:val="multilevel"/>
    <w:tmpl w:val="D7F9FE59"/>
    <w:lvl w:ilvl="0" w:tentative="0">
      <w:start w:val="1"/>
      <w:numFmt w:val="decimal"/>
      <w:lvlText w:val="（%1）"/>
      <w:lvlJc w:val="left"/>
      <w:pPr>
        <w:ind w:left="1118" w:hanging="60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66" w:hanging="603"/>
      </w:pPr>
      <w:rPr>
        <w:rFonts w:hint="default"/>
        <w:lang w:val="zh-CN" w:eastAsia="zh-CN" w:bidi="zh-CN"/>
      </w:rPr>
    </w:lvl>
    <w:lvl w:ilvl="2" w:tentative="0">
      <w:start w:val="0"/>
      <w:numFmt w:val="bullet"/>
      <w:lvlText w:val="•"/>
      <w:lvlJc w:val="left"/>
      <w:pPr>
        <w:ind w:left="3013" w:hanging="603"/>
      </w:pPr>
      <w:rPr>
        <w:rFonts w:hint="default"/>
        <w:lang w:val="zh-CN" w:eastAsia="zh-CN" w:bidi="zh-CN"/>
      </w:rPr>
    </w:lvl>
    <w:lvl w:ilvl="3" w:tentative="0">
      <w:start w:val="0"/>
      <w:numFmt w:val="bullet"/>
      <w:lvlText w:val="•"/>
      <w:lvlJc w:val="left"/>
      <w:pPr>
        <w:ind w:left="3959" w:hanging="603"/>
      </w:pPr>
      <w:rPr>
        <w:rFonts w:hint="default"/>
        <w:lang w:val="zh-CN" w:eastAsia="zh-CN" w:bidi="zh-CN"/>
      </w:rPr>
    </w:lvl>
    <w:lvl w:ilvl="4" w:tentative="0">
      <w:start w:val="0"/>
      <w:numFmt w:val="bullet"/>
      <w:lvlText w:val="•"/>
      <w:lvlJc w:val="left"/>
      <w:pPr>
        <w:ind w:left="4906" w:hanging="603"/>
      </w:pPr>
      <w:rPr>
        <w:rFonts w:hint="default"/>
        <w:lang w:val="zh-CN" w:eastAsia="zh-CN" w:bidi="zh-CN"/>
      </w:rPr>
    </w:lvl>
    <w:lvl w:ilvl="5" w:tentative="0">
      <w:start w:val="0"/>
      <w:numFmt w:val="bullet"/>
      <w:lvlText w:val="•"/>
      <w:lvlJc w:val="left"/>
      <w:pPr>
        <w:ind w:left="5853" w:hanging="603"/>
      </w:pPr>
      <w:rPr>
        <w:rFonts w:hint="default"/>
        <w:lang w:val="zh-CN" w:eastAsia="zh-CN" w:bidi="zh-CN"/>
      </w:rPr>
    </w:lvl>
    <w:lvl w:ilvl="6" w:tentative="0">
      <w:start w:val="0"/>
      <w:numFmt w:val="bullet"/>
      <w:lvlText w:val="•"/>
      <w:lvlJc w:val="left"/>
      <w:pPr>
        <w:ind w:left="6799" w:hanging="603"/>
      </w:pPr>
      <w:rPr>
        <w:rFonts w:hint="default"/>
        <w:lang w:val="zh-CN" w:eastAsia="zh-CN" w:bidi="zh-CN"/>
      </w:rPr>
    </w:lvl>
    <w:lvl w:ilvl="7" w:tentative="0">
      <w:start w:val="0"/>
      <w:numFmt w:val="bullet"/>
      <w:lvlText w:val="•"/>
      <w:lvlJc w:val="left"/>
      <w:pPr>
        <w:ind w:left="7746" w:hanging="603"/>
      </w:pPr>
      <w:rPr>
        <w:rFonts w:hint="default"/>
        <w:lang w:val="zh-CN" w:eastAsia="zh-CN" w:bidi="zh-CN"/>
      </w:rPr>
    </w:lvl>
    <w:lvl w:ilvl="8" w:tentative="0">
      <w:start w:val="0"/>
      <w:numFmt w:val="bullet"/>
      <w:lvlText w:val="•"/>
      <w:lvlJc w:val="left"/>
      <w:pPr>
        <w:ind w:left="8693" w:hanging="603"/>
      </w:pPr>
      <w:rPr>
        <w:rFonts w:hint="default"/>
        <w:lang w:val="zh-CN" w:eastAsia="zh-CN" w:bidi="zh-CN"/>
      </w:rPr>
    </w:lvl>
  </w:abstractNum>
  <w:abstractNum w:abstractNumId="11">
    <w:nsid w:val="DCBA6B53"/>
    <w:multiLevelType w:val="multilevel"/>
    <w:tmpl w:val="DCBA6B53"/>
    <w:lvl w:ilvl="0" w:tentative="0">
      <w:start w:val="17"/>
      <w:numFmt w:val="decimal"/>
      <w:lvlText w:val="%1."/>
      <w:lvlJc w:val="left"/>
      <w:pPr>
        <w:ind w:left="1602" w:hanging="485"/>
        <w:jc w:val="left"/>
      </w:pPr>
      <w:rPr>
        <w:rFonts w:hint="default" w:ascii="宋体" w:hAnsi="宋体" w:eastAsia="宋体" w:cs="宋体"/>
        <w:b/>
        <w:bCs/>
        <w:spacing w:val="-1"/>
        <w:w w:val="99"/>
        <w:sz w:val="22"/>
        <w:szCs w:val="22"/>
        <w:lang w:val="zh-CN" w:eastAsia="zh-CN" w:bidi="zh-CN"/>
      </w:rPr>
    </w:lvl>
    <w:lvl w:ilvl="1" w:tentative="0">
      <w:start w:val="1"/>
      <w:numFmt w:val="decimal"/>
      <w:lvlText w:val="%1.%2"/>
      <w:lvlJc w:val="left"/>
      <w:pPr>
        <w:ind w:left="1118" w:hanging="572"/>
        <w:jc w:val="left"/>
      </w:pPr>
      <w:rPr>
        <w:rFonts w:hint="default"/>
        <w:w w:val="100"/>
        <w:lang w:val="zh-CN" w:eastAsia="zh-CN" w:bidi="zh-CN"/>
      </w:rPr>
    </w:lvl>
    <w:lvl w:ilvl="2" w:tentative="0">
      <w:start w:val="0"/>
      <w:numFmt w:val="bullet"/>
      <w:lvlText w:val="•"/>
      <w:lvlJc w:val="left"/>
      <w:pPr>
        <w:ind w:left="2660" w:hanging="572"/>
      </w:pPr>
      <w:rPr>
        <w:rFonts w:hint="default"/>
        <w:lang w:val="zh-CN" w:eastAsia="zh-CN" w:bidi="zh-CN"/>
      </w:rPr>
    </w:lvl>
    <w:lvl w:ilvl="3" w:tentative="0">
      <w:start w:val="0"/>
      <w:numFmt w:val="bullet"/>
      <w:lvlText w:val="•"/>
      <w:lvlJc w:val="left"/>
      <w:pPr>
        <w:ind w:left="3650" w:hanging="572"/>
      </w:pPr>
      <w:rPr>
        <w:rFonts w:hint="default"/>
        <w:lang w:val="zh-CN" w:eastAsia="zh-CN" w:bidi="zh-CN"/>
      </w:rPr>
    </w:lvl>
    <w:lvl w:ilvl="4" w:tentative="0">
      <w:start w:val="0"/>
      <w:numFmt w:val="bullet"/>
      <w:lvlText w:val="•"/>
      <w:lvlJc w:val="left"/>
      <w:pPr>
        <w:ind w:left="4641" w:hanging="572"/>
      </w:pPr>
      <w:rPr>
        <w:rFonts w:hint="default"/>
        <w:lang w:val="zh-CN" w:eastAsia="zh-CN" w:bidi="zh-CN"/>
      </w:rPr>
    </w:lvl>
    <w:lvl w:ilvl="5" w:tentative="0">
      <w:start w:val="0"/>
      <w:numFmt w:val="bullet"/>
      <w:lvlText w:val="•"/>
      <w:lvlJc w:val="left"/>
      <w:pPr>
        <w:ind w:left="5632" w:hanging="572"/>
      </w:pPr>
      <w:rPr>
        <w:rFonts w:hint="default"/>
        <w:lang w:val="zh-CN" w:eastAsia="zh-CN" w:bidi="zh-CN"/>
      </w:rPr>
    </w:lvl>
    <w:lvl w:ilvl="6" w:tentative="0">
      <w:start w:val="0"/>
      <w:numFmt w:val="bullet"/>
      <w:lvlText w:val="•"/>
      <w:lvlJc w:val="left"/>
      <w:pPr>
        <w:ind w:left="6623" w:hanging="572"/>
      </w:pPr>
      <w:rPr>
        <w:rFonts w:hint="default"/>
        <w:lang w:val="zh-CN" w:eastAsia="zh-CN" w:bidi="zh-CN"/>
      </w:rPr>
    </w:lvl>
    <w:lvl w:ilvl="7" w:tentative="0">
      <w:start w:val="0"/>
      <w:numFmt w:val="bullet"/>
      <w:lvlText w:val="•"/>
      <w:lvlJc w:val="left"/>
      <w:pPr>
        <w:ind w:left="7614" w:hanging="572"/>
      </w:pPr>
      <w:rPr>
        <w:rFonts w:hint="default"/>
        <w:lang w:val="zh-CN" w:eastAsia="zh-CN" w:bidi="zh-CN"/>
      </w:rPr>
    </w:lvl>
    <w:lvl w:ilvl="8" w:tentative="0">
      <w:start w:val="0"/>
      <w:numFmt w:val="bullet"/>
      <w:lvlText w:val="•"/>
      <w:lvlJc w:val="left"/>
      <w:pPr>
        <w:ind w:left="8604" w:hanging="572"/>
      </w:pPr>
      <w:rPr>
        <w:rFonts w:hint="default"/>
        <w:lang w:val="zh-CN" w:eastAsia="zh-CN" w:bidi="zh-CN"/>
      </w:rPr>
    </w:lvl>
  </w:abstractNum>
  <w:abstractNum w:abstractNumId="12">
    <w:nsid w:val="E093A4B0"/>
    <w:multiLevelType w:val="multilevel"/>
    <w:tmpl w:val="E093A4B0"/>
    <w:lvl w:ilvl="0" w:tentative="0">
      <w:start w:val="2"/>
      <w:numFmt w:val="decimal"/>
      <w:lvlText w:val="（%1）"/>
      <w:lvlJc w:val="left"/>
      <w:pPr>
        <w:ind w:left="151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426" w:hanging="601"/>
      </w:pPr>
      <w:rPr>
        <w:rFonts w:hint="default"/>
        <w:lang w:val="zh-CN" w:eastAsia="zh-CN" w:bidi="zh-CN"/>
      </w:rPr>
    </w:lvl>
    <w:lvl w:ilvl="2" w:tentative="0">
      <w:start w:val="0"/>
      <w:numFmt w:val="bullet"/>
      <w:lvlText w:val="•"/>
      <w:lvlJc w:val="left"/>
      <w:pPr>
        <w:ind w:left="3333" w:hanging="601"/>
      </w:pPr>
      <w:rPr>
        <w:rFonts w:hint="default"/>
        <w:lang w:val="zh-CN" w:eastAsia="zh-CN" w:bidi="zh-CN"/>
      </w:rPr>
    </w:lvl>
    <w:lvl w:ilvl="3" w:tentative="0">
      <w:start w:val="0"/>
      <w:numFmt w:val="bullet"/>
      <w:lvlText w:val="•"/>
      <w:lvlJc w:val="left"/>
      <w:pPr>
        <w:ind w:left="4239" w:hanging="601"/>
      </w:pPr>
      <w:rPr>
        <w:rFonts w:hint="default"/>
        <w:lang w:val="zh-CN" w:eastAsia="zh-CN" w:bidi="zh-CN"/>
      </w:rPr>
    </w:lvl>
    <w:lvl w:ilvl="4" w:tentative="0">
      <w:start w:val="0"/>
      <w:numFmt w:val="bullet"/>
      <w:lvlText w:val="•"/>
      <w:lvlJc w:val="left"/>
      <w:pPr>
        <w:ind w:left="5146" w:hanging="601"/>
      </w:pPr>
      <w:rPr>
        <w:rFonts w:hint="default"/>
        <w:lang w:val="zh-CN" w:eastAsia="zh-CN" w:bidi="zh-CN"/>
      </w:rPr>
    </w:lvl>
    <w:lvl w:ilvl="5" w:tentative="0">
      <w:start w:val="0"/>
      <w:numFmt w:val="bullet"/>
      <w:lvlText w:val="•"/>
      <w:lvlJc w:val="left"/>
      <w:pPr>
        <w:ind w:left="6053" w:hanging="601"/>
      </w:pPr>
      <w:rPr>
        <w:rFonts w:hint="default"/>
        <w:lang w:val="zh-CN" w:eastAsia="zh-CN" w:bidi="zh-CN"/>
      </w:rPr>
    </w:lvl>
    <w:lvl w:ilvl="6" w:tentative="0">
      <w:start w:val="0"/>
      <w:numFmt w:val="bullet"/>
      <w:lvlText w:val="•"/>
      <w:lvlJc w:val="left"/>
      <w:pPr>
        <w:ind w:left="6959" w:hanging="601"/>
      </w:pPr>
      <w:rPr>
        <w:rFonts w:hint="default"/>
        <w:lang w:val="zh-CN" w:eastAsia="zh-CN" w:bidi="zh-CN"/>
      </w:rPr>
    </w:lvl>
    <w:lvl w:ilvl="7" w:tentative="0">
      <w:start w:val="0"/>
      <w:numFmt w:val="bullet"/>
      <w:lvlText w:val="•"/>
      <w:lvlJc w:val="left"/>
      <w:pPr>
        <w:ind w:left="7866" w:hanging="601"/>
      </w:pPr>
      <w:rPr>
        <w:rFonts w:hint="default"/>
        <w:lang w:val="zh-CN" w:eastAsia="zh-CN" w:bidi="zh-CN"/>
      </w:rPr>
    </w:lvl>
    <w:lvl w:ilvl="8" w:tentative="0">
      <w:start w:val="0"/>
      <w:numFmt w:val="bullet"/>
      <w:lvlText w:val="•"/>
      <w:lvlJc w:val="left"/>
      <w:pPr>
        <w:ind w:left="8773" w:hanging="601"/>
      </w:pPr>
      <w:rPr>
        <w:rFonts w:hint="default"/>
        <w:lang w:val="zh-CN" w:eastAsia="zh-CN" w:bidi="zh-CN"/>
      </w:rPr>
    </w:lvl>
  </w:abstractNum>
  <w:abstractNum w:abstractNumId="13">
    <w:nsid w:val="F4B5D9F5"/>
    <w:multiLevelType w:val="multilevel"/>
    <w:tmpl w:val="F4B5D9F5"/>
    <w:lvl w:ilvl="0" w:tentative="0">
      <w:start w:val="1"/>
      <w:numFmt w:val="decimal"/>
      <w:lvlText w:val="（%1）"/>
      <w:lvlJc w:val="left"/>
      <w:pPr>
        <w:ind w:left="218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020" w:hanging="601"/>
      </w:pPr>
      <w:rPr>
        <w:rFonts w:hint="default"/>
        <w:lang w:val="zh-CN" w:eastAsia="zh-CN" w:bidi="zh-CN"/>
      </w:rPr>
    </w:lvl>
    <w:lvl w:ilvl="2" w:tentative="0">
      <w:start w:val="0"/>
      <w:numFmt w:val="bullet"/>
      <w:lvlText w:val="•"/>
      <w:lvlJc w:val="left"/>
      <w:pPr>
        <w:ind w:left="3861" w:hanging="601"/>
      </w:pPr>
      <w:rPr>
        <w:rFonts w:hint="default"/>
        <w:lang w:val="zh-CN" w:eastAsia="zh-CN" w:bidi="zh-CN"/>
      </w:rPr>
    </w:lvl>
    <w:lvl w:ilvl="3" w:tentative="0">
      <w:start w:val="0"/>
      <w:numFmt w:val="bullet"/>
      <w:lvlText w:val="•"/>
      <w:lvlJc w:val="left"/>
      <w:pPr>
        <w:ind w:left="4701" w:hanging="601"/>
      </w:pPr>
      <w:rPr>
        <w:rFonts w:hint="default"/>
        <w:lang w:val="zh-CN" w:eastAsia="zh-CN" w:bidi="zh-CN"/>
      </w:rPr>
    </w:lvl>
    <w:lvl w:ilvl="4" w:tentative="0">
      <w:start w:val="0"/>
      <w:numFmt w:val="bullet"/>
      <w:lvlText w:val="•"/>
      <w:lvlJc w:val="left"/>
      <w:pPr>
        <w:ind w:left="5542" w:hanging="601"/>
      </w:pPr>
      <w:rPr>
        <w:rFonts w:hint="default"/>
        <w:lang w:val="zh-CN" w:eastAsia="zh-CN" w:bidi="zh-CN"/>
      </w:rPr>
    </w:lvl>
    <w:lvl w:ilvl="5" w:tentative="0">
      <w:start w:val="0"/>
      <w:numFmt w:val="bullet"/>
      <w:lvlText w:val="•"/>
      <w:lvlJc w:val="left"/>
      <w:pPr>
        <w:ind w:left="6383" w:hanging="601"/>
      </w:pPr>
      <w:rPr>
        <w:rFonts w:hint="default"/>
        <w:lang w:val="zh-CN" w:eastAsia="zh-CN" w:bidi="zh-CN"/>
      </w:rPr>
    </w:lvl>
    <w:lvl w:ilvl="6" w:tentative="0">
      <w:start w:val="0"/>
      <w:numFmt w:val="bullet"/>
      <w:lvlText w:val="•"/>
      <w:lvlJc w:val="left"/>
      <w:pPr>
        <w:ind w:left="7223" w:hanging="601"/>
      </w:pPr>
      <w:rPr>
        <w:rFonts w:hint="default"/>
        <w:lang w:val="zh-CN" w:eastAsia="zh-CN" w:bidi="zh-CN"/>
      </w:rPr>
    </w:lvl>
    <w:lvl w:ilvl="7" w:tentative="0">
      <w:start w:val="0"/>
      <w:numFmt w:val="bullet"/>
      <w:lvlText w:val="•"/>
      <w:lvlJc w:val="left"/>
      <w:pPr>
        <w:ind w:left="8064" w:hanging="601"/>
      </w:pPr>
      <w:rPr>
        <w:rFonts w:hint="default"/>
        <w:lang w:val="zh-CN" w:eastAsia="zh-CN" w:bidi="zh-CN"/>
      </w:rPr>
    </w:lvl>
    <w:lvl w:ilvl="8" w:tentative="0">
      <w:start w:val="0"/>
      <w:numFmt w:val="bullet"/>
      <w:lvlText w:val="•"/>
      <w:lvlJc w:val="left"/>
      <w:pPr>
        <w:ind w:left="8905" w:hanging="601"/>
      </w:pPr>
      <w:rPr>
        <w:rFonts w:hint="default"/>
        <w:lang w:val="zh-CN" w:eastAsia="zh-CN" w:bidi="zh-CN"/>
      </w:rPr>
    </w:lvl>
  </w:abstractNum>
  <w:abstractNum w:abstractNumId="14">
    <w:nsid w:val="F7735DC9"/>
    <w:multiLevelType w:val="multilevel"/>
    <w:tmpl w:val="F7735DC9"/>
    <w:lvl w:ilvl="0" w:tentative="0">
      <w:start w:val="1"/>
      <w:numFmt w:val="decimal"/>
      <w:lvlText w:val="%1）"/>
      <w:lvlJc w:val="left"/>
      <w:pPr>
        <w:ind w:left="1279" w:hanging="361"/>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2210" w:hanging="361"/>
      </w:pPr>
      <w:rPr>
        <w:rFonts w:hint="default"/>
        <w:lang w:val="zh-CN" w:eastAsia="zh-CN" w:bidi="zh-CN"/>
      </w:rPr>
    </w:lvl>
    <w:lvl w:ilvl="2" w:tentative="0">
      <w:start w:val="0"/>
      <w:numFmt w:val="bullet"/>
      <w:lvlText w:val="•"/>
      <w:lvlJc w:val="left"/>
      <w:pPr>
        <w:ind w:left="3141" w:hanging="361"/>
      </w:pPr>
      <w:rPr>
        <w:rFonts w:hint="default"/>
        <w:lang w:val="zh-CN" w:eastAsia="zh-CN" w:bidi="zh-CN"/>
      </w:rPr>
    </w:lvl>
    <w:lvl w:ilvl="3" w:tentative="0">
      <w:start w:val="0"/>
      <w:numFmt w:val="bullet"/>
      <w:lvlText w:val="•"/>
      <w:lvlJc w:val="left"/>
      <w:pPr>
        <w:ind w:left="4071" w:hanging="361"/>
      </w:pPr>
      <w:rPr>
        <w:rFonts w:hint="default"/>
        <w:lang w:val="zh-CN" w:eastAsia="zh-CN" w:bidi="zh-CN"/>
      </w:rPr>
    </w:lvl>
    <w:lvl w:ilvl="4" w:tentative="0">
      <w:start w:val="0"/>
      <w:numFmt w:val="bullet"/>
      <w:lvlText w:val="•"/>
      <w:lvlJc w:val="left"/>
      <w:pPr>
        <w:ind w:left="5002" w:hanging="361"/>
      </w:pPr>
      <w:rPr>
        <w:rFonts w:hint="default"/>
        <w:lang w:val="zh-CN" w:eastAsia="zh-CN" w:bidi="zh-CN"/>
      </w:rPr>
    </w:lvl>
    <w:lvl w:ilvl="5" w:tentative="0">
      <w:start w:val="0"/>
      <w:numFmt w:val="bullet"/>
      <w:lvlText w:val="•"/>
      <w:lvlJc w:val="left"/>
      <w:pPr>
        <w:ind w:left="5933" w:hanging="361"/>
      </w:pPr>
      <w:rPr>
        <w:rFonts w:hint="default"/>
        <w:lang w:val="zh-CN" w:eastAsia="zh-CN" w:bidi="zh-CN"/>
      </w:rPr>
    </w:lvl>
    <w:lvl w:ilvl="6" w:tentative="0">
      <w:start w:val="0"/>
      <w:numFmt w:val="bullet"/>
      <w:lvlText w:val="•"/>
      <w:lvlJc w:val="left"/>
      <w:pPr>
        <w:ind w:left="6863" w:hanging="361"/>
      </w:pPr>
      <w:rPr>
        <w:rFonts w:hint="default"/>
        <w:lang w:val="zh-CN" w:eastAsia="zh-CN" w:bidi="zh-CN"/>
      </w:rPr>
    </w:lvl>
    <w:lvl w:ilvl="7" w:tentative="0">
      <w:start w:val="0"/>
      <w:numFmt w:val="bullet"/>
      <w:lvlText w:val="•"/>
      <w:lvlJc w:val="left"/>
      <w:pPr>
        <w:ind w:left="7794" w:hanging="361"/>
      </w:pPr>
      <w:rPr>
        <w:rFonts w:hint="default"/>
        <w:lang w:val="zh-CN" w:eastAsia="zh-CN" w:bidi="zh-CN"/>
      </w:rPr>
    </w:lvl>
    <w:lvl w:ilvl="8" w:tentative="0">
      <w:start w:val="0"/>
      <w:numFmt w:val="bullet"/>
      <w:lvlText w:val="•"/>
      <w:lvlJc w:val="left"/>
      <w:pPr>
        <w:ind w:left="8725" w:hanging="361"/>
      </w:pPr>
      <w:rPr>
        <w:rFonts w:hint="default"/>
        <w:lang w:val="zh-CN" w:eastAsia="zh-CN" w:bidi="zh-CN"/>
      </w:rPr>
    </w:lvl>
  </w:abstractNum>
  <w:abstractNum w:abstractNumId="15">
    <w:nsid w:val="0248C179"/>
    <w:multiLevelType w:val="multilevel"/>
    <w:tmpl w:val="0248C179"/>
    <w:lvl w:ilvl="0" w:tentative="0">
      <w:start w:val="1"/>
      <w:numFmt w:val="decimal"/>
      <w:lvlText w:val="%1."/>
      <w:lvlJc w:val="left"/>
      <w:pPr>
        <w:ind w:left="1481"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959" w:hanging="361"/>
        <w:jc w:val="left"/>
      </w:pPr>
      <w:rPr>
        <w:rFonts w:hint="default" w:ascii="宋体" w:hAnsi="宋体" w:eastAsia="宋体" w:cs="宋体"/>
        <w:w w:val="100"/>
        <w:sz w:val="22"/>
        <w:szCs w:val="22"/>
        <w:lang w:val="zh-CN" w:eastAsia="zh-CN" w:bidi="zh-CN"/>
      </w:rPr>
    </w:lvl>
    <w:lvl w:ilvl="2" w:tentative="0">
      <w:start w:val="1"/>
      <w:numFmt w:val="decimal"/>
      <w:lvlText w:val="（%3）"/>
      <w:lvlJc w:val="left"/>
      <w:pPr>
        <w:ind w:left="2199" w:hanging="601"/>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2200" w:hanging="601"/>
      </w:pPr>
      <w:rPr>
        <w:rFonts w:hint="default"/>
        <w:lang w:val="zh-CN" w:eastAsia="zh-CN" w:bidi="zh-CN"/>
      </w:rPr>
    </w:lvl>
    <w:lvl w:ilvl="4" w:tentative="0">
      <w:start w:val="0"/>
      <w:numFmt w:val="bullet"/>
      <w:lvlText w:val="•"/>
      <w:lvlJc w:val="left"/>
      <w:pPr>
        <w:ind w:left="3398" w:hanging="601"/>
      </w:pPr>
      <w:rPr>
        <w:rFonts w:hint="default"/>
        <w:lang w:val="zh-CN" w:eastAsia="zh-CN" w:bidi="zh-CN"/>
      </w:rPr>
    </w:lvl>
    <w:lvl w:ilvl="5" w:tentative="0">
      <w:start w:val="0"/>
      <w:numFmt w:val="bullet"/>
      <w:lvlText w:val="•"/>
      <w:lvlJc w:val="left"/>
      <w:pPr>
        <w:ind w:left="4596" w:hanging="601"/>
      </w:pPr>
      <w:rPr>
        <w:rFonts w:hint="default"/>
        <w:lang w:val="zh-CN" w:eastAsia="zh-CN" w:bidi="zh-CN"/>
      </w:rPr>
    </w:lvl>
    <w:lvl w:ilvl="6" w:tentative="0">
      <w:start w:val="0"/>
      <w:numFmt w:val="bullet"/>
      <w:lvlText w:val="•"/>
      <w:lvlJc w:val="left"/>
      <w:pPr>
        <w:ind w:left="5794" w:hanging="601"/>
      </w:pPr>
      <w:rPr>
        <w:rFonts w:hint="default"/>
        <w:lang w:val="zh-CN" w:eastAsia="zh-CN" w:bidi="zh-CN"/>
      </w:rPr>
    </w:lvl>
    <w:lvl w:ilvl="7" w:tentative="0">
      <w:start w:val="0"/>
      <w:numFmt w:val="bullet"/>
      <w:lvlText w:val="•"/>
      <w:lvlJc w:val="left"/>
      <w:pPr>
        <w:ind w:left="6992" w:hanging="601"/>
      </w:pPr>
      <w:rPr>
        <w:rFonts w:hint="default"/>
        <w:lang w:val="zh-CN" w:eastAsia="zh-CN" w:bidi="zh-CN"/>
      </w:rPr>
    </w:lvl>
    <w:lvl w:ilvl="8" w:tentative="0">
      <w:start w:val="0"/>
      <w:numFmt w:val="bullet"/>
      <w:lvlText w:val="•"/>
      <w:lvlJc w:val="left"/>
      <w:pPr>
        <w:ind w:left="8190" w:hanging="601"/>
      </w:pPr>
      <w:rPr>
        <w:rFonts w:hint="default"/>
        <w:lang w:val="zh-CN" w:eastAsia="zh-CN" w:bidi="zh-CN"/>
      </w:rPr>
    </w:lvl>
  </w:abstractNum>
  <w:abstractNum w:abstractNumId="16">
    <w:nsid w:val="0E640482"/>
    <w:multiLevelType w:val="multilevel"/>
    <w:tmpl w:val="0E640482"/>
    <w:lvl w:ilvl="0" w:tentative="0">
      <w:start w:val="30"/>
      <w:numFmt w:val="decimal"/>
      <w:lvlText w:val="%1."/>
      <w:lvlJc w:val="left"/>
      <w:pPr>
        <w:ind w:left="1602" w:hanging="485"/>
        <w:jc w:val="left"/>
      </w:pPr>
      <w:rPr>
        <w:rFonts w:hint="default" w:ascii="宋体" w:hAnsi="宋体" w:eastAsia="宋体" w:cs="宋体"/>
        <w:b/>
        <w:bCs/>
        <w:spacing w:val="-1"/>
        <w:w w:val="99"/>
        <w:sz w:val="22"/>
        <w:szCs w:val="22"/>
        <w:lang w:val="zh-CN" w:eastAsia="zh-CN" w:bidi="zh-CN"/>
      </w:rPr>
    </w:lvl>
    <w:lvl w:ilvl="1" w:tentative="0">
      <w:start w:val="1"/>
      <w:numFmt w:val="decimal"/>
      <w:lvlText w:val="%1.%2"/>
      <w:lvlJc w:val="left"/>
      <w:pPr>
        <w:ind w:left="1118" w:hanging="481"/>
        <w:jc w:val="left"/>
      </w:pPr>
      <w:rPr>
        <w:rFonts w:hint="default" w:ascii="宋体" w:hAnsi="宋体" w:eastAsia="宋体" w:cs="宋体"/>
        <w:spacing w:val="-92"/>
        <w:w w:val="100"/>
        <w:sz w:val="22"/>
        <w:szCs w:val="22"/>
        <w:lang w:val="zh-CN" w:eastAsia="zh-CN" w:bidi="zh-CN"/>
      </w:rPr>
    </w:lvl>
    <w:lvl w:ilvl="2" w:tentative="0">
      <w:start w:val="0"/>
      <w:numFmt w:val="bullet"/>
      <w:lvlText w:val="•"/>
      <w:lvlJc w:val="left"/>
      <w:pPr>
        <w:ind w:left="2598" w:hanging="481"/>
      </w:pPr>
      <w:rPr>
        <w:rFonts w:hint="default"/>
        <w:lang w:val="zh-CN" w:eastAsia="zh-CN" w:bidi="zh-CN"/>
      </w:rPr>
    </w:lvl>
    <w:lvl w:ilvl="3" w:tentative="0">
      <w:start w:val="0"/>
      <w:numFmt w:val="bullet"/>
      <w:lvlText w:val="•"/>
      <w:lvlJc w:val="left"/>
      <w:pPr>
        <w:ind w:left="3596" w:hanging="481"/>
      </w:pPr>
      <w:rPr>
        <w:rFonts w:hint="default"/>
        <w:lang w:val="zh-CN" w:eastAsia="zh-CN" w:bidi="zh-CN"/>
      </w:rPr>
    </w:lvl>
    <w:lvl w:ilvl="4" w:tentative="0">
      <w:start w:val="0"/>
      <w:numFmt w:val="bullet"/>
      <w:lvlText w:val="•"/>
      <w:lvlJc w:val="left"/>
      <w:pPr>
        <w:ind w:left="4595" w:hanging="481"/>
      </w:pPr>
      <w:rPr>
        <w:rFonts w:hint="default"/>
        <w:lang w:val="zh-CN" w:eastAsia="zh-CN" w:bidi="zh-CN"/>
      </w:rPr>
    </w:lvl>
    <w:lvl w:ilvl="5" w:tentative="0">
      <w:start w:val="0"/>
      <w:numFmt w:val="bullet"/>
      <w:lvlText w:val="•"/>
      <w:lvlJc w:val="left"/>
      <w:pPr>
        <w:ind w:left="5593" w:hanging="481"/>
      </w:pPr>
      <w:rPr>
        <w:rFonts w:hint="default"/>
        <w:lang w:val="zh-CN" w:eastAsia="zh-CN" w:bidi="zh-CN"/>
      </w:rPr>
    </w:lvl>
    <w:lvl w:ilvl="6" w:tentative="0">
      <w:start w:val="0"/>
      <w:numFmt w:val="bullet"/>
      <w:lvlText w:val="•"/>
      <w:lvlJc w:val="left"/>
      <w:pPr>
        <w:ind w:left="6592" w:hanging="481"/>
      </w:pPr>
      <w:rPr>
        <w:rFonts w:hint="default"/>
        <w:lang w:val="zh-CN" w:eastAsia="zh-CN" w:bidi="zh-CN"/>
      </w:rPr>
    </w:lvl>
    <w:lvl w:ilvl="7" w:tentative="0">
      <w:start w:val="0"/>
      <w:numFmt w:val="bullet"/>
      <w:lvlText w:val="•"/>
      <w:lvlJc w:val="left"/>
      <w:pPr>
        <w:ind w:left="7590" w:hanging="481"/>
      </w:pPr>
      <w:rPr>
        <w:rFonts w:hint="default"/>
        <w:lang w:val="zh-CN" w:eastAsia="zh-CN" w:bidi="zh-CN"/>
      </w:rPr>
    </w:lvl>
    <w:lvl w:ilvl="8" w:tentative="0">
      <w:start w:val="0"/>
      <w:numFmt w:val="bullet"/>
      <w:lvlText w:val="•"/>
      <w:lvlJc w:val="left"/>
      <w:pPr>
        <w:ind w:left="8589" w:hanging="481"/>
      </w:pPr>
      <w:rPr>
        <w:rFonts w:hint="default"/>
        <w:lang w:val="zh-CN" w:eastAsia="zh-CN" w:bidi="zh-CN"/>
      </w:rPr>
    </w:lvl>
  </w:abstractNum>
  <w:abstractNum w:abstractNumId="17">
    <w:nsid w:val="243FCF68"/>
    <w:multiLevelType w:val="multilevel"/>
    <w:tmpl w:val="243FCF68"/>
    <w:lvl w:ilvl="0" w:tentative="0">
      <w:start w:val="1"/>
      <w:numFmt w:val="decimal"/>
      <w:lvlText w:val="（%1）"/>
      <w:lvlJc w:val="left"/>
      <w:pPr>
        <w:ind w:left="1534" w:hanging="601"/>
        <w:jc w:val="left"/>
      </w:pPr>
      <w:rPr>
        <w:rFonts w:hint="default" w:ascii="宋体" w:hAnsi="宋体" w:eastAsia="宋体" w:cs="宋体"/>
        <w:spacing w:val="-113"/>
        <w:w w:val="100"/>
        <w:sz w:val="22"/>
        <w:szCs w:val="22"/>
        <w:lang w:val="zh-CN" w:eastAsia="zh-CN" w:bidi="zh-CN"/>
      </w:rPr>
    </w:lvl>
    <w:lvl w:ilvl="1" w:tentative="0">
      <w:start w:val="0"/>
      <w:numFmt w:val="bullet"/>
      <w:lvlText w:val="•"/>
      <w:lvlJc w:val="left"/>
      <w:pPr>
        <w:ind w:left="2444" w:hanging="601"/>
      </w:pPr>
      <w:rPr>
        <w:rFonts w:hint="default"/>
        <w:lang w:val="zh-CN" w:eastAsia="zh-CN" w:bidi="zh-CN"/>
      </w:rPr>
    </w:lvl>
    <w:lvl w:ilvl="2" w:tentative="0">
      <w:start w:val="0"/>
      <w:numFmt w:val="bullet"/>
      <w:lvlText w:val="•"/>
      <w:lvlJc w:val="left"/>
      <w:pPr>
        <w:ind w:left="3349" w:hanging="601"/>
      </w:pPr>
      <w:rPr>
        <w:rFonts w:hint="default"/>
        <w:lang w:val="zh-CN" w:eastAsia="zh-CN" w:bidi="zh-CN"/>
      </w:rPr>
    </w:lvl>
    <w:lvl w:ilvl="3" w:tentative="0">
      <w:start w:val="0"/>
      <w:numFmt w:val="bullet"/>
      <w:lvlText w:val="•"/>
      <w:lvlJc w:val="left"/>
      <w:pPr>
        <w:ind w:left="4253" w:hanging="601"/>
      </w:pPr>
      <w:rPr>
        <w:rFonts w:hint="default"/>
        <w:lang w:val="zh-CN" w:eastAsia="zh-CN" w:bidi="zh-CN"/>
      </w:rPr>
    </w:lvl>
    <w:lvl w:ilvl="4" w:tentative="0">
      <w:start w:val="0"/>
      <w:numFmt w:val="bullet"/>
      <w:lvlText w:val="•"/>
      <w:lvlJc w:val="left"/>
      <w:pPr>
        <w:ind w:left="5158" w:hanging="601"/>
      </w:pPr>
      <w:rPr>
        <w:rFonts w:hint="default"/>
        <w:lang w:val="zh-CN" w:eastAsia="zh-CN" w:bidi="zh-CN"/>
      </w:rPr>
    </w:lvl>
    <w:lvl w:ilvl="5" w:tentative="0">
      <w:start w:val="0"/>
      <w:numFmt w:val="bullet"/>
      <w:lvlText w:val="•"/>
      <w:lvlJc w:val="left"/>
      <w:pPr>
        <w:ind w:left="6063" w:hanging="601"/>
      </w:pPr>
      <w:rPr>
        <w:rFonts w:hint="default"/>
        <w:lang w:val="zh-CN" w:eastAsia="zh-CN" w:bidi="zh-CN"/>
      </w:rPr>
    </w:lvl>
    <w:lvl w:ilvl="6" w:tentative="0">
      <w:start w:val="0"/>
      <w:numFmt w:val="bullet"/>
      <w:lvlText w:val="•"/>
      <w:lvlJc w:val="left"/>
      <w:pPr>
        <w:ind w:left="6967" w:hanging="601"/>
      </w:pPr>
      <w:rPr>
        <w:rFonts w:hint="default"/>
        <w:lang w:val="zh-CN" w:eastAsia="zh-CN" w:bidi="zh-CN"/>
      </w:rPr>
    </w:lvl>
    <w:lvl w:ilvl="7" w:tentative="0">
      <w:start w:val="0"/>
      <w:numFmt w:val="bullet"/>
      <w:lvlText w:val="•"/>
      <w:lvlJc w:val="left"/>
      <w:pPr>
        <w:ind w:left="7872" w:hanging="601"/>
      </w:pPr>
      <w:rPr>
        <w:rFonts w:hint="default"/>
        <w:lang w:val="zh-CN" w:eastAsia="zh-CN" w:bidi="zh-CN"/>
      </w:rPr>
    </w:lvl>
    <w:lvl w:ilvl="8" w:tentative="0">
      <w:start w:val="0"/>
      <w:numFmt w:val="bullet"/>
      <w:lvlText w:val="•"/>
      <w:lvlJc w:val="left"/>
      <w:pPr>
        <w:ind w:left="8777" w:hanging="601"/>
      </w:pPr>
      <w:rPr>
        <w:rFonts w:hint="default"/>
        <w:lang w:val="zh-CN" w:eastAsia="zh-CN" w:bidi="zh-CN"/>
      </w:rPr>
    </w:lvl>
  </w:abstractNum>
  <w:abstractNum w:abstractNumId="18">
    <w:nsid w:val="2470EC97"/>
    <w:multiLevelType w:val="multilevel"/>
    <w:tmpl w:val="2470EC97"/>
    <w:lvl w:ilvl="0" w:tentative="0">
      <w:start w:val="1"/>
      <w:numFmt w:val="decimal"/>
      <w:lvlText w:val="（%1）"/>
      <w:lvlJc w:val="left"/>
      <w:pPr>
        <w:ind w:left="219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038" w:hanging="601"/>
      </w:pPr>
      <w:rPr>
        <w:rFonts w:hint="default"/>
        <w:lang w:val="zh-CN" w:eastAsia="zh-CN" w:bidi="zh-CN"/>
      </w:rPr>
    </w:lvl>
    <w:lvl w:ilvl="2" w:tentative="0">
      <w:start w:val="0"/>
      <w:numFmt w:val="bullet"/>
      <w:lvlText w:val="•"/>
      <w:lvlJc w:val="left"/>
      <w:pPr>
        <w:ind w:left="3877" w:hanging="601"/>
      </w:pPr>
      <w:rPr>
        <w:rFonts w:hint="default"/>
        <w:lang w:val="zh-CN" w:eastAsia="zh-CN" w:bidi="zh-CN"/>
      </w:rPr>
    </w:lvl>
    <w:lvl w:ilvl="3" w:tentative="0">
      <w:start w:val="0"/>
      <w:numFmt w:val="bullet"/>
      <w:lvlText w:val="•"/>
      <w:lvlJc w:val="left"/>
      <w:pPr>
        <w:ind w:left="4715" w:hanging="601"/>
      </w:pPr>
      <w:rPr>
        <w:rFonts w:hint="default"/>
        <w:lang w:val="zh-CN" w:eastAsia="zh-CN" w:bidi="zh-CN"/>
      </w:rPr>
    </w:lvl>
    <w:lvl w:ilvl="4" w:tentative="0">
      <w:start w:val="0"/>
      <w:numFmt w:val="bullet"/>
      <w:lvlText w:val="•"/>
      <w:lvlJc w:val="left"/>
      <w:pPr>
        <w:ind w:left="5554" w:hanging="601"/>
      </w:pPr>
      <w:rPr>
        <w:rFonts w:hint="default"/>
        <w:lang w:val="zh-CN" w:eastAsia="zh-CN" w:bidi="zh-CN"/>
      </w:rPr>
    </w:lvl>
    <w:lvl w:ilvl="5" w:tentative="0">
      <w:start w:val="0"/>
      <w:numFmt w:val="bullet"/>
      <w:lvlText w:val="•"/>
      <w:lvlJc w:val="left"/>
      <w:pPr>
        <w:ind w:left="6393" w:hanging="601"/>
      </w:pPr>
      <w:rPr>
        <w:rFonts w:hint="default"/>
        <w:lang w:val="zh-CN" w:eastAsia="zh-CN" w:bidi="zh-CN"/>
      </w:rPr>
    </w:lvl>
    <w:lvl w:ilvl="6" w:tentative="0">
      <w:start w:val="0"/>
      <w:numFmt w:val="bullet"/>
      <w:lvlText w:val="•"/>
      <w:lvlJc w:val="left"/>
      <w:pPr>
        <w:ind w:left="7231" w:hanging="601"/>
      </w:pPr>
      <w:rPr>
        <w:rFonts w:hint="default"/>
        <w:lang w:val="zh-CN" w:eastAsia="zh-CN" w:bidi="zh-CN"/>
      </w:rPr>
    </w:lvl>
    <w:lvl w:ilvl="7" w:tentative="0">
      <w:start w:val="0"/>
      <w:numFmt w:val="bullet"/>
      <w:lvlText w:val="•"/>
      <w:lvlJc w:val="left"/>
      <w:pPr>
        <w:ind w:left="8070" w:hanging="601"/>
      </w:pPr>
      <w:rPr>
        <w:rFonts w:hint="default"/>
        <w:lang w:val="zh-CN" w:eastAsia="zh-CN" w:bidi="zh-CN"/>
      </w:rPr>
    </w:lvl>
    <w:lvl w:ilvl="8" w:tentative="0">
      <w:start w:val="0"/>
      <w:numFmt w:val="bullet"/>
      <w:lvlText w:val="•"/>
      <w:lvlJc w:val="left"/>
      <w:pPr>
        <w:ind w:left="8909" w:hanging="601"/>
      </w:pPr>
      <w:rPr>
        <w:rFonts w:hint="default"/>
        <w:lang w:val="zh-CN" w:eastAsia="zh-CN" w:bidi="zh-CN"/>
      </w:rPr>
    </w:lvl>
  </w:abstractNum>
  <w:abstractNum w:abstractNumId="19">
    <w:nsid w:val="2A8F537B"/>
    <w:multiLevelType w:val="multilevel"/>
    <w:tmpl w:val="2A8F537B"/>
    <w:lvl w:ilvl="0" w:tentative="0">
      <w:start w:val="7"/>
      <w:numFmt w:val="decimal"/>
      <w:lvlText w:val="%1"/>
      <w:lvlJc w:val="left"/>
      <w:pPr>
        <w:ind w:left="1118" w:hanging="364"/>
        <w:jc w:val="left"/>
      </w:pPr>
      <w:rPr>
        <w:rFonts w:hint="default"/>
        <w:lang w:val="zh-CN" w:eastAsia="zh-CN" w:bidi="zh-CN"/>
      </w:rPr>
    </w:lvl>
    <w:lvl w:ilvl="1" w:tentative="0">
      <w:start w:val="2"/>
      <w:numFmt w:val="decimal"/>
      <w:lvlText w:val="%1.%2"/>
      <w:lvlJc w:val="left"/>
      <w:pPr>
        <w:ind w:left="1118" w:hanging="364"/>
        <w:jc w:val="left"/>
      </w:pPr>
      <w:rPr>
        <w:rFonts w:hint="default" w:ascii="宋体" w:hAnsi="宋体" w:eastAsia="宋体" w:cs="宋体"/>
        <w:spacing w:val="-32"/>
        <w:w w:val="99"/>
        <w:sz w:val="22"/>
        <w:szCs w:val="22"/>
        <w:lang w:val="zh-CN" w:eastAsia="zh-CN" w:bidi="zh-CN"/>
      </w:rPr>
    </w:lvl>
    <w:lvl w:ilvl="2" w:tentative="0">
      <w:start w:val="0"/>
      <w:numFmt w:val="bullet"/>
      <w:lvlText w:val="•"/>
      <w:lvlJc w:val="left"/>
      <w:pPr>
        <w:ind w:left="3013" w:hanging="364"/>
      </w:pPr>
      <w:rPr>
        <w:rFonts w:hint="default"/>
        <w:lang w:val="zh-CN" w:eastAsia="zh-CN" w:bidi="zh-CN"/>
      </w:rPr>
    </w:lvl>
    <w:lvl w:ilvl="3" w:tentative="0">
      <w:start w:val="0"/>
      <w:numFmt w:val="bullet"/>
      <w:lvlText w:val="•"/>
      <w:lvlJc w:val="left"/>
      <w:pPr>
        <w:ind w:left="3959" w:hanging="364"/>
      </w:pPr>
      <w:rPr>
        <w:rFonts w:hint="default"/>
        <w:lang w:val="zh-CN" w:eastAsia="zh-CN" w:bidi="zh-CN"/>
      </w:rPr>
    </w:lvl>
    <w:lvl w:ilvl="4" w:tentative="0">
      <w:start w:val="0"/>
      <w:numFmt w:val="bullet"/>
      <w:lvlText w:val="•"/>
      <w:lvlJc w:val="left"/>
      <w:pPr>
        <w:ind w:left="4906" w:hanging="364"/>
      </w:pPr>
      <w:rPr>
        <w:rFonts w:hint="default"/>
        <w:lang w:val="zh-CN" w:eastAsia="zh-CN" w:bidi="zh-CN"/>
      </w:rPr>
    </w:lvl>
    <w:lvl w:ilvl="5" w:tentative="0">
      <w:start w:val="0"/>
      <w:numFmt w:val="bullet"/>
      <w:lvlText w:val="•"/>
      <w:lvlJc w:val="left"/>
      <w:pPr>
        <w:ind w:left="5853" w:hanging="364"/>
      </w:pPr>
      <w:rPr>
        <w:rFonts w:hint="default"/>
        <w:lang w:val="zh-CN" w:eastAsia="zh-CN" w:bidi="zh-CN"/>
      </w:rPr>
    </w:lvl>
    <w:lvl w:ilvl="6" w:tentative="0">
      <w:start w:val="0"/>
      <w:numFmt w:val="bullet"/>
      <w:lvlText w:val="•"/>
      <w:lvlJc w:val="left"/>
      <w:pPr>
        <w:ind w:left="6799" w:hanging="364"/>
      </w:pPr>
      <w:rPr>
        <w:rFonts w:hint="default"/>
        <w:lang w:val="zh-CN" w:eastAsia="zh-CN" w:bidi="zh-CN"/>
      </w:rPr>
    </w:lvl>
    <w:lvl w:ilvl="7" w:tentative="0">
      <w:start w:val="0"/>
      <w:numFmt w:val="bullet"/>
      <w:lvlText w:val="•"/>
      <w:lvlJc w:val="left"/>
      <w:pPr>
        <w:ind w:left="7746" w:hanging="364"/>
      </w:pPr>
      <w:rPr>
        <w:rFonts w:hint="default"/>
        <w:lang w:val="zh-CN" w:eastAsia="zh-CN" w:bidi="zh-CN"/>
      </w:rPr>
    </w:lvl>
    <w:lvl w:ilvl="8" w:tentative="0">
      <w:start w:val="0"/>
      <w:numFmt w:val="bullet"/>
      <w:lvlText w:val="•"/>
      <w:lvlJc w:val="left"/>
      <w:pPr>
        <w:ind w:left="8693" w:hanging="364"/>
      </w:pPr>
      <w:rPr>
        <w:rFonts w:hint="default"/>
        <w:lang w:val="zh-CN" w:eastAsia="zh-CN" w:bidi="zh-CN"/>
      </w:rPr>
    </w:lvl>
  </w:abstractNum>
  <w:abstractNum w:abstractNumId="20">
    <w:nsid w:val="30FC5B15"/>
    <w:multiLevelType w:val="multilevel"/>
    <w:tmpl w:val="30FC5B15"/>
    <w:lvl w:ilvl="0" w:tentative="0">
      <w:start w:val="1"/>
      <w:numFmt w:val="decimal"/>
      <w:lvlText w:val="%1）"/>
      <w:lvlJc w:val="left"/>
      <w:pPr>
        <w:ind w:left="1279" w:hanging="361"/>
        <w:jc w:val="left"/>
      </w:pPr>
      <w:rPr>
        <w:rFonts w:hint="default" w:ascii="宋体" w:hAnsi="宋体" w:eastAsia="宋体" w:cs="宋体"/>
        <w:spacing w:val="-120"/>
        <w:w w:val="100"/>
        <w:sz w:val="22"/>
        <w:szCs w:val="22"/>
        <w:lang w:val="zh-CN" w:eastAsia="zh-CN" w:bidi="zh-CN"/>
      </w:rPr>
    </w:lvl>
    <w:lvl w:ilvl="1" w:tentative="0">
      <w:start w:val="0"/>
      <w:numFmt w:val="bullet"/>
      <w:lvlText w:val="•"/>
      <w:lvlJc w:val="left"/>
      <w:pPr>
        <w:ind w:left="2210" w:hanging="361"/>
      </w:pPr>
      <w:rPr>
        <w:rFonts w:hint="default"/>
        <w:lang w:val="zh-CN" w:eastAsia="zh-CN" w:bidi="zh-CN"/>
      </w:rPr>
    </w:lvl>
    <w:lvl w:ilvl="2" w:tentative="0">
      <w:start w:val="0"/>
      <w:numFmt w:val="bullet"/>
      <w:lvlText w:val="•"/>
      <w:lvlJc w:val="left"/>
      <w:pPr>
        <w:ind w:left="3141" w:hanging="361"/>
      </w:pPr>
      <w:rPr>
        <w:rFonts w:hint="default"/>
        <w:lang w:val="zh-CN" w:eastAsia="zh-CN" w:bidi="zh-CN"/>
      </w:rPr>
    </w:lvl>
    <w:lvl w:ilvl="3" w:tentative="0">
      <w:start w:val="0"/>
      <w:numFmt w:val="bullet"/>
      <w:lvlText w:val="•"/>
      <w:lvlJc w:val="left"/>
      <w:pPr>
        <w:ind w:left="4071" w:hanging="361"/>
      </w:pPr>
      <w:rPr>
        <w:rFonts w:hint="default"/>
        <w:lang w:val="zh-CN" w:eastAsia="zh-CN" w:bidi="zh-CN"/>
      </w:rPr>
    </w:lvl>
    <w:lvl w:ilvl="4" w:tentative="0">
      <w:start w:val="0"/>
      <w:numFmt w:val="bullet"/>
      <w:lvlText w:val="•"/>
      <w:lvlJc w:val="left"/>
      <w:pPr>
        <w:ind w:left="5002" w:hanging="361"/>
      </w:pPr>
      <w:rPr>
        <w:rFonts w:hint="default"/>
        <w:lang w:val="zh-CN" w:eastAsia="zh-CN" w:bidi="zh-CN"/>
      </w:rPr>
    </w:lvl>
    <w:lvl w:ilvl="5" w:tentative="0">
      <w:start w:val="0"/>
      <w:numFmt w:val="bullet"/>
      <w:lvlText w:val="•"/>
      <w:lvlJc w:val="left"/>
      <w:pPr>
        <w:ind w:left="5933" w:hanging="361"/>
      </w:pPr>
      <w:rPr>
        <w:rFonts w:hint="default"/>
        <w:lang w:val="zh-CN" w:eastAsia="zh-CN" w:bidi="zh-CN"/>
      </w:rPr>
    </w:lvl>
    <w:lvl w:ilvl="6" w:tentative="0">
      <w:start w:val="0"/>
      <w:numFmt w:val="bullet"/>
      <w:lvlText w:val="•"/>
      <w:lvlJc w:val="left"/>
      <w:pPr>
        <w:ind w:left="6863" w:hanging="361"/>
      </w:pPr>
      <w:rPr>
        <w:rFonts w:hint="default"/>
        <w:lang w:val="zh-CN" w:eastAsia="zh-CN" w:bidi="zh-CN"/>
      </w:rPr>
    </w:lvl>
    <w:lvl w:ilvl="7" w:tentative="0">
      <w:start w:val="0"/>
      <w:numFmt w:val="bullet"/>
      <w:lvlText w:val="•"/>
      <w:lvlJc w:val="left"/>
      <w:pPr>
        <w:ind w:left="7794" w:hanging="361"/>
      </w:pPr>
      <w:rPr>
        <w:rFonts w:hint="default"/>
        <w:lang w:val="zh-CN" w:eastAsia="zh-CN" w:bidi="zh-CN"/>
      </w:rPr>
    </w:lvl>
    <w:lvl w:ilvl="8" w:tentative="0">
      <w:start w:val="0"/>
      <w:numFmt w:val="bullet"/>
      <w:lvlText w:val="•"/>
      <w:lvlJc w:val="left"/>
      <w:pPr>
        <w:ind w:left="8725" w:hanging="361"/>
      </w:pPr>
      <w:rPr>
        <w:rFonts w:hint="default"/>
        <w:lang w:val="zh-CN" w:eastAsia="zh-CN" w:bidi="zh-CN"/>
      </w:rPr>
    </w:lvl>
  </w:abstractNum>
  <w:abstractNum w:abstractNumId="21">
    <w:nsid w:val="39A0D9AC"/>
    <w:multiLevelType w:val="multilevel"/>
    <w:tmpl w:val="39A0D9AC"/>
    <w:lvl w:ilvl="0" w:tentative="0">
      <w:start w:val="2"/>
      <w:numFmt w:val="decimal"/>
      <w:lvlText w:val="%1"/>
      <w:lvlJc w:val="left"/>
      <w:pPr>
        <w:ind w:left="452" w:hanging="361"/>
        <w:jc w:val="left"/>
      </w:pPr>
      <w:rPr>
        <w:rFonts w:hint="default"/>
        <w:lang w:val="zh-CN" w:eastAsia="zh-CN" w:bidi="zh-CN"/>
      </w:rPr>
    </w:lvl>
    <w:lvl w:ilvl="1" w:tentative="0">
      <w:start w:val="1"/>
      <w:numFmt w:val="decimal"/>
      <w:lvlText w:val="%1.%2"/>
      <w:lvlJc w:val="left"/>
      <w:pPr>
        <w:ind w:left="452" w:hanging="361"/>
        <w:jc w:val="left"/>
      </w:pPr>
      <w:rPr>
        <w:rFonts w:hint="default"/>
        <w:w w:val="100"/>
        <w:lang w:val="zh-CN" w:eastAsia="zh-CN" w:bidi="zh-CN"/>
      </w:rPr>
    </w:lvl>
    <w:lvl w:ilvl="2" w:tentative="0">
      <w:start w:val="0"/>
      <w:numFmt w:val="bullet"/>
      <w:lvlText w:val="•"/>
      <w:lvlJc w:val="left"/>
      <w:pPr>
        <w:ind w:left="2485" w:hanging="361"/>
      </w:pPr>
      <w:rPr>
        <w:rFonts w:hint="default"/>
        <w:lang w:val="zh-CN" w:eastAsia="zh-CN" w:bidi="zh-CN"/>
      </w:rPr>
    </w:lvl>
    <w:lvl w:ilvl="3" w:tentative="0">
      <w:start w:val="0"/>
      <w:numFmt w:val="bullet"/>
      <w:lvlText w:val="•"/>
      <w:lvlJc w:val="left"/>
      <w:pPr>
        <w:ind w:left="3497" w:hanging="361"/>
      </w:pPr>
      <w:rPr>
        <w:rFonts w:hint="default"/>
        <w:lang w:val="zh-CN" w:eastAsia="zh-CN" w:bidi="zh-CN"/>
      </w:rPr>
    </w:lvl>
    <w:lvl w:ilvl="4" w:tentative="0">
      <w:start w:val="0"/>
      <w:numFmt w:val="bullet"/>
      <w:lvlText w:val="•"/>
      <w:lvlJc w:val="left"/>
      <w:pPr>
        <w:ind w:left="4510" w:hanging="361"/>
      </w:pPr>
      <w:rPr>
        <w:rFonts w:hint="default"/>
        <w:lang w:val="zh-CN" w:eastAsia="zh-CN" w:bidi="zh-CN"/>
      </w:rPr>
    </w:lvl>
    <w:lvl w:ilvl="5" w:tentative="0">
      <w:start w:val="0"/>
      <w:numFmt w:val="bullet"/>
      <w:lvlText w:val="•"/>
      <w:lvlJc w:val="left"/>
      <w:pPr>
        <w:ind w:left="5523" w:hanging="361"/>
      </w:pPr>
      <w:rPr>
        <w:rFonts w:hint="default"/>
        <w:lang w:val="zh-CN" w:eastAsia="zh-CN" w:bidi="zh-CN"/>
      </w:rPr>
    </w:lvl>
    <w:lvl w:ilvl="6" w:tentative="0">
      <w:start w:val="0"/>
      <w:numFmt w:val="bullet"/>
      <w:lvlText w:val="•"/>
      <w:lvlJc w:val="left"/>
      <w:pPr>
        <w:ind w:left="6535" w:hanging="361"/>
      </w:pPr>
      <w:rPr>
        <w:rFonts w:hint="default"/>
        <w:lang w:val="zh-CN" w:eastAsia="zh-CN" w:bidi="zh-CN"/>
      </w:rPr>
    </w:lvl>
    <w:lvl w:ilvl="7" w:tentative="0">
      <w:start w:val="0"/>
      <w:numFmt w:val="bullet"/>
      <w:lvlText w:val="•"/>
      <w:lvlJc w:val="left"/>
      <w:pPr>
        <w:ind w:left="7548" w:hanging="361"/>
      </w:pPr>
      <w:rPr>
        <w:rFonts w:hint="default"/>
        <w:lang w:val="zh-CN" w:eastAsia="zh-CN" w:bidi="zh-CN"/>
      </w:rPr>
    </w:lvl>
    <w:lvl w:ilvl="8" w:tentative="0">
      <w:start w:val="0"/>
      <w:numFmt w:val="bullet"/>
      <w:lvlText w:val="•"/>
      <w:lvlJc w:val="left"/>
      <w:pPr>
        <w:ind w:left="8561" w:hanging="361"/>
      </w:pPr>
      <w:rPr>
        <w:rFonts w:hint="default"/>
        <w:lang w:val="zh-CN" w:eastAsia="zh-CN" w:bidi="zh-CN"/>
      </w:rPr>
    </w:lvl>
  </w:abstractNum>
  <w:abstractNum w:abstractNumId="22">
    <w:nsid w:val="46A08BB8"/>
    <w:multiLevelType w:val="multilevel"/>
    <w:tmpl w:val="46A08BB8"/>
    <w:lvl w:ilvl="0" w:tentative="0">
      <w:start w:val="1"/>
      <w:numFmt w:val="decimal"/>
      <w:lvlText w:val="%1)"/>
      <w:lvlJc w:val="left"/>
      <w:pPr>
        <w:ind w:left="1118" w:hanging="241"/>
        <w:jc w:val="left"/>
      </w:pPr>
      <w:rPr>
        <w:rFonts w:hint="default" w:ascii="宋体" w:hAnsi="宋体" w:eastAsia="宋体" w:cs="宋体"/>
        <w:spacing w:val="-92"/>
        <w:w w:val="100"/>
        <w:sz w:val="22"/>
        <w:szCs w:val="22"/>
        <w:lang w:val="zh-CN" w:eastAsia="zh-CN" w:bidi="zh-CN"/>
      </w:rPr>
    </w:lvl>
    <w:lvl w:ilvl="1" w:tentative="0">
      <w:start w:val="0"/>
      <w:numFmt w:val="bullet"/>
      <w:lvlText w:val="•"/>
      <w:lvlJc w:val="left"/>
      <w:pPr>
        <w:ind w:left="2066" w:hanging="241"/>
      </w:pPr>
      <w:rPr>
        <w:rFonts w:hint="default"/>
        <w:lang w:val="zh-CN" w:eastAsia="zh-CN" w:bidi="zh-CN"/>
      </w:rPr>
    </w:lvl>
    <w:lvl w:ilvl="2" w:tentative="0">
      <w:start w:val="0"/>
      <w:numFmt w:val="bullet"/>
      <w:lvlText w:val="•"/>
      <w:lvlJc w:val="left"/>
      <w:pPr>
        <w:ind w:left="3013" w:hanging="241"/>
      </w:pPr>
      <w:rPr>
        <w:rFonts w:hint="default"/>
        <w:lang w:val="zh-CN" w:eastAsia="zh-CN" w:bidi="zh-CN"/>
      </w:rPr>
    </w:lvl>
    <w:lvl w:ilvl="3" w:tentative="0">
      <w:start w:val="0"/>
      <w:numFmt w:val="bullet"/>
      <w:lvlText w:val="•"/>
      <w:lvlJc w:val="left"/>
      <w:pPr>
        <w:ind w:left="3959" w:hanging="241"/>
      </w:pPr>
      <w:rPr>
        <w:rFonts w:hint="default"/>
        <w:lang w:val="zh-CN" w:eastAsia="zh-CN" w:bidi="zh-CN"/>
      </w:rPr>
    </w:lvl>
    <w:lvl w:ilvl="4" w:tentative="0">
      <w:start w:val="0"/>
      <w:numFmt w:val="bullet"/>
      <w:lvlText w:val="•"/>
      <w:lvlJc w:val="left"/>
      <w:pPr>
        <w:ind w:left="4906" w:hanging="241"/>
      </w:pPr>
      <w:rPr>
        <w:rFonts w:hint="default"/>
        <w:lang w:val="zh-CN" w:eastAsia="zh-CN" w:bidi="zh-CN"/>
      </w:rPr>
    </w:lvl>
    <w:lvl w:ilvl="5" w:tentative="0">
      <w:start w:val="0"/>
      <w:numFmt w:val="bullet"/>
      <w:lvlText w:val="•"/>
      <w:lvlJc w:val="left"/>
      <w:pPr>
        <w:ind w:left="5853" w:hanging="241"/>
      </w:pPr>
      <w:rPr>
        <w:rFonts w:hint="default"/>
        <w:lang w:val="zh-CN" w:eastAsia="zh-CN" w:bidi="zh-CN"/>
      </w:rPr>
    </w:lvl>
    <w:lvl w:ilvl="6" w:tentative="0">
      <w:start w:val="0"/>
      <w:numFmt w:val="bullet"/>
      <w:lvlText w:val="•"/>
      <w:lvlJc w:val="left"/>
      <w:pPr>
        <w:ind w:left="6799" w:hanging="241"/>
      </w:pPr>
      <w:rPr>
        <w:rFonts w:hint="default"/>
        <w:lang w:val="zh-CN" w:eastAsia="zh-CN" w:bidi="zh-CN"/>
      </w:rPr>
    </w:lvl>
    <w:lvl w:ilvl="7" w:tentative="0">
      <w:start w:val="0"/>
      <w:numFmt w:val="bullet"/>
      <w:lvlText w:val="•"/>
      <w:lvlJc w:val="left"/>
      <w:pPr>
        <w:ind w:left="7746" w:hanging="241"/>
      </w:pPr>
      <w:rPr>
        <w:rFonts w:hint="default"/>
        <w:lang w:val="zh-CN" w:eastAsia="zh-CN" w:bidi="zh-CN"/>
      </w:rPr>
    </w:lvl>
    <w:lvl w:ilvl="8" w:tentative="0">
      <w:start w:val="0"/>
      <w:numFmt w:val="bullet"/>
      <w:lvlText w:val="•"/>
      <w:lvlJc w:val="left"/>
      <w:pPr>
        <w:ind w:left="8693" w:hanging="241"/>
      </w:pPr>
      <w:rPr>
        <w:rFonts w:hint="default"/>
        <w:lang w:val="zh-CN" w:eastAsia="zh-CN" w:bidi="zh-CN"/>
      </w:rPr>
    </w:lvl>
  </w:abstractNum>
  <w:abstractNum w:abstractNumId="23">
    <w:nsid w:val="4C1BAE26"/>
    <w:multiLevelType w:val="multilevel"/>
    <w:tmpl w:val="4C1BAE26"/>
    <w:lvl w:ilvl="0" w:tentative="0">
      <w:start w:val="27"/>
      <w:numFmt w:val="decimal"/>
      <w:lvlText w:val="%1"/>
      <w:lvlJc w:val="left"/>
      <w:pPr>
        <w:ind w:left="2118" w:hanging="540"/>
        <w:jc w:val="left"/>
      </w:pPr>
      <w:rPr>
        <w:rFonts w:hint="default"/>
        <w:lang w:val="zh-CN" w:eastAsia="zh-CN" w:bidi="zh-CN"/>
      </w:rPr>
    </w:lvl>
    <w:lvl w:ilvl="1" w:tentative="0">
      <w:start w:val="1"/>
      <w:numFmt w:val="decimal"/>
      <w:lvlText w:val="%1.%2"/>
      <w:lvlJc w:val="left"/>
      <w:pPr>
        <w:ind w:left="2118"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813" w:hanging="540"/>
      </w:pPr>
      <w:rPr>
        <w:rFonts w:hint="default"/>
        <w:lang w:val="zh-CN" w:eastAsia="zh-CN" w:bidi="zh-CN"/>
      </w:rPr>
    </w:lvl>
    <w:lvl w:ilvl="3" w:tentative="0">
      <w:start w:val="0"/>
      <w:numFmt w:val="bullet"/>
      <w:lvlText w:val="•"/>
      <w:lvlJc w:val="left"/>
      <w:pPr>
        <w:ind w:left="4659" w:hanging="540"/>
      </w:pPr>
      <w:rPr>
        <w:rFonts w:hint="default"/>
        <w:lang w:val="zh-CN" w:eastAsia="zh-CN" w:bidi="zh-CN"/>
      </w:rPr>
    </w:lvl>
    <w:lvl w:ilvl="4" w:tentative="0">
      <w:start w:val="0"/>
      <w:numFmt w:val="bullet"/>
      <w:lvlText w:val="•"/>
      <w:lvlJc w:val="left"/>
      <w:pPr>
        <w:ind w:left="5506" w:hanging="540"/>
      </w:pPr>
      <w:rPr>
        <w:rFonts w:hint="default"/>
        <w:lang w:val="zh-CN" w:eastAsia="zh-CN" w:bidi="zh-CN"/>
      </w:rPr>
    </w:lvl>
    <w:lvl w:ilvl="5" w:tentative="0">
      <w:start w:val="0"/>
      <w:numFmt w:val="bullet"/>
      <w:lvlText w:val="•"/>
      <w:lvlJc w:val="left"/>
      <w:pPr>
        <w:ind w:left="6353" w:hanging="540"/>
      </w:pPr>
      <w:rPr>
        <w:rFonts w:hint="default"/>
        <w:lang w:val="zh-CN" w:eastAsia="zh-CN" w:bidi="zh-CN"/>
      </w:rPr>
    </w:lvl>
    <w:lvl w:ilvl="6" w:tentative="0">
      <w:start w:val="0"/>
      <w:numFmt w:val="bullet"/>
      <w:lvlText w:val="•"/>
      <w:lvlJc w:val="left"/>
      <w:pPr>
        <w:ind w:left="7199" w:hanging="540"/>
      </w:pPr>
      <w:rPr>
        <w:rFonts w:hint="default"/>
        <w:lang w:val="zh-CN" w:eastAsia="zh-CN" w:bidi="zh-CN"/>
      </w:rPr>
    </w:lvl>
    <w:lvl w:ilvl="7" w:tentative="0">
      <w:start w:val="0"/>
      <w:numFmt w:val="bullet"/>
      <w:lvlText w:val="•"/>
      <w:lvlJc w:val="left"/>
      <w:pPr>
        <w:ind w:left="8046" w:hanging="540"/>
      </w:pPr>
      <w:rPr>
        <w:rFonts w:hint="default"/>
        <w:lang w:val="zh-CN" w:eastAsia="zh-CN" w:bidi="zh-CN"/>
      </w:rPr>
    </w:lvl>
    <w:lvl w:ilvl="8" w:tentative="0">
      <w:start w:val="0"/>
      <w:numFmt w:val="bullet"/>
      <w:lvlText w:val="•"/>
      <w:lvlJc w:val="left"/>
      <w:pPr>
        <w:ind w:left="8893" w:hanging="540"/>
      </w:pPr>
      <w:rPr>
        <w:rFonts w:hint="default"/>
        <w:lang w:val="zh-CN" w:eastAsia="zh-CN" w:bidi="zh-CN"/>
      </w:rPr>
    </w:lvl>
  </w:abstractNum>
  <w:abstractNum w:abstractNumId="24">
    <w:nsid w:val="4D94DA66"/>
    <w:multiLevelType w:val="multilevel"/>
    <w:tmpl w:val="4D94DA66"/>
    <w:lvl w:ilvl="0" w:tentative="0">
      <w:start w:val="3"/>
      <w:numFmt w:val="decimal"/>
      <w:lvlText w:val="%1"/>
      <w:lvlJc w:val="left"/>
      <w:pPr>
        <w:ind w:left="1593" w:hanging="420"/>
        <w:jc w:val="left"/>
      </w:pPr>
      <w:rPr>
        <w:rFonts w:hint="default"/>
        <w:lang w:val="zh-CN" w:eastAsia="zh-CN" w:bidi="zh-CN"/>
      </w:rPr>
    </w:lvl>
    <w:lvl w:ilvl="1" w:tentative="0">
      <w:start w:val="1"/>
      <w:numFmt w:val="decimal"/>
      <w:lvlText w:val="%1.%2"/>
      <w:lvlJc w:val="left"/>
      <w:pPr>
        <w:ind w:left="1593" w:hanging="420"/>
        <w:jc w:val="right"/>
      </w:pPr>
      <w:rPr>
        <w:rFonts w:hint="default"/>
        <w:w w:val="100"/>
        <w:lang w:val="zh-CN" w:eastAsia="zh-CN" w:bidi="zh-CN"/>
      </w:rPr>
    </w:lvl>
    <w:lvl w:ilvl="2" w:tentative="0">
      <w:start w:val="1"/>
      <w:numFmt w:val="decimal"/>
      <w:lvlText w:val="%1.%2.%3"/>
      <w:lvlJc w:val="left"/>
      <w:pPr>
        <w:ind w:left="1578" w:hanging="660"/>
        <w:jc w:val="left"/>
      </w:pPr>
      <w:rPr>
        <w:rFonts w:hint="default"/>
        <w:w w:val="100"/>
        <w:lang w:val="zh-CN" w:eastAsia="zh-CN" w:bidi="zh-CN"/>
      </w:rPr>
    </w:lvl>
    <w:lvl w:ilvl="3" w:tentative="0">
      <w:start w:val="0"/>
      <w:numFmt w:val="bullet"/>
      <w:lvlText w:val="•"/>
      <w:lvlJc w:val="left"/>
      <w:pPr>
        <w:ind w:left="3596" w:hanging="660"/>
      </w:pPr>
      <w:rPr>
        <w:rFonts w:hint="default"/>
        <w:lang w:val="zh-CN" w:eastAsia="zh-CN" w:bidi="zh-CN"/>
      </w:rPr>
    </w:lvl>
    <w:lvl w:ilvl="4" w:tentative="0">
      <w:start w:val="0"/>
      <w:numFmt w:val="bullet"/>
      <w:lvlText w:val="•"/>
      <w:lvlJc w:val="left"/>
      <w:pPr>
        <w:ind w:left="4595" w:hanging="660"/>
      </w:pPr>
      <w:rPr>
        <w:rFonts w:hint="default"/>
        <w:lang w:val="zh-CN" w:eastAsia="zh-CN" w:bidi="zh-CN"/>
      </w:rPr>
    </w:lvl>
    <w:lvl w:ilvl="5" w:tentative="0">
      <w:start w:val="0"/>
      <w:numFmt w:val="bullet"/>
      <w:lvlText w:val="•"/>
      <w:lvlJc w:val="left"/>
      <w:pPr>
        <w:ind w:left="5593" w:hanging="660"/>
      </w:pPr>
      <w:rPr>
        <w:rFonts w:hint="default"/>
        <w:lang w:val="zh-CN" w:eastAsia="zh-CN" w:bidi="zh-CN"/>
      </w:rPr>
    </w:lvl>
    <w:lvl w:ilvl="6" w:tentative="0">
      <w:start w:val="0"/>
      <w:numFmt w:val="bullet"/>
      <w:lvlText w:val="•"/>
      <w:lvlJc w:val="left"/>
      <w:pPr>
        <w:ind w:left="6592" w:hanging="660"/>
      </w:pPr>
      <w:rPr>
        <w:rFonts w:hint="default"/>
        <w:lang w:val="zh-CN" w:eastAsia="zh-CN" w:bidi="zh-CN"/>
      </w:rPr>
    </w:lvl>
    <w:lvl w:ilvl="7" w:tentative="0">
      <w:start w:val="0"/>
      <w:numFmt w:val="bullet"/>
      <w:lvlText w:val="•"/>
      <w:lvlJc w:val="left"/>
      <w:pPr>
        <w:ind w:left="7590" w:hanging="660"/>
      </w:pPr>
      <w:rPr>
        <w:rFonts w:hint="default"/>
        <w:lang w:val="zh-CN" w:eastAsia="zh-CN" w:bidi="zh-CN"/>
      </w:rPr>
    </w:lvl>
    <w:lvl w:ilvl="8" w:tentative="0">
      <w:start w:val="0"/>
      <w:numFmt w:val="bullet"/>
      <w:lvlText w:val="•"/>
      <w:lvlJc w:val="left"/>
      <w:pPr>
        <w:ind w:left="8589" w:hanging="660"/>
      </w:pPr>
      <w:rPr>
        <w:rFonts w:hint="default"/>
        <w:lang w:val="zh-CN" w:eastAsia="zh-CN" w:bidi="zh-CN"/>
      </w:rPr>
    </w:lvl>
  </w:abstractNum>
  <w:abstractNum w:abstractNumId="25">
    <w:nsid w:val="58765686"/>
    <w:multiLevelType w:val="multilevel"/>
    <w:tmpl w:val="58765686"/>
    <w:lvl w:ilvl="0" w:tentative="0">
      <w:start w:val="1"/>
      <w:numFmt w:val="lowerLetter"/>
      <w:lvlText w:val="%1)"/>
      <w:lvlJc w:val="left"/>
      <w:pPr>
        <w:ind w:left="1413" w:hanging="42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2336" w:hanging="420"/>
      </w:pPr>
      <w:rPr>
        <w:rFonts w:hint="default"/>
        <w:lang w:val="zh-CN" w:eastAsia="zh-CN" w:bidi="zh-CN"/>
      </w:rPr>
    </w:lvl>
    <w:lvl w:ilvl="2" w:tentative="0">
      <w:start w:val="0"/>
      <w:numFmt w:val="bullet"/>
      <w:lvlText w:val="•"/>
      <w:lvlJc w:val="left"/>
      <w:pPr>
        <w:ind w:left="3253" w:hanging="420"/>
      </w:pPr>
      <w:rPr>
        <w:rFonts w:hint="default"/>
        <w:lang w:val="zh-CN" w:eastAsia="zh-CN" w:bidi="zh-CN"/>
      </w:rPr>
    </w:lvl>
    <w:lvl w:ilvl="3" w:tentative="0">
      <w:start w:val="0"/>
      <w:numFmt w:val="bullet"/>
      <w:lvlText w:val="•"/>
      <w:lvlJc w:val="left"/>
      <w:pPr>
        <w:ind w:left="4169" w:hanging="420"/>
      </w:pPr>
      <w:rPr>
        <w:rFonts w:hint="default"/>
        <w:lang w:val="zh-CN" w:eastAsia="zh-CN" w:bidi="zh-CN"/>
      </w:rPr>
    </w:lvl>
    <w:lvl w:ilvl="4" w:tentative="0">
      <w:start w:val="0"/>
      <w:numFmt w:val="bullet"/>
      <w:lvlText w:val="•"/>
      <w:lvlJc w:val="left"/>
      <w:pPr>
        <w:ind w:left="5086" w:hanging="420"/>
      </w:pPr>
      <w:rPr>
        <w:rFonts w:hint="default"/>
        <w:lang w:val="zh-CN" w:eastAsia="zh-CN" w:bidi="zh-CN"/>
      </w:rPr>
    </w:lvl>
    <w:lvl w:ilvl="5" w:tentative="0">
      <w:start w:val="0"/>
      <w:numFmt w:val="bullet"/>
      <w:lvlText w:val="•"/>
      <w:lvlJc w:val="left"/>
      <w:pPr>
        <w:ind w:left="6003" w:hanging="420"/>
      </w:pPr>
      <w:rPr>
        <w:rFonts w:hint="default"/>
        <w:lang w:val="zh-CN" w:eastAsia="zh-CN" w:bidi="zh-CN"/>
      </w:rPr>
    </w:lvl>
    <w:lvl w:ilvl="6" w:tentative="0">
      <w:start w:val="0"/>
      <w:numFmt w:val="bullet"/>
      <w:lvlText w:val="•"/>
      <w:lvlJc w:val="left"/>
      <w:pPr>
        <w:ind w:left="6919" w:hanging="420"/>
      </w:pPr>
      <w:rPr>
        <w:rFonts w:hint="default"/>
        <w:lang w:val="zh-CN" w:eastAsia="zh-CN" w:bidi="zh-CN"/>
      </w:rPr>
    </w:lvl>
    <w:lvl w:ilvl="7" w:tentative="0">
      <w:start w:val="0"/>
      <w:numFmt w:val="bullet"/>
      <w:lvlText w:val="•"/>
      <w:lvlJc w:val="left"/>
      <w:pPr>
        <w:ind w:left="7836" w:hanging="420"/>
      </w:pPr>
      <w:rPr>
        <w:rFonts w:hint="default"/>
        <w:lang w:val="zh-CN" w:eastAsia="zh-CN" w:bidi="zh-CN"/>
      </w:rPr>
    </w:lvl>
    <w:lvl w:ilvl="8" w:tentative="0">
      <w:start w:val="0"/>
      <w:numFmt w:val="bullet"/>
      <w:lvlText w:val="•"/>
      <w:lvlJc w:val="left"/>
      <w:pPr>
        <w:ind w:left="8753" w:hanging="420"/>
      </w:pPr>
      <w:rPr>
        <w:rFonts w:hint="default"/>
        <w:lang w:val="zh-CN" w:eastAsia="zh-CN" w:bidi="zh-CN"/>
      </w:rPr>
    </w:lvl>
  </w:abstractNum>
  <w:abstractNum w:abstractNumId="26">
    <w:nsid w:val="59ADCABA"/>
    <w:multiLevelType w:val="multilevel"/>
    <w:tmpl w:val="59ADCABA"/>
    <w:lvl w:ilvl="0" w:tentative="0">
      <w:start w:val="5"/>
      <w:numFmt w:val="decimal"/>
      <w:lvlText w:val="（%1）"/>
      <w:lvlJc w:val="left"/>
      <w:pPr>
        <w:ind w:left="1719" w:hanging="601"/>
        <w:jc w:val="left"/>
      </w:pPr>
      <w:rPr>
        <w:rFonts w:hint="default" w:ascii="宋体" w:hAnsi="宋体" w:eastAsia="宋体" w:cs="宋体"/>
        <w:spacing w:val="-1"/>
        <w:w w:val="100"/>
        <w:sz w:val="22"/>
        <w:szCs w:val="22"/>
        <w:lang w:val="zh-CN" w:eastAsia="zh-CN" w:bidi="zh-CN"/>
      </w:rPr>
    </w:lvl>
    <w:lvl w:ilvl="1" w:tentative="0">
      <w:start w:val="1"/>
      <w:numFmt w:val="decimal"/>
      <w:lvlText w:val="%2."/>
      <w:lvlJc w:val="left"/>
      <w:pPr>
        <w:ind w:left="1843" w:hanging="244"/>
        <w:jc w:val="left"/>
      </w:pPr>
      <w:rPr>
        <w:rFonts w:hint="default" w:ascii="宋体" w:hAnsi="宋体" w:eastAsia="宋体" w:cs="宋体"/>
        <w:b/>
        <w:bCs/>
        <w:spacing w:val="0"/>
        <w:w w:val="99"/>
        <w:sz w:val="22"/>
        <w:szCs w:val="22"/>
        <w:lang w:val="zh-CN" w:eastAsia="zh-CN" w:bidi="zh-CN"/>
      </w:rPr>
    </w:lvl>
    <w:lvl w:ilvl="2" w:tentative="0">
      <w:start w:val="1"/>
      <w:numFmt w:val="decimal"/>
      <w:lvlText w:val="%2.%3"/>
      <w:lvlJc w:val="left"/>
      <w:pPr>
        <w:ind w:left="1989" w:hanging="392"/>
        <w:jc w:val="left"/>
      </w:pPr>
      <w:rPr>
        <w:rFonts w:hint="default" w:ascii="Times New Roman" w:hAnsi="Times New Roman" w:eastAsia="Times New Roman" w:cs="Times New Roman"/>
        <w:spacing w:val="-29"/>
        <w:w w:val="100"/>
        <w:sz w:val="24"/>
        <w:szCs w:val="24"/>
        <w:lang w:val="zh-CN" w:eastAsia="zh-CN" w:bidi="zh-CN"/>
      </w:rPr>
    </w:lvl>
    <w:lvl w:ilvl="3" w:tentative="0">
      <w:start w:val="0"/>
      <w:numFmt w:val="bullet"/>
      <w:lvlText w:val="•"/>
      <w:lvlJc w:val="left"/>
      <w:pPr>
        <w:ind w:left="3055" w:hanging="392"/>
      </w:pPr>
      <w:rPr>
        <w:rFonts w:hint="default"/>
        <w:lang w:val="zh-CN" w:eastAsia="zh-CN" w:bidi="zh-CN"/>
      </w:rPr>
    </w:lvl>
    <w:lvl w:ilvl="4" w:tentative="0">
      <w:start w:val="0"/>
      <w:numFmt w:val="bullet"/>
      <w:lvlText w:val="•"/>
      <w:lvlJc w:val="left"/>
      <w:pPr>
        <w:ind w:left="4131" w:hanging="392"/>
      </w:pPr>
      <w:rPr>
        <w:rFonts w:hint="default"/>
        <w:lang w:val="zh-CN" w:eastAsia="zh-CN" w:bidi="zh-CN"/>
      </w:rPr>
    </w:lvl>
    <w:lvl w:ilvl="5" w:tentative="0">
      <w:start w:val="0"/>
      <w:numFmt w:val="bullet"/>
      <w:lvlText w:val="•"/>
      <w:lvlJc w:val="left"/>
      <w:pPr>
        <w:ind w:left="5207" w:hanging="392"/>
      </w:pPr>
      <w:rPr>
        <w:rFonts w:hint="default"/>
        <w:lang w:val="zh-CN" w:eastAsia="zh-CN" w:bidi="zh-CN"/>
      </w:rPr>
    </w:lvl>
    <w:lvl w:ilvl="6" w:tentative="0">
      <w:start w:val="0"/>
      <w:numFmt w:val="bullet"/>
      <w:lvlText w:val="•"/>
      <w:lvlJc w:val="left"/>
      <w:pPr>
        <w:ind w:left="6283" w:hanging="392"/>
      </w:pPr>
      <w:rPr>
        <w:rFonts w:hint="default"/>
        <w:lang w:val="zh-CN" w:eastAsia="zh-CN" w:bidi="zh-CN"/>
      </w:rPr>
    </w:lvl>
    <w:lvl w:ilvl="7" w:tentative="0">
      <w:start w:val="0"/>
      <w:numFmt w:val="bullet"/>
      <w:lvlText w:val="•"/>
      <w:lvlJc w:val="left"/>
      <w:pPr>
        <w:ind w:left="7359" w:hanging="392"/>
      </w:pPr>
      <w:rPr>
        <w:rFonts w:hint="default"/>
        <w:lang w:val="zh-CN" w:eastAsia="zh-CN" w:bidi="zh-CN"/>
      </w:rPr>
    </w:lvl>
    <w:lvl w:ilvl="8" w:tentative="0">
      <w:start w:val="0"/>
      <w:numFmt w:val="bullet"/>
      <w:lvlText w:val="•"/>
      <w:lvlJc w:val="left"/>
      <w:pPr>
        <w:ind w:left="8434" w:hanging="392"/>
      </w:pPr>
      <w:rPr>
        <w:rFonts w:hint="default"/>
        <w:lang w:val="zh-CN" w:eastAsia="zh-CN" w:bidi="zh-CN"/>
      </w:rPr>
    </w:lvl>
  </w:abstractNum>
  <w:abstractNum w:abstractNumId="27">
    <w:nsid w:val="5A241D34"/>
    <w:multiLevelType w:val="multilevel"/>
    <w:tmpl w:val="5A241D34"/>
    <w:lvl w:ilvl="0" w:tentative="0">
      <w:start w:val="13"/>
      <w:numFmt w:val="decimal"/>
      <w:lvlText w:val="%1"/>
      <w:lvlJc w:val="left"/>
      <w:pPr>
        <w:ind w:left="1118" w:hanging="600"/>
        <w:jc w:val="left"/>
      </w:pPr>
      <w:rPr>
        <w:rFonts w:hint="default"/>
        <w:lang w:val="zh-CN" w:eastAsia="zh-CN" w:bidi="zh-CN"/>
      </w:rPr>
    </w:lvl>
    <w:lvl w:ilvl="1" w:tentative="0">
      <w:start w:val="3"/>
      <w:numFmt w:val="decimal"/>
      <w:lvlText w:val="%1.%2"/>
      <w:lvlJc w:val="left"/>
      <w:pPr>
        <w:ind w:left="1118" w:hanging="600"/>
        <w:jc w:val="left"/>
      </w:pPr>
      <w:rPr>
        <w:rFonts w:hint="default" w:ascii="宋体" w:hAnsi="宋体" w:eastAsia="宋体" w:cs="宋体"/>
        <w:spacing w:val="-22"/>
        <w:w w:val="100"/>
        <w:sz w:val="24"/>
        <w:szCs w:val="24"/>
        <w:lang w:val="zh-CN" w:eastAsia="zh-CN" w:bidi="zh-CN"/>
      </w:rPr>
    </w:lvl>
    <w:lvl w:ilvl="2" w:tentative="0">
      <w:start w:val="0"/>
      <w:numFmt w:val="bullet"/>
      <w:lvlText w:val="•"/>
      <w:lvlJc w:val="left"/>
      <w:pPr>
        <w:ind w:left="3013" w:hanging="600"/>
      </w:pPr>
      <w:rPr>
        <w:rFonts w:hint="default"/>
        <w:lang w:val="zh-CN" w:eastAsia="zh-CN" w:bidi="zh-CN"/>
      </w:rPr>
    </w:lvl>
    <w:lvl w:ilvl="3" w:tentative="0">
      <w:start w:val="0"/>
      <w:numFmt w:val="bullet"/>
      <w:lvlText w:val="•"/>
      <w:lvlJc w:val="left"/>
      <w:pPr>
        <w:ind w:left="3959" w:hanging="600"/>
      </w:pPr>
      <w:rPr>
        <w:rFonts w:hint="default"/>
        <w:lang w:val="zh-CN" w:eastAsia="zh-CN" w:bidi="zh-CN"/>
      </w:rPr>
    </w:lvl>
    <w:lvl w:ilvl="4" w:tentative="0">
      <w:start w:val="0"/>
      <w:numFmt w:val="bullet"/>
      <w:lvlText w:val="•"/>
      <w:lvlJc w:val="left"/>
      <w:pPr>
        <w:ind w:left="4906" w:hanging="600"/>
      </w:pPr>
      <w:rPr>
        <w:rFonts w:hint="default"/>
        <w:lang w:val="zh-CN" w:eastAsia="zh-CN" w:bidi="zh-CN"/>
      </w:rPr>
    </w:lvl>
    <w:lvl w:ilvl="5" w:tentative="0">
      <w:start w:val="0"/>
      <w:numFmt w:val="bullet"/>
      <w:lvlText w:val="•"/>
      <w:lvlJc w:val="left"/>
      <w:pPr>
        <w:ind w:left="5853" w:hanging="600"/>
      </w:pPr>
      <w:rPr>
        <w:rFonts w:hint="default"/>
        <w:lang w:val="zh-CN" w:eastAsia="zh-CN" w:bidi="zh-CN"/>
      </w:rPr>
    </w:lvl>
    <w:lvl w:ilvl="6" w:tentative="0">
      <w:start w:val="0"/>
      <w:numFmt w:val="bullet"/>
      <w:lvlText w:val="•"/>
      <w:lvlJc w:val="left"/>
      <w:pPr>
        <w:ind w:left="6799" w:hanging="600"/>
      </w:pPr>
      <w:rPr>
        <w:rFonts w:hint="default"/>
        <w:lang w:val="zh-CN" w:eastAsia="zh-CN" w:bidi="zh-CN"/>
      </w:rPr>
    </w:lvl>
    <w:lvl w:ilvl="7" w:tentative="0">
      <w:start w:val="0"/>
      <w:numFmt w:val="bullet"/>
      <w:lvlText w:val="•"/>
      <w:lvlJc w:val="left"/>
      <w:pPr>
        <w:ind w:left="7746" w:hanging="600"/>
      </w:pPr>
      <w:rPr>
        <w:rFonts w:hint="default"/>
        <w:lang w:val="zh-CN" w:eastAsia="zh-CN" w:bidi="zh-CN"/>
      </w:rPr>
    </w:lvl>
    <w:lvl w:ilvl="8" w:tentative="0">
      <w:start w:val="0"/>
      <w:numFmt w:val="bullet"/>
      <w:lvlText w:val="•"/>
      <w:lvlJc w:val="left"/>
      <w:pPr>
        <w:ind w:left="8693" w:hanging="600"/>
      </w:pPr>
      <w:rPr>
        <w:rFonts w:hint="default"/>
        <w:lang w:val="zh-CN" w:eastAsia="zh-CN" w:bidi="zh-CN"/>
      </w:rPr>
    </w:lvl>
  </w:abstractNum>
  <w:abstractNum w:abstractNumId="28">
    <w:nsid w:val="5E29AB5A"/>
    <w:multiLevelType w:val="multilevel"/>
    <w:tmpl w:val="5E29AB5A"/>
    <w:lvl w:ilvl="0" w:tentative="0">
      <w:start w:val="1"/>
      <w:numFmt w:val="decimal"/>
      <w:lvlText w:val="（%1）"/>
      <w:lvlJc w:val="left"/>
      <w:pPr>
        <w:ind w:left="110"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705" w:hanging="529"/>
      </w:pPr>
      <w:rPr>
        <w:rFonts w:hint="default"/>
        <w:lang w:val="zh-CN" w:eastAsia="zh-CN" w:bidi="zh-CN"/>
      </w:rPr>
    </w:lvl>
    <w:lvl w:ilvl="2" w:tentative="0">
      <w:start w:val="0"/>
      <w:numFmt w:val="bullet"/>
      <w:lvlText w:val="•"/>
      <w:lvlJc w:val="left"/>
      <w:pPr>
        <w:ind w:left="1291" w:hanging="529"/>
      </w:pPr>
      <w:rPr>
        <w:rFonts w:hint="default"/>
        <w:lang w:val="zh-CN" w:eastAsia="zh-CN" w:bidi="zh-CN"/>
      </w:rPr>
    </w:lvl>
    <w:lvl w:ilvl="3" w:tentative="0">
      <w:start w:val="0"/>
      <w:numFmt w:val="bullet"/>
      <w:lvlText w:val="•"/>
      <w:lvlJc w:val="left"/>
      <w:pPr>
        <w:ind w:left="1877" w:hanging="529"/>
      </w:pPr>
      <w:rPr>
        <w:rFonts w:hint="default"/>
        <w:lang w:val="zh-CN" w:eastAsia="zh-CN" w:bidi="zh-CN"/>
      </w:rPr>
    </w:lvl>
    <w:lvl w:ilvl="4" w:tentative="0">
      <w:start w:val="0"/>
      <w:numFmt w:val="bullet"/>
      <w:lvlText w:val="•"/>
      <w:lvlJc w:val="left"/>
      <w:pPr>
        <w:ind w:left="2463" w:hanging="529"/>
      </w:pPr>
      <w:rPr>
        <w:rFonts w:hint="default"/>
        <w:lang w:val="zh-CN" w:eastAsia="zh-CN" w:bidi="zh-CN"/>
      </w:rPr>
    </w:lvl>
    <w:lvl w:ilvl="5" w:tentative="0">
      <w:start w:val="0"/>
      <w:numFmt w:val="bullet"/>
      <w:lvlText w:val="•"/>
      <w:lvlJc w:val="left"/>
      <w:pPr>
        <w:ind w:left="3049" w:hanging="529"/>
      </w:pPr>
      <w:rPr>
        <w:rFonts w:hint="default"/>
        <w:lang w:val="zh-CN" w:eastAsia="zh-CN" w:bidi="zh-CN"/>
      </w:rPr>
    </w:lvl>
    <w:lvl w:ilvl="6" w:tentative="0">
      <w:start w:val="0"/>
      <w:numFmt w:val="bullet"/>
      <w:lvlText w:val="•"/>
      <w:lvlJc w:val="left"/>
      <w:pPr>
        <w:ind w:left="3635" w:hanging="529"/>
      </w:pPr>
      <w:rPr>
        <w:rFonts w:hint="default"/>
        <w:lang w:val="zh-CN" w:eastAsia="zh-CN" w:bidi="zh-CN"/>
      </w:rPr>
    </w:lvl>
    <w:lvl w:ilvl="7" w:tentative="0">
      <w:start w:val="0"/>
      <w:numFmt w:val="bullet"/>
      <w:lvlText w:val="•"/>
      <w:lvlJc w:val="left"/>
      <w:pPr>
        <w:ind w:left="4221" w:hanging="529"/>
      </w:pPr>
      <w:rPr>
        <w:rFonts w:hint="default"/>
        <w:lang w:val="zh-CN" w:eastAsia="zh-CN" w:bidi="zh-CN"/>
      </w:rPr>
    </w:lvl>
    <w:lvl w:ilvl="8" w:tentative="0">
      <w:start w:val="0"/>
      <w:numFmt w:val="bullet"/>
      <w:lvlText w:val="•"/>
      <w:lvlJc w:val="left"/>
      <w:pPr>
        <w:ind w:left="4807" w:hanging="529"/>
      </w:pPr>
      <w:rPr>
        <w:rFonts w:hint="default"/>
        <w:lang w:val="zh-CN" w:eastAsia="zh-CN" w:bidi="zh-CN"/>
      </w:rPr>
    </w:lvl>
  </w:abstractNum>
  <w:abstractNum w:abstractNumId="29">
    <w:nsid w:val="60382F6E"/>
    <w:multiLevelType w:val="multilevel"/>
    <w:tmpl w:val="60382F6E"/>
    <w:lvl w:ilvl="0" w:tentative="0">
      <w:start w:val="29"/>
      <w:numFmt w:val="decimal"/>
      <w:lvlText w:val="%1"/>
      <w:lvlJc w:val="left"/>
      <w:pPr>
        <w:ind w:left="2081" w:hanging="484"/>
        <w:jc w:val="left"/>
      </w:pPr>
      <w:rPr>
        <w:rFonts w:hint="default"/>
        <w:lang w:val="zh-CN" w:eastAsia="zh-CN" w:bidi="zh-CN"/>
      </w:rPr>
    </w:lvl>
    <w:lvl w:ilvl="1" w:tentative="0">
      <w:start w:val="1"/>
      <w:numFmt w:val="decimal"/>
      <w:lvlText w:val="%1.%2"/>
      <w:lvlJc w:val="left"/>
      <w:pPr>
        <w:ind w:left="2081" w:hanging="484"/>
        <w:jc w:val="left"/>
      </w:pPr>
      <w:rPr>
        <w:rFonts w:hint="default" w:ascii="宋体" w:hAnsi="宋体" w:eastAsia="宋体" w:cs="宋体"/>
        <w:spacing w:val="-3"/>
        <w:w w:val="99"/>
        <w:sz w:val="22"/>
        <w:szCs w:val="22"/>
        <w:lang w:val="zh-CN" w:eastAsia="zh-CN" w:bidi="zh-CN"/>
      </w:rPr>
    </w:lvl>
    <w:lvl w:ilvl="2" w:tentative="0">
      <w:start w:val="0"/>
      <w:numFmt w:val="bullet"/>
      <w:lvlText w:val="•"/>
      <w:lvlJc w:val="left"/>
      <w:pPr>
        <w:ind w:left="3781" w:hanging="484"/>
      </w:pPr>
      <w:rPr>
        <w:rFonts w:hint="default"/>
        <w:lang w:val="zh-CN" w:eastAsia="zh-CN" w:bidi="zh-CN"/>
      </w:rPr>
    </w:lvl>
    <w:lvl w:ilvl="3" w:tentative="0">
      <w:start w:val="0"/>
      <w:numFmt w:val="bullet"/>
      <w:lvlText w:val="•"/>
      <w:lvlJc w:val="left"/>
      <w:pPr>
        <w:ind w:left="4631" w:hanging="484"/>
      </w:pPr>
      <w:rPr>
        <w:rFonts w:hint="default"/>
        <w:lang w:val="zh-CN" w:eastAsia="zh-CN" w:bidi="zh-CN"/>
      </w:rPr>
    </w:lvl>
    <w:lvl w:ilvl="4" w:tentative="0">
      <w:start w:val="0"/>
      <w:numFmt w:val="bullet"/>
      <w:lvlText w:val="•"/>
      <w:lvlJc w:val="left"/>
      <w:pPr>
        <w:ind w:left="5482" w:hanging="484"/>
      </w:pPr>
      <w:rPr>
        <w:rFonts w:hint="default"/>
        <w:lang w:val="zh-CN" w:eastAsia="zh-CN" w:bidi="zh-CN"/>
      </w:rPr>
    </w:lvl>
    <w:lvl w:ilvl="5" w:tentative="0">
      <w:start w:val="0"/>
      <w:numFmt w:val="bullet"/>
      <w:lvlText w:val="•"/>
      <w:lvlJc w:val="left"/>
      <w:pPr>
        <w:ind w:left="6333" w:hanging="484"/>
      </w:pPr>
      <w:rPr>
        <w:rFonts w:hint="default"/>
        <w:lang w:val="zh-CN" w:eastAsia="zh-CN" w:bidi="zh-CN"/>
      </w:rPr>
    </w:lvl>
    <w:lvl w:ilvl="6" w:tentative="0">
      <w:start w:val="0"/>
      <w:numFmt w:val="bullet"/>
      <w:lvlText w:val="•"/>
      <w:lvlJc w:val="left"/>
      <w:pPr>
        <w:ind w:left="7183" w:hanging="484"/>
      </w:pPr>
      <w:rPr>
        <w:rFonts w:hint="default"/>
        <w:lang w:val="zh-CN" w:eastAsia="zh-CN" w:bidi="zh-CN"/>
      </w:rPr>
    </w:lvl>
    <w:lvl w:ilvl="7" w:tentative="0">
      <w:start w:val="0"/>
      <w:numFmt w:val="bullet"/>
      <w:lvlText w:val="•"/>
      <w:lvlJc w:val="left"/>
      <w:pPr>
        <w:ind w:left="8034" w:hanging="484"/>
      </w:pPr>
      <w:rPr>
        <w:rFonts w:hint="default"/>
        <w:lang w:val="zh-CN" w:eastAsia="zh-CN" w:bidi="zh-CN"/>
      </w:rPr>
    </w:lvl>
    <w:lvl w:ilvl="8" w:tentative="0">
      <w:start w:val="0"/>
      <w:numFmt w:val="bullet"/>
      <w:lvlText w:val="•"/>
      <w:lvlJc w:val="left"/>
      <w:pPr>
        <w:ind w:left="8885" w:hanging="484"/>
      </w:pPr>
      <w:rPr>
        <w:rFonts w:hint="default"/>
        <w:lang w:val="zh-CN" w:eastAsia="zh-CN" w:bidi="zh-CN"/>
      </w:rPr>
    </w:lvl>
  </w:abstractNum>
  <w:abstractNum w:abstractNumId="30">
    <w:nsid w:val="629F7852"/>
    <w:multiLevelType w:val="multilevel"/>
    <w:tmpl w:val="629F7852"/>
    <w:lvl w:ilvl="0" w:tentative="0">
      <w:start w:val="9"/>
      <w:numFmt w:val="decimal"/>
      <w:lvlText w:val="%1."/>
      <w:lvlJc w:val="left"/>
      <w:pPr>
        <w:ind w:left="1174" w:hanging="241"/>
        <w:jc w:val="left"/>
      </w:pPr>
      <w:rPr>
        <w:rFonts w:hint="default" w:ascii="宋体" w:hAnsi="宋体" w:eastAsia="宋体" w:cs="宋体"/>
        <w:w w:val="100"/>
        <w:sz w:val="22"/>
        <w:szCs w:val="22"/>
        <w:lang w:val="zh-CN" w:eastAsia="zh-CN" w:bidi="zh-CN"/>
      </w:rPr>
    </w:lvl>
    <w:lvl w:ilvl="1" w:tentative="0">
      <w:start w:val="1"/>
      <w:numFmt w:val="decimal"/>
      <w:lvlText w:val="%1.%2"/>
      <w:lvlJc w:val="left"/>
      <w:pPr>
        <w:ind w:left="452"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225" w:hanging="361"/>
      </w:pPr>
      <w:rPr>
        <w:rFonts w:hint="default"/>
        <w:lang w:val="zh-CN" w:eastAsia="zh-CN" w:bidi="zh-CN"/>
      </w:rPr>
    </w:lvl>
    <w:lvl w:ilvl="3" w:tentative="0">
      <w:start w:val="0"/>
      <w:numFmt w:val="bullet"/>
      <w:lvlText w:val="•"/>
      <w:lvlJc w:val="left"/>
      <w:pPr>
        <w:ind w:left="3270" w:hanging="361"/>
      </w:pPr>
      <w:rPr>
        <w:rFonts w:hint="default"/>
        <w:lang w:val="zh-CN" w:eastAsia="zh-CN" w:bidi="zh-CN"/>
      </w:rPr>
    </w:lvl>
    <w:lvl w:ilvl="4" w:tentative="0">
      <w:start w:val="0"/>
      <w:numFmt w:val="bullet"/>
      <w:lvlText w:val="•"/>
      <w:lvlJc w:val="left"/>
      <w:pPr>
        <w:ind w:left="4315" w:hanging="361"/>
      </w:pPr>
      <w:rPr>
        <w:rFonts w:hint="default"/>
        <w:lang w:val="zh-CN" w:eastAsia="zh-CN" w:bidi="zh-CN"/>
      </w:rPr>
    </w:lvl>
    <w:lvl w:ilvl="5" w:tentative="0">
      <w:start w:val="0"/>
      <w:numFmt w:val="bullet"/>
      <w:lvlText w:val="•"/>
      <w:lvlJc w:val="left"/>
      <w:pPr>
        <w:ind w:left="5360" w:hanging="361"/>
      </w:pPr>
      <w:rPr>
        <w:rFonts w:hint="default"/>
        <w:lang w:val="zh-CN" w:eastAsia="zh-CN" w:bidi="zh-CN"/>
      </w:rPr>
    </w:lvl>
    <w:lvl w:ilvl="6" w:tentative="0">
      <w:start w:val="0"/>
      <w:numFmt w:val="bullet"/>
      <w:lvlText w:val="•"/>
      <w:lvlJc w:val="left"/>
      <w:pPr>
        <w:ind w:left="6405" w:hanging="361"/>
      </w:pPr>
      <w:rPr>
        <w:rFonts w:hint="default"/>
        <w:lang w:val="zh-CN" w:eastAsia="zh-CN" w:bidi="zh-CN"/>
      </w:rPr>
    </w:lvl>
    <w:lvl w:ilvl="7" w:tentative="0">
      <w:start w:val="0"/>
      <w:numFmt w:val="bullet"/>
      <w:lvlText w:val="•"/>
      <w:lvlJc w:val="left"/>
      <w:pPr>
        <w:ind w:left="7450" w:hanging="361"/>
      </w:pPr>
      <w:rPr>
        <w:rFonts w:hint="default"/>
        <w:lang w:val="zh-CN" w:eastAsia="zh-CN" w:bidi="zh-CN"/>
      </w:rPr>
    </w:lvl>
    <w:lvl w:ilvl="8" w:tentative="0">
      <w:start w:val="0"/>
      <w:numFmt w:val="bullet"/>
      <w:lvlText w:val="•"/>
      <w:lvlJc w:val="left"/>
      <w:pPr>
        <w:ind w:left="8496" w:hanging="361"/>
      </w:pPr>
      <w:rPr>
        <w:rFonts w:hint="default"/>
        <w:lang w:val="zh-CN" w:eastAsia="zh-CN" w:bidi="zh-CN"/>
      </w:rPr>
    </w:lvl>
  </w:abstractNum>
  <w:abstractNum w:abstractNumId="31">
    <w:nsid w:val="74C28B35"/>
    <w:multiLevelType w:val="multilevel"/>
    <w:tmpl w:val="74C28B35"/>
    <w:lvl w:ilvl="0" w:tentative="0">
      <w:start w:val="1"/>
      <w:numFmt w:val="decimal"/>
      <w:lvlText w:val="%1."/>
      <w:lvlJc w:val="left"/>
      <w:pPr>
        <w:ind w:left="620" w:hanging="420"/>
        <w:jc w:val="left"/>
      </w:pPr>
      <w:rPr>
        <w:rFonts w:hint="default" w:ascii="Times New Roman" w:hAnsi="Times New Roman" w:eastAsia="Times New Roman" w:cs="Times New Roman"/>
        <w:w w:val="100"/>
        <w:sz w:val="21"/>
        <w:szCs w:val="21"/>
        <w:lang w:val="zh-CN" w:eastAsia="zh-CN" w:bidi="zh-CN"/>
      </w:rPr>
    </w:lvl>
    <w:lvl w:ilvl="1" w:tentative="0">
      <w:start w:val="1"/>
      <w:numFmt w:val="decimal"/>
      <w:lvlText w:val="%2."/>
      <w:lvlJc w:val="left"/>
      <w:pPr>
        <w:ind w:left="200" w:hanging="183"/>
        <w:jc w:val="left"/>
      </w:pPr>
      <w:rPr>
        <w:rFonts w:hint="default" w:ascii="Times New Roman" w:hAnsi="Times New Roman" w:eastAsia="Times New Roman" w:cs="Times New Roman"/>
        <w:w w:val="100"/>
        <w:sz w:val="22"/>
        <w:szCs w:val="22"/>
        <w:lang w:val="zh-CN" w:eastAsia="zh-CN" w:bidi="zh-CN"/>
      </w:rPr>
    </w:lvl>
    <w:lvl w:ilvl="2" w:tentative="0">
      <w:start w:val="0"/>
      <w:numFmt w:val="bullet"/>
      <w:lvlText w:val="•"/>
      <w:lvlJc w:val="left"/>
      <w:pPr>
        <w:ind w:left="1773" w:hanging="183"/>
      </w:pPr>
      <w:rPr>
        <w:rFonts w:hint="default"/>
        <w:lang w:val="zh-CN" w:eastAsia="zh-CN" w:bidi="zh-CN"/>
      </w:rPr>
    </w:lvl>
    <w:lvl w:ilvl="3" w:tentative="0">
      <w:start w:val="0"/>
      <w:numFmt w:val="bullet"/>
      <w:lvlText w:val="•"/>
      <w:lvlJc w:val="left"/>
      <w:pPr>
        <w:ind w:left="2926" w:hanging="183"/>
      </w:pPr>
      <w:rPr>
        <w:rFonts w:hint="default"/>
        <w:lang w:val="zh-CN" w:eastAsia="zh-CN" w:bidi="zh-CN"/>
      </w:rPr>
    </w:lvl>
    <w:lvl w:ilvl="4" w:tentative="0">
      <w:start w:val="0"/>
      <w:numFmt w:val="bullet"/>
      <w:lvlText w:val="•"/>
      <w:lvlJc w:val="left"/>
      <w:pPr>
        <w:ind w:left="4080" w:hanging="183"/>
      </w:pPr>
      <w:rPr>
        <w:rFonts w:hint="default"/>
        <w:lang w:val="zh-CN" w:eastAsia="zh-CN" w:bidi="zh-CN"/>
      </w:rPr>
    </w:lvl>
    <w:lvl w:ilvl="5" w:tentative="0">
      <w:start w:val="0"/>
      <w:numFmt w:val="bullet"/>
      <w:lvlText w:val="•"/>
      <w:lvlJc w:val="left"/>
      <w:pPr>
        <w:ind w:left="5233" w:hanging="183"/>
      </w:pPr>
      <w:rPr>
        <w:rFonts w:hint="default"/>
        <w:lang w:val="zh-CN" w:eastAsia="zh-CN" w:bidi="zh-CN"/>
      </w:rPr>
    </w:lvl>
    <w:lvl w:ilvl="6" w:tentative="0">
      <w:start w:val="0"/>
      <w:numFmt w:val="bullet"/>
      <w:lvlText w:val="•"/>
      <w:lvlJc w:val="left"/>
      <w:pPr>
        <w:ind w:left="6386" w:hanging="183"/>
      </w:pPr>
      <w:rPr>
        <w:rFonts w:hint="default"/>
        <w:lang w:val="zh-CN" w:eastAsia="zh-CN" w:bidi="zh-CN"/>
      </w:rPr>
    </w:lvl>
    <w:lvl w:ilvl="7" w:tentative="0">
      <w:start w:val="0"/>
      <w:numFmt w:val="bullet"/>
      <w:lvlText w:val="•"/>
      <w:lvlJc w:val="left"/>
      <w:pPr>
        <w:ind w:left="7540" w:hanging="183"/>
      </w:pPr>
      <w:rPr>
        <w:rFonts w:hint="default"/>
        <w:lang w:val="zh-CN" w:eastAsia="zh-CN" w:bidi="zh-CN"/>
      </w:rPr>
    </w:lvl>
    <w:lvl w:ilvl="8" w:tentative="0">
      <w:start w:val="0"/>
      <w:numFmt w:val="bullet"/>
      <w:lvlText w:val="•"/>
      <w:lvlJc w:val="left"/>
      <w:pPr>
        <w:ind w:left="8693" w:hanging="183"/>
      </w:pPr>
      <w:rPr>
        <w:rFonts w:hint="default"/>
        <w:lang w:val="zh-CN" w:eastAsia="zh-CN" w:bidi="zh-CN"/>
      </w:rPr>
    </w:lvl>
  </w:abstractNum>
  <w:abstractNum w:abstractNumId="32">
    <w:nsid w:val="77ECEA79"/>
    <w:multiLevelType w:val="multilevel"/>
    <w:tmpl w:val="77ECEA79"/>
    <w:lvl w:ilvl="0" w:tentative="0">
      <w:start w:val="1"/>
      <w:numFmt w:val="decimal"/>
      <w:lvlText w:val="（%1）"/>
      <w:lvlJc w:val="left"/>
      <w:pPr>
        <w:ind w:left="1534"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444" w:hanging="601"/>
      </w:pPr>
      <w:rPr>
        <w:rFonts w:hint="default"/>
        <w:lang w:val="zh-CN" w:eastAsia="zh-CN" w:bidi="zh-CN"/>
      </w:rPr>
    </w:lvl>
    <w:lvl w:ilvl="2" w:tentative="0">
      <w:start w:val="0"/>
      <w:numFmt w:val="bullet"/>
      <w:lvlText w:val="•"/>
      <w:lvlJc w:val="left"/>
      <w:pPr>
        <w:ind w:left="3349" w:hanging="601"/>
      </w:pPr>
      <w:rPr>
        <w:rFonts w:hint="default"/>
        <w:lang w:val="zh-CN" w:eastAsia="zh-CN" w:bidi="zh-CN"/>
      </w:rPr>
    </w:lvl>
    <w:lvl w:ilvl="3" w:tentative="0">
      <w:start w:val="0"/>
      <w:numFmt w:val="bullet"/>
      <w:lvlText w:val="•"/>
      <w:lvlJc w:val="left"/>
      <w:pPr>
        <w:ind w:left="4253" w:hanging="601"/>
      </w:pPr>
      <w:rPr>
        <w:rFonts w:hint="default"/>
        <w:lang w:val="zh-CN" w:eastAsia="zh-CN" w:bidi="zh-CN"/>
      </w:rPr>
    </w:lvl>
    <w:lvl w:ilvl="4" w:tentative="0">
      <w:start w:val="0"/>
      <w:numFmt w:val="bullet"/>
      <w:lvlText w:val="•"/>
      <w:lvlJc w:val="left"/>
      <w:pPr>
        <w:ind w:left="5158" w:hanging="601"/>
      </w:pPr>
      <w:rPr>
        <w:rFonts w:hint="default"/>
        <w:lang w:val="zh-CN" w:eastAsia="zh-CN" w:bidi="zh-CN"/>
      </w:rPr>
    </w:lvl>
    <w:lvl w:ilvl="5" w:tentative="0">
      <w:start w:val="0"/>
      <w:numFmt w:val="bullet"/>
      <w:lvlText w:val="•"/>
      <w:lvlJc w:val="left"/>
      <w:pPr>
        <w:ind w:left="6063" w:hanging="601"/>
      </w:pPr>
      <w:rPr>
        <w:rFonts w:hint="default"/>
        <w:lang w:val="zh-CN" w:eastAsia="zh-CN" w:bidi="zh-CN"/>
      </w:rPr>
    </w:lvl>
    <w:lvl w:ilvl="6" w:tentative="0">
      <w:start w:val="0"/>
      <w:numFmt w:val="bullet"/>
      <w:lvlText w:val="•"/>
      <w:lvlJc w:val="left"/>
      <w:pPr>
        <w:ind w:left="6967" w:hanging="601"/>
      </w:pPr>
      <w:rPr>
        <w:rFonts w:hint="default"/>
        <w:lang w:val="zh-CN" w:eastAsia="zh-CN" w:bidi="zh-CN"/>
      </w:rPr>
    </w:lvl>
    <w:lvl w:ilvl="7" w:tentative="0">
      <w:start w:val="0"/>
      <w:numFmt w:val="bullet"/>
      <w:lvlText w:val="•"/>
      <w:lvlJc w:val="left"/>
      <w:pPr>
        <w:ind w:left="7872" w:hanging="601"/>
      </w:pPr>
      <w:rPr>
        <w:rFonts w:hint="default"/>
        <w:lang w:val="zh-CN" w:eastAsia="zh-CN" w:bidi="zh-CN"/>
      </w:rPr>
    </w:lvl>
    <w:lvl w:ilvl="8" w:tentative="0">
      <w:start w:val="0"/>
      <w:numFmt w:val="bullet"/>
      <w:lvlText w:val="•"/>
      <w:lvlJc w:val="left"/>
      <w:pPr>
        <w:ind w:left="8777" w:hanging="601"/>
      </w:pPr>
      <w:rPr>
        <w:rFonts w:hint="default"/>
        <w:lang w:val="zh-CN" w:eastAsia="zh-CN" w:bidi="zh-CN"/>
      </w:rPr>
    </w:lvl>
  </w:abstractNum>
  <w:abstractNum w:abstractNumId="33">
    <w:nsid w:val="79AA4FA4"/>
    <w:multiLevelType w:val="multilevel"/>
    <w:tmpl w:val="79AA4FA4"/>
    <w:lvl w:ilvl="0" w:tentative="0">
      <w:start w:val="1"/>
      <w:numFmt w:val="decimal"/>
      <w:lvlText w:val="（%1）"/>
      <w:lvlJc w:val="left"/>
      <w:pPr>
        <w:ind w:left="1534" w:hanging="601"/>
        <w:jc w:val="left"/>
      </w:pPr>
      <w:rPr>
        <w:rFonts w:hint="default" w:ascii="宋体" w:hAnsi="宋体" w:eastAsia="宋体" w:cs="宋体"/>
        <w:spacing w:val="-120"/>
        <w:w w:val="100"/>
        <w:sz w:val="22"/>
        <w:szCs w:val="22"/>
        <w:lang w:val="zh-CN" w:eastAsia="zh-CN" w:bidi="zh-CN"/>
      </w:rPr>
    </w:lvl>
    <w:lvl w:ilvl="1" w:tentative="0">
      <w:start w:val="0"/>
      <w:numFmt w:val="bullet"/>
      <w:lvlText w:val="•"/>
      <w:lvlJc w:val="left"/>
      <w:pPr>
        <w:ind w:left="2444" w:hanging="601"/>
      </w:pPr>
      <w:rPr>
        <w:rFonts w:hint="default"/>
        <w:lang w:val="zh-CN" w:eastAsia="zh-CN" w:bidi="zh-CN"/>
      </w:rPr>
    </w:lvl>
    <w:lvl w:ilvl="2" w:tentative="0">
      <w:start w:val="0"/>
      <w:numFmt w:val="bullet"/>
      <w:lvlText w:val="•"/>
      <w:lvlJc w:val="left"/>
      <w:pPr>
        <w:ind w:left="3349" w:hanging="601"/>
      </w:pPr>
      <w:rPr>
        <w:rFonts w:hint="default"/>
        <w:lang w:val="zh-CN" w:eastAsia="zh-CN" w:bidi="zh-CN"/>
      </w:rPr>
    </w:lvl>
    <w:lvl w:ilvl="3" w:tentative="0">
      <w:start w:val="0"/>
      <w:numFmt w:val="bullet"/>
      <w:lvlText w:val="•"/>
      <w:lvlJc w:val="left"/>
      <w:pPr>
        <w:ind w:left="4253" w:hanging="601"/>
      </w:pPr>
      <w:rPr>
        <w:rFonts w:hint="default"/>
        <w:lang w:val="zh-CN" w:eastAsia="zh-CN" w:bidi="zh-CN"/>
      </w:rPr>
    </w:lvl>
    <w:lvl w:ilvl="4" w:tentative="0">
      <w:start w:val="0"/>
      <w:numFmt w:val="bullet"/>
      <w:lvlText w:val="•"/>
      <w:lvlJc w:val="left"/>
      <w:pPr>
        <w:ind w:left="5158" w:hanging="601"/>
      </w:pPr>
      <w:rPr>
        <w:rFonts w:hint="default"/>
        <w:lang w:val="zh-CN" w:eastAsia="zh-CN" w:bidi="zh-CN"/>
      </w:rPr>
    </w:lvl>
    <w:lvl w:ilvl="5" w:tentative="0">
      <w:start w:val="0"/>
      <w:numFmt w:val="bullet"/>
      <w:lvlText w:val="•"/>
      <w:lvlJc w:val="left"/>
      <w:pPr>
        <w:ind w:left="6063" w:hanging="601"/>
      </w:pPr>
      <w:rPr>
        <w:rFonts w:hint="default"/>
        <w:lang w:val="zh-CN" w:eastAsia="zh-CN" w:bidi="zh-CN"/>
      </w:rPr>
    </w:lvl>
    <w:lvl w:ilvl="6" w:tentative="0">
      <w:start w:val="0"/>
      <w:numFmt w:val="bullet"/>
      <w:lvlText w:val="•"/>
      <w:lvlJc w:val="left"/>
      <w:pPr>
        <w:ind w:left="6967" w:hanging="601"/>
      </w:pPr>
      <w:rPr>
        <w:rFonts w:hint="default"/>
        <w:lang w:val="zh-CN" w:eastAsia="zh-CN" w:bidi="zh-CN"/>
      </w:rPr>
    </w:lvl>
    <w:lvl w:ilvl="7" w:tentative="0">
      <w:start w:val="0"/>
      <w:numFmt w:val="bullet"/>
      <w:lvlText w:val="•"/>
      <w:lvlJc w:val="left"/>
      <w:pPr>
        <w:ind w:left="7872" w:hanging="601"/>
      </w:pPr>
      <w:rPr>
        <w:rFonts w:hint="default"/>
        <w:lang w:val="zh-CN" w:eastAsia="zh-CN" w:bidi="zh-CN"/>
      </w:rPr>
    </w:lvl>
    <w:lvl w:ilvl="8" w:tentative="0">
      <w:start w:val="0"/>
      <w:numFmt w:val="bullet"/>
      <w:lvlText w:val="•"/>
      <w:lvlJc w:val="left"/>
      <w:pPr>
        <w:ind w:left="8777" w:hanging="601"/>
      </w:pPr>
      <w:rPr>
        <w:rFonts w:hint="default"/>
        <w:lang w:val="zh-CN" w:eastAsia="zh-CN" w:bidi="zh-CN"/>
      </w:rPr>
    </w:lvl>
  </w:abstractNum>
  <w:abstractNum w:abstractNumId="34">
    <w:nsid w:val="7C246926"/>
    <w:multiLevelType w:val="multilevel"/>
    <w:tmpl w:val="7C246926"/>
    <w:lvl w:ilvl="0" w:tentative="0">
      <w:start w:val="1"/>
      <w:numFmt w:val="decimal"/>
      <w:lvlText w:val="%1)"/>
      <w:lvlJc w:val="left"/>
      <w:pPr>
        <w:ind w:left="1118" w:hanging="241"/>
        <w:jc w:val="left"/>
      </w:pPr>
      <w:rPr>
        <w:rFonts w:hint="default" w:ascii="宋体" w:hAnsi="宋体" w:eastAsia="宋体" w:cs="宋体"/>
        <w:spacing w:val="-15"/>
        <w:w w:val="99"/>
        <w:sz w:val="22"/>
        <w:szCs w:val="22"/>
        <w:lang w:val="zh-CN" w:eastAsia="zh-CN" w:bidi="zh-CN"/>
      </w:rPr>
    </w:lvl>
    <w:lvl w:ilvl="1" w:tentative="0">
      <w:start w:val="0"/>
      <w:numFmt w:val="bullet"/>
      <w:lvlText w:val="•"/>
      <w:lvlJc w:val="left"/>
      <w:pPr>
        <w:ind w:left="2066" w:hanging="241"/>
      </w:pPr>
      <w:rPr>
        <w:rFonts w:hint="default"/>
        <w:lang w:val="zh-CN" w:eastAsia="zh-CN" w:bidi="zh-CN"/>
      </w:rPr>
    </w:lvl>
    <w:lvl w:ilvl="2" w:tentative="0">
      <w:start w:val="0"/>
      <w:numFmt w:val="bullet"/>
      <w:lvlText w:val="•"/>
      <w:lvlJc w:val="left"/>
      <w:pPr>
        <w:ind w:left="3013" w:hanging="241"/>
      </w:pPr>
      <w:rPr>
        <w:rFonts w:hint="default"/>
        <w:lang w:val="zh-CN" w:eastAsia="zh-CN" w:bidi="zh-CN"/>
      </w:rPr>
    </w:lvl>
    <w:lvl w:ilvl="3" w:tentative="0">
      <w:start w:val="0"/>
      <w:numFmt w:val="bullet"/>
      <w:lvlText w:val="•"/>
      <w:lvlJc w:val="left"/>
      <w:pPr>
        <w:ind w:left="3959" w:hanging="241"/>
      </w:pPr>
      <w:rPr>
        <w:rFonts w:hint="default"/>
        <w:lang w:val="zh-CN" w:eastAsia="zh-CN" w:bidi="zh-CN"/>
      </w:rPr>
    </w:lvl>
    <w:lvl w:ilvl="4" w:tentative="0">
      <w:start w:val="0"/>
      <w:numFmt w:val="bullet"/>
      <w:lvlText w:val="•"/>
      <w:lvlJc w:val="left"/>
      <w:pPr>
        <w:ind w:left="4906" w:hanging="241"/>
      </w:pPr>
      <w:rPr>
        <w:rFonts w:hint="default"/>
        <w:lang w:val="zh-CN" w:eastAsia="zh-CN" w:bidi="zh-CN"/>
      </w:rPr>
    </w:lvl>
    <w:lvl w:ilvl="5" w:tentative="0">
      <w:start w:val="0"/>
      <w:numFmt w:val="bullet"/>
      <w:lvlText w:val="•"/>
      <w:lvlJc w:val="left"/>
      <w:pPr>
        <w:ind w:left="5853" w:hanging="241"/>
      </w:pPr>
      <w:rPr>
        <w:rFonts w:hint="default"/>
        <w:lang w:val="zh-CN" w:eastAsia="zh-CN" w:bidi="zh-CN"/>
      </w:rPr>
    </w:lvl>
    <w:lvl w:ilvl="6" w:tentative="0">
      <w:start w:val="0"/>
      <w:numFmt w:val="bullet"/>
      <w:lvlText w:val="•"/>
      <w:lvlJc w:val="left"/>
      <w:pPr>
        <w:ind w:left="6799" w:hanging="241"/>
      </w:pPr>
      <w:rPr>
        <w:rFonts w:hint="default"/>
        <w:lang w:val="zh-CN" w:eastAsia="zh-CN" w:bidi="zh-CN"/>
      </w:rPr>
    </w:lvl>
    <w:lvl w:ilvl="7" w:tentative="0">
      <w:start w:val="0"/>
      <w:numFmt w:val="bullet"/>
      <w:lvlText w:val="•"/>
      <w:lvlJc w:val="left"/>
      <w:pPr>
        <w:ind w:left="7746" w:hanging="241"/>
      </w:pPr>
      <w:rPr>
        <w:rFonts w:hint="default"/>
        <w:lang w:val="zh-CN" w:eastAsia="zh-CN" w:bidi="zh-CN"/>
      </w:rPr>
    </w:lvl>
    <w:lvl w:ilvl="8" w:tentative="0">
      <w:start w:val="0"/>
      <w:numFmt w:val="bullet"/>
      <w:lvlText w:val="•"/>
      <w:lvlJc w:val="left"/>
      <w:pPr>
        <w:ind w:left="8693" w:hanging="241"/>
      </w:pPr>
      <w:rPr>
        <w:rFonts w:hint="default"/>
        <w:lang w:val="zh-CN" w:eastAsia="zh-CN" w:bidi="zh-CN"/>
      </w:rPr>
    </w:lvl>
  </w:abstractNum>
  <w:abstractNum w:abstractNumId="35">
    <w:nsid w:val="7DEC2089"/>
    <w:multiLevelType w:val="multilevel"/>
    <w:tmpl w:val="7DEC2089"/>
    <w:lvl w:ilvl="0" w:tentative="0">
      <w:start w:val="1"/>
      <w:numFmt w:val="decimal"/>
      <w:lvlText w:val="%1）"/>
      <w:lvlJc w:val="left"/>
      <w:pPr>
        <w:ind w:left="1354" w:hanging="361"/>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2282" w:hanging="361"/>
      </w:pPr>
      <w:rPr>
        <w:rFonts w:hint="default"/>
        <w:lang w:val="zh-CN" w:eastAsia="zh-CN" w:bidi="zh-CN"/>
      </w:rPr>
    </w:lvl>
    <w:lvl w:ilvl="2" w:tentative="0">
      <w:start w:val="0"/>
      <w:numFmt w:val="bullet"/>
      <w:lvlText w:val="•"/>
      <w:lvlJc w:val="left"/>
      <w:pPr>
        <w:ind w:left="3205" w:hanging="361"/>
      </w:pPr>
      <w:rPr>
        <w:rFonts w:hint="default"/>
        <w:lang w:val="zh-CN" w:eastAsia="zh-CN" w:bidi="zh-CN"/>
      </w:rPr>
    </w:lvl>
    <w:lvl w:ilvl="3" w:tentative="0">
      <w:start w:val="0"/>
      <w:numFmt w:val="bullet"/>
      <w:lvlText w:val="•"/>
      <w:lvlJc w:val="left"/>
      <w:pPr>
        <w:ind w:left="4127" w:hanging="361"/>
      </w:pPr>
      <w:rPr>
        <w:rFonts w:hint="default"/>
        <w:lang w:val="zh-CN" w:eastAsia="zh-CN" w:bidi="zh-CN"/>
      </w:rPr>
    </w:lvl>
    <w:lvl w:ilvl="4" w:tentative="0">
      <w:start w:val="0"/>
      <w:numFmt w:val="bullet"/>
      <w:lvlText w:val="•"/>
      <w:lvlJc w:val="left"/>
      <w:pPr>
        <w:ind w:left="5050" w:hanging="361"/>
      </w:pPr>
      <w:rPr>
        <w:rFonts w:hint="default"/>
        <w:lang w:val="zh-CN" w:eastAsia="zh-CN" w:bidi="zh-CN"/>
      </w:rPr>
    </w:lvl>
    <w:lvl w:ilvl="5" w:tentative="0">
      <w:start w:val="0"/>
      <w:numFmt w:val="bullet"/>
      <w:lvlText w:val="•"/>
      <w:lvlJc w:val="left"/>
      <w:pPr>
        <w:ind w:left="5973" w:hanging="361"/>
      </w:pPr>
      <w:rPr>
        <w:rFonts w:hint="default"/>
        <w:lang w:val="zh-CN" w:eastAsia="zh-CN" w:bidi="zh-CN"/>
      </w:rPr>
    </w:lvl>
    <w:lvl w:ilvl="6" w:tentative="0">
      <w:start w:val="0"/>
      <w:numFmt w:val="bullet"/>
      <w:lvlText w:val="•"/>
      <w:lvlJc w:val="left"/>
      <w:pPr>
        <w:ind w:left="6895" w:hanging="361"/>
      </w:pPr>
      <w:rPr>
        <w:rFonts w:hint="default"/>
        <w:lang w:val="zh-CN" w:eastAsia="zh-CN" w:bidi="zh-CN"/>
      </w:rPr>
    </w:lvl>
    <w:lvl w:ilvl="7" w:tentative="0">
      <w:start w:val="0"/>
      <w:numFmt w:val="bullet"/>
      <w:lvlText w:val="•"/>
      <w:lvlJc w:val="left"/>
      <w:pPr>
        <w:ind w:left="7818" w:hanging="361"/>
      </w:pPr>
      <w:rPr>
        <w:rFonts w:hint="default"/>
        <w:lang w:val="zh-CN" w:eastAsia="zh-CN" w:bidi="zh-CN"/>
      </w:rPr>
    </w:lvl>
    <w:lvl w:ilvl="8" w:tentative="0">
      <w:start w:val="0"/>
      <w:numFmt w:val="bullet"/>
      <w:lvlText w:val="•"/>
      <w:lvlJc w:val="left"/>
      <w:pPr>
        <w:ind w:left="8741" w:hanging="361"/>
      </w:pPr>
      <w:rPr>
        <w:rFonts w:hint="default"/>
        <w:lang w:val="zh-CN" w:eastAsia="zh-CN" w:bidi="zh-CN"/>
      </w:rPr>
    </w:lvl>
  </w:abstractNum>
  <w:num w:numId="1">
    <w:abstractNumId w:val="26"/>
  </w:num>
  <w:num w:numId="2">
    <w:abstractNumId w:val="15"/>
  </w:num>
  <w:num w:numId="3">
    <w:abstractNumId w:val="4"/>
  </w:num>
  <w:num w:numId="4">
    <w:abstractNumId w:val="19"/>
  </w:num>
  <w:num w:numId="5">
    <w:abstractNumId w:val="27"/>
  </w:num>
  <w:num w:numId="6">
    <w:abstractNumId w:val="9"/>
  </w:num>
  <w:num w:numId="7">
    <w:abstractNumId w:val="13"/>
  </w:num>
  <w:num w:numId="8">
    <w:abstractNumId w:val="18"/>
  </w:num>
  <w:num w:numId="9">
    <w:abstractNumId w:val="11"/>
  </w:num>
  <w:num w:numId="10">
    <w:abstractNumId w:val="10"/>
  </w:num>
  <w:num w:numId="11">
    <w:abstractNumId w:val="5"/>
  </w:num>
  <w:num w:numId="12">
    <w:abstractNumId w:val="23"/>
  </w:num>
  <w:num w:numId="13">
    <w:abstractNumId w:val="29"/>
  </w:num>
  <w:num w:numId="14">
    <w:abstractNumId w:val="16"/>
  </w:num>
  <w:num w:numId="15">
    <w:abstractNumId w:val="22"/>
  </w:num>
  <w:num w:numId="16">
    <w:abstractNumId w:val="6"/>
  </w:num>
  <w:num w:numId="17">
    <w:abstractNumId w:val="34"/>
  </w:num>
  <w:num w:numId="18">
    <w:abstractNumId w:val="32"/>
  </w:num>
  <w:num w:numId="19">
    <w:abstractNumId w:val="8"/>
  </w:num>
  <w:num w:numId="20">
    <w:abstractNumId w:val="30"/>
  </w:num>
  <w:num w:numId="21">
    <w:abstractNumId w:val="21"/>
  </w:num>
  <w:num w:numId="22">
    <w:abstractNumId w:val="1"/>
  </w:num>
  <w:num w:numId="23">
    <w:abstractNumId w:val="25"/>
  </w:num>
  <w:num w:numId="24">
    <w:abstractNumId w:val="35"/>
  </w:num>
  <w:num w:numId="25">
    <w:abstractNumId w:val="0"/>
  </w:num>
  <w:num w:numId="26">
    <w:abstractNumId w:val="17"/>
  </w:num>
  <w:num w:numId="27">
    <w:abstractNumId w:val="24"/>
  </w:num>
  <w:num w:numId="28">
    <w:abstractNumId w:val="14"/>
  </w:num>
  <w:num w:numId="29">
    <w:abstractNumId w:val="12"/>
  </w:num>
  <w:num w:numId="30">
    <w:abstractNumId w:val="20"/>
  </w:num>
  <w:num w:numId="31">
    <w:abstractNumId w:val="33"/>
  </w:num>
  <w:num w:numId="32">
    <w:abstractNumId w:val="7"/>
  </w:num>
  <w:num w:numId="33">
    <w:abstractNumId w:val="3"/>
  </w:num>
  <w:num w:numId="34">
    <w:abstractNumId w:val="28"/>
  </w:num>
  <w:num w:numId="35">
    <w:abstractNumId w:val="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291272D"/>
    <w:rsid w:val="0A051C70"/>
    <w:rsid w:val="0F967873"/>
    <w:rsid w:val="2C142FDF"/>
    <w:rsid w:val="343D14DC"/>
    <w:rsid w:val="35652EAF"/>
    <w:rsid w:val="370C122F"/>
    <w:rsid w:val="37B171FC"/>
    <w:rsid w:val="397419C8"/>
    <w:rsid w:val="40097422"/>
    <w:rsid w:val="44ED6FD1"/>
    <w:rsid w:val="47BC0029"/>
    <w:rsid w:val="48C91D4D"/>
    <w:rsid w:val="49AF0EA4"/>
    <w:rsid w:val="4E2852F2"/>
    <w:rsid w:val="51C7075F"/>
    <w:rsid w:val="53F0128A"/>
    <w:rsid w:val="574C7C3B"/>
    <w:rsid w:val="5ACB06E5"/>
    <w:rsid w:val="5EFD6909"/>
    <w:rsid w:val="5F0951A0"/>
    <w:rsid w:val="646F28F3"/>
    <w:rsid w:val="6D777588"/>
    <w:rsid w:val="736B07B9"/>
    <w:rsid w:val="746715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23"/>
      <w:ind w:left="410"/>
      <w:jc w:val="center"/>
      <w:outlineLvl w:val="1"/>
    </w:pPr>
    <w:rPr>
      <w:rFonts w:ascii="宋体" w:hAnsi="宋体" w:eastAsia="宋体" w:cs="宋体"/>
      <w:b/>
      <w:bCs/>
      <w:sz w:val="44"/>
      <w:szCs w:val="44"/>
      <w:lang w:val="zh-CN" w:eastAsia="zh-CN" w:bidi="zh-CN"/>
    </w:rPr>
  </w:style>
  <w:style w:type="paragraph" w:styleId="4">
    <w:name w:val="heading 2"/>
    <w:basedOn w:val="1"/>
    <w:next w:val="1"/>
    <w:qFormat/>
    <w:uiPriority w:val="1"/>
    <w:pPr>
      <w:spacing w:before="45"/>
      <w:ind w:left="345"/>
      <w:jc w:val="center"/>
      <w:outlineLvl w:val="2"/>
    </w:pPr>
    <w:rPr>
      <w:rFonts w:ascii="宋体" w:hAnsi="宋体" w:eastAsia="宋体" w:cs="宋体"/>
      <w:b/>
      <w:bCs/>
      <w:sz w:val="40"/>
      <w:szCs w:val="40"/>
      <w:u w:val="single" w:color="000000"/>
      <w:lang w:val="zh-CN" w:eastAsia="zh-CN" w:bidi="zh-CN"/>
    </w:rPr>
  </w:style>
  <w:style w:type="paragraph" w:styleId="2">
    <w:name w:val="heading 3"/>
    <w:basedOn w:val="1"/>
    <w:next w:val="1"/>
    <w:qFormat/>
    <w:uiPriority w:val="1"/>
    <w:pPr>
      <w:spacing w:before="50"/>
      <w:jc w:val="center"/>
      <w:outlineLvl w:val="3"/>
    </w:pPr>
    <w:rPr>
      <w:rFonts w:ascii="宋体" w:hAnsi="宋体" w:eastAsia="宋体" w:cs="宋体"/>
      <w:b/>
      <w:bCs/>
      <w:sz w:val="36"/>
      <w:szCs w:val="36"/>
      <w:lang w:val="zh-CN" w:eastAsia="zh-CN" w:bidi="zh-CN"/>
    </w:rPr>
  </w:style>
  <w:style w:type="paragraph" w:styleId="5">
    <w:name w:val="heading 4"/>
    <w:basedOn w:val="1"/>
    <w:next w:val="1"/>
    <w:qFormat/>
    <w:uiPriority w:val="1"/>
    <w:pPr>
      <w:ind w:left="452"/>
      <w:outlineLvl w:val="4"/>
    </w:pPr>
    <w:rPr>
      <w:rFonts w:ascii="宋体" w:hAnsi="宋体" w:eastAsia="宋体" w:cs="宋体"/>
      <w:b/>
      <w:bCs/>
      <w:sz w:val="32"/>
      <w:szCs w:val="32"/>
      <w:lang w:val="zh-CN" w:eastAsia="zh-CN" w:bidi="zh-CN"/>
    </w:rPr>
  </w:style>
  <w:style w:type="paragraph" w:styleId="6">
    <w:name w:val="heading 5"/>
    <w:basedOn w:val="1"/>
    <w:next w:val="1"/>
    <w:qFormat/>
    <w:uiPriority w:val="1"/>
    <w:pPr>
      <w:spacing w:before="160"/>
      <w:ind w:left="117"/>
      <w:jc w:val="center"/>
      <w:outlineLvl w:val="5"/>
    </w:pPr>
    <w:rPr>
      <w:rFonts w:ascii="宋体" w:hAnsi="宋体" w:eastAsia="宋体" w:cs="宋体"/>
      <w:sz w:val="32"/>
      <w:szCs w:val="32"/>
      <w:lang w:val="zh-CN" w:eastAsia="zh-CN" w:bidi="zh-CN"/>
    </w:rPr>
  </w:style>
  <w:style w:type="paragraph" w:styleId="7">
    <w:name w:val="heading 6"/>
    <w:basedOn w:val="1"/>
    <w:next w:val="1"/>
    <w:qFormat/>
    <w:uiPriority w:val="1"/>
    <w:pPr>
      <w:ind w:left="200"/>
      <w:outlineLvl w:val="6"/>
    </w:pPr>
    <w:rPr>
      <w:rFonts w:ascii="宋体" w:hAnsi="宋体" w:eastAsia="宋体" w:cs="宋体"/>
      <w:sz w:val="30"/>
      <w:szCs w:val="30"/>
      <w:lang w:val="zh-CN" w:eastAsia="zh-CN" w:bidi="zh-CN"/>
    </w:rPr>
  </w:style>
  <w:style w:type="paragraph" w:styleId="8">
    <w:name w:val="heading 7"/>
    <w:basedOn w:val="1"/>
    <w:next w:val="1"/>
    <w:qFormat/>
    <w:uiPriority w:val="1"/>
    <w:pPr>
      <w:outlineLvl w:val="7"/>
    </w:pPr>
    <w:rPr>
      <w:rFonts w:ascii="宋体" w:hAnsi="宋体" w:eastAsia="宋体" w:cs="宋体"/>
      <w:b/>
      <w:bCs/>
      <w:sz w:val="28"/>
      <w:szCs w:val="28"/>
      <w:lang w:val="zh-CN" w:eastAsia="zh-CN" w:bidi="zh-CN"/>
    </w:rPr>
  </w:style>
  <w:style w:type="paragraph" w:styleId="9">
    <w:name w:val="heading 8"/>
    <w:basedOn w:val="1"/>
    <w:next w:val="1"/>
    <w:qFormat/>
    <w:uiPriority w:val="1"/>
    <w:pPr>
      <w:spacing w:before="212"/>
      <w:ind w:left="200" w:right="1436"/>
      <w:jc w:val="both"/>
      <w:outlineLvl w:val="8"/>
    </w:pPr>
    <w:rPr>
      <w:rFonts w:ascii="宋体" w:hAnsi="宋体" w:eastAsia="宋体" w:cs="宋体"/>
      <w:sz w:val="28"/>
      <w:szCs w:val="28"/>
      <w:lang w:val="zh-CN" w:eastAsia="zh-CN" w:bidi="zh-CN"/>
    </w:rPr>
  </w:style>
  <w:style w:type="paragraph" w:styleId="10">
    <w:name w:val="heading 9"/>
    <w:basedOn w:val="1"/>
    <w:next w:val="1"/>
    <w:qFormat/>
    <w:uiPriority w:val="1"/>
    <w:pPr>
      <w:ind w:left="1118"/>
      <w:outlineLvl w:val="9"/>
    </w:pPr>
    <w:rPr>
      <w:rFonts w:ascii="宋体" w:hAnsi="宋体" w:eastAsia="宋体" w:cs="宋体"/>
      <w:b/>
      <w:bCs/>
      <w:sz w:val="24"/>
      <w:szCs w:val="24"/>
      <w:lang w:val="zh-CN" w:eastAsia="zh-CN" w:bidi="zh-CN"/>
    </w:rPr>
  </w:style>
  <w:style w:type="character" w:default="1" w:styleId="17">
    <w:name w:val="Default Paragraph Font"/>
    <w:semiHidden/>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styleId="11">
    <w:name w:val="Body Text"/>
    <w:basedOn w:val="1"/>
    <w:qFormat/>
    <w:uiPriority w:val="1"/>
    <w:rPr>
      <w:rFonts w:ascii="宋体" w:hAnsi="宋体" w:eastAsia="宋体" w:cs="宋体"/>
      <w:sz w:val="24"/>
      <w:szCs w:val="24"/>
      <w:lang w:val="zh-CN" w:eastAsia="zh-CN" w:bidi="zh-CN"/>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1"/>
    <w:pPr>
      <w:spacing w:before="314"/>
      <w:ind w:right="5"/>
      <w:jc w:val="center"/>
    </w:pPr>
    <w:rPr>
      <w:rFonts w:ascii="宋体" w:hAnsi="宋体" w:eastAsia="宋体" w:cs="宋体"/>
      <w:sz w:val="24"/>
      <w:szCs w:val="24"/>
      <w:lang w:val="zh-CN" w:eastAsia="zh-CN" w:bidi="zh-CN"/>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bCs/>
    </w:rPr>
  </w:style>
  <w:style w:type="character" w:styleId="19">
    <w:name w:val="FollowedHyperlink"/>
    <w:basedOn w:val="17"/>
    <w:qFormat/>
    <w:uiPriority w:val="0"/>
    <w:rPr>
      <w:color w:val="428BCA"/>
      <w:u w:val="none"/>
    </w:rPr>
  </w:style>
  <w:style w:type="character" w:styleId="20">
    <w:name w:val="Emphasis"/>
    <w:basedOn w:val="17"/>
    <w:qFormat/>
    <w:uiPriority w:val="0"/>
  </w:style>
  <w:style w:type="character" w:styleId="21">
    <w:name w:val="HTML Definition"/>
    <w:basedOn w:val="17"/>
    <w:qFormat/>
    <w:uiPriority w:val="0"/>
    <w:rPr>
      <w:i/>
      <w:iCs/>
    </w:rPr>
  </w:style>
  <w:style w:type="character" w:styleId="22">
    <w:name w:val="Hyperlink"/>
    <w:basedOn w:val="17"/>
    <w:qFormat/>
    <w:uiPriority w:val="0"/>
    <w:rPr>
      <w:color w:val="428BCA"/>
      <w:u w:val="none"/>
    </w:rPr>
  </w:style>
  <w:style w:type="character" w:styleId="23">
    <w:name w:val="HTML Code"/>
    <w:basedOn w:val="17"/>
    <w:qFormat/>
    <w:uiPriority w:val="0"/>
    <w:rPr>
      <w:rFonts w:hint="default" w:ascii="Consolas" w:hAnsi="Consolas" w:eastAsia="Consolas" w:cs="Consolas"/>
      <w:color w:val="C7254E"/>
      <w:sz w:val="21"/>
      <w:szCs w:val="21"/>
      <w:shd w:val="clear" w:fill="F9F2F4"/>
    </w:rPr>
  </w:style>
  <w:style w:type="character" w:styleId="24">
    <w:name w:val="HTML Cite"/>
    <w:basedOn w:val="17"/>
    <w:qFormat/>
    <w:uiPriority w:val="0"/>
  </w:style>
  <w:style w:type="character" w:styleId="25">
    <w:name w:val="HTML Keyboard"/>
    <w:basedOn w:val="17"/>
    <w:qFormat/>
    <w:uiPriority w:val="0"/>
    <w:rPr>
      <w:rFonts w:ascii="Consolas" w:hAnsi="Consolas" w:eastAsia="Consolas" w:cs="Consolas"/>
      <w:color w:val="FFFFFF"/>
      <w:sz w:val="21"/>
      <w:szCs w:val="21"/>
      <w:shd w:val="clear" w:fill="333333"/>
    </w:rPr>
  </w:style>
  <w:style w:type="character" w:styleId="26">
    <w:name w:val="HTML Sample"/>
    <w:basedOn w:val="17"/>
    <w:qFormat/>
    <w:uiPriority w:val="0"/>
    <w:rPr>
      <w:rFonts w:hint="default" w:ascii="Consolas" w:hAnsi="Consolas" w:eastAsia="Consolas" w:cs="Consolas"/>
      <w:sz w:val="21"/>
      <w:szCs w:val="21"/>
    </w:rPr>
  </w:style>
  <w:style w:type="table" w:customStyle="1" w:styleId="27">
    <w:name w:val="Table Normal"/>
    <w:semiHidden/>
    <w:unhideWhenUsed/>
    <w:qFormat/>
    <w:uiPriority w:val="2"/>
    <w:tblPr>
      <w:tblCellMar>
        <w:top w:w="0" w:type="dxa"/>
        <w:left w:w="0" w:type="dxa"/>
        <w:bottom w:w="0" w:type="dxa"/>
        <w:right w:w="0" w:type="dxa"/>
      </w:tblCellMar>
    </w:tblPr>
  </w:style>
  <w:style w:type="paragraph" w:styleId="28">
    <w:name w:val="List Paragraph"/>
    <w:basedOn w:val="1"/>
    <w:qFormat/>
    <w:uiPriority w:val="1"/>
    <w:pPr>
      <w:ind w:left="1118" w:firstLine="479"/>
    </w:pPr>
    <w:rPr>
      <w:rFonts w:ascii="宋体" w:hAnsi="宋体" w:eastAsia="宋体" w:cs="宋体"/>
      <w:lang w:val="zh-CN" w:eastAsia="zh-CN" w:bidi="zh-CN"/>
    </w:rPr>
  </w:style>
  <w:style w:type="paragraph" w:customStyle="1" w:styleId="29">
    <w:name w:val="Table Paragraph"/>
    <w:basedOn w:val="1"/>
    <w:qFormat/>
    <w:uiPriority w:val="1"/>
    <w:rPr>
      <w:rFonts w:ascii="宋体" w:hAnsi="宋体" w:eastAsia="宋体" w:cs="宋体"/>
      <w:lang w:val="zh-CN" w:eastAsia="zh-CN" w:bidi="zh-CN"/>
    </w:rPr>
  </w:style>
  <w:style w:type="paragraph" w:customStyle="1" w:styleId="30">
    <w:name w:val="WPSOffice手动目录 2"/>
    <w:qFormat/>
    <w:uiPriority w:val="0"/>
    <w:pPr>
      <w:ind w:leftChars="200"/>
    </w:pPr>
    <w:rPr>
      <w:rFonts w:ascii="Times New Roman" w:hAnsi="Times New Roman" w:eastAsia="宋体" w:cs="Times New Roman"/>
      <w:sz w:val="20"/>
      <w:szCs w:val="20"/>
    </w:rPr>
  </w:style>
  <w:style w:type="paragraph" w:customStyle="1" w:styleId="31">
    <w:name w:val="WPSOffice手动目录 3"/>
    <w:qFormat/>
    <w:uiPriority w:val="0"/>
    <w:pPr>
      <w:ind w:leftChars="400"/>
    </w:pPr>
    <w:rPr>
      <w:rFonts w:ascii="Times New Roman" w:hAnsi="Times New Roman" w:eastAsia="宋体" w:cs="Times New Roman"/>
      <w:sz w:val="20"/>
      <w:szCs w:val="20"/>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character" w:customStyle="1" w:styleId="33">
    <w:name w:val="ui-icon38"/>
    <w:basedOn w:val="17"/>
    <w:qFormat/>
    <w:uiPriority w:val="0"/>
  </w:style>
  <w:style w:type="character" w:customStyle="1" w:styleId="34">
    <w:name w:val="ui-icon39"/>
    <w:basedOn w:val="17"/>
    <w:qFormat/>
    <w:uiPriority w:val="0"/>
  </w:style>
  <w:style w:type="character" w:customStyle="1" w:styleId="35">
    <w:name w:val="ui-icon40"/>
    <w:basedOn w:val="17"/>
    <w:qFormat/>
    <w:uiPriority w:val="0"/>
  </w:style>
  <w:style w:type="character" w:customStyle="1" w:styleId="36">
    <w:name w:val="old"/>
    <w:basedOn w:val="17"/>
    <w:qFormat/>
    <w:uiPriority w:val="0"/>
    <w:rPr>
      <w:color w:val="999999"/>
    </w:rPr>
  </w:style>
  <w:style w:type="character" w:customStyle="1" w:styleId="37">
    <w:name w:val="hover6"/>
    <w:basedOn w:val="17"/>
    <w:qFormat/>
    <w:uiPriority w:val="0"/>
    <w:rPr>
      <w:shd w:val="clear" w:fill="EEEEEE"/>
    </w:rPr>
  </w:style>
  <w:style w:type="character" w:customStyle="1" w:styleId="38">
    <w:name w:val="input-icon2"/>
    <w:basedOn w:val="17"/>
    <w:qFormat/>
    <w:uiPriority w:val="0"/>
  </w:style>
  <w:style w:type="character" w:customStyle="1" w:styleId="39">
    <w:name w:val="before"/>
    <w:basedOn w:val="17"/>
    <w:qFormat/>
    <w:uiPriority w:val="0"/>
    <w:rPr>
      <w:rFonts w:hint="default" w:ascii="FontAwesome" w:hAnsi="FontAwesome" w:eastAsia="FontAwesome" w:cs="FontAwesome"/>
      <w:color w:val="888888"/>
    </w:rPr>
  </w:style>
  <w:style w:type="character" w:customStyle="1" w:styleId="40">
    <w:name w:val="before1"/>
    <w:basedOn w:val="17"/>
    <w:qFormat/>
    <w:uiPriority w:val="0"/>
    <w:rPr>
      <w:rFonts w:hint="default" w:ascii="FontAwesome" w:hAnsi="FontAwesome" w:eastAsia="FontAwesome" w:cs="FontAwesome"/>
      <w:color w:val="888888"/>
    </w:rPr>
  </w:style>
  <w:style w:type="character" w:customStyle="1" w:styleId="41">
    <w:name w:val="ui-jqgrid-resize2"/>
    <w:basedOn w:val="17"/>
    <w:qFormat/>
    <w:uiPriority w:val="0"/>
  </w:style>
  <w:style w:type="character" w:customStyle="1" w:styleId="42">
    <w:name w:val="active5"/>
    <w:basedOn w:val="17"/>
    <w:qFormat/>
    <w:uiPriority w:val="0"/>
    <w:rPr>
      <w:color w:val="FFFFFF"/>
      <w:shd w:val="clear" w:fill="428BCA"/>
    </w:rPr>
  </w:style>
  <w:style w:type="paragraph" w:customStyle="1" w:styleId="43">
    <w:name w:val="_Style 42"/>
    <w:basedOn w:val="1"/>
    <w:next w:val="1"/>
    <w:qFormat/>
    <w:uiPriority w:val="0"/>
    <w:pPr>
      <w:pBdr>
        <w:bottom w:val="single" w:color="auto" w:sz="6" w:space="1"/>
      </w:pBdr>
      <w:jc w:val="center"/>
    </w:pPr>
    <w:rPr>
      <w:rFonts w:ascii="Arial" w:eastAsia="宋体"/>
      <w:vanish/>
      <w:sz w:val="16"/>
    </w:rPr>
  </w:style>
  <w:style w:type="paragraph" w:customStyle="1" w:styleId="44">
    <w:name w:val="_Style 43"/>
    <w:basedOn w:val="1"/>
    <w:next w:val="1"/>
    <w:qFormat/>
    <w:uiPriority w:val="0"/>
    <w:pPr>
      <w:pBdr>
        <w:top w:val="single" w:color="auto" w:sz="6" w:space="1"/>
      </w:pBdr>
      <w:jc w:val="center"/>
    </w:pPr>
    <w:rPr>
      <w:rFonts w:ascii="Arial" w:eastAsia="宋体"/>
      <w:vanish/>
      <w:sz w:val="16"/>
    </w:rPr>
  </w:style>
  <w:style w:type="character" w:customStyle="1" w:styleId="45">
    <w:name w:val="underline1"/>
    <w:basedOn w:val="17"/>
    <w:qFormat/>
    <w:uiPriority w:val="0"/>
    <w:rPr>
      <w:u w:val="single"/>
    </w:rPr>
  </w:style>
  <w:style w:type="character" w:customStyle="1" w:styleId="46">
    <w:name w:val="english"/>
    <w:basedOn w:val="17"/>
    <w:qFormat/>
    <w:uiPriority w:val="0"/>
    <w:rPr>
      <w:rFonts w:ascii="微软雅黑" w:hAnsi="微软雅黑" w:eastAsia="微软雅黑" w:cs="微软雅黑"/>
      <w:i/>
      <w:iCs/>
      <w:caps/>
      <w:color w:val="9E9E9E"/>
      <w:sz w:val="21"/>
      <w:szCs w:val="21"/>
    </w:rPr>
  </w:style>
  <w:style w:type="character" w:customStyle="1" w:styleId="47">
    <w:name w:val="english1"/>
    <w:basedOn w:val="17"/>
    <w:qFormat/>
    <w:uiPriority w:val="0"/>
    <w:rPr>
      <w:rFonts w:hint="eastAsia" w:ascii="微软雅黑" w:hAnsi="微软雅黑" w:eastAsia="微软雅黑" w:cs="微软雅黑"/>
      <w:color w:val="000000"/>
      <w:sz w:val="12"/>
      <w:szCs w:val="12"/>
    </w:rPr>
  </w:style>
  <w:style w:type="character" w:customStyle="1" w:styleId="48">
    <w:name w:val="english2"/>
    <w:basedOn w:val="17"/>
    <w:qFormat/>
    <w:uiPriority w:val="0"/>
    <w:rPr>
      <w:rFonts w:hint="eastAsia" w:ascii="微软雅黑" w:hAnsi="微软雅黑" w:eastAsia="微软雅黑" w:cs="微软雅黑"/>
      <w:i/>
      <w:iCs/>
      <w:caps/>
      <w:color w:val="9E9E9E"/>
      <w:sz w:val="21"/>
      <w:szCs w:val="21"/>
    </w:rPr>
  </w:style>
  <w:style w:type="character" w:customStyle="1" w:styleId="49">
    <w:name w:val="time"/>
    <w:basedOn w:val="17"/>
    <w:qFormat/>
    <w:uiPriority w:val="0"/>
  </w:style>
  <w:style w:type="character" w:customStyle="1" w:styleId="50">
    <w:name w:val="time1"/>
    <w:basedOn w:val="17"/>
    <w:qFormat/>
    <w:uiPriority w:val="0"/>
  </w:style>
  <w:style w:type="character" w:customStyle="1" w:styleId="51">
    <w:name w:val="time2"/>
    <w:basedOn w:val="17"/>
    <w:qFormat/>
    <w:uiPriority w:val="0"/>
  </w:style>
  <w:style w:type="character" w:customStyle="1" w:styleId="52">
    <w:name w:val="hover5"/>
    <w:basedOn w:val="17"/>
    <w:qFormat/>
    <w:uiPriority w:val="0"/>
    <w:rPr>
      <w:shd w:val="clear" w:fill="EEEEEE"/>
    </w:rPr>
  </w:style>
  <w:style w:type="character" w:customStyle="1" w:styleId="53">
    <w:name w:val="ui-jqgrid-resize"/>
    <w:basedOn w:val="17"/>
    <w:qFormat/>
    <w:uiPriority w:val="0"/>
  </w:style>
  <w:style w:type="paragraph" w:customStyle="1" w:styleId="54">
    <w:name w:val="Plain Text"/>
    <w:basedOn w:val="1"/>
    <w:qFormat/>
    <w:uiPriority w:val="0"/>
    <w:rPr>
      <w:rFonts w:ascii="宋体" w:hAnsi="Courier New"/>
      <w:spacing w:val="-8"/>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1041"/>
    <customShpInfo spid="_x0000_s1029"/>
    <customShpInfo spid="_x0000_s1030"/>
    <customShpInfo spid="_x0000_s1031"/>
    <customShpInfo spid="_x0000_s1032"/>
    <customShpInfo spid="_x0000_s1033"/>
    <customShpInfo spid="_x0000_s1028"/>
    <customShpInfo spid="_x0000_s1035"/>
    <customShpInfo spid="_x0000_s1036"/>
    <customShpInfo spid="_x0000_s1037"/>
    <customShpInfo spid="_x0000_s1038"/>
    <customShpInfo spid="_x0000_s1039"/>
    <customShpInfo spid="_x0000_s1040"/>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ScaleCrop>false</ScaleCrop>
  <LinksUpToDate>false</LinksUpToDate>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2021-03-18T03:38:00Z</dcterms:created>
  <dc:creator>84015</dc:creator>
  <cp:lastModifiedBy>啊崙</cp:lastModifiedBy>
  <dcterms:modified xsi:type="dcterms:W3CDTF">2021-07-26T03:18:18Z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2010</vt:lpwstr>
  </property>
  <property fmtid="{D5CDD505-2E9C-101B-9397-08002B2CF9AE}" pid="4" name="LastSaved">
    <vt:filetime>2021-03-18T00:00:00Z</vt:filetime>
  </property>
  <property fmtid="{D5CDD505-2E9C-101B-9397-08002B2CF9AE}" pid="5" name="KSOProductBuildVer">
    <vt:lpwstr>2052-11.1.0.10667</vt:lpwstr>
  </property>
  <property fmtid="{D5CDD505-2E9C-101B-9397-08002B2CF9AE}" pid="6" name="ICV">
    <vt:lpwstr>99CA88A7E00C47299BCAB23DFDF54E97</vt:lpwstr>
  </property>
</Properties>
</file>