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74" w:rsidRDefault="00766E25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和平镇村庄规划</w:t>
      </w:r>
      <w:r w:rsidR="00B40117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编制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采购需求</w:t>
      </w:r>
    </w:p>
    <w:p w:rsidR="00F80474" w:rsidRDefault="00766E25">
      <w:pPr>
        <w:pStyle w:val="1"/>
        <w:spacing w:before="0" w:after="0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一、项目单位</w:t>
      </w:r>
    </w:p>
    <w:p w:rsidR="00F80474" w:rsidRDefault="00766E25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  <w:szCs w:val="28"/>
        </w:rPr>
      </w:pPr>
      <w:r>
        <w:rPr>
          <w:rFonts w:ascii="仿宋" w:eastAsia="仿宋" w:hAnsi="仿宋" w:hint="eastAsia"/>
          <w:color w:val="000000"/>
          <w:sz w:val="24"/>
          <w:szCs w:val="28"/>
        </w:rPr>
        <w:t>琼中县和平镇</w:t>
      </w:r>
      <w:r>
        <w:rPr>
          <w:rFonts w:ascii="仿宋" w:eastAsia="仿宋" w:hAnsi="仿宋" w:hint="eastAsia"/>
          <w:color w:val="000000"/>
          <w:sz w:val="24"/>
          <w:szCs w:val="28"/>
        </w:rPr>
        <w:t>人民政府。</w:t>
      </w:r>
    </w:p>
    <w:p w:rsidR="00F80474" w:rsidRDefault="00766E25">
      <w:pPr>
        <w:pStyle w:val="1"/>
        <w:spacing w:before="0" w:after="0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二、修编背景</w:t>
      </w:r>
    </w:p>
    <w:p w:rsidR="00F80474" w:rsidRDefault="00766E25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  <w:szCs w:val="28"/>
        </w:rPr>
      </w:pPr>
      <w:r>
        <w:rPr>
          <w:rFonts w:ascii="仿宋" w:eastAsia="仿宋" w:hAnsi="仿宋" w:hint="eastAsia"/>
          <w:color w:val="000000"/>
          <w:sz w:val="24"/>
          <w:szCs w:val="28"/>
        </w:rPr>
        <w:t>贯彻落实《中共中央国务院关于实施乡村振兴战略的意见》、《中共中央国务院关于建立国土空间规划体系并监督实施的若干意见》、《自然资源部办公厅关于加强村庄规划促进乡村振兴的通知》（自然资办发〔</w:t>
      </w:r>
      <w:r>
        <w:rPr>
          <w:rFonts w:ascii="仿宋" w:eastAsia="仿宋" w:hAnsi="仿宋"/>
          <w:color w:val="000000"/>
          <w:sz w:val="24"/>
          <w:szCs w:val="28"/>
        </w:rPr>
        <w:t>2019</w:t>
      </w:r>
      <w:r>
        <w:rPr>
          <w:rFonts w:ascii="仿宋" w:eastAsia="仿宋" w:hAnsi="仿宋" w:hint="eastAsia"/>
          <w:color w:val="000000"/>
          <w:sz w:val="24"/>
          <w:szCs w:val="28"/>
        </w:rPr>
        <w:t>〕</w:t>
      </w:r>
      <w:r>
        <w:rPr>
          <w:rFonts w:ascii="仿宋" w:eastAsia="仿宋" w:hAnsi="仿宋"/>
          <w:color w:val="000000"/>
          <w:sz w:val="24"/>
          <w:szCs w:val="28"/>
        </w:rPr>
        <w:t>35</w:t>
      </w:r>
      <w:r>
        <w:rPr>
          <w:rFonts w:ascii="仿宋" w:eastAsia="仿宋" w:hAnsi="仿宋" w:hint="eastAsia"/>
          <w:color w:val="000000"/>
          <w:sz w:val="24"/>
          <w:szCs w:val="28"/>
        </w:rPr>
        <w:t>号）、《海南省村庄规划管理条例》等相关法律法规、行政规章和规范性文件，村庄规划是村域开展国土空间开发保护、实施国土空间用途管制、核发建设项目规划许可、进行各项建设的法定依据。</w:t>
      </w:r>
    </w:p>
    <w:p w:rsidR="00F80474" w:rsidRDefault="00766E25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  <w:szCs w:val="28"/>
        </w:rPr>
      </w:pPr>
      <w:r>
        <w:rPr>
          <w:rFonts w:ascii="仿宋" w:eastAsia="仿宋" w:hAnsi="仿宋" w:hint="eastAsia"/>
          <w:color w:val="000000"/>
          <w:sz w:val="24"/>
          <w:szCs w:val="28"/>
        </w:rPr>
        <w:t>根据《海南省人民政府办公厅关于加快推进全省村庄规划编制工作的通知》（琼府【</w:t>
      </w:r>
      <w:r>
        <w:rPr>
          <w:rFonts w:ascii="仿宋" w:eastAsia="仿宋" w:hAnsi="仿宋" w:hint="eastAsia"/>
          <w:color w:val="000000"/>
          <w:sz w:val="24"/>
          <w:szCs w:val="28"/>
        </w:rPr>
        <w:t>2020</w:t>
      </w:r>
      <w:r>
        <w:rPr>
          <w:rFonts w:ascii="仿宋" w:eastAsia="仿宋" w:hAnsi="仿宋" w:hint="eastAsia"/>
          <w:color w:val="000000"/>
          <w:sz w:val="24"/>
          <w:szCs w:val="28"/>
        </w:rPr>
        <w:t>】</w:t>
      </w:r>
      <w:r>
        <w:rPr>
          <w:rFonts w:ascii="仿宋" w:eastAsia="仿宋" w:hAnsi="仿宋" w:hint="eastAsia"/>
          <w:color w:val="000000"/>
          <w:sz w:val="24"/>
          <w:szCs w:val="28"/>
        </w:rPr>
        <w:t>125</w:t>
      </w:r>
      <w:r>
        <w:rPr>
          <w:rFonts w:ascii="仿宋" w:eastAsia="仿宋" w:hAnsi="仿宋" w:hint="eastAsia"/>
          <w:color w:val="000000"/>
          <w:sz w:val="24"/>
          <w:szCs w:val="28"/>
        </w:rPr>
        <w:t>号</w:t>
      </w:r>
      <w:r>
        <w:rPr>
          <w:rFonts w:ascii="仿宋" w:eastAsia="仿宋" w:hAnsi="仿宋" w:hint="eastAsia"/>
          <w:color w:val="000000"/>
          <w:sz w:val="24"/>
          <w:szCs w:val="28"/>
        </w:rPr>
        <w:t>）</w:t>
      </w:r>
      <w:r>
        <w:rPr>
          <w:rFonts w:ascii="仿宋" w:eastAsia="仿宋" w:hAnsi="仿宋" w:hint="eastAsia"/>
          <w:color w:val="000000"/>
          <w:sz w:val="24"/>
          <w:szCs w:val="28"/>
        </w:rPr>
        <w:t>的工作安排</w:t>
      </w:r>
      <w:r>
        <w:rPr>
          <w:rFonts w:ascii="仿宋" w:eastAsia="仿宋" w:hAnsi="仿宋" w:hint="eastAsia"/>
          <w:color w:val="000000"/>
          <w:sz w:val="24"/>
          <w:szCs w:val="28"/>
        </w:rPr>
        <w:t>，以琼中黎族苗族自治县“多规合一”成果为依据，按照县委、县政府的相关批示，</w:t>
      </w:r>
      <w:r>
        <w:rPr>
          <w:rFonts w:ascii="仿宋" w:eastAsia="仿宋" w:hAnsi="仿宋" w:hint="eastAsia"/>
          <w:color w:val="000000"/>
          <w:sz w:val="24"/>
          <w:szCs w:val="28"/>
        </w:rPr>
        <w:t>我镇启动</w:t>
      </w:r>
      <w:r>
        <w:rPr>
          <w:rFonts w:ascii="仿宋" w:eastAsia="仿宋" w:hAnsi="仿宋"/>
          <w:color w:val="000000"/>
          <w:sz w:val="24"/>
          <w:szCs w:val="28"/>
        </w:rPr>
        <w:t>8</w:t>
      </w:r>
      <w:r>
        <w:rPr>
          <w:rFonts w:ascii="仿宋" w:eastAsia="仿宋" w:hAnsi="仿宋" w:hint="eastAsia"/>
          <w:color w:val="000000"/>
          <w:sz w:val="24"/>
          <w:szCs w:val="28"/>
        </w:rPr>
        <w:t>个行政村的村庄规划编制工作。</w:t>
      </w:r>
    </w:p>
    <w:p w:rsidR="00F80474" w:rsidRDefault="00766E25">
      <w:pPr>
        <w:pStyle w:val="1"/>
        <w:spacing w:before="0" w:after="0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三、工作</w:t>
      </w:r>
      <w:r>
        <w:rPr>
          <w:rFonts w:ascii="仿宋" w:eastAsia="仿宋" w:hAnsi="仿宋" w:hint="eastAsia"/>
          <w:color w:val="000000"/>
          <w:sz w:val="28"/>
          <w:szCs w:val="28"/>
        </w:rPr>
        <w:t>范围</w:t>
      </w:r>
    </w:p>
    <w:p w:rsidR="00F80474" w:rsidRPr="00E7597E" w:rsidRDefault="00766E25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  <w:szCs w:val="28"/>
        </w:rPr>
      </w:pPr>
      <w:r w:rsidRPr="00E7597E">
        <w:rPr>
          <w:rFonts w:ascii="仿宋" w:eastAsia="仿宋" w:hAnsi="仿宋" w:hint="eastAsia"/>
          <w:color w:val="000000"/>
          <w:sz w:val="24"/>
          <w:szCs w:val="28"/>
        </w:rPr>
        <w:t>8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个行政村名称为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：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堑对村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长兴村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、林田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、什介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、新兴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、长沙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、加峒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、贝湾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村</w:t>
      </w:r>
      <w:r w:rsidRPr="00E7597E">
        <w:rPr>
          <w:rFonts w:ascii="仿宋" w:eastAsia="仿宋" w:hAnsi="仿宋" w:hint="eastAsia"/>
          <w:color w:val="000000"/>
          <w:sz w:val="24"/>
          <w:szCs w:val="28"/>
        </w:rPr>
        <w:t>。</w:t>
      </w:r>
    </w:p>
    <w:p w:rsidR="00F80474" w:rsidRDefault="00766E25">
      <w:pPr>
        <w:pStyle w:val="1"/>
        <w:spacing w:before="0" w:after="0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四、工作主要内容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本次规划成果按照编制“实用性规划”思路，成果强调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简明易懂、重点突出，便于查阅和监督。依据海南省自然资源和规划厅《海南省村庄规划编制技术导则（试行）》</w:t>
      </w:r>
      <w:r>
        <w:rPr>
          <w:rFonts w:ascii="仿宋" w:eastAsia="仿宋" w:hAnsi="仿宋" w:hint="eastAsia"/>
          <w:sz w:val="24"/>
        </w:rPr>
        <w:t>2020</w:t>
      </w:r>
      <w:r>
        <w:rPr>
          <w:rFonts w:ascii="仿宋" w:eastAsia="仿宋" w:hAnsi="仿宋" w:hint="eastAsia"/>
          <w:sz w:val="24"/>
        </w:rPr>
        <w:t>年，包括村域规划、村庄建设规划、近期行动计划三部分。按《海南省村镇规划编制办法》，村庄规划包含村域和自然村规划两部分，其中村域部分进行总体功能定位，产业发展和功能布局；自然村部分就建筑、公共服务设施、市政设施等进行建设规划内容</w:t>
      </w:r>
      <w:r>
        <w:rPr>
          <w:rFonts w:ascii="仿宋" w:eastAsia="仿宋" w:hAnsi="仿宋" w:hint="eastAsia"/>
          <w:sz w:val="24"/>
        </w:rPr>
        <w:t>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、村域规划内容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包括村庄发展定位与目标、村域国土空间总体布局规划、生态保护修复、耕地和永久基本农田保护、历史文化保护及乡村特色风貌塑造、基础设施和公共服务设施布局、产业发展</w:t>
      </w:r>
      <w:r>
        <w:rPr>
          <w:rFonts w:ascii="仿宋" w:eastAsia="仿宋" w:hAnsi="仿宋" w:hint="eastAsia"/>
          <w:sz w:val="24"/>
        </w:rPr>
        <w:t>空间布局、村庄安全和防灾减灾、人居环境整治九个方面。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2 </w:t>
      </w:r>
      <w:r>
        <w:rPr>
          <w:rFonts w:ascii="仿宋" w:eastAsia="仿宋" w:hAnsi="仿宋" w:hint="eastAsia"/>
          <w:sz w:val="24"/>
        </w:rPr>
        <w:t>村庄建设规划内容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包括村庄开发边界划定、村庄建设布局规划、农房建设管理要求、村庄配套设施建设四个方面。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、近期行动计划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提出近期急需推进的全域土地综合整治、产业发展、基础设施和公共服务设施建设、人居环境整治、防灾减灾工程、历史文化保护等项目。</w:t>
      </w:r>
    </w:p>
    <w:p w:rsidR="00F80474" w:rsidRDefault="00766E25">
      <w:pPr>
        <w:pStyle w:val="1"/>
        <w:spacing w:before="0" w:after="0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五、成果形式要求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、成果形式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根据村庄分类和国土空间开发保护的实际需要，选择编制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简明性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或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综合性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规划成果。</w:t>
      </w:r>
    </w:p>
    <w:p w:rsidR="00F80474" w:rsidRDefault="00766E2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“</w:t>
      </w:r>
      <w:r>
        <w:rPr>
          <w:rFonts w:ascii="仿宋" w:eastAsia="仿宋" w:hAnsi="仿宋" w:hint="eastAsia"/>
          <w:sz w:val="24"/>
        </w:rPr>
        <w:t>简明性规划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的成果要求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鼓励采用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前图后则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（即规划图表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管制规则）的表达形式，应包括但不限于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四图、两表、一规则、一库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）四图。包括村域国土空间综合现状图、村域国土空间综合规划图、农村居民点现状分析图、农村居民点规划总平面图等。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）两表。包括规划主要控制指标表、近期实施项目计划表。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）一规则。即规划管制规则。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）一库。即数据库。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）附件。包括驻村工作日志、部门和专家意见及采纳情况、村民委员会审议意见、村民会议或村民代表会议的决议，还可包括现状调查表、规划说明、基础资料汇编等内容。</w:t>
      </w:r>
    </w:p>
    <w:p w:rsidR="00F80474" w:rsidRDefault="00766E2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“</w:t>
      </w:r>
      <w:r>
        <w:rPr>
          <w:rFonts w:ascii="仿宋" w:eastAsia="仿宋" w:hAnsi="仿宋" w:hint="eastAsia"/>
          <w:sz w:val="24"/>
        </w:rPr>
        <w:t>综合性规划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的成果要求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规划成果包括文本、图件、数据库和附件。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）文本。包括总则、规划内容和附录。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图件。主要包括：区位分析图、村域国土空间综合现状图、村域国土空间综合规划图、全域土地综合整治规划图、村域基础设施规划和公共服务设施布局规划图、村域产业发展空间布局规划图、村域防灾减灾规划图、乡村特色风貌塑造指引图、近期重点实施项目分布图、农村居民点现状分析图、农村居民点用地规划图、农村居民点规划总平面图、农村居民点配套设施建设规划图等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）数据库。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（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）附件。包括驻村工作日志、会议纪要、部门和专家意见及采纳情况、村民委员会审议意见、村民会议或村民代表会议的决议等相关材料，还可包括现状调查表、规划说明、基础资料汇编等内容。</w:t>
      </w:r>
    </w:p>
    <w:p w:rsidR="00F80474" w:rsidRDefault="00766E25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  <w:szCs w:val="30"/>
        </w:rPr>
      </w:pPr>
      <w:r>
        <w:rPr>
          <w:rFonts w:ascii="仿宋" w:eastAsia="仿宋" w:hAnsi="仿宋"/>
          <w:color w:val="000000"/>
          <w:sz w:val="24"/>
          <w:szCs w:val="30"/>
        </w:rPr>
        <w:t>2</w:t>
      </w:r>
      <w:r>
        <w:rPr>
          <w:rFonts w:ascii="仿宋" w:eastAsia="仿宋" w:hAnsi="仿宋" w:hint="eastAsia"/>
          <w:color w:val="000000"/>
          <w:sz w:val="24"/>
          <w:szCs w:val="30"/>
        </w:rPr>
        <w:t>、成果提交</w:t>
      </w:r>
    </w:p>
    <w:p w:rsidR="00F80474" w:rsidRDefault="00766E25">
      <w:pPr>
        <w:pStyle w:val="10"/>
        <w:numPr>
          <w:ilvl w:val="0"/>
          <w:numId w:val="2"/>
        </w:numPr>
        <w:tabs>
          <w:tab w:val="clear" w:pos="1800"/>
          <w:tab w:val="left" w:pos="1134"/>
        </w:tabs>
        <w:spacing w:line="460" w:lineRule="exact"/>
        <w:ind w:leftChars="0" w:left="993" w:hanging="426"/>
        <w:rPr>
          <w:rFonts w:ascii="仿宋" w:eastAsia="仿宋" w:hAnsi="仿宋"/>
          <w:color w:val="000000"/>
          <w:szCs w:val="24"/>
        </w:rPr>
      </w:pPr>
      <w:r>
        <w:rPr>
          <w:rFonts w:ascii="仿宋" w:eastAsia="仿宋" w:hAnsi="仿宋" w:hint="eastAsia"/>
          <w:color w:val="000000"/>
          <w:szCs w:val="24"/>
        </w:rPr>
        <w:t>规划文本、图纸和附件，纸质</w:t>
      </w:r>
      <w:r>
        <w:rPr>
          <w:rFonts w:ascii="仿宋" w:eastAsia="仿宋" w:hAnsi="仿宋" w:hint="eastAsia"/>
          <w:color w:val="000000"/>
          <w:szCs w:val="24"/>
        </w:rPr>
        <w:t>6</w:t>
      </w:r>
      <w:r>
        <w:rPr>
          <w:rFonts w:ascii="仿宋" w:eastAsia="仿宋" w:hAnsi="仿宋" w:hint="eastAsia"/>
          <w:color w:val="000000"/>
          <w:szCs w:val="24"/>
        </w:rPr>
        <w:t>份。</w:t>
      </w:r>
    </w:p>
    <w:p w:rsidR="00F80474" w:rsidRDefault="00766E25">
      <w:pPr>
        <w:pStyle w:val="10"/>
        <w:numPr>
          <w:ilvl w:val="0"/>
          <w:numId w:val="2"/>
        </w:numPr>
        <w:tabs>
          <w:tab w:val="clear" w:pos="1800"/>
          <w:tab w:val="left" w:pos="1134"/>
        </w:tabs>
        <w:spacing w:line="460" w:lineRule="exact"/>
        <w:ind w:leftChars="0" w:left="993" w:hanging="426"/>
        <w:rPr>
          <w:rFonts w:ascii="仿宋" w:eastAsia="仿宋" w:hAnsi="仿宋"/>
          <w:color w:val="000000"/>
          <w:szCs w:val="24"/>
        </w:rPr>
      </w:pPr>
      <w:r>
        <w:rPr>
          <w:rFonts w:ascii="仿宋" w:eastAsia="仿宋" w:hAnsi="仿宋" w:hint="eastAsia"/>
          <w:color w:val="000000"/>
          <w:szCs w:val="24"/>
        </w:rPr>
        <w:t>电子文件格式：</w:t>
      </w:r>
      <w:r>
        <w:rPr>
          <w:rFonts w:ascii="仿宋" w:eastAsia="仿宋" w:hAnsi="仿宋" w:hint="eastAsia"/>
          <w:color w:val="000000"/>
          <w:szCs w:val="24"/>
        </w:rPr>
        <w:t>GIS</w:t>
      </w:r>
      <w:r>
        <w:rPr>
          <w:rFonts w:ascii="仿宋" w:eastAsia="仿宋" w:hAnsi="仿宋" w:hint="eastAsia"/>
          <w:color w:val="000000"/>
          <w:szCs w:val="24"/>
        </w:rPr>
        <w:t>、</w:t>
      </w:r>
      <w:r>
        <w:rPr>
          <w:rFonts w:ascii="仿宋" w:eastAsia="仿宋" w:hAnsi="仿宋" w:hint="eastAsia"/>
          <w:color w:val="000000"/>
          <w:szCs w:val="24"/>
        </w:rPr>
        <w:t>CAD</w:t>
      </w:r>
      <w:r>
        <w:rPr>
          <w:rFonts w:ascii="仿宋" w:eastAsia="仿宋" w:hAnsi="仿宋" w:hint="eastAsia"/>
          <w:color w:val="000000"/>
          <w:szCs w:val="24"/>
        </w:rPr>
        <w:t>、</w:t>
      </w:r>
      <w:r>
        <w:rPr>
          <w:rFonts w:ascii="仿宋" w:eastAsia="仿宋" w:hAnsi="仿宋" w:hint="eastAsia"/>
          <w:color w:val="000000"/>
          <w:szCs w:val="24"/>
        </w:rPr>
        <w:t>JPG</w:t>
      </w:r>
      <w:r>
        <w:rPr>
          <w:rFonts w:ascii="仿宋" w:eastAsia="仿宋" w:hAnsi="仿宋" w:hint="eastAsia"/>
          <w:color w:val="000000"/>
          <w:szCs w:val="24"/>
        </w:rPr>
        <w:t>、</w:t>
      </w:r>
      <w:r>
        <w:rPr>
          <w:rFonts w:ascii="仿宋" w:eastAsia="仿宋" w:hAnsi="仿宋" w:hint="eastAsia"/>
          <w:color w:val="000000"/>
          <w:szCs w:val="24"/>
        </w:rPr>
        <w:t>PDF</w:t>
      </w:r>
      <w:r>
        <w:rPr>
          <w:rFonts w:ascii="仿宋" w:eastAsia="仿宋" w:hAnsi="仿宋" w:hint="eastAsia"/>
          <w:color w:val="000000"/>
          <w:szCs w:val="24"/>
        </w:rPr>
        <w:t>、</w:t>
      </w:r>
      <w:r>
        <w:rPr>
          <w:rFonts w:ascii="仿宋" w:eastAsia="仿宋" w:hAnsi="仿宋" w:hint="eastAsia"/>
          <w:color w:val="000000"/>
          <w:szCs w:val="24"/>
        </w:rPr>
        <w:t>DOC</w:t>
      </w:r>
      <w:r>
        <w:rPr>
          <w:rFonts w:ascii="仿宋" w:eastAsia="仿宋" w:hAnsi="仿宋" w:hint="eastAsia"/>
          <w:color w:val="000000"/>
          <w:szCs w:val="24"/>
        </w:rPr>
        <w:t>，光盘</w:t>
      </w:r>
      <w:r>
        <w:rPr>
          <w:rFonts w:ascii="仿宋" w:eastAsia="仿宋" w:hAnsi="仿宋" w:hint="eastAsia"/>
          <w:color w:val="000000"/>
          <w:szCs w:val="24"/>
        </w:rPr>
        <w:t>2</w:t>
      </w:r>
      <w:r>
        <w:rPr>
          <w:rFonts w:ascii="仿宋" w:eastAsia="仿宋" w:hAnsi="仿宋" w:hint="eastAsia"/>
          <w:color w:val="000000"/>
          <w:szCs w:val="24"/>
        </w:rPr>
        <w:t>份。</w:t>
      </w:r>
    </w:p>
    <w:p w:rsidR="00F80474" w:rsidRDefault="00766E25">
      <w:pPr>
        <w:pStyle w:val="1"/>
        <w:spacing w:before="0" w:after="0" w:line="48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六、进度安排</w:t>
      </w:r>
    </w:p>
    <w:p w:rsidR="00F80474" w:rsidRDefault="00766E2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村庄规划工作至</w:t>
      </w:r>
      <w:r>
        <w:rPr>
          <w:rFonts w:ascii="仿宋" w:eastAsia="仿宋" w:hAnsi="仿宋"/>
          <w:sz w:val="24"/>
        </w:rPr>
        <w:t>2021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日完成。</w:t>
      </w:r>
    </w:p>
    <w:p w:rsidR="00F80474" w:rsidRDefault="00766E25">
      <w:r>
        <w:br w:type="page"/>
      </w:r>
    </w:p>
    <w:sectPr w:rsidR="00F80474" w:rsidSect="00F804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25" w:rsidRDefault="00766E25" w:rsidP="00E7597E">
      <w:r>
        <w:separator/>
      </w:r>
    </w:p>
  </w:endnote>
  <w:endnote w:type="continuationSeparator" w:id="1">
    <w:p w:rsidR="00766E25" w:rsidRDefault="00766E25" w:rsidP="00E7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25" w:rsidRDefault="00766E25" w:rsidP="00E7597E">
      <w:r>
        <w:separator/>
      </w:r>
    </w:p>
  </w:footnote>
  <w:footnote w:type="continuationSeparator" w:id="1">
    <w:p w:rsidR="00766E25" w:rsidRDefault="00766E25" w:rsidP="00E75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2E2"/>
    <w:multiLevelType w:val="multilevel"/>
    <w:tmpl w:val="457E32E2"/>
    <w:lvl w:ilvl="0">
      <w:start w:val="1"/>
      <w:numFmt w:val="decimal"/>
      <w:lvlText w:val="（%1）"/>
      <w:lvlJc w:val="left"/>
      <w:pPr>
        <w:tabs>
          <w:tab w:val="left" w:pos="1800"/>
        </w:tabs>
        <w:ind w:left="1800" w:hanging="360"/>
      </w:pPr>
      <w:rPr>
        <w:rFonts w:ascii="Times New Roman" w:eastAsia="宋体" w:hint="eastAsia"/>
        <w:lang w:val="en-US"/>
      </w:rPr>
    </w:lvl>
    <w:lvl w:ilvl="1">
      <w:start w:val="10"/>
      <w:numFmt w:val="japaneseCounting"/>
      <w:lvlText w:val="第%2条"/>
      <w:lvlJc w:val="left"/>
      <w:pPr>
        <w:tabs>
          <w:tab w:val="left" w:pos="2940"/>
        </w:tabs>
        <w:ind w:left="2940" w:hanging="1080"/>
      </w:pPr>
      <w:rPr>
        <w:rFonts w:hint="default"/>
      </w:rPr>
    </w:lvl>
    <w:lvl w:ilvl="2">
      <w:start w:val="3"/>
      <w:numFmt w:val="japaneseCounting"/>
      <w:lvlText w:val="第%3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4、"/>
      <w:lvlJc w:val="left"/>
      <w:pPr>
        <w:tabs>
          <w:tab w:val="left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left" w:pos="7242"/>
        </w:tabs>
        <w:ind w:left="724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420"/>
      </w:pPr>
    </w:lvl>
    <w:lvl w:ilvl="6">
      <w:start w:val="1"/>
      <w:numFmt w:val="decimal"/>
      <w:lvlText w:val="%7."/>
      <w:lvlJc w:val="left"/>
      <w:pPr>
        <w:tabs>
          <w:tab w:val="left" w:pos="4380"/>
        </w:tabs>
        <w:ind w:left="4380" w:hanging="420"/>
      </w:pPr>
    </w:lvl>
    <w:lvl w:ilvl="7">
      <w:start w:val="1"/>
      <w:numFmt w:val="lowerLetter"/>
      <w:lvlText w:val="%8)"/>
      <w:lvlJc w:val="left"/>
      <w:pPr>
        <w:tabs>
          <w:tab w:val="left" w:pos="4800"/>
        </w:tabs>
        <w:ind w:left="4800" w:hanging="420"/>
      </w:pPr>
    </w:lvl>
    <w:lvl w:ilvl="8">
      <w:start w:val="1"/>
      <w:numFmt w:val="lowerRoman"/>
      <w:lvlText w:val="%9."/>
      <w:lvlJc w:val="right"/>
      <w:pPr>
        <w:tabs>
          <w:tab w:val="left" w:pos="5220"/>
        </w:tabs>
        <w:ind w:left="5220" w:hanging="420"/>
      </w:pPr>
    </w:lvl>
  </w:abstractNum>
  <w:abstractNum w:abstractNumId="1">
    <w:nsid w:val="57F220C3"/>
    <w:multiLevelType w:val="multilevel"/>
    <w:tmpl w:val="57F220C3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B40B5B"/>
    <w:rsid w:val="00766E25"/>
    <w:rsid w:val="00970190"/>
    <w:rsid w:val="00B40117"/>
    <w:rsid w:val="00E7597E"/>
    <w:rsid w:val="00F80474"/>
    <w:rsid w:val="077D0ED8"/>
    <w:rsid w:val="088F7B58"/>
    <w:rsid w:val="179824FC"/>
    <w:rsid w:val="19B40B5B"/>
    <w:rsid w:val="1BAA5F5E"/>
    <w:rsid w:val="311C0B89"/>
    <w:rsid w:val="34E7750B"/>
    <w:rsid w:val="3B640E41"/>
    <w:rsid w:val="40725FFA"/>
    <w:rsid w:val="4C1F6ECE"/>
    <w:rsid w:val="54AD20FF"/>
    <w:rsid w:val="69D21B92"/>
    <w:rsid w:val="6A423B9B"/>
    <w:rsid w:val="7D3E762E"/>
    <w:rsid w:val="7E22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4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F8047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0474"/>
    <w:pPr>
      <w:spacing w:after="120"/>
    </w:pPr>
  </w:style>
  <w:style w:type="paragraph" w:styleId="a4">
    <w:name w:val="Body Text First Indent"/>
    <w:basedOn w:val="a3"/>
    <w:rsid w:val="00F80474"/>
    <w:pPr>
      <w:ind w:firstLineChars="100" w:firstLine="420"/>
    </w:pPr>
  </w:style>
  <w:style w:type="paragraph" w:styleId="a5">
    <w:name w:val="List Paragraph"/>
    <w:basedOn w:val="a"/>
    <w:uiPriority w:val="34"/>
    <w:qFormat/>
    <w:rsid w:val="00F80474"/>
    <w:pPr>
      <w:ind w:firstLineChars="200" w:firstLine="420"/>
    </w:pPr>
  </w:style>
  <w:style w:type="paragraph" w:customStyle="1" w:styleId="10">
    <w:name w:val="文字1"/>
    <w:basedOn w:val="a4"/>
    <w:qFormat/>
    <w:rsid w:val="00F80474"/>
    <w:pPr>
      <w:spacing w:after="0" w:line="180" w:lineRule="auto"/>
      <w:ind w:leftChars="350" w:left="350" w:firstLineChars="0" w:firstLine="0"/>
    </w:pPr>
    <w:rPr>
      <w:rFonts w:ascii="幼圆" w:eastAsia="幼圆"/>
      <w:sz w:val="24"/>
      <w:szCs w:val="20"/>
    </w:rPr>
  </w:style>
  <w:style w:type="paragraph" w:styleId="a6">
    <w:name w:val="header"/>
    <w:basedOn w:val="a"/>
    <w:link w:val="Char"/>
    <w:rsid w:val="00E7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7597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E75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759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232</Words>
  <Characters>1323</Characters>
  <Application>Microsoft Office Word</Application>
  <DocSecurity>0</DocSecurity>
  <Lines>11</Lines>
  <Paragraphs>3</Paragraphs>
  <ScaleCrop>false</ScaleCrop>
  <Company>Micorosoft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敏敏郡主</dc:creator>
  <cp:lastModifiedBy>Windows 用户</cp:lastModifiedBy>
  <cp:revision>3</cp:revision>
  <dcterms:created xsi:type="dcterms:W3CDTF">2021-07-19T02:56:00Z</dcterms:created>
  <dcterms:modified xsi:type="dcterms:W3CDTF">2021-07-19T03:12:00Z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