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bookmarkStart w:id="0" w:name="_Toc20437"/>
      <w:bookmarkStart w:id="1" w:name="_Toc9885"/>
      <w:bookmarkStart w:id="2" w:name="_Toc25686_WPSOffice_Level1"/>
      <w:bookmarkStart w:id="3" w:name="_Toc20294"/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采购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需求</w:t>
      </w:r>
      <w:bookmarkEnd w:id="0"/>
      <w:bookmarkEnd w:id="1"/>
      <w:bookmarkEnd w:id="2"/>
      <w:bookmarkEnd w:id="3"/>
      <w:bookmarkStart w:id="4" w:name="_GoBack"/>
      <w:bookmarkEnd w:id="4"/>
    </w:p>
    <w:p>
      <w:pPr>
        <w:adjustRightInd w:val="0"/>
        <w:snapToGrid w:val="0"/>
        <w:spacing w:line="440" w:lineRule="exact"/>
        <w:outlineLvl w:val="1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GB"/>
        </w:rPr>
        <w:t>一、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采购清单表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199"/>
        <w:gridCol w:w="1480"/>
        <w:gridCol w:w="128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6" w:type="pct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78" w:type="pct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名    称</w:t>
            </w:r>
          </w:p>
        </w:tc>
        <w:tc>
          <w:tcPr>
            <w:tcW w:w="869" w:type="pct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 量</w:t>
            </w:r>
          </w:p>
        </w:tc>
        <w:tc>
          <w:tcPr>
            <w:tcW w:w="755" w:type="pct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 位</w:t>
            </w:r>
          </w:p>
        </w:tc>
        <w:tc>
          <w:tcPr>
            <w:tcW w:w="1060" w:type="pct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36" w:type="pc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全自动血液细胞分析仪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36" w:type="pc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全自动化学发光免疫分析仪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40" w:lineRule="exact"/>
        <w:outlineLvl w:val="1"/>
        <w:rPr>
          <w:rFonts w:hint="eastAsia" w:ascii="宋体" w:hAnsi="宋体" w:eastAsia="宋体" w:cs="宋体"/>
          <w:b/>
          <w:color w:val="auto"/>
          <w:sz w:val="28"/>
          <w:szCs w:val="28"/>
          <w:lang w:val="en-GB" w:eastAsia="zh-CN"/>
        </w:rPr>
      </w:pPr>
    </w:p>
    <w:p>
      <w:pPr>
        <w:adjustRightInd w:val="0"/>
        <w:snapToGrid w:val="0"/>
        <w:spacing w:line="440" w:lineRule="exact"/>
        <w:outlineLvl w:val="1"/>
        <w:rPr>
          <w:rFonts w:hint="eastAsia" w:ascii="宋体" w:hAnsi="宋体" w:eastAsia="宋体" w:cs="宋体"/>
          <w:b/>
          <w:color w:val="auto"/>
          <w:sz w:val="28"/>
          <w:szCs w:val="28"/>
          <w:lang w:val="en-GB" w:eastAsia="zh-CN"/>
        </w:rPr>
      </w:pPr>
    </w:p>
    <w:p>
      <w:pPr>
        <w:adjustRightInd w:val="0"/>
        <w:snapToGrid w:val="0"/>
        <w:spacing w:line="440" w:lineRule="exact"/>
        <w:outlineLvl w:val="1"/>
        <w:rPr>
          <w:rFonts w:hint="eastAsia" w:ascii="宋体" w:hAnsi="宋体" w:eastAsia="宋体" w:cs="宋体"/>
          <w:b/>
          <w:color w:val="auto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GB"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GB"/>
        </w:rPr>
        <w:t>技术参数和采购要求</w:t>
      </w:r>
    </w:p>
    <w:p>
      <w:pPr>
        <w:pageBreakBefore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firstLine="0" w:firstLineChars="0"/>
        <w:jc w:val="left"/>
        <w:outlineLvl w:val="1"/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</w:pPr>
    </w:p>
    <w:p>
      <w:pPr>
        <w:pageBreakBefore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firstLine="0" w:firstLine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全自动血液细胞分析仪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1、检测原理：采用激光散射法对白细胞进行准确的五分类检测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2、检测参数：≥26项可报告参数（不含散点图和直方图）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3、研究参数：≥6项，具有异常淋巴细胞、有核红细胞和原始细胞报警信息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4、样本用量：五分类+CRP模式≤40μl，CRP模式≤20μl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5、检测速度：五分类+CRP模式≥60个样本/小时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6、预稀释模式：自动定量打出稀释液，具备五分类+CRP功能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7、检测模式：具有独立CRP、五分类+CRP等3种以上全血检测模式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8、预稀释模式：自动定量打出稀释液，具备五分类+CRP功能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9、进样模式：具有独立的静脉全血、末梢全血、预稀释血检测模式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10、WBC线性范围：0~400×109/L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11、CRP线性范围：0.3~300mg/L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12、CRP携带污染：≤1.0%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13、操作系统：全中文操作分析报告软件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14、排堵方式：正反冲洗，高压灼烧</w:t>
      </w:r>
    </w:p>
    <w:p>
      <w:pPr>
        <w:spacing w:line="480" w:lineRule="auto"/>
      </w:pPr>
      <w:r>
        <w:rPr>
          <w:rFonts w:hint="eastAsia" w:ascii="宋体" w:hAnsi="宋体" w:cs="宋体"/>
          <w:bCs/>
          <w:color w:val="000000"/>
          <w:sz w:val="24"/>
          <w:szCs w:val="24"/>
        </w:rPr>
        <w:t>15、工作电压: (100V-240V～)允差±10%</w:t>
      </w:r>
    </w:p>
    <w:p>
      <w:pPr>
        <w:pageBreakBefore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firstLine="0" w:firstLine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全自动化学发光免疫分析仪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1、仪器类型：全自动随机任选管式；急诊优先检测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2、测试原理：ALP标记的辉光型化学发光，最长发光时间&gt;24H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3、分析速度：≥180T/H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4、分析方法：双抗体夹心法、间接法和竞争法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5、同时分析项目：≥23个项目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6、支持自动重测：具备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7、支持急诊插入：具备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8、支持一键启动：具备，通过运行键快速启动测试，无需再到软件上去操作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9、样 本 位：同时可放入≥50个样本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10、样本管规格：微量样本杯、原始采血管、塑料试管，规格（Φ12～16）mm  Ï（25～100）mm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11、样本针：具液面探测、随量跟踪、立体防撞、堵针检测、空吸检测功能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12、样本针清洗：瀑布式真空气吸清洗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13、样 本 量：10μl ~200μl，1μl步进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14、样本针携带率：≤0.01‰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15、试 剂 位：盘式试剂盘，共25个试剂位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16、试 剂 瓶：集成一体穿刺式，硅胶膜自封口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17、试剂在机混匀：独立混匀构造及试剂瓶混匀装置，支持磁珠试剂在机混匀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18、试剂在线更换：具备，仪器测试进行中支持试剂在线更换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19、试剂冷藏：2-8℃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20、试剂扩容技术：支持多个位置放置同一种项目试剂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21、试 剂 针：具有液面探测、随量跟踪、立体防撞、气泡检测等功能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22、反应温度：37℃±0.1℃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23、反应盘恒温：恒温槽固体直热，日常免维护保养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24、混匀方式：非接触式偏心涡旋混匀，自动转速监测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25、底物注入功能：具备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26、PMT自校准：具备，25分钟自校准一次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27、校准方式：内置主曲线，二维码识别，配套校准品校正；4PLC定量分析算法，cutoff定性分析算法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28、质控规则：Westgard多规则质控、Twin plot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29、紧急插入功能：具备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30、试剂余量检测：具备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31、新装试剂检测：具备，少于46T（50T包装）/96T（100T包装）软件提醒客户检查试剂，出现问题提醒更换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32、支持定时开机功能：具备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33、具备项目遮蔽功能：具备</w: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outlineLvl w:val="1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三、</w:t>
      </w:r>
      <w:r>
        <w:rPr>
          <w:rFonts w:hint="eastAsia" w:ascii="宋体" w:hAnsi="宋体" w:eastAsia="宋体" w:cs="宋体"/>
          <w:b/>
          <w:color w:val="auto"/>
          <w:sz w:val="24"/>
        </w:rPr>
        <w:t>验收标准和要求：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1. 交付时间：合同签订生效之日起30天内。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2. 交付地点：用户指定地点。 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3. 付款条件：双方协商。</w:t>
      </w:r>
    </w:p>
    <w:p>
      <w:r>
        <w:rPr>
          <w:rFonts w:hint="eastAsia" w:ascii="宋体" w:hAnsi="宋体" w:eastAsia="宋体" w:cs="宋体"/>
          <w:color w:val="auto"/>
          <w:sz w:val="24"/>
        </w:rPr>
        <w:t>4. 验收要求：按用户要求进行验收。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5B92"/>
    <w:rsid w:val="48F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2021-04-13T07:53:00Z</dcterms:created>
  <dc:creator>Jackson Cao</dc:creator>
  <cp:lastModifiedBy>Jackson Cao</cp:lastModifiedBy>
  <dcterms:modified xsi:type="dcterms:W3CDTF">2021-04-13T07:53:59Z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