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ascii="宋体" w:hAnsi="宋体" w:eastAsia="宋体" w:cs="宋体"/>
          <w:b/>
          <w:bCs/>
          <w:color w:val="auto"/>
          <w:sz w:val="52"/>
          <w:szCs w:val="52"/>
        </w:rPr>
      </w:pPr>
      <w:r>
        <w:rPr>
          <w:rFonts w:hint="eastAsia" w:ascii="黑体" w:hAnsi="黑体" w:eastAsia="黑体" w:cs="黑体"/>
          <w:b/>
          <w:color w:val="auto"/>
          <w:sz w:val="44"/>
          <w:szCs w:val="44"/>
          <w:lang w:val="en-US" w:eastAsia="zh-CN"/>
        </w:rPr>
        <w:t>采购</w:t>
      </w:r>
      <w:bookmarkStart w:id="0" w:name="_GoBack"/>
      <w:bookmarkEnd w:id="0"/>
      <w:r>
        <w:rPr>
          <w:rFonts w:hint="eastAsia" w:ascii="黑体" w:hAnsi="黑体" w:eastAsia="黑体" w:cs="黑体"/>
          <w:b/>
          <w:color w:val="auto"/>
          <w:sz w:val="44"/>
          <w:szCs w:val="44"/>
        </w:rPr>
        <w:t>需求</w:t>
      </w:r>
    </w:p>
    <w:p>
      <w:pPr>
        <w:adjustRightInd w:val="0"/>
        <w:spacing w:line="440" w:lineRule="exact"/>
        <w:rPr>
          <w:rFonts w:ascii="宋体" w:hAnsi="宋体" w:eastAsia="宋体" w:cs="宋体"/>
          <w:b/>
          <w:bCs/>
          <w:color w:val="auto"/>
          <w:sz w:val="24"/>
        </w:rPr>
      </w:pPr>
      <w:r>
        <w:rPr>
          <w:rFonts w:hint="eastAsia" w:ascii="宋体" w:hAnsi="宋体" w:eastAsia="宋体" w:cs="宋体"/>
          <w:b/>
          <w:bCs/>
          <w:color w:val="auto"/>
          <w:sz w:val="24"/>
        </w:rPr>
        <w:t>一、采购清单表</w:t>
      </w:r>
    </w:p>
    <w:tbl>
      <w:tblPr>
        <w:tblStyle w:val="5"/>
        <w:tblpPr w:leftFromText="180" w:rightFromText="180" w:vertAnchor="text" w:horzAnchor="page" w:tblpX="1505" w:tblpY="32"/>
        <w:tblOverlap w:val="never"/>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4996"/>
        <w:gridCol w:w="1061"/>
        <w:gridCol w:w="1050"/>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969" w:type="dxa"/>
            <w:shd w:val="clear" w:color="auto" w:fill="BEBEBE" w:themeFill="background1" w:themeFillShade="BF"/>
            <w:noWrap w:val="0"/>
            <w:vAlign w:val="center"/>
          </w:tcPr>
          <w:p>
            <w:pPr>
              <w:spacing w:line="320" w:lineRule="exact"/>
              <w:jc w:val="center"/>
              <w:rPr>
                <w:rFonts w:hint="eastAsia" w:ascii="宋体" w:hAnsi="宋体" w:cs="宋体"/>
                <w:b/>
                <w:bCs/>
                <w:color w:val="auto"/>
                <w:sz w:val="24"/>
              </w:rPr>
            </w:pPr>
            <w:r>
              <w:rPr>
                <w:rFonts w:hint="eastAsia" w:ascii="宋体" w:hAnsi="宋体" w:cs="宋体"/>
                <w:b/>
                <w:bCs/>
                <w:color w:val="auto"/>
                <w:sz w:val="24"/>
              </w:rPr>
              <w:t>序号</w:t>
            </w:r>
          </w:p>
        </w:tc>
        <w:tc>
          <w:tcPr>
            <w:tcW w:w="4996" w:type="dxa"/>
            <w:shd w:val="clear" w:color="auto" w:fill="BEBEBE" w:themeFill="background1" w:themeFillShade="BF"/>
            <w:noWrap w:val="0"/>
            <w:vAlign w:val="center"/>
          </w:tcPr>
          <w:p>
            <w:pPr>
              <w:spacing w:line="320" w:lineRule="exact"/>
              <w:jc w:val="center"/>
              <w:rPr>
                <w:rFonts w:hint="eastAsia" w:ascii="宋体" w:hAnsi="宋体" w:cs="宋体"/>
                <w:b/>
                <w:bCs/>
                <w:color w:val="auto"/>
                <w:sz w:val="24"/>
              </w:rPr>
            </w:pPr>
            <w:r>
              <w:rPr>
                <w:rFonts w:hint="eastAsia" w:ascii="宋体" w:hAnsi="宋体" w:cs="宋体"/>
                <w:b/>
                <w:bCs/>
                <w:color w:val="auto"/>
                <w:sz w:val="24"/>
              </w:rPr>
              <w:t>名</w:t>
            </w:r>
            <w:r>
              <w:rPr>
                <w:rFonts w:hint="eastAsia" w:ascii="宋体" w:hAnsi="宋体" w:cs="宋体"/>
                <w:b/>
                <w:bCs/>
                <w:color w:val="auto"/>
                <w:sz w:val="24"/>
                <w:lang w:val="en-US" w:eastAsia="zh-CN"/>
              </w:rPr>
              <w:t xml:space="preserve"> </w:t>
            </w:r>
            <w:r>
              <w:rPr>
                <w:rFonts w:hint="eastAsia" w:ascii="宋体" w:hAnsi="宋体" w:cs="宋体"/>
                <w:b/>
                <w:bCs/>
                <w:color w:val="auto"/>
                <w:sz w:val="24"/>
              </w:rPr>
              <w:t>称</w:t>
            </w:r>
          </w:p>
        </w:tc>
        <w:tc>
          <w:tcPr>
            <w:tcW w:w="1061" w:type="dxa"/>
            <w:shd w:val="clear" w:color="auto" w:fill="BEBEBE" w:themeFill="background1" w:themeFillShade="BF"/>
            <w:noWrap w:val="0"/>
            <w:vAlign w:val="center"/>
          </w:tcPr>
          <w:p>
            <w:pPr>
              <w:spacing w:line="320" w:lineRule="exact"/>
              <w:jc w:val="center"/>
              <w:rPr>
                <w:rFonts w:hint="eastAsia" w:ascii="宋体" w:hAnsi="宋体" w:cs="宋体"/>
                <w:b/>
                <w:bCs/>
                <w:color w:val="auto"/>
                <w:sz w:val="24"/>
              </w:rPr>
            </w:pPr>
            <w:r>
              <w:rPr>
                <w:rFonts w:hint="eastAsia" w:ascii="宋体" w:hAnsi="宋体" w:cs="宋体"/>
                <w:b/>
                <w:bCs/>
                <w:color w:val="auto"/>
                <w:sz w:val="24"/>
                <w:lang w:eastAsia="zh-CN"/>
              </w:rPr>
              <w:t>数量</w:t>
            </w:r>
          </w:p>
        </w:tc>
        <w:tc>
          <w:tcPr>
            <w:tcW w:w="1050" w:type="dxa"/>
            <w:shd w:val="clear" w:color="auto" w:fill="BEBEBE" w:themeFill="background1" w:themeFillShade="BF"/>
            <w:noWrap w:val="0"/>
            <w:vAlign w:val="center"/>
          </w:tcPr>
          <w:p>
            <w:pPr>
              <w:spacing w:line="320" w:lineRule="exact"/>
              <w:jc w:val="center"/>
              <w:rPr>
                <w:rFonts w:hint="eastAsia" w:ascii="宋体" w:hAnsi="宋体" w:cs="宋体"/>
                <w:b/>
                <w:bCs/>
                <w:color w:val="auto"/>
                <w:sz w:val="24"/>
              </w:rPr>
            </w:pPr>
            <w:r>
              <w:rPr>
                <w:rFonts w:hint="eastAsia" w:ascii="宋体" w:hAnsi="宋体" w:cs="宋体"/>
                <w:b/>
                <w:bCs/>
                <w:color w:val="auto"/>
                <w:sz w:val="24"/>
                <w:lang w:eastAsia="zh-CN"/>
              </w:rPr>
              <w:t>单位</w:t>
            </w:r>
          </w:p>
        </w:tc>
        <w:tc>
          <w:tcPr>
            <w:tcW w:w="1027" w:type="dxa"/>
            <w:shd w:val="clear" w:color="auto" w:fill="BEBEBE" w:themeFill="background1" w:themeFillShade="BF"/>
            <w:noWrap w:val="0"/>
            <w:vAlign w:val="center"/>
          </w:tcPr>
          <w:p>
            <w:pPr>
              <w:spacing w:line="320" w:lineRule="exact"/>
              <w:jc w:val="center"/>
              <w:rPr>
                <w:rFonts w:hint="eastAsia" w:ascii="宋体" w:hAnsi="宋体" w:cs="宋体"/>
                <w:b/>
                <w:bCs/>
                <w:color w:val="auto"/>
                <w:sz w:val="24"/>
              </w:rPr>
            </w:pPr>
            <w:r>
              <w:rPr>
                <w:rFonts w:hint="eastAsia" w:ascii="宋体" w:hAnsi="宋体" w:cs="宋体"/>
                <w:b/>
                <w:bCs/>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69"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1</w:t>
            </w:r>
          </w:p>
        </w:tc>
        <w:tc>
          <w:tcPr>
            <w:tcW w:w="4996" w:type="dxa"/>
            <w:noWrap w:val="0"/>
            <w:vAlign w:val="center"/>
          </w:tcPr>
          <w:p>
            <w:pPr>
              <w:spacing w:line="440" w:lineRule="exact"/>
              <w:jc w:val="center"/>
              <w:rPr>
                <w:rFonts w:hint="eastAsia" w:ascii="宋体" w:hAnsi="宋体" w:cs="Tahoma"/>
                <w:color w:val="auto"/>
                <w:kern w:val="2"/>
                <w:sz w:val="24"/>
                <w:szCs w:val="24"/>
                <w:lang w:val="en-US" w:eastAsia="zh-CN" w:bidi="ar-SA"/>
              </w:rPr>
            </w:pPr>
            <w:r>
              <w:rPr>
                <w:rFonts w:hint="eastAsia" w:ascii="宋体" w:hAnsi="宋体" w:cs="Tahoma"/>
                <w:color w:val="auto"/>
                <w:kern w:val="2"/>
                <w:sz w:val="24"/>
                <w:szCs w:val="24"/>
                <w:lang w:val="en-US" w:eastAsia="zh-CN" w:bidi="ar-SA"/>
              </w:rPr>
              <w:t xml:space="preserve"> 全自动生物质谱检测系统</w:t>
            </w:r>
          </w:p>
        </w:tc>
        <w:tc>
          <w:tcPr>
            <w:tcW w:w="1061" w:type="dxa"/>
            <w:noWrap w:val="0"/>
            <w:vAlign w:val="center"/>
          </w:tcPr>
          <w:p>
            <w:pPr>
              <w:spacing w:line="32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1050" w:type="dxa"/>
            <w:noWrap w:val="0"/>
            <w:vAlign w:val="center"/>
          </w:tcPr>
          <w:p>
            <w:pPr>
              <w:spacing w:line="44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套</w:t>
            </w:r>
          </w:p>
        </w:tc>
        <w:tc>
          <w:tcPr>
            <w:tcW w:w="1027" w:type="dxa"/>
            <w:noWrap w:val="0"/>
            <w:vAlign w:val="center"/>
          </w:tcPr>
          <w:p>
            <w:pPr>
              <w:spacing w:line="440" w:lineRule="exact"/>
              <w:jc w:val="left"/>
              <w:rPr>
                <w:rFonts w:hint="eastAsia" w:ascii="宋体" w:hAnsi="宋体"/>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二、</w:t>
      </w:r>
      <w:r>
        <w:rPr>
          <w:rFonts w:hint="eastAsia" w:ascii="宋体" w:hAnsi="宋体" w:eastAsia="宋体" w:cs="宋体"/>
          <w:b/>
          <w:bCs/>
          <w:color w:val="auto"/>
          <w:sz w:val="24"/>
        </w:rPr>
        <w:t>技术参数和采购要求</w:t>
      </w:r>
      <w:r>
        <w:rPr>
          <w:rFonts w:hint="eastAsia" w:ascii="宋体" w:hAnsi="宋体" w:eastAsia="宋体" w:cs="宋体"/>
          <w:b w:val="0"/>
          <w:bCs w:val="0"/>
          <w:color w:val="auto"/>
          <w:sz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1、原理：利用基质辅助激光解析电离飞行时间质谱技术对微生物进行快速鉴定分析；</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eastAsia="宋体" w:cs="宋体"/>
          <w:b w:val="0"/>
          <w:bCs w:val="0"/>
          <w:color w:val="auto"/>
          <w:sz w:val="24"/>
          <w:lang w:eastAsia="zh-CN"/>
        </w:rPr>
      </w:pPr>
      <w:r>
        <w:rPr>
          <w:rFonts w:hint="eastAsia" w:ascii="仿宋" w:hAnsi="仿宋" w:eastAsia="仿宋" w:cs="仿宋"/>
          <w:color w:val="auto"/>
          <w:kern w:val="0"/>
          <w:sz w:val="28"/>
          <w:szCs w:val="28"/>
          <w:lang w:bidi="ar"/>
        </w:rPr>
        <w:t>▲</w:t>
      </w:r>
      <w:r>
        <w:rPr>
          <w:rFonts w:hint="eastAsia" w:ascii="宋体" w:hAnsi="宋体" w:eastAsia="宋体" w:cs="宋体"/>
          <w:b w:val="0"/>
          <w:bCs w:val="0"/>
          <w:color w:val="auto"/>
          <w:sz w:val="24"/>
          <w:lang w:eastAsia="zh-CN"/>
        </w:rPr>
        <w:t xml:space="preserve">2、激光器：337 nm 氮气激光器，激光频率在 1～60HZ 范围内任意连续可调，可以通过软件调节激光功率，适用于不同的 MALDI 样品制备方法，激光发射次数≥6×107；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3、采用脉冲离子提取技术，具有真空管路系统，离子源无需清洗；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4、检测器：具有高灵敏度和高分辨率的检测性能，能有效提高离子信号强度，捕捉更多小信号的离子，使质谱峰信息更完整； </w:t>
      </w:r>
    </w:p>
    <w:p>
      <w:pPr>
        <w:keepNext w:val="0"/>
        <w:keepLines w:val="0"/>
        <w:pageBreakBefore w:val="0"/>
        <w:widowControl w:val="0"/>
        <w:kinsoku/>
        <w:wordWrap/>
        <w:overflowPunct/>
        <w:topLinePunct w:val="0"/>
        <w:autoSpaceDE/>
        <w:autoSpaceDN/>
        <w:bidi w:val="0"/>
        <w:adjustRightInd/>
        <w:snapToGrid/>
        <w:spacing w:line="600" w:lineRule="exact"/>
        <w:ind w:firstLine="281" w:firstLineChars="100"/>
        <w:textAlignment w:val="auto"/>
        <w:rPr>
          <w:rFonts w:hint="eastAsia" w:ascii="宋体" w:hAnsi="宋体" w:eastAsia="宋体" w:cs="宋体"/>
          <w:b w:val="0"/>
          <w:bCs w:val="0"/>
          <w:color w:val="auto"/>
          <w:sz w:val="24"/>
          <w:lang w:eastAsia="zh-CN"/>
        </w:rPr>
      </w:pPr>
      <w:r>
        <w:rPr>
          <w:rFonts w:hint="eastAsia" w:ascii="仿宋" w:hAnsi="仿宋" w:eastAsia="仿宋" w:cs="仿宋"/>
          <w:b/>
          <w:color w:val="auto"/>
          <w:kern w:val="0"/>
          <w:sz w:val="28"/>
          <w:szCs w:val="28"/>
          <w:lang w:bidi="ar"/>
        </w:rPr>
        <w:t>※</w:t>
      </w:r>
      <w:r>
        <w:rPr>
          <w:rFonts w:hint="eastAsia" w:ascii="宋体" w:hAnsi="宋体" w:eastAsia="宋体" w:cs="宋体"/>
          <w:b w:val="0"/>
          <w:bCs w:val="0"/>
          <w:color w:val="auto"/>
          <w:sz w:val="24"/>
          <w:lang w:eastAsia="zh-CN"/>
        </w:rPr>
        <w:t>5、双通道同步数据采集，采样率可达到每通道 1.5GS/s，最高可达 3GS/s；</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eastAsia="宋体" w:cs="宋体"/>
          <w:b w:val="0"/>
          <w:bCs w:val="0"/>
          <w:color w:val="auto"/>
          <w:sz w:val="24"/>
          <w:lang w:eastAsia="zh-CN"/>
        </w:rPr>
      </w:pPr>
      <w:r>
        <w:rPr>
          <w:rFonts w:hint="eastAsia" w:ascii="仿宋" w:hAnsi="仿宋" w:eastAsia="仿宋" w:cs="仿宋"/>
          <w:color w:val="auto"/>
          <w:kern w:val="0"/>
          <w:sz w:val="28"/>
          <w:szCs w:val="28"/>
          <w:lang w:bidi="ar"/>
        </w:rPr>
        <w:t>▲</w:t>
      </w:r>
      <w:r>
        <w:rPr>
          <w:rFonts w:hint="eastAsia" w:ascii="宋体" w:hAnsi="宋体" w:eastAsia="宋体" w:cs="宋体"/>
          <w:b w:val="0"/>
          <w:bCs w:val="0"/>
          <w:color w:val="auto"/>
          <w:sz w:val="24"/>
          <w:lang w:eastAsia="zh-CN"/>
        </w:rPr>
        <w:t xml:space="preserve">6、采用无网直线形飞行管，飞行时间管长度＜1m，所有泵组均内置无外接的前级泵；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7、质量范围：1～500kDa，在微生物鉴定质量分析范围内（2000～20000Da）；</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8、质量分辨率：＞3500FWHM；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9、灵敏度：≤50fmol，信噪比≥ 500:1；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10、质量准确性：≤100ppm（外校准），≤30ppm（内校准）；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11、质量稳定性：≤500ppm；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12、检测速度：96 个样品检测时间小于 20min，单个样品检测不超过 12 秒，一键即可轻松完成样品谱图采集、检索和鉴定工作；</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13、真空状态是由一台超高速分子泵（最大抽速可达 320L/s）实现，真空度最高可达10-8mbar，检测过程中重新进样后 1.5 分钟内真空度可优于 10-6mbar，随到随检，进靶即可采样； </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eastAsia="宋体" w:cs="宋体"/>
          <w:b w:val="0"/>
          <w:bCs w:val="0"/>
          <w:color w:val="auto"/>
          <w:sz w:val="24"/>
          <w:lang w:eastAsia="zh-CN"/>
        </w:rPr>
      </w:pPr>
      <w:r>
        <w:rPr>
          <w:rFonts w:hint="eastAsia" w:ascii="仿宋" w:hAnsi="仿宋" w:eastAsia="仿宋" w:cs="仿宋"/>
          <w:color w:val="auto"/>
          <w:kern w:val="0"/>
          <w:sz w:val="28"/>
          <w:szCs w:val="28"/>
          <w:lang w:bidi="ar"/>
        </w:rPr>
        <w:t>▲</w:t>
      </w:r>
      <w:r>
        <w:rPr>
          <w:rFonts w:hint="eastAsia" w:ascii="宋体" w:hAnsi="宋体" w:eastAsia="宋体" w:cs="宋体"/>
          <w:b w:val="0"/>
          <w:bCs w:val="0"/>
          <w:color w:val="auto"/>
          <w:sz w:val="24"/>
          <w:lang w:eastAsia="zh-CN"/>
        </w:rPr>
        <w:t xml:space="preserve">14、数据库：符合中国国情的本地微生物数据库，可鉴定微生物≥400 个属、≥3100 种，涵盖革兰阳性菌、革兰阴性菌、酵母菌、丝状真菌、分枝杆菌、芽孢杆菌、厌氧菌等微生物，可应用于疾控、临床、环境、食品药品、工业、植物检验、生物反恐等各个领域，并支持用户进行自建库；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15、利用人工智能模糊逻辑算法，结合多级和多层检索算法，不仅能提供检索计分及样品纯度，同时能给出混合菌的相对含量；</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16、软件具备仪器控制、数据采集、数据处理及微生物鉴定分析的全套功能，所有鉴定能给予高分值结果或者多个分值的结果报告，并以不同分值显示鉴定结果的可信度； </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eastAsia="宋体" w:cs="宋体"/>
          <w:b w:val="0"/>
          <w:bCs w:val="0"/>
          <w:color w:val="auto"/>
          <w:sz w:val="24"/>
          <w:lang w:eastAsia="zh-CN"/>
        </w:rPr>
      </w:pPr>
      <w:r>
        <w:rPr>
          <w:rFonts w:hint="eastAsia" w:ascii="仿宋" w:hAnsi="仿宋" w:eastAsia="仿宋" w:cs="仿宋"/>
          <w:color w:val="auto"/>
          <w:kern w:val="0"/>
          <w:sz w:val="28"/>
          <w:szCs w:val="28"/>
          <w:lang w:bidi="ar"/>
        </w:rPr>
        <w:t>▲</w:t>
      </w:r>
      <w:r>
        <w:rPr>
          <w:rFonts w:hint="eastAsia" w:ascii="宋体" w:hAnsi="宋体" w:eastAsia="宋体" w:cs="宋体"/>
          <w:b w:val="0"/>
          <w:bCs w:val="0"/>
          <w:color w:val="auto"/>
          <w:sz w:val="24"/>
          <w:lang w:eastAsia="zh-CN"/>
        </w:rPr>
        <w:t>17、采谱和分析鉴定软件一体化：中文操作界面，不仅能提供样本完整的质谱峰信息及实时鉴定结果，同时能实时监测仪器状态，生成系统日志并显示真空、高压、激光、进出仓、开关机等仪器状态或进度；</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18、软件具备数据处理与统计、聚类分析和 PCA 分析等高级图谱分析功能，可以直接生成微生物菌株的遗传聚类图，从而确认微生物亲缘关系，并能有效追踪菌株污染的来源；</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19、软件可输出多种格式的报告单，并支持用户设置个性化报告单格式； </w:t>
      </w:r>
    </w:p>
    <w:p>
      <w:pPr>
        <w:keepNext w:val="0"/>
        <w:keepLines w:val="0"/>
        <w:pageBreakBefore w:val="0"/>
        <w:widowControl w:val="0"/>
        <w:kinsoku/>
        <w:wordWrap/>
        <w:overflowPunct/>
        <w:topLinePunct w:val="0"/>
        <w:autoSpaceDE/>
        <w:autoSpaceDN/>
        <w:bidi w:val="0"/>
        <w:adjustRightInd/>
        <w:snapToGrid/>
        <w:spacing w:line="600" w:lineRule="exact"/>
        <w:ind w:firstLine="281" w:firstLineChars="100"/>
        <w:textAlignment w:val="auto"/>
        <w:rPr>
          <w:rFonts w:hint="eastAsia" w:ascii="宋体" w:hAnsi="宋体" w:eastAsia="宋体" w:cs="宋体"/>
          <w:b w:val="0"/>
          <w:bCs w:val="0"/>
          <w:color w:val="auto"/>
          <w:sz w:val="24"/>
          <w:lang w:eastAsia="zh-CN"/>
        </w:rPr>
      </w:pPr>
      <w:r>
        <w:rPr>
          <w:rFonts w:hint="eastAsia" w:ascii="仿宋" w:hAnsi="仿宋" w:eastAsia="仿宋" w:cs="仿宋"/>
          <w:b/>
          <w:color w:val="auto"/>
          <w:kern w:val="0"/>
          <w:sz w:val="28"/>
          <w:szCs w:val="28"/>
          <w:lang w:bidi="ar"/>
        </w:rPr>
        <w:t>※</w:t>
      </w:r>
      <w:r>
        <w:rPr>
          <w:rFonts w:hint="eastAsia" w:ascii="宋体" w:hAnsi="宋体" w:eastAsia="宋体" w:cs="宋体"/>
          <w:b w:val="0"/>
          <w:bCs w:val="0"/>
          <w:color w:val="auto"/>
          <w:sz w:val="24"/>
          <w:lang w:eastAsia="zh-CN"/>
        </w:rPr>
        <w:t>20.仪器可智能识别样品结晶状态，自动选择最佳位点轰击，每个样品的轰击次数≤300次；</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21、仪器可与 LIS/HIS 无缝连接，实现微生物实验室检验样本全流程可追溯式管理功能； </w:t>
      </w:r>
    </w:p>
    <w:p>
      <w:pPr>
        <w:keepNext w:val="0"/>
        <w:keepLines w:val="0"/>
        <w:pageBreakBefore w:val="0"/>
        <w:widowControl w:val="0"/>
        <w:kinsoku/>
        <w:wordWrap/>
        <w:overflowPunct/>
        <w:topLinePunct w:val="0"/>
        <w:autoSpaceDE/>
        <w:autoSpaceDN/>
        <w:bidi w:val="0"/>
        <w:adjustRightInd/>
        <w:snapToGrid/>
        <w:spacing w:line="600" w:lineRule="exact"/>
        <w:ind w:firstLine="281" w:firstLineChars="100"/>
        <w:textAlignment w:val="auto"/>
        <w:rPr>
          <w:rFonts w:hint="eastAsia" w:ascii="宋体" w:hAnsi="宋体" w:eastAsia="宋体" w:cs="宋体"/>
          <w:b w:val="0"/>
          <w:bCs w:val="0"/>
          <w:color w:val="auto"/>
          <w:sz w:val="24"/>
          <w:lang w:eastAsia="zh-CN"/>
        </w:rPr>
      </w:pPr>
      <w:r>
        <w:rPr>
          <w:rFonts w:hint="eastAsia" w:ascii="仿宋" w:hAnsi="仿宋" w:eastAsia="仿宋" w:cs="仿宋"/>
          <w:b/>
          <w:color w:val="auto"/>
          <w:kern w:val="0"/>
          <w:sz w:val="28"/>
          <w:szCs w:val="28"/>
          <w:lang w:bidi="ar"/>
        </w:rPr>
        <w:t>※</w:t>
      </w:r>
      <w:r>
        <w:rPr>
          <w:rFonts w:hint="eastAsia" w:ascii="宋体" w:hAnsi="宋体" w:eastAsia="宋体" w:cs="宋体"/>
          <w:b w:val="0"/>
          <w:bCs w:val="0"/>
          <w:color w:val="auto"/>
          <w:sz w:val="24"/>
          <w:lang w:eastAsia="zh-CN"/>
        </w:rPr>
        <w:t>22、仪器可与微生物涂片系统、鉴定药敏系统、血培养系统等微生物检验设备联接，实现数据交互和智能管理；</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eastAsia="宋体" w:cs="宋体"/>
          <w:b w:val="0"/>
          <w:bCs w:val="0"/>
          <w:color w:val="auto"/>
          <w:sz w:val="24"/>
          <w:lang w:eastAsia="zh-CN"/>
        </w:rPr>
      </w:pPr>
      <w:r>
        <w:rPr>
          <w:rFonts w:hint="eastAsia" w:ascii="仿宋" w:hAnsi="仿宋" w:eastAsia="仿宋" w:cs="仿宋"/>
          <w:color w:val="auto"/>
          <w:kern w:val="0"/>
          <w:sz w:val="28"/>
          <w:szCs w:val="28"/>
          <w:lang w:bidi="ar"/>
        </w:rPr>
        <w:t>▲</w:t>
      </w:r>
      <w:r>
        <w:rPr>
          <w:rFonts w:hint="eastAsia" w:ascii="宋体" w:hAnsi="宋体" w:eastAsia="宋体" w:cs="宋体"/>
          <w:b w:val="0"/>
          <w:bCs w:val="0"/>
          <w:color w:val="auto"/>
          <w:sz w:val="24"/>
          <w:lang w:eastAsia="zh-CN"/>
        </w:rPr>
        <w:t xml:space="preserve">23、可提供带有质控点的 96 孔分体式样品靶片和配套靶托，可重复使用；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24、微生物鉴定专用基质：冻干型试剂，长时间保存不易失效；</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25、具备相关生产许可证。 </w:t>
      </w:r>
    </w:p>
    <w:p>
      <w:pPr>
        <w:keepNext w:val="0"/>
        <w:keepLines w:val="0"/>
        <w:pageBreakBefore w:val="0"/>
        <w:widowControl w:val="0"/>
        <w:kinsoku/>
        <w:wordWrap/>
        <w:overflowPunct/>
        <w:topLinePunct w:val="0"/>
        <w:autoSpaceDE/>
        <w:autoSpaceDN/>
        <w:bidi w:val="0"/>
        <w:adjustRightInd/>
        <w:snapToGrid/>
        <w:spacing w:line="600" w:lineRule="exact"/>
        <w:ind w:firstLine="241"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val="en-US" w:eastAsia="zh-CN"/>
        </w:rPr>
        <w:t>26.</w:t>
      </w:r>
      <w:r>
        <w:rPr>
          <w:rFonts w:hint="eastAsia" w:ascii="宋体" w:hAnsi="宋体" w:eastAsia="宋体" w:cs="宋体"/>
          <w:b/>
          <w:bCs/>
          <w:color w:val="auto"/>
          <w:sz w:val="24"/>
          <w:lang w:eastAsia="zh-CN"/>
        </w:rPr>
        <w:t>配置清单：</w:t>
      </w:r>
      <w:r>
        <w:rPr>
          <w:rFonts w:hint="eastAsia" w:ascii="宋体" w:hAnsi="宋体" w:eastAsia="宋体" w:cs="宋体"/>
          <w:b w:val="0"/>
          <w:bCs w:val="0"/>
          <w:color w:val="auto"/>
          <w:sz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26.</w:t>
      </w:r>
      <w:r>
        <w:rPr>
          <w:rFonts w:hint="eastAsia" w:ascii="宋体" w:hAnsi="宋体" w:eastAsia="宋体" w:cs="宋体"/>
          <w:b w:val="0"/>
          <w:bCs w:val="0"/>
          <w:color w:val="auto"/>
          <w:sz w:val="24"/>
          <w:lang w:eastAsia="zh-CN"/>
        </w:rPr>
        <w:t>1</w:t>
      </w:r>
      <w:r>
        <w:rPr>
          <w:rFonts w:hint="eastAsia" w:ascii="宋体" w:hAnsi="宋体" w:eastAsia="宋体" w:cs="宋体"/>
          <w:b w:val="0"/>
          <w:bCs w:val="0"/>
          <w:color w:val="auto"/>
          <w:sz w:val="24"/>
          <w:lang w:val="en-US" w:eastAsia="zh-CN"/>
        </w:rPr>
        <w:t>、</w:t>
      </w:r>
      <w:r>
        <w:rPr>
          <w:rFonts w:hint="eastAsia" w:ascii="宋体" w:hAnsi="宋体" w:eastAsia="宋体" w:cs="宋体"/>
          <w:b w:val="0"/>
          <w:bCs w:val="0"/>
          <w:color w:val="auto"/>
          <w:sz w:val="24"/>
          <w:lang w:eastAsia="zh-CN"/>
        </w:rPr>
        <w:t>基质辅助激光解析电离飞行时间质谱仪器 1 套；</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26.</w:t>
      </w:r>
      <w:r>
        <w:rPr>
          <w:rFonts w:hint="eastAsia" w:ascii="宋体" w:hAnsi="宋体" w:eastAsia="宋体" w:cs="宋体"/>
          <w:b w:val="0"/>
          <w:bCs w:val="0"/>
          <w:color w:val="auto"/>
          <w:sz w:val="24"/>
          <w:lang w:eastAsia="zh-CN"/>
        </w:rPr>
        <w:t xml:space="preserve">2、计算机工作站 1 套（主机：win7 系统，CPU：i5 或以上，内存：不少于 8GB；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 xml:space="preserve">硬盘：不少于 1TB；显示器：屏幕尺寸≥23 寸、分辨率不低于 1920*1080）；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26.</w:t>
      </w:r>
      <w:r>
        <w:rPr>
          <w:rFonts w:hint="eastAsia" w:ascii="宋体" w:hAnsi="宋体" w:eastAsia="宋体" w:cs="宋体"/>
          <w:b w:val="0"/>
          <w:bCs w:val="0"/>
          <w:color w:val="auto"/>
          <w:sz w:val="24"/>
          <w:lang w:eastAsia="zh-CN"/>
        </w:rPr>
        <w:t xml:space="preserve">3、微生物数据库 1 套；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26.</w:t>
      </w:r>
      <w:r>
        <w:rPr>
          <w:rFonts w:hint="eastAsia" w:ascii="宋体" w:hAnsi="宋体" w:eastAsia="宋体" w:cs="宋体"/>
          <w:b w:val="0"/>
          <w:bCs w:val="0"/>
          <w:color w:val="auto"/>
          <w:sz w:val="24"/>
          <w:lang w:eastAsia="zh-CN"/>
        </w:rPr>
        <w:t xml:space="preserve">4、仪器控制分析软件 1 套；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宋体" w:hAnsi="宋体" w:eastAsia="宋体" w:cs="宋体"/>
          <w:b/>
          <w:bCs/>
          <w:color w:val="auto"/>
          <w:sz w:val="24"/>
          <w:lang w:eastAsia="zh-CN"/>
        </w:rPr>
      </w:pPr>
      <w:r>
        <w:rPr>
          <w:rFonts w:hint="eastAsia" w:ascii="宋体" w:hAnsi="宋体" w:eastAsia="宋体" w:cs="宋体"/>
          <w:b w:val="0"/>
          <w:bCs w:val="0"/>
          <w:color w:val="auto"/>
          <w:sz w:val="24"/>
          <w:lang w:val="en-US" w:eastAsia="zh-CN"/>
        </w:rPr>
        <w:t>26.</w:t>
      </w:r>
      <w:r>
        <w:rPr>
          <w:rFonts w:hint="eastAsia" w:ascii="宋体" w:hAnsi="宋体" w:eastAsia="宋体" w:cs="宋体"/>
          <w:b w:val="0"/>
          <w:bCs w:val="0"/>
          <w:color w:val="auto"/>
          <w:sz w:val="24"/>
          <w:lang w:eastAsia="zh-CN"/>
        </w:rPr>
        <w:t>5、可重复使用的靶托：1 块，靶片：2 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s="宋体"/>
          <w:color w:val="auto"/>
          <w:sz w:val="24"/>
        </w:rPr>
      </w:pPr>
      <w:r>
        <w:rPr>
          <w:rFonts w:hint="eastAsia" w:ascii="宋体" w:hAnsi="宋体" w:eastAsia="宋体" w:cs="宋体"/>
          <w:b/>
          <w:bCs/>
          <w:color w:val="auto"/>
          <w:sz w:val="24"/>
          <w:lang w:eastAsia="zh-CN"/>
        </w:rPr>
        <w:t>三</w:t>
      </w:r>
      <w:r>
        <w:rPr>
          <w:rFonts w:hint="eastAsia" w:ascii="宋体" w:hAnsi="宋体" w:eastAsia="宋体" w:cs="宋体"/>
          <w:b/>
          <w:bCs/>
          <w:color w:val="auto"/>
          <w:sz w:val="24"/>
        </w:rPr>
        <w:t>、其他要求</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lang w:eastAsia="zh-CN"/>
        </w:rPr>
        <w:t>交付时间</w:t>
      </w:r>
      <w:r>
        <w:rPr>
          <w:rFonts w:hint="eastAsia" w:ascii="宋体" w:hAnsi="宋体" w:eastAsia="宋体" w:cs="宋体"/>
          <w:color w:val="auto"/>
          <w:sz w:val="24"/>
        </w:rPr>
        <w:t>：</w:t>
      </w:r>
      <w:r>
        <w:rPr>
          <w:rFonts w:hint="eastAsia" w:ascii="宋体" w:hAnsi="宋体" w:eastAsia="宋体" w:cs="宋体"/>
          <w:color w:val="auto"/>
          <w:sz w:val="24"/>
          <w:lang w:eastAsia="zh-CN"/>
        </w:rPr>
        <w:t>自</w:t>
      </w:r>
      <w:r>
        <w:rPr>
          <w:rFonts w:hint="eastAsia" w:ascii="宋体" w:hAnsi="宋体" w:eastAsia="宋体" w:cs="宋体"/>
          <w:color w:val="auto"/>
          <w:sz w:val="24"/>
        </w:rPr>
        <w:t>合同签订之日起</w:t>
      </w:r>
      <w:r>
        <w:rPr>
          <w:rFonts w:hint="eastAsia" w:ascii="宋体" w:hAnsi="宋体" w:eastAsia="宋体" w:cs="宋体"/>
          <w:color w:val="auto"/>
          <w:sz w:val="24"/>
          <w:lang w:val="en-US" w:eastAsia="zh-CN"/>
        </w:rPr>
        <w:t>30</w:t>
      </w:r>
      <w:r>
        <w:rPr>
          <w:rFonts w:hint="eastAsia" w:ascii="宋体" w:hAnsi="宋体" w:eastAsia="宋体" w:cs="宋体"/>
          <w:color w:val="auto"/>
          <w:sz w:val="24"/>
          <w:lang w:eastAsia="zh-CN"/>
        </w:rPr>
        <w:t>天内完成</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lang w:eastAsia="zh-CN"/>
        </w:rPr>
        <w:t>交付</w:t>
      </w:r>
      <w:r>
        <w:rPr>
          <w:rFonts w:hint="eastAsia" w:ascii="宋体" w:hAnsi="宋体" w:eastAsia="宋体" w:cs="宋体"/>
          <w:color w:val="auto"/>
          <w:sz w:val="24"/>
        </w:rPr>
        <w:t xml:space="preserve">地点：用户指定地点。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ascii="宋体" w:hAnsi="宋体" w:eastAsia="宋体" w:cs="宋体"/>
          <w:color w:val="auto"/>
          <w:sz w:val="24"/>
        </w:rPr>
      </w:pPr>
      <w:r>
        <w:rPr>
          <w:rFonts w:hint="eastAsia" w:ascii="宋体" w:hAnsi="宋体" w:eastAsia="宋体" w:cs="宋体"/>
          <w:color w:val="auto"/>
          <w:sz w:val="24"/>
        </w:rPr>
        <w:t>3. 付款方式：</w:t>
      </w:r>
      <w:r>
        <w:rPr>
          <w:rFonts w:hint="eastAsia" w:ascii="宋体" w:hAnsi="宋体" w:eastAsia="宋体" w:cs="宋体"/>
          <w:color w:val="auto"/>
          <w:sz w:val="24"/>
          <w:lang w:eastAsia="zh-CN"/>
        </w:rPr>
        <w:t>双方协商</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ascii="宋体" w:hAnsi="宋体" w:eastAsia="宋体" w:cs="宋体"/>
          <w:b/>
          <w:bCs/>
          <w:color w:val="auto"/>
          <w:sz w:val="24"/>
        </w:rPr>
      </w:pPr>
      <w:r>
        <w:rPr>
          <w:rFonts w:hint="eastAsia" w:ascii="宋体" w:hAnsi="宋体" w:eastAsia="宋体" w:cs="宋体"/>
          <w:color w:val="auto"/>
          <w:sz w:val="24"/>
        </w:rPr>
        <w:t>4. 验收要求：按标书需求和用户要求进行验收。</w:t>
      </w:r>
    </w:p>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rPr>
      <w:drawing>
        <wp:inline distT="0" distB="0" distL="114300" distR="114300">
          <wp:extent cx="1555750" cy="438150"/>
          <wp:effectExtent l="0" t="0" r="6350" b="0"/>
          <wp:docPr id="1" name="图片 1" descr="logo-z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zx"/>
                  <pic:cNvPicPr>
                    <a:picLocks noChangeAspect="1"/>
                  </pic:cNvPicPr>
                </pic:nvPicPr>
                <pic:blipFill>
                  <a:blip r:embed="rId1"/>
                  <a:stretch>
                    <a:fillRect/>
                  </a:stretch>
                </pic:blipFill>
                <pic:spPr>
                  <a:xfrm>
                    <a:off x="0" y="0"/>
                    <a:ext cx="1555750" cy="438150"/>
                  </a:xfrm>
                  <a:prstGeom prst="rect">
                    <a:avLst/>
                  </a:prstGeom>
                </pic:spPr>
              </pic:pic>
            </a:graphicData>
          </a:graphic>
        </wp:inline>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F31D0"/>
    <w:rsid w:val="24AF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next w:val="1"/>
    <w:qFormat/>
    <w:uiPriority w:val="0"/>
    <w:pPr>
      <w:widowControl w:val="0"/>
      <w:jc w:val="both"/>
    </w:pPr>
    <w:rPr>
      <w:rFonts w:ascii="Arial" w:hAnsi="Arial" w:eastAsia="黑体" w:cstheme="minorBidi"/>
      <w:kern w:val="2"/>
      <w:sz w:val="20"/>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next w:val="2"/>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2021-04-13T07:33:00Z</dcterms:created>
  <dc:creator>Jackson Cao</dc:creator>
  <cp:lastModifiedBy>Jackson Cao</cp:lastModifiedBy>
  <dcterms:modified xsi:type="dcterms:W3CDTF">2021-04-13T07:33:29Z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