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hAnsi="宋体"/>
          <w:b/>
          <w:sz w:val="24"/>
          <w:szCs w:val="24"/>
        </w:rPr>
        <w:t>一、本项目概况：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hint="default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1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项目编号：ZD</w:t>
      </w:r>
      <w:r>
        <w:rPr>
          <w:rFonts w:hint="eastAsia" w:ascii="宋体" w:hAnsi="宋体" w:cs="宋体"/>
          <w:bCs/>
          <w:kern w:val="0"/>
          <w:sz w:val="24"/>
          <w:szCs w:val="22"/>
          <w:lang w:val="en-GB" w:eastAsia="zh-CN"/>
        </w:rPr>
        <w:t>20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21</w:t>
      </w:r>
      <w:r>
        <w:rPr>
          <w:rFonts w:hint="eastAsia" w:ascii="宋体" w:hAnsi="宋体" w:cs="宋体"/>
          <w:bCs/>
          <w:kern w:val="0"/>
          <w:sz w:val="24"/>
          <w:szCs w:val="22"/>
          <w:lang w:val="en-GB" w:eastAsia="zh-CN"/>
        </w:rPr>
        <w:t>-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318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2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项目名称：2021年通风系统升级改造</w:t>
      </w:r>
      <w:r>
        <w:rPr>
          <w:rFonts w:hint="eastAsia" w:ascii="宋体" w:hAnsi="宋体" w:eastAsia="宋体" w:cs="宋体"/>
          <w:sz w:val="24"/>
          <w:szCs w:val="24"/>
        </w:rPr>
        <w:t>工程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3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资金来源：政府资金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GB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4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 xml:space="preserve">控制价为：364974.20元 </w:t>
      </w:r>
    </w:p>
    <w:p>
      <w:pPr>
        <w:shd w:val="clear" w:color="auto" w:fill="FFFFFF"/>
        <w:snapToGrid w:val="0"/>
        <w:spacing w:line="360" w:lineRule="auto"/>
        <w:ind w:left="719" w:leftChars="228" w:hanging="240" w:hangingChars="1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5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工 期：45天内完成（4月22 日至6月5 日）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6、项目实施地点：海南省琼海市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7、工程质量：合格；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、付款方式：工程竣工验收合格，并经有资质的第三方结算后付工程总价的</w:t>
      </w:r>
      <w:r>
        <w:rPr>
          <w:rFonts w:hint="eastAsia"/>
          <w:sz w:val="24"/>
          <w:szCs w:val="24"/>
          <w:lang w:val="en-US" w:eastAsia="zh-CN"/>
        </w:rPr>
        <w:t>95%，</w:t>
      </w:r>
      <w:r>
        <w:rPr>
          <w:rFonts w:hint="eastAsia"/>
          <w:sz w:val="24"/>
          <w:szCs w:val="24"/>
          <w:lang w:eastAsia="zh-CN"/>
        </w:rPr>
        <w:t>余</w:t>
      </w:r>
      <w:r>
        <w:rPr>
          <w:rFonts w:hint="eastAsia"/>
          <w:sz w:val="24"/>
          <w:szCs w:val="24"/>
          <w:lang w:val="en-US" w:eastAsia="zh-CN"/>
        </w:rPr>
        <w:t>5%于该系统稳定运行两年后支付。</w:t>
      </w:r>
    </w:p>
    <w:p>
      <w:pPr>
        <w:pStyle w:val="4"/>
        <w:spacing w:before="4"/>
        <w:ind w:firstLine="480" w:firstLineChars="200"/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9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/>
        </w:rPr>
        <w:t>建设施工内容：</w:t>
      </w:r>
      <w:r>
        <w:rPr>
          <w:rFonts w:hint="eastAsia" w:ascii="宋体" w:hAnsi="宋体" w:eastAsia="宋体" w:cs="宋体"/>
          <w:bCs/>
          <w:kern w:val="0"/>
          <w:sz w:val="24"/>
          <w:szCs w:val="22"/>
          <w:lang w:val="en-US" w:eastAsia="zh-CN" w:bidi="ar-SA"/>
        </w:rPr>
        <w:t>本项目为通风工程，该实验楼共有 6 层，2~3层为本项目的设计范围。主要为在楼东侧外立面新建两条通风管道；新建两条变频通风系统；改造原有通风系统；重新匹配终端排风；新建 ICP-MS 和 ICP-OE</w:t>
      </w:r>
      <w:r>
        <w:rPr>
          <w:rFonts w:hint="eastAsia" w:ascii="宋体" w:hAnsi="宋体" w:cs="宋体"/>
          <w:bCs/>
          <w:kern w:val="0"/>
          <w:sz w:val="24"/>
          <w:szCs w:val="22"/>
          <w:lang w:val="en-US" w:eastAsia="zh-CN" w:bidi="ar-SA"/>
        </w:rPr>
        <w:t>S</w:t>
      </w:r>
      <w:r>
        <w:rPr>
          <w:rFonts w:hint="eastAsia" w:ascii="宋体" w:hAnsi="宋体" w:eastAsia="宋体" w:cs="宋体"/>
          <w:bCs/>
          <w:kern w:val="0"/>
          <w:sz w:val="24"/>
          <w:szCs w:val="22"/>
          <w:lang w:val="en-US" w:eastAsia="zh-CN" w:bidi="ar-SA"/>
        </w:rPr>
        <w:t xml:space="preserve"> 排风系统；安装有机废气吸收塔一套。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unhideWhenUsed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2021-03-23T02:59:42Z</dcterms:created>
  <dc:creator>Le</dc:creator>
  <cp:lastModifiedBy>Le</cp:lastModifiedBy>
  <dcterms:modified xsi:type="dcterms:W3CDTF">2021-03-23T03:00:07Z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F41FAC1E49FE4FA18A75B22A99DEFF3E</vt:lpwstr>
  </property>
</Properties>
</file>