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  <w:b/>
          <w:color w:val="auto"/>
          <w:sz w:val="48"/>
          <w:szCs w:val="48"/>
        </w:rPr>
      </w:pPr>
      <w:r>
        <w:rPr>
          <w:rFonts w:hint="eastAsia"/>
          <w:b/>
          <w:color w:val="auto"/>
          <w:sz w:val="48"/>
          <w:szCs w:val="48"/>
        </w:rPr>
        <w:t>第三部分   用户需求书</w:t>
      </w:r>
    </w:p>
    <w:p>
      <w:pPr>
        <w:pStyle w:val="8"/>
        <w:numPr>
          <w:ilvl w:val="0"/>
          <w:numId w:val="1"/>
        </w:numPr>
        <w:jc w:val="left"/>
        <w:rPr>
          <w:rFonts w:ascii="宋体" w:hAnsi="宋体"/>
          <w:sz w:val="24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项目名称:</w:t>
      </w:r>
    </w:p>
    <w:p>
      <w:pPr>
        <w:pStyle w:val="8"/>
        <w:numPr>
          <w:numId w:val="0"/>
        </w:numPr>
        <w:jc w:val="left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2020年万宁市中小学教师远程培训项目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二、项目内容及要求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7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目标任务</w:t>
            </w:r>
          </w:p>
        </w:tc>
        <w:tc>
          <w:tcPr>
            <w:tcW w:w="733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10"/>
                <w:sz w:val="24"/>
                <w:szCs w:val="24"/>
              </w:rPr>
              <w:t>加强万宁市中小学（幼儿园）</w:t>
            </w:r>
            <w:r>
              <w:rPr>
                <w:rFonts w:hint="eastAsia" w:ascii="宋体" w:hAnsi="宋体" w:cs="宋体"/>
                <w:sz w:val="24"/>
                <w:szCs w:val="24"/>
              </w:rPr>
              <w:t>教师的教育教学技能水平，增进教育实践能力，</w:t>
            </w:r>
            <w:r>
              <w:rPr>
                <w:rFonts w:hint="eastAsia" w:ascii="宋体" w:hAnsi="宋体" w:cs="宋体"/>
                <w:kern w:val="10"/>
                <w:sz w:val="24"/>
                <w:szCs w:val="24"/>
              </w:rPr>
              <w:t>努力造就一支政治思想过硬、教育理念先进、专业知识丰富、专业技能高超的专业化教师队伍</w:t>
            </w:r>
            <w:r>
              <w:rPr>
                <w:rFonts w:hint="eastAsia" w:ascii="宋体" w:hAnsi="宋体" w:cs="宋体"/>
                <w:kern w:val="1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培训时间</w:t>
            </w:r>
          </w:p>
        </w:tc>
        <w:tc>
          <w:tcPr>
            <w:tcW w:w="7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0年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日之前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培训对象</w:t>
            </w:r>
          </w:p>
        </w:tc>
        <w:tc>
          <w:tcPr>
            <w:tcW w:w="7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万宁市中小学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幼儿园教师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3000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培训学科</w:t>
            </w:r>
          </w:p>
        </w:tc>
        <w:tc>
          <w:tcPr>
            <w:tcW w:w="7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培训内容</w:t>
            </w:r>
          </w:p>
        </w:tc>
        <w:tc>
          <w:tcPr>
            <w:tcW w:w="7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分学科开展培训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通识培训围绕</w:t>
            </w:r>
            <w:r>
              <w:rPr>
                <w:rFonts w:hint="eastAsia"/>
                <w:snapToGrid w:val="0"/>
                <w:sz w:val="24"/>
                <w:szCs w:val="24"/>
                <w:lang w:val="zh-CN"/>
              </w:rPr>
              <w:t>师德修养、</w:t>
            </w:r>
            <w:r>
              <w:rPr>
                <w:rFonts w:hint="eastAsia"/>
                <w:snapToGrid w:val="0"/>
                <w:sz w:val="24"/>
                <w:szCs w:val="24"/>
              </w:rPr>
              <w:t>思想政治、教育政策法规、中华优秀传统文化、核心素养、信息技术应用能力、</w:t>
            </w:r>
            <w:r>
              <w:rPr>
                <w:snapToGrid w:val="0"/>
                <w:sz w:val="24"/>
                <w:szCs w:val="24"/>
              </w:rPr>
              <w:t>“</w:t>
            </w:r>
            <w:r>
              <w:rPr>
                <w:rFonts w:hint="eastAsia"/>
                <w:snapToGrid w:val="0"/>
                <w:sz w:val="24"/>
                <w:szCs w:val="24"/>
              </w:rPr>
              <w:t>三字一话</w:t>
            </w:r>
            <w:r>
              <w:rPr>
                <w:snapToGrid w:val="0"/>
                <w:sz w:val="24"/>
                <w:szCs w:val="24"/>
              </w:rPr>
              <w:t>”</w:t>
            </w:r>
            <w:r>
              <w:rPr>
                <w:rFonts w:hint="eastAsia"/>
                <w:snapToGrid w:val="0"/>
                <w:sz w:val="24"/>
                <w:szCs w:val="24"/>
              </w:rPr>
              <w:t>等内容</w:t>
            </w:r>
            <w:r>
              <w:rPr>
                <w:rFonts w:hint="eastAsia" w:ascii="宋体" w:hAnsi="宋体" w:cs="宋体"/>
                <w:sz w:val="24"/>
                <w:szCs w:val="24"/>
              </w:rPr>
              <w:t>；学科培训课程资源能够覆盖</w:t>
            </w:r>
            <w:r>
              <w:rPr>
                <w:rFonts w:hint="eastAsia"/>
                <w:snapToGrid w:val="0"/>
                <w:sz w:val="24"/>
                <w:szCs w:val="24"/>
                <w:lang w:val="zh-CN"/>
              </w:rPr>
              <w:t>各学段各学科（领域）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hint="eastAsia"/>
                <w:snapToGrid w:val="0"/>
                <w:sz w:val="24"/>
                <w:szCs w:val="24"/>
              </w:rPr>
              <w:t>以学科教学实践操作课程为主，</w:t>
            </w:r>
            <w:r>
              <w:rPr>
                <w:rFonts w:hint="eastAsia"/>
                <w:snapToGrid w:val="0"/>
                <w:sz w:val="24"/>
                <w:szCs w:val="24"/>
                <w:lang w:val="zh-CN"/>
              </w:rPr>
              <w:t>课程结构合理，</w:t>
            </w:r>
            <w:r>
              <w:rPr>
                <w:rFonts w:hint="eastAsia" w:ascii="宋体" w:hAnsi="宋体" w:cs="宋体"/>
                <w:sz w:val="24"/>
                <w:szCs w:val="24"/>
              </w:rPr>
              <w:t>选修课程数量与种类应满足不同学科教师的个性化选学需求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培训方式</w:t>
            </w:r>
            <w:r>
              <w:rPr>
                <w:rFonts w:hint="eastAsia" w:ascii="宋体" w:hAnsi="宋体"/>
                <w:b/>
                <w:kern w:val="0"/>
                <w:sz w:val="24"/>
                <w:lang w:val="en-US" w:eastAsia="zh-CN"/>
              </w:rPr>
              <w:t>及学时</w:t>
            </w:r>
          </w:p>
        </w:tc>
        <w:tc>
          <w:tcPr>
            <w:tcW w:w="7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网络研修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培训经费</w:t>
            </w:r>
          </w:p>
        </w:tc>
        <w:tc>
          <w:tcPr>
            <w:tcW w:w="7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hint="default" w:ascii="宋体" w:hAnsi="宋体"/>
                <w:b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iCs/>
                <w:sz w:val="24"/>
                <w:lang w:val="en-US" w:eastAsia="zh-CN"/>
              </w:rPr>
              <w:t>3元/人/学时×3000人×50学时=450000元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iCs/>
                <w:sz w:val="24"/>
              </w:rPr>
              <w:t>单个服务不能超出经费预算，超出视为无效投标。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hint="eastAsia" w:eastAsia="宋体"/>
          <w:b/>
          <w:bCs/>
          <w:color w:val="auto"/>
          <w:sz w:val="24"/>
          <w:lang w:val="en-US" w:eastAsia="zh-CN"/>
        </w:rPr>
        <w:t>三、其他要求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、投标人必须根据所投产品的技术参数、资质资料编写响应文件。在</w:t>
      </w:r>
      <w:r>
        <w:rPr>
          <w:rFonts w:hint="eastAsia" w:ascii="宋体" w:hAnsi="宋体" w:cs="宋体"/>
          <w:kern w:val="0"/>
          <w:sz w:val="24"/>
        </w:rPr>
        <w:t>成交结果</w:t>
      </w:r>
      <w:r>
        <w:rPr>
          <w:rFonts w:ascii="宋体" w:hAnsi="宋体" w:cs="宋体"/>
          <w:kern w:val="0"/>
          <w:sz w:val="24"/>
        </w:rPr>
        <w:t>公示期间，采购人有权对</w:t>
      </w:r>
      <w:r>
        <w:rPr>
          <w:rFonts w:hint="eastAsia" w:ascii="宋体" w:hAnsi="宋体" w:cs="宋体"/>
          <w:kern w:val="0"/>
          <w:sz w:val="24"/>
        </w:rPr>
        <w:t>成交</w:t>
      </w:r>
      <w:r>
        <w:rPr>
          <w:rFonts w:ascii="宋体" w:hAnsi="宋体" w:cs="宋体"/>
          <w:kern w:val="0"/>
          <w:sz w:val="24"/>
        </w:rPr>
        <w:t>候选人所投产品的资质证书等进行核查，如发现与其响应文件中的描述不一，代理机构将报政府采购主管部门严肃处理。</w:t>
      </w:r>
    </w:p>
    <w:p>
      <w:pPr>
        <w:widowControl/>
        <w:adjustRightInd w:val="0"/>
        <w:snapToGrid w:val="0"/>
        <w:spacing w:line="360" w:lineRule="auto"/>
      </w:pPr>
      <w:r>
        <w:rPr>
          <w:rFonts w:hint="eastAsia" w:ascii="宋体" w:hAnsi="宋体" w:cs="宋体"/>
          <w:kern w:val="0"/>
          <w:sz w:val="24"/>
        </w:rPr>
        <w:t>2、成交人要保持同采购人的密切联系，遇有重大事项及时报告和反馈信息，尊重项目业主方的意见，接受项目业主方的提议、监督和指导。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6E5DEA"/>
    <w:multiLevelType w:val="singleLevel"/>
    <w:tmpl w:val="D16E5D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0A"/>
    <w:rsid w:val="000D567B"/>
    <w:rsid w:val="004227C6"/>
    <w:rsid w:val="0055524D"/>
    <w:rsid w:val="005B26AC"/>
    <w:rsid w:val="00C34293"/>
    <w:rsid w:val="00C81812"/>
    <w:rsid w:val="00F0060A"/>
    <w:rsid w:val="1DDC67A7"/>
    <w:rsid w:val="29894B94"/>
    <w:rsid w:val="762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9"/>
    <w:pPr>
      <w:keepNext/>
      <w:keepLines/>
      <w:spacing w:before="60" w:after="60" w:line="36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3"/>
    <w:basedOn w:val="1"/>
    <w:next w:val="1"/>
    <w:link w:val="12"/>
    <w:qFormat/>
    <w:uiPriority w:val="9"/>
    <w:pPr>
      <w:keepNext/>
      <w:keepLines/>
      <w:spacing w:before="60" w:after="60" w:line="360" w:lineRule="auto"/>
      <w:jc w:val="left"/>
      <w:outlineLvl w:val="2"/>
    </w:pPr>
    <w:rPr>
      <w:rFonts w:ascii="Times New Roman" w:hAnsi="Times New Roman"/>
      <w:b/>
      <w:bCs/>
      <w:sz w:val="32"/>
      <w:szCs w:val="32"/>
    </w:rPr>
  </w:style>
  <w:style w:type="paragraph" w:styleId="5">
    <w:name w:val="heading 4"/>
    <w:basedOn w:val="1"/>
    <w:next w:val="1"/>
    <w:link w:val="13"/>
    <w:qFormat/>
    <w:uiPriority w:val="9"/>
    <w:pPr>
      <w:keepNext/>
      <w:keepLines/>
      <w:spacing w:before="60" w:after="60" w:line="360" w:lineRule="auto"/>
      <w:jc w:val="left"/>
      <w:outlineLvl w:val="3"/>
    </w:pPr>
    <w:rPr>
      <w:rFonts w:ascii="Calibri Light" w:hAnsi="Calibri Light" w:cstheme="majorBidi"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line="380" w:lineRule="exact"/>
    </w:pPr>
    <w:rPr>
      <w:sz w:val="24"/>
      <w:szCs w:val="22"/>
    </w:r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1">
    <w:name w:val="标题 2 Char"/>
    <w:basedOn w:val="10"/>
    <w:link w:val="3"/>
    <w:qFormat/>
    <w:uiPriority w:val="9"/>
    <w:rPr>
      <w:b/>
      <w:bCs/>
      <w:kern w:val="2"/>
      <w:sz w:val="36"/>
      <w:szCs w:val="36"/>
    </w:rPr>
  </w:style>
  <w:style w:type="character" w:customStyle="1" w:styleId="12">
    <w:name w:val="标题 3 Char"/>
    <w:basedOn w:val="10"/>
    <w:link w:val="4"/>
    <w:qFormat/>
    <w:uiPriority w:val="9"/>
    <w:rPr>
      <w:b/>
      <w:bCs/>
      <w:kern w:val="2"/>
      <w:sz w:val="32"/>
      <w:szCs w:val="32"/>
    </w:rPr>
  </w:style>
  <w:style w:type="character" w:customStyle="1" w:styleId="13">
    <w:name w:val="标题 4 Char"/>
    <w:basedOn w:val="10"/>
    <w:link w:val="5"/>
    <w:qFormat/>
    <w:uiPriority w:val="9"/>
    <w:rPr>
      <w:rFonts w:ascii="Calibri Light" w:hAnsi="Calibri Light" w:cstheme="majorBidi"/>
      <w:bCs/>
      <w:kern w:val="2"/>
      <w:sz w:val="28"/>
      <w:szCs w:val="28"/>
    </w:rPr>
  </w:style>
  <w:style w:type="character" w:customStyle="1" w:styleId="14">
    <w:name w:val="正文文本 Char"/>
    <w:basedOn w:val="10"/>
    <w:link w:val="2"/>
    <w:uiPriority w:val="99"/>
    <w:rPr>
      <w:rFonts w:ascii="Calibri" w:hAnsi="Calibri"/>
      <w:kern w:val="2"/>
      <w:sz w:val="24"/>
      <w:szCs w:val="22"/>
    </w:rPr>
  </w:style>
  <w:style w:type="paragraph" w:styleId="15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/>
      <w:sz w:val="24"/>
    </w:rPr>
  </w:style>
  <w:style w:type="character" w:customStyle="1" w:styleId="16">
    <w:name w:val="正文文本 (22) + 间距 0 pt"/>
    <w:basedOn w:val="10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lang w:val="zh-TW" w:eastAsia="zh-TW" w:bidi="zh-TW"/>
    </w:rPr>
  </w:style>
  <w:style w:type="paragraph" w:customStyle="1" w:styleId="17">
    <w:name w:val="正文文本 (22)"/>
    <w:basedOn w:val="1"/>
    <w:link w:val="18"/>
    <w:qFormat/>
    <w:uiPriority w:val="0"/>
    <w:pPr>
      <w:shd w:val="clear" w:color="auto" w:fill="FFFFFF"/>
      <w:spacing w:line="307" w:lineRule="exact"/>
      <w:ind w:firstLine="100"/>
      <w:jc w:val="left"/>
    </w:pPr>
    <w:rPr>
      <w:rFonts w:ascii="MingLiU" w:hAnsi="MingLiU" w:eastAsia="MingLiU" w:cs="MingLiU"/>
      <w:spacing w:val="20"/>
      <w:sz w:val="20"/>
      <w:szCs w:val="20"/>
    </w:rPr>
  </w:style>
  <w:style w:type="character" w:customStyle="1" w:styleId="18">
    <w:name w:val="正文文本 (22)_"/>
    <w:basedOn w:val="10"/>
    <w:link w:val="17"/>
    <w:qFormat/>
    <w:uiPriority w:val="0"/>
    <w:rPr>
      <w:rFonts w:ascii="MingLiU" w:hAnsi="MingLiU" w:eastAsia="MingLiU" w:cs="MingLiU"/>
      <w:spacing w:val="20"/>
      <w:kern w:val="2"/>
      <w:shd w:val="clear" w:color="auto" w:fill="FFFFFF"/>
    </w:rPr>
  </w:style>
  <w:style w:type="paragraph" w:customStyle="1" w:styleId="19">
    <w:name w:val="表格文字"/>
    <w:basedOn w:val="1"/>
    <w:next w:val="2"/>
    <w:qFormat/>
    <w:uiPriority w:val="0"/>
    <w:pPr>
      <w:spacing w:before="25" w:after="25" w:line="360" w:lineRule="auto"/>
      <w:jc w:val="left"/>
    </w:pPr>
    <w:rPr>
      <w:spacing w:val="10"/>
      <w:kern w:val="0"/>
      <w:sz w:val="24"/>
      <w:szCs w:val="22"/>
    </w:rPr>
  </w:style>
  <w:style w:type="paragraph" w:customStyle="1" w:styleId="20">
    <w:name w:val="图片标题 (5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 w:cs="MingLiU"/>
      <w:kern w:val="0"/>
      <w:sz w:val="20"/>
      <w:szCs w:val="20"/>
    </w:rPr>
  </w:style>
  <w:style w:type="character" w:customStyle="1" w:styleId="21">
    <w:name w:val="font0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2">
    <w:name w:val="批注框文本 Char"/>
    <w:basedOn w:val="10"/>
    <w:link w:val="6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573</Words>
  <Characters>3271</Characters>
  <Lines>27</Lines>
  <Paragraphs>7</Paragraphs>
  <TotalTime>0</TotalTime>
  <ScaleCrop>false</ScaleCrop>
  <LinksUpToDate>false</LinksUpToDate>
  <CharactersWithSpaces>3837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2020-07-16T09:25:00Z</dcterms:created>
  <dc:creator>Windows 用户</dc:creator>
  <cp:lastModifiedBy>张弦</cp:lastModifiedBy>
  <dcterms:modified xsi:type="dcterms:W3CDTF">2020-10-22T02:03:02Z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