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before="0" w:beforeAutospacing="0" w:after="0" w:afterAutospacing="0" w:line="240" w:lineRule="auto"/>
        <w:jc w:val="center"/>
        <w:rPr>
          <w:rFonts w:ascii="宋体" w:hAnsi="宋体"/>
          <w:color w:val="000000" w:themeColor="text1"/>
          <w:kern w:val="2"/>
          <w:szCs w:val="24"/>
        </w:rPr>
      </w:pPr>
      <w:bookmarkStart w:id="0" w:name="_Toc302048156"/>
      <w:r>
        <w:rPr>
          <w:rFonts w:hint="eastAsia" w:ascii="宋体" w:hAnsi="宋体"/>
          <w:b/>
          <w:color w:val="000000" w:themeColor="text1"/>
          <w:sz w:val="56"/>
          <w:szCs w:val="56"/>
        </w:rPr>
        <w:drawing>
          <wp:inline distT="0" distB="0" distL="0" distR="0">
            <wp:extent cx="5334000" cy="843280"/>
            <wp:effectExtent l="0" t="0" r="0" b="1397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p>
    <w:p>
      <w:pPr>
        <w:spacing w:before="0" w:beforeAutospacing="0" w:after="0" w:afterAutospacing="0" w:line="240" w:lineRule="auto"/>
        <w:ind w:firstLine="480" w:firstLineChars="200"/>
        <w:rPr>
          <w:rFonts w:ascii="宋体" w:hAnsi="宋体" w:cs="宋体"/>
          <w:color w:val="000000" w:themeColor="text1"/>
          <w:szCs w:val="24"/>
        </w:rPr>
      </w:pPr>
    </w:p>
    <w:p>
      <w:pPr>
        <w:widowControl w:val="0"/>
        <w:spacing w:before="0" w:beforeAutospacing="0" w:after="0" w:afterAutospacing="0" w:line="240" w:lineRule="auto"/>
        <w:ind w:firstLine="803" w:firstLineChars="200"/>
        <w:jc w:val="both"/>
        <w:rPr>
          <w:rFonts w:ascii="宋体" w:hAnsi="宋体"/>
          <w:b/>
          <w:color w:val="000000" w:themeColor="text1"/>
          <w:sz w:val="40"/>
          <w:szCs w:val="72"/>
        </w:rPr>
      </w:pPr>
    </w:p>
    <w:p>
      <w:pPr>
        <w:widowControl w:val="0"/>
        <w:spacing w:before="0" w:beforeAutospacing="0" w:after="0" w:afterAutospacing="0" w:line="240" w:lineRule="auto"/>
        <w:ind w:firstLine="803" w:firstLineChars="200"/>
        <w:jc w:val="both"/>
        <w:rPr>
          <w:rFonts w:ascii="宋体" w:hAnsi="宋体"/>
          <w:b/>
          <w:color w:val="000000" w:themeColor="text1"/>
          <w:sz w:val="40"/>
          <w:szCs w:val="72"/>
        </w:rPr>
      </w:pPr>
    </w:p>
    <w:p>
      <w:pPr>
        <w:jc w:val="center"/>
        <w:rPr>
          <w:rFonts w:hint="eastAsia" w:eastAsia="宋体"/>
          <w:b/>
          <w:bCs/>
          <w:color w:val="000000" w:themeColor="text1"/>
          <w:sz w:val="44"/>
          <w:szCs w:val="44"/>
          <w:lang w:eastAsia="zh-CN"/>
        </w:rPr>
      </w:pPr>
      <w:r>
        <w:rPr>
          <w:rFonts w:hint="eastAsia"/>
          <w:b/>
          <w:bCs/>
          <w:color w:val="000000" w:themeColor="text1"/>
          <w:sz w:val="44"/>
          <w:szCs w:val="44"/>
          <w:lang w:eastAsia="zh-CN"/>
        </w:rPr>
        <w:t>东澳镇老爷海退出池塘拆除服务项目</w:t>
      </w:r>
    </w:p>
    <w:p>
      <w:pPr>
        <w:widowControl w:val="0"/>
        <w:spacing w:before="0" w:beforeAutospacing="0" w:after="0" w:afterAutospacing="0" w:line="240" w:lineRule="auto"/>
        <w:jc w:val="center"/>
        <w:rPr>
          <w:rFonts w:ascii="宋体" w:hAnsi="宋体"/>
          <w:b/>
          <w:color w:val="000000" w:themeColor="text1"/>
          <w:kern w:val="2"/>
          <w:sz w:val="44"/>
          <w:szCs w:val="44"/>
        </w:rPr>
      </w:pPr>
    </w:p>
    <w:p>
      <w:pPr>
        <w:widowControl w:val="0"/>
        <w:spacing w:before="0" w:beforeAutospacing="0" w:after="0" w:afterAutospacing="0" w:line="240" w:lineRule="auto"/>
        <w:jc w:val="center"/>
        <w:rPr>
          <w:rFonts w:ascii="宋体" w:hAnsi="宋体"/>
          <w:b/>
          <w:color w:val="000000" w:themeColor="text1"/>
          <w:kern w:val="2"/>
          <w:sz w:val="96"/>
          <w:szCs w:val="72"/>
        </w:rPr>
      </w:pPr>
      <w:r>
        <w:rPr>
          <w:rFonts w:hint="eastAsia" w:ascii="宋体" w:hAnsi="宋体"/>
          <w:b/>
          <w:color w:val="000000" w:themeColor="text1"/>
          <w:kern w:val="2"/>
          <w:sz w:val="96"/>
          <w:szCs w:val="72"/>
        </w:rPr>
        <w:t>竞争性磋商文件</w:t>
      </w:r>
    </w:p>
    <w:p>
      <w:pPr>
        <w:widowControl w:val="0"/>
        <w:spacing w:before="0" w:beforeAutospacing="0" w:after="0" w:afterAutospacing="0" w:line="240" w:lineRule="auto"/>
        <w:ind w:firstLine="1480" w:firstLineChars="200"/>
        <w:jc w:val="center"/>
        <w:rPr>
          <w:rFonts w:ascii="宋体" w:hAnsi="宋体"/>
          <w:color w:val="000000" w:themeColor="text1"/>
          <w:spacing w:val="10"/>
          <w:kern w:val="2"/>
          <w:sz w:val="72"/>
          <w:szCs w:val="72"/>
        </w:rPr>
      </w:pPr>
    </w:p>
    <w:p>
      <w:pPr>
        <w:widowControl w:val="0"/>
        <w:spacing w:before="0" w:beforeAutospacing="0" w:after="0" w:afterAutospacing="0" w:line="240" w:lineRule="auto"/>
        <w:jc w:val="center"/>
        <w:rPr>
          <w:rFonts w:ascii="宋体" w:hAnsi="宋体"/>
          <w:b/>
          <w:color w:val="000000" w:themeColor="text1"/>
          <w:kern w:val="2"/>
          <w:sz w:val="30"/>
          <w:szCs w:val="30"/>
        </w:rPr>
      </w:pPr>
    </w:p>
    <w:p>
      <w:pPr>
        <w:widowControl w:val="0"/>
        <w:spacing w:before="0" w:beforeAutospacing="0" w:after="0" w:afterAutospacing="0" w:line="240" w:lineRule="auto"/>
        <w:jc w:val="center"/>
        <w:rPr>
          <w:rFonts w:hint="eastAsia" w:ascii="宋体" w:hAnsi="宋体" w:eastAsia="宋体"/>
          <w:b/>
          <w:color w:val="000000" w:themeColor="text1"/>
          <w:kern w:val="2"/>
          <w:sz w:val="30"/>
          <w:szCs w:val="30"/>
          <w:lang w:eastAsia="zh-CN"/>
        </w:rPr>
      </w:pPr>
      <w:r>
        <w:rPr>
          <w:rFonts w:hint="eastAsia" w:ascii="宋体" w:hAnsi="宋体"/>
          <w:b/>
          <w:color w:val="000000" w:themeColor="text1"/>
          <w:kern w:val="2"/>
          <w:sz w:val="30"/>
          <w:szCs w:val="30"/>
        </w:rPr>
        <w:t>项目编号：</w:t>
      </w:r>
      <w:r>
        <w:rPr>
          <w:rFonts w:hint="eastAsia" w:ascii="宋体" w:hAnsi="宋体"/>
          <w:b/>
          <w:color w:val="000000" w:themeColor="text1"/>
          <w:kern w:val="2"/>
          <w:sz w:val="30"/>
          <w:szCs w:val="30"/>
          <w:lang w:eastAsia="zh-CN"/>
        </w:rPr>
        <w:t>HNZH-2020-320</w:t>
      </w:r>
    </w:p>
    <w:p>
      <w:pPr>
        <w:widowControl w:val="0"/>
        <w:spacing w:before="0" w:beforeAutospacing="0" w:after="0" w:afterAutospacing="0" w:line="240" w:lineRule="auto"/>
        <w:ind w:firstLine="602" w:firstLineChars="200"/>
        <w:jc w:val="both"/>
        <w:rPr>
          <w:rFonts w:ascii="宋体" w:hAnsi="宋体"/>
          <w:b/>
          <w:color w:val="000000" w:themeColor="text1"/>
          <w:kern w:val="2"/>
          <w:sz w:val="30"/>
          <w:szCs w:val="30"/>
        </w:rPr>
      </w:pPr>
    </w:p>
    <w:p>
      <w:pPr>
        <w:widowControl w:val="0"/>
        <w:spacing w:before="0" w:beforeAutospacing="0" w:after="0" w:afterAutospacing="0" w:line="240" w:lineRule="auto"/>
        <w:ind w:firstLine="643" w:firstLineChars="200"/>
        <w:jc w:val="both"/>
        <w:rPr>
          <w:rFonts w:ascii="宋体" w:hAnsi="宋体"/>
          <w:b/>
          <w:color w:val="000000" w:themeColor="text1"/>
          <w:kern w:val="2"/>
          <w:sz w:val="32"/>
          <w:szCs w:val="32"/>
        </w:rPr>
      </w:pPr>
    </w:p>
    <w:p>
      <w:pPr>
        <w:widowControl w:val="0"/>
        <w:spacing w:before="0" w:beforeAutospacing="0" w:after="0" w:afterAutospacing="0" w:line="240" w:lineRule="auto"/>
        <w:ind w:firstLine="643" w:firstLineChars="200"/>
        <w:jc w:val="both"/>
        <w:rPr>
          <w:rFonts w:ascii="宋体" w:hAnsi="宋体"/>
          <w:b/>
          <w:color w:val="000000" w:themeColor="text1"/>
          <w:kern w:val="2"/>
          <w:sz w:val="32"/>
          <w:szCs w:val="32"/>
        </w:rPr>
      </w:pPr>
    </w:p>
    <w:p>
      <w:pPr>
        <w:widowControl w:val="0"/>
        <w:spacing w:before="0" w:beforeAutospacing="0" w:after="0" w:afterAutospacing="0" w:line="240" w:lineRule="auto"/>
        <w:jc w:val="both"/>
        <w:rPr>
          <w:rFonts w:ascii="宋体" w:hAnsi="宋体"/>
          <w:b/>
          <w:color w:val="000000" w:themeColor="text1"/>
          <w:kern w:val="2"/>
          <w:sz w:val="32"/>
          <w:szCs w:val="32"/>
        </w:rPr>
      </w:pPr>
    </w:p>
    <w:p>
      <w:pPr>
        <w:widowControl w:val="0"/>
        <w:spacing w:before="0" w:beforeAutospacing="0" w:after="0" w:afterAutospacing="0" w:line="240" w:lineRule="auto"/>
        <w:ind w:firstLine="643" w:firstLineChars="200"/>
        <w:jc w:val="both"/>
        <w:rPr>
          <w:rFonts w:ascii="宋体" w:hAnsi="宋体"/>
          <w:b/>
          <w:color w:val="000000" w:themeColor="text1"/>
          <w:kern w:val="2"/>
          <w:sz w:val="32"/>
          <w:szCs w:val="32"/>
        </w:rPr>
      </w:pPr>
    </w:p>
    <w:p>
      <w:pPr>
        <w:widowControl w:val="0"/>
        <w:spacing w:before="0" w:beforeAutospacing="0" w:after="0" w:afterAutospacing="0" w:line="240" w:lineRule="auto"/>
        <w:ind w:firstLine="643" w:firstLineChars="200"/>
        <w:jc w:val="both"/>
        <w:rPr>
          <w:rFonts w:ascii="宋体" w:hAnsi="宋体"/>
          <w:b/>
          <w:color w:val="000000" w:themeColor="text1"/>
          <w:kern w:val="2"/>
          <w:sz w:val="32"/>
          <w:szCs w:val="32"/>
        </w:rPr>
      </w:pPr>
    </w:p>
    <w:p>
      <w:pPr>
        <w:widowControl w:val="0"/>
        <w:spacing w:before="0" w:beforeAutospacing="0" w:after="0" w:afterAutospacing="0" w:line="240" w:lineRule="auto"/>
        <w:ind w:firstLine="643" w:firstLineChars="200"/>
        <w:jc w:val="both"/>
        <w:rPr>
          <w:rFonts w:ascii="宋体" w:hAnsi="宋体"/>
          <w:b/>
          <w:color w:val="000000" w:themeColor="text1"/>
          <w:kern w:val="2"/>
          <w:sz w:val="32"/>
          <w:szCs w:val="32"/>
        </w:rPr>
      </w:pPr>
    </w:p>
    <w:p>
      <w:pPr>
        <w:widowControl w:val="0"/>
        <w:spacing w:before="0" w:beforeAutospacing="0" w:after="0" w:afterAutospacing="0" w:line="240" w:lineRule="auto"/>
        <w:ind w:firstLine="643" w:firstLineChars="200"/>
        <w:jc w:val="both"/>
        <w:rPr>
          <w:rFonts w:ascii="宋体" w:hAnsi="宋体"/>
          <w:b/>
          <w:color w:val="000000" w:themeColor="text1"/>
          <w:kern w:val="2"/>
          <w:sz w:val="32"/>
          <w:szCs w:val="32"/>
        </w:rPr>
      </w:pPr>
    </w:p>
    <w:p>
      <w:pPr>
        <w:spacing w:beforeLines="200" w:beforeAutospacing="0" w:afterLines="200" w:afterAutospacing="0" w:line="240" w:lineRule="auto"/>
        <w:ind w:left="2126" w:leftChars="886"/>
        <w:rPr>
          <w:rFonts w:hint="eastAsia" w:eastAsia="宋体"/>
          <w:b/>
          <w:color w:val="000000" w:themeColor="text1"/>
          <w:sz w:val="30"/>
          <w:szCs w:val="30"/>
          <w:lang w:eastAsia="zh-CN"/>
        </w:rPr>
      </w:pPr>
      <w:r>
        <w:rPr>
          <w:rFonts w:hint="eastAsia" w:ascii="宋体" w:hAnsi="宋体"/>
          <w:b/>
          <w:color w:val="000000" w:themeColor="text1"/>
          <w:spacing w:val="16"/>
          <w:kern w:val="2"/>
          <w:sz w:val="32"/>
          <w:szCs w:val="32"/>
        </w:rPr>
        <w:t>委托单位:</w:t>
      </w:r>
      <w:r>
        <w:rPr>
          <w:rFonts w:hint="eastAsia" w:ascii="宋体" w:hAnsi="宋体"/>
          <w:b/>
          <w:color w:val="000000" w:themeColor="text1"/>
          <w:spacing w:val="16"/>
          <w:kern w:val="2"/>
          <w:sz w:val="32"/>
          <w:szCs w:val="32"/>
          <w:lang w:eastAsia="zh-CN"/>
        </w:rPr>
        <w:t>万宁市东澳镇人民政府</w:t>
      </w:r>
    </w:p>
    <w:p>
      <w:pPr>
        <w:widowControl w:val="0"/>
        <w:spacing w:beforeLines="200" w:beforeAutospacing="0" w:afterLines="200" w:afterAutospacing="0" w:line="240" w:lineRule="auto"/>
        <w:ind w:left="2126" w:leftChars="886"/>
        <w:rPr>
          <w:rFonts w:ascii="宋体" w:hAnsi="宋体"/>
          <w:b/>
          <w:color w:val="000000" w:themeColor="text1"/>
          <w:spacing w:val="16"/>
          <w:kern w:val="2"/>
          <w:sz w:val="32"/>
          <w:szCs w:val="32"/>
        </w:rPr>
      </w:pPr>
      <w:r>
        <w:rPr>
          <w:rFonts w:hint="eastAsia" w:ascii="宋体" w:hAnsi="宋体"/>
          <w:b/>
          <w:color w:val="000000" w:themeColor="text1"/>
          <w:kern w:val="2"/>
          <w:sz w:val="32"/>
          <w:szCs w:val="32"/>
        </w:rPr>
        <w:t>代理机构：</w:t>
      </w:r>
      <w:r>
        <w:rPr>
          <w:rFonts w:hint="eastAsia" w:ascii="宋体" w:hAnsi="宋体"/>
          <w:b/>
          <w:color w:val="000000" w:themeColor="text1"/>
          <w:spacing w:val="16"/>
          <w:kern w:val="2"/>
          <w:sz w:val="32"/>
          <w:szCs w:val="32"/>
        </w:rPr>
        <w:t>海南政辉招投标代理有限公司</w:t>
      </w:r>
    </w:p>
    <w:p>
      <w:pPr>
        <w:widowControl w:val="0"/>
        <w:spacing w:before="0" w:beforeAutospacing="0" w:after="0" w:afterAutospacing="0" w:line="240" w:lineRule="auto"/>
        <w:ind w:firstLine="643" w:firstLineChars="200"/>
        <w:jc w:val="both"/>
        <w:rPr>
          <w:rFonts w:ascii="宋体" w:hAnsi="宋体"/>
          <w:b/>
          <w:color w:val="000000" w:themeColor="text1"/>
          <w:kern w:val="2"/>
          <w:sz w:val="32"/>
          <w:szCs w:val="32"/>
        </w:rPr>
      </w:pPr>
    </w:p>
    <w:p>
      <w:pPr>
        <w:widowControl w:val="0"/>
        <w:spacing w:before="0" w:beforeAutospacing="0" w:after="0" w:afterAutospacing="0" w:line="240" w:lineRule="auto"/>
        <w:jc w:val="center"/>
        <w:rPr>
          <w:rFonts w:ascii="宋体" w:hAnsi="宋体"/>
          <w:b/>
          <w:iCs/>
          <w:color w:val="000000" w:themeColor="text1"/>
          <w:kern w:val="2"/>
          <w:sz w:val="32"/>
          <w:szCs w:val="32"/>
        </w:rPr>
      </w:pPr>
      <w:r>
        <w:rPr>
          <w:rFonts w:hint="eastAsia" w:ascii="宋体" w:hAnsi="宋体"/>
          <w:b/>
          <w:iCs/>
          <w:color w:val="000000" w:themeColor="text1"/>
          <w:kern w:val="2"/>
          <w:sz w:val="32"/>
          <w:szCs w:val="32"/>
        </w:rPr>
        <w:t>2020年</w:t>
      </w:r>
      <w:r>
        <w:rPr>
          <w:rFonts w:hint="eastAsia" w:ascii="宋体" w:hAnsi="宋体"/>
          <w:b/>
          <w:iCs/>
          <w:color w:val="000000" w:themeColor="text1"/>
          <w:kern w:val="2"/>
          <w:sz w:val="32"/>
          <w:szCs w:val="32"/>
          <w:lang w:val="en-US" w:eastAsia="zh-CN"/>
        </w:rPr>
        <w:t>10</w:t>
      </w:r>
      <w:r>
        <w:rPr>
          <w:rFonts w:hint="eastAsia" w:ascii="宋体" w:hAnsi="宋体"/>
          <w:b/>
          <w:iCs/>
          <w:color w:val="000000" w:themeColor="text1"/>
          <w:kern w:val="2"/>
          <w:sz w:val="32"/>
          <w:szCs w:val="32"/>
        </w:rPr>
        <w:t>月</w:t>
      </w:r>
    </w:p>
    <w:p>
      <w:pPr>
        <w:adjustRightInd w:val="0"/>
        <w:snapToGrid w:val="0"/>
        <w:spacing w:before="0" w:beforeAutospacing="0" w:line="240" w:lineRule="auto"/>
        <w:jc w:val="center"/>
        <w:rPr>
          <w:rFonts w:ascii="宋体" w:hAnsi="宋体" w:cs="Arial"/>
          <w:b/>
          <w:color w:val="000000" w:themeColor="text1"/>
          <w:kern w:val="2"/>
          <w:sz w:val="28"/>
          <w:szCs w:val="28"/>
        </w:rPr>
      </w:pPr>
      <w:r>
        <w:rPr>
          <w:rFonts w:ascii="宋体" w:hAnsi="宋体" w:cs="Arial"/>
          <w:b/>
          <w:color w:val="000000" w:themeColor="text1"/>
          <w:kern w:val="2"/>
          <w:sz w:val="84"/>
          <w:szCs w:val="84"/>
        </w:rPr>
        <w:br w:type="page"/>
      </w:r>
      <w:r>
        <w:rPr>
          <w:rFonts w:hint="eastAsia" w:ascii="宋体" w:hAnsi="宋体" w:cs="Arial"/>
          <w:b/>
          <w:color w:val="000000" w:themeColor="text1"/>
          <w:kern w:val="2"/>
          <w:sz w:val="32"/>
          <w:szCs w:val="28"/>
        </w:rPr>
        <w:t>目 录</w:t>
      </w:r>
    </w:p>
    <w:p>
      <w:pPr>
        <w:pStyle w:val="31"/>
        <w:tabs>
          <w:tab w:val="right" w:leader="dot" w:pos="9628"/>
        </w:tabs>
        <w:snapToGrid w:val="0"/>
        <w:spacing w:before="0" w:beforeAutospacing="0" w:after="0" w:afterAutospacing="0"/>
        <w:rPr>
          <w:rFonts w:asciiTheme="minorHAnsi" w:hAnsiTheme="minorHAnsi" w:eastAsiaTheme="minorEastAsia" w:cstheme="minorBidi"/>
          <w:b w:val="0"/>
          <w:bCs w:val="0"/>
          <w:caps w:val="0"/>
          <w:color w:val="000000" w:themeColor="text1"/>
          <w:kern w:val="2"/>
          <w:sz w:val="21"/>
          <w:szCs w:val="22"/>
        </w:rPr>
      </w:pPr>
      <w:r>
        <w:rPr>
          <w:rFonts w:hint="eastAsia" w:ascii="宋体" w:hAnsi="宋体" w:cs="Arial"/>
          <w:b w:val="0"/>
          <w:color w:val="000000" w:themeColor="text1"/>
          <w:kern w:val="2"/>
          <w:sz w:val="28"/>
          <w:szCs w:val="28"/>
        </w:rPr>
        <w:fldChar w:fldCharType="begin"/>
      </w:r>
      <w:r>
        <w:rPr>
          <w:rFonts w:hint="eastAsia" w:ascii="宋体" w:hAnsi="宋体" w:cs="Arial"/>
          <w:b w:val="0"/>
          <w:color w:val="000000" w:themeColor="text1"/>
          <w:kern w:val="2"/>
          <w:sz w:val="28"/>
          <w:szCs w:val="28"/>
        </w:rPr>
        <w:instrText xml:space="preserve"> TOC \o "1-2" \u </w:instrText>
      </w:r>
      <w:r>
        <w:rPr>
          <w:rFonts w:hint="eastAsia" w:ascii="宋体" w:hAnsi="宋体" w:cs="Arial"/>
          <w:b w:val="0"/>
          <w:color w:val="000000" w:themeColor="text1"/>
          <w:kern w:val="2"/>
          <w:sz w:val="28"/>
          <w:szCs w:val="28"/>
        </w:rPr>
        <w:fldChar w:fldCharType="separate"/>
      </w:r>
      <w:r>
        <w:rPr>
          <w:rFonts w:hint="eastAsia"/>
          <w:color w:val="000000" w:themeColor="text1"/>
        </w:rPr>
        <w:t>第一章竞争性磋商公告</w:t>
      </w:r>
      <w:r>
        <w:rPr>
          <w:color w:val="000000" w:themeColor="text1"/>
        </w:rPr>
        <w:tab/>
      </w:r>
      <w:r>
        <w:rPr>
          <w:color w:val="000000" w:themeColor="text1"/>
        </w:rPr>
        <w:fldChar w:fldCharType="begin"/>
      </w:r>
      <w:r>
        <w:rPr>
          <w:color w:val="000000" w:themeColor="text1"/>
        </w:rPr>
        <w:instrText xml:space="preserve"> PAGEREF _Toc534808233 \h </w:instrText>
      </w:r>
      <w:r>
        <w:rPr>
          <w:color w:val="000000" w:themeColor="text1"/>
        </w:rPr>
        <w:fldChar w:fldCharType="separate"/>
      </w:r>
      <w:r>
        <w:rPr>
          <w:color w:val="000000" w:themeColor="text1"/>
        </w:rPr>
        <w:t>1</w:t>
      </w:r>
      <w:r>
        <w:rPr>
          <w:color w:val="000000" w:themeColor="text1"/>
        </w:rPr>
        <w:fldChar w:fldCharType="end"/>
      </w:r>
    </w:p>
    <w:p>
      <w:pPr>
        <w:pStyle w:val="31"/>
        <w:tabs>
          <w:tab w:val="right" w:leader="dot" w:pos="9628"/>
        </w:tabs>
        <w:snapToGrid w:val="0"/>
        <w:spacing w:before="0" w:beforeAutospacing="0" w:after="0" w:afterAutospacing="0"/>
        <w:rPr>
          <w:rFonts w:asciiTheme="minorHAnsi" w:hAnsiTheme="minorHAnsi" w:eastAsiaTheme="minorEastAsia" w:cstheme="minorBidi"/>
          <w:b w:val="0"/>
          <w:bCs w:val="0"/>
          <w:caps w:val="0"/>
          <w:color w:val="000000" w:themeColor="text1"/>
          <w:kern w:val="2"/>
          <w:sz w:val="21"/>
          <w:szCs w:val="22"/>
        </w:rPr>
      </w:pPr>
      <w:r>
        <w:rPr>
          <w:rFonts w:hint="eastAsia"/>
          <w:color w:val="000000" w:themeColor="text1"/>
        </w:rPr>
        <w:t>第二章供应商须知</w:t>
      </w:r>
      <w:r>
        <w:rPr>
          <w:color w:val="000000" w:themeColor="text1"/>
        </w:rPr>
        <w:tab/>
      </w:r>
      <w:r>
        <w:rPr>
          <w:color w:val="000000" w:themeColor="text1"/>
        </w:rPr>
        <w:fldChar w:fldCharType="begin"/>
      </w:r>
      <w:r>
        <w:rPr>
          <w:color w:val="000000" w:themeColor="text1"/>
        </w:rPr>
        <w:instrText xml:space="preserve"> PAGEREF _Toc534808242 \h </w:instrText>
      </w:r>
      <w:r>
        <w:rPr>
          <w:color w:val="000000" w:themeColor="text1"/>
        </w:rPr>
        <w:fldChar w:fldCharType="separate"/>
      </w:r>
      <w:r>
        <w:rPr>
          <w:color w:val="000000" w:themeColor="text1"/>
        </w:rPr>
        <w:t>4</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（一）供应商须知前附表</w:t>
      </w:r>
      <w:r>
        <w:rPr>
          <w:color w:val="000000" w:themeColor="text1"/>
        </w:rPr>
        <w:tab/>
      </w:r>
      <w:r>
        <w:rPr>
          <w:color w:val="000000" w:themeColor="text1"/>
        </w:rPr>
        <w:fldChar w:fldCharType="begin"/>
      </w:r>
      <w:r>
        <w:rPr>
          <w:color w:val="000000" w:themeColor="text1"/>
        </w:rPr>
        <w:instrText xml:space="preserve"> PAGEREF _Toc534808243 \h </w:instrText>
      </w:r>
      <w:r>
        <w:rPr>
          <w:color w:val="000000" w:themeColor="text1"/>
        </w:rPr>
        <w:fldChar w:fldCharType="separate"/>
      </w:r>
      <w:r>
        <w:rPr>
          <w:color w:val="000000" w:themeColor="text1"/>
        </w:rPr>
        <w:t>4</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kern w:val="2"/>
        </w:rPr>
        <w:t>（二）供应商须知</w:t>
      </w:r>
      <w:r>
        <w:rPr>
          <w:color w:val="000000" w:themeColor="text1"/>
        </w:rPr>
        <w:tab/>
      </w:r>
      <w:r>
        <w:rPr>
          <w:color w:val="000000" w:themeColor="text1"/>
        </w:rPr>
        <w:fldChar w:fldCharType="begin"/>
      </w:r>
      <w:r>
        <w:rPr>
          <w:color w:val="000000" w:themeColor="text1"/>
        </w:rPr>
        <w:instrText xml:space="preserve"> PAGEREF _Toc534808249 \h </w:instrText>
      </w:r>
      <w:r>
        <w:rPr>
          <w:color w:val="000000" w:themeColor="text1"/>
        </w:rPr>
        <w:fldChar w:fldCharType="separate"/>
      </w:r>
      <w:r>
        <w:rPr>
          <w:color w:val="000000" w:themeColor="text1"/>
        </w:rPr>
        <w:t>6</w:t>
      </w:r>
      <w:r>
        <w:rPr>
          <w:color w:val="000000" w:themeColor="text1"/>
        </w:rPr>
        <w:fldChar w:fldCharType="end"/>
      </w:r>
    </w:p>
    <w:p>
      <w:pPr>
        <w:pStyle w:val="31"/>
        <w:tabs>
          <w:tab w:val="right" w:leader="dot" w:pos="9628"/>
        </w:tabs>
        <w:snapToGrid w:val="0"/>
        <w:spacing w:before="0" w:beforeAutospacing="0" w:after="0" w:afterAutospacing="0"/>
        <w:rPr>
          <w:rFonts w:asciiTheme="minorHAnsi" w:hAnsiTheme="minorHAnsi" w:eastAsiaTheme="minorEastAsia" w:cstheme="minorBidi"/>
          <w:b w:val="0"/>
          <w:bCs w:val="0"/>
          <w:caps w:val="0"/>
          <w:color w:val="000000" w:themeColor="text1"/>
          <w:kern w:val="2"/>
          <w:sz w:val="21"/>
          <w:szCs w:val="22"/>
        </w:rPr>
      </w:pPr>
      <w:r>
        <w:rPr>
          <w:rFonts w:hint="eastAsia"/>
          <w:color w:val="000000" w:themeColor="text1"/>
          <w:kern w:val="2"/>
        </w:rPr>
        <w:t>第三章评审办法和标准</w:t>
      </w:r>
      <w:r>
        <w:rPr>
          <w:color w:val="000000" w:themeColor="text1"/>
        </w:rPr>
        <w:tab/>
      </w:r>
      <w:r>
        <w:rPr>
          <w:color w:val="000000" w:themeColor="text1"/>
        </w:rPr>
        <w:fldChar w:fldCharType="begin"/>
      </w:r>
      <w:r>
        <w:rPr>
          <w:color w:val="000000" w:themeColor="text1"/>
        </w:rPr>
        <w:instrText xml:space="preserve"> PAGEREF _Toc534808250 \h </w:instrText>
      </w:r>
      <w:r>
        <w:rPr>
          <w:color w:val="000000" w:themeColor="text1"/>
        </w:rPr>
        <w:fldChar w:fldCharType="separate"/>
      </w:r>
      <w:r>
        <w:rPr>
          <w:color w:val="000000" w:themeColor="text1"/>
        </w:rPr>
        <w:t>16</w:t>
      </w:r>
      <w:r>
        <w:rPr>
          <w:color w:val="000000" w:themeColor="text1"/>
        </w:rPr>
        <w:fldChar w:fldCharType="end"/>
      </w:r>
    </w:p>
    <w:p>
      <w:pPr>
        <w:pStyle w:val="36"/>
        <w:tabs>
          <w:tab w:val="left" w:pos="720"/>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color w:val="000000" w:themeColor="text1"/>
          <w:kern w:val="2"/>
        </w:rPr>
        <w:t>1</w:t>
      </w:r>
      <w:r>
        <w:rPr>
          <w:rFonts w:asciiTheme="minorHAnsi" w:hAnsiTheme="minorHAnsi" w:eastAsiaTheme="minorEastAsia" w:cstheme="minorBidi"/>
          <w:smallCaps w:val="0"/>
          <w:color w:val="000000" w:themeColor="text1"/>
          <w:kern w:val="2"/>
          <w:sz w:val="21"/>
          <w:szCs w:val="22"/>
        </w:rPr>
        <w:tab/>
      </w:r>
      <w:r>
        <w:rPr>
          <w:rFonts w:hint="eastAsia"/>
          <w:color w:val="000000" w:themeColor="text1"/>
          <w:kern w:val="2"/>
        </w:rPr>
        <w:t>评审方法</w:t>
      </w:r>
      <w:r>
        <w:rPr>
          <w:color w:val="000000" w:themeColor="text1"/>
        </w:rPr>
        <w:tab/>
      </w:r>
      <w:r>
        <w:rPr>
          <w:color w:val="000000" w:themeColor="text1"/>
        </w:rPr>
        <w:fldChar w:fldCharType="begin"/>
      </w:r>
      <w:r>
        <w:rPr>
          <w:color w:val="000000" w:themeColor="text1"/>
        </w:rPr>
        <w:instrText xml:space="preserve"> PAGEREF _Toc534808251 \h </w:instrText>
      </w:r>
      <w:r>
        <w:rPr>
          <w:color w:val="000000" w:themeColor="text1"/>
        </w:rPr>
        <w:fldChar w:fldCharType="separate"/>
      </w:r>
      <w:r>
        <w:rPr>
          <w:color w:val="000000" w:themeColor="text1"/>
        </w:rPr>
        <w:t>16</w:t>
      </w:r>
      <w:r>
        <w:rPr>
          <w:color w:val="000000" w:themeColor="text1"/>
        </w:rPr>
        <w:fldChar w:fldCharType="end"/>
      </w:r>
    </w:p>
    <w:p>
      <w:pPr>
        <w:pStyle w:val="36"/>
        <w:tabs>
          <w:tab w:val="left" w:pos="720"/>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color w:val="000000" w:themeColor="text1"/>
          <w:kern w:val="2"/>
        </w:rPr>
        <w:t>2</w:t>
      </w:r>
      <w:r>
        <w:rPr>
          <w:rFonts w:asciiTheme="minorHAnsi" w:hAnsiTheme="minorHAnsi" w:eastAsiaTheme="minorEastAsia" w:cstheme="minorBidi"/>
          <w:smallCaps w:val="0"/>
          <w:color w:val="000000" w:themeColor="text1"/>
          <w:kern w:val="2"/>
          <w:sz w:val="21"/>
          <w:szCs w:val="22"/>
        </w:rPr>
        <w:tab/>
      </w:r>
      <w:r>
        <w:rPr>
          <w:rFonts w:hint="eastAsia"/>
          <w:color w:val="000000" w:themeColor="text1"/>
          <w:kern w:val="2"/>
        </w:rPr>
        <w:t>评审标准</w:t>
      </w:r>
      <w:r>
        <w:rPr>
          <w:color w:val="000000" w:themeColor="text1"/>
        </w:rPr>
        <w:tab/>
      </w:r>
      <w:r>
        <w:rPr>
          <w:color w:val="000000" w:themeColor="text1"/>
        </w:rPr>
        <w:fldChar w:fldCharType="begin"/>
      </w:r>
      <w:r>
        <w:rPr>
          <w:color w:val="000000" w:themeColor="text1"/>
        </w:rPr>
        <w:instrText xml:space="preserve"> PAGEREF _Toc534808252 \h </w:instrText>
      </w:r>
      <w:r>
        <w:rPr>
          <w:color w:val="000000" w:themeColor="text1"/>
        </w:rPr>
        <w:fldChar w:fldCharType="separate"/>
      </w:r>
      <w:r>
        <w:rPr>
          <w:color w:val="000000" w:themeColor="text1"/>
        </w:rPr>
        <w:t>16</w:t>
      </w:r>
      <w:r>
        <w:rPr>
          <w:color w:val="000000" w:themeColor="text1"/>
        </w:rPr>
        <w:fldChar w:fldCharType="end"/>
      </w:r>
    </w:p>
    <w:p>
      <w:pPr>
        <w:pStyle w:val="36"/>
        <w:tabs>
          <w:tab w:val="left" w:pos="720"/>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color w:val="000000" w:themeColor="text1"/>
          <w:kern w:val="2"/>
        </w:rPr>
        <w:t>3</w:t>
      </w:r>
      <w:r>
        <w:rPr>
          <w:rFonts w:asciiTheme="minorHAnsi" w:hAnsiTheme="minorHAnsi" w:eastAsiaTheme="minorEastAsia" w:cstheme="minorBidi"/>
          <w:smallCaps w:val="0"/>
          <w:color w:val="000000" w:themeColor="text1"/>
          <w:kern w:val="2"/>
          <w:sz w:val="21"/>
          <w:szCs w:val="22"/>
        </w:rPr>
        <w:tab/>
      </w:r>
      <w:r>
        <w:rPr>
          <w:rFonts w:hint="eastAsia"/>
          <w:color w:val="000000" w:themeColor="text1"/>
          <w:kern w:val="2"/>
        </w:rPr>
        <w:t>评审程序</w:t>
      </w:r>
      <w:r>
        <w:rPr>
          <w:color w:val="000000" w:themeColor="text1"/>
        </w:rPr>
        <w:tab/>
      </w:r>
      <w:r>
        <w:rPr>
          <w:color w:val="000000" w:themeColor="text1"/>
        </w:rPr>
        <w:fldChar w:fldCharType="begin"/>
      </w:r>
      <w:r>
        <w:rPr>
          <w:color w:val="000000" w:themeColor="text1"/>
        </w:rPr>
        <w:instrText xml:space="preserve"> PAGEREF _Toc534808253 \h </w:instrText>
      </w:r>
      <w:r>
        <w:rPr>
          <w:color w:val="000000" w:themeColor="text1"/>
        </w:rPr>
        <w:fldChar w:fldCharType="separate"/>
      </w:r>
      <w:r>
        <w:rPr>
          <w:color w:val="000000" w:themeColor="text1"/>
        </w:rPr>
        <w:t>16</w:t>
      </w:r>
      <w:r>
        <w:rPr>
          <w:color w:val="000000" w:themeColor="text1"/>
        </w:rPr>
        <w:fldChar w:fldCharType="end"/>
      </w:r>
    </w:p>
    <w:p>
      <w:pPr>
        <w:pStyle w:val="31"/>
        <w:tabs>
          <w:tab w:val="right" w:leader="dot" w:pos="9628"/>
        </w:tabs>
        <w:snapToGrid w:val="0"/>
        <w:spacing w:before="0" w:beforeAutospacing="0" w:after="0" w:afterAutospacing="0"/>
        <w:rPr>
          <w:rFonts w:asciiTheme="minorHAnsi" w:hAnsiTheme="minorHAnsi" w:eastAsiaTheme="minorEastAsia" w:cstheme="minorBidi"/>
          <w:b w:val="0"/>
          <w:bCs w:val="0"/>
          <w:caps w:val="0"/>
          <w:color w:val="000000" w:themeColor="text1"/>
          <w:kern w:val="2"/>
          <w:sz w:val="21"/>
          <w:szCs w:val="22"/>
        </w:rPr>
      </w:pPr>
      <w:r>
        <w:rPr>
          <w:rFonts w:hint="eastAsia"/>
          <w:color w:val="000000" w:themeColor="text1"/>
          <w:kern w:val="2"/>
        </w:rPr>
        <w:t>第四章合同条款及格式</w:t>
      </w:r>
      <w:r>
        <w:rPr>
          <w:color w:val="000000" w:themeColor="text1"/>
        </w:rPr>
        <w:tab/>
      </w:r>
      <w:r>
        <w:rPr>
          <w:color w:val="000000" w:themeColor="text1"/>
        </w:rPr>
        <w:fldChar w:fldCharType="begin"/>
      </w:r>
      <w:r>
        <w:rPr>
          <w:color w:val="000000" w:themeColor="text1"/>
        </w:rPr>
        <w:instrText xml:space="preserve"> PAGEREF _Toc534808254 \h </w:instrText>
      </w:r>
      <w:r>
        <w:rPr>
          <w:color w:val="000000" w:themeColor="text1"/>
        </w:rPr>
        <w:fldChar w:fldCharType="separate"/>
      </w:r>
      <w:r>
        <w:rPr>
          <w:color w:val="000000" w:themeColor="text1"/>
        </w:rPr>
        <w:t>24</w:t>
      </w:r>
      <w:r>
        <w:rPr>
          <w:color w:val="000000" w:themeColor="text1"/>
        </w:rPr>
        <w:fldChar w:fldCharType="end"/>
      </w:r>
    </w:p>
    <w:p>
      <w:pPr>
        <w:pStyle w:val="31"/>
        <w:tabs>
          <w:tab w:val="right" w:leader="dot" w:pos="9628"/>
        </w:tabs>
        <w:snapToGrid w:val="0"/>
        <w:spacing w:before="0" w:beforeAutospacing="0" w:after="0" w:afterAutospacing="0"/>
        <w:rPr>
          <w:rFonts w:asciiTheme="minorHAnsi" w:hAnsiTheme="minorHAnsi" w:cstheme="minorBidi"/>
          <w:b w:val="0"/>
          <w:bCs w:val="0"/>
          <w:caps w:val="0"/>
          <w:color w:val="000000" w:themeColor="text1"/>
          <w:kern w:val="2"/>
          <w:sz w:val="21"/>
          <w:szCs w:val="22"/>
        </w:rPr>
      </w:pPr>
      <w:r>
        <w:rPr>
          <w:rFonts w:hint="eastAsia"/>
          <w:color w:val="000000" w:themeColor="text1"/>
        </w:rPr>
        <w:t>第五章工程量清单</w:t>
      </w:r>
      <w:r>
        <w:rPr>
          <w:color w:val="000000" w:themeColor="text1"/>
        </w:rPr>
        <w:tab/>
      </w:r>
      <w:r>
        <w:rPr>
          <w:color w:val="000000" w:themeColor="text1"/>
        </w:rPr>
        <w:fldChar w:fldCharType="begin"/>
      </w:r>
      <w:r>
        <w:rPr>
          <w:color w:val="000000" w:themeColor="text1"/>
        </w:rPr>
        <w:instrText xml:space="preserve"> PAGEREF _Toc534808260 \h </w:instrText>
      </w:r>
      <w:r>
        <w:rPr>
          <w:color w:val="000000" w:themeColor="text1"/>
        </w:rPr>
        <w:fldChar w:fldCharType="separate"/>
      </w:r>
      <w:r>
        <w:rPr>
          <w:color w:val="000000" w:themeColor="text1"/>
        </w:rPr>
        <w:t>56</w:t>
      </w:r>
      <w:r>
        <w:rPr>
          <w:color w:val="000000" w:themeColor="text1"/>
        </w:rPr>
        <w:fldChar w:fldCharType="end"/>
      </w:r>
      <w:r>
        <w:rPr>
          <w:rFonts w:hint="eastAsia"/>
          <w:color w:val="000000" w:themeColor="text1"/>
        </w:rPr>
        <w:t>6</w:t>
      </w:r>
    </w:p>
    <w:p>
      <w:pPr>
        <w:pStyle w:val="31"/>
        <w:tabs>
          <w:tab w:val="right" w:leader="dot" w:pos="9628"/>
        </w:tabs>
        <w:snapToGrid w:val="0"/>
        <w:spacing w:before="0" w:beforeAutospacing="0" w:after="0" w:afterAutospacing="0"/>
        <w:rPr>
          <w:rFonts w:asciiTheme="minorHAnsi" w:hAnsiTheme="minorHAnsi" w:cstheme="minorBidi"/>
          <w:b w:val="0"/>
          <w:bCs w:val="0"/>
          <w:caps w:val="0"/>
          <w:color w:val="000000" w:themeColor="text1"/>
          <w:kern w:val="2"/>
          <w:sz w:val="21"/>
          <w:szCs w:val="22"/>
        </w:rPr>
      </w:pPr>
      <w:r>
        <w:rPr>
          <w:rFonts w:hint="eastAsia"/>
          <w:color w:val="000000" w:themeColor="text1"/>
        </w:rPr>
        <w:t>第六章项目技术规范说明</w:t>
      </w:r>
      <w:r>
        <w:rPr>
          <w:color w:val="000000" w:themeColor="text1"/>
        </w:rPr>
        <w:tab/>
      </w:r>
      <w:r>
        <w:rPr>
          <w:rFonts w:hint="eastAsia"/>
          <w:color w:val="000000" w:themeColor="text1"/>
        </w:rPr>
        <w:t>57</w:t>
      </w:r>
    </w:p>
    <w:p>
      <w:pPr>
        <w:pStyle w:val="31"/>
        <w:tabs>
          <w:tab w:val="right" w:leader="dot" w:pos="9628"/>
        </w:tabs>
        <w:snapToGrid w:val="0"/>
        <w:spacing w:before="0" w:beforeAutospacing="0" w:after="0" w:afterAutospacing="0"/>
        <w:rPr>
          <w:rFonts w:asciiTheme="minorHAnsi" w:hAnsiTheme="minorHAnsi" w:eastAsiaTheme="minorEastAsia" w:cstheme="minorBidi"/>
          <w:b w:val="0"/>
          <w:bCs w:val="0"/>
          <w:caps w:val="0"/>
          <w:color w:val="000000" w:themeColor="text1"/>
          <w:kern w:val="2"/>
          <w:sz w:val="21"/>
          <w:szCs w:val="22"/>
        </w:rPr>
      </w:pPr>
      <w:r>
        <w:rPr>
          <w:rFonts w:hint="eastAsia"/>
          <w:color w:val="000000" w:themeColor="text1"/>
        </w:rPr>
        <w:t>第七章响应文件格式</w:t>
      </w:r>
      <w:r>
        <w:rPr>
          <w:color w:val="000000" w:themeColor="text1"/>
        </w:rPr>
        <w:tab/>
      </w:r>
      <w:r>
        <w:rPr>
          <w:color w:val="000000" w:themeColor="text1"/>
        </w:rPr>
        <w:fldChar w:fldCharType="begin"/>
      </w:r>
      <w:r>
        <w:rPr>
          <w:color w:val="000000" w:themeColor="text1"/>
        </w:rPr>
        <w:instrText xml:space="preserve"> PAGEREF _Toc534808263 \h </w:instrText>
      </w:r>
      <w:r>
        <w:rPr>
          <w:color w:val="000000" w:themeColor="text1"/>
        </w:rPr>
        <w:fldChar w:fldCharType="separate"/>
      </w:r>
      <w:r>
        <w:rPr>
          <w:color w:val="000000" w:themeColor="text1"/>
        </w:rPr>
        <w:t>58</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asciiTheme="minorEastAsia" w:hAnsiTheme="minorEastAsia" w:eastAsiaTheme="minorEastAsia"/>
          <w:color w:val="000000" w:themeColor="text1"/>
        </w:rPr>
        <w:t>一、报价函及其附录</w:t>
      </w:r>
      <w:r>
        <w:rPr>
          <w:color w:val="000000" w:themeColor="text1"/>
        </w:rPr>
        <w:tab/>
      </w:r>
      <w:r>
        <w:rPr>
          <w:color w:val="000000" w:themeColor="text1"/>
        </w:rPr>
        <w:fldChar w:fldCharType="begin"/>
      </w:r>
      <w:r>
        <w:rPr>
          <w:color w:val="000000" w:themeColor="text1"/>
        </w:rPr>
        <w:instrText xml:space="preserve"> PAGEREF _Toc534808265 \h </w:instrText>
      </w:r>
      <w:r>
        <w:rPr>
          <w:color w:val="000000" w:themeColor="text1"/>
        </w:rPr>
        <w:fldChar w:fldCharType="separate"/>
      </w:r>
      <w:r>
        <w:rPr>
          <w:color w:val="000000" w:themeColor="text1"/>
        </w:rPr>
        <w:t>60</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二、法定代表人身份证明及授权委托书</w:t>
      </w:r>
      <w:r>
        <w:rPr>
          <w:color w:val="000000" w:themeColor="text1"/>
        </w:rPr>
        <w:tab/>
      </w:r>
      <w:r>
        <w:rPr>
          <w:color w:val="000000" w:themeColor="text1"/>
        </w:rPr>
        <w:fldChar w:fldCharType="begin"/>
      </w:r>
      <w:r>
        <w:rPr>
          <w:color w:val="000000" w:themeColor="text1"/>
        </w:rPr>
        <w:instrText xml:space="preserve"> PAGEREF _Toc534808266 \h </w:instrText>
      </w:r>
      <w:r>
        <w:rPr>
          <w:color w:val="000000" w:themeColor="text1"/>
        </w:rPr>
        <w:fldChar w:fldCharType="separate"/>
      </w:r>
      <w:r>
        <w:rPr>
          <w:color w:val="000000" w:themeColor="text1"/>
        </w:rPr>
        <w:t>62</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三、磋商保证金</w:t>
      </w:r>
      <w:r>
        <w:rPr>
          <w:color w:val="000000" w:themeColor="text1"/>
        </w:rPr>
        <w:tab/>
      </w:r>
      <w:r>
        <w:rPr>
          <w:color w:val="000000" w:themeColor="text1"/>
        </w:rPr>
        <w:fldChar w:fldCharType="begin"/>
      </w:r>
      <w:r>
        <w:rPr>
          <w:color w:val="000000" w:themeColor="text1"/>
        </w:rPr>
        <w:instrText xml:space="preserve"> PAGEREF _Toc534808267 \h </w:instrText>
      </w:r>
      <w:r>
        <w:rPr>
          <w:color w:val="000000" w:themeColor="text1"/>
        </w:rPr>
        <w:fldChar w:fldCharType="separate"/>
      </w:r>
      <w:r>
        <w:rPr>
          <w:color w:val="000000" w:themeColor="text1"/>
        </w:rPr>
        <w:t>64</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四、已标价工程量清单</w:t>
      </w:r>
      <w:r>
        <w:rPr>
          <w:color w:val="000000" w:themeColor="text1"/>
        </w:rPr>
        <w:tab/>
      </w:r>
      <w:r>
        <w:rPr>
          <w:color w:val="000000" w:themeColor="text1"/>
        </w:rPr>
        <w:fldChar w:fldCharType="begin"/>
      </w:r>
      <w:r>
        <w:rPr>
          <w:color w:val="000000" w:themeColor="text1"/>
        </w:rPr>
        <w:instrText xml:space="preserve"> PAGEREF _Toc534808268 \h </w:instrText>
      </w:r>
      <w:r>
        <w:rPr>
          <w:color w:val="000000" w:themeColor="text1"/>
        </w:rPr>
        <w:fldChar w:fldCharType="separate"/>
      </w:r>
      <w:r>
        <w:rPr>
          <w:color w:val="000000" w:themeColor="text1"/>
        </w:rPr>
        <w:t>65</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eastAsia="黑体"/>
          <w:color w:val="000000" w:themeColor="text1"/>
        </w:rPr>
        <w:t>五、</w:t>
      </w:r>
      <w:r>
        <w:rPr>
          <w:rFonts w:hint="eastAsia"/>
          <w:color w:val="000000" w:themeColor="text1"/>
        </w:rPr>
        <w:t>商务、技术条款偏差表</w:t>
      </w:r>
      <w:r>
        <w:rPr>
          <w:color w:val="000000" w:themeColor="text1"/>
        </w:rPr>
        <w:tab/>
      </w:r>
      <w:r>
        <w:rPr>
          <w:color w:val="000000" w:themeColor="text1"/>
        </w:rPr>
        <w:fldChar w:fldCharType="begin"/>
      </w:r>
      <w:r>
        <w:rPr>
          <w:color w:val="000000" w:themeColor="text1"/>
        </w:rPr>
        <w:instrText xml:space="preserve"> PAGEREF _Toc534808269 \h </w:instrText>
      </w:r>
      <w:r>
        <w:rPr>
          <w:color w:val="000000" w:themeColor="text1"/>
        </w:rPr>
        <w:fldChar w:fldCharType="separate"/>
      </w:r>
      <w:r>
        <w:rPr>
          <w:color w:val="000000" w:themeColor="text1"/>
        </w:rPr>
        <w:t>66</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ascii="宋体" w:hAnsi="宋体"/>
          <w:color w:val="000000" w:themeColor="text1"/>
        </w:rPr>
        <w:t>六、</w:t>
      </w:r>
      <w:r>
        <w:rPr>
          <w:rFonts w:hint="eastAsia"/>
          <w:color w:val="000000" w:themeColor="text1"/>
        </w:rPr>
        <w:t>资格证明文件</w:t>
      </w:r>
      <w:r>
        <w:rPr>
          <w:color w:val="000000" w:themeColor="text1"/>
        </w:rPr>
        <w:tab/>
      </w:r>
      <w:r>
        <w:rPr>
          <w:color w:val="000000" w:themeColor="text1"/>
        </w:rPr>
        <w:fldChar w:fldCharType="begin"/>
      </w:r>
      <w:r>
        <w:rPr>
          <w:color w:val="000000" w:themeColor="text1"/>
        </w:rPr>
        <w:instrText xml:space="preserve"> PAGEREF _Toc534808270 \h </w:instrText>
      </w:r>
      <w:r>
        <w:rPr>
          <w:color w:val="000000" w:themeColor="text1"/>
        </w:rPr>
        <w:fldChar w:fldCharType="separate"/>
      </w:r>
      <w:r>
        <w:rPr>
          <w:color w:val="000000" w:themeColor="text1"/>
        </w:rPr>
        <w:t>67</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七、小微企业、监狱企业、残疾人福利单位的声明函或证明材料（如有）</w:t>
      </w:r>
      <w:r>
        <w:rPr>
          <w:color w:val="000000" w:themeColor="text1"/>
        </w:rPr>
        <w:tab/>
      </w:r>
      <w:r>
        <w:rPr>
          <w:color w:val="000000" w:themeColor="text1"/>
        </w:rPr>
        <w:fldChar w:fldCharType="begin"/>
      </w:r>
      <w:r>
        <w:rPr>
          <w:color w:val="000000" w:themeColor="text1"/>
        </w:rPr>
        <w:instrText xml:space="preserve"> PAGEREF _Toc534808271 \h </w:instrText>
      </w:r>
      <w:r>
        <w:rPr>
          <w:color w:val="000000" w:themeColor="text1"/>
        </w:rPr>
        <w:fldChar w:fldCharType="separate"/>
      </w:r>
      <w:r>
        <w:rPr>
          <w:color w:val="000000" w:themeColor="text1"/>
        </w:rPr>
        <w:t>77</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asciiTheme="minorEastAsia" w:hAnsiTheme="minorEastAsia" w:eastAsiaTheme="minorEastAsia"/>
          <w:color w:val="000000" w:themeColor="text1"/>
        </w:rPr>
        <w:t>八、项目管理机构</w:t>
      </w:r>
      <w:r>
        <w:rPr>
          <w:color w:val="000000" w:themeColor="text1"/>
        </w:rPr>
        <w:tab/>
      </w:r>
      <w:r>
        <w:rPr>
          <w:color w:val="000000" w:themeColor="text1"/>
        </w:rPr>
        <w:fldChar w:fldCharType="begin"/>
      </w:r>
      <w:r>
        <w:rPr>
          <w:color w:val="000000" w:themeColor="text1"/>
        </w:rPr>
        <w:instrText xml:space="preserve"> PAGEREF _Toc534808272 \h </w:instrText>
      </w:r>
      <w:r>
        <w:rPr>
          <w:color w:val="000000" w:themeColor="text1"/>
        </w:rPr>
        <w:fldChar w:fldCharType="separate"/>
      </w:r>
      <w:r>
        <w:rPr>
          <w:color w:val="000000" w:themeColor="text1"/>
        </w:rPr>
        <w:t>80</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九、项目业绩一览表</w:t>
      </w:r>
      <w:r>
        <w:rPr>
          <w:color w:val="000000" w:themeColor="text1"/>
        </w:rPr>
        <w:tab/>
      </w:r>
      <w:r>
        <w:rPr>
          <w:color w:val="000000" w:themeColor="text1"/>
        </w:rPr>
        <w:fldChar w:fldCharType="begin"/>
      </w:r>
      <w:r>
        <w:rPr>
          <w:color w:val="000000" w:themeColor="text1"/>
        </w:rPr>
        <w:instrText xml:space="preserve"> PAGEREF _Toc534808273 \h </w:instrText>
      </w:r>
      <w:r>
        <w:rPr>
          <w:color w:val="000000" w:themeColor="text1"/>
        </w:rPr>
        <w:fldChar w:fldCharType="separate"/>
      </w:r>
      <w:r>
        <w:rPr>
          <w:color w:val="000000" w:themeColor="text1"/>
        </w:rPr>
        <w:t>83</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十、施工服务方案</w:t>
      </w:r>
      <w:r>
        <w:rPr>
          <w:color w:val="000000" w:themeColor="text1"/>
        </w:rPr>
        <w:tab/>
      </w:r>
      <w:r>
        <w:rPr>
          <w:color w:val="000000" w:themeColor="text1"/>
        </w:rPr>
        <w:fldChar w:fldCharType="begin"/>
      </w:r>
      <w:r>
        <w:rPr>
          <w:color w:val="000000" w:themeColor="text1"/>
        </w:rPr>
        <w:instrText xml:space="preserve"> PAGEREF _Toc534808274 \h </w:instrText>
      </w:r>
      <w:r>
        <w:rPr>
          <w:color w:val="000000" w:themeColor="text1"/>
        </w:rPr>
        <w:fldChar w:fldCharType="separate"/>
      </w:r>
      <w:r>
        <w:rPr>
          <w:color w:val="000000" w:themeColor="text1"/>
        </w:rPr>
        <w:t>84</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十一、供应商认为需要加以说明和磋商文件规定的其它内容</w:t>
      </w:r>
      <w:r>
        <w:rPr>
          <w:color w:val="000000" w:themeColor="text1"/>
        </w:rPr>
        <w:tab/>
      </w:r>
      <w:r>
        <w:rPr>
          <w:color w:val="000000" w:themeColor="text1"/>
        </w:rPr>
        <w:fldChar w:fldCharType="begin"/>
      </w:r>
      <w:r>
        <w:rPr>
          <w:color w:val="000000" w:themeColor="text1"/>
        </w:rPr>
        <w:instrText xml:space="preserve"> PAGEREF _Toc534808275 \h </w:instrText>
      </w:r>
      <w:r>
        <w:rPr>
          <w:color w:val="000000" w:themeColor="text1"/>
        </w:rPr>
        <w:fldChar w:fldCharType="separate"/>
      </w:r>
      <w:r>
        <w:rPr>
          <w:color w:val="000000" w:themeColor="text1"/>
        </w:rPr>
        <w:t>85</w:t>
      </w:r>
      <w:r>
        <w:rPr>
          <w:color w:val="000000" w:themeColor="text1"/>
        </w:rPr>
        <w:fldChar w:fldCharType="end"/>
      </w:r>
    </w:p>
    <w:p>
      <w:pPr>
        <w:pStyle w:val="36"/>
        <w:tabs>
          <w:tab w:val="right" w:leader="dot" w:pos="9628"/>
        </w:tabs>
        <w:snapToGrid w:val="0"/>
        <w:spacing w:beforeAutospacing="0" w:afterAutospacing="0"/>
        <w:rPr>
          <w:rFonts w:asciiTheme="minorHAnsi" w:hAnsiTheme="minorHAnsi" w:eastAsiaTheme="minorEastAsia" w:cstheme="minorBidi"/>
          <w:smallCaps w:val="0"/>
          <w:color w:val="000000" w:themeColor="text1"/>
          <w:kern w:val="2"/>
          <w:sz w:val="21"/>
          <w:szCs w:val="22"/>
        </w:rPr>
      </w:pPr>
      <w:r>
        <w:rPr>
          <w:rFonts w:hint="eastAsia"/>
          <w:color w:val="000000" w:themeColor="text1"/>
        </w:rPr>
        <w:t>十二、最后报价函格式</w:t>
      </w:r>
      <w:r>
        <w:rPr>
          <w:color w:val="000000" w:themeColor="text1"/>
        </w:rPr>
        <w:tab/>
      </w:r>
      <w:r>
        <w:rPr>
          <w:color w:val="000000" w:themeColor="text1"/>
        </w:rPr>
        <w:fldChar w:fldCharType="begin"/>
      </w:r>
      <w:r>
        <w:rPr>
          <w:color w:val="000000" w:themeColor="text1"/>
        </w:rPr>
        <w:instrText xml:space="preserve"> PAGEREF _Toc534808276 \h </w:instrText>
      </w:r>
      <w:r>
        <w:rPr>
          <w:color w:val="000000" w:themeColor="text1"/>
        </w:rPr>
        <w:fldChar w:fldCharType="separate"/>
      </w:r>
      <w:r>
        <w:rPr>
          <w:color w:val="000000" w:themeColor="text1"/>
        </w:rPr>
        <w:t>86</w:t>
      </w:r>
      <w:r>
        <w:rPr>
          <w:color w:val="000000" w:themeColor="text1"/>
        </w:rPr>
        <w:fldChar w:fldCharType="end"/>
      </w:r>
    </w:p>
    <w:p>
      <w:pPr>
        <w:pStyle w:val="31"/>
        <w:tabs>
          <w:tab w:val="right" w:leader="dot" w:pos="9628"/>
        </w:tabs>
        <w:snapToGrid w:val="0"/>
        <w:spacing w:before="0" w:beforeAutospacing="0" w:after="0" w:afterAutospacing="0"/>
        <w:rPr>
          <w:rFonts w:asciiTheme="minorHAnsi" w:hAnsiTheme="minorHAnsi" w:eastAsiaTheme="minorEastAsia" w:cstheme="minorBidi"/>
          <w:b w:val="0"/>
          <w:bCs w:val="0"/>
          <w:caps w:val="0"/>
          <w:color w:val="000000" w:themeColor="text1"/>
          <w:kern w:val="2"/>
          <w:sz w:val="28"/>
          <w:szCs w:val="28"/>
        </w:rPr>
      </w:pPr>
      <w:r>
        <w:rPr>
          <w:rFonts w:hint="eastAsia" w:ascii="宋体" w:hAnsi="宋体" w:cs="Arial"/>
          <w:color w:val="000000" w:themeColor="text1"/>
          <w:kern w:val="2"/>
          <w:sz w:val="28"/>
          <w:szCs w:val="28"/>
        </w:rPr>
        <w:fldChar w:fldCharType="end"/>
      </w:r>
      <w:bookmarkStart w:id="1" w:name="_Toc302051521"/>
      <w:bookmarkStart w:id="2" w:name="_Toc161758117"/>
      <w:bookmarkStart w:id="3" w:name="_Toc189383986"/>
      <w:bookmarkStart w:id="4" w:name="_Toc302050233"/>
    </w:p>
    <w:p>
      <w:pPr>
        <w:spacing w:line="240" w:lineRule="auto"/>
        <w:rPr>
          <w:color w:val="000000" w:themeColor="text1"/>
        </w:rPr>
        <w:sectPr>
          <w:footerReference r:id="rId5" w:type="first"/>
          <w:headerReference r:id="rId3" w:type="default"/>
          <w:footerReference r:id="rId4" w:type="even"/>
          <w:pgSz w:w="11906" w:h="16838"/>
          <w:pgMar w:top="1134" w:right="1134" w:bottom="1134" w:left="1134" w:header="958" w:footer="601" w:gutter="0"/>
          <w:cols w:space="720" w:num="1"/>
          <w:docGrid w:linePitch="324" w:charSpace="0"/>
        </w:sectPr>
      </w:pPr>
    </w:p>
    <w:p>
      <w:pPr>
        <w:pStyle w:val="41"/>
        <w:rPr>
          <w:color w:val="000000" w:themeColor="text1"/>
        </w:rPr>
      </w:pPr>
      <w:bookmarkStart w:id="5" w:name="_Toc487214766"/>
      <w:bookmarkStart w:id="6" w:name="_Toc534808233"/>
      <w:bookmarkStart w:id="7" w:name="_Toc296602401"/>
      <w:bookmarkStart w:id="8" w:name="_Toc246996900"/>
      <w:bookmarkStart w:id="9" w:name="_Toc144974479"/>
      <w:bookmarkStart w:id="10" w:name="_Toc152045511"/>
      <w:bookmarkStart w:id="11" w:name="_Toc247096243"/>
      <w:bookmarkStart w:id="12" w:name="_Toc152042287"/>
      <w:bookmarkStart w:id="13" w:name="_Toc246996157"/>
      <w:bookmarkStart w:id="14" w:name="_Toc179632527"/>
      <w:bookmarkStart w:id="15" w:name="_Toc247085671"/>
      <w:r>
        <w:rPr>
          <w:rFonts w:hint="eastAsia"/>
          <w:color w:val="000000" w:themeColor="text1"/>
        </w:rPr>
        <w:t xml:space="preserve">第一章 </w:t>
      </w:r>
      <w:bookmarkEnd w:id="5"/>
      <w:r>
        <w:rPr>
          <w:rFonts w:hint="eastAsia"/>
          <w:color w:val="000000" w:themeColor="text1"/>
        </w:rPr>
        <w:t>竞争性磋商公告</w:t>
      </w:r>
      <w:bookmarkEnd w:id="6"/>
    </w:p>
    <w:bookmarkEnd w:id="7"/>
    <w:bookmarkEnd w:id="8"/>
    <w:bookmarkEnd w:id="9"/>
    <w:bookmarkEnd w:id="10"/>
    <w:bookmarkEnd w:id="11"/>
    <w:bookmarkEnd w:id="12"/>
    <w:bookmarkEnd w:id="13"/>
    <w:bookmarkEnd w:id="14"/>
    <w:bookmarkEnd w:id="15"/>
    <w:p>
      <w:pPr>
        <w:spacing w:before="0" w:beforeAutospacing="0" w:after="0" w:afterAutospacing="0" w:line="240" w:lineRule="auto"/>
        <w:jc w:val="center"/>
        <w:rPr>
          <w:rFonts w:ascii="宋体" w:hAnsi="宋体"/>
          <w:color w:val="000000" w:themeColor="text1"/>
          <w:sz w:val="30"/>
          <w:szCs w:val="30"/>
        </w:rPr>
      </w:pPr>
      <w:bookmarkStart w:id="16" w:name="_Toc286333061"/>
      <w:bookmarkStart w:id="17" w:name="_Toc487214775"/>
      <w:r>
        <w:rPr>
          <w:rFonts w:hint="eastAsia" w:ascii="宋体" w:hAnsi="宋体"/>
          <w:color w:val="000000" w:themeColor="text1"/>
          <w:szCs w:val="24"/>
        </w:rPr>
        <w:t>（采购编号：</w:t>
      </w:r>
      <w:r>
        <w:rPr>
          <w:rFonts w:hint="eastAsia" w:ascii="宋体" w:hAnsi="宋体"/>
          <w:color w:val="000000" w:themeColor="text1"/>
          <w:szCs w:val="24"/>
          <w:lang w:eastAsia="zh-CN"/>
        </w:rPr>
        <w:t>HNZH-2020-320</w:t>
      </w:r>
      <w:r>
        <w:rPr>
          <w:rFonts w:hint="eastAsia" w:ascii="宋体" w:hAnsi="宋体"/>
          <w:color w:val="000000" w:themeColor="text1"/>
          <w:szCs w:val="24"/>
        </w:rPr>
        <w:t>）</w:t>
      </w:r>
    </w:p>
    <w:p>
      <w:pPr>
        <w:pStyle w:val="4"/>
        <w:jc w:val="left"/>
        <w:rPr>
          <w:rFonts w:asciiTheme="minorEastAsia" w:hAnsiTheme="minorEastAsia" w:eastAsiaTheme="minorEastAsia"/>
          <w:color w:val="000000" w:themeColor="text1"/>
          <w:sz w:val="24"/>
          <w:szCs w:val="24"/>
        </w:rPr>
      </w:pPr>
      <w:bookmarkStart w:id="18" w:name="_Toc449193526"/>
      <w:bookmarkStart w:id="19" w:name="_Toc449194177"/>
      <w:bookmarkStart w:id="20" w:name="_Toc487214767"/>
      <w:bookmarkStart w:id="21" w:name="_Toc487729868"/>
      <w:bookmarkStart w:id="22" w:name="_Toc527970774"/>
      <w:bookmarkStart w:id="23" w:name="_Toc534808234"/>
      <w:bookmarkStart w:id="24" w:name="_Toc527978784"/>
      <w:r>
        <w:rPr>
          <w:rFonts w:hint="eastAsia" w:asciiTheme="minorEastAsia" w:hAnsiTheme="minorEastAsia" w:eastAsiaTheme="minorEastAsia"/>
          <w:color w:val="000000" w:themeColor="text1"/>
          <w:sz w:val="24"/>
          <w:szCs w:val="24"/>
        </w:rPr>
        <w:t>1. 采购条件</w:t>
      </w:r>
      <w:bookmarkEnd w:id="16"/>
      <w:bookmarkEnd w:id="18"/>
      <w:bookmarkEnd w:id="19"/>
      <w:bookmarkEnd w:id="20"/>
      <w:bookmarkEnd w:id="21"/>
      <w:bookmarkEnd w:id="22"/>
      <w:bookmarkEnd w:id="23"/>
      <w:bookmarkEnd w:id="24"/>
    </w:p>
    <w:p>
      <w:pPr>
        <w:pStyle w:val="143"/>
        <w:snapToGrid w:val="0"/>
        <w:spacing w:line="360" w:lineRule="auto"/>
        <w:ind w:firstLine="480" w:firstLineChars="200"/>
        <w:rPr>
          <w:rFonts w:asciiTheme="minorEastAsia" w:hAnsiTheme="minorEastAsia" w:eastAsiaTheme="minorEastAsia"/>
          <w:b/>
          <w:color w:val="000000" w:themeColor="text1"/>
          <w:sz w:val="24"/>
          <w:szCs w:val="24"/>
          <w:u w:val="single"/>
        </w:rPr>
      </w:pPr>
      <w:r>
        <w:rPr>
          <w:rFonts w:hint="eastAsia" w:asciiTheme="minorEastAsia" w:hAnsiTheme="minorEastAsia" w:eastAsiaTheme="minorEastAsia"/>
          <w:color w:val="000000" w:themeColor="text1"/>
          <w:sz w:val="24"/>
          <w:szCs w:val="24"/>
          <w:u w:val="single"/>
          <w:lang w:eastAsia="zh-CN"/>
        </w:rPr>
        <w:t>东澳镇老爷海退出池塘拆除服务项目</w:t>
      </w:r>
      <w:r>
        <w:rPr>
          <w:rFonts w:hint="eastAsia" w:asciiTheme="minorEastAsia" w:hAnsiTheme="minorEastAsia" w:eastAsiaTheme="minorEastAsia"/>
          <w:color w:val="000000" w:themeColor="text1"/>
          <w:sz w:val="24"/>
          <w:szCs w:val="24"/>
        </w:rPr>
        <w:t>由</w:t>
      </w:r>
      <w:r>
        <w:rPr>
          <w:rFonts w:hint="eastAsia" w:asciiTheme="minorEastAsia" w:hAnsiTheme="minorEastAsia" w:eastAsiaTheme="minorEastAsia"/>
          <w:color w:val="000000" w:themeColor="text1"/>
          <w:sz w:val="24"/>
          <w:szCs w:val="24"/>
          <w:u w:val="single"/>
          <w:lang w:eastAsia="zh-CN"/>
        </w:rPr>
        <w:t>万宁市东澳镇人民政府</w:t>
      </w:r>
      <w:r>
        <w:rPr>
          <w:rFonts w:hint="eastAsia" w:asciiTheme="minorEastAsia" w:hAnsiTheme="minorEastAsia" w:eastAsiaTheme="minorEastAsia"/>
          <w:color w:val="000000" w:themeColor="text1"/>
          <w:sz w:val="24"/>
          <w:szCs w:val="24"/>
        </w:rPr>
        <w:t>委托</w:t>
      </w:r>
      <w:r>
        <w:rPr>
          <w:rFonts w:hint="eastAsia" w:asciiTheme="minorEastAsia" w:hAnsiTheme="minorEastAsia" w:eastAsiaTheme="minorEastAsia"/>
          <w:color w:val="000000" w:themeColor="text1"/>
          <w:kern w:val="2"/>
          <w:sz w:val="24"/>
          <w:szCs w:val="24"/>
          <w:u w:val="single"/>
        </w:rPr>
        <w:t>海南政辉招投标代理有限公司</w:t>
      </w:r>
      <w:r>
        <w:rPr>
          <w:rFonts w:hint="eastAsia" w:asciiTheme="minorEastAsia" w:hAnsiTheme="minorEastAsia" w:eastAsiaTheme="minorEastAsia"/>
          <w:color w:val="000000" w:themeColor="text1"/>
          <w:kern w:val="2"/>
          <w:sz w:val="24"/>
          <w:szCs w:val="24"/>
        </w:rPr>
        <w:t>（以下简称“代理机构”），采用竞争性磋商方式邀请合格施工单位（以下简称“供应商”）就本项目参加磋商。</w:t>
      </w:r>
    </w:p>
    <w:p>
      <w:pPr>
        <w:pStyle w:val="4"/>
        <w:jc w:val="left"/>
        <w:rPr>
          <w:rFonts w:asciiTheme="minorEastAsia" w:hAnsiTheme="minorEastAsia" w:eastAsiaTheme="minorEastAsia"/>
          <w:color w:val="000000" w:themeColor="text1"/>
          <w:sz w:val="24"/>
          <w:szCs w:val="24"/>
        </w:rPr>
      </w:pPr>
      <w:bookmarkStart w:id="25" w:name="_Toc286333062"/>
      <w:bookmarkStart w:id="26" w:name="_Toc534808235"/>
      <w:bookmarkStart w:id="27" w:name="_Toc487214768"/>
      <w:bookmarkStart w:id="28" w:name="_Toc527978785"/>
      <w:bookmarkStart w:id="29" w:name="_Toc527970775"/>
      <w:bookmarkStart w:id="30" w:name="_Toc449193527"/>
      <w:bookmarkStart w:id="31" w:name="_Toc487729869"/>
      <w:bookmarkStart w:id="32" w:name="_Toc449194178"/>
      <w:r>
        <w:rPr>
          <w:rFonts w:hint="eastAsia" w:asciiTheme="minorEastAsia" w:hAnsiTheme="minorEastAsia" w:eastAsiaTheme="minorEastAsia"/>
          <w:color w:val="000000" w:themeColor="text1"/>
          <w:sz w:val="24"/>
          <w:szCs w:val="24"/>
        </w:rPr>
        <w:t>2</w:t>
      </w:r>
      <w:bookmarkEnd w:id="25"/>
      <w:r>
        <w:rPr>
          <w:rFonts w:hint="eastAsia" w:asciiTheme="minorEastAsia" w:hAnsiTheme="minorEastAsia" w:eastAsiaTheme="minorEastAsia"/>
          <w:color w:val="000000" w:themeColor="text1"/>
          <w:sz w:val="24"/>
          <w:szCs w:val="24"/>
        </w:rPr>
        <w:t>. 项目概况</w:t>
      </w:r>
      <w:bookmarkEnd w:id="26"/>
      <w:bookmarkEnd w:id="27"/>
      <w:bookmarkEnd w:id="28"/>
      <w:bookmarkEnd w:id="29"/>
      <w:bookmarkEnd w:id="30"/>
      <w:bookmarkEnd w:id="31"/>
      <w:bookmarkEnd w:id="32"/>
    </w:p>
    <w:p>
      <w:pPr>
        <w:pStyle w:val="143"/>
        <w:snapToGrid w:val="0"/>
        <w:spacing w:line="360" w:lineRule="auto"/>
        <w:ind w:firstLine="480" w:firstLineChars="200"/>
        <w:rPr>
          <w:rFonts w:asciiTheme="minorEastAsia" w:hAnsiTheme="minorEastAsia" w:eastAsiaTheme="minorEastAsia"/>
          <w:color w:val="000000" w:themeColor="text1"/>
          <w:sz w:val="24"/>
          <w:szCs w:val="24"/>
        </w:rPr>
      </w:pPr>
      <w:bookmarkStart w:id="33" w:name="_Toc449194181"/>
      <w:bookmarkStart w:id="34" w:name="_Toc449193530"/>
      <w:r>
        <w:rPr>
          <w:rFonts w:hint="eastAsia" w:asciiTheme="minorEastAsia" w:hAnsiTheme="minorEastAsia" w:eastAsiaTheme="minorEastAsia"/>
          <w:color w:val="000000" w:themeColor="text1"/>
          <w:sz w:val="24"/>
          <w:szCs w:val="24"/>
        </w:rPr>
        <w:t>2.1 项目名称：</w:t>
      </w:r>
      <w:r>
        <w:rPr>
          <w:rFonts w:hint="eastAsia" w:asciiTheme="minorEastAsia" w:hAnsiTheme="minorEastAsia" w:eastAsiaTheme="minorEastAsia"/>
          <w:color w:val="000000" w:themeColor="text1"/>
          <w:sz w:val="24"/>
          <w:szCs w:val="24"/>
          <w:lang w:eastAsia="zh-CN"/>
        </w:rPr>
        <w:t>东澳镇老爷海退出池塘拆除服务项目</w:t>
      </w:r>
      <w:r>
        <w:rPr>
          <w:rFonts w:hint="eastAsia" w:asciiTheme="minorEastAsia" w:hAnsiTheme="minorEastAsia" w:eastAsiaTheme="minorEastAsia"/>
          <w:color w:val="000000" w:themeColor="text1"/>
          <w:sz w:val="24"/>
          <w:szCs w:val="24"/>
        </w:rPr>
        <w:t>。</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2.2 计划工期：</w:t>
      </w:r>
      <w:r>
        <w:rPr>
          <w:rFonts w:hint="eastAsia" w:asciiTheme="minorEastAsia" w:hAnsiTheme="minorEastAsia" w:eastAsiaTheme="minorEastAsia"/>
          <w:color w:val="000000" w:themeColor="text1"/>
          <w:sz w:val="24"/>
          <w:szCs w:val="24"/>
          <w:lang w:val="en-US" w:eastAsia="zh-CN"/>
        </w:rPr>
        <w:t>45</w:t>
      </w:r>
      <w:r>
        <w:rPr>
          <w:rFonts w:hint="eastAsia" w:asciiTheme="minorEastAsia" w:hAnsiTheme="minorEastAsia" w:eastAsiaTheme="minorEastAsia"/>
          <w:color w:val="000000" w:themeColor="text1"/>
          <w:sz w:val="24"/>
          <w:szCs w:val="24"/>
        </w:rPr>
        <w:t>日历天（具体日期根据甲方实际情况安排调整）。</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2.3 项目地点：万宁市东澳镇</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2.4采购范围：本服务项目东澳镇老爷海退出池塘拆除总面积1261.6141亩、拆除185户。内容包含；挖掘机挖池塘围堤坝多余土方、清运等107280.16m3；拆除养殖池设施障碍物(砖石闸门)494.31m3；拆除砼地板障碍物(无筋) 10421.17*0.1=1042.12 m3；拆除埋地φ600砼污水管道14633.68m；砍伐养殖池周边杂草、小灌木林等23546.34m2；伐树养殖池周边乔木树823棵(其中φ10cm胸径乔木树793棵，φ35cm胸径乔木树30棵)；拆除养殖设施4mm2电缆线15925.52m；拆除养殖设施电缆线杆670根 ；8T车运拆除养殖池设施障碍物(砖石、水泥地板、砼污水管道等)、杂草、伐树乔木树、漂浮杂物等垃圾外弃15556.77m3；运距5km及履带式挖掘机场外运输等具体详见工程量清单。</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2.5 采购预算：¥</w:t>
      </w:r>
      <w:r>
        <w:rPr>
          <w:rFonts w:hint="eastAsia" w:asciiTheme="minorEastAsia" w:hAnsiTheme="minorEastAsia" w:eastAsiaTheme="minorEastAsia"/>
          <w:color w:val="000000" w:themeColor="text1"/>
          <w:sz w:val="24"/>
          <w:szCs w:val="24"/>
          <w:lang w:eastAsia="zh-CN"/>
        </w:rPr>
        <w:t>2328006.04</w:t>
      </w:r>
      <w:r>
        <w:rPr>
          <w:rFonts w:hint="eastAsia" w:asciiTheme="minorEastAsia" w:hAnsiTheme="minorEastAsia" w:eastAsiaTheme="minorEastAsia"/>
          <w:color w:val="000000" w:themeColor="text1"/>
          <w:sz w:val="24"/>
          <w:szCs w:val="24"/>
        </w:rPr>
        <w:t>元</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2.6 资金来源：政府投资</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2.7 质量要求：达到国家和地方规定施工验收规范合格标准。</w:t>
      </w:r>
    </w:p>
    <w:p>
      <w:pPr>
        <w:pStyle w:val="4"/>
        <w:jc w:val="left"/>
        <w:rPr>
          <w:rFonts w:asciiTheme="minorEastAsia" w:hAnsiTheme="minorEastAsia" w:eastAsiaTheme="minorEastAsia"/>
          <w:color w:val="000000" w:themeColor="text1"/>
          <w:sz w:val="24"/>
          <w:szCs w:val="24"/>
        </w:rPr>
      </w:pPr>
      <w:bookmarkStart w:id="35" w:name="_Toc527970776"/>
      <w:bookmarkStart w:id="36" w:name="_Toc487729870"/>
      <w:bookmarkStart w:id="37" w:name="_Toc527978786"/>
      <w:bookmarkStart w:id="38" w:name="_Toc487214769"/>
      <w:bookmarkStart w:id="39" w:name="_Toc534808236"/>
      <w:r>
        <w:rPr>
          <w:rFonts w:hint="eastAsia" w:asciiTheme="minorEastAsia" w:hAnsiTheme="minorEastAsia" w:eastAsiaTheme="minorEastAsia"/>
          <w:color w:val="000000" w:themeColor="text1"/>
          <w:sz w:val="24"/>
          <w:szCs w:val="24"/>
        </w:rPr>
        <w:t>3.</w:t>
      </w:r>
      <w:bookmarkEnd w:id="33"/>
      <w:bookmarkEnd w:id="34"/>
      <w:bookmarkEnd w:id="35"/>
      <w:bookmarkEnd w:id="36"/>
      <w:bookmarkEnd w:id="37"/>
      <w:bookmarkEnd w:id="38"/>
      <w:bookmarkStart w:id="40" w:name="_Toc449193533"/>
      <w:bookmarkStart w:id="41" w:name="_Toc449194184"/>
      <w:r>
        <w:rPr>
          <w:rFonts w:hint="eastAsia" w:asciiTheme="minorEastAsia" w:hAnsiTheme="minorEastAsia" w:eastAsiaTheme="minorEastAsia"/>
          <w:color w:val="000000" w:themeColor="text1"/>
          <w:sz w:val="24"/>
          <w:szCs w:val="24"/>
        </w:rPr>
        <w:t xml:space="preserve"> 供应商资格要求</w:t>
      </w:r>
      <w:bookmarkEnd w:id="39"/>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3.1 符合《中华人民共和国政府采购法》第二十二条（一）至（六）的规定，即：</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1）具有独立承担民事责任的能力； </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2）具有良好的商业信誉和健全的财务会计制度； </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3）具有履行合同所必需的设备和专业技术能力； </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4）有依法缴纳税收和社会保障资金的良好记录； </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5）参加政府采购活动前三年内，在经营活动中没有重大违法记录（重大违法记录是指供应商因违法经营受到刑事处罚或者责令停产停业、吊销许可证或者执照、较大数额罚款等行政处罚）； </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6）法律、行政法规规定的其他条件。</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3.2 本项目不接受联合体投标。</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3.3 向采购代理机构购买了竞争性磋商文件并登记备案。</w:t>
      </w:r>
    </w:p>
    <w:p>
      <w:pPr>
        <w:pStyle w:val="18"/>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3.4单位负责人为同一人或者存在控股、管理关系的不同单位，不得同时参加本项目的磋商。</w:t>
      </w:r>
      <w:r>
        <w:rPr>
          <w:rFonts w:hint="eastAsia" w:ascii="宋体" w:hAnsi="宋体" w:cs="宋体"/>
          <w:color w:val="000000" w:themeColor="text1"/>
          <w:shd w:val="clear" w:color="auto" w:fill="FFFFFF"/>
        </w:rPr>
        <w:t>为采购项目提供整体设计、规范编制或者项目管理、监理、检测等服务的供应商，不得再参加该采购项目的其他采购活动</w:t>
      </w:r>
      <w:r>
        <w:rPr>
          <w:rFonts w:hint="eastAsia"/>
          <w:color w:val="000000" w:themeColor="text1"/>
        </w:rPr>
        <w:t>”</w:t>
      </w:r>
      <w:r>
        <w:rPr>
          <w:rFonts w:hint="eastAsia" w:ascii="宋体" w:hAnsi="宋体" w:cs="宋体"/>
          <w:color w:val="000000" w:themeColor="text1"/>
          <w:shd w:val="clear" w:color="auto" w:fill="FFFFFF"/>
        </w:rPr>
        <w:t>（提供承诺函原件加盖公章）</w:t>
      </w:r>
      <w:r>
        <w:rPr>
          <w:rFonts w:hint="eastAsia" w:asciiTheme="minorEastAsia" w:hAnsiTheme="minorEastAsia" w:eastAsiaTheme="minorEastAsia"/>
          <w:color w:val="000000" w:themeColor="text1"/>
          <w:szCs w:val="24"/>
        </w:rPr>
        <w:t>。</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3.5 供应商的特定资格条件：</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1）在中华人民共和国注册的、具有独立承担民事责任能力的法人和有效的安全生产许可证，具备建设行政主管部门颁发的建筑工程施工总承包叁级（含）或以上级资质；</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w:t>
      </w:r>
      <w:r>
        <w:rPr>
          <w:rFonts w:hint="eastAsia" w:asciiTheme="minorEastAsia" w:hAnsiTheme="minorEastAsia" w:eastAsiaTheme="minorEastAsia"/>
          <w:color w:val="000000" w:themeColor="text1"/>
          <w:sz w:val="24"/>
          <w:szCs w:val="24"/>
          <w:shd w:val="clear" w:color="auto" w:fill="FFFFFF"/>
        </w:rPr>
        <w:t>拟派项目经理须具备建筑工程专业二级或以上注册建造师执业资格；</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4）供应商须在海南省住房和城乡建设厅海南省房屋建筑工程全过程监管信息平台完成《海南省建筑企业诚信档案手册》登记，提供平台生成的诚信档案手册；</w:t>
      </w:r>
    </w:p>
    <w:p>
      <w:pPr>
        <w:pStyle w:val="143"/>
        <w:snapToGrid w:val="0"/>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5）信誉要求：在近三年内没有骗取中标和严重违约及重大工程质量问题，在经营活动中没有重大违法记录，没有处于被责令停业，投标资格被取消，财产被接管、冻结，破产状态（须提供承诺函，格式自拟）。</w:t>
      </w:r>
    </w:p>
    <w:bookmarkEnd w:id="40"/>
    <w:bookmarkEnd w:id="41"/>
    <w:p>
      <w:pPr>
        <w:pStyle w:val="4"/>
        <w:jc w:val="left"/>
        <w:rPr>
          <w:rFonts w:asciiTheme="minorEastAsia" w:hAnsiTheme="minorEastAsia" w:eastAsiaTheme="minorEastAsia"/>
          <w:color w:val="000000" w:themeColor="text1"/>
          <w:sz w:val="24"/>
          <w:szCs w:val="24"/>
        </w:rPr>
      </w:pPr>
      <w:bookmarkStart w:id="42" w:name="_Toc534808237"/>
      <w:r>
        <w:rPr>
          <w:rFonts w:hint="eastAsia" w:asciiTheme="minorEastAsia" w:hAnsiTheme="minorEastAsia" w:eastAsiaTheme="minorEastAsia"/>
          <w:color w:val="000000" w:themeColor="text1"/>
          <w:sz w:val="24"/>
          <w:szCs w:val="24"/>
        </w:rPr>
        <w:t>4. 购买竞争性磋商文件时间和地点</w:t>
      </w:r>
      <w:bookmarkEnd w:id="42"/>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4.1 凡有意参加者，请于2020年</w:t>
      </w:r>
      <w:r>
        <w:rPr>
          <w:rFonts w:hint="eastAsia" w:asciiTheme="minorEastAsia" w:hAnsiTheme="minorEastAsia" w:eastAsiaTheme="minorEastAsia"/>
          <w:color w:val="000000" w:themeColor="text1"/>
          <w:szCs w:val="24"/>
          <w:lang w:val="en-US" w:eastAsia="zh-CN"/>
        </w:rPr>
        <w:t>10</w:t>
      </w:r>
      <w:r>
        <w:rPr>
          <w:rFonts w:hint="eastAsia" w:asciiTheme="minorEastAsia" w:hAnsiTheme="minorEastAsia" w:eastAsiaTheme="minorEastAsia"/>
          <w:color w:val="000000" w:themeColor="text1"/>
          <w:szCs w:val="24"/>
        </w:rPr>
        <w:t>月</w:t>
      </w:r>
      <w:r>
        <w:rPr>
          <w:rFonts w:hint="eastAsia" w:asciiTheme="minorEastAsia" w:hAnsiTheme="minorEastAsia" w:eastAsiaTheme="minorEastAsia"/>
          <w:color w:val="000000" w:themeColor="text1"/>
          <w:szCs w:val="24"/>
          <w:lang w:val="en-US" w:eastAsia="zh-CN"/>
        </w:rPr>
        <w:t>16</w:t>
      </w:r>
      <w:r>
        <w:rPr>
          <w:rFonts w:hint="eastAsia" w:asciiTheme="minorEastAsia" w:hAnsiTheme="minorEastAsia" w:eastAsiaTheme="minorEastAsia"/>
          <w:color w:val="000000" w:themeColor="text1"/>
          <w:szCs w:val="24"/>
        </w:rPr>
        <w:t>日至2020年</w:t>
      </w:r>
      <w:r>
        <w:rPr>
          <w:rFonts w:hint="eastAsia" w:asciiTheme="minorEastAsia" w:hAnsiTheme="minorEastAsia" w:eastAsiaTheme="minorEastAsia"/>
          <w:color w:val="000000" w:themeColor="text1"/>
          <w:szCs w:val="24"/>
          <w:lang w:val="en-US" w:eastAsia="zh-CN"/>
        </w:rPr>
        <w:t>10</w:t>
      </w:r>
      <w:r>
        <w:rPr>
          <w:rFonts w:hint="eastAsia" w:asciiTheme="minorEastAsia" w:hAnsiTheme="minorEastAsia" w:eastAsiaTheme="minorEastAsia"/>
          <w:color w:val="000000" w:themeColor="text1"/>
          <w:szCs w:val="24"/>
        </w:rPr>
        <w:t>月</w:t>
      </w:r>
      <w:r>
        <w:rPr>
          <w:rFonts w:hint="eastAsia" w:asciiTheme="minorEastAsia" w:hAnsiTheme="minorEastAsia" w:eastAsiaTheme="minorEastAsia"/>
          <w:color w:val="000000" w:themeColor="text1"/>
          <w:szCs w:val="24"/>
          <w:lang w:val="en-US" w:eastAsia="zh-CN"/>
        </w:rPr>
        <w:t>22</w:t>
      </w:r>
      <w:r>
        <w:rPr>
          <w:rFonts w:hint="eastAsia" w:asciiTheme="minorEastAsia" w:hAnsiTheme="minorEastAsia" w:eastAsiaTheme="minorEastAsia"/>
          <w:color w:val="000000" w:themeColor="text1"/>
          <w:szCs w:val="24"/>
        </w:rPr>
        <w:t>日（每天8:30-12:00，14:30-17:30，周六、周日及法定节假日除外），海口市五指山路康业花园西湖苑G栋2A。</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4.2报名要求资料：</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1）报名时提交的材料</w:t>
      </w:r>
      <w:r>
        <w:rPr>
          <w:rFonts w:hint="eastAsia" w:ascii="宋体" w:hAnsi="宋体" w:cs="宋体"/>
          <w:color w:val="000000" w:themeColor="text1"/>
        </w:rPr>
        <w:t>（</w:t>
      </w:r>
      <w:r>
        <w:rPr>
          <w:rFonts w:hint="eastAsia" w:ascii="宋体" w:hAnsi="宋体" w:cs="宋体"/>
          <w:b/>
          <w:color w:val="000000" w:themeColor="text1"/>
        </w:rPr>
        <w:t>现场核查原件，收加盖公章复印件</w:t>
      </w:r>
      <w:r>
        <w:rPr>
          <w:rFonts w:hint="eastAsia" w:ascii="宋体" w:hAnsi="宋体" w:cs="宋体"/>
          <w:color w:val="000000" w:themeColor="text1"/>
        </w:rPr>
        <w:t>）</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2）供应商法定代表人身份证明、授权委托书及被授权人的有效身份证明原件及复印件（加盖公章）</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3）企业营业执照、企业资质证书复印件</w:t>
      </w:r>
    </w:p>
    <w:p>
      <w:pPr>
        <w:pStyle w:val="2"/>
        <w:ind w:firstLine="480"/>
        <w:rPr>
          <w:rFonts w:ascii="宋体" w:hAnsi="宋体" w:cs="宋体"/>
          <w:color w:val="000000" w:themeColor="text1"/>
          <w:sz w:val="24"/>
        </w:rPr>
      </w:pPr>
      <w:r>
        <w:rPr>
          <w:rFonts w:hint="eastAsia" w:asciiTheme="minorEastAsia" w:hAnsiTheme="minorEastAsia" w:eastAsiaTheme="minorEastAsia"/>
          <w:color w:val="000000" w:themeColor="text1"/>
          <w:kern w:val="0"/>
          <w:sz w:val="24"/>
        </w:rPr>
        <w:t>4）</w:t>
      </w:r>
      <w:r>
        <w:rPr>
          <w:rFonts w:hint="eastAsia" w:ascii="宋体" w:hAnsi="宋体" w:cs="宋体"/>
          <w:color w:val="000000" w:themeColor="text1"/>
          <w:sz w:val="24"/>
        </w:rPr>
        <w:t>2020年任意一个月的纳税缴纳证明材料和社保缴纳证明材料</w:t>
      </w:r>
    </w:p>
    <w:p>
      <w:pPr>
        <w:pStyle w:val="2"/>
        <w:ind w:firstLine="480"/>
        <w:rPr>
          <w:rFonts w:ascii="宋体" w:hAnsi="宋体" w:cs="宋体"/>
          <w:color w:val="000000" w:themeColor="text1"/>
          <w:sz w:val="24"/>
        </w:rPr>
      </w:pPr>
      <w:r>
        <w:rPr>
          <w:rFonts w:hint="eastAsia" w:asciiTheme="minorEastAsia" w:hAnsiTheme="minorEastAsia" w:eastAsiaTheme="minorEastAsia"/>
          <w:color w:val="000000" w:themeColor="text1"/>
          <w:kern w:val="0"/>
          <w:sz w:val="24"/>
        </w:rPr>
        <w:t>5）</w:t>
      </w:r>
      <w:r>
        <w:rPr>
          <w:rFonts w:hint="eastAsia" w:ascii="宋体" w:hAnsi="宋体" w:cs="宋体"/>
          <w:color w:val="000000" w:themeColor="text1"/>
          <w:sz w:val="24"/>
        </w:rPr>
        <w:t>无违法记录声明函</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4.3 竞争性磋商文件售价：人民币300元（/包），售后不退。</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4.4 供应商提问截止时间：2020年</w:t>
      </w:r>
      <w:r>
        <w:rPr>
          <w:rFonts w:hint="eastAsia" w:asciiTheme="minorEastAsia" w:hAnsiTheme="minorEastAsia" w:eastAsiaTheme="minorEastAsia"/>
          <w:color w:val="000000" w:themeColor="text1"/>
          <w:szCs w:val="24"/>
          <w:lang w:val="en-US" w:eastAsia="zh-CN"/>
        </w:rPr>
        <w:t>10</w:t>
      </w:r>
      <w:r>
        <w:rPr>
          <w:rFonts w:hint="eastAsia" w:asciiTheme="minorEastAsia" w:hAnsiTheme="minorEastAsia" w:eastAsiaTheme="minorEastAsia"/>
          <w:color w:val="000000" w:themeColor="text1"/>
          <w:szCs w:val="24"/>
        </w:rPr>
        <w:t>月</w:t>
      </w:r>
      <w:r>
        <w:rPr>
          <w:rFonts w:hint="eastAsia" w:asciiTheme="minorEastAsia" w:hAnsiTheme="minorEastAsia" w:eastAsiaTheme="minorEastAsia"/>
          <w:color w:val="000000" w:themeColor="text1"/>
          <w:szCs w:val="24"/>
          <w:lang w:val="en-US" w:eastAsia="zh-CN"/>
        </w:rPr>
        <w:t>22</w:t>
      </w:r>
      <w:r>
        <w:rPr>
          <w:rFonts w:hint="eastAsia" w:asciiTheme="minorEastAsia" w:hAnsiTheme="minorEastAsia" w:eastAsiaTheme="minorEastAsia"/>
          <w:color w:val="000000" w:themeColor="text1"/>
          <w:szCs w:val="24"/>
        </w:rPr>
        <w:t>日17:30时（北京时间）。</w:t>
      </w:r>
    </w:p>
    <w:p>
      <w:pPr>
        <w:pStyle w:val="4"/>
        <w:jc w:val="left"/>
        <w:rPr>
          <w:rFonts w:asciiTheme="minorEastAsia" w:hAnsiTheme="minorEastAsia" w:eastAsiaTheme="minorEastAsia"/>
          <w:color w:val="000000" w:themeColor="text1"/>
          <w:sz w:val="24"/>
          <w:szCs w:val="24"/>
        </w:rPr>
      </w:pPr>
      <w:bookmarkStart w:id="43" w:name="_Toc534808238"/>
      <w:r>
        <w:rPr>
          <w:rFonts w:hint="eastAsia" w:asciiTheme="minorEastAsia" w:hAnsiTheme="minorEastAsia" w:eastAsiaTheme="minorEastAsia"/>
          <w:color w:val="000000" w:themeColor="text1"/>
          <w:sz w:val="24"/>
          <w:szCs w:val="24"/>
        </w:rPr>
        <w:t>5. 响应文件递交</w:t>
      </w:r>
      <w:bookmarkEnd w:id="43"/>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5.1 响应文件递交截止时间：2020年</w:t>
      </w:r>
      <w:r>
        <w:rPr>
          <w:rFonts w:hint="eastAsia" w:asciiTheme="minorEastAsia" w:hAnsiTheme="minorEastAsia" w:eastAsiaTheme="minorEastAsia"/>
          <w:color w:val="000000" w:themeColor="text1"/>
          <w:szCs w:val="24"/>
          <w:lang w:val="en-US" w:eastAsia="zh-CN"/>
        </w:rPr>
        <w:t>10</w:t>
      </w:r>
      <w:r>
        <w:rPr>
          <w:rFonts w:hint="eastAsia" w:asciiTheme="minorEastAsia" w:hAnsiTheme="minorEastAsia" w:eastAsiaTheme="minorEastAsia"/>
          <w:color w:val="000000" w:themeColor="text1"/>
          <w:szCs w:val="24"/>
        </w:rPr>
        <w:t>月</w:t>
      </w:r>
      <w:r>
        <w:rPr>
          <w:rFonts w:hint="eastAsia" w:asciiTheme="minorEastAsia" w:hAnsiTheme="minorEastAsia" w:eastAsiaTheme="minorEastAsia"/>
          <w:color w:val="000000" w:themeColor="text1"/>
          <w:szCs w:val="24"/>
          <w:lang w:val="en-US" w:eastAsia="zh-CN"/>
        </w:rPr>
        <w:t>26</w:t>
      </w:r>
      <w:r>
        <w:rPr>
          <w:rFonts w:hint="eastAsia" w:asciiTheme="minorEastAsia" w:hAnsiTheme="minorEastAsia" w:eastAsiaTheme="minorEastAsia"/>
          <w:color w:val="000000" w:themeColor="text1"/>
          <w:szCs w:val="24"/>
        </w:rPr>
        <w:t>日</w:t>
      </w:r>
      <w:r>
        <w:rPr>
          <w:rFonts w:hint="eastAsia" w:asciiTheme="minorEastAsia" w:hAnsiTheme="minorEastAsia" w:eastAsiaTheme="minorEastAsia"/>
          <w:color w:val="000000" w:themeColor="text1"/>
          <w:szCs w:val="24"/>
          <w:lang w:val="en-US" w:eastAsia="zh-CN"/>
        </w:rPr>
        <w:t>08</w:t>
      </w:r>
      <w:r>
        <w:rPr>
          <w:rFonts w:asciiTheme="minorEastAsia" w:hAnsiTheme="minorEastAsia" w:eastAsiaTheme="minorEastAsia"/>
          <w:color w:val="000000" w:themeColor="text1"/>
          <w:szCs w:val="24"/>
        </w:rPr>
        <w:t>:</w:t>
      </w:r>
      <w:r>
        <w:rPr>
          <w:rFonts w:hint="eastAsia" w:asciiTheme="minorEastAsia" w:hAnsiTheme="minorEastAsia" w:eastAsiaTheme="minorEastAsia"/>
          <w:color w:val="000000" w:themeColor="text1"/>
          <w:szCs w:val="24"/>
          <w:lang w:val="en-US" w:eastAsia="zh-CN"/>
        </w:rPr>
        <w:t>3</w:t>
      </w:r>
      <w:r>
        <w:rPr>
          <w:rFonts w:hint="eastAsia" w:asciiTheme="minorEastAsia" w:hAnsiTheme="minorEastAsia" w:eastAsiaTheme="minorEastAsia"/>
          <w:color w:val="000000" w:themeColor="text1"/>
          <w:szCs w:val="24"/>
        </w:rPr>
        <w:t>0时（北京时间）。</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5.2 响应文件递交地址：海口市美兰区五指山路16-3号康业花园西湖苑G栋2A。</w:t>
      </w:r>
    </w:p>
    <w:p>
      <w:pPr>
        <w:pStyle w:val="4"/>
        <w:jc w:val="left"/>
        <w:rPr>
          <w:rFonts w:asciiTheme="minorEastAsia" w:hAnsiTheme="minorEastAsia" w:eastAsiaTheme="minorEastAsia"/>
          <w:color w:val="000000" w:themeColor="text1"/>
          <w:sz w:val="24"/>
          <w:szCs w:val="24"/>
        </w:rPr>
      </w:pPr>
      <w:bookmarkStart w:id="44" w:name="_Toc534808239"/>
      <w:r>
        <w:rPr>
          <w:rFonts w:hint="eastAsia" w:asciiTheme="minorEastAsia" w:hAnsiTheme="minorEastAsia" w:eastAsiaTheme="minorEastAsia"/>
          <w:color w:val="000000" w:themeColor="text1"/>
          <w:sz w:val="24"/>
          <w:szCs w:val="24"/>
        </w:rPr>
        <w:t>6. 公告发布媒介及期限</w:t>
      </w:r>
      <w:bookmarkEnd w:id="44"/>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6.1 公告发布媒介：全国公共资源交易平台网（海南省）（http://zw.hainan.gov.cn/ggzy)</w:t>
      </w:r>
      <w:r>
        <w:rPr>
          <w:rFonts w:hint="eastAsia" w:asciiTheme="minorEastAsia" w:hAnsiTheme="minorEastAsia" w:eastAsiaTheme="minorEastAsia"/>
          <w:color w:val="000000" w:themeColor="text1"/>
          <w:szCs w:val="24"/>
          <w:lang w:eastAsia="zh-CN"/>
        </w:rPr>
        <w:t>、</w:t>
      </w:r>
      <w:r>
        <w:rPr>
          <w:rFonts w:hint="eastAsia" w:asciiTheme="minorEastAsia" w:hAnsiTheme="minorEastAsia" w:eastAsiaTheme="minorEastAsia"/>
          <w:color w:val="000000" w:themeColor="text1"/>
          <w:szCs w:val="24"/>
        </w:rPr>
        <w:t>中国海南政府采购网（https://www.ccgp-hainan.gov.cn/zhuzhan/）。</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6.2 公告期限：全国公共资源交易平台网（海南省）（http://zw.hainan.gov.cn/ggzy)</w:t>
      </w:r>
      <w:r>
        <w:rPr>
          <w:rFonts w:hint="eastAsia" w:asciiTheme="minorEastAsia" w:hAnsiTheme="minorEastAsia" w:eastAsiaTheme="minorEastAsia"/>
          <w:color w:val="000000" w:themeColor="text1"/>
          <w:szCs w:val="24"/>
          <w:lang w:eastAsia="zh-CN"/>
        </w:rPr>
        <w:t>、</w:t>
      </w:r>
      <w:r>
        <w:rPr>
          <w:rFonts w:hint="eastAsia" w:asciiTheme="minorEastAsia" w:hAnsiTheme="minorEastAsia" w:eastAsiaTheme="minorEastAsia"/>
          <w:color w:val="000000" w:themeColor="text1"/>
          <w:szCs w:val="24"/>
        </w:rPr>
        <w:t>中国海南政府采购网（https://www.ccgp-hainan.gov.cn/zhuzhan/）发布公告之日起不少于5个工作日</w:t>
      </w:r>
    </w:p>
    <w:p>
      <w:pPr>
        <w:pStyle w:val="4"/>
        <w:jc w:val="left"/>
        <w:rPr>
          <w:rFonts w:asciiTheme="minorEastAsia" w:hAnsiTheme="minorEastAsia" w:eastAsiaTheme="minorEastAsia"/>
          <w:color w:val="000000" w:themeColor="text1"/>
          <w:sz w:val="24"/>
          <w:szCs w:val="24"/>
        </w:rPr>
      </w:pPr>
      <w:bookmarkStart w:id="45" w:name="_Toc534808240"/>
      <w:r>
        <w:rPr>
          <w:rFonts w:hint="eastAsia" w:asciiTheme="minorEastAsia" w:hAnsiTheme="minorEastAsia" w:eastAsiaTheme="minorEastAsia"/>
          <w:color w:val="000000" w:themeColor="text1"/>
          <w:sz w:val="24"/>
          <w:szCs w:val="24"/>
        </w:rPr>
        <w:t>7. 其他</w:t>
      </w:r>
      <w:bookmarkEnd w:id="45"/>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采购项目执行政府采购政策：</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7.1 对小微企业的产品给予价格扣除（监狱企业、残疾人福利性单位视同小微企业；残疾人福利性单位属于小型、微型企业的，不重复享受政策）；</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7.2 优先采购节能环保产品（注：所采购的货物在采购期间内属于有效的“节能产品政府采购清单”、“环境标志产品政府采购清单”范围）。</w:t>
      </w:r>
    </w:p>
    <w:p>
      <w:pPr>
        <w:pStyle w:val="4"/>
        <w:jc w:val="left"/>
        <w:rPr>
          <w:rFonts w:asciiTheme="minorEastAsia" w:hAnsiTheme="minorEastAsia" w:eastAsiaTheme="minorEastAsia"/>
          <w:color w:val="000000" w:themeColor="text1"/>
          <w:sz w:val="24"/>
          <w:szCs w:val="24"/>
        </w:rPr>
      </w:pPr>
      <w:bookmarkStart w:id="46" w:name="_Toc534808241"/>
      <w:r>
        <w:rPr>
          <w:rFonts w:hint="eastAsia" w:asciiTheme="minorEastAsia" w:hAnsiTheme="minorEastAsia" w:eastAsiaTheme="minorEastAsia"/>
          <w:color w:val="000000" w:themeColor="text1"/>
          <w:sz w:val="24"/>
          <w:szCs w:val="24"/>
        </w:rPr>
        <w:t>8. 联系方式</w:t>
      </w:r>
      <w:bookmarkEnd w:id="46"/>
    </w:p>
    <w:p>
      <w:pPr>
        <w:snapToGrid w:val="0"/>
        <w:spacing w:before="0" w:beforeAutospacing="0" w:after="0" w:afterAutospacing="0"/>
        <w:ind w:firstLine="480" w:firstLineChars="200"/>
        <w:rPr>
          <w:rFonts w:hint="eastAsia" w:asciiTheme="minorEastAsia" w:hAnsiTheme="minorEastAsia" w:eastAsiaTheme="minorEastAsia"/>
          <w:color w:val="000000" w:themeColor="text1"/>
          <w:szCs w:val="24"/>
          <w:lang w:eastAsia="zh-CN"/>
        </w:rPr>
      </w:pPr>
      <w:r>
        <w:rPr>
          <w:rFonts w:hint="eastAsia" w:asciiTheme="minorEastAsia" w:hAnsiTheme="minorEastAsia" w:eastAsiaTheme="minorEastAsia"/>
          <w:color w:val="000000" w:themeColor="text1"/>
          <w:szCs w:val="24"/>
        </w:rPr>
        <w:t>采 购 人：</w:t>
      </w:r>
      <w:r>
        <w:rPr>
          <w:rFonts w:hint="eastAsia" w:asciiTheme="minorEastAsia" w:hAnsiTheme="minorEastAsia" w:eastAsiaTheme="minorEastAsia"/>
          <w:color w:val="000000" w:themeColor="text1"/>
          <w:szCs w:val="24"/>
          <w:lang w:eastAsia="zh-CN"/>
        </w:rPr>
        <w:t>万宁市东澳镇人民政府</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地    址：</w:t>
      </w:r>
      <w:r>
        <w:rPr>
          <w:rFonts w:hint="eastAsia" w:asciiTheme="minorEastAsia" w:hAnsiTheme="minorEastAsia" w:eastAsiaTheme="minorEastAsia"/>
          <w:color w:val="000000" w:themeColor="text1"/>
          <w:szCs w:val="24"/>
          <w:lang w:eastAsia="zh-CN"/>
        </w:rPr>
        <w:t>万宁市东澳镇</w:t>
      </w:r>
    </w:p>
    <w:p>
      <w:pPr>
        <w:snapToGrid w:val="0"/>
        <w:spacing w:before="0" w:beforeAutospacing="0" w:after="0" w:afterAutospacing="0"/>
        <w:ind w:firstLine="480" w:firstLineChars="200"/>
        <w:rPr>
          <w:rFonts w:hint="eastAsia" w:asciiTheme="minorEastAsia" w:hAnsiTheme="minorEastAsia" w:eastAsiaTheme="minorEastAsia"/>
          <w:color w:val="000000" w:themeColor="text1"/>
          <w:szCs w:val="24"/>
          <w:lang w:eastAsia="zh-CN"/>
        </w:rPr>
      </w:pPr>
      <w:r>
        <w:rPr>
          <w:rFonts w:hint="eastAsia" w:asciiTheme="minorEastAsia" w:hAnsiTheme="minorEastAsia" w:eastAsiaTheme="minorEastAsia"/>
          <w:color w:val="000000" w:themeColor="text1"/>
          <w:szCs w:val="24"/>
        </w:rPr>
        <w:t>联 系 人：</w:t>
      </w:r>
      <w:r>
        <w:rPr>
          <w:rFonts w:hint="eastAsia" w:asciiTheme="minorEastAsia" w:hAnsiTheme="minorEastAsia" w:eastAsiaTheme="minorEastAsia"/>
          <w:color w:val="000000" w:themeColor="text1"/>
          <w:szCs w:val="24"/>
          <w:lang w:eastAsia="zh-CN"/>
        </w:rPr>
        <w:t>肖女士</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电    话：</w:t>
      </w:r>
      <w:r>
        <w:rPr>
          <w:rFonts w:hint="eastAsia" w:asciiTheme="minorEastAsia" w:hAnsiTheme="minorEastAsia" w:eastAsiaTheme="minorEastAsia"/>
          <w:color w:val="000000" w:themeColor="text1"/>
          <w:szCs w:val="24"/>
          <w:lang w:val="en-US" w:eastAsia="zh-CN"/>
        </w:rPr>
        <w:t>0898-62275118</w:t>
      </w:r>
      <w:r>
        <w:rPr>
          <w:rFonts w:hint="eastAsia" w:asciiTheme="minorEastAsia" w:hAnsiTheme="minorEastAsia" w:eastAsiaTheme="minorEastAsia"/>
          <w:color w:val="000000" w:themeColor="text1"/>
          <w:szCs w:val="24"/>
        </w:rPr>
        <w:t xml:space="preserve"> </w:t>
      </w:r>
    </w:p>
    <w:p>
      <w:pPr>
        <w:snapToGrid w:val="0"/>
        <w:spacing w:beforeLines="5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采购代理机构：海南政辉招投标代理有限公司</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公司地址：海口市五指山路康业花园西湖苑G栋2A。</w:t>
      </w:r>
    </w:p>
    <w:p>
      <w:pPr>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联 系 人：潘工</w:t>
      </w:r>
    </w:p>
    <w:p>
      <w:pPr>
        <w:snapToGrid w:val="0"/>
        <w:spacing w:before="0" w:beforeAutospacing="0" w:after="0" w:afterAutospacing="0"/>
        <w:ind w:firstLine="480" w:firstLineChars="200"/>
        <w:rPr>
          <w:rFonts w:cs="Arial"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 xml:space="preserve">电    话：0898-66557609  </w:t>
      </w:r>
    </w:p>
    <w:p>
      <w:pPr>
        <w:spacing w:before="0" w:beforeAutospacing="0" w:after="0" w:afterAutospacing="0" w:line="240" w:lineRule="auto"/>
        <w:rPr>
          <w:b/>
          <w:color w:val="000000" w:themeColor="text1"/>
        </w:rPr>
      </w:pPr>
      <w:r>
        <w:rPr>
          <w:b/>
          <w:color w:val="000000" w:themeColor="text1"/>
        </w:rPr>
        <w:br w:type="page"/>
      </w:r>
    </w:p>
    <w:bookmarkEnd w:id="17"/>
    <w:p>
      <w:pPr>
        <w:pStyle w:val="41"/>
        <w:rPr>
          <w:rFonts w:ascii="宋体" w:hAnsi="宋体" w:cs="Arial"/>
          <w:color w:val="000000" w:themeColor="text1"/>
          <w:kern w:val="2"/>
          <w:szCs w:val="24"/>
        </w:rPr>
      </w:pPr>
      <w:bookmarkStart w:id="47" w:name="_Toc534808242"/>
      <w:r>
        <w:rPr>
          <w:rFonts w:hint="eastAsia"/>
          <w:color w:val="000000" w:themeColor="text1"/>
        </w:rPr>
        <w:t>第二章 供应商须知</w:t>
      </w:r>
      <w:bookmarkEnd w:id="47"/>
    </w:p>
    <w:p>
      <w:pPr>
        <w:pStyle w:val="4"/>
        <w:rPr>
          <w:color w:val="000000" w:themeColor="text1"/>
          <w:szCs w:val="24"/>
        </w:rPr>
      </w:pPr>
      <w:bookmarkStart w:id="48" w:name="_Toc534808243"/>
      <w:r>
        <w:rPr>
          <w:rFonts w:hint="eastAsia"/>
          <w:color w:val="000000" w:themeColor="text1"/>
          <w:szCs w:val="24"/>
        </w:rPr>
        <w:t>（一）供应商须知前附表</w:t>
      </w:r>
      <w:bookmarkEnd w:id="1"/>
      <w:bookmarkEnd w:id="2"/>
      <w:bookmarkEnd w:id="3"/>
      <w:bookmarkEnd w:id="4"/>
      <w:bookmarkEnd w:id="48"/>
    </w:p>
    <w:tbl>
      <w:tblPr>
        <w:tblStyle w:val="43"/>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1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黑体"/>
                <w:color w:val="000000" w:themeColor="text1"/>
              </w:rPr>
            </w:pPr>
            <w:r>
              <w:rPr>
                <w:rFonts w:hint="eastAsia" w:ascii="宋体" w:hAnsi="宋体" w:cs="仿宋_GB2312"/>
                <w:color w:val="000000" w:themeColor="text1"/>
              </w:rPr>
              <w:t>条款号</w:t>
            </w:r>
          </w:p>
        </w:tc>
        <w:tc>
          <w:tcPr>
            <w:tcW w:w="2515" w:type="dxa"/>
            <w:vAlign w:val="center"/>
          </w:tcPr>
          <w:p>
            <w:pPr>
              <w:autoSpaceDE w:val="0"/>
              <w:autoSpaceDN w:val="0"/>
              <w:adjustRightInd w:val="0"/>
              <w:snapToGrid w:val="0"/>
              <w:spacing w:before="0" w:beforeAutospacing="0" w:after="0" w:afterAutospacing="0" w:line="240" w:lineRule="auto"/>
              <w:jc w:val="center"/>
              <w:rPr>
                <w:rFonts w:ascii="宋体" w:hAnsi="宋体" w:cs="黑体"/>
                <w:color w:val="000000" w:themeColor="text1"/>
              </w:rPr>
            </w:pPr>
            <w:r>
              <w:rPr>
                <w:rFonts w:hint="eastAsia" w:ascii="宋体" w:hAnsi="宋体" w:cs="仿宋_GB2312"/>
                <w:color w:val="000000" w:themeColor="text1"/>
              </w:rPr>
              <w:t>条款名称</w:t>
            </w:r>
          </w:p>
        </w:tc>
        <w:tc>
          <w:tcPr>
            <w:tcW w:w="5675" w:type="dxa"/>
            <w:vAlign w:val="center"/>
          </w:tcPr>
          <w:p>
            <w:pPr>
              <w:autoSpaceDE w:val="0"/>
              <w:autoSpaceDN w:val="0"/>
              <w:adjustRightInd w:val="0"/>
              <w:snapToGrid w:val="0"/>
              <w:spacing w:before="0" w:beforeAutospacing="0" w:after="0" w:afterAutospacing="0" w:line="240" w:lineRule="auto"/>
              <w:jc w:val="center"/>
              <w:rPr>
                <w:rFonts w:ascii="宋体" w:hAnsi="宋体" w:cs="黑体"/>
                <w:color w:val="000000" w:themeColor="text1"/>
              </w:rPr>
            </w:pPr>
            <w:r>
              <w:rPr>
                <w:rFonts w:hint="eastAsia" w:ascii="宋体" w:hAnsi="宋体" w:cs="仿宋_GB2312"/>
                <w:color w:val="000000" w:themeColor="text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1.6</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分包</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TimesNewRomanPSMT"/>
                <w:color w:val="000000" w:themeColor="text1"/>
              </w:rPr>
            </w:pPr>
            <w:r>
              <w:rPr>
                <w:rFonts w:ascii="宋体" w:hAnsi="宋体" w:cs="TimesNewRomanPSMT"/>
                <w:color w:val="000000" w:themeColor="text1"/>
              </w:rPr>
              <w:t>■不允许</w:t>
            </w:r>
          </w:p>
          <w:p>
            <w:pPr>
              <w:autoSpaceDE w:val="0"/>
              <w:autoSpaceDN w:val="0"/>
              <w:adjustRightInd w:val="0"/>
              <w:snapToGrid w:val="0"/>
              <w:spacing w:before="0" w:beforeAutospacing="0" w:after="0" w:afterAutospacing="0" w:line="240" w:lineRule="auto"/>
              <w:rPr>
                <w:rFonts w:ascii="宋体" w:hAnsi="宋体" w:cs="TimesNewRomanPSMT"/>
                <w:color w:val="000000" w:themeColor="text1"/>
              </w:rPr>
            </w:pPr>
            <w:r>
              <w:rPr>
                <w:rFonts w:hint="eastAsia" w:ascii="宋体" w:hAnsi="宋体" w:cs="TimesNewRomanPSMT"/>
                <w:color w:val="000000" w:themeColor="text1"/>
              </w:rPr>
              <w:t>□允  许：</w:t>
            </w:r>
          </w:p>
          <w:p>
            <w:pPr>
              <w:autoSpaceDE w:val="0"/>
              <w:autoSpaceDN w:val="0"/>
              <w:adjustRightInd w:val="0"/>
              <w:snapToGrid w:val="0"/>
              <w:spacing w:before="0" w:beforeAutospacing="0" w:after="0" w:afterAutospacing="0" w:line="240" w:lineRule="auto"/>
              <w:ind w:left="355" w:leftChars="148"/>
              <w:rPr>
                <w:rFonts w:ascii="宋体" w:hAnsi="宋体" w:cs="TimesNewRomanPSMT"/>
                <w:color w:val="000000" w:themeColor="text1"/>
              </w:rPr>
            </w:pPr>
            <w:r>
              <w:rPr>
                <w:rFonts w:hint="eastAsia" w:ascii="宋体" w:hAnsi="宋体" w:cs="TimesNewRomanPSMT"/>
                <w:color w:val="000000" w:themeColor="text1"/>
              </w:rPr>
              <w:t>分包内容要求：</w:t>
            </w:r>
          </w:p>
          <w:p>
            <w:pPr>
              <w:autoSpaceDE w:val="0"/>
              <w:autoSpaceDN w:val="0"/>
              <w:adjustRightInd w:val="0"/>
              <w:snapToGrid w:val="0"/>
              <w:spacing w:before="0" w:beforeAutospacing="0" w:after="0" w:afterAutospacing="0" w:line="240" w:lineRule="auto"/>
              <w:ind w:left="355" w:leftChars="148"/>
              <w:rPr>
                <w:rFonts w:ascii="宋体" w:hAnsi="宋体" w:cs="TimesNewRomanPSMT"/>
                <w:color w:val="000000" w:themeColor="text1"/>
              </w:rPr>
            </w:pPr>
            <w:r>
              <w:rPr>
                <w:rFonts w:hint="eastAsia" w:ascii="宋体" w:hAnsi="宋体" w:cs="TimesNewRomanPSMT"/>
                <w:color w:val="000000" w:themeColor="text1"/>
              </w:rPr>
              <w:t>分包金额要求：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仿宋_GB2312"/>
                <w:color w:val="000000" w:themeColor="text1"/>
                <w:szCs w:val="24"/>
              </w:rPr>
            </w:pPr>
            <w:r>
              <w:rPr>
                <w:rFonts w:hint="eastAsia" w:ascii="宋体" w:hAnsi="宋体"/>
                <w:color w:val="000000" w:themeColor="text1"/>
              </w:rPr>
              <w:t>1.11</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现场踏勘</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TimesNewRomanPSMT"/>
                <w:color w:val="000000" w:themeColor="text1"/>
              </w:rPr>
            </w:pPr>
            <w:r>
              <w:rPr>
                <w:rFonts w:ascii="宋体" w:hAnsi="宋体" w:cs="TimesNewRomanPSMT"/>
                <w:color w:val="000000" w:themeColor="text1"/>
              </w:rPr>
              <w:t>■不组织</w:t>
            </w:r>
          </w:p>
          <w:p>
            <w:pPr>
              <w:autoSpaceDE w:val="0"/>
              <w:autoSpaceDN w:val="0"/>
              <w:adjustRightInd w:val="0"/>
              <w:snapToGrid w:val="0"/>
              <w:spacing w:before="0" w:beforeAutospacing="0" w:after="0" w:afterAutospacing="0" w:line="240" w:lineRule="auto"/>
              <w:rPr>
                <w:rFonts w:ascii="宋体" w:hAnsi="宋体" w:cs="TimesNewRomanPSMT"/>
                <w:color w:val="000000" w:themeColor="text1"/>
              </w:rPr>
            </w:pPr>
            <w:r>
              <w:rPr>
                <w:rFonts w:hint="eastAsia" w:ascii="宋体" w:hAnsi="宋体" w:cs="TimesNewRomanPSMT"/>
                <w:color w:val="000000" w:themeColor="text1"/>
              </w:rPr>
              <w:t>□组  织：</w:t>
            </w:r>
          </w:p>
          <w:p>
            <w:pPr>
              <w:autoSpaceDE w:val="0"/>
              <w:autoSpaceDN w:val="0"/>
              <w:adjustRightInd w:val="0"/>
              <w:snapToGrid w:val="0"/>
              <w:spacing w:before="0" w:beforeAutospacing="0" w:after="0" w:afterAutospacing="0" w:line="240" w:lineRule="auto"/>
              <w:ind w:left="355" w:leftChars="148"/>
              <w:rPr>
                <w:rFonts w:ascii="宋体" w:hAnsi="宋体" w:cs="TimesNewRomanPSMT"/>
                <w:color w:val="000000" w:themeColor="text1"/>
              </w:rPr>
            </w:pPr>
            <w:r>
              <w:rPr>
                <w:rFonts w:hint="eastAsia" w:ascii="宋体" w:hAnsi="宋体" w:cs="TimesNewRomanPSMT"/>
                <w:color w:val="000000" w:themeColor="text1"/>
              </w:rPr>
              <w:t>踏勘时间：</w:t>
            </w:r>
          </w:p>
          <w:p>
            <w:pPr>
              <w:autoSpaceDE w:val="0"/>
              <w:autoSpaceDN w:val="0"/>
              <w:adjustRightInd w:val="0"/>
              <w:snapToGrid w:val="0"/>
              <w:spacing w:before="0" w:beforeAutospacing="0" w:after="0" w:afterAutospacing="0" w:line="240" w:lineRule="auto"/>
              <w:ind w:left="355" w:leftChars="148"/>
              <w:rPr>
                <w:rFonts w:ascii="宋体" w:hAnsi="宋体" w:cs="TimesNewRomanPSMT"/>
                <w:color w:val="000000" w:themeColor="text1"/>
              </w:rPr>
            </w:pPr>
            <w:r>
              <w:rPr>
                <w:rFonts w:hint="eastAsia" w:ascii="宋体" w:hAnsi="宋体" w:cs="TimesNewRomanPSMT"/>
                <w:color w:val="000000" w:themeColor="text1"/>
              </w:rPr>
              <w:t>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仿宋_GB2312"/>
                <w:color w:val="000000" w:themeColor="text1"/>
                <w:szCs w:val="24"/>
              </w:rPr>
            </w:pPr>
            <w:r>
              <w:rPr>
                <w:rFonts w:hint="eastAsia" w:ascii="宋体" w:hAnsi="宋体"/>
                <w:color w:val="000000" w:themeColor="text1"/>
              </w:rPr>
              <w:t>2.2</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供应商询问或要求澄清的截止时间</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2020年</w:t>
            </w:r>
            <w:r>
              <w:rPr>
                <w:rFonts w:hint="eastAsia" w:ascii="宋体" w:hAnsi="宋体" w:cs="仿宋_GB2312"/>
                <w:color w:val="000000" w:themeColor="text1"/>
                <w:lang w:val="en-US" w:eastAsia="zh-CN"/>
              </w:rPr>
              <w:t>10</w:t>
            </w:r>
            <w:r>
              <w:rPr>
                <w:rFonts w:hint="eastAsia" w:ascii="宋体" w:hAnsi="宋体" w:cs="仿宋_GB2312"/>
                <w:color w:val="000000" w:themeColor="text1"/>
              </w:rPr>
              <w:t>月</w:t>
            </w:r>
            <w:r>
              <w:rPr>
                <w:rFonts w:hint="eastAsia" w:ascii="宋体" w:hAnsi="宋体" w:cs="仿宋_GB2312"/>
                <w:color w:val="000000" w:themeColor="text1"/>
                <w:lang w:val="en-US" w:eastAsia="zh-CN"/>
              </w:rPr>
              <w:t>22</w:t>
            </w:r>
            <w:r>
              <w:rPr>
                <w:rFonts w:hint="eastAsia" w:ascii="宋体" w:hAnsi="宋体" w:cs="仿宋_GB2312"/>
                <w:color w:val="000000" w:themeColor="text1"/>
              </w:rPr>
              <w:t>日17时30分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2.3</w:t>
            </w:r>
          </w:p>
        </w:tc>
        <w:tc>
          <w:tcPr>
            <w:tcW w:w="2515" w:type="dxa"/>
            <w:vAlign w:val="center"/>
          </w:tcPr>
          <w:p>
            <w:pPr>
              <w:autoSpaceDE w:val="0"/>
              <w:autoSpaceDN w:val="0"/>
              <w:adjustRightInd w:val="0"/>
              <w:snapToGrid w:val="0"/>
              <w:spacing w:before="0" w:beforeAutospacing="0" w:after="0" w:afterAutospacing="0" w:line="240" w:lineRule="auto"/>
              <w:outlineLvl w:val="0"/>
              <w:rPr>
                <w:rFonts w:ascii="宋体" w:hAnsi="宋体" w:cs="仿宋_GB2312"/>
                <w:color w:val="000000" w:themeColor="text1"/>
              </w:rPr>
            </w:pPr>
            <w:bookmarkStart w:id="49" w:name="_Toc534808244"/>
            <w:r>
              <w:rPr>
                <w:rFonts w:hint="eastAsia" w:ascii="宋体" w:hAnsi="宋体" w:cs="仿宋_GB2312"/>
                <w:color w:val="000000" w:themeColor="text1"/>
              </w:rPr>
              <w:t>质疑函送达方式</w:t>
            </w:r>
            <w:bookmarkEnd w:id="49"/>
          </w:p>
        </w:tc>
        <w:tc>
          <w:tcPr>
            <w:tcW w:w="5675" w:type="dxa"/>
            <w:vAlign w:val="center"/>
          </w:tcPr>
          <w:p>
            <w:pPr>
              <w:autoSpaceDE w:val="0"/>
              <w:autoSpaceDN w:val="0"/>
              <w:adjustRightInd w:val="0"/>
              <w:snapToGrid w:val="0"/>
              <w:spacing w:before="0" w:beforeAutospacing="0" w:after="0" w:afterAutospacing="0" w:line="240" w:lineRule="auto"/>
              <w:ind w:left="31" w:leftChars="13"/>
              <w:rPr>
                <w:rFonts w:ascii="宋体" w:hAnsi="宋体" w:cs="TimesNewRomanPSMT"/>
                <w:color w:val="000000" w:themeColor="text1"/>
              </w:rPr>
            </w:pPr>
            <w:r>
              <w:rPr>
                <w:rFonts w:hint="eastAsia" w:ascii="宋体" w:hAnsi="宋体" w:cs="TimesNewRomanPSMT"/>
                <w:color w:val="000000" w:themeColor="text1"/>
              </w:rPr>
              <w:t>质疑提出人应将质疑函原件委派专人或通过邮寄方式</w:t>
            </w:r>
            <w:r>
              <w:rPr>
                <w:rFonts w:hint="eastAsia" w:ascii="宋体" w:hAnsi="宋体"/>
                <w:color w:val="000000" w:themeColor="text1"/>
              </w:rPr>
              <w:t>在知道或者应知其权益受到损害之日起7个工作日内</w:t>
            </w:r>
            <w:r>
              <w:rPr>
                <w:rFonts w:hint="eastAsia" w:ascii="宋体" w:hAnsi="宋体" w:cs="TimesNewRomanPSMT"/>
                <w:color w:val="000000" w:themeColor="text1"/>
              </w:rPr>
              <w:t>送达采购代理机构。</w:t>
            </w:r>
          </w:p>
          <w:p>
            <w:pPr>
              <w:autoSpaceDE w:val="0"/>
              <w:autoSpaceDN w:val="0"/>
              <w:adjustRightInd w:val="0"/>
              <w:snapToGrid w:val="0"/>
              <w:spacing w:before="0" w:beforeAutospacing="0" w:after="0" w:afterAutospacing="0" w:line="240" w:lineRule="auto"/>
              <w:ind w:left="31" w:leftChars="13"/>
              <w:rPr>
                <w:rFonts w:ascii="宋体" w:hAnsi="宋体" w:cs="TimesNewRomanPSMT"/>
                <w:color w:val="000000" w:themeColor="text1"/>
              </w:rPr>
            </w:pPr>
            <w:r>
              <w:rPr>
                <w:rFonts w:ascii="宋体" w:hAnsi="宋体"/>
                <w:color w:val="000000" w:themeColor="text1"/>
                <w:szCs w:val="21"/>
              </w:rPr>
              <w:t>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3.6</w:t>
            </w:r>
          </w:p>
        </w:tc>
        <w:tc>
          <w:tcPr>
            <w:tcW w:w="2515" w:type="dxa"/>
            <w:vAlign w:val="center"/>
          </w:tcPr>
          <w:p>
            <w:pPr>
              <w:autoSpaceDE w:val="0"/>
              <w:autoSpaceDN w:val="0"/>
              <w:adjustRightInd w:val="0"/>
              <w:snapToGrid w:val="0"/>
              <w:spacing w:before="0" w:beforeAutospacing="0" w:after="0" w:afterAutospacing="0" w:line="240" w:lineRule="auto"/>
              <w:outlineLvl w:val="0"/>
              <w:rPr>
                <w:rFonts w:ascii="宋体" w:hAnsi="宋体" w:cs="仿宋_GB2312"/>
                <w:color w:val="000000" w:themeColor="text1"/>
              </w:rPr>
            </w:pPr>
            <w:bookmarkStart w:id="50" w:name="_Toc534808245"/>
            <w:r>
              <w:rPr>
                <w:rFonts w:hint="eastAsia" w:ascii="宋体" w:hAnsi="宋体" w:cs="仿宋_GB2312"/>
                <w:color w:val="000000" w:themeColor="text1"/>
              </w:rPr>
              <w:t>响应文件有效期</w:t>
            </w:r>
            <w:bookmarkEnd w:id="50"/>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TimesNewRomanPSMT"/>
                <w:color w:val="000000" w:themeColor="text1"/>
              </w:rPr>
            </w:pPr>
            <w:r>
              <w:rPr>
                <w:rFonts w:ascii="宋体" w:hAnsi="宋体"/>
                <w:color w:val="000000" w:themeColor="text1"/>
                <w:szCs w:val="21"/>
              </w:rPr>
              <w:t>90日历天</w:t>
            </w:r>
            <w:r>
              <w:rPr>
                <w:rFonts w:hint="eastAsia" w:ascii="宋体" w:hAnsi="宋体"/>
                <w:color w:val="000000" w:themeColor="text1"/>
                <w:szCs w:val="21"/>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3.7</w:t>
            </w:r>
          </w:p>
        </w:tc>
        <w:tc>
          <w:tcPr>
            <w:tcW w:w="2515" w:type="dxa"/>
            <w:vAlign w:val="center"/>
          </w:tcPr>
          <w:p>
            <w:pPr>
              <w:autoSpaceDE w:val="0"/>
              <w:autoSpaceDN w:val="0"/>
              <w:adjustRightInd w:val="0"/>
              <w:snapToGrid w:val="0"/>
              <w:spacing w:before="0" w:beforeAutospacing="0" w:after="0" w:afterAutospacing="0" w:line="240" w:lineRule="auto"/>
              <w:outlineLvl w:val="0"/>
              <w:rPr>
                <w:rFonts w:ascii="宋体" w:hAnsi="宋体" w:cs="仿宋_GB2312"/>
                <w:color w:val="000000" w:themeColor="text1"/>
              </w:rPr>
            </w:pPr>
            <w:bookmarkStart w:id="51" w:name="_Toc534808246"/>
            <w:r>
              <w:rPr>
                <w:rFonts w:hint="eastAsia" w:ascii="宋体" w:hAnsi="宋体" w:cs="仿宋_GB2312"/>
                <w:color w:val="000000" w:themeColor="text1"/>
              </w:rPr>
              <w:t>磋商保证金</w:t>
            </w:r>
            <w:bookmarkEnd w:id="51"/>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b/>
                <w:color w:val="000000" w:themeColor="text1"/>
              </w:rPr>
              <w:t>保证金的形式：</w:t>
            </w:r>
            <w:r>
              <w:rPr>
                <w:rFonts w:hint="eastAsia" w:ascii="宋体" w:hAnsi="宋体" w:cs="仿宋_GB2312"/>
                <w:color w:val="000000" w:themeColor="text1"/>
              </w:rPr>
              <w:t>银行转账（须从投标单位基本账户转出）</w:t>
            </w:r>
          </w:p>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b/>
                <w:color w:val="000000" w:themeColor="text1"/>
              </w:rPr>
              <w:t>递交截止时间：</w:t>
            </w:r>
            <w:r>
              <w:rPr>
                <w:rFonts w:hint="eastAsia" w:ascii="宋体" w:hAnsi="宋体" w:cs="仿宋_GB2312"/>
                <w:color w:val="000000" w:themeColor="text1"/>
              </w:rPr>
              <w:t>首次响应文件递交截止时间（以到账时间为准）</w:t>
            </w:r>
          </w:p>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b/>
                <w:color w:val="000000" w:themeColor="text1"/>
              </w:rPr>
              <w:t>保证金的金额：</w:t>
            </w:r>
            <w:r>
              <w:rPr>
                <w:rFonts w:hint="eastAsia" w:ascii="宋体" w:hAnsi="宋体" w:cs="仿宋_GB2312"/>
                <w:color w:val="000000" w:themeColor="text1"/>
                <w:lang w:val="en-US" w:eastAsia="zh-CN"/>
              </w:rPr>
              <w:t>12280</w:t>
            </w:r>
            <w:r>
              <w:rPr>
                <w:rFonts w:hint="eastAsia" w:ascii="宋体" w:hAnsi="宋体" w:cs="仿宋_GB2312"/>
                <w:color w:val="000000" w:themeColor="text1"/>
              </w:rPr>
              <w:t>.00元（</w:t>
            </w:r>
            <w:r>
              <w:rPr>
                <w:rFonts w:hint="eastAsia" w:ascii="宋体" w:hAnsi="宋体" w:cs="仿宋_GB2312"/>
                <w:color w:val="000000" w:themeColor="text1"/>
                <w:lang w:eastAsia="zh-CN"/>
              </w:rPr>
              <w:t>壹万贰仟贰佰捌拾元整</w:t>
            </w:r>
            <w:r>
              <w:rPr>
                <w:rFonts w:hint="eastAsia" w:ascii="宋体" w:hAnsi="宋体" w:cs="仿宋_GB2312"/>
                <w:color w:val="000000" w:themeColor="text1"/>
              </w:rPr>
              <w:t>）</w:t>
            </w:r>
          </w:p>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hint="eastAsia" w:ascii="宋体" w:hAnsi="宋体" w:cs="仿宋_GB2312"/>
                <w:b/>
                <w:color w:val="000000" w:themeColor="text1"/>
              </w:rPr>
              <w:t>指定账户名称、开户银行及账号如下：</w:t>
            </w:r>
          </w:p>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户    名：海南政辉招投标代理有限公司</w:t>
            </w:r>
          </w:p>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开户银行：</w:t>
            </w:r>
            <w:r>
              <w:rPr>
                <w:rFonts w:hint="eastAsia" w:ascii="宋体" w:hAnsi="宋体" w:cs="宋体"/>
                <w:color w:val="000000" w:themeColor="text1"/>
              </w:rPr>
              <w:t>中国工商银行股份有限公司海口新华支行</w:t>
            </w:r>
          </w:p>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帐    号：</w:t>
            </w:r>
            <w:r>
              <w:rPr>
                <w:rFonts w:hint="eastAsia" w:ascii="宋体" w:hAnsi="宋体" w:cs="宋体"/>
                <w:color w:val="000000" w:themeColor="text1"/>
              </w:rPr>
              <w:t>2201023809200980178</w:t>
            </w:r>
          </w:p>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用途：</w:t>
            </w:r>
            <w:r>
              <w:rPr>
                <w:rFonts w:hint="eastAsia" w:ascii="宋体" w:hAnsi="宋体" w:cs="仿宋_GB2312"/>
                <w:color w:val="000000" w:themeColor="text1"/>
                <w:lang w:eastAsia="zh-CN"/>
              </w:rPr>
              <w:t>HNZH-2020-320</w:t>
            </w:r>
            <w:r>
              <w:rPr>
                <w:rFonts w:hint="eastAsia" w:ascii="宋体" w:hAnsi="宋体" w:cs="仿宋_GB2312"/>
                <w:color w:val="000000" w:themeColor="text1"/>
              </w:rPr>
              <w:t>投标保证金</w:t>
            </w:r>
          </w:p>
          <w:p>
            <w:pPr>
              <w:autoSpaceDE w:val="0"/>
              <w:autoSpaceDN w:val="0"/>
              <w:adjustRightInd w:val="0"/>
              <w:snapToGrid w:val="0"/>
              <w:spacing w:before="0" w:beforeAutospacing="0" w:after="0" w:afterAutospacing="0" w:line="240" w:lineRule="auto"/>
              <w:rPr>
                <w:rFonts w:ascii="宋体" w:hAnsi="宋体" w:cs="TimesNewRomanPSMT"/>
                <w:b/>
                <w:color w:val="000000" w:themeColor="text1"/>
              </w:rPr>
            </w:pPr>
            <w:r>
              <w:rPr>
                <w:rFonts w:hint="eastAsia" w:ascii="宋体" w:hAnsi="宋体" w:cs="仿宋_GB2312"/>
                <w:b/>
                <w:color w:val="000000" w:themeColor="text1"/>
              </w:rPr>
              <w:t>（请供应商在汇款时务必注明所投标项目的项目编号，否则，因款项用途不明导致投标无效等后果由供应商自行承担。）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olor w:val="000000" w:themeColor="text1"/>
                <w:szCs w:val="24"/>
              </w:rPr>
            </w:pPr>
            <w:r>
              <w:rPr>
                <w:rFonts w:hint="eastAsia" w:ascii="宋体" w:hAnsi="宋体" w:cs="TimesNewRomanPSMT"/>
                <w:color w:val="000000" w:themeColor="text1"/>
                <w:szCs w:val="24"/>
              </w:rPr>
              <w:t>3.8.2</w:t>
            </w:r>
          </w:p>
        </w:tc>
        <w:tc>
          <w:tcPr>
            <w:tcW w:w="2515" w:type="dxa"/>
            <w:vAlign w:val="center"/>
          </w:tcPr>
          <w:p>
            <w:pPr>
              <w:autoSpaceDE w:val="0"/>
              <w:autoSpaceDN w:val="0"/>
              <w:adjustRightInd w:val="0"/>
              <w:snapToGrid w:val="0"/>
              <w:spacing w:before="0" w:beforeAutospacing="0" w:after="0" w:afterAutospacing="0" w:line="240" w:lineRule="auto"/>
              <w:outlineLvl w:val="0"/>
              <w:rPr>
                <w:rFonts w:ascii="宋体" w:hAnsi="宋体" w:cs="仿宋_GB2312"/>
                <w:color w:val="000000" w:themeColor="text1"/>
              </w:rPr>
            </w:pPr>
            <w:bookmarkStart w:id="52" w:name="_Toc534808247"/>
            <w:r>
              <w:rPr>
                <w:rFonts w:hint="eastAsia" w:ascii="宋体" w:hAnsi="宋体" w:cs="仿宋_GB2312"/>
                <w:color w:val="000000" w:themeColor="text1"/>
              </w:rPr>
              <w:t>盖章或签字的要求</w:t>
            </w:r>
            <w:bookmarkEnd w:id="52"/>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ascii="宋体" w:hAnsi="宋体"/>
                <w:color w:val="000000" w:themeColor="text1"/>
                <w:szCs w:val="21"/>
              </w:rPr>
              <w:t>竞争性</w:t>
            </w:r>
            <w:r>
              <w:rPr>
                <w:rFonts w:hint="eastAsia" w:ascii="宋体" w:hAnsi="宋体"/>
                <w:color w:val="000000" w:themeColor="text1"/>
                <w:szCs w:val="21"/>
              </w:rPr>
              <w:t>磋商</w:t>
            </w:r>
            <w:r>
              <w:rPr>
                <w:rFonts w:ascii="宋体" w:hAnsi="宋体"/>
                <w:color w:val="000000" w:themeColor="text1"/>
                <w:szCs w:val="21"/>
              </w:rPr>
              <w:t>响应文件应加盖骑缝章（单位公章）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ascii="宋体" w:hAnsi="宋体" w:cs="TimesNewRomanPSMT"/>
                <w:color w:val="000000" w:themeColor="text1"/>
                <w:szCs w:val="24"/>
              </w:rPr>
              <w:t>3.</w:t>
            </w:r>
            <w:r>
              <w:rPr>
                <w:rFonts w:hint="eastAsia" w:ascii="宋体" w:hAnsi="宋体" w:cs="TimesNewRomanPSMT"/>
                <w:color w:val="000000" w:themeColor="text1"/>
                <w:szCs w:val="24"/>
              </w:rPr>
              <w:t>8</w:t>
            </w:r>
            <w:r>
              <w:rPr>
                <w:rFonts w:ascii="宋体" w:hAnsi="宋体" w:cs="TimesNewRomanPSMT"/>
                <w:color w:val="000000" w:themeColor="text1"/>
                <w:szCs w:val="24"/>
              </w:rPr>
              <w:t>.</w:t>
            </w:r>
            <w:r>
              <w:rPr>
                <w:rFonts w:hint="eastAsia" w:ascii="宋体" w:hAnsi="宋体" w:cs="TimesNewRomanPSMT"/>
                <w:color w:val="000000" w:themeColor="text1"/>
                <w:szCs w:val="24"/>
              </w:rPr>
              <w:t>3</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响应文件副本份数</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u w:val="single"/>
              </w:rPr>
              <w:t>贰</w:t>
            </w:r>
            <w:r>
              <w:rPr>
                <w:rFonts w:hint="eastAsia" w:ascii="宋体" w:hAnsi="宋体" w:cs="仿宋_GB2312"/>
                <w:color w:val="000000" w:themeColor="text1"/>
              </w:rPr>
              <w:t>份；电子文档</w:t>
            </w:r>
            <w:r>
              <w:rPr>
                <w:rFonts w:hint="eastAsia" w:ascii="宋体" w:hAnsi="宋体" w:cs="仿宋_GB2312"/>
                <w:color w:val="000000" w:themeColor="text1"/>
                <w:u w:val="single"/>
              </w:rPr>
              <w:t>贰</w:t>
            </w:r>
            <w:r>
              <w:rPr>
                <w:rFonts w:hint="eastAsia" w:ascii="宋体" w:hAnsi="宋体" w:cs="仿宋_GB2312"/>
                <w:color w:val="000000" w:themeColor="text1"/>
              </w:rPr>
              <w:t>份（U盘和光盘各一，PDF格式）。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ascii="宋体" w:hAnsi="宋体" w:cs="TimesNewRomanPSMT"/>
                <w:color w:val="000000" w:themeColor="text1"/>
                <w:szCs w:val="24"/>
              </w:rPr>
              <w:t>3.</w:t>
            </w:r>
            <w:r>
              <w:rPr>
                <w:rFonts w:hint="eastAsia" w:ascii="宋体" w:hAnsi="宋体" w:cs="TimesNewRomanPSMT"/>
                <w:color w:val="000000" w:themeColor="text1"/>
                <w:szCs w:val="24"/>
              </w:rPr>
              <w:t>8</w:t>
            </w:r>
            <w:r>
              <w:rPr>
                <w:rFonts w:ascii="宋体" w:hAnsi="宋体" w:cs="TimesNewRomanPSMT"/>
                <w:color w:val="000000" w:themeColor="text1"/>
                <w:szCs w:val="24"/>
              </w:rPr>
              <w:t>.</w:t>
            </w:r>
            <w:r>
              <w:rPr>
                <w:rFonts w:hint="eastAsia" w:ascii="宋体" w:hAnsi="宋体" w:cs="TimesNewRomanPSMT"/>
                <w:color w:val="000000" w:themeColor="text1"/>
                <w:szCs w:val="24"/>
              </w:rPr>
              <w:t>4</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装订要求</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i/>
                <w:color w:val="000000" w:themeColor="text1"/>
              </w:rPr>
            </w:pPr>
            <w:r>
              <w:rPr>
                <w:rFonts w:hint="eastAsia" w:ascii="宋体" w:hAnsi="宋体" w:cs="仿宋_GB2312"/>
                <w:color w:val="000000" w:themeColor="text1"/>
              </w:rPr>
              <w:t>应装订成册，装订应牢固、不易拆散和换页，不得采用活页装订。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ascii="宋体" w:hAnsi="宋体" w:cs="TimesNewRomanPSMT"/>
                <w:color w:val="000000" w:themeColor="text1"/>
                <w:szCs w:val="24"/>
              </w:rPr>
              <w:t>4.1.2</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封套上写明</w:t>
            </w:r>
          </w:p>
        </w:tc>
        <w:tc>
          <w:tcPr>
            <w:tcW w:w="5675" w:type="dxa"/>
            <w:vAlign w:val="center"/>
          </w:tcPr>
          <w:p>
            <w:pPr>
              <w:autoSpaceDE w:val="0"/>
              <w:autoSpaceDN w:val="0"/>
              <w:adjustRightInd w:val="0"/>
              <w:snapToGrid w:val="0"/>
              <w:spacing w:before="0" w:beforeAutospacing="0" w:after="0" w:afterAutospacing="0" w:line="240" w:lineRule="auto"/>
              <w:rPr>
                <w:rFonts w:hint="eastAsia" w:ascii="宋体" w:hAnsi="宋体" w:eastAsia="宋体" w:cs="仿宋_GB2312"/>
                <w:color w:val="000000" w:themeColor="text1"/>
                <w:lang w:eastAsia="zh-CN"/>
              </w:rPr>
            </w:pPr>
            <w:r>
              <w:rPr>
                <w:rFonts w:hint="eastAsia" w:ascii="宋体" w:hAnsi="宋体" w:cs="仿宋_GB2312"/>
                <w:color w:val="000000" w:themeColor="text1"/>
              </w:rPr>
              <w:t>采购人名称：</w:t>
            </w:r>
            <w:r>
              <w:rPr>
                <w:rFonts w:hint="eastAsia" w:ascii="宋体" w:hAnsi="宋体" w:cs="仿宋_GB2312"/>
                <w:color w:val="000000" w:themeColor="text1"/>
                <w:lang w:eastAsia="zh-CN"/>
              </w:rPr>
              <w:t>万宁市东澳镇人民政府</w:t>
            </w:r>
          </w:p>
          <w:p>
            <w:pPr>
              <w:autoSpaceDE w:val="0"/>
              <w:autoSpaceDN w:val="0"/>
              <w:adjustRightInd w:val="0"/>
              <w:snapToGrid w:val="0"/>
              <w:spacing w:before="0" w:beforeAutospacing="0" w:after="0" w:afterAutospacing="0" w:line="240" w:lineRule="auto"/>
              <w:rPr>
                <w:rFonts w:hint="eastAsia" w:ascii="宋体" w:hAnsi="宋体" w:eastAsia="宋体" w:cs="仿宋_GB2312"/>
                <w:color w:val="000000" w:themeColor="text1"/>
                <w:lang w:eastAsia="zh-CN"/>
              </w:rPr>
            </w:pPr>
            <w:r>
              <w:rPr>
                <w:rFonts w:hint="eastAsia" w:ascii="宋体" w:hAnsi="宋体" w:cs="仿宋_GB2312"/>
                <w:color w:val="000000" w:themeColor="text1"/>
              </w:rPr>
              <w:t>项目名称：</w:t>
            </w:r>
            <w:r>
              <w:rPr>
                <w:rFonts w:hint="eastAsia" w:ascii="宋体" w:hAnsi="宋体" w:cs="仿宋_GB2312"/>
                <w:color w:val="000000" w:themeColor="text1"/>
                <w:lang w:eastAsia="zh-CN"/>
              </w:rPr>
              <w:t>东澳镇老爷海退出池塘拆除服务项目</w:t>
            </w:r>
          </w:p>
          <w:p>
            <w:pPr>
              <w:autoSpaceDE w:val="0"/>
              <w:autoSpaceDN w:val="0"/>
              <w:adjustRightInd w:val="0"/>
              <w:snapToGrid w:val="0"/>
              <w:spacing w:before="0" w:beforeAutospacing="0" w:after="0" w:afterAutospacing="0" w:line="240" w:lineRule="auto"/>
              <w:rPr>
                <w:rFonts w:hint="eastAsia" w:ascii="宋体" w:hAnsi="宋体" w:eastAsia="宋体" w:cs="仿宋_GB2312"/>
                <w:b/>
                <w:color w:val="000000" w:themeColor="text1"/>
                <w:lang w:eastAsia="zh-CN"/>
              </w:rPr>
            </w:pPr>
            <w:r>
              <w:rPr>
                <w:rFonts w:hint="eastAsia" w:ascii="宋体" w:hAnsi="宋体" w:cs="仿宋_GB2312"/>
                <w:color w:val="000000" w:themeColor="text1"/>
              </w:rPr>
              <w:t>项目编号：</w:t>
            </w:r>
            <w:r>
              <w:rPr>
                <w:rFonts w:hint="eastAsia" w:ascii="宋体" w:hAnsi="宋体" w:cs="仿宋_GB2312"/>
                <w:color w:val="000000" w:themeColor="text1"/>
                <w:lang w:eastAsia="zh-CN"/>
              </w:rPr>
              <w:t>HNZH-2020-320</w:t>
            </w:r>
          </w:p>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hint="eastAsia" w:ascii="宋体" w:hAnsi="宋体" w:cs="仿宋_GB2312"/>
                <w:color w:val="000000" w:themeColor="text1"/>
              </w:rPr>
              <w:t>响应文件正本/响应文件副本/响应文件电子版在文件递交截止时间前不得开启</w:t>
            </w:r>
          </w:p>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hint="eastAsia" w:ascii="宋体" w:hAnsi="宋体" w:cs="仿宋_GB2312"/>
                <w:color w:val="000000" w:themeColor="text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5.1</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磋商小组成员</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磋商小组构成：</w:t>
            </w:r>
            <w:r>
              <w:rPr>
                <w:rFonts w:hint="eastAsia" w:ascii="宋体" w:hAnsi="宋体" w:cs="仿宋_GB2312"/>
                <w:color w:val="000000" w:themeColor="text1"/>
                <w:u w:val="single"/>
              </w:rPr>
              <w:t>3</w:t>
            </w:r>
            <w:r>
              <w:rPr>
                <w:rFonts w:hint="eastAsia" w:ascii="宋体" w:hAnsi="宋体" w:cs="仿宋_GB2312"/>
                <w:color w:val="000000" w:themeColor="text1"/>
              </w:rPr>
              <w:t>人，其中采购人代表</w:t>
            </w:r>
            <w:r>
              <w:rPr>
                <w:rFonts w:hint="eastAsia" w:ascii="宋体" w:hAnsi="宋体" w:cs="仿宋_GB2312"/>
                <w:color w:val="000000" w:themeColor="text1"/>
                <w:u w:val="single"/>
              </w:rPr>
              <w:t>0</w:t>
            </w:r>
            <w:r>
              <w:rPr>
                <w:rFonts w:hint="eastAsia" w:ascii="宋体" w:hAnsi="宋体" w:cs="仿宋_GB2312"/>
                <w:color w:val="000000" w:themeColor="text1"/>
              </w:rPr>
              <w:t>人，专家</w:t>
            </w:r>
            <w:r>
              <w:rPr>
                <w:rFonts w:hint="eastAsia" w:ascii="宋体" w:hAnsi="宋体" w:cs="仿宋_GB2312"/>
                <w:color w:val="000000" w:themeColor="text1"/>
                <w:u w:val="single"/>
              </w:rPr>
              <w:t>3</w:t>
            </w:r>
            <w:r>
              <w:rPr>
                <w:rFonts w:hint="eastAsia" w:ascii="宋体" w:hAnsi="宋体" w:cs="仿宋_GB2312"/>
                <w:color w:val="000000" w:themeColor="text1"/>
              </w:rPr>
              <w:t>人</w:t>
            </w:r>
          </w:p>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6.1</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确定成交供应商方式</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■采购人</w:t>
            </w:r>
          </w:p>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hint="eastAsia" w:ascii="宋体" w:hAnsi="宋体" w:cs="仿宋_GB2312"/>
                <w:color w:val="000000" w:themeColor="text1"/>
              </w:rPr>
              <w:t>□采购人授权磋商小组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6.4</w:t>
            </w:r>
          </w:p>
        </w:tc>
        <w:tc>
          <w:tcPr>
            <w:tcW w:w="2515" w:type="dxa"/>
            <w:vAlign w:val="center"/>
          </w:tcPr>
          <w:p>
            <w:pPr>
              <w:autoSpaceDE w:val="0"/>
              <w:autoSpaceDN w:val="0"/>
              <w:adjustRightInd w:val="0"/>
              <w:snapToGrid w:val="0"/>
              <w:spacing w:before="0" w:beforeAutospacing="0" w:after="0" w:afterAutospacing="0" w:line="240" w:lineRule="auto"/>
              <w:outlineLvl w:val="0"/>
              <w:rPr>
                <w:rFonts w:ascii="宋体" w:hAnsi="宋体" w:cs="仿宋_GB2312"/>
                <w:color w:val="000000" w:themeColor="text1"/>
              </w:rPr>
            </w:pPr>
            <w:bookmarkStart w:id="53" w:name="_Toc534808248"/>
            <w:r>
              <w:rPr>
                <w:rFonts w:hint="eastAsia" w:ascii="宋体" w:hAnsi="宋体" w:cs="仿宋_GB2312"/>
                <w:color w:val="000000" w:themeColor="text1"/>
              </w:rPr>
              <w:t>履约保证金</w:t>
            </w:r>
            <w:bookmarkEnd w:id="53"/>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hint="eastAsia" w:ascii="宋体" w:hAnsi="宋体" w:cs="仿宋_GB2312"/>
                <w:color w:val="000000" w:themeColor="text1"/>
              </w:rPr>
              <w:t>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olor w:val="000000" w:themeColor="text1"/>
              </w:rPr>
              <w:t>9</w:t>
            </w:r>
          </w:p>
        </w:tc>
        <w:tc>
          <w:tcPr>
            <w:tcW w:w="8190" w:type="dxa"/>
            <w:gridSpan w:val="2"/>
            <w:vAlign w:val="center"/>
          </w:tcPr>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hint="eastAsia" w:ascii="宋体" w:hAnsi="宋体" w:cs="仿宋_GB2312"/>
                <w:b/>
                <w:color w:val="000000" w:themeColor="text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ascii="宋体" w:hAnsi="宋体" w:cs="TimesNewRomanPSMT"/>
                <w:color w:val="000000" w:themeColor="text1"/>
                <w:szCs w:val="24"/>
              </w:rPr>
              <w:t>（</w:t>
            </w:r>
            <w:r>
              <w:rPr>
                <w:rFonts w:hint="eastAsia" w:ascii="宋体" w:hAnsi="宋体" w:cs="TimesNewRomanPSMT"/>
                <w:color w:val="000000" w:themeColor="text1"/>
                <w:szCs w:val="24"/>
              </w:rPr>
              <w:t>1）</w:t>
            </w:r>
          </w:p>
        </w:tc>
        <w:tc>
          <w:tcPr>
            <w:tcW w:w="8190" w:type="dxa"/>
            <w:gridSpan w:val="2"/>
            <w:vAlign w:val="center"/>
          </w:tcPr>
          <w:p>
            <w:pPr>
              <w:autoSpaceDE w:val="0"/>
              <w:autoSpaceDN w:val="0"/>
              <w:adjustRightInd w:val="0"/>
              <w:snapToGrid w:val="0"/>
              <w:spacing w:before="0" w:beforeAutospacing="0" w:after="0" w:afterAutospacing="0" w:line="240" w:lineRule="auto"/>
              <w:rPr>
                <w:rFonts w:ascii="宋体" w:hAnsi="宋体" w:cs="仿宋_GB2312"/>
                <w:b/>
                <w:color w:val="000000" w:themeColor="text1"/>
              </w:rPr>
            </w:pPr>
            <w:r>
              <w:rPr>
                <w:rFonts w:hint="eastAsia" w:ascii="宋体" w:hAnsi="宋体" w:cs="宋体"/>
                <w:color w:val="000000" w:themeColor="text1"/>
                <w:szCs w:val="21"/>
              </w:rPr>
              <w:t>开标会投标单位须携带：（1）法定代表人证明书或法人授权委托书（原件）；（2）法定代表人或授权委托人身份证（原件）；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ascii="宋体" w:hAnsi="宋体" w:cs="TimesNewRomanPSMT"/>
                <w:color w:val="000000" w:themeColor="text1"/>
                <w:szCs w:val="24"/>
              </w:rPr>
              <w:t>（</w:t>
            </w:r>
            <w:r>
              <w:rPr>
                <w:rFonts w:hint="eastAsia" w:ascii="宋体" w:hAnsi="宋体" w:cs="TimesNewRomanPSMT"/>
                <w:color w:val="000000" w:themeColor="text1"/>
                <w:szCs w:val="24"/>
              </w:rPr>
              <w:t>2）</w:t>
            </w:r>
          </w:p>
        </w:tc>
        <w:tc>
          <w:tcPr>
            <w:tcW w:w="8190" w:type="dxa"/>
            <w:gridSpan w:val="2"/>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ascii="宋体" w:hAnsi="宋体"/>
                <w:color w:val="000000" w:themeColor="text1"/>
                <w:szCs w:val="21"/>
              </w:rPr>
              <w:t>供应商在本项目</w:t>
            </w:r>
            <w:r>
              <w:rPr>
                <w:rFonts w:hint="eastAsia" w:ascii="宋体" w:hAnsi="宋体"/>
                <w:color w:val="000000" w:themeColor="text1"/>
                <w:szCs w:val="21"/>
              </w:rPr>
              <w:t>磋商</w:t>
            </w:r>
            <w:r>
              <w:rPr>
                <w:rFonts w:ascii="宋体" w:hAnsi="宋体"/>
                <w:color w:val="000000" w:themeColor="text1"/>
                <w:szCs w:val="21"/>
              </w:rPr>
              <w:t>过程中所提供资料必须真实有效，若发现有伪造编制，弄虚作假骗取中标，中标的取消中标资格，并将其不良行为上报有关行政主管部门。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s="TimesNewRomanPSMT"/>
                <w:color w:val="000000" w:themeColor="text1"/>
                <w:szCs w:val="24"/>
              </w:rPr>
              <w:t>（3）</w:t>
            </w:r>
          </w:p>
        </w:tc>
        <w:tc>
          <w:tcPr>
            <w:tcW w:w="8190" w:type="dxa"/>
            <w:gridSpan w:val="2"/>
            <w:vAlign w:val="center"/>
          </w:tcPr>
          <w:p>
            <w:pPr>
              <w:autoSpaceDE w:val="0"/>
              <w:autoSpaceDN w:val="0"/>
              <w:adjustRightInd w:val="0"/>
              <w:snapToGrid w:val="0"/>
              <w:spacing w:before="0" w:beforeAutospacing="0" w:after="0" w:afterAutospacing="0" w:line="240" w:lineRule="auto"/>
              <w:rPr>
                <w:rFonts w:ascii="宋体" w:hAnsi="宋体"/>
                <w:b/>
                <w:color w:val="000000" w:themeColor="text1"/>
                <w:szCs w:val="21"/>
              </w:rPr>
            </w:pPr>
            <w:r>
              <w:rPr>
                <w:rFonts w:ascii="Times New Roman"/>
                <w:color w:val="000000" w:themeColor="text1"/>
                <w:szCs w:val="21"/>
              </w:rPr>
              <w:t>为保证投标文件的真实性，本次投标所涉及所有证明材料原件，待与采购人</w:t>
            </w:r>
            <w:r>
              <w:rPr>
                <w:rFonts w:hint="eastAsia" w:ascii="Times New Roman"/>
                <w:color w:val="000000" w:themeColor="text1"/>
                <w:szCs w:val="21"/>
              </w:rPr>
              <w:t>签订合同时进行备查。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188" w:type="dxa"/>
            <w:vAlign w:val="center"/>
          </w:tcPr>
          <w:p>
            <w:pPr>
              <w:autoSpaceDE w:val="0"/>
              <w:autoSpaceDN w:val="0"/>
              <w:adjustRightInd w:val="0"/>
              <w:snapToGrid w:val="0"/>
              <w:spacing w:before="0" w:beforeAutospacing="0" w:after="0" w:afterAutospacing="0" w:line="240" w:lineRule="auto"/>
              <w:jc w:val="center"/>
              <w:rPr>
                <w:rFonts w:ascii="宋体" w:hAnsi="宋体" w:cs="TimesNewRomanPSMT"/>
                <w:color w:val="000000" w:themeColor="text1"/>
                <w:szCs w:val="24"/>
              </w:rPr>
            </w:pPr>
            <w:r>
              <w:rPr>
                <w:rFonts w:hint="eastAsia" w:ascii="宋体" w:hAnsi="宋体" w:cs="TimesNewRomanPSMT"/>
                <w:color w:val="000000" w:themeColor="text1"/>
                <w:szCs w:val="24"/>
              </w:rPr>
              <w:t>（4）</w:t>
            </w:r>
          </w:p>
        </w:tc>
        <w:tc>
          <w:tcPr>
            <w:tcW w:w="251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仿宋_GB2312"/>
                <w:color w:val="000000" w:themeColor="text1"/>
              </w:rPr>
              <w:t>代理服务费计算</w:t>
            </w:r>
          </w:p>
        </w:tc>
        <w:tc>
          <w:tcPr>
            <w:tcW w:w="5675" w:type="dxa"/>
            <w:vAlign w:val="center"/>
          </w:tcPr>
          <w:p>
            <w:pPr>
              <w:autoSpaceDE w:val="0"/>
              <w:autoSpaceDN w:val="0"/>
              <w:adjustRightInd w:val="0"/>
              <w:snapToGrid w:val="0"/>
              <w:spacing w:before="0" w:beforeAutospacing="0" w:after="0" w:afterAutospacing="0" w:line="240" w:lineRule="auto"/>
              <w:rPr>
                <w:rFonts w:ascii="宋体" w:hAnsi="宋体" w:cs="仿宋_GB2312"/>
                <w:color w:val="000000" w:themeColor="text1"/>
              </w:rPr>
            </w:pPr>
            <w:r>
              <w:rPr>
                <w:rFonts w:hint="eastAsia" w:ascii="宋体" w:hAnsi="宋体" w:cs="宋体"/>
                <w:color w:val="000000" w:themeColor="text1"/>
              </w:rPr>
              <w:t>本次采购活动采购代理服务费按琼价费管【2011】225号收取，由采购人向海南政辉招投标代理有限公司支付。</w:t>
            </w:r>
          </w:p>
        </w:tc>
      </w:tr>
    </w:tbl>
    <w:p>
      <w:pPr>
        <w:widowControl w:val="0"/>
        <w:tabs>
          <w:tab w:val="left" w:pos="420"/>
          <w:tab w:val="right" w:leader="dot" w:pos="9146"/>
        </w:tabs>
        <w:spacing w:before="0" w:beforeAutospacing="0" w:after="0" w:afterAutospacing="0" w:line="240" w:lineRule="auto"/>
        <w:jc w:val="center"/>
        <w:rPr>
          <w:rFonts w:ascii="宋体" w:hAnsi="宋体" w:cs="Arial"/>
          <w:b/>
          <w:color w:val="000000" w:themeColor="text1"/>
          <w:kern w:val="2"/>
          <w:szCs w:val="24"/>
        </w:rPr>
      </w:pPr>
    </w:p>
    <w:p>
      <w:pPr>
        <w:widowControl w:val="0"/>
        <w:tabs>
          <w:tab w:val="left" w:pos="420"/>
          <w:tab w:val="right" w:leader="dot" w:pos="9146"/>
        </w:tabs>
        <w:spacing w:before="0" w:beforeAutospacing="0" w:after="0" w:afterAutospacing="0" w:line="240" w:lineRule="auto"/>
        <w:rPr>
          <w:rFonts w:ascii="宋体" w:hAnsi="宋体" w:cs="Arial"/>
          <w:color w:val="000000" w:themeColor="text1"/>
          <w:kern w:val="2"/>
          <w:szCs w:val="24"/>
        </w:rPr>
      </w:pPr>
    </w:p>
    <w:p>
      <w:pPr>
        <w:spacing w:before="0" w:beforeAutospacing="0" w:after="0" w:afterAutospacing="0" w:line="240" w:lineRule="auto"/>
        <w:rPr>
          <w:rFonts w:ascii="宋体" w:hAnsi="宋体" w:cs="Arial"/>
          <w:color w:val="000000" w:themeColor="text1"/>
          <w:kern w:val="2"/>
          <w:szCs w:val="24"/>
        </w:rPr>
      </w:pPr>
      <w:r>
        <w:rPr>
          <w:rFonts w:ascii="宋体" w:hAnsi="宋体" w:cs="Arial"/>
          <w:color w:val="000000" w:themeColor="text1"/>
          <w:kern w:val="2"/>
          <w:szCs w:val="24"/>
        </w:rPr>
        <w:br w:type="page"/>
      </w:r>
    </w:p>
    <w:p>
      <w:pPr>
        <w:pStyle w:val="4"/>
        <w:rPr>
          <w:color w:val="000000" w:themeColor="text1"/>
          <w:kern w:val="2"/>
        </w:rPr>
      </w:pPr>
      <w:bookmarkStart w:id="54" w:name="_Toc534808249"/>
      <w:r>
        <w:rPr>
          <w:rFonts w:hint="eastAsia"/>
          <w:color w:val="000000" w:themeColor="text1"/>
          <w:kern w:val="2"/>
        </w:rPr>
        <w:t>（二）供应商须知</w:t>
      </w:r>
      <w:bookmarkEnd w:id="54"/>
    </w:p>
    <w:p>
      <w:pPr>
        <w:pStyle w:val="8"/>
        <w:rPr>
          <w:color w:val="000000" w:themeColor="text1"/>
          <w:kern w:val="2"/>
        </w:rPr>
      </w:pPr>
      <w:r>
        <w:rPr>
          <w:rFonts w:hint="eastAsia"/>
          <w:color w:val="000000" w:themeColor="text1"/>
          <w:kern w:val="2"/>
        </w:rPr>
        <w:t>1</w:t>
      </w:r>
      <w:r>
        <w:rPr>
          <w:rFonts w:hint="eastAsia"/>
          <w:color w:val="000000" w:themeColor="text1"/>
          <w:kern w:val="2"/>
        </w:rPr>
        <w:tab/>
      </w:r>
      <w:r>
        <w:rPr>
          <w:rFonts w:hint="eastAsia"/>
          <w:color w:val="000000" w:themeColor="text1"/>
          <w:kern w:val="2"/>
        </w:rPr>
        <w:t>总则</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 项目概况</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根据《中华人民共和国政府采购法》和《中华人民共和国政府采购法实施条例》等有关法律、法规、规章和规范性文件的规定，对本项目通过竞争性磋商进行采购。</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1.1.2 采购人：见竞争性磋商公告/邀请书。</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1.1.3 采购代理机构：见竞争性磋商公告/邀请书。</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1.1.4 采购工程名称：</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见竞争性磋商公告/邀请书。</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1.2 采购预算及最高限价</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见竞争性磋商公告/邀请书。</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1.3 采购范围、工期和质量要求</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见竞争性磋商公告/邀请书。</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1.4 供应商：指递交响应文件的法人。</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1.5 对供应商相关要求</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1.5.1 符合竞争性磋商公告/邀请书“供应商资格要求”。</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1.5.2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供应商应当遵循公平竞争的原则，不得恶意串通，不得妨碍其他供应商的竞争行为，不得损害采购人或者其他供应商的合法权益。</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1.5.3 </w:t>
      </w:r>
      <w:r>
        <w:rPr>
          <w:rFonts w:hint="eastAsia" w:ascii="宋体" w:hAnsi="宋体" w:cs="Arial"/>
          <w:color w:val="000000" w:themeColor="text1"/>
          <w:kern w:val="2"/>
          <w:szCs w:val="24"/>
        </w:rPr>
        <w:tab/>
      </w:r>
      <w:r>
        <w:rPr>
          <w:rFonts w:hint="eastAsia" w:ascii="宋体" w:hAnsi="宋体" w:cs="Arial"/>
          <w:color w:val="000000" w:themeColor="text1"/>
          <w:kern w:val="2"/>
          <w:szCs w:val="24"/>
        </w:rPr>
        <w:t>供应商不得以向采购人、采购代理机构、磋商小组成员行贿或者采取其他不正当手段谋取成交。</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1.5.4 竞争性磋商公告规定接受联合体的，还应遵守以下规定：</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w:t>
      </w:r>
      <w:r>
        <w:rPr>
          <w:rFonts w:hint="eastAsia" w:ascii="宋体" w:hAnsi="宋体" w:cs="Arial"/>
          <w:color w:val="000000" w:themeColor="text1"/>
          <w:kern w:val="2"/>
          <w:szCs w:val="24"/>
        </w:rPr>
        <w:tab/>
      </w:r>
      <w:r>
        <w:rPr>
          <w:rFonts w:hint="eastAsia" w:ascii="宋体" w:hAnsi="宋体" w:cs="Arial"/>
          <w:color w:val="000000" w:themeColor="text1"/>
          <w:kern w:val="2"/>
          <w:szCs w:val="24"/>
        </w:rPr>
        <w:t>联合体各方应按磋商文件提供的格式签订联合体协议书，明确联合体牵头人和各方工作内容和义务；</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w:t>
      </w:r>
      <w:r>
        <w:rPr>
          <w:rFonts w:hint="eastAsia" w:ascii="宋体" w:hAnsi="宋体" w:cs="Arial"/>
          <w:color w:val="000000" w:themeColor="text1"/>
          <w:kern w:val="2"/>
          <w:szCs w:val="24"/>
        </w:rPr>
        <w:tab/>
      </w:r>
      <w:r>
        <w:rPr>
          <w:rFonts w:hint="eastAsia" w:ascii="宋体" w:hAnsi="宋体" w:cs="Arial"/>
          <w:color w:val="000000" w:themeColor="text1"/>
          <w:kern w:val="2"/>
          <w:szCs w:val="24"/>
        </w:rPr>
        <w:t>联合体中有同类资质的供应商按照联合体分工承担相同工作的，应当按照资质等级较低的供应商确定联合体的资质等级。</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w:t>
      </w:r>
      <w:r>
        <w:rPr>
          <w:rFonts w:hint="eastAsia" w:ascii="宋体" w:hAnsi="宋体" w:cs="Arial"/>
          <w:color w:val="000000" w:themeColor="text1"/>
          <w:kern w:val="2"/>
          <w:szCs w:val="24"/>
        </w:rPr>
        <w:tab/>
      </w:r>
      <w:r>
        <w:rPr>
          <w:rFonts w:hint="eastAsia" w:ascii="宋体" w:hAnsi="宋体" w:cs="Arial"/>
          <w:color w:val="000000" w:themeColor="text1"/>
          <w:kern w:val="2"/>
          <w:szCs w:val="24"/>
        </w:rPr>
        <w:t>联合体各方不得再单独参加或者与其他供应商另外组成联合体参加同一合同项下的磋商。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（4）</w:t>
      </w:r>
      <w:r>
        <w:rPr>
          <w:rFonts w:hint="eastAsia" w:ascii="宋体" w:hAnsi="宋体" w:cs="Arial"/>
          <w:color w:val="000000" w:themeColor="text1"/>
          <w:kern w:val="2"/>
          <w:szCs w:val="24"/>
        </w:rPr>
        <w:tab/>
      </w:r>
      <w:r>
        <w:rPr>
          <w:rFonts w:hint="eastAsia" w:ascii="宋体" w:hAnsi="宋体" w:cs="Arial"/>
          <w:color w:val="000000" w:themeColor="text1"/>
          <w:kern w:val="2"/>
          <w:szCs w:val="24"/>
        </w:rPr>
        <w:t>联合体各方应当共同与采购人签订采购合同，就合同约定的事项对采购人承担连带责任。</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1.5.5供应商不得存在下列情形之一：</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（1）为采购人不具有独立法人资格的附属机构（单位）；</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（2）为本项目前期准备提供设计或咨询服务的；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（3）为本项目的监理人；</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（4）为本项目的代建人；</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（5）为本项目提供采购代理服务的；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（6）与本项目的监理人或代建人或采购代理机构同为一个法定代表人的；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（7）与本项目的监理人或代建人或采购代理机构相互控控股或参股的；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（8）与本项目的监理人或代建人或采购代理机构相互任职或工作的；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（9）被责令停业的；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（10）被暂停或取消投标资格的；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（11）财产被接管或冻结的；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（12）在最近三年内有骗取成交或严重违约。</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（13）被最高人民法院在“信用中国”网站（www.creditchina.gov.cn）或各级信用信息共享平台中列入失信被执行人名单；</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（14）法律法规或磋商须知前附表规定的其他情形。</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1.6 分包</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供应商须知前附表规定允许分包的，供应商应根据磋商文件的规定和采购项目的实际情况，将拟在成交后将采购项目的非主体、非关键性工作分包的，在响应文件中载明分包承担主体，分包承担主体应当具备相应资质条件且不得再次分包。政府采购合同分包履行的，成交供应商应当对其承包的建设工程或者采购的设备的质量负责；分包人应当按照分包合同的约定对其分包工程的质量向成交供应商负责，成交供应商与分包人对分包工程的质量承担连带责任。</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1.7 费用承担 </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供应商准备和参加磋商活动发生的费用自理。</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1.8 保密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参与磋商活动的各方应对磋商文件和响应文件中的商业和技术等秘密保密，违者应对由此造成的后果承担法律责任。</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1.9 语言文字</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除专用术语外，与磋商有关的语言均使用中文。必要时专用术语应附有中文注释。</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1.10 计量单位</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所有计量均采用中华人民共和国法定计量单位。</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1.11 踏勘现场</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1.11.1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供应商须知前附表规定组织踏勘现场的，采购人须按照规定时间、地点组织供应商踏勘项目现场。</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1.11.2 供应商承担踏勘现场所发生的自身费用、责任和风险。</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1.11.3 </w:t>
      </w:r>
      <w:r>
        <w:rPr>
          <w:rFonts w:hint="eastAsia" w:ascii="宋体" w:hAnsi="宋体" w:cs="Arial"/>
          <w:color w:val="000000" w:themeColor="text1"/>
          <w:kern w:val="2"/>
          <w:szCs w:val="24"/>
        </w:rPr>
        <w:tab/>
      </w:r>
      <w:r>
        <w:rPr>
          <w:rFonts w:hint="eastAsia" w:ascii="宋体" w:hAnsi="宋体" w:cs="Arial"/>
          <w:color w:val="000000" w:themeColor="text1"/>
          <w:kern w:val="2"/>
          <w:szCs w:val="24"/>
        </w:rPr>
        <w:t>采购人向供应商提供的有关现场的资料和数据，是采购人现有的能被供应商利用的资料，采购人不对供应商由此而做出的推论、理解和结论负责。</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1.11.4</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除采购人原因外，供应商应对踏勘现场而造成的人员伤亡、财产损失以及由此引起的连带责任和费用负责。</w:t>
      </w:r>
    </w:p>
    <w:p>
      <w:pPr>
        <w:pStyle w:val="8"/>
        <w:rPr>
          <w:color w:val="000000" w:themeColor="text1"/>
          <w:kern w:val="2"/>
        </w:rPr>
      </w:pPr>
      <w:r>
        <w:rPr>
          <w:rFonts w:hint="eastAsia"/>
          <w:color w:val="000000" w:themeColor="text1"/>
          <w:kern w:val="2"/>
        </w:rPr>
        <w:t>2</w:t>
      </w:r>
      <w:r>
        <w:rPr>
          <w:rFonts w:hint="eastAsia"/>
          <w:color w:val="000000" w:themeColor="text1"/>
          <w:kern w:val="2"/>
        </w:rPr>
        <w:tab/>
      </w:r>
      <w:r>
        <w:rPr>
          <w:rFonts w:hint="eastAsia"/>
          <w:color w:val="000000" w:themeColor="text1"/>
          <w:kern w:val="2"/>
        </w:rPr>
        <w:t>磋商文件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2.1 磋商文件的组成</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本磋商文件包括：</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（1）竞争性磋商公告；</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（2）供应商须知；</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（3）评审办法和标准；</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（4）合同条款及格式；</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（5）工程量清单；</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（6）项目技术规范说明；</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（7）响应文件格式。</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根据本章第2.2款对磋商文件所作的澄清、修改，构成磋商文件的组成部分。</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2.2 磋商文件的澄清或修改</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2.2.1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供应商应仔细阅读和检查磋商文件的全部内容。如发现缺页或附件不全，应及时向采购人提出，以便补齐。</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2.2.2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供应商如有疑问可以在供应商须知前附表规定的时间内向采购人提出询问，要求采购人对磋商文件予以澄清。</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2.2.3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5日前，以书面形式通知所有接收磋商文件的供应商，不足5日的，应当顺延提交首次响应文件截止之日。</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通过发布公告邀请供应商参加磋商的，澄清修改和更正内容将在磋商公告发布媒体上予以公告。</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2.2.4 </w:t>
      </w:r>
      <w:r>
        <w:rPr>
          <w:rFonts w:hint="eastAsia" w:ascii="宋体" w:hAnsi="宋体" w:cs="Arial"/>
          <w:color w:val="000000" w:themeColor="text1"/>
          <w:kern w:val="2"/>
          <w:szCs w:val="24"/>
        </w:rPr>
        <w:tab/>
      </w:r>
      <w:r>
        <w:rPr>
          <w:rFonts w:hint="eastAsia" w:ascii="宋体" w:hAnsi="宋体" w:cs="Arial"/>
          <w:color w:val="000000" w:themeColor="text1"/>
          <w:kern w:val="2"/>
          <w:szCs w:val="24"/>
        </w:rPr>
        <w:t>供应商应在收到澄清或修改文件后24小时内或根据澄清通知中要求的时间内，将加盖公章的回执书面形式通知采购人、采购代理机构或磋商小组，确认已收到该澄清。否则，视为同意和接受该澄清或者修改内容。</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对磋商文件提出质疑的，应当在获取磋商文件或者磋商文件公告期限届满之日起7个工作日内，按供应商须知前附表中送达质疑函的方式以书面形式一次性提出质疑。供应商提出质疑应当提交质疑函和必要的证明材料，质疑函的内容应符合政府采购质疑和投诉办法的规定。</w:t>
      </w:r>
    </w:p>
    <w:p>
      <w:pPr>
        <w:pStyle w:val="8"/>
        <w:rPr>
          <w:color w:val="000000" w:themeColor="text1"/>
          <w:kern w:val="2"/>
        </w:rPr>
      </w:pPr>
      <w:r>
        <w:rPr>
          <w:rFonts w:hint="eastAsia"/>
          <w:color w:val="000000" w:themeColor="text1"/>
          <w:kern w:val="2"/>
        </w:rPr>
        <w:t>3</w:t>
      </w:r>
      <w:r>
        <w:rPr>
          <w:rFonts w:hint="eastAsia"/>
          <w:color w:val="000000" w:themeColor="text1"/>
          <w:kern w:val="2"/>
        </w:rPr>
        <w:tab/>
      </w:r>
      <w:r>
        <w:rPr>
          <w:rFonts w:hint="eastAsia"/>
          <w:color w:val="000000" w:themeColor="text1"/>
          <w:kern w:val="2"/>
        </w:rPr>
        <w:t>响应文件编制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3.1 响应文件的组成</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3.1.1 响应文件应包括下列内容：</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（1）报价函及其附录；</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（2）法定代表人身份证明及授权委托书；</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（3）磋商保证金；</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（4）已标价工程量清单；</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（5）商务、技术条款偏差表；</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（6）资格证明文件（详见响应文件格式要求）；</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（7）小微企业、监狱企业、残疾人福利单位的声明函或证明材料（如有）；</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（8）项目管理机构；</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（9）项目业绩一览表；</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（10）施工服务方案；</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（11）磋商文件要求的其他内容以及供应商认为必要的其他内容；</w:t>
      </w:r>
    </w:p>
    <w:p>
      <w:pPr>
        <w:widowControl w:val="0"/>
        <w:tabs>
          <w:tab w:val="left" w:pos="420"/>
          <w:tab w:val="right" w:leader="dot" w:pos="9146"/>
        </w:tabs>
        <w:adjustRightInd w:val="0"/>
        <w:snapToGrid w:val="0"/>
        <w:spacing w:before="0" w:beforeAutospacing="0" w:after="0" w:afterAutospacing="0"/>
        <w:ind w:left="480" w:leftChars="200"/>
        <w:rPr>
          <w:rFonts w:ascii="宋体" w:hAnsi="宋体" w:cs="Arial"/>
          <w:color w:val="000000" w:themeColor="text1"/>
          <w:kern w:val="2"/>
          <w:szCs w:val="24"/>
        </w:rPr>
      </w:pPr>
      <w:r>
        <w:rPr>
          <w:rFonts w:hint="eastAsia" w:ascii="宋体" w:hAnsi="宋体" w:cs="Arial"/>
          <w:color w:val="000000" w:themeColor="text1"/>
          <w:kern w:val="2"/>
          <w:szCs w:val="24"/>
        </w:rPr>
        <w:t>（12）最后报价函（磋商结束后，根据磋商小组要求提交）。</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 首次报价</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3.2.1 供应商应按磋商文件第八章提供的格式进行首次报价。</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所有根据合同或其它原因应由供应商支付的税款和其它应交纳的费用都应包括在供应商提交的报价中。</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3.2.3 供应商应仔细阅读所有磋商文件，填报自己认为正确的报价。</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 供应商对采购内容只允许有一个报价，采购人不接受任何有选择的报价。</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3.4</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报价不得有选择性报价和附有条件的报价，且不得高于预算价或最高限价，否则其报价无效。</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3.5</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本项目为总价合同，除非合同另有约定，供应商所报的最后价格在合同执行过程中是固定不变的，不得以任何理由予以变更。任何包含价格调整要求的响应文件，将被认为是非实质响应性而予以拒绝。</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3.6 响应文件有效期</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3.6.1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本项目响应文件有效期见供应商须知前附表。响应文件有效期从提交响应文件的截止之日起算。响应文件中承诺的有效期应当不少于磋商文件中载明的有效期。</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3.6.2 </w:t>
      </w:r>
      <w:r>
        <w:rPr>
          <w:rFonts w:hint="eastAsia" w:ascii="宋体" w:hAnsi="宋体" w:cs="Arial"/>
          <w:color w:val="000000" w:themeColor="text1"/>
          <w:kern w:val="2"/>
          <w:szCs w:val="24"/>
        </w:rPr>
        <w:tab/>
      </w:r>
      <w:r>
        <w:rPr>
          <w:rFonts w:hint="eastAsia" w:ascii="宋体" w:hAnsi="宋体" w:cs="Arial"/>
          <w:color w:val="000000" w:themeColor="text1"/>
          <w:kern w:val="2"/>
          <w:szCs w:val="24"/>
        </w:rPr>
        <w:t>在供应商须知前附表规定的响应文件有效期内，供应商不得要求撤销或修改其响应文件。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3.7 磋商保证金</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3.7.1 </w:t>
      </w:r>
      <w:r>
        <w:rPr>
          <w:rFonts w:hint="eastAsia" w:ascii="宋体" w:hAnsi="宋体" w:cs="Arial"/>
          <w:color w:val="000000" w:themeColor="text1"/>
          <w:kern w:val="2"/>
          <w:szCs w:val="24"/>
        </w:rPr>
        <w:tab/>
      </w:r>
      <w:r>
        <w:rPr>
          <w:rFonts w:hint="eastAsia" w:ascii="宋体" w:hAnsi="宋体" w:cs="Arial"/>
          <w:color w:val="000000" w:themeColor="text1"/>
          <w:kern w:val="2"/>
          <w:szCs w:val="24"/>
        </w:rPr>
        <w:t>供应商应按供应商前附表规定的金额、形式递交磋商保证金，并作为其响应文件的组成部分。以联合体形式递交响应文件的，可以由联合体中的一方或者共同提交磋商保证金，以一方名义提交磋商保证金的，对联合体各方均具有约束力。</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3.7.2 供应商不按本章第3.7.1项要求提交磋商保证金的，其响应文件无效。</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3.7.3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供应商在首次响应文件递交截止时间3日前，按磋商文件的要求向采购代理机构递交磋商保证金，递交首次响应文件截止时间之后递交的磋商保证金将被拒绝。</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3.7.4</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供应商在汇款时务必注明所参与磋商项目的编号及用途，否则，因款项用途不明导致响应文件无效等后果由供应商自行承担。</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3.7.5</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采购人或者采购代理机构应当自成交通知书发出之日起5个工作日内退还非成交供应商的磋商保证金，自政府采购合同签订之日起5个工作日内退还成交供应商的磋商保证金或者转为成交供应商的履约保证金。</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采购人或者采购代理机构逾期退还磋商保证金的，除退还磋商保证金本金外，还应当按中国人民银行同期贷款基准利率上浮20％后的利率支付超期资金占用费，但因供应商自身原因导致无法及时退还的除外。</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3.7.6 供应商有下列行为之一者，其磋商保证金可不予退还：</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（1）供应商在响应文件有效期内撤回响应文件的；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（2）供应商在响应文件中提供虚假材料的；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（3）除因不可抗力或磋商文件认可的情形以外，成交供应商不与采购人签订合同的；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（4）供应商与采购人、其他供应商或者采购代理机构恶意串通的；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（5）磋商文件规定应由成交供应商缴纳代理服务费而成交供应商未缴纳的；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（6）磋商文件规定的其他情形。</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3.8 响应文件的编制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3.8.1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响应文件应按第八章“响应文件格式”进行编写，如有必要，可以增加附页，作为响应文件的组成部分。供应商可以提出比磋商文件要求更有利于采购人的承诺。</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响应文件应当对磋商文件有关采购范围、工期、响应文件有效期及磋商文件要求实质性内容作出响应。</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3.8.2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响应文件正本需打印或用不褪色墨水书写，供应商的法定代表人或经授权的代表须根据磋商文件第八章的规定在响应文件中需要签字和（或）盖章的位置签字（或盖人名章）和（或）加盖单位公章。授权代表须持有书面的“法定代表人授权书”（格式附后），并将其附在响应文件中。</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首次响应文件递交截止时间前，如对首次响应文件进行了修改，包括在响应文件行间插字、涂改和增删，均应由供应商的法定代表人或经授权的代表在修改的每一页上签字。</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响应文件的副本需为正本的复印件。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3.8.3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响应文件正本一份，副本及电子文档份数见供应商须知前附表。正本和副本的封面上应清楚地标记“正本”或“副本”的字样。当副本和正本不一致时，以正本为准。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3.8.4 </w:t>
      </w:r>
      <w:r>
        <w:rPr>
          <w:rFonts w:hint="eastAsia" w:ascii="宋体" w:hAnsi="宋体" w:cs="Arial"/>
          <w:color w:val="000000" w:themeColor="text1"/>
          <w:kern w:val="2"/>
          <w:szCs w:val="24"/>
        </w:rPr>
        <w:tab/>
      </w:r>
      <w:r>
        <w:rPr>
          <w:rFonts w:hint="eastAsia" w:ascii="宋体" w:hAnsi="宋体" w:cs="Arial"/>
          <w:color w:val="000000" w:themeColor="text1"/>
          <w:kern w:val="2"/>
          <w:szCs w:val="24"/>
        </w:rPr>
        <w:t>响应文件的正本与副本应分别装订成册，并编制目录，具体分册及装订要求见供应商须知前附表规定。</w:t>
      </w:r>
    </w:p>
    <w:p>
      <w:pPr>
        <w:pStyle w:val="8"/>
        <w:rPr>
          <w:color w:val="000000" w:themeColor="text1"/>
          <w:kern w:val="2"/>
        </w:rPr>
      </w:pPr>
      <w:r>
        <w:rPr>
          <w:rFonts w:hint="eastAsia"/>
          <w:color w:val="000000" w:themeColor="text1"/>
          <w:kern w:val="2"/>
        </w:rPr>
        <w:t>4</w:t>
      </w:r>
      <w:r>
        <w:rPr>
          <w:rFonts w:hint="eastAsia"/>
          <w:color w:val="000000" w:themeColor="text1"/>
          <w:kern w:val="2"/>
        </w:rPr>
        <w:tab/>
      </w:r>
      <w:r>
        <w:rPr>
          <w:rFonts w:hint="eastAsia"/>
          <w:color w:val="000000" w:themeColor="text1"/>
          <w:kern w:val="2"/>
        </w:rPr>
        <w:t>响应文件提交</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4.1 响应文件的密封和标记</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4.1.1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供应商递交的响应文件</w:t>
      </w:r>
      <w:r>
        <w:rPr>
          <w:color w:val="000000" w:themeColor="text1"/>
        </w:rPr>
        <w:t>正本、所有副本、电子文档，应分别封装于不同的密封袋内，密封袋</w:t>
      </w:r>
      <w:r>
        <w:rPr>
          <w:rFonts w:asciiTheme="minorEastAsia" w:hAnsiTheme="minorEastAsia" w:eastAsiaTheme="minorEastAsia"/>
          <w:color w:val="000000" w:themeColor="text1"/>
        </w:rPr>
        <w:t>上应分别标上“正本”、“副本”、 “电子文档”字样</w:t>
      </w:r>
      <w:r>
        <w:rPr>
          <w:rFonts w:hint="eastAsia" w:ascii="宋体" w:hAnsi="宋体" w:cs="Arial"/>
          <w:color w:val="000000" w:themeColor="text1"/>
          <w:kern w:val="2"/>
          <w:szCs w:val="24"/>
        </w:rPr>
        <w:t>。密封方式为在响应文件外包装封口处加盖骑缝章。</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4.1.2 响应文件的封套上应标识的其他内容见供应商须知前附表。</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4.1.3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未按本章第4.1.1项、第4.1.2项要求密封并加写标识的响应文件，采购人不予受理。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4.2 首次响应文件的递交</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4.2.1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供应商应在竞争性磋商公告/邀请书规定的递交响应文件截止时间前递交首次响应文件。如有变化，见澄清修改文件。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4.2.2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供应商递交首次响应文件的地点：见竞争性磋商公告/邀请书。如有变化，见澄清修改文件。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4.2.3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除因供应商家数不满足要求未进行磋商的情形外，供应商所递交的响应文件不予退还。</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4.2.4 逾期送达、未送达指定地点的响应文件，采购人不予受理。</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4.3 响应文件的修改与撤回</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4.3.1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在竞争性磋商公告/或邀请书规定的首次响应文件递交截止时间前，供应商可以修改或撤回已递交的首次响应文件，但应以书面形式通知采购人。</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4.3.2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修改的内容为首次响应文件的组成部分。修改的首次响应文件应按照本章第3条、第4条规定进行编制、标记和递交，并标明“修改”字样。</w:t>
      </w:r>
    </w:p>
    <w:p>
      <w:pPr>
        <w:pStyle w:val="8"/>
        <w:rPr>
          <w:color w:val="000000" w:themeColor="text1"/>
          <w:kern w:val="2"/>
        </w:rPr>
      </w:pPr>
      <w:r>
        <w:rPr>
          <w:rFonts w:hint="eastAsia"/>
          <w:color w:val="000000" w:themeColor="text1"/>
          <w:kern w:val="2"/>
        </w:rPr>
        <w:t>5</w:t>
      </w:r>
      <w:r>
        <w:rPr>
          <w:rFonts w:hint="eastAsia"/>
          <w:color w:val="000000" w:themeColor="text1"/>
          <w:kern w:val="2"/>
        </w:rPr>
        <w:tab/>
      </w:r>
      <w:r>
        <w:rPr>
          <w:rFonts w:hint="eastAsia"/>
          <w:color w:val="000000" w:themeColor="text1"/>
          <w:kern w:val="2"/>
        </w:rPr>
        <w:t>评审与磋商</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5.1 磋商小组</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5.1.1 </w:t>
      </w:r>
      <w:r>
        <w:rPr>
          <w:rFonts w:hint="eastAsia" w:ascii="宋体" w:hAnsi="宋体" w:cs="Arial"/>
          <w:color w:val="000000" w:themeColor="text1"/>
          <w:kern w:val="2"/>
          <w:szCs w:val="24"/>
        </w:rPr>
        <w:tab/>
      </w:r>
      <w:r>
        <w:rPr>
          <w:rFonts w:hint="eastAsia" w:ascii="宋体" w:hAnsi="宋体" w:cs="Arial"/>
          <w:color w:val="000000" w:themeColor="text1"/>
          <w:kern w:val="2"/>
          <w:szCs w:val="24"/>
        </w:rPr>
        <w:t>竞争性磋商小组由采购人代表和评审专家组成，采购人代表和评审专家人数见供应商须知前附表。</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5.1.2 磋商小组成员有下列情形之一的，应当回避：</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（1）参加采购活动前3年内与供应商存在劳动关系；</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（2）参加采购活动前3年内担任供应商的董事、监事；</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（3）参加采购活动前3年内是供应商的控股股东或者实际控制人；</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（4）</w:t>
      </w:r>
      <w:r>
        <w:rPr>
          <w:rFonts w:hint="eastAsia" w:ascii="宋体" w:hAnsi="宋体" w:cs="Arial"/>
          <w:color w:val="000000" w:themeColor="text1"/>
          <w:kern w:val="2"/>
          <w:szCs w:val="24"/>
        </w:rPr>
        <w:tab/>
      </w:r>
      <w:r>
        <w:rPr>
          <w:rFonts w:hint="eastAsia" w:ascii="宋体" w:hAnsi="宋体" w:cs="Arial"/>
          <w:color w:val="000000" w:themeColor="text1"/>
          <w:kern w:val="2"/>
          <w:szCs w:val="24"/>
        </w:rPr>
        <w:t>与供应商的法定代表人或者负责人有夫妻、直系血亲、三代以内旁系血亲或者近姻亲关系；</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（5）与供应商有其他可能影响政府采购活动公平、公正进行的关系。</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5.1.3 磋商小组负责具体评审事务，并独立履行下列职责：</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（1）确认磋商文件；</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（2）审查供应商的响应文件并作出评价；</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（3）要求供应商解释或者澄清其响应文件；</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（4）编写评审报告；</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（5）告知采购人、采购代理机构在评审过程中发现的供应商的违法违规行为。</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5.2 </w:t>
      </w:r>
      <w:r>
        <w:rPr>
          <w:rFonts w:hint="eastAsia" w:ascii="宋体" w:hAnsi="宋体" w:cs="Arial"/>
          <w:color w:val="000000" w:themeColor="text1"/>
          <w:kern w:val="2"/>
          <w:szCs w:val="24"/>
        </w:rPr>
        <w:tab/>
      </w:r>
      <w:r>
        <w:rPr>
          <w:rFonts w:hint="eastAsia" w:ascii="宋体" w:hAnsi="宋体" w:cs="Arial"/>
          <w:color w:val="000000" w:themeColor="text1"/>
          <w:kern w:val="2"/>
          <w:szCs w:val="24"/>
        </w:rPr>
        <w:t>磋商小组所有成员集中与单一供应商分别进行磋商，并给予所有参加磋商的供应商平等的磋商机会。</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磋商结束后，磋商小组可以要求所有继续参加磋商的供应商在规定时间内提交最后报价函，提交最后报价函的供应商不得少于3家，但市场竞争不充分的科研项目以及需要扶持的科技成果转化项目除外。</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5.4</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供应商应当按照磋商文件的变动情况和磋商小组的要求重新提交最后报价函，并由其法定代表人或授权代表签字或者加盖公章。由授权代表签字的，应当附法定代表人授权书。</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最后报价函是供应商响应文件的有效组成部分。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5.5 若竞争性磋商最后报价函与供应商首次递交的报价函及报价函附录的内容有差异，以竞争性磋商最后报价函内容为准。</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5.6</w:t>
      </w:r>
      <w:r>
        <w:rPr>
          <w:rFonts w:hint="eastAsia" w:ascii="宋体" w:hAnsi="宋体"/>
          <w:b/>
          <w:bCs/>
          <w:color w:val="000000" w:themeColor="text1"/>
          <w:szCs w:val="21"/>
        </w:rPr>
        <w:t>成交供应商应根据磋商文件中的施工图纸及其最后报价函中所列报价，根据《建设工程工程量清单计价规范》（GB 50500）和《房屋建筑与装饰工程工程量计算规范》（GB 50854）的相关规定，编制本项目已标价的工程量清单，收到成交通知书后的7日内提交给采购人；对采购人提出的审查意见在合同签订前修改完成。</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5.7</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磋商小组按照第三章“评审办法和标准”规定的评标方法和标准，对参与磋商最后报价的响应文件进行商务和技术评估，综合比较与评价。“评审办法”没有规定的方法、评审因素和标准，不作为评审依据。</w:t>
      </w:r>
    </w:p>
    <w:p>
      <w:pPr>
        <w:pStyle w:val="8"/>
        <w:rPr>
          <w:color w:val="000000" w:themeColor="text1"/>
          <w:kern w:val="2"/>
        </w:rPr>
      </w:pPr>
      <w:r>
        <w:rPr>
          <w:rFonts w:hint="eastAsia"/>
          <w:color w:val="000000" w:themeColor="text1"/>
          <w:kern w:val="2"/>
        </w:rPr>
        <w:t>6</w:t>
      </w:r>
      <w:r>
        <w:rPr>
          <w:rFonts w:hint="eastAsia"/>
          <w:color w:val="000000" w:themeColor="text1"/>
          <w:kern w:val="2"/>
        </w:rPr>
        <w:tab/>
      </w:r>
      <w:r>
        <w:rPr>
          <w:rFonts w:hint="eastAsia"/>
          <w:color w:val="000000" w:themeColor="text1"/>
          <w:kern w:val="2"/>
        </w:rPr>
        <w:t>合同授予</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6.1 确定成交供应商方式</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采购人应当从评审报告提出的成交候选供应商中，按照得分排序由高到低的原则确定成交供应商，也可以书面授权磋商小组直接确定成交供应商。具体方式见供应商须知前附表。</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6.2 成交公告</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6.2.1 </w:t>
      </w:r>
      <w:r>
        <w:rPr>
          <w:rFonts w:hint="eastAsia" w:ascii="宋体" w:hAnsi="宋体" w:cs="Arial"/>
          <w:color w:val="000000" w:themeColor="text1"/>
          <w:kern w:val="2"/>
          <w:szCs w:val="24"/>
        </w:rPr>
        <w:tab/>
      </w:r>
      <w:r>
        <w:rPr>
          <w:rFonts w:hint="eastAsia" w:ascii="宋体" w:hAnsi="宋体" w:cs="Arial"/>
          <w:color w:val="000000" w:themeColor="text1"/>
          <w:kern w:val="2"/>
          <w:szCs w:val="24"/>
        </w:rPr>
        <w:t>采购人或者采购代理机构应当自成交供应商确定之日起2个工作日内，在省级以上财政部门指定的媒体上公告成交结果。</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成交公告期限为1个工作日。</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6.2.2 </w:t>
      </w:r>
      <w:r>
        <w:rPr>
          <w:rFonts w:hint="eastAsia" w:ascii="宋体" w:hAnsi="宋体" w:cs="Arial"/>
          <w:color w:val="000000" w:themeColor="text1"/>
          <w:kern w:val="2"/>
          <w:szCs w:val="24"/>
        </w:rPr>
        <w:tab/>
      </w:r>
      <w:r>
        <w:rPr>
          <w:rFonts w:hint="eastAsia" w:ascii="宋体" w:hAnsi="宋体" w:cs="Arial"/>
          <w:color w:val="000000" w:themeColor="text1"/>
          <w:kern w:val="2"/>
          <w:szCs w:val="24"/>
        </w:rPr>
        <w:t>供应商可以在成交公告期限届满之日起七个工作日内，按本须知第2.3款接收质疑函的方式以书面形式一次性提出对成交结果的质疑。</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6.3 成交通知</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在公告成交结果的同时，采购人以书面形式向成交供应商发出成交通知书，同时将成交结果通知其他参加磋商的供应商。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成交通知书发出后，采购人不得违法改变成交结果，成交供应商无正当理由不得放弃。</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6.4 履约保证金</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6.4.1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在签订合同前，成交供应商应按供应商须知前附表规定的金额、担保形式和磋商文件第四章“合同条款及格式”规定的履约保证金格式向采购人提交履约保证金。</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6.4.2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成交供应商不能按本章第6.4.1项要求提交履约保证金的，视为放弃成交，其磋商保证金不予退还，给采购人造成的损失超过磋商保证金数额的，成交供应商还应当对超过部分予以赔偿。</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6.5 签订合同</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6.5.1</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采购人应当自成交通知书发出之日起30日内，按照磋商文件和成交供应商响应文件的规定，与成交供应商签订书面合同。所签订的合同不得对磋商文件确定的事项和成交供应商响应文件作实质性修改。</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采购人不得向成交供应商提出任何不合理的要求作为签订合同的条件。</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6.5.2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成交供应商无正当理由拒签合同的，采购人取消其成交资格，其磋商保证金不予退还；给采购人造成的损失超过磋商保证金数额的，成交供应商还应当对超过部分予以赔偿。</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6.5.3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发出成交通知书后，采购人无正当理由拒签合同的，采购人向成交供应商退还磋商保证金；给成交供应商造成损失的，还应当赔偿损失。</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6.5.4</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成交供应商拒绝签订政府采购合同的，采购人可以按照第6.1款原则确定其他供应商作为成交供应商并签订政府采购合同，也可以重新开展采购活动。拒绝签订政府采购合同的成交供应商不得参加对该项目重新开展的采购活动。</w:t>
      </w:r>
    </w:p>
    <w:p>
      <w:pPr>
        <w:pStyle w:val="8"/>
        <w:rPr>
          <w:color w:val="000000" w:themeColor="text1"/>
          <w:kern w:val="2"/>
        </w:rPr>
      </w:pPr>
      <w:r>
        <w:rPr>
          <w:rFonts w:hint="eastAsia"/>
          <w:color w:val="000000" w:themeColor="text1"/>
          <w:kern w:val="2"/>
        </w:rPr>
        <w:t>7</w:t>
      </w:r>
      <w:r>
        <w:rPr>
          <w:rFonts w:hint="eastAsia"/>
          <w:color w:val="000000" w:themeColor="text1"/>
          <w:kern w:val="2"/>
        </w:rPr>
        <w:tab/>
      </w:r>
      <w:r>
        <w:rPr>
          <w:rFonts w:hint="eastAsia"/>
          <w:color w:val="000000" w:themeColor="text1"/>
          <w:kern w:val="2"/>
        </w:rPr>
        <w:t>重新开展采购活动</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出现下列情形之一的，采购人或者采购代理机构应当终止竞争性磋商采购活动，通过发布公告邀请供应商参加磋商的，将在磋商公告发布媒体上发布（通过邀请方式的，将通知每位接受邀请的供应商）项目终止公告并说明原因，重新开展采购活动：</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（1）因情况变化，不再符合规定的竞争性磋商采购方式适用情形的；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（2）出现影响采购公正的违法、违规行为的；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w:t>
      </w:r>
      <w:r>
        <w:rPr>
          <w:rFonts w:hint="eastAsia" w:ascii="宋体" w:hAnsi="宋体" w:cs="Arial"/>
          <w:color w:val="000000" w:themeColor="text1"/>
          <w:kern w:val="2"/>
          <w:szCs w:val="24"/>
        </w:rPr>
        <w:tab/>
      </w:r>
      <w:r>
        <w:rPr>
          <w:rFonts w:hint="eastAsia" w:ascii="宋体" w:hAnsi="宋体" w:cs="Arial"/>
          <w:color w:val="000000" w:themeColor="text1"/>
          <w:kern w:val="2"/>
          <w:szCs w:val="24"/>
        </w:rPr>
        <w:t>在采购过程中符合要求的供应商或者报价未超过采购预算或最高限价的供应商不足3家的，但市场竞争不充分的科研项目以及需要扶持的科技成果转化项目提交最后报价的供应商可以为2家。</w:t>
      </w:r>
    </w:p>
    <w:p>
      <w:pPr>
        <w:pStyle w:val="8"/>
        <w:rPr>
          <w:color w:val="000000" w:themeColor="text1"/>
          <w:kern w:val="2"/>
        </w:rPr>
      </w:pPr>
      <w:r>
        <w:rPr>
          <w:rFonts w:hint="eastAsia"/>
          <w:color w:val="000000" w:themeColor="text1"/>
          <w:kern w:val="2"/>
        </w:rPr>
        <w:t>8</w:t>
      </w:r>
      <w:r>
        <w:rPr>
          <w:rFonts w:hint="eastAsia"/>
          <w:color w:val="000000" w:themeColor="text1"/>
          <w:kern w:val="2"/>
        </w:rPr>
        <w:tab/>
      </w:r>
      <w:r>
        <w:rPr>
          <w:rFonts w:hint="eastAsia"/>
          <w:color w:val="000000" w:themeColor="text1"/>
          <w:kern w:val="2"/>
        </w:rPr>
        <w:t>纪律和监督</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8.1 对采购人的要求</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采购人在政府采购活动中应当维护国家利益和社会公共利益，公正廉洁，诚实守信，执行政府采购政策。采购人不得向供应商索要或者接受其给予的赠品、回扣或者与采购无关的其他商品、服务。</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8.2 对采购代理机构的要求</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采购代理机构不得与采购人、供应商恶意串通操纵政府采购活动。</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采购代理机构工作人员不得接受采购人或者供应商组织的宴请、旅游、娱乐，不得收受礼品、现金、有价证券等，不得向采购人或者供应商报销应当由个人承担的费用。</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8.3 对供应商的纪律要求</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供应商不得相互串通或者与采购人串通，不得向采购人或者磋商小组成员行贿谋取成交，不得以他人名义或者以其他方式弄虚作假骗取成交；供应商不得以任何方式干扰、影响磋商工作。</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8.4 磋商小组及其成员不得有下列行为</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（1）确定参与磋商至磋商结束前私自接触供应商；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w:t>
      </w:r>
      <w:r>
        <w:rPr>
          <w:rFonts w:hint="eastAsia" w:ascii="宋体" w:hAnsi="宋体" w:cs="Arial"/>
          <w:color w:val="000000" w:themeColor="text1"/>
          <w:kern w:val="2"/>
          <w:szCs w:val="24"/>
        </w:rPr>
        <w:tab/>
      </w:r>
      <w:r>
        <w:rPr>
          <w:rFonts w:hint="eastAsia" w:ascii="宋体" w:hAnsi="宋体" w:cs="Arial"/>
          <w:color w:val="000000" w:themeColor="text1"/>
          <w:kern w:val="2"/>
          <w:szCs w:val="24"/>
        </w:rPr>
        <w:t>接受供应商提出的与响应文件不一致的澄清或者说明，磋商小组要求供应商作出必要的澄清、说明或者补正的情形除外；</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（3）违反评审纪律发表倾向性意见或者征询采购人的倾向性意见；</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（4）在评审与磋商过程中擅离职守，影响评审程序正常进行的；</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（5）记录、复制或者带走任何评审资料；</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（6）其他不遵守评审纪律的行为。</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8.5 对与评审活动有关的工作人员的纪律要求</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与评审与磋商活动有关的工作人员不得收受他人的财物或者其他好处，不得向他人透漏对响应文件的评审与磋商、成交候选人的推荐情况以及评审与磋商有关的其他情况。在评审活动中，参与评审与磋商活动有关的工作人员不得擅离职守，影响评审与磋商程序正常进行。</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8.6 投诉</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质疑供应商对采购人、采购代理机构的答复不满意或者采购人、采购代理机构未在规定的时间内作出答复的，可以在答复期满后十五个工作日内向同级政府采购监督管理部门投诉。</w:t>
      </w:r>
    </w:p>
    <w:p>
      <w:pPr>
        <w:pStyle w:val="8"/>
        <w:rPr>
          <w:color w:val="000000" w:themeColor="text1"/>
          <w:kern w:val="2"/>
        </w:rPr>
      </w:pPr>
      <w:r>
        <w:rPr>
          <w:rFonts w:hint="eastAsia"/>
          <w:color w:val="000000" w:themeColor="text1"/>
          <w:kern w:val="2"/>
        </w:rPr>
        <w:t>9</w:t>
      </w:r>
      <w:r>
        <w:rPr>
          <w:rFonts w:hint="eastAsia"/>
          <w:color w:val="000000" w:themeColor="text1"/>
          <w:kern w:val="2"/>
        </w:rPr>
        <w:tab/>
      </w:r>
      <w:r>
        <w:rPr>
          <w:rFonts w:hint="eastAsia"/>
          <w:color w:val="000000" w:themeColor="text1"/>
          <w:kern w:val="2"/>
        </w:rPr>
        <w:t>其他</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需要补充的其他内容见供应商须知前附表。</w:t>
      </w:r>
    </w:p>
    <w:p>
      <w:pPr>
        <w:widowControl w:val="0"/>
        <w:tabs>
          <w:tab w:val="left" w:pos="420"/>
          <w:tab w:val="right" w:leader="dot" w:pos="9146"/>
        </w:tabs>
        <w:spacing w:before="0" w:beforeAutospacing="0" w:after="0" w:afterAutospacing="0" w:line="240" w:lineRule="auto"/>
        <w:rPr>
          <w:rFonts w:ascii="宋体" w:hAnsi="宋体" w:cs="Arial"/>
          <w:color w:val="000000" w:themeColor="text1"/>
          <w:kern w:val="2"/>
          <w:szCs w:val="24"/>
        </w:rPr>
      </w:pPr>
    </w:p>
    <w:p>
      <w:pPr>
        <w:spacing w:before="0" w:beforeAutospacing="0" w:after="0" w:afterAutospacing="0" w:line="240" w:lineRule="auto"/>
        <w:rPr>
          <w:rFonts w:ascii="宋体" w:hAnsi="宋体" w:cs="Arial"/>
          <w:color w:val="000000" w:themeColor="text1"/>
          <w:kern w:val="2"/>
          <w:szCs w:val="24"/>
        </w:rPr>
      </w:pPr>
      <w:r>
        <w:rPr>
          <w:rFonts w:ascii="宋体" w:hAnsi="宋体" w:cs="Arial"/>
          <w:color w:val="000000" w:themeColor="text1"/>
          <w:kern w:val="2"/>
          <w:szCs w:val="24"/>
        </w:rPr>
        <w:br w:type="page"/>
      </w:r>
    </w:p>
    <w:p>
      <w:pPr>
        <w:pStyle w:val="41"/>
        <w:rPr>
          <w:color w:val="000000" w:themeColor="text1"/>
          <w:kern w:val="2"/>
        </w:rPr>
      </w:pPr>
      <w:bookmarkStart w:id="55" w:name="_Toc534808250"/>
      <w:r>
        <w:rPr>
          <w:rFonts w:hint="eastAsia"/>
          <w:color w:val="000000" w:themeColor="text1"/>
          <w:kern w:val="2"/>
        </w:rPr>
        <w:t>第三章 评审办法和标准</w:t>
      </w:r>
      <w:bookmarkEnd w:id="55"/>
    </w:p>
    <w:p>
      <w:pPr>
        <w:pStyle w:val="4"/>
        <w:jc w:val="left"/>
        <w:rPr>
          <w:color w:val="000000" w:themeColor="text1"/>
        </w:rPr>
      </w:pPr>
      <w:bookmarkStart w:id="56" w:name="_Toc534808251"/>
      <w:r>
        <w:rPr>
          <w:rFonts w:hint="eastAsia"/>
          <w:color w:val="000000" w:themeColor="text1"/>
        </w:rPr>
        <w:t>1</w:t>
      </w:r>
      <w:r>
        <w:rPr>
          <w:rFonts w:hint="eastAsia"/>
          <w:color w:val="000000" w:themeColor="text1"/>
        </w:rPr>
        <w:tab/>
      </w:r>
      <w:r>
        <w:rPr>
          <w:rFonts w:hint="eastAsia"/>
          <w:color w:val="000000" w:themeColor="text1"/>
        </w:rPr>
        <w:t>评审方法</w:t>
      </w:r>
      <w:bookmarkEnd w:id="56"/>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以报价得分由低到高顺序排列；报价也相等的，按技术指标优劣顺序排列。</w:t>
      </w:r>
    </w:p>
    <w:p>
      <w:pPr>
        <w:pStyle w:val="4"/>
        <w:jc w:val="left"/>
        <w:rPr>
          <w:color w:val="000000" w:themeColor="text1"/>
          <w:kern w:val="2"/>
        </w:rPr>
      </w:pPr>
      <w:bookmarkStart w:id="57" w:name="_Toc534808252"/>
      <w:r>
        <w:rPr>
          <w:rFonts w:hint="eastAsia"/>
          <w:color w:val="000000" w:themeColor="text1"/>
          <w:kern w:val="2"/>
        </w:rPr>
        <w:t>2</w:t>
      </w:r>
      <w:r>
        <w:rPr>
          <w:rFonts w:hint="eastAsia"/>
          <w:color w:val="000000" w:themeColor="text1"/>
          <w:kern w:val="2"/>
        </w:rPr>
        <w:tab/>
      </w:r>
      <w:r>
        <w:rPr>
          <w:rFonts w:hint="eastAsia"/>
          <w:color w:val="000000" w:themeColor="text1"/>
          <w:kern w:val="2"/>
        </w:rPr>
        <w:t>评审标准</w:t>
      </w:r>
      <w:bookmarkEnd w:id="57"/>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2.1 资格审查和符合性评审标准：见附表一和附表二。</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2.2 分值构成</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分值构成：总分100分，其中</w:t>
      </w:r>
    </w:p>
    <w:p>
      <w:pPr>
        <w:widowControl w:val="0"/>
        <w:tabs>
          <w:tab w:val="left" w:pos="420"/>
          <w:tab w:val="right" w:leader="dot" w:pos="9146"/>
        </w:tabs>
        <w:adjustRightInd w:val="0"/>
        <w:snapToGrid w:val="0"/>
        <w:spacing w:before="0" w:beforeAutospacing="0" w:after="0" w:afterAutospacing="0"/>
        <w:ind w:firstLine="1440" w:firstLineChars="600"/>
        <w:rPr>
          <w:rFonts w:ascii="宋体" w:hAnsi="宋体" w:cs="Arial"/>
          <w:color w:val="000000" w:themeColor="text1"/>
          <w:kern w:val="2"/>
          <w:szCs w:val="24"/>
        </w:rPr>
      </w:pPr>
      <w:r>
        <w:rPr>
          <w:rFonts w:hint="eastAsia" w:ascii="宋体" w:hAnsi="宋体" w:cs="Arial"/>
          <w:color w:val="000000" w:themeColor="text1"/>
          <w:kern w:val="2"/>
          <w:szCs w:val="24"/>
        </w:rPr>
        <w:t>商务部分： 30分；</w:t>
      </w:r>
    </w:p>
    <w:p>
      <w:pPr>
        <w:widowControl w:val="0"/>
        <w:tabs>
          <w:tab w:val="left" w:pos="420"/>
          <w:tab w:val="right" w:leader="dot" w:pos="9146"/>
        </w:tabs>
        <w:adjustRightInd w:val="0"/>
        <w:snapToGrid w:val="0"/>
        <w:spacing w:before="0" w:beforeAutospacing="0" w:after="0" w:afterAutospacing="0"/>
        <w:ind w:firstLine="1440" w:firstLineChars="600"/>
        <w:rPr>
          <w:rFonts w:ascii="宋体" w:hAnsi="宋体" w:cs="Arial"/>
          <w:color w:val="000000" w:themeColor="text1"/>
          <w:kern w:val="2"/>
          <w:szCs w:val="24"/>
        </w:rPr>
      </w:pPr>
      <w:r>
        <w:rPr>
          <w:rFonts w:hint="eastAsia" w:ascii="宋体" w:hAnsi="宋体" w:cs="Arial"/>
          <w:color w:val="000000" w:themeColor="text1"/>
          <w:kern w:val="2"/>
          <w:szCs w:val="24"/>
        </w:rPr>
        <w:t>技术部分： 40分；</w:t>
      </w:r>
    </w:p>
    <w:p>
      <w:pPr>
        <w:widowControl w:val="0"/>
        <w:tabs>
          <w:tab w:val="left" w:pos="420"/>
          <w:tab w:val="right" w:leader="dot" w:pos="9146"/>
        </w:tabs>
        <w:adjustRightInd w:val="0"/>
        <w:snapToGrid w:val="0"/>
        <w:spacing w:before="0" w:beforeAutospacing="0" w:after="0" w:afterAutospacing="0"/>
        <w:ind w:firstLine="1440" w:firstLineChars="600"/>
        <w:rPr>
          <w:rFonts w:ascii="宋体" w:hAnsi="宋体" w:cs="Arial"/>
          <w:color w:val="000000" w:themeColor="text1"/>
          <w:kern w:val="2"/>
          <w:szCs w:val="24"/>
        </w:rPr>
      </w:pPr>
      <w:r>
        <w:rPr>
          <w:rFonts w:hint="eastAsia" w:ascii="宋体" w:hAnsi="宋体" w:cs="Arial"/>
          <w:color w:val="000000" w:themeColor="text1"/>
          <w:kern w:val="2"/>
          <w:szCs w:val="24"/>
        </w:rPr>
        <w:t>报价部分： 30分。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2.3 商务和技术评审标准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2.3.1商务部分评分标准：见附表三</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2.3.2技术部分评分标准：见附表四</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2.4 报价评分标准：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（1）根据《政府采购促进中小企业发展暂行办法》（财库〔2011〕181号）调整供应商参与评审的价格。（非专门面向中小企业的项目）</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对小型和微型企业产品的价格给予</w:t>
      </w:r>
      <w:r>
        <w:rPr>
          <w:rFonts w:hint="eastAsia" w:ascii="宋体" w:hAnsi="宋体" w:cs="Arial"/>
          <w:color w:val="000000" w:themeColor="text1"/>
          <w:kern w:val="2"/>
          <w:szCs w:val="24"/>
          <w:u w:val="single"/>
        </w:rPr>
        <w:t xml:space="preserve"> 6 </w:t>
      </w:r>
      <w:r>
        <w:rPr>
          <w:rFonts w:hint="eastAsia" w:ascii="宋体" w:hAnsi="宋体" w:cs="Arial"/>
          <w:color w:val="000000" w:themeColor="text1"/>
          <w:kern w:val="2"/>
          <w:szCs w:val="24"/>
        </w:rPr>
        <w:t>%（6%至10%）的扣除。或</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小型、微型企业的协议合同金额占到联合体协议合同总金额30%以上的，可给予联合体</w:t>
      </w:r>
      <w:r>
        <w:rPr>
          <w:rFonts w:hint="eastAsia" w:ascii="宋体" w:hAnsi="宋体" w:cs="Arial"/>
          <w:color w:val="000000" w:themeColor="text1"/>
          <w:kern w:val="2"/>
          <w:szCs w:val="24"/>
          <w:u w:val="single"/>
        </w:rPr>
        <w:t xml:space="preserve"> 2 </w:t>
      </w:r>
      <w:r>
        <w:rPr>
          <w:rFonts w:hint="eastAsia" w:ascii="宋体" w:hAnsi="宋体" w:cs="Arial"/>
          <w:color w:val="000000" w:themeColor="text1"/>
          <w:kern w:val="2"/>
          <w:szCs w:val="24"/>
        </w:rPr>
        <w:t>%（2%至3%）的价格扣除。</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注：监狱企业、残疾人福利性单位视同小微企业；残疾人福利性单位属于小型、微型企业的，不重复享受政策。</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（2）评审基准价</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有效响应文件中的并按2.4项（1）进行调整的最低报价为评审基准价。</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（3）供应商报价（按2.4项（1）进行调整后价格）得分：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报价得分=(评审基准价／最终报价)×30</w:t>
      </w:r>
    </w:p>
    <w:p>
      <w:pPr>
        <w:pStyle w:val="4"/>
        <w:jc w:val="left"/>
        <w:rPr>
          <w:color w:val="000000" w:themeColor="text1"/>
          <w:kern w:val="2"/>
        </w:rPr>
      </w:pPr>
      <w:bookmarkStart w:id="58" w:name="_Toc534808253"/>
      <w:r>
        <w:rPr>
          <w:rFonts w:hint="eastAsia"/>
          <w:color w:val="000000" w:themeColor="text1"/>
          <w:kern w:val="2"/>
        </w:rPr>
        <w:t>3</w:t>
      </w:r>
      <w:r>
        <w:rPr>
          <w:rFonts w:hint="eastAsia"/>
          <w:color w:val="000000" w:themeColor="text1"/>
          <w:kern w:val="2"/>
        </w:rPr>
        <w:tab/>
      </w:r>
      <w:r>
        <w:rPr>
          <w:rFonts w:hint="eastAsia"/>
          <w:color w:val="000000" w:themeColor="text1"/>
          <w:kern w:val="2"/>
        </w:rPr>
        <w:t>评审程序</w:t>
      </w:r>
      <w:bookmarkEnd w:id="58"/>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3.1 资格审查及符合性审查</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 xml:space="preserve">3.1.1 </w:t>
      </w:r>
      <w:r>
        <w:rPr>
          <w:rFonts w:hint="eastAsia" w:ascii="宋体" w:hAnsi="宋体" w:cs="Arial"/>
          <w:color w:val="000000" w:themeColor="text1"/>
          <w:kern w:val="2"/>
          <w:szCs w:val="24"/>
        </w:rPr>
        <w:tab/>
      </w:r>
      <w:r>
        <w:rPr>
          <w:rFonts w:hint="eastAsia" w:ascii="宋体" w:hAnsi="宋体" w:cs="Arial"/>
          <w:color w:val="000000" w:themeColor="text1"/>
          <w:kern w:val="2"/>
          <w:szCs w:val="24"/>
        </w:rPr>
        <w:t>磋商小组按附表一所列审查标准，对供应商资格进行审查，以确定供应商是否具备磋商资格。</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3.1.2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磋商小组对符合资格要求的供应商进行符合性审查，以确定其是否满足磋商文件的实质性要求（见本章的符合性审查表）。</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3.1.3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评审小组不接受供应商主动提出的澄清、说明或补正。</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供应商的书面澄清、说明和补正属于响应文件的组成部分。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评审小组对供应商提交的澄清、说明或补正有疑问的，可以要求供应商进一步澄清、说明或补正，直至满足评审小组的要求。</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3.1.4</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不具备磋商文件要求的资格或未通过符合性审查的供应商，不参与磋商，由磋商小组告知该供应商。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3.1.5</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通过资格审查和符合性审查的合格供应商不足3家的，不再进行评审和磋商，但市场竞争不充分的科研项目以及需要扶持的科技成果转化项目除外。</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w:t>
      </w:r>
      <w:r>
        <w:rPr>
          <w:rFonts w:hint="eastAsia" w:ascii="宋体" w:hAnsi="宋体" w:cs="Arial"/>
          <w:color w:val="000000" w:themeColor="text1"/>
          <w:kern w:val="2"/>
          <w:szCs w:val="24"/>
        </w:rPr>
        <w:tab/>
      </w:r>
      <w:r>
        <w:rPr>
          <w:rFonts w:hint="eastAsia" w:ascii="宋体" w:hAnsi="宋体" w:cs="Arial"/>
          <w:color w:val="000000" w:themeColor="text1"/>
          <w:kern w:val="2"/>
          <w:szCs w:val="24"/>
        </w:rPr>
        <w:t>磋商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3.2.1按“供应商须知”第5条规定，由磋商小组与供应商进行磋商。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磋商过程中，磋商小组可以根据与供应商的磋商情况，在不违反相关法律法规、强制性标准、规范情况下，并经采购人代表同意后，对磋商文件的技术标准、拟签订合同的部分条款进行变动。变动内容是磋商文件的有效组成部分，磋商小组以书面形式通知所有参加磋商的供应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3.2.3</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磋商结束后，磋商小组可以要求所有继续参加磋商的供应商在规定时间内提交最后报价函，提交最后报价函的供应商不得少于3家，但市场竞争不充分的科研项目以及需要扶持的科技成果转化项目除外。</w:t>
      </w:r>
    </w:p>
    <w:p>
      <w:pPr>
        <w:widowControl w:val="0"/>
        <w:tabs>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 评审</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3.3.1 比较与评价</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磋商小组按本章第2.3款[商务和技术评审标准]对供应商提交的响应文件（包括最后报价函）进行商务和技术评估，综合比较与评价。</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磋商小组认为供应商的报价明显低于其他参与最后报价的供应商的报价或明显低于采购预算时，有可能影响产品质量或者不能诚信履约的，应当要求其在合理的时间内提供书面说明，必提交相关证明材料；供应商不能证明其报价合理性的，磋商小组应当将其作为无效处理。</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3.3.2</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磋商小组按本章第2.3款规定的量化因素和分值进行打分，并计算出综合评估得分。</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（1）按本章第2.3.1项规定的评审因素和分值对商务部分计算出得分A；</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（2）按本章第2.3.2项规定的评审因素和分值对技术部分计算出得分B；</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（3）按本章第2.3.3项规定的评审因素和分值对报价部分计算出得分C。</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3.3.3 评分分值计算保留小数点后两位，小数点后第三位“四舍五入”。</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3.3.4 供应商得分=A＋B＋C</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4.3 评审结果</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3.3.5</w:t>
      </w:r>
      <w:r>
        <w:rPr>
          <w:rFonts w:hint="eastAsia" w:ascii="宋体" w:hAnsi="宋体" w:cs="Arial"/>
          <w:color w:val="000000" w:themeColor="text1"/>
          <w:kern w:val="2"/>
          <w:szCs w:val="24"/>
        </w:rPr>
        <w:tab/>
      </w:r>
      <w:r>
        <w:rPr>
          <w:rFonts w:hint="eastAsia" w:ascii="宋体" w:hAnsi="宋体" w:cs="Arial"/>
          <w:color w:val="000000" w:themeColor="text1"/>
          <w:kern w:val="2"/>
          <w:szCs w:val="24"/>
        </w:rPr>
        <w:t xml:space="preserve"> 除第二章“供应商须知”前附表授权直接确定成交供应商外，磋商小组按照得分由高到低的顺序推荐3名成交候选人，但市场竞争不充分的科研项目以及需要扶持的科技成果转化项目除外。</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3.3.6 磋商小组完成评审后，应当向采购人提交书面评审报告。</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ascii="宋体" w:hAnsi="宋体" w:cs="Arial"/>
          <w:color w:val="000000" w:themeColor="text1"/>
          <w:kern w:val="2"/>
          <w:szCs w:val="24"/>
        </w:rPr>
        <w:t> </w:t>
      </w:r>
    </w:p>
    <w:p>
      <w:pPr>
        <w:spacing w:before="0" w:beforeAutospacing="0" w:after="0" w:afterAutospacing="0" w:line="240" w:lineRule="auto"/>
        <w:rPr>
          <w:rFonts w:ascii="宋体" w:hAnsi="宋体" w:cs="Arial"/>
          <w:color w:val="000000" w:themeColor="text1"/>
          <w:kern w:val="2"/>
          <w:szCs w:val="24"/>
        </w:rPr>
      </w:pPr>
      <w:r>
        <w:rPr>
          <w:rFonts w:ascii="宋体" w:hAnsi="宋体" w:cs="Arial"/>
          <w:color w:val="000000" w:themeColor="text1"/>
          <w:kern w:val="2"/>
          <w:szCs w:val="24"/>
        </w:rPr>
        <w:br w:type="page"/>
      </w:r>
    </w:p>
    <w:p>
      <w:pPr>
        <w:pStyle w:val="8"/>
        <w:rPr>
          <w:color w:val="000000" w:themeColor="text1"/>
          <w:kern w:val="2"/>
          <w:sz w:val="28"/>
          <w:szCs w:val="28"/>
        </w:rPr>
      </w:pPr>
      <w:r>
        <w:rPr>
          <w:rFonts w:hint="eastAsia"/>
          <w:color w:val="000000" w:themeColor="text1"/>
          <w:kern w:val="2"/>
          <w:sz w:val="28"/>
          <w:szCs w:val="28"/>
        </w:rPr>
        <w:t>附表一  资格审查表</w:t>
      </w:r>
    </w:p>
    <w:tbl>
      <w:tblPr>
        <w:tblStyle w:val="43"/>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868"/>
        <w:gridCol w:w="483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序号</w:t>
            </w:r>
          </w:p>
        </w:tc>
        <w:tc>
          <w:tcPr>
            <w:tcW w:w="2868" w:type="dxa"/>
            <w:vAlign w:val="center"/>
          </w:tcPr>
          <w:p>
            <w:pPr>
              <w:snapToGrid w:val="0"/>
              <w:spacing w:before="0" w:beforeAutospacing="0" w:after="0" w:afterAutospacing="0" w:line="240"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评审内容</w:t>
            </w:r>
          </w:p>
        </w:tc>
        <w:tc>
          <w:tcPr>
            <w:tcW w:w="4833" w:type="dxa"/>
            <w:vAlign w:val="center"/>
          </w:tcPr>
          <w:p>
            <w:pPr>
              <w:snapToGrid w:val="0"/>
              <w:spacing w:before="0" w:beforeAutospacing="0" w:after="0" w:afterAutospacing="0" w:line="240"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评审合格标准</w:t>
            </w:r>
          </w:p>
        </w:tc>
        <w:tc>
          <w:tcPr>
            <w:tcW w:w="1040" w:type="dxa"/>
            <w:vAlign w:val="center"/>
          </w:tcPr>
          <w:p>
            <w:pPr>
              <w:snapToGrid w:val="0"/>
              <w:spacing w:before="0" w:beforeAutospacing="0" w:after="0" w:afterAutospacing="0" w:line="240"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1</w:t>
            </w:r>
          </w:p>
        </w:tc>
        <w:tc>
          <w:tcPr>
            <w:tcW w:w="2868" w:type="dxa"/>
            <w:vAlign w:val="center"/>
          </w:tcPr>
          <w:p>
            <w:pPr>
              <w:snapToGrid w:val="0"/>
              <w:spacing w:before="0" w:beforeAutospacing="0" w:after="0" w:afterAutospacing="0" w:line="240" w:lineRule="auto"/>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供应商名称</w:t>
            </w:r>
          </w:p>
        </w:tc>
        <w:tc>
          <w:tcPr>
            <w:tcW w:w="4833" w:type="dxa"/>
            <w:vAlign w:val="center"/>
          </w:tcPr>
          <w:p>
            <w:pPr>
              <w:snapToGrid w:val="0"/>
              <w:spacing w:before="0" w:beforeAutospacing="0" w:after="0" w:afterAutospacing="0" w:line="240" w:lineRule="auto"/>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与磋商报名、营业执照一致（符合法定工商变更程序除外）</w:t>
            </w:r>
          </w:p>
        </w:tc>
        <w:tc>
          <w:tcPr>
            <w:tcW w:w="1040" w:type="dxa"/>
            <w:vAlign w:val="center"/>
          </w:tcPr>
          <w:p>
            <w:pPr>
              <w:snapToGrid w:val="0"/>
              <w:spacing w:before="0" w:beforeAutospacing="0" w:after="0" w:afterAutospacing="0" w:line="240" w:lineRule="auto"/>
              <w:jc w:val="center"/>
              <w:rPr>
                <w:rFonts w:asciiTheme="minorEastAsia" w:hAnsiTheme="minorEastAsia" w:eastAsiaTheme="minorEastAsia"/>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具有独立承担民事责任的能力</w:t>
            </w:r>
          </w:p>
        </w:tc>
        <w:tc>
          <w:tcPr>
            <w:tcW w:w="4833"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提供了</w:t>
            </w:r>
            <w:r>
              <w:rPr>
                <w:rFonts w:hint="eastAsia" w:asciiTheme="minorEastAsia" w:hAnsiTheme="minorEastAsia" w:eastAsiaTheme="minorEastAsia"/>
                <w:color w:val="000000" w:themeColor="text1"/>
                <w:szCs w:val="21"/>
              </w:rPr>
              <w:t>有效的</w:t>
            </w:r>
            <w:r>
              <w:rPr>
                <w:rFonts w:cs="宋体" w:asciiTheme="minorEastAsia" w:hAnsiTheme="minorEastAsia" w:eastAsiaTheme="minorEastAsia"/>
                <w:color w:val="000000" w:themeColor="text1"/>
                <w:szCs w:val="21"/>
              </w:rPr>
              <w:t>法人营业执照等证明文件</w:t>
            </w:r>
            <w:r>
              <w:rPr>
                <w:color w:val="000000" w:themeColor="text1"/>
                <w:szCs w:val="21"/>
              </w:rPr>
              <w:t>（复印件加盖单位公章）</w:t>
            </w:r>
          </w:p>
        </w:tc>
        <w:tc>
          <w:tcPr>
            <w:tcW w:w="1040"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具有健全的财务会计制度</w:t>
            </w:r>
          </w:p>
        </w:tc>
        <w:tc>
          <w:tcPr>
            <w:tcW w:w="4833" w:type="dxa"/>
            <w:vAlign w:val="center"/>
          </w:tcPr>
          <w:p>
            <w:pPr>
              <w:snapToGrid w:val="0"/>
              <w:spacing w:before="0" w:beforeAutospacing="0" w:after="0" w:afterAutospacing="0" w:line="240" w:lineRule="auto"/>
              <w:jc w:val="both"/>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提供会计师事务所出具的2019年度财务审计报告或2020年度任意一个</w:t>
            </w:r>
            <w:r>
              <w:rPr>
                <w:rFonts w:hint="eastAsia" w:asciiTheme="minorEastAsia" w:hAnsiTheme="minorEastAsia" w:eastAsiaTheme="minorEastAsia"/>
                <w:color w:val="000000" w:themeColor="text1"/>
                <w:szCs w:val="21"/>
                <w:lang w:eastAsia="zh-CN"/>
              </w:rPr>
              <w:t>月</w:t>
            </w:r>
            <w:r>
              <w:rPr>
                <w:rFonts w:hint="eastAsia" w:asciiTheme="minorEastAsia" w:hAnsiTheme="minorEastAsia" w:eastAsiaTheme="minorEastAsia"/>
                <w:color w:val="000000" w:themeColor="text1"/>
                <w:szCs w:val="21"/>
              </w:rPr>
              <w:t>的企业财务报表</w:t>
            </w:r>
          </w:p>
        </w:tc>
        <w:tc>
          <w:tcPr>
            <w:tcW w:w="1040"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具有履行合同所必需的设备和专业技术能力</w:t>
            </w:r>
          </w:p>
        </w:tc>
        <w:tc>
          <w:tcPr>
            <w:tcW w:w="4833" w:type="dxa"/>
            <w:vAlign w:val="center"/>
          </w:tcPr>
          <w:p>
            <w:pPr>
              <w:snapToGrid w:val="0"/>
              <w:spacing w:before="0" w:beforeAutospacing="0" w:after="0" w:afterAutospacing="0" w:line="240" w:lineRule="auto"/>
              <w:jc w:val="both"/>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提供了可充分满足履行合同所需设备和专业技术能力的证明材料</w:t>
            </w:r>
            <w:r>
              <w:rPr>
                <w:rFonts w:hint="eastAsia" w:asciiTheme="minorEastAsia" w:hAnsiTheme="minorEastAsia" w:eastAsiaTheme="minorEastAsia"/>
                <w:color w:val="000000" w:themeColor="text1"/>
                <w:szCs w:val="21"/>
              </w:rPr>
              <w:t>或承诺</w:t>
            </w:r>
          </w:p>
        </w:tc>
        <w:tc>
          <w:tcPr>
            <w:tcW w:w="1040"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有依法缴纳税收和社会保障资金的良好记录</w:t>
            </w:r>
          </w:p>
        </w:tc>
        <w:tc>
          <w:tcPr>
            <w:tcW w:w="4833" w:type="dxa"/>
            <w:vAlign w:val="center"/>
          </w:tcPr>
          <w:p>
            <w:pPr>
              <w:snapToGrid w:val="0"/>
              <w:spacing w:before="0" w:beforeAutospacing="0" w:after="0" w:afterAutospacing="0" w:line="240" w:lineRule="auto"/>
              <w:jc w:val="both"/>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shd w:val="clear" w:color="auto" w:fill="FFFFFF"/>
              </w:rPr>
              <w:t>提供20</w:t>
            </w:r>
            <w:r>
              <w:rPr>
                <w:rFonts w:hint="eastAsia" w:asciiTheme="minorEastAsia" w:hAnsiTheme="minorEastAsia" w:eastAsiaTheme="minorEastAsia"/>
                <w:color w:val="000000" w:themeColor="text1"/>
                <w:szCs w:val="21"/>
                <w:shd w:val="clear" w:color="auto" w:fill="FFFFFF"/>
              </w:rPr>
              <w:t>20</w:t>
            </w:r>
            <w:r>
              <w:rPr>
                <w:rFonts w:asciiTheme="minorEastAsia" w:hAnsiTheme="minorEastAsia" w:eastAsiaTheme="minorEastAsia"/>
                <w:color w:val="000000" w:themeColor="text1"/>
                <w:szCs w:val="21"/>
                <w:shd w:val="clear" w:color="auto" w:fill="FFFFFF"/>
              </w:rPr>
              <w:t>年任意</w:t>
            </w:r>
            <w:r>
              <w:rPr>
                <w:rFonts w:hint="eastAsia" w:asciiTheme="minorEastAsia" w:hAnsiTheme="minorEastAsia" w:eastAsiaTheme="minorEastAsia"/>
                <w:color w:val="000000" w:themeColor="text1"/>
                <w:szCs w:val="21"/>
                <w:shd w:val="clear" w:color="auto" w:fill="FFFFFF"/>
                <w:lang w:val="en-US" w:eastAsia="zh-CN"/>
              </w:rPr>
              <w:t>1</w:t>
            </w:r>
            <w:r>
              <w:rPr>
                <w:rFonts w:asciiTheme="minorEastAsia" w:hAnsiTheme="minorEastAsia" w:eastAsiaTheme="minorEastAsia"/>
                <w:color w:val="000000" w:themeColor="text1"/>
                <w:szCs w:val="21"/>
                <w:shd w:val="clear" w:color="auto" w:fill="FFFFFF"/>
              </w:rPr>
              <w:t>个月的依法纳税证明或缴纳税收凭证；提供近20</w:t>
            </w:r>
            <w:r>
              <w:rPr>
                <w:rFonts w:hint="eastAsia" w:asciiTheme="minorEastAsia" w:hAnsiTheme="minorEastAsia" w:eastAsiaTheme="minorEastAsia"/>
                <w:color w:val="000000" w:themeColor="text1"/>
                <w:szCs w:val="21"/>
                <w:shd w:val="clear" w:color="auto" w:fill="FFFFFF"/>
              </w:rPr>
              <w:t>20</w:t>
            </w:r>
            <w:r>
              <w:rPr>
                <w:rFonts w:asciiTheme="minorEastAsia" w:hAnsiTheme="minorEastAsia" w:eastAsiaTheme="minorEastAsia"/>
                <w:color w:val="000000" w:themeColor="text1"/>
                <w:szCs w:val="21"/>
                <w:shd w:val="clear" w:color="auto" w:fill="FFFFFF"/>
              </w:rPr>
              <w:t>年任意</w:t>
            </w:r>
            <w:r>
              <w:rPr>
                <w:rFonts w:hint="eastAsia" w:asciiTheme="minorEastAsia" w:hAnsiTheme="minorEastAsia" w:eastAsiaTheme="minorEastAsia"/>
                <w:color w:val="000000" w:themeColor="text1"/>
                <w:szCs w:val="21"/>
                <w:shd w:val="clear" w:color="auto" w:fill="FFFFFF"/>
                <w:lang w:val="en-US" w:eastAsia="zh-CN"/>
              </w:rPr>
              <w:t>1</w:t>
            </w:r>
            <w:r>
              <w:rPr>
                <w:rFonts w:asciiTheme="minorEastAsia" w:hAnsiTheme="minorEastAsia" w:eastAsiaTheme="minorEastAsia"/>
                <w:color w:val="000000" w:themeColor="text1"/>
                <w:szCs w:val="21"/>
                <w:shd w:val="clear" w:color="auto" w:fill="FFFFFF"/>
              </w:rPr>
              <w:t>个月的社会保障缴费记录凭证</w:t>
            </w:r>
            <w:r>
              <w:rPr>
                <w:rFonts w:hint="eastAsia" w:asciiTheme="minorEastAsia" w:hAnsiTheme="minorEastAsia" w:eastAsiaTheme="minorEastAsia"/>
                <w:color w:val="000000" w:themeColor="text1"/>
                <w:szCs w:val="21"/>
                <w:shd w:val="clear" w:color="auto" w:fill="FFFFFF"/>
              </w:rPr>
              <w:t>。（提供复印件加盖公章）</w:t>
            </w:r>
          </w:p>
        </w:tc>
        <w:tc>
          <w:tcPr>
            <w:tcW w:w="1040"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参加政府采购活动前三年内，在经营活动中没有重大违法记录</w:t>
            </w:r>
          </w:p>
        </w:tc>
        <w:tc>
          <w:tcPr>
            <w:tcW w:w="4833" w:type="dxa"/>
            <w:vAlign w:val="center"/>
          </w:tcPr>
          <w:p>
            <w:pPr>
              <w:snapToGrid w:val="0"/>
              <w:spacing w:before="0" w:beforeAutospacing="0" w:after="0" w:afterAutospacing="0" w:line="240" w:lineRule="auto"/>
              <w:jc w:val="both"/>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提供了有效的参加政府采购活动前3年内在经营活动中没有重大违法记录的书面声明</w:t>
            </w:r>
          </w:p>
        </w:tc>
        <w:tc>
          <w:tcPr>
            <w:tcW w:w="1040"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法律、行政法规规定的其他条件</w:t>
            </w:r>
          </w:p>
        </w:tc>
        <w:tc>
          <w:tcPr>
            <w:tcW w:w="4833" w:type="dxa"/>
            <w:vAlign w:val="center"/>
          </w:tcPr>
          <w:p>
            <w:pPr>
              <w:snapToGrid w:val="0"/>
              <w:spacing w:before="0" w:beforeAutospacing="0" w:after="0" w:afterAutospacing="0" w:line="240" w:lineRule="auto"/>
              <w:jc w:val="both"/>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w:t>
            </w:r>
          </w:p>
        </w:tc>
        <w:tc>
          <w:tcPr>
            <w:tcW w:w="1040" w:type="dxa"/>
            <w:vAlign w:val="center"/>
          </w:tcPr>
          <w:p>
            <w:pPr>
              <w:snapToGrid w:val="0"/>
              <w:spacing w:before="0" w:beforeAutospacing="0" w:after="0" w:afterAutospacing="0" w:line="240" w:lineRule="auto"/>
              <w:ind w:left="425"/>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“信用中国”网站和中国政府采购网（www.ccgp.gov.cn）查询记录</w:t>
            </w:r>
          </w:p>
        </w:tc>
        <w:tc>
          <w:tcPr>
            <w:tcW w:w="4833"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未被“信用中国”网站（</w:t>
            </w:r>
            <w:r>
              <w:rPr>
                <w:color w:val="000000" w:themeColor="text1"/>
              </w:rPr>
              <w:fldChar w:fldCharType="begin"/>
            </w:r>
            <w:r>
              <w:rPr>
                <w:color w:val="000000" w:themeColor="text1"/>
              </w:rPr>
              <w:instrText xml:space="preserve"> HYPERLINK "http://www.creditchina.gov.cn）中列入失信被执行人和/" </w:instrText>
            </w:r>
            <w:r>
              <w:rPr>
                <w:color w:val="000000" w:themeColor="text1"/>
              </w:rPr>
              <w:fldChar w:fldCharType="separate"/>
            </w:r>
            <w:r>
              <w:rPr>
                <w:rFonts w:hint="eastAsia" w:asciiTheme="minorEastAsia" w:hAnsiTheme="minorEastAsia" w:eastAsiaTheme="minorEastAsia"/>
                <w:color w:val="000000" w:themeColor="text1"/>
                <w:szCs w:val="21"/>
              </w:rPr>
              <w:t>www.creditchina.gov.cn）中列入失信被执行人</w:t>
            </w:r>
            <w:r>
              <w:rPr>
                <w:rFonts w:hint="eastAsia" w:asciiTheme="minorEastAsia" w:hAnsiTheme="minorEastAsia" w:eastAsiaTheme="minorEastAsia"/>
                <w:color w:val="000000" w:themeColor="text1"/>
                <w:szCs w:val="21"/>
              </w:rPr>
              <w:fldChar w:fldCharType="end"/>
            </w:r>
            <w:r>
              <w:rPr>
                <w:rFonts w:hint="eastAsia" w:asciiTheme="minorEastAsia" w:hAnsiTheme="minorEastAsia" w:eastAsiaTheme="minorEastAsia"/>
                <w:color w:val="000000" w:themeColor="text1"/>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r>
              <w:rPr>
                <w:color w:val="000000" w:themeColor="text1"/>
                <w:szCs w:val="21"/>
              </w:rPr>
              <w:t>（网络查询截图加盖单位公章）</w:t>
            </w:r>
          </w:p>
        </w:tc>
        <w:tc>
          <w:tcPr>
            <w:tcW w:w="1040" w:type="dxa"/>
            <w:vAlign w:val="center"/>
          </w:tcPr>
          <w:p>
            <w:pPr>
              <w:snapToGrid w:val="0"/>
              <w:spacing w:before="0" w:beforeAutospacing="0" w:after="0" w:afterAutospacing="0" w:line="240" w:lineRule="auto"/>
              <w:ind w:left="425"/>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单位负责人为同一人或者存在控股、管理关系的不同单位，不得同时参加本项目的磋商。</w:t>
            </w:r>
          </w:p>
        </w:tc>
        <w:tc>
          <w:tcPr>
            <w:tcW w:w="4833" w:type="dxa"/>
            <w:vAlign w:val="center"/>
          </w:tcPr>
          <w:p>
            <w:pPr>
              <w:snapToGrid w:val="0"/>
              <w:spacing w:before="0" w:beforeAutospacing="0" w:after="0" w:afterAutospacing="0" w:line="240" w:lineRule="auto"/>
              <w:jc w:val="both"/>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提供了法人代表、控股股东、控股企业及管理、被管理单位情况声明且各供应商之间不存在</w:t>
            </w:r>
            <w:r>
              <w:rPr>
                <w:rFonts w:hint="eastAsia" w:asciiTheme="minorEastAsia" w:hAnsiTheme="minorEastAsia" w:eastAsiaTheme="minorEastAsia"/>
                <w:color w:val="000000" w:themeColor="text1"/>
                <w:szCs w:val="21"/>
              </w:rPr>
              <w:t>单位负责人为同一人或者存在控股、管理关系情形。</w:t>
            </w:r>
          </w:p>
        </w:tc>
        <w:tc>
          <w:tcPr>
            <w:tcW w:w="1040" w:type="dxa"/>
            <w:vAlign w:val="center"/>
          </w:tcPr>
          <w:p>
            <w:pPr>
              <w:snapToGrid w:val="0"/>
              <w:spacing w:before="0" w:beforeAutospacing="0" w:after="0" w:afterAutospacing="0" w:line="240" w:lineRule="auto"/>
              <w:ind w:left="425"/>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为采购项目提供整体设计、规范编制或者项目管理、监理、检测等服务的供应商，不得再参加该采购项目的其他采购活动”</w:t>
            </w:r>
          </w:p>
        </w:tc>
        <w:tc>
          <w:tcPr>
            <w:tcW w:w="4833" w:type="dxa"/>
            <w:vAlign w:val="center"/>
          </w:tcPr>
          <w:p>
            <w:pPr>
              <w:snapToGrid w:val="0"/>
              <w:spacing w:before="0" w:beforeAutospacing="0" w:after="0" w:afterAutospacing="0" w:line="240" w:lineRule="auto"/>
              <w:jc w:val="both"/>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为采购项目提供整体设计、规范编制或者项目管理、监理、检测等服务的供应商，不得再参加该采购项目的其他采购活动”（提供承诺函原件加盖公章）</w:t>
            </w:r>
          </w:p>
        </w:tc>
        <w:tc>
          <w:tcPr>
            <w:tcW w:w="1040" w:type="dxa"/>
            <w:vAlign w:val="center"/>
          </w:tcPr>
          <w:p>
            <w:pPr>
              <w:snapToGrid w:val="0"/>
              <w:spacing w:before="0" w:beforeAutospacing="0" w:after="0" w:afterAutospacing="0" w:line="240" w:lineRule="auto"/>
              <w:ind w:left="425"/>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7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w:t>
            </w:r>
          </w:p>
        </w:tc>
        <w:tc>
          <w:tcPr>
            <w:tcW w:w="2868"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供应商特定资格条件</w:t>
            </w:r>
          </w:p>
        </w:tc>
        <w:tc>
          <w:tcPr>
            <w:tcW w:w="4833"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提供了证明供应商符合特定资格条件的证明材料</w:t>
            </w:r>
          </w:p>
        </w:tc>
        <w:tc>
          <w:tcPr>
            <w:tcW w:w="1040" w:type="dxa"/>
            <w:vAlign w:val="center"/>
          </w:tcPr>
          <w:p>
            <w:pPr>
              <w:snapToGrid w:val="0"/>
              <w:spacing w:before="0" w:beforeAutospacing="0" w:after="0" w:afterAutospacing="0" w:line="240" w:lineRule="auto"/>
              <w:ind w:left="425"/>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739" w:type="dxa"/>
            <w:gridSpan w:val="2"/>
            <w:vAlign w:val="center"/>
          </w:tcPr>
          <w:p>
            <w:pPr>
              <w:snapToGrid w:val="0"/>
              <w:spacing w:before="0" w:beforeAutospacing="0" w:after="0" w:afterAutospacing="0" w:line="240" w:lineRule="auto"/>
              <w:ind w:left="-34"/>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结论</w:t>
            </w:r>
          </w:p>
        </w:tc>
        <w:tc>
          <w:tcPr>
            <w:tcW w:w="5873" w:type="dxa"/>
            <w:gridSpan w:val="2"/>
            <w:vAlign w:val="center"/>
          </w:tcPr>
          <w:p>
            <w:pPr>
              <w:snapToGrid w:val="0"/>
              <w:spacing w:before="0" w:beforeAutospacing="0" w:after="0" w:afterAutospacing="0" w:line="240" w:lineRule="auto"/>
              <w:ind w:left="425"/>
              <w:jc w:val="center"/>
              <w:rPr>
                <w:rFonts w:asciiTheme="minorEastAsia" w:hAnsiTheme="minorEastAsia" w:eastAsiaTheme="minorEastAsia"/>
                <w:color w:val="000000" w:themeColor="text1"/>
                <w:szCs w:val="21"/>
              </w:rPr>
            </w:pPr>
          </w:p>
        </w:tc>
      </w:tr>
    </w:tbl>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注：符合要求用“√”表示，不符合用“×”表示。有一项不符合要求，结论为不合格。</w:t>
      </w:r>
    </w:p>
    <w:p>
      <w:pPr>
        <w:widowControl w:val="0"/>
        <w:tabs>
          <w:tab w:val="left" w:pos="420"/>
          <w:tab w:val="right" w:leader="dot" w:pos="9146"/>
        </w:tabs>
        <w:spacing w:line="240" w:lineRule="auto"/>
        <w:rPr>
          <w:b/>
          <w:color w:val="000000" w:themeColor="text1"/>
          <w:kern w:val="2"/>
          <w:sz w:val="28"/>
          <w:szCs w:val="28"/>
        </w:rPr>
      </w:pPr>
      <w:r>
        <w:rPr>
          <w:rFonts w:ascii="宋体" w:hAnsi="宋体" w:cs="Arial"/>
          <w:color w:val="000000" w:themeColor="text1"/>
          <w:kern w:val="2"/>
          <w:szCs w:val="24"/>
        </w:rPr>
        <w:br w:type="page"/>
      </w:r>
      <w:r>
        <w:rPr>
          <w:rFonts w:hint="eastAsia"/>
          <w:b/>
          <w:color w:val="000000" w:themeColor="text1"/>
          <w:kern w:val="2"/>
          <w:sz w:val="28"/>
          <w:szCs w:val="28"/>
        </w:rPr>
        <w:t>附表二  符合性审查表</w:t>
      </w:r>
    </w:p>
    <w:tbl>
      <w:tblPr>
        <w:tblStyle w:val="43"/>
        <w:tblW w:w="96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4"/>
        <w:gridCol w:w="2233"/>
        <w:gridCol w:w="5315"/>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824" w:type="dxa"/>
            <w:vAlign w:val="center"/>
          </w:tcPr>
          <w:p>
            <w:pPr>
              <w:tabs>
                <w:tab w:val="left" w:pos="1260"/>
                <w:tab w:val="left" w:pos="1620"/>
              </w:tabs>
              <w:adjustRightInd w:val="0"/>
              <w:snapToGrid w:val="0"/>
              <w:spacing w:before="0" w:beforeAutospacing="0" w:after="0" w:afterAutospacing="0" w:line="240" w:lineRule="auto"/>
              <w:jc w:val="center"/>
              <w:textAlignment w:val="baseline"/>
              <w:rPr>
                <w:rFonts w:ascii="宋体" w:hAnsi="宋体"/>
                <w:b/>
                <w:caps/>
                <w:color w:val="000000" w:themeColor="text1"/>
              </w:rPr>
            </w:pPr>
            <w:r>
              <w:rPr>
                <w:rFonts w:ascii="宋体" w:hAnsi="宋体"/>
                <w:b/>
                <w:caps/>
                <w:color w:val="000000" w:themeColor="text1"/>
              </w:rPr>
              <w:t>序号</w:t>
            </w:r>
          </w:p>
        </w:tc>
        <w:tc>
          <w:tcPr>
            <w:tcW w:w="2233" w:type="dxa"/>
            <w:vAlign w:val="center"/>
          </w:tcPr>
          <w:p>
            <w:pPr>
              <w:tabs>
                <w:tab w:val="left" w:pos="1260"/>
                <w:tab w:val="left" w:pos="1620"/>
              </w:tabs>
              <w:adjustRightInd w:val="0"/>
              <w:snapToGrid w:val="0"/>
              <w:spacing w:before="0" w:beforeAutospacing="0" w:after="0" w:afterAutospacing="0" w:line="240" w:lineRule="auto"/>
              <w:jc w:val="center"/>
              <w:textAlignment w:val="baseline"/>
              <w:rPr>
                <w:rFonts w:ascii="宋体" w:hAnsi="宋体"/>
                <w:b/>
                <w:caps/>
                <w:color w:val="000000" w:themeColor="text1"/>
              </w:rPr>
            </w:pPr>
            <w:r>
              <w:rPr>
                <w:rFonts w:hint="eastAsia" w:ascii="宋体" w:hAnsi="宋体"/>
                <w:b/>
                <w:caps/>
                <w:color w:val="000000" w:themeColor="text1"/>
              </w:rPr>
              <w:t>评审项目</w:t>
            </w:r>
          </w:p>
        </w:tc>
        <w:tc>
          <w:tcPr>
            <w:tcW w:w="5315" w:type="dxa"/>
            <w:vAlign w:val="center"/>
          </w:tcPr>
          <w:p>
            <w:pPr>
              <w:tabs>
                <w:tab w:val="left" w:pos="1260"/>
                <w:tab w:val="left" w:pos="1620"/>
              </w:tabs>
              <w:adjustRightInd w:val="0"/>
              <w:snapToGrid w:val="0"/>
              <w:spacing w:before="0" w:beforeAutospacing="0" w:after="0" w:afterAutospacing="0" w:line="240" w:lineRule="auto"/>
              <w:jc w:val="center"/>
              <w:textAlignment w:val="baseline"/>
              <w:rPr>
                <w:rFonts w:ascii="宋体" w:hAnsi="宋体"/>
                <w:b/>
                <w:caps/>
                <w:color w:val="000000" w:themeColor="text1"/>
              </w:rPr>
            </w:pPr>
            <w:r>
              <w:rPr>
                <w:rFonts w:hint="eastAsia" w:ascii="宋体" w:hAnsi="宋体"/>
                <w:b/>
                <w:caps/>
                <w:color w:val="000000" w:themeColor="text1"/>
              </w:rPr>
              <w:t>评审标准</w:t>
            </w:r>
          </w:p>
        </w:tc>
        <w:tc>
          <w:tcPr>
            <w:tcW w:w="1275" w:type="dxa"/>
            <w:vAlign w:val="center"/>
          </w:tcPr>
          <w:p>
            <w:pPr>
              <w:tabs>
                <w:tab w:val="left" w:pos="1260"/>
                <w:tab w:val="left" w:pos="1620"/>
              </w:tabs>
              <w:adjustRightInd w:val="0"/>
              <w:snapToGrid w:val="0"/>
              <w:spacing w:before="0" w:beforeAutospacing="0" w:after="0" w:afterAutospacing="0" w:line="240" w:lineRule="auto"/>
              <w:jc w:val="center"/>
              <w:textAlignment w:val="baseline"/>
              <w:rPr>
                <w:rFonts w:ascii="宋体" w:hAnsi="宋体"/>
                <w:b/>
                <w:caps/>
                <w:color w:val="000000" w:themeColor="text1"/>
              </w:rPr>
            </w:pPr>
            <w:r>
              <w:rPr>
                <w:rFonts w:ascii="宋体" w:hAnsi="宋体"/>
                <w:b/>
                <w:caps/>
                <w:color w:val="000000" w:themeColor="text1"/>
              </w:rPr>
              <w:t>评审结论</w:t>
            </w:r>
          </w:p>
          <w:p>
            <w:pPr>
              <w:tabs>
                <w:tab w:val="left" w:pos="1260"/>
                <w:tab w:val="left" w:pos="1620"/>
              </w:tabs>
              <w:adjustRightInd w:val="0"/>
              <w:snapToGrid w:val="0"/>
              <w:spacing w:before="0" w:beforeAutospacing="0" w:after="0" w:afterAutospacing="0" w:line="240" w:lineRule="auto"/>
              <w:jc w:val="center"/>
              <w:textAlignment w:val="baseline"/>
              <w:rPr>
                <w:rFonts w:ascii="宋体" w:hAnsi="宋体"/>
                <w:b/>
                <w:caps/>
                <w:color w:val="000000" w:themeColor="text1"/>
              </w:rPr>
            </w:pPr>
            <w:r>
              <w:rPr>
                <w:rFonts w:ascii="宋体" w:hAnsi="宋体"/>
                <w:b/>
                <w:caps/>
                <w:color w:val="000000" w:themeColor="text1"/>
              </w:rPr>
              <w:t>（</w:t>
            </w:r>
            <w:r>
              <w:rPr>
                <w:rFonts w:hint="eastAsia" w:ascii="宋体" w:hAnsi="宋体" w:cs="Arial"/>
                <w:color w:val="000000" w:themeColor="text1"/>
                <w:kern w:val="2"/>
                <w:szCs w:val="24"/>
              </w:rPr>
              <w:t>√</w:t>
            </w:r>
            <w:r>
              <w:rPr>
                <w:rFonts w:ascii="宋体" w:hAnsi="宋体"/>
                <w:b/>
                <w:caps/>
                <w:color w:val="000000" w:themeColor="text1"/>
              </w:rPr>
              <w:t>/</w:t>
            </w:r>
            <w:r>
              <w:rPr>
                <w:rFonts w:hint="eastAsia" w:ascii="宋体" w:hAnsi="宋体"/>
                <w:color w:val="000000" w:themeColor="text1"/>
              </w:rPr>
              <w:t>×</w:t>
            </w:r>
            <w:r>
              <w:rPr>
                <w:rFonts w:ascii="宋体" w:hAnsi="宋体"/>
                <w:b/>
                <w:caps/>
                <w:color w:val="000000" w:themeColor="text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1</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磋商保证金</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按照磋商文件的规定提交磋商保证金（包括形式及金额）</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2</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响应文件签署盖章</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按磋商文件格式要求加</w:t>
            </w:r>
            <w:r>
              <w:rPr>
                <w:rFonts w:ascii="宋体" w:hAnsi="宋体"/>
                <w:color w:val="000000" w:themeColor="text1"/>
              </w:rPr>
              <w:t>盖了</w:t>
            </w:r>
            <w:r>
              <w:rPr>
                <w:rFonts w:hint="eastAsia" w:ascii="宋体" w:hAnsi="宋体"/>
                <w:color w:val="000000" w:themeColor="text1"/>
              </w:rPr>
              <w:t>供应商公</w:t>
            </w:r>
            <w:r>
              <w:rPr>
                <w:rFonts w:ascii="宋体" w:hAnsi="宋体"/>
                <w:color w:val="000000" w:themeColor="text1"/>
              </w:rPr>
              <w:t>章</w:t>
            </w:r>
            <w:r>
              <w:rPr>
                <w:rFonts w:hint="eastAsia" w:ascii="宋体" w:hAnsi="宋体"/>
                <w:color w:val="000000" w:themeColor="text1"/>
              </w:rPr>
              <w:t>和有</w:t>
            </w:r>
            <w:r>
              <w:rPr>
                <w:rFonts w:ascii="宋体" w:hAnsi="宋体"/>
                <w:color w:val="000000" w:themeColor="text1"/>
              </w:rPr>
              <w:t>法定代表人或</w:t>
            </w:r>
            <w:r>
              <w:rPr>
                <w:rFonts w:hint="eastAsia" w:ascii="宋体" w:hAnsi="宋体"/>
                <w:color w:val="000000" w:themeColor="text1"/>
              </w:rPr>
              <w:t>其授权代表</w:t>
            </w:r>
            <w:r>
              <w:rPr>
                <w:rFonts w:ascii="宋体" w:hAnsi="宋体"/>
                <w:color w:val="000000" w:themeColor="text1"/>
              </w:rPr>
              <w:t>签字或</w:t>
            </w:r>
            <w:r>
              <w:rPr>
                <w:rFonts w:hint="eastAsia" w:ascii="宋体" w:hAnsi="宋体"/>
                <w:color w:val="000000" w:themeColor="text1"/>
              </w:rPr>
              <w:t>盖章</w:t>
            </w:r>
            <w:r>
              <w:rPr>
                <w:rFonts w:ascii="宋体" w:hAnsi="宋体"/>
                <w:color w:val="000000" w:themeColor="text1"/>
              </w:rPr>
              <w:t>。</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7"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3</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公平竞争</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遵循公平竞争的原则，没有弄虚作假、相互串通或妨碍其他供应商的竞争行为。</w:t>
            </w:r>
          </w:p>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弄虚作假、相互串通的情形见附注。</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4</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响应文件有效期</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ascii="宋体" w:hAnsi="宋体"/>
                <w:color w:val="000000" w:themeColor="text1"/>
              </w:rPr>
              <w:t>有效期满足磋商文件要求的</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5</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响应文件装订方式</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符合磋商文件要求</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6</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响应文件格式</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响应文件</w:t>
            </w:r>
            <w:r>
              <w:rPr>
                <w:rFonts w:ascii="宋体" w:hAnsi="宋体"/>
                <w:color w:val="000000" w:themeColor="text1"/>
              </w:rPr>
              <w:t>按规定的格式填写，内容</w:t>
            </w:r>
            <w:r>
              <w:rPr>
                <w:rFonts w:hint="eastAsia" w:ascii="宋体" w:hAnsi="宋体"/>
                <w:color w:val="000000" w:themeColor="text1"/>
              </w:rPr>
              <w:t>完整且</w:t>
            </w:r>
            <w:r>
              <w:rPr>
                <w:rFonts w:ascii="宋体" w:hAnsi="宋体"/>
                <w:color w:val="000000" w:themeColor="text1"/>
              </w:rPr>
              <w:t>关键字迹</w:t>
            </w:r>
            <w:r>
              <w:rPr>
                <w:rFonts w:hint="eastAsia" w:ascii="宋体" w:hAnsi="宋体"/>
                <w:color w:val="000000" w:themeColor="text1"/>
              </w:rPr>
              <w:t>清晰</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7</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响应范围</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与磋商文件要求的工程范围无实质性遗漏</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8</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报价</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报价是固定价且未超过预算金额或最高限价</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9</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工程量清单</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未对采购人发出的工程量清单有任何修改（需供应商填写的价格除外）</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hint="eastAsia" w:ascii="宋体" w:hAnsi="宋体"/>
                <w:color w:val="000000" w:themeColor="text1"/>
              </w:rPr>
              <w:t>10</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工期</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满足磋商文件要求</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4" w:type="dxa"/>
            <w:vAlign w:val="center"/>
          </w:tcPr>
          <w:p>
            <w:pPr>
              <w:widowControl w:val="0"/>
              <w:tabs>
                <w:tab w:val="left" w:pos="1260"/>
                <w:tab w:val="left" w:pos="1620"/>
              </w:tabs>
              <w:adjustRightInd w:val="0"/>
              <w:snapToGrid w:val="0"/>
              <w:spacing w:before="0" w:beforeAutospacing="0" w:after="0" w:afterAutospacing="0" w:line="240" w:lineRule="auto"/>
              <w:jc w:val="center"/>
              <w:textAlignment w:val="baseline"/>
              <w:rPr>
                <w:rFonts w:hint="eastAsia" w:ascii="宋体" w:hAnsi="宋体" w:eastAsia="宋体"/>
                <w:color w:val="000000" w:themeColor="text1"/>
                <w:lang w:eastAsia="zh-CN"/>
              </w:rPr>
            </w:pPr>
            <w:r>
              <w:rPr>
                <w:rFonts w:hint="eastAsia" w:ascii="宋体" w:hAnsi="宋体"/>
                <w:color w:val="000000" w:themeColor="text1"/>
              </w:rPr>
              <w:t>1</w:t>
            </w:r>
            <w:r>
              <w:rPr>
                <w:rFonts w:hint="eastAsia" w:ascii="宋体" w:hAnsi="宋体"/>
                <w:color w:val="000000" w:themeColor="text1"/>
                <w:lang w:val="en-US" w:eastAsia="zh-CN"/>
              </w:rPr>
              <w:t>1</w:t>
            </w:r>
          </w:p>
        </w:tc>
        <w:tc>
          <w:tcPr>
            <w:tcW w:w="2233"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其他无效情形</w:t>
            </w:r>
          </w:p>
        </w:tc>
        <w:tc>
          <w:tcPr>
            <w:tcW w:w="531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r>
              <w:rPr>
                <w:rFonts w:hint="eastAsia" w:ascii="宋体" w:hAnsi="宋体"/>
                <w:color w:val="000000" w:themeColor="text1"/>
              </w:rPr>
              <w:t>无法律、法规和磋商文件规定的其他无效情形</w:t>
            </w:r>
          </w:p>
        </w:tc>
        <w:tc>
          <w:tcPr>
            <w:tcW w:w="1275" w:type="dxa"/>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7" w:hRule="atLeast"/>
          <w:jc w:val="center"/>
        </w:trPr>
        <w:tc>
          <w:tcPr>
            <w:tcW w:w="3057" w:type="dxa"/>
            <w:gridSpan w:val="2"/>
            <w:vAlign w:val="center"/>
          </w:tcPr>
          <w:p>
            <w:pPr>
              <w:tabs>
                <w:tab w:val="left" w:pos="1260"/>
                <w:tab w:val="left" w:pos="1620"/>
              </w:tabs>
              <w:adjustRightInd w:val="0"/>
              <w:snapToGrid w:val="0"/>
              <w:spacing w:before="0" w:beforeAutospacing="0" w:after="0" w:afterAutospacing="0" w:line="240" w:lineRule="auto"/>
              <w:jc w:val="center"/>
              <w:textAlignment w:val="baseline"/>
              <w:rPr>
                <w:rFonts w:ascii="宋体" w:hAnsi="宋体"/>
                <w:color w:val="000000" w:themeColor="text1"/>
              </w:rPr>
            </w:pPr>
            <w:r>
              <w:rPr>
                <w:rFonts w:ascii="宋体" w:hAnsi="宋体"/>
                <w:b/>
                <w:color w:val="000000" w:themeColor="text1"/>
              </w:rPr>
              <w:t>结论（通过或未通过）</w:t>
            </w:r>
          </w:p>
        </w:tc>
        <w:tc>
          <w:tcPr>
            <w:tcW w:w="6590" w:type="dxa"/>
            <w:gridSpan w:val="2"/>
            <w:vAlign w:val="center"/>
          </w:tcPr>
          <w:p>
            <w:pPr>
              <w:tabs>
                <w:tab w:val="left" w:pos="1260"/>
                <w:tab w:val="left" w:pos="1620"/>
              </w:tabs>
              <w:adjustRightInd w:val="0"/>
              <w:snapToGrid w:val="0"/>
              <w:spacing w:before="0" w:beforeAutospacing="0" w:after="0" w:afterAutospacing="0" w:line="240" w:lineRule="auto"/>
              <w:textAlignment w:val="baseline"/>
              <w:rPr>
                <w:rFonts w:ascii="宋体" w:hAnsi="宋体"/>
                <w:color w:val="000000" w:themeColor="text1"/>
              </w:rPr>
            </w:pPr>
          </w:p>
        </w:tc>
      </w:tr>
    </w:tbl>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hint="eastAsia" w:ascii="宋体" w:hAnsi="宋体" w:cs="Arial"/>
          <w:color w:val="000000" w:themeColor="text1"/>
          <w:kern w:val="2"/>
          <w:szCs w:val="24"/>
        </w:rPr>
        <w:t>注：</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1、符合磋商文件要求用“√”表示，不符合用“×”表示。有一项不符合要求，结论为不合格。</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2、进行符合性审查过程中，磋商小组成员意见不同时，按少数服从多数的原则确定。</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3、有下列情形之一的，视为供应商相互串通：</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（1）不同供应商的响应文件由同一单位或者个人编制；</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（2）不同供应商委托同一单位或者个人办理磋商事宜；</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（3）不同供应商的响应文件载明的项目管理成员或者联系人员为同一人；</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（4）不同供应商的响应文件异常一致或者报价呈规律性差异；</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（5）不同供应商的响应文件相互混装；</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（6）不同供应商的磋商保证金从同一单位或者个人的账户转出。</w:t>
      </w:r>
    </w:p>
    <w:p>
      <w:pPr>
        <w:widowControl w:val="0"/>
        <w:tabs>
          <w:tab w:val="left" w:pos="420"/>
          <w:tab w:val="right" w:leader="dot" w:pos="9146"/>
        </w:tabs>
        <w:adjustRightInd w:val="0"/>
        <w:snapToGrid w:val="0"/>
        <w:spacing w:before="0" w:beforeAutospacing="0" w:after="0" w:afterAutospacing="0"/>
        <w:ind w:firstLine="480" w:firstLineChars="200"/>
        <w:rPr>
          <w:rFonts w:ascii="宋体" w:hAnsi="宋体" w:cs="Arial"/>
          <w:color w:val="000000" w:themeColor="text1"/>
          <w:kern w:val="2"/>
          <w:szCs w:val="24"/>
        </w:rPr>
      </w:pPr>
      <w:r>
        <w:rPr>
          <w:rFonts w:hint="eastAsia" w:ascii="宋体" w:hAnsi="宋体" w:cs="Arial"/>
          <w:color w:val="000000" w:themeColor="text1"/>
          <w:kern w:val="2"/>
          <w:szCs w:val="24"/>
        </w:rPr>
        <w:t>4、有下列情形之一的，属于提供虚假材料谋取成交的行为：</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（1）使用伪造、变造的许可证件；</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（2）提供虚假的财务状况或者业绩；</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（3）提供虚假的项目负责人或者主要技术人员简历、劳动关系证明；</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（4）提供虚假的信用状况；</w:t>
      </w:r>
    </w:p>
    <w:p>
      <w:pPr>
        <w:widowControl w:val="0"/>
        <w:tabs>
          <w:tab w:val="left" w:pos="420"/>
          <w:tab w:val="right" w:leader="dot" w:pos="9146"/>
        </w:tabs>
        <w:adjustRightInd w:val="0"/>
        <w:snapToGrid w:val="0"/>
        <w:spacing w:before="0" w:beforeAutospacing="0" w:after="0" w:afterAutospacing="0"/>
        <w:ind w:left="960" w:leftChars="400"/>
        <w:rPr>
          <w:rFonts w:ascii="宋体" w:hAnsi="宋体" w:cs="Arial"/>
          <w:color w:val="000000" w:themeColor="text1"/>
          <w:kern w:val="2"/>
          <w:szCs w:val="24"/>
        </w:rPr>
      </w:pPr>
      <w:r>
        <w:rPr>
          <w:rFonts w:hint="eastAsia" w:ascii="宋体" w:hAnsi="宋体" w:cs="Arial"/>
          <w:color w:val="000000" w:themeColor="text1"/>
          <w:kern w:val="2"/>
          <w:szCs w:val="24"/>
        </w:rPr>
        <w:t>（5）其他弄虚作假的行为。</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r>
        <w:rPr>
          <w:rFonts w:ascii="宋体" w:hAnsi="宋体" w:cs="Arial"/>
          <w:color w:val="000000" w:themeColor="text1"/>
          <w:kern w:val="2"/>
          <w:szCs w:val="24"/>
        </w:rPr>
        <w:t> </w:t>
      </w:r>
    </w:p>
    <w:p>
      <w:pPr>
        <w:spacing w:before="0" w:beforeAutospacing="0" w:after="0" w:afterAutospacing="0" w:line="240" w:lineRule="auto"/>
        <w:rPr>
          <w:rFonts w:ascii="宋体" w:hAnsi="宋体" w:cs="Arial"/>
          <w:color w:val="000000" w:themeColor="text1"/>
          <w:kern w:val="2"/>
          <w:szCs w:val="24"/>
        </w:rPr>
      </w:pPr>
      <w:r>
        <w:rPr>
          <w:rFonts w:ascii="宋体" w:hAnsi="宋体" w:cs="Arial"/>
          <w:color w:val="000000" w:themeColor="text1"/>
          <w:kern w:val="2"/>
          <w:szCs w:val="24"/>
        </w:rPr>
        <w:br w:type="page"/>
      </w:r>
    </w:p>
    <w:p>
      <w:pPr>
        <w:pStyle w:val="8"/>
        <w:rPr>
          <w:color w:val="000000" w:themeColor="text1"/>
          <w:kern w:val="2"/>
          <w:sz w:val="28"/>
          <w:szCs w:val="28"/>
        </w:rPr>
      </w:pPr>
      <w:r>
        <w:rPr>
          <w:rFonts w:hint="eastAsia"/>
          <w:color w:val="000000" w:themeColor="text1"/>
          <w:kern w:val="2"/>
          <w:sz w:val="28"/>
          <w:szCs w:val="28"/>
        </w:rPr>
        <w:t>附表三  技术评审因素及分值分配表（40分）</w:t>
      </w:r>
    </w:p>
    <w:tbl>
      <w:tblPr>
        <w:tblStyle w:val="43"/>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875"/>
        <w:gridCol w:w="6350"/>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80" w:type="dxa"/>
            <w:tcBorders>
              <w:top w:val="single" w:color="auto" w:sz="12" w:space="0"/>
              <w:lef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计分因素</w:t>
            </w:r>
          </w:p>
        </w:tc>
        <w:tc>
          <w:tcPr>
            <w:tcW w:w="875" w:type="dxa"/>
            <w:tcBorders>
              <w:top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分值</w:t>
            </w:r>
          </w:p>
        </w:tc>
        <w:tc>
          <w:tcPr>
            <w:tcW w:w="6350" w:type="dxa"/>
            <w:tcBorders>
              <w:top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评分标准</w:t>
            </w:r>
          </w:p>
        </w:tc>
        <w:tc>
          <w:tcPr>
            <w:tcW w:w="805" w:type="dxa"/>
            <w:tcBorders>
              <w:top w:val="single" w:color="auto" w:sz="12" w:space="0"/>
              <w:righ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80" w:type="dxa"/>
            <w:tcBorders>
              <w:left w:val="single" w:color="auto" w:sz="12" w:space="0"/>
            </w:tcBorders>
            <w:vAlign w:val="center"/>
          </w:tcPr>
          <w:p>
            <w:pPr>
              <w:pStyle w:val="21"/>
              <w:spacing w:before="156" w:line="400" w:lineRule="exact"/>
              <w:ind w:left="0" w:leftChars="0" w:right="-10"/>
              <w:jc w:val="center"/>
              <w:rPr>
                <w:rFonts w:asciiTheme="minorEastAsia" w:hAnsiTheme="minorEastAsia" w:eastAsiaTheme="minorEastAsia"/>
                <w:color w:val="000000" w:themeColor="text1"/>
                <w:sz w:val="24"/>
              </w:rPr>
            </w:pPr>
            <w:r>
              <w:rPr>
                <w:rFonts w:hint="eastAsia" w:hAnsi="宋体" w:cs="宋体"/>
                <w:bCs/>
                <w:color w:val="000000" w:themeColor="text1"/>
              </w:rPr>
              <w:t>总体施工组织布置及规划</w:t>
            </w:r>
          </w:p>
        </w:tc>
        <w:tc>
          <w:tcPr>
            <w:tcW w:w="875" w:type="dxa"/>
            <w:vAlign w:val="center"/>
          </w:tcPr>
          <w:p>
            <w:pPr>
              <w:spacing w:before="156" w:after="156"/>
              <w:jc w:val="center"/>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8分</w:t>
            </w:r>
          </w:p>
        </w:tc>
        <w:tc>
          <w:tcPr>
            <w:tcW w:w="6350" w:type="dxa"/>
            <w:vAlign w:val="center"/>
          </w:tcPr>
          <w:p>
            <w:pPr>
              <w:spacing w:before="156" w:after="156"/>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lang w:val="zh-CN"/>
              </w:rPr>
              <w:t>评标委员会成员按总体施工计划的适用性、可行性等综合评审，优：</w:t>
            </w:r>
            <w:r>
              <w:rPr>
                <w:rFonts w:hint="eastAsia" w:ascii="Times New Roman" w:hAnsi="宋体" w:cs="宋体"/>
                <w:bCs/>
                <w:color w:val="000000" w:themeColor="text1"/>
                <w:kern w:val="2"/>
                <w:sz w:val="21"/>
                <w:szCs w:val="24"/>
              </w:rPr>
              <w:t>6-8分；</w:t>
            </w:r>
            <w:r>
              <w:rPr>
                <w:rFonts w:hint="eastAsia" w:ascii="Times New Roman" w:hAnsi="宋体" w:cs="宋体"/>
                <w:bCs/>
                <w:color w:val="000000" w:themeColor="text1"/>
                <w:kern w:val="2"/>
                <w:sz w:val="21"/>
                <w:szCs w:val="24"/>
                <w:lang w:val="zh-CN"/>
              </w:rPr>
              <w:t>良：</w:t>
            </w:r>
            <w:r>
              <w:rPr>
                <w:rFonts w:hint="eastAsia" w:ascii="Times New Roman" w:hAnsi="宋体" w:cs="宋体"/>
                <w:bCs/>
                <w:color w:val="000000" w:themeColor="text1"/>
                <w:kern w:val="2"/>
                <w:sz w:val="21"/>
                <w:szCs w:val="24"/>
              </w:rPr>
              <w:t>3-5分；</w:t>
            </w:r>
            <w:r>
              <w:rPr>
                <w:rFonts w:hint="eastAsia" w:ascii="Times New Roman" w:hAnsi="宋体" w:cs="宋体"/>
                <w:bCs/>
                <w:color w:val="000000" w:themeColor="text1"/>
                <w:kern w:val="2"/>
                <w:sz w:val="21"/>
                <w:szCs w:val="24"/>
                <w:lang w:val="zh-CN"/>
              </w:rPr>
              <w:t>一般：</w:t>
            </w:r>
            <w:r>
              <w:rPr>
                <w:rFonts w:hint="eastAsia" w:ascii="Times New Roman" w:hAnsi="宋体" w:cs="宋体"/>
                <w:bCs/>
                <w:color w:val="000000" w:themeColor="text1"/>
                <w:kern w:val="2"/>
                <w:sz w:val="21"/>
                <w:szCs w:val="24"/>
              </w:rPr>
              <w:t>1-2分。</w:t>
            </w:r>
            <w:r>
              <w:rPr>
                <w:rFonts w:hint="eastAsia" w:ascii="Times New Roman" w:hAnsi="宋体" w:cs="宋体"/>
                <w:bCs/>
                <w:color w:val="000000" w:themeColor="text1"/>
                <w:kern w:val="2"/>
                <w:sz w:val="21"/>
                <w:szCs w:val="24"/>
                <w:lang w:val="zh-CN"/>
              </w:rPr>
              <w:t>方案差或者无内容得</w:t>
            </w:r>
            <w:r>
              <w:rPr>
                <w:rFonts w:hint="eastAsia" w:ascii="Times New Roman" w:hAnsi="宋体" w:cs="宋体"/>
                <w:bCs/>
                <w:color w:val="000000" w:themeColor="text1"/>
                <w:kern w:val="2"/>
                <w:sz w:val="21"/>
                <w:szCs w:val="24"/>
              </w:rPr>
              <w:t>0</w:t>
            </w:r>
            <w:r>
              <w:rPr>
                <w:rFonts w:hint="eastAsia" w:ascii="Times New Roman" w:hAnsi="宋体" w:cs="宋体"/>
                <w:bCs/>
                <w:color w:val="000000" w:themeColor="text1"/>
                <w:kern w:val="2"/>
                <w:sz w:val="21"/>
                <w:szCs w:val="24"/>
                <w:lang w:val="zh-CN"/>
              </w:rPr>
              <w:t>分。</w:t>
            </w:r>
          </w:p>
        </w:tc>
        <w:tc>
          <w:tcPr>
            <w:tcW w:w="805" w:type="dxa"/>
            <w:tcBorders>
              <w:righ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80" w:type="dxa"/>
            <w:tcBorders>
              <w:left w:val="single" w:color="auto" w:sz="12" w:space="0"/>
            </w:tcBorders>
            <w:vAlign w:val="center"/>
          </w:tcPr>
          <w:p>
            <w:pPr>
              <w:pStyle w:val="21"/>
              <w:spacing w:before="156" w:line="400" w:lineRule="exact"/>
              <w:ind w:left="0" w:leftChars="0" w:right="-10"/>
              <w:jc w:val="center"/>
              <w:rPr>
                <w:rFonts w:asciiTheme="minorEastAsia" w:hAnsiTheme="minorEastAsia" w:eastAsiaTheme="minorEastAsia"/>
                <w:color w:val="000000" w:themeColor="text1"/>
                <w:sz w:val="24"/>
              </w:rPr>
            </w:pPr>
            <w:r>
              <w:rPr>
                <w:rFonts w:hint="eastAsia" w:hAnsi="宋体" w:cs="宋体"/>
                <w:bCs/>
                <w:color w:val="000000" w:themeColor="text1"/>
                <w:lang w:val="zh-CN"/>
              </w:rPr>
              <w:t>主要工程项目的施工方案、方法与技术措施</w:t>
            </w:r>
          </w:p>
        </w:tc>
        <w:tc>
          <w:tcPr>
            <w:tcW w:w="875" w:type="dxa"/>
            <w:vAlign w:val="center"/>
          </w:tcPr>
          <w:p>
            <w:pPr>
              <w:spacing w:before="156" w:after="156"/>
              <w:jc w:val="center"/>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8分</w:t>
            </w:r>
          </w:p>
        </w:tc>
        <w:tc>
          <w:tcPr>
            <w:tcW w:w="6350" w:type="dxa"/>
            <w:vAlign w:val="center"/>
          </w:tcPr>
          <w:p>
            <w:pPr>
              <w:spacing w:before="156" w:after="156"/>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lang w:val="zh-CN"/>
              </w:rPr>
              <w:t>评标委员会按主要工程施工方案的针对性、措施具体性、可操作性等综合评审，优：</w:t>
            </w:r>
            <w:r>
              <w:rPr>
                <w:rFonts w:hint="eastAsia" w:ascii="Times New Roman" w:hAnsi="宋体" w:cs="宋体"/>
                <w:bCs/>
                <w:color w:val="000000" w:themeColor="text1"/>
                <w:kern w:val="2"/>
                <w:sz w:val="21"/>
                <w:szCs w:val="24"/>
              </w:rPr>
              <w:t>6-8分；</w:t>
            </w:r>
            <w:r>
              <w:rPr>
                <w:rFonts w:hint="eastAsia" w:ascii="Times New Roman" w:hAnsi="宋体" w:cs="宋体"/>
                <w:bCs/>
                <w:color w:val="000000" w:themeColor="text1"/>
                <w:kern w:val="2"/>
                <w:sz w:val="21"/>
                <w:szCs w:val="24"/>
                <w:lang w:val="zh-CN"/>
              </w:rPr>
              <w:t>良：</w:t>
            </w:r>
            <w:r>
              <w:rPr>
                <w:rFonts w:hint="eastAsia" w:ascii="Times New Roman" w:hAnsi="宋体" w:cs="宋体"/>
                <w:bCs/>
                <w:color w:val="000000" w:themeColor="text1"/>
                <w:kern w:val="2"/>
                <w:sz w:val="21"/>
                <w:szCs w:val="24"/>
              </w:rPr>
              <w:t>3-5分；</w:t>
            </w:r>
            <w:r>
              <w:rPr>
                <w:rFonts w:hint="eastAsia" w:ascii="Times New Roman" w:hAnsi="宋体" w:cs="宋体"/>
                <w:bCs/>
                <w:color w:val="000000" w:themeColor="text1"/>
                <w:kern w:val="2"/>
                <w:sz w:val="21"/>
                <w:szCs w:val="24"/>
                <w:lang w:val="zh-CN"/>
              </w:rPr>
              <w:t>一般：</w:t>
            </w:r>
            <w:r>
              <w:rPr>
                <w:rFonts w:hint="eastAsia" w:ascii="Times New Roman" w:hAnsi="宋体" w:cs="宋体"/>
                <w:bCs/>
                <w:color w:val="000000" w:themeColor="text1"/>
                <w:kern w:val="2"/>
                <w:sz w:val="21"/>
                <w:szCs w:val="24"/>
              </w:rPr>
              <w:t>1-2分。</w:t>
            </w:r>
            <w:r>
              <w:rPr>
                <w:rFonts w:hint="eastAsia" w:ascii="Times New Roman" w:hAnsi="宋体" w:cs="宋体"/>
                <w:bCs/>
                <w:color w:val="000000" w:themeColor="text1"/>
                <w:kern w:val="2"/>
                <w:sz w:val="21"/>
                <w:szCs w:val="24"/>
                <w:lang w:val="zh-CN"/>
              </w:rPr>
              <w:t>方案差或者无内容得</w:t>
            </w:r>
            <w:r>
              <w:rPr>
                <w:rFonts w:hint="eastAsia" w:ascii="Times New Roman" w:hAnsi="宋体" w:cs="宋体"/>
                <w:bCs/>
                <w:color w:val="000000" w:themeColor="text1"/>
                <w:kern w:val="2"/>
                <w:sz w:val="21"/>
                <w:szCs w:val="24"/>
              </w:rPr>
              <w:t>0</w:t>
            </w:r>
            <w:r>
              <w:rPr>
                <w:rFonts w:hint="eastAsia" w:ascii="Times New Roman" w:hAnsi="宋体" w:cs="宋体"/>
                <w:bCs/>
                <w:color w:val="000000" w:themeColor="text1"/>
                <w:kern w:val="2"/>
                <w:sz w:val="21"/>
                <w:szCs w:val="24"/>
                <w:lang w:val="zh-CN"/>
              </w:rPr>
              <w:t>分。</w:t>
            </w:r>
          </w:p>
        </w:tc>
        <w:tc>
          <w:tcPr>
            <w:tcW w:w="805" w:type="dxa"/>
            <w:tcBorders>
              <w:righ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80" w:type="dxa"/>
            <w:tcBorders>
              <w:left w:val="single" w:color="auto" w:sz="12" w:space="0"/>
            </w:tcBorders>
            <w:vAlign w:val="center"/>
          </w:tcPr>
          <w:p>
            <w:pPr>
              <w:pStyle w:val="21"/>
              <w:spacing w:before="156" w:line="400" w:lineRule="exact"/>
              <w:ind w:left="0" w:leftChars="0" w:right="-10"/>
              <w:jc w:val="center"/>
              <w:rPr>
                <w:rFonts w:asciiTheme="minorEastAsia" w:hAnsiTheme="minorEastAsia" w:eastAsiaTheme="minorEastAsia"/>
                <w:color w:val="000000" w:themeColor="text1"/>
                <w:sz w:val="24"/>
              </w:rPr>
            </w:pPr>
            <w:r>
              <w:rPr>
                <w:rFonts w:hint="eastAsia" w:hAnsi="宋体" w:cs="宋体"/>
                <w:bCs/>
                <w:color w:val="000000" w:themeColor="text1"/>
                <w:lang w:val="zh-CN"/>
              </w:rPr>
              <w:t>工期保证体系及保证措施</w:t>
            </w:r>
          </w:p>
        </w:tc>
        <w:tc>
          <w:tcPr>
            <w:tcW w:w="875" w:type="dxa"/>
            <w:vAlign w:val="center"/>
          </w:tcPr>
          <w:p>
            <w:pPr>
              <w:spacing w:before="156" w:after="156"/>
              <w:jc w:val="center"/>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8分</w:t>
            </w:r>
          </w:p>
        </w:tc>
        <w:tc>
          <w:tcPr>
            <w:tcW w:w="6350" w:type="dxa"/>
            <w:vAlign w:val="center"/>
          </w:tcPr>
          <w:p>
            <w:pPr>
              <w:spacing w:before="156" w:after="156"/>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lang w:val="zh-CN"/>
              </w:rPr>
              <w:t>评标委员会按工期保证体系的完整性，保证措施合理性等综合评审，优：</w:t>
            </w:r>
            <w:r>
              <w:rPr>
                <w:rFonts w:hint="eastAsia" w:ascii="Times New Roman" w:hAnsi="宋体" w:cs="宋体"/>
                <w:bCs/>
                <w:color w:val="000000" w:themeColor="text1"/>
                <w:kern w:val="2"/>
                <w:sz w:val="21"/>
                <w:szCs w:val="24"/>
              </w:rPr>
              <w:t>6-8分；</w:t>
            </w:r>
            <w:r>
              <w:rPr>
                <w:rFonts w:hint="eastAsia" w:ascii="Times New Roman" w:hAnsi="宋体" w:cs="宋体"/>
                <w:bCs/>
                <w:color w:val="000000" w:themeColor="text1"/>
                <w:kern w:val="2"/>
                <w:sz w:val="21"/>
                <w:szCs w:val="24"/>
                <w:lang w:val="zh-CN"/>
              </w:rPr>
              <w:t>良：</w:t>
            </w:r>
            <w:r>
              <w:rPr>
                <w:rFonts w:hint="eastAsia" w:ascii="Times New Roman" w:hAnsi="宋体" w:cs="宋体"/>
                <w:bCs/>
                <w:color w:val="000000" w:themeColor="text1"/>
                <w:kern w:val="2"/>
                <w:sz w:val="21"/>
                <w:szCs w:val="24"/>
              </w:rPr>
              <w:t>3-5分；</w:t>
            </w:r>
            <w:r>
              <w:rPr>
                <w:rFonts w:hint="eastAsia" w:ascii="Times New Roman" w:hAnsi="宋体" w:cs="宋体"/>
                <w:bCs/>
                <w:color w:val="000000" w:themeColor="text1"/>
                <w:kern w:val="2"/>
                <w:sz w:val="21"/>
                <w:szCs w:val="24"/>
                <w:lang w:val="zh-CN"/>
              </w:rPr>
              <w:t>一般：</w:t>
            </w:r>
            <w:r>
              <w:rPr>
                <w:rFonts w:hint="eastAsia" w:ascii="Times New Roman" w:hAnsi="宋体" w:cs="宋体"/>
                <w:bCs/>
                <w:color w:val="000000" w:themeColor="text1"/>
                <w:kern w:val="2"/>
                <w:sz w:val="21"/>
                <w:szCs w:val="24"/>
              </w:rPr>
              <w:t>1-2分。</w:t>
            </w:r>
            <w:r>
              <w:rPr>
                <w:rFonts w:hint="eastAsia" w:ascii="Times New Roman" w:hAnsi="宋体" w:cs="宋体"/>
                <w:bCs/>
                <w:color w:val="000000" w:themeColor="text1"/>
                <w:kern w:val="2"/>
                <w:sz w:val="21"/>
                <w:szCs w:val="24"/>
                <w:lang w:val="zh-CN"/>
              </w:rPr>
              <w:t>方案差或者无内容得</w:t>
            </w:r>
            <w:r>
              <w:rPr>
                <w:rFonts w:hint="eastAsia" w:ascii="Times New Roman" w:hAnsi="宋体" w:cs="宋体"/>
                <w:bCs/>
                <w:color w:val="000000" w:themeColor="text1"/>
                <w:kern w:val="2"/>
                <w:sz w:val="21"/>
                <w:szCs w:val="24"/>
              </w:rPr>
              <w:t>0</w:t>
            </w:r>
            <w:r>
              <w:rPr>
                <w:rFonts w:hint="eastAsia" w:ascii="Times New Roman" w:hAnsi="宋体" w:cs="宋体"/>
                <w:bCs/>
                <w:color w:val="000000" w:themeColor="text1"/>
                <w:kern w:val="2"/>
                <w:sz w:val="21"/>
                <w:szCs w:val="24"/>
                <w:lang w:val="zh-CN"/>
              </w:rPr>
              <w:t>分。</w:t>
            </w:r>
          </w:p>
        </w:tc>
        <w:tc>
          <w:tcPr>
            <w:tcW w:w="805" w:type="dxa"/>
            <w:tcBorders>
              <w:righ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80" w:type="dxa"/>
            <w:tcBorders>
              <w:left w:val="single" w:color="auto" w:sz="12" w:space="0"/>
            </w:tcBorders>
            <w:vAlign w:val="center"/>
          </w:tcPr>
          <w:p>
            <w:pPr>
              <w:pStyle w:val="21"/>
              <w:spacing w:before="156" w:line="400" w:lineRule="exact"/>
              <w:ind w:left="0" w:leftChars="0" w:right="-10"/>
              <w:jc w:val="center"/>
              <w:rPr>
                <w:rFonts w:asciiTheme="minorEastAsia" w:hAnsiTheme="minorEastAsia" w:eastAsiaTheme="minorEastAsia"/>
                <w:color w:val="000000" w:themeColor="text1"/>
                <w:sz w:val="24"/>
              </w:rPr>
            </w:pPr>
            <w:r>
              <w:rPr>
                <w:rFonts w:hint="eastAsia" w:hAnsi="宋体" w:cs="宋体"/>
                <w:bCs/>
                <w:color w:val="000000" w:themeColor="text1"/>
                <w:lang w:val="zh-CN"/>
              </w:rPr>
              <w:t>工程质量管理体系及保证措施</w:t>
            </w:r>
          </w:p>
        </w:tc>
        <w:tc>
          <w:tcPr>
            <w:tcW w:w="875" w:type="dxa"/>
            <w:vAlign w:val="center"/>
          </w:tcPr>
          <w:p>
            <w:pPr>
              <w:spacing w:before="156" w:after="156"/>
              <w:jc w:val="center"/>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6分</w:t>
            </w:r>
          </w:p>
        </w:tc>
        <w:tc>
          <w:tcPr>
            <w:tcW w:w="6350" w:type="dxa"/>
            <w:vAlign w:val="center"/>
          </w:tcPr>
          <w:p>
            <w:pPr>
              <w:spacing w:before="156" w:after="156"/>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按工程质量管理体系的完整性，保证措施的合理性</w:t>
            </w:r>
            <w:r>
              <w:rPr>
                <w:rFonts w:hint="eastAsia" w:ascii="Times New Roman" w:hAnsi="宋体" w:cs="宋体"/>
                <w:bCs/>
                <w:color w:val="000000" w:themeColor="text1"/>
                <w:kern w:val="2"/>
                <w:sz w:val="21"/>
                <w:szCs w:val="24"/>
                <w:lang w:val="zh-CN"/>
              </w:rPr>
              <w:t>等综合评审，优：</w:t>
            </w:r>
            <w:r>
              <w:rPr>
                <w:rFonts w:hint="eastAsia" w:ascii="Times New Roman" w:hAnsi="宋体" w:cs="宋体"/>
                <w:bCs/>
                <w:color w:val="000000" w:themeColor="text1"/>
                <w:kern w:val="2"/>
                <w:sz w:val="21"/>
                <w:szCs w:val="24"/>
              </w:rPr>
              <w:t>5</w:t>
            </w:r>
            <w:r>
              <w:rPr>
                <w:rFonts w:hint="eastAsia" w:ascii="Times New Roman" w:hAnsi="宋体" w:cs="宋体"/>
                <w:bCs/>
                <w:color w:val="000000" w:themeColor="text1"/>
                <w:kern w:val="2"/>
                <w:sz w:val="21"/>
                <w:szCs w:val="24"/>
                <w:lang w:val="zh-CN"/>
              </w:rPr>
              <w:t>-</w:t>
            </w:r>
            <w:r>
              <w:rPr>
                <w:rFonts w:hint="eastAsia" w:ascii="Times New Roman" w:hAnsi="宋体" w:cs="宋体"/>
                <w:bCs/>
                <w:color w:val="000000" w:themeColor="text1"/>
                <w:kern w:val="2"/>
                <w:sz w:val="21"/>
                <w:szCs w:val="24"/>
              </w:rPr>
              <w:t>6</w:t>
            </w:r>
            <w:r>
              <w:rPr>
                <w:rFonts w:hint="eastAsia" w:ascii="Times New Roman" w:hAnsi="宋体" w:cs="宋体"/>
                <w:bCs/>
                <w:color w:val="000000" w:themeColor="text1"/>
                <w:kern w:val="2"/>
                <w:sz w:val="21"/>
                <w:szCs w:val="24"/>
                <w:lang w:val="zh-CN"/>
              </w:rPr>
              <w:t>分；良：</w:t>
            </w:r>
            <w:r>
              <w:rPr>
                <w:rFonts w:hint="eastAsia" w:ascii="Times New Roman" w:hAnsi="宋体" w:cs="宋体"/>
                <w:bCs/>
                <w:color w:val="000000" w:themeColor="text1"/>
                <w:kern w:val="2"/>
                <w:sz w:val="21"/>
                <w:szCs w:val="24"/>
              </w:rPr>
              <w:t>3</w:t>
            </w:r>
            <w:r>
              <w:rPr>
                <w:rFonts w:hint="eastAsia" w:ascii="Times New Roman" w:hAnsi="宋体" w:cs="宋体"/>
                <w:bCs/>
                <w:color w:val="000000" w:themeColor="text1"/>
                <w:kern w:val="2"/>
                <w:sz w:val="21"/>
                <w:szCs w:val="24"/>
                <w:lang w:val="zh-CN"/>
              </w:rPr>
              <w:t>-</w:t>
            </w:r>
            <w:r>
              <w:rPr>
                <w:rFonts w:hint="eastAsia" w:ascii="Times New Roman" w:hAnsi="宋体" w:cs="宋体"/>
                <w:bCs/>
                <w:color w:val="000000" w:themeColor="text1"/>
                <w:kern w:val="2"/>
                <w:sz w:val="21"/>
                <w:szCs w:val="24"/>
              </w:rPr>
              <w:t>4</w:t>
            </w:r>
            <w:r>
              <w:rPr>
                <w:rFonts w:hint="eastAsia" w:ascii="Times New Roman" w:hAnsi="宋体" w:cs="宋体"/>
                <w:bCs/>
                <w:color w:val="000000" w:themeColor="text1"/>
                <w:kern w:val="2"/>
                <w:sz w:val="21"/>
                <w:szCs w:val="24"/>
                <w:lang w:val="zh-CN"/>
              </w:rPr>
              <w:t>分；一般：1</w:t>
            </w:r>
            <w:r>
              <w:rPr>
                <w:rFonts w:hint="eastAsia" w:ascii="Times New Roman" w:hAnsi="宋体" w:cs="宋体"/>
                <w:bCs/>
                <w:color w:val="000000" w:themeColor="text1"/>
                <w:kern w:val="2"/>
                <w:sz w:val="21"/>
                <w:szCs w:val="24"/>
              </w:rPr>
              <w:t>-2</w:t>
            </w:r>
            <w:r>
              <w:rPr>
                <w:rFonts w:hint="eastAsia" w:ascii="Times New Roman" w:hAnsi="宋体" w:cs="宋体"/>
                <w:bCs/>
                <w:color w:val="000000" w:themeColor="text1"/>
                <w:kern w:val="2"/>
                <w:sz w:val="21"/>
                <w:szCs w:val="24"/>
                <w:lang w:val="zh-CN"/>
              </w:rPr>
              <w:t>分。方案差或者无内容得0分。</w:t>
            </w:r>
          </w:p>
        </w:tc>
        <w:tc>
          <w:tcPr>
            <w:tcW w:w="805" w:type="dxa"/>
            <w:tcBorders>
              <w:righ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80" w:type="dxa"/>
            <w:tcBorders>
              <w:left w:val="single" w:color="auto" w:sz="12" w:space="0"/>
            </w:tcBorders>
            <w:vAlign w:val="center"/>
          </w:tcPr>
          <w:p>
            <w:pPr>
              <w:pStyle w:val="21"/>
              <w:spacing w:before="156" w:line="400" w:lineRule="exact"/>
              <w:ind w:left="0" w:leftChars="0" w:right="-10"/>
              <w:jc w:val="center"/>
              <w:rPr>
                <w:rFonts w:asciiTheme="minorEastAsia" w:hAnsiTheme="minorEastAsia" w:eastAsiaTheme="minorEastAsia"/>
                <w:color w:val="000000" w:themeColor="text1"/>
                <w:sz w:val="24"/>
              </w:rPr>
            </w:pPr>
            <w:r>
              <w:rPr>
                <w:rFonts w:hint="eastAsia" w:hAnsi="宋体" w:cs="宋体"/>
                <w:bCs/>
                <w:color w:val="000000" w:themeColor="text1"/>
                <w:lang w:val="zh-CN"/>
              </w:rPr>
              <w:t>安全、环保、文明施工保证体系及保证措施</w:t>
            </w:r>
          </w:p>
        </w:tc>
        <w:tc>
          <w:tcPr>
            <w:tcW w:w="875" w:type="dxa"/>
            <w:vAlign w:val="center"/>
          </w:tcPr>
          <w:p>
            <w:pPr>
              <w:spacing w:before="156" w:after="156"/>
              <w:jc w:val="center"/>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5分</w:t>
            </w:r>
          </w:p>
        </w:tc>
        <w:tc>
          <w:tcPr>
            <w:tcW w:w="6350" w:type="dxa"/>
            <w:vAlign w:val="center"/>
          </w:tcPr>
          <w:p>
            <w:pPr>
              <w:spacing w:before="156" w:after="156"/>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按各管理体系的完整性，保证措施合理性</w:t>
            </w:r>
            <w:r>
              <w:rPr>
                <w:rFonts w:hint="eastAsia" w:ascii="Times New Roman" w:hAnsi="宋体" w:cs="宋体"/>
                <w:bCs/>
                <w:color w:val="000000" w:themeColor="text1"/>
                <w:kern w:val="2"/>
                <w:sz w:val="21"/>
                <w:szCs w:val="24"/>
                <w:lang w:val="zh-CN"/>
              </w:rPr>
              <w:t>等综合评审，优：</w:t>
            </w:r>
            <w:r>
              <w:rPr>
                <w:rFonts w:hint="eastAsia" w:ascii="Times New Roman" w:hAnsi="宋体" w:cs="宋体"/>
                <w:bCs/>
                <w:color w:val="000000" w:themeColor="text1"/>
                <w:kern w:val="2"/>
                <w:sz w:val="21"/>
                <w:szCs w:val="24"/>
              </w:rPr>
              <w:t>4</w:t>
            </w:r>
            <w:r>
              <w:rPr>
                <w:rFonts w:hint="eastAsia" w:ascii="Times New Roman" w:hAnsi="宋体" w:cs="宋体"/>
                <w:bCs/>
                <w:color w:val="000000" w:themeColor="text1"/>
                <w:kern w:val="2"/>
                <w:sz w:val="21"/>
                <w:szCs w:val="24"/>
                <w:lang w:val="zh-CN"/>
              </w:rPr>
              <w:t>-</w:t>
            </w:r>
            <w:r>
              <w:rPr>
                <w:rFonts w:hint="eastAsia" w:ascii="Times New Roman" w:hAnsi="宋体" w:cs="宋体"/>
                <w:bCs/>
                <w:color w:val="000000" w:themeColor="text1"/>
                <w:kern w:val="2"/>
                <w:sz w:val="21"/>
                <w:szCs w:val="24"/>
              </w:rPr>
              <w:t>5</w:t>
            </w:r>
            <w:r>
              <w:rPr>
                <w:rFonts w:hint="eastAsia" w:ascii="Times New Roman" w:hAnsi="宋体" w:cs="宋体"/>
                <w:bCs/>
                <w:color w:val="000000" w:themeColor="text1"/>
                <w:kern w:val="2"/>
                <w:sz w:val="21"/>
                <w:szCs w:val="24"/>
                <w:lang w:val="zh-CN"/>
              </w:rPr>
              <w:t>分；良：</w:t>
            </w:r>
            <w:r>
              <w:rPr>
                <w:rFonts w:hint="eastAsia" w:ascii="Times New Roman" w:hAnsi="宋体" w:cs="宋体"/>
                <w:bCs/>
                <w:color w:val="000000" w:themeColor="text1"/>
                <w:kern w:val="2"/>
                <w:sz w:val="21"/>
                <w:szCs w:val="24"/>
              </w:rPr>
              <w:t>2</w:t>
            </w:r>
            <w:r>
              <w:rPr>
                <w:rFonts w:hint="eastAsia" w:ascii="Times New Roman" w:hAnsi="宋体" w:cs="宋体"/>
                <w:bCs/>
                <w:color w:val="000000" w:themeColor="text1"/>
                <w:kern w:val="2"/>
                <w:sz w:val="21"/>
                <w:szCs w:val="24"/>
                <w:lang w:val="zh-CN"/>
              </w:rPr>
              <w:t>-</w:t>
            </w:r>
            <w:r>
              <w:rPr>
                <w:rFonts w:hint="eastAsia" w:ascii="Times New Roman" w:hAnsi="宋体" w:cs="宋体"/>
                <w:bCs/>
                <w:color w:val="000000" w:themeColor="text1"/>
                <w:kern w:val="2"/>
                <w:sz w:val="21"/>
                <w:szCs w:val="24"/>
              </w:rPr>
              <w:t>3</w:t>
            </w:r>
            <w:r>
              <w:rPr>
                <w:rFonts w:hint="eastAsia" w:ascii="Times New Roman" w:hAnsi="宋体" w:cs="宋体"/>
                <w:bCs/>
                <w:color w:val="000000" w:themeColor="text1"/>
                <w:kern w:val="2"/>
                <w:sz w:val="21"/>
                <w:szCs w:val="24"/>
                <w:lang w:val="zh-CN"/>
              </w:rPr>
              <w:t>分；一般：1分。方案差或者无内容得0分。</w:t>
            </w:r>
          </w:p>
        </w:tc>
        <w:tc>
          <w:tcPr>
            <w:tcW w:w="805" w:type="dxa"/>
            <w:tcBorders>
              <w:righ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580" w:type="dxa"/>
            <w:tcBorders>
              <w:left w:val="single" w:color="auto" w:sz="12" w:space="0"/>
              <w:bottom w:val="single" w:color="auto" w:sz="8" w:space="0"/>
            </w:tcBorders>
            <w:vAlign w:val="center"/>
          </w:tcPr>
          <w:p>
            <w:pPr>
              <w:pStyle w:val="21"/>
              <w:spacing w:before="156" w:line="400" w:lineRule="exact"/>
              <w:ind w:left="0" w:leftChars="0" w:right="-10"/>
              <w:jc w:val="center"/>
              <w:rPr>
                <w:rFonts w:asciiTheme="minorEastAsia" w:hAnsiTheme="minorEastAsia" w:eastAsiaTheme="minorEastAsia"/>
                <w:color w:val="000000" w:themeColor="text1"/>
                <w:sz w:val="24"/>
              </w:rPr>
            </w:pPr>
            <w:r>
              <w:rPr>
                <w:rFonts w:hint="eastAsia" w:hAnsi="宋体" w:cs="宋体"/>
                <w:bCs/>
                <w:color w:val="000000" w:themeColor="text1"/>
                <w:lang w:val="zh-CN"/>
              </w:rPr>
              <w:t>项目风险预测与防范 ，事故应急预案</w:t>
            </w:r>
          </w:p>
        </w:tc>
        <w:tc>
          <w:tcPr>
            <w:tcW w:w="875" w:type="dxa"/>
            <w:tcBorders>
              <w:bottom w:val="single" w:color="auto" w:sz="8" w:space="0"/>
            </w:tcBorders>
            <w:vAlign w:val="center"/>
          </w:tcPr>
          <w:p>
            <w:pPr>
              <w:spacing w:before="156" w:after="156"/>
              <w:jc w:val="center"/>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5分</w:t>
            </w:r>
          </w:p>
        </w:tc>
        <w:tc>
          <w:tcPr>
            <w:tcW w:w="6350" w:type="dxa"/>
            <w:tcBorders>
              <w:bottom w:val="single" w:color="auto" w:sz="8" w:space="0"/>
            </w:tcBorders>
            <w:vAlign w:val="center"/>
          </w:tcPr>
          <w:p>
            <w:pPr>
              <w:spacing w:before="156" w:after="156"/>
              <w:rPr>
                <w:rFonts w:ascii="Times New Roman" w:hAnsi="宋体" w:cs="宋体"/>
                <w:bCs/>
                <w:color w:val="000000" w:themeColor="text1"/>
                <w:kern w:val="2"/>
                <w:sz w:val="21"/>
                <w:szCs w:val="24"/>
              </w:rPr>
            </w:pPr>
            <w:r>
              <w:rPr>
                <w:rFonts w:hint="eastAsia" w:ascii="Times New Roman" w:hAnsi="宋体" w:cs="宋体"/>
                <w:bCs/>
                <w:color w:val="000000" w:themeColor="text1"/>
                <w:kern w:val="2"/>
                <w:sz w:val="21"/>
                <w:szCs w:val="24"/>
              </w:rPr>
              <w:t>按防范措施、应急预案的适用性、可行性</w:t>
            </w:r>
            <w:r>
              <w:rPr>
                <w:rFonts w:hint="eastAsia" w:ascii="Times New Roman" w:hAnsi="宋体" w:cs="宋体"/>
                <w:bCs/>
                <w:color w:val="000000" w:themeColor="text1"/>
                <w:kern w:val="2"/>
                <w:sz w:val="21"/>
                <w:szCs w:val="24"/>
                <w:lang w:val="zh-CN"/>
              </w:rPr>
              <w:t>等综合评审，优：</w:t>
            </w:r>
            <w:r>
              <w:rPr>
                <w:rFonts w:hint="eastAsia" w:ascii="Times New Roman" w:hAnsi="宋体" w:cs="宋体"/>
                <w:bCs/>
                <w:color w:val="000000" w:themeColor="text1"/>
                <w:kern w:val="2"/>
                <w:sz w:val="21"/>
                <w:szCs w:val="24"/>
              </w:rPr>
              <w:t>4</w:t>
            </w:r>
            <w:r>
              <w:rPr>
                <w:rFonts w:hint="eastAsia" w:ascii="Times New Roman" w:hAnsi="宋体" w:cs="宋体"/>
                <w:bCs/>
                <w:color w:val="000000" w:themeColor="text1"/>
                <w:kern w:val="2"/>
                <w:sz w:val="21"/>
                <w:szCs w:val="24"/>
                <w:lang w:val="zh-CN"/>
              </w:rPr>
              <w:t>-</w:t>
            </w:r>
            <w:r>
              <w:rPr>
                <w:rFonts w:hint="eastAsia" w:ascii="Times New Roman" w:hAnsi="宋体" w:cs="宋体"/>
                <w:bCs/>
                <w:color w:val="000000" w:themeColor="text1"/>
                <w:kern w:val="2"/>
                <w:sz w:val="21"/>
                <w:szCs w:val="24"/>
              </w:rPr>
              <w:t>5</w:t>
            </w:r>
            <w:r>
              <w:rPr>
                <w:rFonts w:hint="eastAsia" w:ascii="Times New Roman" w:hAnsi="宋体" w:cs="宋体"/>
                <w:bCs/>
                <w:color w:val="000000" w:themeColor="text1"/>
                <w:kern w:val="2"/>
                <w:sz w:val="21"/>
                <w:szCs w:val="24"/>
                <w:lang w:val="zh-CN"/>
              </w:rPr>
              <w:t>分；良：</w:t>
            </w:r>
            <w:r>
              <w:rPr>
                <w:rFonts w:hint="eastAsia" w:ascii="Times New Roman" w:hAnsi="宋体" w:cs="宋体"/>
                <w:bCs/>
                <w:color w:val="000000" w:themeColor="text1"/>
                <w:kern w:val="2"/>
                <w:sz w:val="21"/>
                <w:szCs w:val="24"/>
              </w:rPr>
              <w:t>2</w:t>
            </w:r>
            <w:r>
              <w:rPr>
                <w:rFonts w:hint="eastAsia" w:ascii="Times New Roman" w:hAnsi="宋体" w:cs="宋体"/>
                <w:bCs/>
                <w:color w:val="000000" w:themeColor="text1"/>
                <w:kern w:val="2"/>
                <w:sz w:val="21"/>
                <w:szCs w:val="24"/>
                <w:lang w:val="zh-CN"/>
              </w:rPr>
              <w:t>-</w:t>
            </w:r>
            <w:r>
              <w:rPr>
                <w:rFonts w:hint="eastAsia" w:ascii="Times New Roman" w:hAnsi="宋体" w:cs="宋体"/>
                <w:bCs/>
                <w:color w:val="000000" w:themeColor="text1"/>
                <w:kern w:val="2"/>
                <w:sz w:val="21"/>
                <w:szCs w:val="24"/>
              </w:rPr>
              <w:t>3</w:t>
            </w:r>
            <w:r>
              <w:rPr>
                <w:rFonts w:hint="eastAsia" w:ascii="Times New Roman" w:hAnsi="宋体" w:cs="宋体"/>
                <w:bCs/>
                <w:color w:val="000000" w:themeColor="text1"/>
                <w:kern w:val="2"/>
                <w:sz w:val="21"/>
                <w:szCs w:val="24"/>
                <w:lang w:val="zh-CN"/>
              </w:rPr>
              <w:t>分；一般：1分。方案差或者无内容得0分。</w:t>
            </w:r>
          </w:p>
        </w:tc>
        <w:tc>
          <w:tcPr>
            <w:tcW w:w="805" w:type="dxa"/>
            <w:tcBorders>
              <w:right w:val="single" w:color="auto" w:sz="12" w:space="0"/>
            </w:tcBorders>
            <w:vAlign w:val="center"/>
          </w:tcPr>
          <w:p>
            <w:pPr>
              <w:adjustRightInd w:val="0"/>
              <w:snapToGrid w:val="0"/>
              <w:spacing w:before="0" w:beforeAutospacing="0" w:after="0" w:afterAutospacing="0" w:line="240" w:lineRule="auto"/>
              <w:jc w:val="center"/>
              <w:rPr>
                <w:rFonts w:asciiTheme="minorEastAsia" w:hAnsiTheme="minorEastAsia" w:eastAsiaTheme="minorEastAsia"/>
                <w:color w:val="000000" w:themeColor="text1"/>
                <w:szCs w:val="24"/>
              </w:rPr>
            </w:pPr>
          </w:p>
        </w:tc>
      </w:tr>
    </w:tbl>
    <w:p>
      <w:pPr>
        <w:spacing w:line="240" w:lineRule="auto"/>
        <w:rPr>
          <w:color w:val="000000" w:themeColor="text1"/>
          <w:kern w:val="2"/>
          <w:sz w:val="28"/>
          <w:szCs w:val="28"/>
        </w:rPr>
      </w:pPr>
    </w:p>
    <w:p>
      <w:pPr>
        <w:spacing w:line="240" w:lineRule="auto"/>
        <w:rPr>
          <w:color w:val="000000" w:themeColor="text1"/>
          <w:kern w:val="2"/>
          <w:sz w:val="28"/>
          <w:szCs w:val="28"/>
        </w:rPr>
      </w:pPr>
    </w:p>
    <w:p>
      <w:pPr>
        <w:spacing w:line="240" w:lineRule="auto"/>
        <w:rPr>
          <w:color w:val="000000" w:themeColor="text1"/>
          <w:kern w:val="2"/>
          <w:sz w:val="28"/>
          <w:szCs w:val="28"/>
        </w:rPr>
      </w:pPr>
    </w:p>
    <w:p>
      <w:pPr>
        <w:spacing w:line="240" w:lineRule="auto"/>
        <w:rPr>
          <w:color w:val="000000" w:themeColor="text1"/>
          <w:kern w:val="2"/>
          <w:sz w:val="28"/>
          <w:szCs w:val="28"/>
        </w:rPr>
      </w:pPr>
    </w:p>
    <w:p>
      <w:pPr>
        <w:spacing w:line="240" w:lineRule="auto"/>
        <w:rPr>
          <w:color w:val="000000" w:themeColor="text1"/>
          <w:kern w:val="2"/>
          <w:sz w:val="28"/>
          <w:szCs w:val="28"/>
        </w:rPr>
      </w:pPr>
    </w:p>
    <w:p>
      <w:pPr>
        <w:spacing w:line="240" w:lineRule="auto"/>
        <w:rPr>
          <w:color w:val="000000" w:themeColor="text1"/>
          <w:kern w:val="2"/>
          <w:sz w:val="28"/>
          <w:szCs w:val="28"/>
        </w:rPr>
      </w:pPr>
    </w:p>
    <w:p>
      <w:pPr>
        <w:spacing w:line="240" w:lineRule="auto"/>
        <w:rPr>
          <w:rFonts w:hint="eastAsia"/>
          <w:b/>
          <w:bCs/>
          <w:color w:val="000000" w:themeColor="text1"/>
          <w:kern w:val="2"/>
          <w:sz w:val="28"/>
          <w:szCs w:val="28"/>
        </w:rPr>
      </w:pPr>
    </w:p>
    <w:p>
      <w:pPr>
        <w:spacing w:line="240" w:lineRule="auto"/>
        <w:rPr>
          <w:color w:val="000000" w:themeColor="text1"/>
          <w:kern w:val="2"/>
          <w:sz w:val="28"/>
          <w:szCs w:val="28"/>
        </w:rPr>
      </w:pPr>
      <w:r>
        <w:rPr>
          <w:rFonts w:hint="eastAsia"/>
          <w:b/>
          <w:bCs/>
          <w:color w:val="000000" w:themeColor="text1"/>
          <w:kern w:val="2"/>
          <w:sz w:val="28"/>
          <w:szCs w:val="28"/>
        </w:rPr>
        <w:t>附表四  商务评审因素及分值分</w:t>
      </w:r>
      <w:r>
        <w:rPr>
          <w:rFonts w:hint="eastAsia" w:ascii="Times New Roman" w:hAnsi="Times New Roman"/>
          <w:b/>
          <w:bCs/>
          <w:color w:val="000000" w:themeColor="text1"/>
          <w:kern w:val="2"/>
          <w:sz w:val="28"/>
          <w:szCs w:val="28"/>
        </w:rPr>
        <w:t>配表（30分）</w:t>
      </w:r>
    </w:p>
    <w:tbl>
      <w:tblPr>
        <w:tblStyle w:val="43"/>
        <w:tblW w:w="9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01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blHeader/>
        </w:trPr>
        <w:tc>
          <w:tcPr>
            <w:tcW w:w="1708" w:type="dxa"/>
            <w:shd w:val="clear" w:color="auto" w:fill="auto"/>
            <w:vAlign w:val="center"/>
          </w:tcPr>
          <w:p>
            <w:pPr>
              <w:adjustRightInd w:val="0"/>
              <w:snapToGrid w:val="0"/>
              <w:spacing w:before="0" w:beforeAutospacing="0" w:after="0" w:afterAutospacing="0" w:line="240" w:lineRule="auto"/>
              <w:jc w:val="center"/>
              <w:rPr>
                <w:rFonts w:ascii="宋体" w:hAnsi="宋体" w:cs="宋体"/>
                <w:b/>
                <w:color w:val="000000" w:themeColor="text1"/>
                <w:szCs w:val="24"/>
              </w:rPr>
            </w:pPr>
            <w:r>
              <w:rPr>
                <w:rFonts w:hint="eastAsia" w:ascii="宋体" w:hAnsi="宋体" w:cs="宋体"/>
                <w:b/>
                <w:color w:val="000000" w:themeColor="text1"/>
                <w:szCs w:val="24"/>
              </w:rPr>
              <w:t>内容</w:t>
            </w:r>
          </w:p>
        </w:tc>
        <w:tc>
          <w:tcPr>
            <w:tcW w:w="1015" w:type="dxa"/>
            <w:shd w:val="clear" w:color="auto" w:fill="auto"/>
            <w:vAlign w:val="center"/>
          </w:tcPr>
          <w:p>
            <w:pPr>
              <w:adjustRightInd w:val="0"/>
              <w:snapToGrid w:val="0"/>
              <w:spacing w:before="0" w:beforeAutospacing="0" w:after="0" w:afterAutospacing="0" w:line="240" w:lineRule="auto"/>
              <w:jc w:val="center"/>
              <w:rPr>
                <w:rFonts w:ascii="宋体" w:hAnsi="宋体" w:cs="宋体"/>
                <w:b/>
                <w:color w:val="000000" w:themeColor="text1"/>
                <w:szCs w:val="24"/>
              </w:rPr>
            </w:pPr>
            <w:r>
              <w:rPr>
                <w:rFonts w:hint="eastAsia" w:ascii="宋体" w:hAnsi="宋体" w:cs="宋体"/>
                <w:b/>
                <w:color w:val="000000" w:themeColor="text1"/>
                <w:szCs w:val="24"/>
              </w:rPr>
              <w:t>分值</w:t>
            </w:r>
          </w:p>
        </w:tc>
        <w:tc>
          <w:tcPr>
            <w:tcW w:w="7070" w:type="dxa"/>
            <w:shd w:val="clear" w:color="auto" w:fill="auto"/>
            <w:vAlign w:val="center"/>
          </w:tcPr>
          <w:p>
            <w:pPr>
              <w:adjustRightInd w:val="0"/>
              <w:snapToGrid w:val="0"/>
              <w:spacing w:before="0" w:beforeAutospacing="0" w:after="0" w:afterAutospacing="0" w:line="240" w:lineRule="auto"/>
              <w:jc w:val="center"/>
              <w:rPr>
                <w:rFonts w:ascii="宋体" w:hAnsi="宋体" w:cs="宋体"/>
                <w:b/>
                <w:color w:val="000000" w:themeColor="text1"/>
                <w:szCs w:val="24"/>
              </w:rPr>
            </w:pPr>
            <w:r>
              <w:rPr>
                <w:rFonts w:hint="eastAsia" w:ascii="宋体" w:hAnsi="宋体" w:cs="宋体"/>
                <w:b/>
                <w:color w:val="000000" w:themeColor="text1"/>
                <w:szCs w:val="24"/>
              </w:rPr>
              <w:t>评分要素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1708" w:type="dxa"/>
            <w:shd w:val="clear" w:color="auto" w:fill="auto"/>
            <w:vAlign w:val="center"/>
          </w:tcPr>
          <w:p>
            <w:pPr>
              <w:adjustRightInd w:val="0"/>
              <w:snapToGrid w:val="0"/>
              <w:spacing w:before="0" w:beforeAutospacing="0" w:after="0" w:afterAutospacing="0" w:line="240" w:lineRule="auto"/>
              <w:jc w:val="center"/>
              <w:rPr>
                <w:rFonts w:ascii="宋体" w:hAnsi="宋体" w:cs="宋体"/>
                <w:color w:val="000000" w:themeColor="text1"/>
                <w:szCs w:val="24"/>
              </w:rPr>
            </w:pPr>
            <w:r>
              <w:rPr>
                <w:rFonts w:hint="eastAsia" w:hAnsi="宋体" w:cs="宋体"/>
                <w:color w:val="000000" w:themeColor="text1"/>
              </w:rPr>
              <w:t>项目管理机构主要人员</w:t>
            </w:r>
          </w:p>
        </w:tc>
        <w:tc>
          <w:tcPr>
            <w:tcW w:w="1015" w:type="dxa"/>
            <w:shd w:val="clear" w:color="auto" w:fill="auto"/>
            <w:vAlign w:val="center"/>
          </w:tcPr>
          <w:p>
            <w:pPr>
              <w:adjustRightInd w:val="0"/>
              <w:snapToGrid w:val="0"/>
              <w:spacing w:before="0" w:beforeAutospacing="0" w:after="0" w:afterAutospacing="0" w:line="240" w:lineRule="auto"/>
              <w:jc w:val="center"/>
              <w:rPr>
                <w:rFonts w:ascii="宋体" w:hAnsi="宋体" w:cs="宋体"/>
                <w:color w:val="000000" w:themeColor="text1"/>
                <w:szCs w:val="24"/>
              </w:rPr>
            </w:pPr>
            <w:r>
              <w:rPr>
                <w:rFonts w:hint="eastAsia" w:ascii="宋体" w:hAnsi="宋体" w:cs="宋体"/>
                <w:color w:val="000000" w:themeColor="text1"/>
                <w:szCs w:val="24"/>
              </w:rPr>
              <w:t>10</w:t>
            </w:r>
          </w:p>
        </w:tc>
        <w:tc>
          <w:tcPr>
            <w:tcW w:w="7070" w:type="dxa"/>
            <w:shd w:val="clear" w:color="auto" w:fill="auto"/>
            <w:vAlign w:val="center"/>
          </w:tcPr>
          <w:p>
            <w:pPr>
              <w:spacing w:before="156" w:after="156" w:line="240" w:lineRule="auto"/>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人员：须具备项目技术负责人1名、施工员1名、安全员1名、质量员1名、资料员（可兼任）1名、材料员1名。（配备齐全得10分，每缺少一个扣2分）</w:t>
            </w:r>
          </w:p>
          <w:p>
            <w:pPr>
              <w:spacing w:before="156" w:after="156" w:line="240" w:lineRule="auto"/>
              <w:rPr>
                <w:rFonts w:hint="eastAsia" w:ascii="宋体" w:hAnsi="宋体" w:cs="宋体" w:eastAsiaTheme="minorEastAsia"/>
                <w:color w:val="000000" w:themeColor="text1"/>
                <w:szCs w:val="24"/>
                <w:lang w:eastAsia="zh-CN"/>
              </w:rPr>
            </w:pPr>
            <w:r>
              <w:rPr>
                <w:rFonts w:hint="eastAsia" w:asciiTheme="minorEastAsia" w:hAnsiTheme="minorEastAsia" w:eastAsiaTheme="minorEastAsia" w:cstheme="minorEastAsia"/>
                <w:color w:val="000000" w:themeColor="text1"/>
              </w:rPr>
              <w:t>证明材料：技术负责人提供职称证，其他人员提供岗位证书加盖公章复印件</w:t>
            </w:r>
            <w:r>
              <w:rPr>
                <w:rFonts w:hint="eastAsia" w:asciiTheme="minorEastAsia" w:hAnsiTheme="minorEastAsia" w:eastAsiaTheme="minorEastAsia" w:cstheme="minorEastAsia"/>
                <w:color w:val="000000" w:themeColor="text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1708" w:type="dxa"/>
            <w:shd w:val="clear" w:color="auto" w:fill="auto"/>
            <w:vAlign w:val="center"/>
          </w:tcPr>
          <w:p>
            <w:pPr>
              <w:adjustRightInd w:val="0"/>
              <w:snapToGrid w:val="0"/>
              <w:spacing w:before="0" w:beforeAutospacing="0" w:after="0" w:afterAutospacing="0" w:line="240" w:lineRule="auto"/>
              <w:jc w:val="center"/>
              <w:rPr>
                <w:rFonts w:ascii="宋体" w:hAnsi="宋体" w:cs="宋体"/>
                <w:color w:val="000000" w:themeColor="text1"/>
                <w:szCs w:val="24"/>
              </w:rPr>
            </w:pPr>
            <w:r>
              <w:rPr>
                <w:rFonts w:hint="eastAsia" w:ascii="宋体" w:hAnsi="宋体" w:cs="宋体"/>
                <w:color w:val="000000" w:themeColor="text1"/>
                <w:szCs w:val="24"/>
              </w:rPr>
              <w:t>业绩</w:t>
            </w:r>
          </w:p>
        </w:tc>
        <w:tc>
          <w:tcPr>
            <w:tcW w:w="1015" w:type="dxa"/>
            <w:shd w:val="clear" w:color="auto" w:fill="auto"/>
            <w:vAlign w:val="center"/>
          </w:tcPr>
          <w:p>
            <w:pPr>
              <w:adjustRightInd w:val="0"/>
              <w:snapToGrid w:val="0"/>
              <w:spacing w:before="0" w:beforeAutospacing="0" w:after="0" w:afterAutospacing="0" w:line="240" w:lineRule="auto"/>
              <w:jc w:val="center"/>
              <w:rPr>
                <w:rFonts w:ascii="宋体" w:hAnsi="宋体" w:cs="宋体"/>
                <w:color w:val="000000" w:themeColor="text1"/>
                <w:szCs w:val="24"/>
              </w:rPr>
            </w:pPr>
            <w:r>
              <w:rPr>
                <w:rFonts w:hint="eastAsia" w:ascii="宋体" w:hAnsi="宋体" w:cs="宋体"/>
                <w:color w:val="000000" w:themeColor="text1"/>
                <w:szCs w:val="24"/>
              </w:rPr>
              <w:t>20</w:t>
            </w:r>
          </w:p>
        </w:tc>
        <w:tc>
          <w:tcPr>
            <w:tcW w:w="7070" w:type="dxa"/>
            <w:shd w:val="clear" w:color="auto" w:fill="auto"/>
            <w:vAlign w:val="center"/>
          </w:tcPr>
          <w:p>
            <w:pPr>
              <w:snapToGrid w:val="0"/>
              <w:spacing w:before="156" w:after="156" w:line="240" w:lineRule="auto"/>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bCs/>
                <w:color w:val="000000" w:themeColor="text1"/>
              </w:rPr>
              <w:t>2017年1月1日起至今，供应商已完成或承接过单项合同金额1</w:t>
            </w:r>
            <w:r>
              <w:rPr>
                <w:rFonts w:hint="eastAsia" w:asciiTheme="minorEastAsia" w:hAnsiTheme="minorEastAsia" w:eastAsiaTheme="minorEastAsia" w:cstheme="minorEastAsia"/>
                <w:bCs/>
                <w:color w:val="000000" w:themeColor="text1"/>
                <w:lang w:val="en-US" w:eastAsia="zh-CN"/>
              </w:rPr>
              <w:t>5</w:t>
            </w:r>
            <w:r>
              <w:rPr>
                <w:rFonts w:hint="eastAsia" w:asciiTheme="minorEastAsia" w:hAnsiTheme="minorEastAsia" w:eastAsiaTheme="minorEastAsia" w:cstheme="minorEastAsia"/>
                <w:bCs/>
                <w:color w:val="000000" w:themeColor="text1"/>
              </w:rPr>
              <w:t>0万元（含）至</w:t>
            </w:r>
            <w:r>
              <w:rPr>
                <w:rFonts w:hint="eastAsia" w:asciiTheme="minorEastAsia" w:hAnsiTheme="minorEastAsia" w:eastAsiaTheme="minorEastAsia" w:cstheme="minorEastAsia"/>
                <w:bCs/>
                <w:color w:val="000000" w:themeColor="text1"/>
                <w:lang w:val="en-US" w:eastAsia="zh-CN"/>
              </w:rPr>
              <w:t>200</w:t>
            </w:r>
            <w:r>
              <w:rPr>
                <w:rFonts w:hint="eastAsia" w:asciiTheme="minorEastAsia" w:hAnsiTheme="minorEastAsia" w:eastAsiaTheme="minorEastAsia" w:cstheme="minorEastAsia"/>
                <w:bCs/>
                <w:color w:val="000000" w:themeColor="text1"/>
              </w:rPr>
              <w:t>万元（不含）建筑类项目一个得8分，单项合同金额</w:t>
            </w:r>
            <w:r>
              <w:rPr>
                <w:rFonts w:hint="eastAsia" w:asciiTheme="minorEastAsia" w:hAnsiTheme="minorEastAsia" w:eastAsiaTheme="minorEastAsia" w:cstheme="minorEastAsia"/>
                <w:bCs/>
                <w:color w:val="000000" w:themeColor="text1"/>
                <w:lang w:val="en-US" w:eastAsia="zh-CN"/>
              </w:rPr>
              <w:t>250</w:t>
            </w:r>
            <w:r>
              <w:rPr>
                <w:rFonts w:hint="eastAsia" w:asciiTheme="minorEastAsia" w:hAnsiTheme="minorEastAsia" w:eastAsiaTheme="minorEastAsia" w:cstheme="minorEastAsia"/>
                <w:bCs/>
                <w:color w:val="000000" w:themeColor="text1"/>
              </w:rPr>
              <w:t>万元（含）以上建筑类项目一个得10分，本项满分20分。</w:t>
            </w:r>
          </w:p>
          <w:p>
            <w:pPr>
              <w:adjustRightInd w:val="0"/>
              <w:snapToGrid w:val="0"/>
              <w:spacing w:before="0" w:beforeAutospacing="0" w:after="0" w:afterAutospacing="0" w:line="240" w:lineRule="auto"/>
              <w:rPr>
                <w:rFonts w:ascii="宋体" w:hAnsi="宋体" w:cs="宋体"/>
                <w:color w:val="000000" w:themeColor="text1"/>
                <w:szCs w:val="24"/>
              </w:rPr>
            </w:pPr>
            <w:r>
              <w:rPr>
                <w:rFonts w:hint="eastAsia" w:asciiTheme="minorEastAsia" w:hAnsiTheme="minorEastAsia" w:eastAsiaTheme="minorEastAsia" w:cstheme="minorEastAsia"/>
                <w:bCs/>
                <w:color w:val="000000" w:themeColor="text1"/>
              </w:rPr>
              <w:t>证明材料：提供业绩合同复印件加盖公章。</w:t>
            </w:r>
          </w:p>
        </w:tc>
      </w:tr>
    </w:tbl>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p>
    <w:p>
      <w:pPr>
        <w:spacing w:before="0" w:beforeAutospacing="0" w:after="0" w:afterAutospacing="0" w:line="240" w:lineRule="auto"/>
        <w:rPr>
          <w:rFonts w:ascii="宋体" w:hAnsi="宋体" w:cs="Arial"/>
          <w:color w:val="000000" w:themeColor="text1"/>
          <w:kern w:val="2"/>
          <w:szCs w:val="24"/>
        </w:rPr>
      </w:pPr>
      <w:r>
        <w:rPr>
          <w:rFonts w:ascii="宋体" w:hAnsi="宋体" w:cs="Arial"/>
          <w:color w:val="000000" w:themeColor="text1"/>
          <w:kern w:val="2"/>
          <w:szCs w:val="24"/>
        </w:rPr>
        <w:br w:type="page"/>
      </w:r>
    </w:p>
    <w:p>
      <w:pPr>
        <w:pStyle w:val="41"/>
        <w:rPr>
          <w:color w:val="000000" w:themeColor="text1"/>
          <w:kern w:val="2"/>
        </w:rPr>
      </w:pPr>
      <w:bookmarkStart w:id="59" w:name="_Toc534808254"/>
      <w:r>
        <w:rPr>
          <w:rFonts w:hint="eastAsia"/>
          <w:color w:val="000000" w:themeColor="text1"/>
          <w:kern w:val="2"/>
        </w:rPr>
        <w:t>第四章 合同条款及格式</w:t>
      </w:r>
      <w:bookmarkEnd w:id="59"/>
    </w:p>
    <w:p>
      <w:pPr>
        <w:jc w:val="center"/>
        <w:rPr>
          <w:color w:val="000000" w:themeColor="text1"/>
        </w:rPr>
      </w:pPr>
      <w:bookmarkStart w:id="60" w:name="_Toc21532"/>
      <w:r>
        <w:rPr>
          <w:rFonts w:hint="eastAsia"/>
          <w:color w:val="000000" w:themeColor="text1"/>
        </w:rPr>
        <w:t>（仅提供参考）</w:t>
      </w:r>
    </w:p>
    <w:p>
      <w:pPr>
        <w:jc w:val="center"/>
        <w:outlineLvl w:val="1"/>
        <w:rPr>
          <w:color w:val="000000" w:themeColor="text1"/>
          <w:sz w:val="30"/>
          <w:szCs w:val="30"/>
        </w:rPr>
      </w:pPr>
      <w:r>
        <w:rPr>
          <w:rFonts w:hint="eastAsia"/>
          <w:color w:val="000000" w:themeColor="text1"/>
          <w:sz w:val="30"/>
          <w:szCs w:val="30"/>
        </w:rPr>
        <w:t>第一节  通用合同条款</w:t>
      </w:r>
      <w:bookmarkEnd w:id="60"/>
    </w:p>
    <w:p>
      <w:pPr>
        <w:jc w:val="center"/>
        <w:rPr>
          <w:rFonts w:ascii="宋体" w:hAnsi="宋体"/>
          <w:b/>
          <w:color w:val="000000" w:themeColor="text1"/>
          <w:sz w:val="36"/>
          <w:szCs w:val="36"/>
        </w:rPr>
      </w:pPr>
      <w:r>
        <w:rPr>
          <w:rFonts w:hint="eastAsia" w:ascii="宋体" w:hAnsi="宋体"/>
          <w:b/>
          <w:color w:val="000000" w:themeColor="text1"/>
          <w:sz w:val="36"/>
          <w:szCs w:val="36"/>
        </w:rPr>
        <w:t>通用合同条款</w:t>
      </w:r>
    </w:p>
    <w:p>
      <w:pPr>
        <w:snapToGrid w:val="0"/>
        <w:spacing w:before="0" w:beforeAutospacing="0" w:after="0" w:afterAutospacing="0"/>
        <w:ind w:left="991" w:hanging="991" w:hangingChars="413"/>
        <w:outlineLvl w:val="2"/>
        <w:rPr>
          <w:rFonts w:ascii="黑体" w:eastAsia="黑体"/>
          <w:color w:val="000000" w:themeColor="text1"/>
        </w:rPr>
      </w:pPr>
      <w:bookmarkStart w:id="61" w:name="_Toc246996254"/>
      <w:bookmarkStart w:id="62" w:name="_Toc246996997"/>
      <w:bookmarkStart w:id="63" w:name="_Toc27721"/>
      <w:bookmarkStart w:id="64" w:name="_Toc296602499"/>
      <w:bookmarkStart w:id="65" w:name="_Toc247085769"/>
      <w:bookmarkStart w:id="66" w:name="_Toc184635098"/>
      <w:bookmarkStart w:id="67" w:name="_Toc971"/>
      <w:r>
        <w:rPr>
          <w:rFonts w:hint="eastAsia" w:ascii="黑体" w:eastAsia="黑体"/>
          <w:color w:val="000000" w:themeColor="text1"/>
        </w:rPr>
        <w:t>1.</w:t>
      </w:r>
      <w:r>
        <w:rPr>
          <w:rFonts w:hint="eastAsia" w:ascii="黑体" w:eastAsia="黑体"/>
          <w:color w:val="000000" w:themeColor="text1"/>
        </w:rPr>
        <w:tab/>
      </w:r>
      <w:r>
        <w:rPr>
          <w:rFonts w:hint="eastAsia" w:ascii="黑体" w:eastAsia="黑体"/>
          <w:color w:val="000000" w:themeColor="text1"/>
        </w:rPr>
        <w:t>一般约定</w:t>
      </w:r>
      <w:bookmarkEnd w:id="61"/>
      <w:bookmarkEnd w:id="62"/>
      <w:bookmarkEnd w:id="63"/>
      <w:bookmarkEnd w:id="64"/>
      <w:bookmarkEnd w:id="65"/>
      <w:bookmarkEnd w:id="66"/>
      <w:bookmarkEnd w:id="67"/>
    </w:p>
    <w:p>
      <w:pPr>
        <w:snapToGrid w:val="0"/>
        <w:spacing w:before="0" w:beforeAutospacing="0" w:after="0" w:afterAutospacing="0"/>
        <w:ind w:left="991" w:hanging="991" w:hangingChars="413"/>
        <w:rPr>
          <w:rFonts w:ascii="黑体" w:eastAsia="黑体"/>
          <w:color w:val="000000" w:themeColor="text1"/>
        </w:rPr>
      </w:pPr>
      <w:bookmarkStart w:id="68" w:name="_Toc296602500"/>
      <w:bookmarkStart w:id="69" w:name="_Toc246996255"/>
      <w:bookmarkStart w:id="70" w:name="_Toc246996998"/>
      <w:bookmarkStart w:id="71" w:name="_Toc247085770"/>
      <w:r>
        <w:rPr>
          <w:rFonts w:hint="eastAsia" w:ascii="黑体" w:eastAsia="黑体"/>
          <w:color w:val="000000" w:themeColor="text1"/>
        </w:rPr>
        <w:t>1.1</w:t>
      </w:r>
      <w:r>
        <w:rPr>
          <w:rFonts w:hint="eastAsia" w:ascii="黑体" w:eastAsia="黑体"/>
          <w:color w:val="000000" w:themeColor="text1"/>
        </w:rPr>
        <w:tab/>
      </w:r>
      <w:r>
        <w:rPr>
          <w:rFonts w:hint="eastAsia" w:ascii="黑体" w:eastAsia="黑体"/>
          <w:color w:val="000000" w:themeColor="text1"/>
        </w:rPr>
        <w:t>词语定义</w:t>
      </w:r>
      <w:bookmarkEnd w:id="68"/>
      <w:bookmarkEnd w:id="69"/>
      <w:bookmarkEnd w:id="70"/>
      <w:bookmarkEnd w:id="71"/>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通用合同条款、专用合同条款中的下列词语应具有本款所赋予的含义。</w:t>
      </w:r>
    </w:p>
    <w:p>
      <w:pPr>
        <w:snapToGrid w:val="0"/>
        <w:spacing w:before="0" w:beforeAutospacing="0" w:after="0" w:afterAutospacing="0"/>
        <w:ind w:left="991" w:hanging="991" w:hangingChars="413"/>
        <w:rPr>
          <w:rFonts w:ascii="宋体" w:hAnsi="宋体"/>
          <w:color w:val="000000" w:themeColor="text1"/>
        </w:rPr>
      </w:pPr>
      <w:r>
        <w:rPr>
          <w:rFonts w:ascii="宋体" w:hAnsi="宋体"/>
          <w:color w:val="000000" w:themeColor="text1"/>
        </w:rPr>
        <w:t>1.1.1</w:t>
      </w:r>
      <w:r>
        <w:rPr>
          <w:rFonts w:hint="eastAsia" w:ascii="宋体" w:hAnsi="宋体"/>
          <w:color w:val="000000" w:themeColor="text1"/>
        </w:rPr>
        <w:tab/>
      </w:r>
      <w:r>
        <w:rPr>
          <w:rFonts w:hint="eastAsia" w:ascii="宋体" w:hAnsi="宋体"/>
          <w:color w:val="000000" w:themeColor="text1"/>
        </w:rPr>
        <w:t>合同</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1.1.1.1</w:t>
      </w:r>
      <w:r>
        <w:rPr>
          <w:rFonts w:hint="eastAsia" w:ascii="宋体" w:hAnsi="宋体"/>
          <w:color w:val="000000" w:themeColor="text1"/>
        </w:rPr>
        <w:tab/>
      </w:r>
      <w:r>
        <w:rPr>
          <w:rFonts w:hint="eastAsia" w:ascii="宋体" w:hAnsi="宋体"/>
          <w:color w:val="000000" w:themeColor="text1"/>
        </w:rPr>
        <w:t>合同文件（或称合同）：指合同协议书、中标（成交）通知书、报价函及报价函附录、专用合同条款、通用合同条款、技术标准和要求、图纸、已标价工程量清单，以及其他合同文件。</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1.1.1.2</w:t>
      </w:r>
      <w:r>
        <w:rPr>
          <w:rFonts w:hint="eastAsia" w:ascii="宋体" w:hAnsi="宋体"/>
          <w:color w:val="000000" w:themeColor="text1"/>
        </w:rPr>
        <w:tab/>
      </w:r>
      <w:r>
        <w:rPr>
          <w:rFonts w:hint="eastAsia" w:ascii="宋体" w:hAnsi="宋体"/>
          <w:color w:val="000000" w:themeColor="text1"/>
        </w:rPr>
        <w:t>合同协议书：指第1.5 款所指的合同协议书。</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1.1.1.3</w:t>
      </w:r>
      <w:r>
        <w:rPr>
          <w:rFonts w:hint="eastAsia" w:ascii="宋体" w:hAnsi="宋体"/>
          <w:color w:val="000000" w:themeColor="text1"/>
        </w:rPr>
        <w:tab/>
      </w:r>
      <w:r>
        <w:rPr>
          <w:rFonts w:hint="eastAsia" w:ascii="宋体" w:hAnsi="宋体"/>
          <w:color w:val="000000" w:themeColor="text1"/>
        </w:rPr>
        <w:t>中标（成交）通知书：指发包人通知承包人中标（成交）的函件。中标（成交）通知书随附的澄清、说明、补正事项纪要等，是中标（成交）通知书的组成部分。</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1.1.1.4</w:t>
      </w:r>
      <w:r>
        <w:rPr>
          <w:rFonts w:hint="eastAsia" w:ascii="宋体" w:hAnsi="宋体"/>
          <w:color w:val="000000" w:themeColor="text1"/>
        </w:rPr>
        <w:tab/>
      </w:r>
      <w:r>
        <w:rPr>
          <w:rFonts w:hint="eastAsia" w:ascii="宋体" w:hAnsi="宋体"/>
          <w:color w:val="000000" w:themeColor="text1"/>
        </w:rPr>
        <w:t>报价函：指构成合同文件组成部分的由承包人填写并签署的报价函。</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1.1.1.5</w:t>
      </w:r>
      <w:r>
        <w:rPr>
          <w:rFonts w:hint="eastAsia" w:ascii="宋体" w:hAnsi="宋体"/>
          <w:color w:val="000000" w:themeColor="text1"/>
        </w:rPr>
        <w:tab/>
      </w:r>
      <w:r>
        <w:rPr>
          <w:rFonts w:hint="eastAsia" w:ascii="宋体" w:hAnsi="宋体"/>
          <w:color w:val="000000" w:themeColor="text1"/>
        </w:rPr>
        <w:t>报价函附录：指附在报价函后构成合同文件的报价函附录。</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1.1.1.6</w:t>
      </w:r>
      <w:r>
        <w:rPr>
          <w:rFonts w:hint="eastAsia" w:ascii="宋体" w:hAnsi="宋体"/>
          <w:color w:val="000000" w:themeColor="text1"/>
        </w:rPr>
        <w:tab/>
      </w:r>
      <w:r>
        <w:rPr>
          <w:rFonts w:hint="eastAsia" w:ascii="宋体" w:hAnsi="宋体"/>
          <w:color w:val="000000" w:themeColor="text1"/>
        </w:rPr>
        <w:t>技术标准和要求：指构成合同文件组成部分的名为技术标准和要求的文件，以及合同双方当事人约定对其所作的修改或补充。</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1.1.1.7</w:t>
      </w:r>
      <w:r>
        <w:rPr>
          <w:rFonts w:hint="eastAsia" w:ascii="宋体" w:hAnsi="宋体"/>
          <w:color w:val="000000" w:themeColor="text1"/>
        </w:rPr>
        <w:tab/>
      </w:r>
      <w:r>
        <w:rPr>
          <w:rFonts w:hint="eastAsia" w:ascii="宋体" w:hAnsi="宋体"/>
          <w:color w:val="000000" w:themeColor="text1"/>
        </w:rPr>
        <w:t>图纸：指包含在合同中的工程图纸，以及由发包人按合同约定提供的任何补充和修改的图纸，包括配套的说明。</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1.1.1.8</w:t>
      </w:r>
      <w:r>
        <w:rPr>
          <w:rFonts w:hint="eastAsia" w:ascii="宋体" w:hAnsi="宋体"/>
          <w:color w:val="000000" w:themeColor="text1"/>
        </w:rPr>
        <w:tab/>
      </w:r>
      <w:r>
        <w:rPr>
          <w:rFonts w:hint="eastAsia" w:ascii="宋体" w:hAnsi="宋体"/>
          <w:color w:val="000000" w:themeColor="text1"/>
        </w:rPr>
        <w:t>已标价工程量清单：指构成合同文件组成部分的由承包人按照规定的格式和要求填写并标明价格的工程量清单。</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1.1.1.9</w:t>
      </w:r>
      <w:r>
        <w:rPr>
          <w:rFonts w:hint="eastAsia" w:ascii="宋体" w:hAnsi="宋体"/>
          <w:color w:val="000000" w:themeColor="text1"/>
        </w:rPr>
        <w:tab/>
      </w:r>
      <w:r>
        <w:rPr>
          <w:rFonts w:hint="eastAsia" w:ascii="宋体" w:hAnsi="宋体"/>
          <w:color w:val="000000" w:themeColor="text1"/>
        </w:rPr>
        <w:t>其他合同文件：指经合同双方当事人确认构成合同文件的其他文件。</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w:t>
      </w:r>
      <w:r>
        <w:rPr>
          <w:rFonts w:hint="eastAsia" w:ascii="宋体" w:hAnsi="宋体"/>
          <w:color w:val="000000" w:themeColor="text1"/>
        </w:rPr>
        <w:tab/>
      </w:r>
      <w:r>
        <w:rPr>
          <w:rFonts w:hint="eastAsia" w:ascii="宋体" w:hAnsi="宋体"/>
          <w:color w:val="000000" w:themeColor="text1"/>
        </w:rPr>
        <w:t>合同当事人和人员</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1.1.2.1</w:t>
      </w:r>
      <w:r>
        <w:rPr>
          <w:rFonts w:hint="eastAsia" w:ascii="宋体" w:hAnsi="宋体"/>
          <w:color w:val="000000" w:themeColor="text1"/>
        </w:rPr>
        <w:tab/>
      </w:r>
      <w:r>
        <w:rPr>
          <w:rFonts w:hint="eastAsia" w:ascii="宋体" w:hAnsi="宋体"/>
          <w:color w:val="000000" w:themeColor="text1"/>
        </w:rPr>
        <w:t>合同当事人：指发包人和（或）承包人。</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1.1.2.2</w:t>
      </w:r>
      <w:r>
        <w:rPr>
          <w:rFonts w:hint="eastAsia" w:ascii="宋体" w:hAnsi="宋体"/>
          <w:color w:val="000000" w:themeColor="text1"/>
        </w:rPr>
        <w:tab/>
      </w:r>
      <w:r>
        <w:rPr>
          <w:rFonts w:hint="eastAsia" w:ascii="宋体" w:hAnsi="宋体"/>
          <w:color w:val="000000" w:themeColor="text1"/>
        </w:rPr>
        <w:t xml:space="preserve">发包人：指专用合同条款中指明并与承包人在合同协议书中签字的当事人。 </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1.1.2.3</w:t>
      </w:r>
      <w:r>
        <w:rPr>
          <w:rFonts w:hint="eastAsia" w:ascii="宋体" w:hAnsi="宋体"/>
          <w:color w:val="000000" w:themeColor="text1"/>
        </w:rPr>
        <w:tab/>
      </w:r>
      <w:r>
        <w:rPr>
          <w:rFonts w:hint="eastAsia" w:ascii="宋体" w:hAnsi="宋体"/>
          <w:color w:val="000000" w:themeColor="text1"/>
        </w:rPr>
        <w:t>承包人：指与发包人签订合同协议书的当事人。</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1.1.2.4</w:t>
      </w:r>
      <w:r>
        <w:rPr>
          <w:rFonts w:hint="eastAsia" w:ascii="宋体" w:hAnsi="宋体"/>
          <w:color w:val="000000" w:themeColor="text1"/>
        </w:rPr>
        <w:tab/>
      </w:r>
      <w:r>
        <w:rPr>
          <w:rFonts w:hint="eastAsia" w:ascii="宋体" w:hAnsi="宋体"/>
          <w:color w:val="000000" w:themeColor="text1"/>
        </w:rPr>
        <w:t>承包人项目经理：指承包人派驻施工场地的全权负责人。</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1.1.2.5</w:t>
      </w:r>
      <w:r>
        <w:rPr>
          <w:rFonts w:hint="eastAsia" w:ascii="宋体" w:hAnsi="宋体"/>
          <w:color w:val="000000" w:themeColor="text1"/>
        </w:rPr>
        <w:tab/>
      </w:r>
      <w:r>
        <w:rPr>
          <w:rFonts w:hint="eastAsia" w:ascii="宋体" w:hAnsi="宋体"/>
          <w:color w:val="000000" w:themeColor="text1"/>
        </w:rPr>
        <w:t>监理人：指在专用合同条款中指明的，受发包人委托对合同履行实施管理的法人或其他组织。属于国家强制监理的，监理人应当具有相应的监理资质。</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1.1.2.6</w:t>
      </w:r>
      <w:r>
        <w:rPr>
          <w:rFonts w:hint="eastAsia" w:ascii="宋体" w:hAnsi="宋体"/>
          <w:color w:val="000000" w:themeColor="text1"/>
        </w:rPr>
        <w:tab/>
      </w:r>
      <w:r>
        <w:rPr>
          <w:rFonts w:hint="eastAsia" w:ascii="宋体" w:hAnsi="宋体"/>
          <w:color w:val="000000" w:themeColor="text1"/>
        </w:rPr>
        <w:t>总监理工程师（总监）：指由监理人委派常驻施工场地对合同履行实施管理的全权负责人。</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1.1.3</w:t>
      </w:r>
      <w:r>
        <w:rPr>
          <w:rFonts w:hint="eastAsia" w:ascii="宋体" w:hAnsi="宋体"/>
          <w:color w:val="000000" w:themeColor="text1"/>
        </w:rPr>
        <w:tab/>
      </w:r>
      <w:r>
        <w:rPr>
          <w:rFonts w:hint="eastAsia" w:ascii="宋体" w:hAnsi="宋体"/>
          <w:color w:val="000000" w:themeColor="text1"/>
        </w:rPr>
        <w:t>工程和设备</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1.1.3.1</w:t>
      </w:r>
      <w:r>
        <w:rPr>
          <w:rFonts w:hint="eastAsia" w:ascii="宋体" w:hAnsi="宋体"/>
          <w:color w:val="000000" w:themeColor="text1"/>
        </w:rPr>
        <w:tab/>
      </w:r>
      <w:r>
        <w:rPr>
          <w:rFonts w:hint="eastAsia" w:ascii="宋体" w:hAnsi="宋体"/>
          <w:color w:val="000000" w:themeColor="text1"/>
        </w:rPr>
        <w:t>工程：指永久工程和（或）临时工程。</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1.1.3.2</w:t>
      </w:r>
      <w:r>
        <w:rPr>
          <w:rFonts w:hint="eastAsia" w:ascii="宋体" w:hAnsi="宋体"/>
          <w:color w:val="000000" w:themeColor="text1"/>
        </w:rPr>
        <w:tab/>
      </w:r>
      <w:r>
        <w:rPr>
          <w:rFonts w:hint="eastAsia" w:ascii="宋体" w:hAnsi="宋体"/>
          <w:color w:val="000000" w:themeColor="text1"/>
        </w:rPr>
        <w:t>工程设备：指构成或计划构成永久工程一部分的机电设备、仪器装置、运载工具及其他类似的设备和装置。</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1.1.3.3</w:t>
      </w:r>
      <w:r>
        <w:rPr>
          <w:rFonts w:hint="eastAsia" w:ascii="宋体" w:hAnsi="宋体"/>
          <w:color w:val="000000" w:themeColor="text1"/>
        </w:rPr>
        <w:tab/>
      </w:r>
      <w:r>
        <w:rPr>
          <w:rFonts w:hint="eastAsia" w:ascii="宋体" w:hAnsi="宋体"/>
          <w:color w:val="000000" w:themeColor="text1"/>
        </w:rPr>
        <w:t>施工场地（或称工地、现场）：指用于合同工程施工的场所，以及在合同中指定作为施工场地组成部分的其他场所，包括永久占地和临时占地。</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w:t>
      </w:r>
      <w:r>
        <w:rPr>
          <w:rFonts w:hint="eastAsia" w:ascii="宋体" w:hAnsi="宋体"/>
          <w:color w:val="000000" w:themeColor="text1"/>
        </w:rPr>
        <w:tab/>
      </w:r>
      <w:r>
        <w:rPr>
          <w:rFonts w:hint="eastAsia" w:ascii="宋体" w:hAnsi="宋体"/>
          <w:color w:val="000000" w:themeColor="text1"/>
        </w:rPr>
        <w:t>日期</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1.1.4.1</w:t>
      </w:r>
      <w:r>
        <w:rPr>
          <w:rFonts w:hint="eastAsia" w:ascii="宋体" w:hAnsi="宋体"/>
          <w:color w:val="000000" w:themeColor="text1"/>
        </w:rPr>
        <w:tab/>
      </w:r>
      <w:r>
        <w:rPr>
          <w:rFonts w:hint="eastAsia" w:ascii="宋体" w:hAnsi="宋体"/>
          <w:color w:val="000000" w:themeColor="text1"/>
        </w:rPr>
        <w:t>开工通知：指监理人按第6.2款通知承包人开工的函件。</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1.1.4.2</w:t>
      </w:r>
      <w:r>
        <w:rPr>
          <w:rFonts w:hint="eastAsia" w:ascii="宋体" w:hAnsi="宋体"/>
          <w:color w:val="000000" w:themeColor="text1"/>
        </w:rPr>
        <w:tab/>
      </w:r>
      <w:r>
        <w:rPr>
          <w:rFonts w:hint="eastAsia" w:ascii="宋体" w:hAnsi="宋体"/>
          <w:color w:val="000000" w:themeColor="text1"/>
        </w:rPr>
        <w:t>开工日期：指监理人按第6.2款发出的开工通知中写明的开工日期。</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1.1.4.3</w:t>
      </w:r>
      <w:r>
        <w:rPr>
          <w:rFonts w:hint="eastAsia" w:ascii="宋体" w:hAnsi="宋体"/>
          <w:color w:val="000000" w:themeColor="text1"/>
        </w:rPr>
        <w:tab/>
      </w:r>
      <w:r>
        <w:rPr>
          <w:rFonts w:hint="eastAsia" w:ascii="宋体" w:hAnsi="宋体"/>
          <w:color w:val="000000" w:themeColor="text1"/>
        </w:rPr>
        <w:t>工期：指承包人在报价函中承诺的完成合同工程所需的期限，包括按第6.3款、第6.4款约定所作的变更。</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1.1.4.4</w:t>
      </w:r>
      <w:r>
        <w:rPr>
          <w:rFonts w:hint="eastAsia" w:ascii="宋体" w:hAnsi="宋体"/>
          <w:color w:val="000000" w:themeColor="text1"/>
        </w:rPr>
        <w:tab/>
      </w:r>
      <w:r>
        <w:rPr>
          <w:rFonts w:hint="eastAsia" w:ascii="宋体" w:hAnsi="宋体"/>
          <w:color w:val="000000" w:themeColor="text1"/>
        </w:rPr>
        <w:t>竣工日期：指第1.1.4.3目约定工期届满时的日期。实际竣工日期以工程接收证书中写明的日期为准。</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1.1.4.5</w:t>
      </w:r>
      <w:r>
        <w:rPr>
          <w:rFonts w:hint="eastAsia" w:ascii="宋体" w:hAnsi="宋体"/>
          <w:color w:val="000000" w:themeColor="text1"/>
        </w:rPr>
        <w:tab/>
      </w:r>
      <w:r>
        <w:rPr>
          <w:rFonts w:hint="eastAsia" w:ascii="宋体" w:hAnsi="宋体"/>
          <w:color w:val="000000" w:themeColor="text1"/>
        </w:rPr>
        <w:t>缺陷责任期：指履行第12.1款约定的缺陷责任的期限，具体期限由专用合同条款约定。</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1.1.4.6</w:t>
      </w:r>
      <w:r>
        <w:rPr>
          <w:rFonts w:hint="eastAsia" w:ascii="宋体" w:hAnsi="宋体"/>
          <w:color w:val="000000" w:themeColor="text1"/>
        </w:rPr>
        <w:tab/>
      </w:r>
      <w:r>
        <w:rPr>
          <w:rFonts w:hint="eastAsia" w:ascii="宋体" w:hAnsi="宋体"/>
          <w:color w:val="000000" w:themeColor="text1"/>
        </w:rPr>
        <w:t>天：除特别指明外，指日历天。合同中按天计算时间的，开始当天不计入，从次日开始计算。期限最后一天的截止时间为当天24:00。</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1.1.5</w:t>
      </w:r>
      <w:r>
        <w:rPr>
          <w:rFonts w:hint="eastAsia" w:ascii="宋体" w:hAnsi="宋体"/>
          <w:color w:val="000000" w:themeColor="text1"/>
        </w:rPr>
        <w:tab/>
      </w:r>
      <w:r>
        <w:rPr>
          <w:rFonts w:hint="eastAsia" w:ascii="宋体" w:hAnsi="宋体"/>
          <w:color w:val="000000" w:themeColor="text1"/>
        </w:rPr>
        <w:t>合同价格和费用</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1.1.5.1</w:t>
      </w:r>
      <w:r>
        <w:rPr>
          <w:rFonts w:hint="eastAsia" w:ascii="宋体" w:hAnsi="宋体"/>
          <w:color w:val="000000" w:themeColor="text1"/>
        </w:rPr>
        <w:tab/>
      </w:r>
      <w:r>
        <w:rPr>
          <w:rFonts w:hint="eastAsia" w:ascii="宋体" w:hAnsi="宋体"/>
          <w:color w:val="000000" w:themeColor="text1"/>
        </w:rPr>
        <w:t>签约合同价：指签定合同时合同协议书中写明的，包括了暂列金额的合同总金额。</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1.1.5.2</w:t>
      </w:r>
      <w:r>
        <w:rPr>
          <w:rFonts w:hint="eastAsia" w:ascii="宋体" w:hAnsi="宋体"/>
          <w:color w:val="000000" w:themeColor="text1"/>
        </w:rPr>
        <w:tab/>
      </w:r>
      <w:r>
        <w:rPr>
          <w:rFonts w:hint="eastAsia" w:ascii="宋体" w:hAnsi="宋体"/>
          <w:color w:val="000000" w:themeColor="text1"/>
        </w:rPr>
        <w:t>合同价格：指承包人按合同约定完成了包括缺陷责任期内的全部承包工作后，发包人应付给承包人的金额，包括在履行合同过程中按合同约定进行的变更和调整。</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1.1.5.3</w:t>
      </w:r>
      <w:r>
        <w:rPr>
          <w:rFonts w:hint="eastAsia" w:ascii="宋体" w:hAnsi="宋体"/>
          <w:color w:val="000000" w:themeColor="text1"/>
        </w:rPr>
        <w:tab/>
      </w:r>
      <w:r>
        <w:rPr>
          <w:rFonts w:hint="eastAsia" w:ascii="宋体" w:hAnsi="宋体"/>
          <w:color w:val="000000" w:themeColor="text1"/>
        </w:rPr>
        <w:t>费用：指为履行合同所发生的或将要发生的所有合理开支，包括管理费和应分摊的其他费用，但不包括利润。</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1.1.5.4</w:t>
      </w:r>
      <w:r>
        <w:rPr>
          <w:rFonts w:hint="eastAsia" w:ascii="宋体" w:hAnsi="宋体"/>
          <w:color w:val="000000" w:themeColor="text1"/>
        </w:rPr>
        <w:tab/>
      </w:r>
      <w:r>
        <w:rPr>
          <w:rFonts w:hint="eastAsia" w:ascii="宋体" w:hAnsi="宋体"/>
          <w:color w:val="000000" w:themeColor="text1"/>
        </w:rPr>
        <w:t>暂列金额：指已标价工程量清单中所列的暂列金额，用于在签订协议书时尚未确定或不可预见变更的施工及其所需材料、工程设备、服务等的金额，包括以计日工方式支付的金额。</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1.1.5.5</w:t>
      </w:r>
      <w:r>
        <w:rPr>
          <w:rFonts w:hint="eastAsia" w:ascii="宋体" w:hAnsi="宋体"/>
          <w:color w:val="000000" w:themeColor="text1"/>
        </w:rPr>
        <w:tab/>
      </w:r>
      <w:r>
        <w:rPr>
          <w:rFonts w:hint="eastAsia" w:ascii="宋体" w:hAnsi="宋体"/>
          <w:color w:val="000000" w:themeColor="text1"/>
        </w:rPr>
        <w:t>计日工：指对零星工作采取的一种计价方式，按合同中的计日工子目及其单价计价付款。</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1.1.5.6</w:t>
      </w:r>
      <w:r>
        <w:rPr>
          <w:rFonts w:hint="eastAsia" w:ascii="宋体" w:hAnsi="宋体"/>
          <w:color w:val="000000" w:themeColor="text1"/>
        </w:rPr>
        <w:tab/>
      </w:r>
      <w:r>
        <w:rPr>
          <w:rFonts w:hint="eastAsia" w:ascii="宋体" w:hAnsi="宋体"/>
          <w:color w:val="000000" w:themeColor="text1"/>
        </w:rPr>
        <w:t>质量保证金（或称保留金）：指按第10.4款约定用于保证在缺陷责任期内履行缺陷修复义务的金额。</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1.1.6</w:t>
      </w:r>
      <w:r>
        <w:rPr>
          <w:rFonts w:hint="eastAsia" w:ascii="宋体" w:hAnsi="宋体"/>
          <w:color w:val="000000" w:themeColor="text1"/>
        </w:rPr>
        <w:tab/>
      </w:r>
      <w:r>
        <w:rPr>
          <w:rFonts w:hint="eastAsia" w:ascii="宋体" w:hAnsi="宋体"/>
          <w:color w:val="000000" w:themeColor="text1"/>
        </w:rPr>
        <w:t>其他</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1.1.6.1</w:t>
      </w:r>
      <w:r>
        <w:rPr>
          <w:rFonts w:hint="eastAsia" w:ascii="宋体" w:hAnsi="宋体"/>
          <w:color w:val="000000" w:themeColor="text1"/>
        </w:rPr>
        <w:tab/>
      </w:r>
      <w:r>
        <w:rPr>
          <w:rFonts w:hint="eastAsia" w:ascii="宋体" w:hAnsi="宋体"/>
          <w:color w:val="000000" w:themeColor="text1"/>
        </w:rPr>
        <w:t>书面形式：指合同文件、信函、电报、传真、电子数据交换和电子邮件等可以有形地表现所载内容的形式。</w:t>
      </w:r>
    </w:p>
    <w:p>
      <w:pPr>
        <w:snapToGrid w:val="0"/>
        <w:spacing w:before="0" w:beforeAutospacing="0" w:after="0" w:afterAutospacing="0"/>
        <w:ind w:left="991" w:hanging="991" w:hangingChars="413"/>
        <w:rPr>
          <w:rFonts w:ascii="黑体" w:eastAsia="黑体"/>
          <w:color w:val="000000" w:themeColor="text1"/>
        </w:rPr>
      </w:pPr>
      <w:bookmarkStart w:id="72" w:name="_Toc246996256"/>
      <w:bookmarkStart w:id="73" w:name="_Toc247085771"/>
      <w:bookmarkStart w:id="74" w:name="_Toc296602501"/>
      <w:bookmarkStart w:id="75" w:name="_Toc246996999"/>
      <w:r>
        <w:rPr>
          <w:rFonts w:hint="eastAsia" w:ascii="黑体" w:eastAsia="黑体"/>
          <w:color w:val="000000" w:themeColor="text1"/>
        </w:rPr>
        <w:t>1.2</w:t>
      </w:r>
      <w:r>
        <w:rPr>
          <w:rFonts w:hint="eastAsia" w:ascii="黑体" w:eastAsia="黑体"/>
          <w:color w:val="000000" w:themeColor="text1"/>
        </w:rPr>
        <w:tab/>
      </w:r>
      <w:r>
        <w:rPr>
          <w:rFonts w:hint="eastAsia" w:ascii="黑体" w:eastAsia="黑体"/>
          <w:color w:val="000000" w:themeColor="text1"/>
        </w:rPr>
        <w:t>语言文字</w:t>
      </w:r>
      <w:bookmarkEnd w:id="72"/>
      <w:bookmarkEnd w:id="73"/>
      <w:bookmarkEnd w:id="74"/>
      <w:bookmarkEnd w:id="75"/>
    </w:p>
    <w:p>
      <w:pPr>
        <w:snapToGrid w:val="0"/>
        <w:spacing w:before="0" w:beforeAutospacing="0" w:after="0" w:afterAutospacing="0"/>
        <w:ind w:left="1133" w:leftChars="472"/>
        <w:rPr>
          <w:rFonts w:ascii="宋体" w:hAnsi="宋体"/>
          <w:color w:val="000000" w:themeColor="text1"/>
        </w:rPr>
      </w:pPr>
      <w:bookmarkStart w:id="76" w:name="_Toc246997000"/>
      <w:bookmarkStart w:id="77" w:name="_Toc247085772"/>
      <w:bookmarkStart w:id="78" w:name="_Toc246996257"/>
      <w:r>
        <w:rPr>
          <w:rFonts w:hint="eastAsia" w:ascii="宋体" w:hAnsi="宋体"/>
          <w:color w:val="000000" w:themeColor="text1"/>
        </w:rPr>
        <w:t>合同使用的语言文字为中文。专用术语使用外文的，应附有中文注释。</w:t>
      </w:r>
    </w:p>
    <w:p>
      <w:pPr>
        <w:snapToGrid w:val="0"/>
        <w:spacing w:before="0" w:beforeAutospacing="0" w:after="0" w:afterAutospacing="0"/>
        <w:ind w:left="991" w:hanging="991" w:hangingChars="413"/>
        <w:rPr>
          <w:rFonts w:ascii="黑体" w:eastAsia="黑体"/>
          <w:color w:val="000000" w:themeColor="text1"/>
        </w:rPr>
      </w:pPr>
      <w:bookmarkStart w:id="79" w:name="_Toc296602502"/>
      <w:r>
        <w:rPr>
          <w:rFonts w:hint="eastAsia" w:ascii="黑体" w:eastAsia="黑体"/>
          <w:color w:val="000000" w:themeColor="text1"/>
        </w:rPr>
        <w:t>1.3</w:t>
      </w:r>
      <w:r>
        <w:rPr>
          <w:rFonts w:hint="eastAsia" w:ascii="黑体" w:eastAsia="黑体"/>
          <w:color w:val="000000" w:themeColor="text1"/>
        </w:rPr>
        <w:tab/>
      </w:r>
      <w:r>
        <w:rPr>
          <w:rFonts w:hint="eastAsia" w:ascii="黑体" w:eastAsia="黑体"/>
          <w:color w:val="000000" w:themeColor="text1"/>
        </w:rPr>
        <w:t>法律</w:t>
      </w:r>
      <w:bookmarkEnd w:id="76"/>
      <w:bookmarkEnd w:id="77"/>
      <w:bookmarkEnd w:id="78"/>
      <w:bookmarkEnd w:id="79"/>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适用于合同的法律包括中华人民共和国法律、行政法规、部门规章，以及工程所在地的地方法规、自治条例、单行条例和地方政府规章。</w:t>
      </w:r>
    </w:p>
    <w:p>
      <w:pPr>
        <w:snapToGrid w:val="0"/>
        <w:spacing w:before="0" w:beforeAutospacing="0" w:after="0" w:afterAutospacing="0"/>
        <w:ind w:left="991" w:hanging="991" w:hangingChars="413"/>
        <w:rPr>
          <w:rFonts w:ascii="黑体" w:eastAsia="黑体"/>
          <w:color w:val="000000" w:themeColor="text1"/>
        </w:rPr>
      </w:pPr>
      <w:bookmarkStart w:id="80" w:name="_Toc247085773"/>
      <w:bookmarkStart w:id="81" w:name="_Toc246997001"/>
      <w:bookmarkStart w:id="82" w:name="_Toc246996258"/>
      <w:bookmarkStart w:id="83" w:name="_Toc296602503"/>
      <w:r>
        <w:rPr>
          <w:rFonts w:hint="eastAsia" w:ascii="黑体" w:eastAsia="黑体"/>
          <w:color w:val="000000" w:themeColor="text1"/>
        </w:rPr>
        <w:t>1.4</w:t>
      </w:r>
      <w:r>
        <w:rPr>
          <w:rFonts w:hint="eastAsia" w:ascii="黑体" w:eastAsia="黑体"/>
          <w:color w:val="000000" w:themeColor="text1"/>
        </w:rPr>
        <w:tab/>
      </w:r>
      <w:r>
        <w:rPr>
          <w:rFonts w:hint="eastAsia" w:ascii="黑体" w:eastAsia="黑体"/>
          <w:color w:val="000000" w:themeColor="text1"/>
        </w:rPr>
        <w:t>合同文件的优先顺序</w:t>
      </w:r>
      <w:bookmarkEnd w:id="80"/>
      <w:bookmarkEnd w:id="81"/>
      <w:bookmarkEnd w:id="82"/>
      <w:bookmarkEnd w:id="83"/>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组成合同的各项文件应互相解释，互为说明。除专用合同条款另有约定外，解释合同文件的优先顺序如下：</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（1）合同协议书；</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（2）中标（成交）通知书；</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（3）报价函及报价函附录；</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（4）专用合同条款；</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（5）通用合同条款；</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（6）技术标准和要求；</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（7）已标价工程量清单；</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（8）其他合同文件。</w:t>
      </w:r>
    </w:p>
    <w:p>
      <w:pPr>
        <w:snapToGrid w:val="0"/>
        <w:spacing w:before="0" w:beforeAutospacing="0" w:after="0" w:afterAutospacing="0"/>
        <w:ind w:left="991" w:hanging="991" w:hangingChars="413"/>
        <w:rPr>
          <w:rFonts w:ascii="黑体" w:eastAsia="黑体"/>
          <w:color w:val="000000" w:themeColor="text1"/>
        </w:rPr>
      </w:pPr>
      <w:bookmarkStart w:id="84" w:name="_Toc246997002"/>
      <w:bookmarkStart w:id="85" w:name="_Toc296602504"/>
      <w:bookmarkStart w:id="86" w:name="_Toc247085774"/>
      <w:bookmarkStart w:id="87" w:name="_Toc246996259"/>
      <w:r>
        <w:rPr>
          <w:rFonts w:hint="eastAsia" w:ascii="黑体" w:eastAsia="黑体"/>
          <w:color w:val="000000" w:themeColor="text1"/>
        </w:rPr>
        <w:t>1.5</w:t>
      </w:r>
      <w:r>
        <w:rPr>
          <w:rFonts w:hint="eastAsia" w:ascii="黑体" w:eastAsia="黑体"/>
          <w:color w:val="000000" w:themeColor="text1"/>
        </w:rPr>
        <w:tab/>
      </w:r>
      <w:r>
        <w:rPr>
          <w:rFonts w:hint="eastAsia" w:ascii="黑体" w:eastAsia="黑体"/>
          <w:color w:val="000000" w:themeColor="text1"/>
        </w:rPr>
        <w:t>合同协议书</w:t>
      </w:r>
      <w:bookmarkEnd w:id="84"/>
      <w:bookmarkEnd w:id="85"/>
      <w:bookmarkEnd w:id="86"/>
      <w:bookmarkEnd w:id="87"/>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承包人按中标（成交）通知书规定的时间与发包人签订合同协议书。除法律另有规定或合同另有约定外，发包人和承包人的法定代表人或其委托代理人在合同协议书上签字并盖单位章后，合同生效。</w:t>
      </w:r>
    </w:p>
    <w:p>
      <w:pPr>
        <w:snapToGrid w:val="0"/>
        <w:spacing w:beforeAutospacing="0" w:afterAutospacing="0"/>
        <w:ind w:left="991" w:hanging="991" w:hangingChars="413"/>
        <w:rPr>
          <w:rFonts w:ascii="黑体" w:eastAsia="黑体"/>
          <w:color w:val="000000" w:themeColor="text1"/>
        </w:rPr>
      </w:pPr>
      <w:bookmarkStart w:id="88" w:name="_Toc247085775"/>
      <w:bookmarkStart w:id="89" w:name="_Toc296602505"/>
      <w:bookmarkStart w:id="90" w:name="_Toc246997003"/>
      <w:bookmarkStart w:id="91" w:name="_Toc246996260"/>
      <w:r>
        <w:rPr>
          <w:rFonts w:hint="eastAsia" w:ascii="黑体" w:eastAsia="黑体"/>
          <w:color w:val="000000" w:themeColor="text1"/>
        </w:rPr>
        <w:t>1.6</w:t>
      </w:r>
      <w:r>
        <w:rPr>
          <w:rFonts w:hint="eastAsia" w:ascii="黑体" w:eastAsia="黑体"/>
          <w:color w:val="000000" w:themeColor="text1"/>
        </w:rPr>
        <w:tab/>
      </w:r>
      <w:r>
        <w:rPr>
          <w:rFonts w:hint="eastAsia" w:ascii="黑体" w:eastAsia="黑体"/>
          <w:color w:val="000000" w:themeColor="text1"/>
        </w:rPr>
        <w:t>图纸和承包人文件</w:t>
      </w:r>
      <w:bookmarkEnd w:id="88"/>
      <w:bookmarkEnd w:id="89"/>
      <w:bookmarkEnd w:id="90"/>
      <w:bookmarkEnd w:id="91"/>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1.6.1</w:t>
      </w:r>
      <w:r>
        <w:rPr>
          <w:rFonts w:hint="eastAsia" w:ascii="宋体" w:hAnsi="宋体"/>
          <w:color w:val="000000" w:themeColor="text1"/>
        </w:rPr>
        <w:tab/>
      </w:r>
      <w:r>
        <w:rPr>
          <w:rFonts w:hint="eastAsia" w:ascii="宋体" w:hAnsi="宋体"/>
          <w:color w:val="000000" w:themeColor="text1"/>
        </w:rPr>
        <w:t>发包人提供的图纸</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除专用合同条款另有约定外，图纸应在合理的期限内按照合同约定的数量提供给承包人。</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1.6.2</w:t>
      </w:r>
      <w:r>
        <w:rPr>
          <w:rFonts w:hint="eastAsia" w:ascii="宋体" w:hAnsi="宋体"/>
          <w:color w:val="000000" w:themeColor="text1"/>
        </w:rPr>
        <w:tab/>
      </w:r>
      <w:r>
        <w:rPr>
          <w:rFonts w:hint="eastAsia" w:ascii="宋体" w:hAnsi="宋体"/>
          <w:color w:val="000000" w:themeColor="text1"/>
        </w:rPr>
        <w:t>承包人提供的文件</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按专用合同条款约定由承包人提供的文件，包括部分工程的大样图、加工图等，承包人应按约定的数量和期限报送监理人。监理人应在专用合同条款约定的期限内批复。</w:t>
      </w:r>
    </w:p>
    <w:p>
      <w:pPr>
        <w:snapToGrid w:val="0"/>
        <w:spacing w:beforeAutospacing="0" w:afterAutospacing="0"/>
        <w:ind w:left="991" w:hanging="991" w:hangingChars="413"/>
        <w:rPr>
          <w:rFonts w:ascii="黑体" w:eastAsia="黑体"/>
          <w:color w:val="000000" w:themeColor="text1"/>
        </w:rPr>
      </w:pPr>
      <w:bookmarkStart w:id="92" w:name="_Toc296602506"/>
      <w:bookmarkStart w:id="93" w:name="_Toc246997004"/>
      <w:bookmarkStart w:id="94" w:name="_Toc247085776"/>
      <w:bookmarkStart w:id="95" w:name="_Toc246996261"/>
      <w:r>
        <w:rPr>
          <w:rFonts w:hint="eastAsia" w:ascii="黑体" w:eastAsia="黑体"/>
          <w:color w:val="000000" w:themeColor="text1"/>
        </w:rPr>
        <w:t>1.7</w:t>
      </w:r>
      <w:r>
        <w:rPr>
          <w:rFonts w:hint="eastAsia" w:ascii="黑体" w:eastAsia="黑体"/>
          <w:color w:val="000000" w:themeColor="text1"/>
        </w:rPr>
        <w:tab/>
      </w:r>
      <w:r>
        <w:rPr>
          <w:rFonts w:hint="eastAsia" w:ascii="黑体" w:eastAsia="黑体"/>
          <w:color w:val="000000" w:themeColor="text1"/>
        </w:rPr>
        <w:t>联络</w:t>
      </w:r>
      <w:bookmarkEnd w:id="92"/>
      <w:bookmarkEnd w:id="93"/>
      <w:bookmarkEnd w:id="94"/>
      <w:bookmarkEnd w:id="95"/>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与合同有关的通知、批准、证明、证书、指示、要求、请求、同意、意见、确定和决定等重要文件，均应采用书面形式。</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snapToGrid w:val="0"/>
        <w:spacing w:beforeAutospacing="0" w:afterAutospacing="0"/>
        <w:ind w:left="991" w:hanging="991" w:hangingChars="413"/>
        <w:outlineLvl w:val="2"/>
        <w:rPr>
          <w:rFonts w:ascii="黑体" w:eastAsia="黑体"/>
          <w:color w:val="000000" w:themeColor="text1"/>
        </w:rPr>
      </w:pPr>
      <w:bookmarkStart w:id="96" w:name="_Toc246996263"/>
      <w:bookmarkStart w:id="97" w:name="_Toc184635099"/>
      <w:bookmarkStart w:id="98" w:name="_Toc246997006"/>
      <w:bookmarkStart w:id="99" w:name="_Toc247085778"/>
      <w:bookmarkStart w:id="100" w:name="_Toc10856"/>
      <w:bookmarkStart w:id="101" w:name="_Toc32183"/>
      <w:bookmarkStart w:id="102" w:name="_Toc296602507"/>
      <w:r>
        <w:rPr>
          <w:rFonts w:hint="eastAsia" w:ascii="黑体" w:eastAsia="黑体"/>
          <w:color w:val="000000" w:themeColor="text1"/>
        </w:rPr>
        <w:t>2.</w:t>
      </w:r>
      <w:r>
        <w:rPr>
          <w:rFonts w:hint="eastAsia" w:ascii="黑体" w:eastAsia="黑体"/>
          <w:color w:val="000000" w:themeColor="text1"/>
        </w:rPr>
        <w:tab/>
      </w:r>
      <w:r>
        <w:rPr>
          <w:rFonts w:hint="eastAsia" w:ascii="黑体" w:eastAsia="黑体"/>
          <w:color w:val="000000" w:themeColor="text1"/>
        </w:rPr>
        <w:t>发包人义务</w:t>
      </w:r>
      <w:bookmarkEnd w:id="96"/>
      <w:bookmarkEnd w:id="97"/>
      <w:bookmarkEnd w:id="98"/>
      <w:bookmarkEnd w:id="99"/>
      <w:bookmarkEnd w:id="100"/>
      <w:bookmarkEnd w:id="101"/>
      <w:bookmarkEnd w:id="102"/>
    </w:p>
    <w:p>
      <w:pPr>
        <w:snapToGrid w:val="0"/>
        <w:spacing w:beforeAutospacing="0" w:afterAutospacing="0"/>
        <w:ind w:left="991" w:hanging="991" w:hangingChars="413"/>
        <w:rPr>
          <w:rFonts w:ascii="黑体" w:eastAsia="黑体"/>
          <w:color w:val="000000" w:themeColor="text1"/>
        </w:rPr>
      </w:pPr>
      <w:bookmarkStart w:id="103" w:name="_Toc246997007"/>
      <w:bookmarkStart w:id="104" w:name="_Toc247085779"/>
      <w:bookmarkStart w:id="105" w:name="_Toc296602508"/>
      <w:bookmarkStart w:id="106" w:name="_Toc246996264"/>
      <w:r>
        <w:rPr>
          <w:rFonts w:hint="eastAsia" w:ascii="黑体" w:eastAsia="黑体"/>
          <w:color w:val="000000" w:themeColor="text1"/>
        </w:rPr>
        <w:t>2.1</w:t>
      </w:r>
      <w:r>
        <w:rPr>
          <w:rFonts w:hint="eastAsia" w:ascii="黑体" w:eastAsia="黑体"/>
          <w:color w:val="000000" w:themeColor="text1"/>
        </w:rPr>
        <w:tab/>
      </w:r>
      <w:r>
        <w:rPr>
          <w:rFonts w:hint="eastAsia" w:ascii="黑体" w:eastAsia="黑体"/>
          <w:color w:val="000000" w:themeColor="text1"/>
        </w:rPr>
        <w:t>遵守法律</w:t>
      </w:r>
      <w:bookmarkEnd w:id="103"/>
      <w:bookmarkEnd w:id="104"/>
      <w:bookmarkEnd w:id="105"/>
      <w:bookmarkEnd w:id="106"/>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发包人在履行合同过程中应遵守法律，并保证承包人免于承担因发包人违反法律而引起的任何责任。</w:t>
      </w:r>
    </w:p>
    <w:p>
      <w:pPr>
        <w:snapToGrid w:val="0"/>
        <w:spacing w:beforeAutospacing="0" w:afterAutospacing="0"/>
        <w:ind w:left="991" w:hanging="991" w:hangingChars="413"/>
        <w:rPr>
          <w:rFonts w:ascii="黑体" w:eastAsia="黑体"/>
          <w:color w:val="000000" w:themeColor="text1"/>
        </w:rPr>
      </w:pPr>
      <w:bookmarkStart w:id="107" w:name="_Toc246997008"/>
      <w:bookmarkStart w:id="108" w:name="_Toc296602509"/>
      <w:bookmarkStart w:id="109" w:name="_Toc246996265"/>
      <w:bookmarkStart w:id="110" w:name="_Toc247085780"/>
      <w:r>
        <w:rPr>
          <w:rFonts w:hint="eastAsia" w:ascii="黑体" w:eastAsia="黑体"/>
          <w:color w:val="000000" w:themeColor="text1"/>
        </w:rPr>
        <w:t>2.2</w:t>
      </w:r>
      <w:r>
        <w:rPr>
          <w:rFonts w:hint="eastAsia" w:ascii="黑体" w:eastAsia="黑体"/>
          <w:color w:val="000000" w:themeColor="text1"/>
        </w:rPr>
        <w:tab/>
      </w:r>
      <w:r>
        <w:rPr>
          <w:rFonts w:hint="eastAsia" w:ascii="黑体" w:eastAsia="黑体"/>
          <w:color w:val="000000" w:themeColor="text1"/>
        </w:rPr>
        <w:t>发出开工通知</w:t>
      </w:r>
      <w:bookmarkEnd w:id="107"/>
      <w:bookmarkEnd w:id="108"/>
      <w:bookmarkEnd w:id="109"/>
      <w:bookmarkEnd w:id="110"/>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发包人应委托监理人按第6.2款的约定向承包人发出开工通知。</w:t>
      </w:r>
    </w:p>
    <w:p>
      <w:pPr>
        <w:snapToGrid w:val="0"/>
        <w:spacing w:beforeAutospacing="0" w:afterAutospacing="0"/>
        <w:ind w:left="991" w:hanging="991" w:hangingChars="413"/>
        <w:rPr>
          <w:rFonts w:ascii="黑体" w:eastAsia="黑体"/>
          <w:color w:val="000000" w:themeColor="text1"/>
        </w:rPr>
      </w:pPr>
      <w:bookmarkStart w:id="111" w:name="_Toc246996266"/>
      <w:bookmarkStart w:id="112" w:name="_Toc296602510"/>
      <w:bookmarkStart w:id="113" w:name="_Toc246997009"/>
      <w:bookmarkStart w:id="114" w:name="_Toc247085781"/>
      <w:r>
        <w:rPr>
          <w:rFonts w:hint="eastAsia" w:ascii="黑体" w:eastAsia="黑体"/>
          <w:color w:val="000000" w:themeColor="text1"/>
        </w:rPr>
        <w:t>2.3</w:t>
      </w:r>
      <w:r>
        <w:rPr>
          <w:rFonts w:hint="eastAsia" w:ascii="黑体" w:eastAsia="黑体"/>
          <w:color w:val="000000" w:themeColor="text1"/>
        </w:rPr>
        <w:tab/>
      </w:r>
      <w:r>
        <w:rPr>
          <w:rFonts w:hint="eastAsia" w:ascii="黑体" w:eastAsia="黑体"/>
          <w:color w:val="000000" w:themeColor="text1"/>
        </w:rPr>
        <w:t>提供施工场地</w:t>
      </w:r>
      <w:bookmarkEnd w:id="111"/>
      <w:bookmarkEnd w:id="112"/>
      <w:bookmarkEnd w:id="113"/>
      <w:bookmarkEnd w:id="114"/>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发包人应按专用合同条款约定向承包人提供施工场地，以及施工场地内地下管线和地下设施等有关资料，并保证资料的真实、准确、完整。</w:t>
      </w:r>
    </w:p>
    <w:p>
      <w:pPr>
        <w:snapToGrid w:val="0"/>
        <w:spacing w:beforeAutospacing="0" w:afterAutospacing="0"/>
        <w:ind w:left="991" w:hanging="991" w:hangingChars="413"/>
        <w:rPr>
          <w:rFonts w:ascii="黑体" w:eastAsia="黑体"/>
          <w:color w:val="000000" w:themeColor="text1"/>
        </w:rPr>
      </w:pPr>
      <w:bookmarkStart w:id="115" w:name="_Toc247085782"/>
      <w:bookmarkStart w:id="116" w:name="_Toc296602511"/>
      <w:bookmarkStart w:id="117" w:name="_Toc246997010"/>
      <w:bookmarkStart w:id="118" w:name="_Toc246996267"/>
      <w:r>
        <w:rPr>
          <w:rFonts w:hint="eastAsia" w:ascii="黑体" w:eastAsia="黑体"/>
          <w:color w:val="000000" w:themeColor="text1"/>
        </w:rPr>
        <w:t>2.4</w:t>
      </w:r>
      <w:r>
        <w:rPr>
          <w:rFonts w:hint="eastAsia" w:ascii="黑体" w:eastAsia="黑体"/>
          <w:color w:val="000000" w:themeColor="text1"/>
        </w:rPr>
        <w:tab/>
      </w:r>
      <w:r>
        <w:rPr>
          <w:rFonts w:hint="eastAsia" w:ascii="黑体" w:eastAsia="黑体"/>
          <w:color w:val="000000" w:themeColor="text1"/>
        </w:rPr>
        <w:t>协助承包人办理证件和批件</w:t>
      </w:r>
      <w:bookmarkEnd w:id="115"/>
      <w:bookmarkEnd w:id="116"/>
      <w:bookmarkEnd w:id="117"/>
      <w:bookmarkEnd w:id="118"/>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发包人应协助承包人办理法律规定的有关施工证件和批件。</w:t>
      </w:r>
    </w:p>
    <w:p>
      <w:pPr>
        <w:snapToGrid w:val="0"/>
        <w:spacing w:beforeAutospacing="0" w:afterAutospacing="0"/>
        <w:ind w:left="991" w:hanging="991" w:hangingChars="413"/>
        <w:rPr>
          <w:rFonts w:ascii="黑体" w:eastAsia="黑体"/>
          <w:color w:val="000000" w:themeColor="text1"/>
        </w:rPr>
      </w:pPr>
      <w:bookmarkStart w:id="119" w:name="_Toc246997011"/>
      <w:bookmarkStart w:id="120" w:name="_Toc246996268"/>
      <w:bookmarkStart w:id="121" w:name="_Toc296602512"/>
      <w:bookmarkStart w:id="122" w:name="_Toc247085783"/>
      <w:r>
        <w:rPr>
          <w:rFonts w:hint="eastAsia" w:ascii="黑体" w:eastAsia="黑体"/>
          <w:color w:val="000000" w:themeColor="text1"/>
        </w:rPr>
        <w:t>2.5</w:t>
      </w:r>
      <w:r>
        <w:rPr>
          <w:rFonts w:hint="eastAsia" w:ascii="黑体" w:eastAsia="黑体"/>
          <w:color w:val="000000" w:themeColor="text1"/>
        </w:rPr>
        <w:tab/>
      </w:r>
      <w:r>
        <w:rPr>
          <w:rFonts w:hint="eastAsia" w:ascii="黑体" w:eastAsia="黑体"/>
          <w:color w:val="000000" w:themeColor="text1"/>
        </w:rPr>
        <w:t>组织设计交底</w:t>
      </w:r>
      <w:bookmarkEnd w:id="119"/>
      <w:bookmarkEnd w:id="120"/>
      <w:bookmarkEnd w:id="121"/>
      <w:bookmarkEnd w:id="122"/>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发包人应根据合同进度计划，组织设计单位向承包人进行设计交底。</w:t>
      </w:r>
    </w:p>
    <w:p>
      <w:pPr>
        <w:snapToGrid w:val="0"/>
        <w:spacing w:beforeAutospacing="0" w:afterAutospacing="0"/>
        <w:ind w:left="991" w:hanging="991" w:hangingChars="413"/>
        <w:rPr>
          <w:rFonts w:ascii="黑体" w:eastAsia="黑体"/>
          <w:color w:val="000000" w:themeColor="text1"/>
        </w:rPr>
      </w:pPr>
      <w:bookmarkStart w:id="123" w:name="_Toc246997012"/>
      <w:bookmarkStart w:id="124" w:name="_Toc247085784"/>
      <w:bookmarkStart w:id="125" w:name="_Toc296602513"/>
      <w:bookmarkStart w:id="126" w:name="_Toc246996269"/>
      <w:r>
        <w:rPr>
          <w:rFonts w:hint="eastAsia" w:ascii="黑体" w:eastAsia="黑体"/>
          <w:color w:val="000000" w:themeColor="text1"/>
        </w:rPr>
        <w:t>2.6</w:t>
      </w:r>
      <w:r>
        <w:rPr>
          <w:rFonts w:hint="eastAsia" w:ascii="黑体" w:eastAsia="黑体"/>
          <w:color w:val="000000" w:themeColor="text1"/>
        </w:rPr>
        <w:tab/>
      </w:r>
      <w:r>
        <w:rPr>
          <w:rFonts w:hint="eastAsia" w:ascii="黑体" w:eastAsia="黑体"/>
          <w:color w:val="000000" w:themeColor="text1"/>
        </w:rPr>
        <w:t>支付合同价款</w:t>
      </w:r>
      <w:bookmarkEnd w:id="123"/>
      <w:bookmarkEnd w:id="124"/>
      <w:bookmarkEnd w:id="125"/>
      <w:bookmarkEnd w:id="126"/>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发包人应按合同约定向承包人及时支付合同价款。</w:t>
      </w:r>
    </w:p>
    <w:p>
      <w:pPr>
        <w:snapToGrid w:val="0"/>
        <w:spacing w:beforeAutospacing="0" w:afterAutospacing="0"/>
        <w:ind w:left="991" w:hanging="991" w:hangingChars="413"/>
        <w:rPr>
          <w:rFonts w:ascii="黑体" w:eastAsia="黑体"/>
          <w:color w:val="000000" w:themeColor="text1"/>
        </w:rPr>
      </w:pPr>
      <w:bookmarkStart w:id="127" w:name="_Toc247085785"/>
      <w:bookmarkStart w:id="128" w:name="_Toc296602514"/>
      <w:bookmarkStart w:id="129" w:name="_Toc246996270"/>
      <w:bookmarkStart w:id="130" w:name="_Toc246997013"/>
      <w:r>
        <w:rPr>
          <w:rFonts w:hint="eastAsia" w:ascii="黑体" w:eastAsia="黑体"/>
          <w:color w:val="000000" w:themeColor="text1"/>
        </w:rPr>
        <w:t>2.7</w:t>
      </w:r>
      <w:r>
        <w:rPr>
          <w:rFonts w:hint="eastAsia" w:ascii="黑体" w:eastAsia="黑体"/>
          <w:color w:val="000000" w:themeColor="text1"/>
        </w:rPr>
        <w:tab/>
      </w:r>
      <w:r>
        <w:rPr>
          <w:rFonts w:hint="eastAsia" w:ascii="黑体" w:eastAsia="黑体"/>
          <w:color w:val="000000" w:themeColor="text1"/>
        </w:rPr>
        <w:t>组织竣工验收</w:t>
      </w:r>
      <w:bookmarkEnd w:id="127"/>
      <w:bookmarkEnd w:id="128"/>
      <w:bookmarkEnd w:id="129"/>
      <w:bookmarkEnd w:id="130"/>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发包人应按合同约定及时组织竣工验收。</w:t>
      </w:r>
    </w:p>
    <w:p>
      <w:pPr>
        <w:snapToGrid w:val="0"/>
        <w:spacing w:beforeAutospacing="0" w:afterAutospacing="0"/>
        <w:ind w:left="991" w:hanging="991" w:hangingChars="413"/>
        <w:rPr>
          <w:rFonts w:ascii="黑体" w:eastAsia="黑体"/>
          <w:color w:val="000000" w:themeColor="text1"/>
        </w:rPr>
      </w:pPr>
      <w:bookmarkStart w:id="131" w:name="_Toc246997014"/>
      <w:bookmarkStart w:id="132" w:name="_Toc296602515"/>
      <w:bookmarkStart w:id="133" w:name="_Toc247085786"/>
      <w:bookmarkStart w:id="134" w:name="_Toc246996271"/>
      <w:r>
        <w:rPr>
          <w:rFonts w:hint="eastAsia" w:ascii="黑体" w:eastAsia="黑体"/>
          <w:color w:val="000000" w:themeColor="text1"/>
        </w:rPr>
        <w:t>2.8</w:t>
      </w:r>
      <w:r>
        <w:rPr>
          <w:rFonts w:hint="eastAsia" w:ascii="黑体" w:eastAsia="黑体"/>
          <w:color w:val="000000" w:themeColor="text1"/>
        </w:rPr>
        <w:tab/>
      </w:r>
      <w:r>
        <w:rPr>
          <w:rFonts w:hint="eastAsia" w:ascii="黑体" w:eastAsia="黑体"/>
          <w:color w:val="000000" w:themeColor="text1"/>
        </w:rPr>
        <w:t>其他义务</w:t>
      </w:r>
      <w:bookmarkEnd w:id="131"/>
      <w:bookmarkEnd w:id="132"/>
      <w:bookmarkEnd w:id="133"/>
      <w:bookmarkEnd w:id="134"/>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发包人应履行合同约定的其他义务。</w:t>
      </w:r>
    </w:p>
    <w:p>
      <w:pPr>
        <w:snapToGrid w:val="0"/>
        <w:spacing w:beforeAutospacing="0" w:afterAutospacing="0"/>
        <w:ind w:left="991" w:hanging="991" w:hangingChars="413"/>
        <w:outlineLvl w:val="2"/>
        <w:rPr>
          <w:rFonts w:ascii="黑体" w:eastAsia="黑体"/>
          <w:color w:val="000000" w:themeColor="text1"/>
        </w:rPr>
      </w:pPr>
      <w:bookmarkStart w:id="135" w:name="_Toc246997015"/>
      <w:bookmarkStart w:id="136" w:name="_Toc184635100"/>
      <w:bookmarkStart w:id="137" w:name="_Toc247085787"/>
      <w:bookmarkStart w:id="138" w:name="_Toc296602516"/>
      <w:bookmarkStart w:id="139" w:name="_Toc12350"/>
      <w:bookmarkStart w:id="140" w:name="_Toc12390"/>
      <w:bookmarkStart w:id="141" w:name="_Toc246996272"/>
      <w:r>
        <w:rPr>
          <w:rFonts w:hint="eastAsia" w:ascii="黑体" w:eastAsia="黑体"/>
          <w:color w:val="000000" w:themeColor="text1"/>
        </w:rPr>
        <w:t>3.</w:t>
      </w:r>
      <w:r>
        <w:rPr>
          <w:rFonts w:hint="eastAsia" w:ascii="黑体" w:eastAsia="黑体"/>
          <w:color w:val="000000" w:themeColor="text1"/>
        </w:rPr>
        <w:tab/>
      </w:r>
      <w:r>
        <w:rPr>
          <w:rFonts w:hint="eastAsia" w:ascii="黑体" w:eastAsia="黑体"/>
          <w:color w:val="000000" w:themeColor="text1"/>
        </w:rPr>
        <w:t>监理人</w:t>
      </w:r>
      <w:bookmarkEnd w:id="135"/>
      <w:bookmarkEnd w:id="136"/>
      <w:bookmarkEnd w:id="137"/>
      <w:bookmarkEnd w:id="138"/>
      <w:bookmarkEnd w:id="139"/>
      <w:bookmarkEnd w:id="140"/>
      <w:bookmarkEnd w:id="141"/>
    </w:p>
    <w:p>
      <w:pPr>
        <w:snapToGrid w:val="0"/>
        <w:spacing w:beforeAutospacing="0" w:afterAutospacing="0"/>
        <w:ind w:left="991" w:hanging="991" w:hangingChars="413"/>
        <w:rPr>
          <w:rFonts w:ascii="黑体" w:eastAsia="黑体"/>
          <w:color w:val="000000" w:themeColor="text1"/>
        </w:rPr>
      </w:pPr>
      <w:bookmarkStart w:id="142" w:name="_Toc296602517"/>
      <w:bookmarkStart w:id="143" w:name="_Toc246997016"/>
      <w:bookmarkStart w:id="144" w:name="_Toc247085788"/>
      <w:bookmarkStart w:id="145" w:name="_Toc246996273"/>
      <w:r>
        <w:rPr>
          <w:rFonts w:hint="eastAsia" w:ascii="黑体" w:eastAsia="黑体"/>
          <w:color w:val="000000" w:themeColor="text1"/>
        </w:rPr>
        <w:t>3.1</w:t>
      </w:r>
      <w:r>
        <w:rPr>
          <w:rFonts w:hint="eastAsia" w:ascii="黑体" w:eastAsia="黑体"/>
          <w:color w:val="000000" w:themeColor="text1"/>
        </w:rPr>
        <w:tab/>
      </w:r>
      <w:r>
        <w:rPr>
          <w:rFonts w:hint="eastAsia" w:ascii="黑体" w:eastAsia="黑体"/>
          <w:color w:val="000000" w:themeColor="text1"/>
        </w:rPr>
        <w:t>监理人的职责和权力</w:t>
      </w:r>
      <w:bookmarkEnd w:id="142"/>
      <w:bookmarkEnd w:id="143"/>
      <w:bookmarkEnd w:id="144"/>
      <w:bookmarkEnd w:id="145"/>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3.1.1</w:t>
      </w:r>
      <w:r>
        <w:rPr>
          <w:rFonts w:hint="eastAsia" w:ascii="宋体" w:hAnsi="宋体"/>
          <w:color w:val="000000" w:themeColor="text1"/>
        </w:rPr>
        <w:tab/>
      </w:r>
      <w:r>
        <w:rPr>
          <w:rFonts w:hint="eastAsia" w:ascii="宋体" w:hAnsi="宋体"/>
          <w:color w:val="000000" w:themeColor="text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3.1.2</w:t>
      </w:r>
      <w:r>
        <w:rPr>
          <w:rFonts w:hint="eastAsia" w:ascii="宋体" w:hAnsi="宋体"/>
          <w:color w:val="000000" w:themeColor="text1"/>
        </w:rPr>
        <w:tab/>
      </w:r>
      <w:r>
        <w:rPr>
          <w:rFonts w:hint="eastAsia" w:ascii="宋体" w:hAnsi="宋体"/>
          <w:color w:val="000000" w:themeColor="text1"/>
        </w:rPr>
        <w:t>合同约定应由承包人承担的义务和责任，不因监理人对承包人文件的审查或批准，对工程、材料和工程设备的检查和检验，以及为实施监理作出的指示等职务行为而减轻或解除。</w:t>
      </w:r>
    </w:p>
    <w:p>
      <w:pPr>
        <w:snapToGrid w:val="0"/>
        <w:spacing w:beforeAutospacing="0" w:afterAutospacing="0"/>
        <w:ind w:left="991" w:hanging="991" w:hangingChars="413"/>
        <w:rPr>
          <w:rFonts w:ascii="黑体" w:eastAsia="黑体"/>
          <w:color w:val="000000" w:themeColor="text1"/>
        </w:rPr>
      </w:pPr>
      <w:bookmarkStart w:id="146" w:name="_Toc246997017"/>
      <w:bookmarkStart w:id="147" w:name="_Toc247085789"/>
      <w:bookmarkStart w:id="148" w:name="_Toc296602518"/>
      <w:bookmarkStart w:id="149" w:name="_Toc246996274"/>
      <w:r>
        <w:rPr>
          <w:rFonts w:hint="eastAsia" w:ascii="黑体" w:eastAsia="黑体"/>
          <w:color w:val="000000" w:themeColor="text1"/>
        </w:rPr>
        <w:t>3.2</w:t>
      </w:r>
      <w:r>
        <w:rPr>
          <w:rFonts w:hint="eastAsia" w:ascii="黑体" w:eastAsia="黑体"/>
          <w:color w:val="000000" w:themeColor="text1"/>
        </w:rPr>
        <w:tab/>
      </w:r>
      <w:r>
        <w:rPr>
          <w:rFonts w:hint="eastAsia" w:ascii="黑体" w:eastAsia="黑体"/>
          <w:color w:val="000000" w:themeColor="text1"/>
        </w:rPr>
        <w:t>总监理工程师</w:t>
      </w:r>
      <w:bookmarkEnd w:id="146"/>
      <w:bookmarkEnd w:id="147"/>
      <w:bookmarkEnd w:id="148"/>
      <w:bookmarkEnd w:id="149"/>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发包人应在发出开工通知前将总监理工程师的任命通知承包人。</w:t>
      </w:r>
    </w:p>
    <w:p>
      <w:pPr>
        <w:snapToGrid w:val="0"/>
        <w:spacing w:beforeAutospacing="0" w:afterAutospacing="0"/>
        <w:ind w:left="991" w:hanging="991" w:hangingChars="413"/>
        <w:rPr>
          <w:rFonts w:ascii="黑体" w:eastAsia="黑体"/>
          <w:color w:val="000000" w:themeColor="text1"/>
        </w:rPr>
      </w:pPr>
      <w:bookmarkStart w:id="150" w:name="_Toc246996275"/>
      <w:bookmarkStart w:id="151" w:name="_Toc247085790"/>
      <w:bookmarkStart w:id="152" w:name="_Toc246997018"/>
      <w:bookmarkStart w:id="153" w:name="_Toc296602519"/>
      <w:r>
        <w:rPr>
          <w:rFonts w:hint="eastAsia" w:ascii="黑体" w:eastAsia="黑体"/>
          <w:color w:val="000000" w:themeColor="text1"/>
        </w:rPr>
        <w:t>3.3</w:t>
      </w:r>
      <w:r>
        <w:rPr>
          <w:rFonts w:hint="eastAsia" w:ascii="黑体" w:eastAsia="黑体"/>
          <w:color w:val="000000" w:themeColor="text1"/>
        </w:rPr>
        <w:tab/>
      </w:r>
      <w:r>
        <w:rPr>
          <w:rFonts w:hint="eastAsia" w:ascii="黑体" w:eastAsia="黑体"/>
          <w:color w:val="000000" w:themeColor="text1"/>
        </w:rPr>
        <w:t>监理人员</w:t>
      </w:r>
      <w:bookmarkEnd w:id="150"/>
      <w:bookmarkEnd w:id="151"/>
      <w:bookmarkEnd w:id="152"/>
      <w:bookmarkEnd w:id="153"/>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3.3.1</w:t>
      </w:r>
      <w:r>
        <w:rPr>
          <w:rFonts w:hint="eastAsia" w:ascii="宋体" w:hAnsi="宋体"/>
          <w:color w:val="000000" w:themeColor="text1"/>
        </w:rPr>
        <w:tab/>
      </w:r>
      <w:r>
        <w:rPr>
          <w:rFonts w:hint="eastAsia" w:ascii="宋体" w:hAnsi="宋体"/>
          <w:color w:val="000000" w:themeColor="text1"/>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3.3.2</w:t>
      </w:r>
      <w:r>
        <w:rPr>
          <w:rFonts w:hint="eastAsia" w:ascii="宋体" w:hAnsi="宋体"/>
          <w:color w:val="000000" w:themeColor="text1"/>
        </w:rPr>
        <w:tab/>
      </w:r>
      <w:r>
        <w:rPr>
          <w:rFonts w:hint="eastAsia" w:ascii="宋体" w:hAnsi="宋体"/>
          <w:color w:val="000000" w:themeColor="text1"/>
        </w:rPr>
        <w:t>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3.3.3</w:t>
      </w:r>
      <w:r>
        <w:rPr>
          <w:rFonts w:hint="eastAsia" w:ascii="宋体" w:hAnsi="宋体"/>
          <w:color w:val="000000" w:themeColor="text1"/>
        </w:rPr>
        <w:tab/>
      </w:r>
      <w:r>
        <w:rPr>
          <w:rFonts w:hint="eastAsia" w:ascii="宋体" w:hAnsi="宋体"/>
          <w:color w:val="000000" w:themeColor="text1"/>
        </w:rPr>
        <w:t>承包人对总监理工程师授权的监理人员发出的指示有疑问的，可在该指示发出的48小时内向总监理工程师提出书面异议，总监理工程师应在48小时内对该指示予以确认、更改或撤销。</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3.3.4</w:t>
      </w:r>
      <w:r>
        <w:rPr>
          <w:rFonts w:hint="eastAsia" w:ascii="宋体" w:hAnsi="宋体"/>
          <w:color w:val="000000" w:themeColor="text1"/>
        </w:rPr>
        <w:tab/>
      </w:r>
      <w:r>
        <w:rPr>
          <w:rFonts w:hint="eastAsia" w:ascii="宋体" w:hAnsi="宋体"/>
          <w:color w:val="000000" w:themeColor="text1"/>
        </w:rPr>
        <w:t>除专用合同条款另有约定外，总监理工程师不应将第3.5款约定应由总监理工程师作出确定的权力授权或委托给其他监理人员。</w:t>
      </w:r>
    </w:p>
    <w:p>
      <w:pPr>
        <w:snapToGrid w:val="0"/>
        <w:spacing w:beforeAutospacing="0" w:afterAutospacing="0"/>
        <w:ind w:left="991" w:hanging="991" w:hangingChars="413"/>
        <w:rPr>
          <w:rFonts w:ascii="黑体" w:eastAsia="黑体"/>
          <w:color w:val="000000" w:themeColor="text1"/>
        </w:rPr>
      </w:pPr>
      <w:bookmarkStart w:id="154" w:name="_Toc246996276"/>
      <w:bookmarkStart w:id="155" w:name="_Toc247085791"/>
      <w:bookmarkStart w:id="156" w:name="_Toc246997019"/>
      <w:bookmarkStart w:id="157" w:name="_Toc296602520"/>
      <w:r>
        <w:rPr>
          <w:rFonts w:hint="eastAsia" w:ascii="黑体" w:eastAsia="黑体"/>
          <w:color w:val="000000" w:themeColor="text1"/>
        </w:rPr>
        <w:t>3.4</w:t>
      </w:r>
      <w:r>
        <w:rPr>
          <w:rFonts w:hint="eastAsia" w:ascii="黑体" w:eastAsia="黑体"/>
          <w:color w:val="000000" w:themeColor="text1"/>
        </w:rPr>
        <w:tab/>
      </w:r>
      <w:r>
        <w:rPr>
          <w:rFonts w:hint="eastAsia" w:ascii="黑体" w:eastAsia="黑体"/>
          <w:color w:val="000000" w:themeColor="text1"/>
        </w:rPr>
        <w:t>监理人的指示</w:t>
      </w:r>
      <w:bookmarkEnd w:id="154"/>
      <w:bookmarkEnd w:id="155"/>
      <w:bookmarkEnd w:id="156"/>
      <w:bookmarkEnd w:id="157"/>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3.4.1</w:t>
      </w:r>
      <w:r>
        <w:rPr>
          <w:rFonts w:hint="eastAsia" w:ascii="宋体" w:hAnsi="宋体"/>
          <w:color w:val="000000" w:themeColor="text1"/>
        </w:rPr>
        <w:tab/>
      </w:r>
      <w:r>
        <w:rPr>
          <w:rFonts w:hint="eastAsia" w:ascii="宋体" w:hAnsi="宋体"/>
          <w:color w:val="000000" w:themeColor="text1"/>
        </w:rPr>
        <w:t>监理人应按第3.1款的约定向承包人发出指示，监理人的指示应盖有监理人授权的施工场地机构章，并由总监理工程师或总监理工程师按第3.3.1项约定授权的监理人员签字。</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3.4.2</w:t>
      </w:r>
      <w:r>
        <w:rPr>
          <w:rFonts w:hint="eastAsia" w:ascii="宋体" w:hAnsi="宋体"/>
          <w:color w:val="000000" w:themeColor="text1"/>
        </w:rPr>
        <w:tab/>
      </w:r>
      <w:r>
        <w:rPr>
          <w:rFonts w:hint="eastAsia" w:ascii="宋体" w:hAnsi="宋体"/>
          <w:color w:val="000000" w:themeColor="text1"/>
        </w:rPr>
        <w:t>承包人收到监理人按第3.4.1项作出的指示后应遵照执行。指示构成变更的，应按第9条处理。</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3.4.3</w:t>
      </w:r>
      <w:r>
        <w:rPr>
          <w:rFonts w:hint="eastAsia" w:ascii="宋体" w:hAnsi="宋体"/>
          <w:color w:val="000000" w:themeColor="text1"/>
        </w:rPr>
        <w:tab/>
      </w:r>
      <w:r>
        <w:rPr>
          <w:rFonts w:hint="eastAsia" w:ascii="宋体" w:hAnsi="宋体"/>
          <w:color w:val="000000" w:themeColor="text1"/>
        </w:rPr>
        <w:t>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3.4.4</w:t>
      </w:r>
      <w:r>
        <w:rPr>
          <w:rFonts w:hint="eastAsia" w:ascii="宋体" w:hAnsi="宋体"/>
          <w:color w:val="000000" w:themeColor="text1"/>
        </w:rPr>
        <w:tab/>
      </w:r>
      <w:r>
        <w:rPr>
          <w:rFonts w:hint="eastAsia" w:ascii="宋体" w:hAnsi="宋体"/>
          <w:color w:val="000000" w:themeColor="text1"/>
        </w:rPr>
        <w:t>除合同另有约定外，承包人只从总监理工程师或按第3.3.1项被授权的监理人员处取得指示。</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3.4.5</w:t>
      </w:r>
      <w:r>
        <w:rPr>
          <w:rFonts w:hint="eastAsia" w:ascii="宋体" w:hAnsi="宋体"/>
          <w:color w:val="000000" w:themeColor="text1"/>
        </w:rPr>
        <w:tab/>
      </w:r>
      <w:r>
        <w:rPr>
          <w:rFonts w:hint="eastAsia" w:ascii="宋体" w:hAnsi="宋体"/>
          <w:color w:val="000000" w:themeColor="text1"/>
        </w:rPr>
        <w:t>由于监理人未能按合同约定发出指示、指示延误或指示错误而导致承包人费用增加和（或）工期延误的，由发包人承担赔偿责任。</w:t>
      </w:r>
    </w:p>
    <w:p>
      <w:pPr>
        <w:snapToGrid w:val="0"/>
        <w:spacing w:beforeAutospacing="0" w:afterAutospacing="0"/>
        <w:ind w:left="991" w:hanging="991" w:hangingChars="413"/>
        <w:rPr>
          <w:rFonts w:ascii="黑体" w:eastAsia="黑体"/>
          <w:color w:val="000000" w:themeColor="text1"/>
        </w:rPr>
      </w:pPr>
      <w:bookmarkStart w:id="158" w:name="_Toc246996277"/>
      <w:bookmarkStart w:id="159" w:name="_Toc296602521"/>
      <w:bookmarkStart w:id="160" w:name="_Toc246997020"/>
      <w:bookmarkStart w:id="161" w:name="_Toc247085792"/>
      <w:r>
        <w:rPr>
          <w:rFonts w:hint="eastAsia" w:ascii="黑体" w:eastAsia="黑体"/>
          <w:color w:val="000000" w:themeColor="text1"/>
        </w:rPr>
        <w:t>3.5</w:t>
      </w:r>
      <w:r>
        <w:rPr>
          <w:rFonts w:hint="eastAsia" w:ascii="黑体" w:eastAsia="黑体"/>
          <w:color w:val="000000" w:themeColor="text1"/>
        </w:rPr>
        <w:tab/>
      </w:r>
      <w:r>
        <w:rPr>
          <w:rFonts w:hint="eastAsia" w:ascii="黑体" w:eastAsia="黑体"/>
          <w:color w:val="000000" w:themeColor="text1"/>
        </w:rPr>
        <w:t>商定或确定</w:t>
      </w:r>
      <w:bookmarkEnd w:id="158"/>
      <w:bookmarkEnd w:id="159"/>
      <w:bookmarkEnd w:id="160"/>
      <w:bookmarkEnd w:id="161"/>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3.5.1</w:t>
      </w:r>
      <w:r>
        <w:rPr>
          <w:rFonts w:hint="eastAsia" w:ascii="宋体" w:hAnsi="宋体"/>
          <w:color w:val="000000" w:themeColor="text1"/>
        </w:rPr>
        <w:tab/>
      </w:r>
      <w:r>
        <w:rPr>
          <w:rFonts w:hint="eastAsia" w:ascii="宋体" w:hAnsi="宋体"/>
          <w:color w:val="000000" w:themeColor="text1"/>
        </w:rPr>
        <w:t>合同约定总监理工程师应按照本款对任何事项进行商定或确定时，总监理工程师应与合同当事人协商，尽量达成一致。不能达成一致的，总监理工程师应认真研究后审慎确定。</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3.5.2</w:t>
      </w:r>
      <w:r>
        <w:rPr>
          <w:rFonts w:hint="eastAsia" w:ascii="宋体" w:hAnsi="宋体"/>
          <w:color w:val="000000" w:themeColor="text1"/>
        </w:rPr>
        <w:tab/>
      </w:r>
      <w:r>
        <w:rPr>
          <w:rFonts w:hint="eastAsia" w:ascii="宋体" w:hAnsi="宋体"/>
          <w:color w:val="000000" w:themeColor="text1"/>
        </w:rPr>
        <w:t>总监理工程师应将商定或确定的事项通知合同当事人，并附详细依据。对总监理工程师的确定有异议的，构成争议，按照第17条的约定处理。在争议解决前，双方应暂按总监理工程师的确定执行，按照第17条的约定对总监理工程师的确定作出修改的，按修改后的结果执行。</w:t>
      </w:r>
    </w:p>
    <w:p>
      <w:pPr>
        <w:snapToGrid w:val="0"/>
        <w:spacing w:beforeAutospacing="0" w:afterAutospacing="0"/>
        <w:ind w:left="991" w:hanging="991" w:hangingChars="413"/>
        <w:outlineLvl w:val="2"/>
        <w:rPr>
          <w:rFonts w:ascii="黑体" w:eastAsia="黑体"/>
          <w:color w:val="000000" w:themeColor="text1"/>
        </w:rPr>
      </w:pPr>
      <w:bookmarkStart w:id="162" w:name="_Toc246996278"/>
      <w:bookmarkStart w:id="163" w:name="_Toc184635101"/>
      <w:bookmarkStart w:id="164" w:name="_Toc4955"/>
      <w:bookmarkStart w:id="165" w:name="_Toc247085793"/>
      <w:bookmarkStart w:id="166" w:name="_Toc246997021"/>
      <w:bookmarkStart w:id="167" w:name="_Toc296602522"/>
      <w:bookmarkStart w:id="168" w:name="_Toc17962"/>
      <w:r>
        <w:rPr>
          <w:rFonts w:hint="eastAsia" w:ascii="黑体" w:eastAsia="黑体"/>
          <w:color w:val="000000" w:themeColor="text1"/>
        </w:rPr>
        <w:t>4.</w:t>
      </w:r>
      <w:r>
        <w:rPr>
          <w:rFonts w:hint="eastAsia" w:ascii="黑体" w:eastAsia="黑体"/>
          <w:color w:val="000000" w:themeColor="text1"/>
        </w:rPr>
        <w:tab/>
      </w:r>
      <w:r>
        <w:rPr>
          <w:rFonts w:hint="eastAsia" w:ascii="黑体" w:eastAsia="黑体"/>
          <w:color w:val="000000" w:themeColor="text1"/>
        </w:rPr>
        <w:t>承包人</w:t>
      </w:r>
      <w:bookmarkEnd w:id="162"/>
      <w:bookmarkEnd w:id="163"/>
      <w:bookmarkEnd w:id="164"/>
      <w:bookmarkEnd w:id="165"/>
      <w:bookmarkEnd w:id="166"/>
      <w:bookmarkEnd w:id="167"/>
      <w:bookmarkEnd w:id="168"/>
    </w:p>
    <w:p>
      <w:pPr>
        <w:snapToGrid w:val="0"/>
        <w:spacing w:beforeAutospacing="0" w:afterAutospacing="0"/>
        <w:ind w:left="991" w:hanging="991" w:hangingChars="413"/>
        <w:rPr>
          <w:rFonts w:ascii="黑体" w:eastAsia="黑体"/>
          <w:color w:val="000000" w:themeColor="text1"/>
        </w:rPr>
      </w:pPr>
      <w:bookmarkStart w:id="169" w:name="_Toc296602523"/>
      <w:bookmarkStart w:id="170" w:name="_Toc246996279"/>
      <w:bookmarkStart w:id="171" w:name="_Toc247085794"/>
      <w:bookmarkStart w:id="172" w:name="_Toc246997022"/>
      <w:r>
        <w:rPr>
          <w:rFonts w:hint="eastAsia" w:ascii="黑体" w:eastAsia="黑体"/>
          <w:color w:val="000000" w:themeColor="text1"/>
        </w:rPr>
        <w:t>4.1</w:t>
      </w:r>
      <w:r>
        <w:rPr>
          <w:rFonts w:hint="eastAsia" w:ascii="黑体" w:eastAsia="黑体"/>
          <w:color w:val="000000" w:themeColor="text1"/>
        </w:rPr>
        <w:tab/>
      </w:r>
      <w:r>
        <w:rPr>
          <w:rFonts w:hint="eastAsia" w:ascii="黑体" w:eastAsia="黑体"/>
          <w:color w:val="000000" w:themeColor="text1"/>
        </w:rPr>
        <w:t>承包人的一般义务</w:t>
      </w:r>
      <w:bookmarkEnd w:id="169"/>
      <w:bookmarkEnd w:id="170"/>
      <w:bookmarkEnd w:id="171"/>
      <w:bookmarkEnd w:id="172"/>
    </w:p>
    <w:p>
      <w:pPr>
        <w:snapToGrid w:val="0"/>
        <w:spacing w:beforeAutospacing="0" w:afterAutospacing="0"/>
        <w:ind w:left="991" w:hanging="991" w:hangingChars="413"/>
        <w:rPr>
          <w:rFonts w:ascii="宋体" w:hAnsi="宋体"/>
          <w:color w:val="000000" w:themeColor="text1"/>
        </w:rPr>
      </w:pPr>
      <w:r>
        <w:rPr>
          <w:rFonts w:ascii="宋体" w:hAnsi="宋体"/>
          <w:color w:val="000000" w:themeColor="text1"/>
        </w:rPr>
        <w:t>4.1.1</w:t>
      </w:r>
      <w:r>
        <w:rPr>
          <w:rFonts w:hint="eastAsia" w:ascii="宋体" w:hAnsi="宋体"/>
          <w:color w:val="000000" w:themeColor="text1"/>
        </w:rPr>
        <w:tab/>
      </w:r>
      <w:r>
        <w:rPr>
          <w:rFonts w:hint="eastAsia" w:ascii="宋体" w:hAnsi="宋体"/>
          <w:color w:val="000000" w:themeColor="text1"/>
        </w:rPr>
        <w:t>承包人应按合同约定以及监理人根据第3.4款作出的指示，实施、完成全部工程，并修补工程中的任何缺陷。</w:t>
      </w:r>
    </w:p>
    <w:p>
      <w:pPr>
        <w:snapToGrid w:val="0"/>
        <w:spacing w:beforeAutospacing="0" w:afterAutospacing="0"/>
        <w:ind w:left="991" w:hanging="991" w:hangingChars="413"/>
        <w:rPr>
          <w:rFonts w:ascii="宋体" w:hAnsi="宋体"/>
          <w:color w:val="000000" w:themeColor="text1"/>
        </w:rPr>
      </w:pPr>
      <w:r>
        <w:rPr>
          <w:rFonts w:ascii="宋体" w:hAnsi="宋体"/>
          <w:color w:val="000000" w:themeColor="text1"/>
        </w:rPr>
        <w:t>4.</w:t>
      </w: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2</w:t>
      </w:r>
      <w:r>
        <w:rPr>
          <w:rFonts w:hint="eastAsia" w:ascii="宋体" w:hAnsi="宋体"/>
          <w:color w:val="000000" w:themeColor="text1"/>
        </w:rPr>
        <w:tab/>
      </w:r>
      <w:r>
        <w:rPr>
          <w:rFonts w:ascii="宋体" w:hAnsi="宋体"/>
          <w:color w:val="000000" w:themeColor="text1"/>
        </w:rPr>
        <w:t>除合同另有约定外，承包人应提供为按照合同完成工程所需的</w:t>
      </w:r>
      <w:r>
        <w:rPr>
          <w:rFonts w:hint="eastAsia" w:ascii="宋体" w:hAnsi="宋体"/>
          <w:color w:val="000000" w:themeColor="text1"/>
        </w:rPr>
        <w:t>劳务、</w:t>
      </w:r>
      <w:r>
        <w:rPr>
          <w:rFonts w:ascii="宋体" w:hAnsi="宋体"/>
          <w:color w:val="000000" w:themeColor="text1"/>
        </w:rPr>
        <w:t>材料、</w:t>
      </w:r>
      <w:r>
        <w:rPr>
          <w:rFonts w:hint="eastAsia" w:ascii="宋体" w:hAnsi="宋体"/>
          <w:color w:val="000000" w:themeColor="text1"/>
        </w:rPr>
        <w:t>施工设备、</w:t>
      </w:r>
      <w:r>
        <w:rPr>
          <w:rFonts w:ascii="宋体" w:hAnsi="宋体"/>
          <w:color w:val="000000" w:themeColor="text1"/>
        </w:rPr>
        <w:t>工程设备</w:t>
      </w:r>
      <w:r>
        <w:rPr>
          <w:rFonts w:hint="eastAsia" w:ascii="宋体" w:hAnsi="宋体"/>
          <w:color w:val="000000" w:themeColor="text1"/>
        </w:rPr>
        <w:t>和其他物品，</w:t>
      </w:r>
      <w:r>
        <w:rPr>
          <w:rFonts w:ascii="宋体" w:hAnsi="宋体"/>
          <w:color w:val="000000" w:themeColor="text1"/>
        </w:rPr>
        <w:t>以及</w:t>
      </w:r>
      <w:r>
        <w:rPr>
          <w:rFonts w:hint="eastAsia" w:ascii="宋体" w:hAnsi="宋体"/>
          <w:color w:val="000000" w:themeColor="text1"/>
        </w:rPr>
        <w:t>按合同约定的</w:t>
      </w:r>
      <w:r>
        <w:rPr>
          <w:rFonts w:ascii="宋体" w:hAnsi="宋体"/>
          <w:color w:val="000000" w:themeColor="text1"/>
        </w:rPr>
        <w:t>临时设施等。</w:t>
      </w:r>
    </w:p>
    <w:p>
      <w:pPr>
        <w:snapToGrid w:val="0"/>
        <w:spacing w:beforeAutospacing="0" w:afterAutospacing="0"/>
        <w:ind w:left="991" w:hanging="991" w:hangingChars="413"/>
        <w:rPr>
          <w:rFonts w:ascii="宋体" w:hAnsi="宋体"/>
          <w:color w:val="000000" w:themeColor="text1"/>
        </w:rPr>
      </w:pPr>
      <w:r>
        <w:rPr>
          <w:rFonts w:ascii="宋体" w:hAnsi="宋体"/>
          <w:color w:val="000000" w:themeColor="text1"/>
        </w:rPr>
        <w:t>4.</w:t>
      </w: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3</w:t>
      </w:r>
      <w:r>
        <w:rPr>
          <w:rFonts w:hint="eastAsia" w:ascii="宋体" w:hAnsi="宋体"/>
          <w:color w:val="000000" w:themeColor="text1"/>
        </w:rPr>
        <w:tab/>
      </w:r>
      <w:r>
        <w:rPr>
          <w:rFonts w:ascii="宋体" w:hAnsi="宋体"/>
          <w:color w:val="000000" w:themeColor="text1"/>
        </w:rPr>
        <w:t>承包人应对所有现场作业、所有施工方法和全部工程的完备性、稳定性和安全性负责。</w:t>
      </w:r>
    </w:p>
    <w:p>
      <w:pPr>
        <w:snapToGrid w:val="0"/>
        <w:spacing w:beforeAutospacing="0" w:afterAutospacing="0"/>
        <w:ind w:left="991" w:hanging="991" w:hangingChars="413"/>
        <w:rPr>
          <w:rFonts w:ascii="宋体" w:hAnsi="宋体"/>
          <w:color w:val="000000" w:themeColor="text1"/>
        </w:rPr>
      </w:pPr>
      <w:r>
        <w:rPr>
          <w:rFonts w:ascii="宋体" w:hAnsi="宋体"/>
          <w:color w:val="000000" w:themeColor="text1"/>
        </w:rPr>
        <w:t>4.</w:t>
      </w:r>
      <w:r>
        <w:rPr>
          <w:rFonts w:hint="eastAsia" w:ascii="宋体" w:hAnsi="宋体"/>
          <w:color w:val="000000" w:themeColor="text1"/>
        </w:rPr>
        <w:t>1</w:t>
      </w:r>
      <w:r>
        <w:rPr>
          <w:rFonts w:ascii="宋体" w:hAnsi="宋体"/>
          <w:color w:val="000000" w:themeColor="text1"/>
        </w:rPr>
        <w:t>.</w:t>
      </w:r>
      <w:r>
        <w:rPr>
          <w:rFonts w:hint="eastAsia" w:ascii="宋体" w:hAnsi="宋体"/>
          <w:color w:val="000000" w:themeColor="text1"/>
        </w:rPr>
        <w:t>4</w:t>
      </w:r>
      <w:r>
        <w:rPr>
          <w:rFonts w:hint="eastAsia" w:ascii="宋体" w:hAnsi="宋体"/>
          <w:color w:val="000000" w:themeColor="text1"/>
        </w:rPr>
        <w:tab/>
      </w:r>
      <w:r>
        <w:rPr>
          <w:rFonts w:hint="eastAsia" w:ascii="宋体" w:hAnsi="宋体"/>
          <w:color w:val="000000" w:themeColor="text1"/>
        </w:rPr>
        <w:t>承包人应按照法律规定和合同约定，负责施工场地及其周边环境与生态的保护工作。</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4.1.5</w:t>
      </w:r>
      <w:r>
        <w:rPr>
          <w:rFonts w:hint="eastAsia" w:ascii="宋体" w:hAnsi="宋体"/>
          <w:color w:val="000000" w:themeColor="text1"/>
        </w:rPr>
        <w:tab/>
      </w:r>
      <w:r>
        <w:rPr>
          <w:rFonts w:hint="eastAsia" w:ascii="宋体" w:hAnsi="宋体"/>
          <w:color w:val="000000" w:themeColor="text1"/>
        </w:rPr>
        <w:t>工程接收证书颁发前，承包人应负责照管和维护工程。工程接收证书颁发时尚有部分未竣工工程的，承包人还应负责该未竣工工程的照管和维护工作，直至竣工后移交给发包人为止。</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4.1.6</w:t>
      </w:r>
      <w:r>
        <w:rPr>
          <w:rFonts w:hint="eastAsia" w:ascii="宋体" w:hAnsi="宋体"/>
          <w:color w:val="000000" w:themeColor="text1"/>
        </w:rPr>
        <w:tab/>
      </w:r>
      <w:r>
        <w:rPr>
          <w:rFonts w:hint="eastAsia" w:ascii="宋体" w:hAnsi="宋体"/>
          <w:color w:val="000000" w:themeColor="text1"/>
        </w:rPr>
        <w:t>承包人应履行合同约定的其他义务。</w:t>
      </w:r>
    </w:p>
    <w:p>
      <w:pPr>
        <w:snapToGrid w:val="0"/>
        <w:spacing w:beforeAutospacing="0" w:afterAutospacing="0"/>
        <w:ind w:left="991" w:hanging="991" w:hangingChars="413"/>
        <w:rPr>
          <w:rFonts w:ascii="黑体" w:eastAsia="黑体"/>
          <w:color w:val="000000" w:themeColor="text1"/>
        </w:rPr>
      </w:pPr>
      <w:bookmarkStart w:id="173" w:name="_Toc246997023"/>
      <w:bookmarkStart w:id="174" w:name="_Toc247085795"/>
      <w:bookmarkStart w:id="175" w:name="_Toc246996280"/>
      <w:bookmarkStart w:id="176" w:name="_Toc296602524"/>
      <w:r>
        <w:rPr>
          <w:rFonts w:hint="eastAsia" w:ascii="黑体" w:eastAsia="黑体"/>
          <w:color w:val="000000" w:themeColor="text1"/>
        </w:rPr>
        <w:t>4.2</w:t>
      </w:r>
      <w:r>
        <w:rPr>
          <w:rFonts w:hint="eastAsia" w:ascii="黑体" w:eastAsia="黑体"/>
          <w:color w:val="000000" w:themeColor="text1"/>
        </w:rPr>
        <w:tab/>
      </w:r>
      <w:r>
        <w:rPr>
          <w:rFonts w:hint="eastAsia" w:ascii="黑体" w:eastAsia="黑体"/>
          <w:color w:val="000000" w:themeColor="text1"/>
        </w:rPr>
        <w:t>履约担保</w:t>
      </w:r>
      <w:bookmarkEnd w:id="173"/>
      <w:bookmarkEnd w:id="174"/>
      <w:bookmarkEnd w:id="175"/>
      <w:bookmarkEnd w:id="176"/>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4.2.1</w:t>
      </w:r>
      <w:r>
        <w:rPr>
          <w:rFonts w:hint="eastAsia" w:ascii="宋体" w:hAnsi="宋体"/>
          <w:color w:val="000000" w:themeColor="text1"/>
        </w:rPr>
        <w:tab/>
      </w:r>
      <w:r>
        <w:rPr>
          <w:rFonts w:hint="eastAsia" w:ascii="宋体" w:hAnsi="宋体"/>
          <w:color w:val="000000" w:themeColor="text1"/>
        </w:rPr>
        <w:t>承包人应保证其履约担保在发包人颁发工程接收证书前一直有效。发包人应在工程接收证书颁发后28天内把履约担保退还给承包人。</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4.2.2</w:t>
      </w:r>
      <w:r>
        <w:rPr>
          <w:rFonts w:hint="eastAsia" w:ascii="宋体" w:hAnsi="宋体"/>
          <w:color w:val="000000" w:themeColor="text1"/>
        </w:rPr>
        <w:tab/>
      </w:r>
      <w:r>
        <w:rPr>
          <w:rFonts w:hint="eastAsia" w:ascii="宋体" w:hAnsi="宋体"/>
          <w:color w:val="000000" w:themeColor="text1"/>
        </w:rPr>
        <w:t>如工程延期，承包人有义务继续提供履约担保。由于发包人原因导致延期的，继续提供履约担保所需的费用由发包人承担；由于承包人原因导致延期的，继续提供履约担保所需费用由承包人承担。</w:t>
      </w:r>
    </w:p>
    <w:p>
      <w:pPr>
        <w:snapToGrid w:val="0"/>
        <w:spacing w:beforeAutospacing="0" w:afterAutospacing="0"/>
        <w:ind w:left="991" w:hanging="991" w:hangingChars="413"/>
        <w:rPr>
          <w:rFonts w:ascii="黑体" w:eastAsia="黑体"/>
          <w:color w:val="000000" w:themeColor="text1"/>
        </w:rPr>
      </w:pPr>
      <w:bookmarkStart w:id="177" w:name="_Toc247085797"/>
      <w:bookmarkStart w:id="178" w:name="_Toc246996282"/>
      <w:bookmarkStart w:id="179" w:name="_Toc246997025"/>
      <w:bookmarkStart w:id="180" w:name="_Toc296602525"/>
      <w:r>
        <w:rPr>
          <w:rFonts w:hint="eastAsia" w:ascii="黑体" w:eastAsia="黑体"/>
          <w:color w:val="000000" w:themeColor="text1"/>
        </w:rPr>
        <w:t>4.3</w:t>
      </w:r>
      <w:r>
        <w:rPr>
          <w:rFonts w:hint="eastAsia" w:ascii="黑体" w:eastAsia="黑体"/>
          <w:color w:val="000000" w:themeColor="text1"/>
        </w:rPr>
        <w:tab/>
      </w:r>
      <w:r>
        <w:rPr>
          <w:rFonts w:hint="eastAsia" w:ascii="黑体" w:eastAsia="黑体"/>
          <w:color w:val="000000" w:themeColor="text1"/>
        </w:rPr>
        <w:t>承包人项目经理</w:t>
      </w:r>
      <w:bookmarkEnd w:id="177"/>
      <w:bookmarkEnd w:id="178"/>
      <w:bookmarkEnd w:id="179"/>
      <w:bookmarkEnd w:id="180"/>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承包人应按合同约定指派项目经理，并在约定的期限内到职。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napToGrid w:val="0"/>
        <w:spacing w:beforeAutospacing="0" w:afterAutospacing="0"/>
        <w:ind w:left="991" w:hanging="991" w:hangingChars="413"/>
        <w:rPr>
          <w:rFonts w:ascii="黑体" w:eastAsia="黑体"/>
          <w:color w:val="000000" w:themeColor="text1"/>
        </w:rPr>
      </w:pPr>
      <w:bookmarkStart w:id="181" w:name="_Toc246996283"/>
      <w:bookmarkStart w:id="182" w:name="_Toc246997026"/>
      <w:bookmarkStart w:id="183" w:name="_Toc247085798"/>
      <w:bookmarkStart w:id="184" w:name="_Toc296602526"/>
      <w:r>
        <w:rPr>
          <w:rFonts w:hint="eastAsia" w:ascii="黑体" w:eastAsia="黑体"/>
          <w:color w:val="000000" w:themeColor="text1"/>
        </w:rPr>
        <w:t>4.4</w:t>
      </w:r>
      <w:r>
        <w:rPr>
          <w:rFonts w:hint="eastAsia" w:ascii="黑体" w:eastAsia="黑体"/>
          <w:color w:val="000000" w:themeColor="text1"/>
        </w:rPr>
        <w:tab/>
      </w:r>
      <w:r>
        <w:rPr>
          <w:rFonts w:hint="eastAsia" w:ascii="黑体" w:eastAsia="黑体"/>
          <w:color w:val="000000" w:themeColor="text1"/>
        </w:rPr>
        <w:t>工程价款应专款专用</w:t>
      </w:r>
      <w:bookmarkEnd w:id="181"/>
      <w:bookmarkEnd w:id="182"/>
      <w:bookmarkEnd w:id="183"/>
      <w:bookmarkEnd w:id="184"/>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发包人按合同约定支付给承包人的各项价款应专用于合同工程。</w:t>
      </w:r>
      <w:bookmarkStart w:id="185" w:name="_Toc246996284"/>
      <w:bookmarkStart w:id="186" w:name="_Toc246997027"/>
      <w:bookmarkStart w:id="187" w:name="_Toc247085799"/>
    </w:p>
    <w:p>
      <w:pPr>
        <w:snapToGrid w:val="0"/>
        <w:spacing w:beforeAutospacing="0" w:afterAutospacing="0"/>
        <w:ind w:left="991" w:hanging="991" w:hangingChars="413"/>
        <w:rPr>
          <w:rFonts w:ascii="黑体" w:eastAsia="黑体"/>
          <w:color w:val="000000" w:themeColor="text1"/>
        </w:rPr>
      </w:pPr>
      <w:bookmarkStart w:id="188" w:name="_Toc152042428"/>
      <w:bookmarkStart w:id="189" w:name="_Toc296602527"/>
      <w:bookmarkStart w:id="190" w:name="_Toc179632668"/>
      <w:bookmarkStart w:id="191" w:name="_Toc144974618"/>
      <w:bookmarkStart w:id="192" w:name="_Toc152045650"/>
      <w:r>
        <w:rPr>
          <w:rFonts w:hint="eastAsia" w:ascii="黑体" w:eastAsia="黑体"/>
          <w:color w:val="000000" w:themeColor="text1"/>
        </w:rPr>
        <w:t>4.5</w:t>
      </w:r>
      <w:r>
        <w:rPr>
          <w:rFonts w:hint="eastAsia" w:ascii="黑体" w:eastAsia="黑体"/>
          <w:color w:val="000000" w:themeColor="text1"/>
        </w:rPr>
        <w:tab/>
      </w:r>
      <w:r>
        <w:rPr>
          <w:rFonts w:hint="eastAsia" w:ascii="黑体" w:eastAsia="黑体"/>
          <w:color w:val="000000" w:themeColor="text1"/>
        </w:rPr>
        <w:t>不利物质条件</w:t>
      </w:r>
      <w:bookmarkEnd w:id="188"/>
      <w:bookmarkEnd w:id="189"/>
      <w:bookmarkEnd w:id="190"/>
      <w:bookmarkEnd w:id="191"/>
      <w:bookmarkEnd w:id="192"/>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4.5.1</w:t>
      </w:r>
      <w:r>
        <w:rPr>
          <w:rFonts w:hint="eastAsia" w:ascii="宋体" w:hAnsi="宋体"/>
          <w:color w:val="000000" w:themeColor="text1"/>
        </w:rPr>
        <w:tab/>
      </w:r>
      <w:r>
        <w:rPr>
          <w:rFonts w:hint="eastAsia" w:ascii="宋体" w:hAnsi="宋体"/>
          <w:color w:val="000000" w:themeColor="text1"/>
        </w:rPr>
        <w:t>不利物质条件，除专用合同条款另有约定外，是指承包人在施工场地遇到的不可预见的自然物质条件、非自然的物质障碍和污染物，包括地下和水文条件，但不包括气候条件。</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4.5.2</w:t>
      </w:r>
      <w:r>
        <w:rPr>
          <w:rFonts w:hint="eastAsia" w:ascii="宋体" w:hAnsi="宋体"/>
          <w:color w:val="000000" w:themeColor="text1"/>
        </w:rPr>
        <w:tab/>
      </w:r>
      <w:r>
        <w:rPr>
          <w:rFonts w:hint="eastAsia" w:ascii="宋体" w:hAnsi="宋体"/>
          <w:color w:val="000000" w:themeColor="text1"/>
        </w:rPr>
        <w:t>承包人遇到不利物质条件时，应采取适应不利物质条件的合理措施继续施工，并及时通知监理人，通知应载明不利物质条件的内容以及承包人认为不可预见的理由。监理人应当及时发出指示，指示构成变更的，按第9条约定执行。监理人没有发出指示的，承包人因采取合理措施而增加的费用和（或）工期延误，由发包人承担。</w:t>
      </w:r>
    </w:p>
    <w:p>
      <w:pPr>
        <w:snapToGrid w:val="0"/>
        <w:spacing w:beforeAutospacing="0" w:afterAutospacing="0"/>
        <w:ind w:left="991" w:hanging="991" w:hangingChars="413"/>
        <w:outlineLvl w:val="2"/>
        <w:rPr>
          <w:rFonts w:ascii="黑体" w:eastAsia="黑体"/>
          <w:color w:val="000000" w:themeColor="text1"/>
        </w:rPr>
      </w:pPr>
      <w:bookmarkStart w:id="193" w:name="_Toc179632686"/>
      <w:bookmarkStart w:id="194" w:name="_Toc152042446"/>
      <w:bookmarkStart w:id="195" w:name="_Toc144974636"/>
      <w:bookmarkStart w:id="196" w:name="_Toc152045668"/>
      <w:bookmarkStart w:id="197" w:name="_Toc296602528"/>
      <w:bookmarkStart w:id="198" w:name="_Toc9312"/>
      <w:bookmarkStart w:id="199" w:name="_Toc5651"/>
      <w:r>
        <w:rPr>
          <w:rFonts w:hint="eastAsia" w:ascii="黑体" w:eastAsia="黑体"/>
          <w:color w:val="000000" w:themeColor="text1"/>
        </w:rPr>
        <w:t>5.</w:t>
      </w:r>
      <w:r>
        <w:rPr>
          <w:rFonts w:hint="eastAsia" w:ascii="黑体" w:eastAsia="黑体"/>
          <w:color w:val="000000" w:themeColor="text1"/>
        </w:rPr>
        <w:tab/>
      </w:r>
      <w:bookmarkEnd w:id="193"/>
      <w:bookmarkEnd w:id="194"/>
      <w:bookmarkEnd w:id="195"/>
      <w:bookmarkEnd w:id="196"/>
      <w:bookmarkStart w:id="200" w:name="_Toc179632687"/>
      <w:bookmarkStart w:id="201" w:name="_Toc152045669"/>
      <w:bookmarkStart w:id="202" w:name="_Toc144974637"/>
      <w:bookmarkStart w:id="203" w:name="_Toc152042447"/>
      <w:r>
        <w:rPr>
          <w:rFonts w:hint="eastAsia" w:ascii="黑体" w:eastAsia="黑体"/>
          <w:color w:val="000000" w:themeColor="text1"/>
        </w:rPr>
        <w:t>施工控制网</w:t>
      </w:r>
      <w:bookmarkEnd w:id="197"/>
      <w:bookmarkEnd w:id="198"/>
      <w:bookmarkEnd w:id="199"/>
      <w:bookmarkEnd w:id="200"/>
      <w:bookmarkEnd w:id="201"/>
      <w:bookmarkEnd w:id="202"/>
      <w:bookmarkEnd w:id="203"/>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5.1</w:t>
      </w:r>
      <w:r>
        <w:rPr>
          <w:rFonts w:hint="eastAsia" w:ascii="宋体" w:hAnsi="宋体"/>
          <w:color w:val="000000" w:themeColor="text1"/>
        </w:rPr>
        <w:tab/>
      </w:r>
      <w:r>
        <w:rPr>
          <w:rFonts w:hint="eastAsia" w:ascii="宋体" w:hAnsi="宋体"/>
          <w:color w:val="000000" w:themeColor="text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5.2</w:t>
      </w:r>
      <w:r>
        <w:rPr>
          <w:rFonts w:hint="eastAsia" w:ascii="宋体" w:hAnsi="宋体"/>
          <w:color w:val="000000" w:themeColor="text1"/>
        </w:rPr>
        <w:tab/>
      </w:r>
      <w:r>
        <w:rPr>
          <w:rFonts w:hint="eastAsia" w:ascii="宋体" w:hAnsi="宋体"/>
          <w:color w:val="000000" w:themeColor="text1"/>
        </w:rPr>
        <w:t>承包人应负责管理施工控制网点。施工控制网点丢失或损坏的，承包人应及时修复。承包人应承担施工控制网点的管理与修复费用，并在工程竣工后将施工控制网点移交发包人。</w:t>
      </w:r>
    </w:p>
    <w:p>
      <w:pPr>
        <w:snapToGrid w:val="0"/>
        <w:spacing w:beforeAutospacing="0" w:afterAutospacing="0"/>
        <w:ind w:left="991" w:hanging="991" w:hangingChars="413"/>
        <w:outlineLvl w:val="2"/>
        <w:rPr>
          <w:rFonts w:ascii="黑体" w:eastAsia="黑体"/>
          <w:color w:val="000000" w:themeColor="text1"/>
        </w:rPr>
      </w:pPr>
      <w:bookmarkStart w:id="204" w:name="_Toc179632697"/>
      <w:bookmarkStart w:id="205" w:name="_Toc152042457"/>
      <w:bookmarkStart w:id="206" w:name="_Toc144974647"/>
      <w:bookmarkStart w:id="207" w:name="_Toc152045679"/>
      <w:bookmarkStart w:id="208" w:name="_Toc25277"/>
      <w:bookmarkStart w:id="209" w:name="_Toc296602529"/>
      <w:bookmarkStart w:id="210" w:name="_Toc14740"/>
      <w:r>
        <w:rPr>
          <w:rFonts w:hint="eastAsia" w:ascii="黑体" w:eastAsia="黑体"/>
          <w:color w:val="000000" w:themeColor="text1"/>
        </w:rPr>
        <w:t>6.</w:t>
      </w:r>
      <w:r>
        <w:rPr>
          <w:rFonts w:hint="eastAsia" w:ascii="黑体" w:eastAsia="黑体"/>
          <w:color w:val="000000" w:themeColor="text1"/>
        </w:rPr>
        <w:tab/>
      </w:r>
      <w:bookmarkEnd w:id="204"/>
      <w:bookmarkEnd w:id="205"/>
      <w:bookmarkEnd w:id="206"/>
      <w:bookmarkEnd w:id="207"/>
      <w:r>
        <w:rPr>
          <w:rFonts w:hint="eastAsia" w:ascii="黑体" w:eastAsia="黑体"/>
          <w:color w:val="000000" w:themeColor="text1"/>
        </w:rPr>
        <w:t>工期</w:t>
      </w:r>
      <w:bookmarkEnd w:id="208"/>
      <w:bookmarkEnd w:id="209"/>
      <w:bookmarkEnd w:id="210"/>
    </w:p>
    <w:p>
      <w:pPr>
        <w:snapToGrid w:val="0"/>
        <w:spacing w:beforeAutospacing="0" w:afterAutospacing="0"/>
        <w:ind w:left="991" w:hanging="991" w:hangingChars="413"/>
        <w:rPr>
          <w:rFonts w:ascii="黑体" w:eastAsia="黑体"/>
          <w:color w:val="000000" w:themeColor="text1"/>
        </w:rPr>
      </w:pPr>
      <w:bookmarkStart w:id="211" w:name="_Toc296602530"/>
      <w:bookmarkStart w:id="212" w:name="_Toc152042460"/>
      <w:bookmarkStart w:id="213" w:name="_Toc144974650"/>
      <w:bookmarkStart w:id="214" w:name="_Toc179632700"/>
      <w:bookmarkStart w:id="215" w:name="_Toc152045682"/>
      <w:r>
        <w:rPr>
          <w:rFonts w:hint="eastAsia" w:ascii="黑体" w:eastAsia="黑体"/>
          <w:color w:val="000000" w:themeColor="text1"/>
        </w:rPr>
        <w:t>6.1</w:t>
      </w:r>
      <w:r>
        <w:rPr>
          <w:rFonts w:hint="eastAsia" w:ascii="黑体" w:eastAsia="黑体"/>
          <w:color w:val="000000" w:themeColor="text1"/>
        </w:rPr>
        <w:tab/>
      </w:r>
      <w:r>
        <w:rPr>
          <w:rFonts w:hint="eastAsia" w:ascii="黑体" w:eastAsia="黑体"/>
          <w:color w:val="000000" w:themeColor="text1"/>
        </w:rPr>
        <w:t>进度计划</w:t>
      </w:r>
      <w:bookmarkEnd w:id="211"/>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承包</w:t>
      </w:r>
      <w:r>
        <w:rPr>
          <w:rFonts w:ascii="宋体" w:hAnsi="宋体"/>
          <w:color w:val="000000" w:themeColor="text1"/>
        </w:rPr>
        <w:t>人应按照</w:t>
      </w:r>
      <w:r>
        <w:rPr>
          <w:rFonts w:hint="eastAsia" w:ascii="宋体" w:hAnsi="宋体"/>
          <w:color w:val="000000" w:themeColor="text1"/>
        </w:rPr>
        <w:t>专用合同条款约</w:t>
      </w:r>
      <w:r>
        <w:rPr>
          <w:rFonts w:ascii="宋体" w:hAnsi="宋体"/>
          <w:color w:val="000000" w:themeColor="text1"/>
        </w:rPr>
        <w:t>定的时间，向监理人提交进度计划</w:t>
      </w:r>
      <w:r>
        <w:rPr>
          <w:rFonts w:hint="eastAsia" w:ascii="宋体" w:hAnsi="宋体"/>
          <w:color w:val="000000" w:themeColor="text1"/>
        </w:rPr>
        <w:t>。</w:t>
      </w:r>
      <w:r>
        <w:rPr>
          <w:rFonts w:ascii="宋体" w:hAnsi="宋体"/>
          <w:color w:val="000000" w:themeColor="text1"/>
        </w:rPr>
        <w:t>经监理人审批后</w:t>
      </w:r>
      <w:r>
        <w:rPr>
          <w:rFonts w:hint="eastAsia" w:ascii="宋体" w:hAnsi="宋体"/>
          <w:color w:val="000000" w:themeColor="text1"/>
        </w:rPr>
        <w:t>的进度计划具有合同约束力，承包人应当严格执行。实际进度与进度计划不符时，监理人应当指示承包人对进度计划进行修订，重新提交给监理人审批。</w:t>
      </w:r>
    </w:p>
    <w:bookmarkEnd w:id="212"/>
    <w:bookmarkEnd w:id="213"/>
    <w:bookmarkEnd w:id="214"/>
    <w:bookmarkEnd w:id="215"/>
    <w:p>
      <w:pPr>
        <w:snapToGrid w:val="0"/>
        <w:spacing w:beforeAutospacing="0" w:afterAutospacing="0"/>
        <w:ind w:left="991" w:hanging="991" w:hangingChars="413"/>
        <w:rPr>
          <w:rFonts w:ascii="黑体" w:eastAsia="黑体"/>
          <w:color w:val="000000" w:themeColor="text1"/>
        </w:rPr>
      </w:pPr>
      <w:bookmarkStart w:id="216" w:name="_Toc296602531"/>
      <w:r>
        <w:rPr>
          <w:rFonts w:hint="eastAsia" w:ascii="黑体" w:eastAsia="黑体"/>
          <w:color w:val="000000" w:themeColor="text1"/>
        </w:rPr>
        <w:t>6.2</w:t>
      </w:r>
      <w:r>
        <w:rPr>
          <w:rFonts w:hint="eastAsia" w:ascii="黑体" w:eastAsia="黑体"/>
          <w:color w:val="000000" w:themeColor="text1"/>
        </w:rPr>
        <w:tab/>
      </w:r>
      <w:r>
        <w:rPr>
          <w:rFonts w:hint="eastAsia" w:ascii="黑体" w:eastAsia="黑体"/>
          <w:color w:val="000000" w:themeColor="text1"/>
        </w:rPr>
        <w:t>工程实施</w:t>
      </w:r>
      <w:bookmarkEnd w:id="216"/>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监理人应在开工日期7天前向承包人发出开工通知。承包人应在第</w:t>
      </w:r>
      <w:r>
        <w:rPr>
          <w:rFonts w:ascii="宋体" w:hAnsi="宋体"/>
          <w:color w:val="000000" w:themeColor="text1"/>
        </w:rPr>
        <w:t>1.1.4.3</w:t>
      </w:r>
      <w:r>
        <w:rPr>
          <w:rFonts w:hint="eastAsia" w:ascii="宋体" w:hAnsi="宋体"/>
          <w:color w:val="000000" w:themeColor="text1"/>
        </w:rPr>
        <w:t>目约定的期限内完成合同工程。实际竣工日期在接收证书中写明。</w:t>
      </w:r>
    </w:p>
    <w:p>
      <w:pPr>
        <w:snapToGrid w:val="0"/>
        <w:spacing w:beforeAutospacing="0" w:afterAutospacing="0"/>
        <w:ind w:left="991" w:hanging="991" w:hangingChars="413"/>
        <w:rPr>
          <w:rFonts w:ascii="黑体" w:eastAsia="黑体"/>
          <w:color w:val="000000" w:themeColor="text1"/>
        </w:rPr>
      </w:pPr>
      <w:bookmarkStart w:id="217" w:name="_Toc152042463"/>
      <w:bookmarkStart w:id="218" w:name="_Toc152045685"/>
      <w:bookmarkStart w:id="219" w:name="_Toc296602532"/>
      <w:bookmarkStart w:id="220" w:name="_Toc144974653"/>
      <w:bookmarkStart w:id="221" w:name="_Toc179632703"/>
      <w:r>
        <w:rPr>
          <w:rFonts w:hint="eastAsia" w:ascii="黑体" w:eastAsia="黑体"/>
          <w:color w:val="000000" w:themeColor="text1"/>
        </w:rPr>
        <w:t>6.3</w:t>
      </w:r>
      <w:r>
        <w:rPr>
          <w:rFonts w:hint="eastAsia" w:ascii="黑体" w:eastAsia="黑体"/>
          <w:color w:val="000000" w:themeColor="text1"/>
        </w:rPr>
        <w:tab/>
      </w:r>
      <w:r>
        <w:rPr>
          <w:rFonts w:hint="eastAsia" w:ascii="黑体" w:eastAsia="黑体"/>
          <w:color w:val="000000" w:themeColor="text1"/>
        </w:rPr>
        <w:t>发包人引起的工期延误</w:t>
      </w:r>
      <w:bookmarkEnd w:id="217"/>
      <w:bookmarkEnd w:id="218"/>
      <w:bookmarkEnd w:id="219"/>
      <w:bookmarkEnd w:id="220"/>
      <w:bookmarkEnd w:id="221"/>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在履行合同过程中，由于发包人的下列原因造成工期延误的，承包人有权要求发包人延长工期和（或）增加费用，并支付合理利润。需要修订合同进度计划的，按照第6.1款的约定执行。</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（1）增加合同工作内容；</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（2）改变合同中任何一项工作的质量要求或其他特性；</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（3）发包人迟延提供材料、工程设备或变更交货地点；</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（4）因发包人原因导致的暂停施工；</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（5）提供图纸延误；</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（6）未按合同约定及时支付预付款、进度款；</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（7）发包人造成工期延误的其他原因。</w:t>
      </w:r>
    </w:p>
    <w:p>
      <w:pPr>
        <w:snapToGrid w:val="0"/>
        <w:spacing w:beforeAutospacing="0" w:afterAutospacing="0"/>
        <w:ind w:left="991" w:hanging="991" w:hangingChars="413"/>
        <w:rPr>
          <w:rFonts w:ascii="黑体" w:eastAsia="黑体"/>
          <w:color w:val="000000" w:themeColor="text1"/>
        </w:rPr>
      </w:pPr>
      <w:bookmarkStart w:id="222" w:name="_Toc296602533"/>
      <w:bookmarkStart w:id="223" w:name="_Toc152042464"/>
      <w:bookmarkStart w:id="224" w:name="_Toc179632704"/>
      <w:bookmarkStart w:id="225" w:name="_Toc152045686"/>
      <w:bookmarkStart w:id="226" w:name="_Toc144974654"/>
      <w:r>
        <w:rPr>
          <w:rFonts w:hint="eastAsia" w:ascii="黑体" w:eastAsia="黑体"/>
          <w:color w:val="000000" w:themeColor="text1"/>
        </w:rPr>
        <w:t>6.4</w:t>
      </w:r>
      <w:r>
        <w:rPr>
          <w:rFonts w:hint="eastAsia" w:ascii="黑体" w:eastAsia="黑体"/>
          <w:color w:val="000000" w:themeColor="text1"/>
        </w:rPr>
        <w:tab/>
      </w:r>
      <w:r>
        <w:rPr>
          <w:rFonts w:hint="eastAsia" w:ascii="黑体" w:eastAsia="黑体"/>
          <w:color w:val="000000" w:themeColor="text1"/>
        </w:rPr>
        <w:t>异常恶劣的气候条件</w:t>
      </w:r>
      <w:bookmarkEnd w:id="222"/>
      <w:bookmarkEnd w:id="223"/>
      <w:bookmarkEnd w:id="224"/>
      <w:bookmarkEnd w:id="225"/>
      <w:bookmarkEnd w:id="226"/>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由于出现专用合同条款约定的异常恶劣气候导致工期延误的，承包人有权要求发包人延长工期。</w:t>
      </w:r>
    </w:p>
    <w:p>
      <w:pPr>
        <w:snapToGrid w:val="0"/>
        <w:spacing w:beforeAutospacing="0" w:afterAutospacing="0"/>
        <w:ind w:left="991" w:hanging="991" w:hangingChars="413"/>
        <w:rPr>
          <w:rFonts w:ascii="黑体" w:eastAsia="黑体"/>
          <w:color w:val="000000" w:themeColor="text1"/>
        </w:rPr>
      </w:pPr>
      <w:bookmarkStart w:id="227" w:name="_Toc144974655"/>
      <w:bookmarkStart w:id="228" w:name="_Toc152045687"/>
      <w:bookmarkStart w:id="229" w:name="_Toc179632705"/>
      <w:bookmarkStart w:id="230" w:name="_Toc152042465"/>
      <w:bookmarkStart w:id="231" w:name="_Toc296602534"/>
      <w:r>
        <w:rPr>
          <w:rFonts w:hint="eastAsia" w:ascii="黑体" w:eastAsia="黑体"/>
          <w:color w:val="000000" w:themeColor="text1"/>
        </w:rPr>
        <w:t>6.5</w:t>
      </w:r>
      <w:r>
        <w:rPr>
          <w:rFonts w:hint="eastAsia" w:ascii="黑体" w:eastAsia="黑体"/>
          <w:color w:val="000000" w:themeColor="text1"/>
        </w:rPr>
        <w:tab/>
      </w:r>
      <w:r>
        <w:rPr>
          <w:rFonts w:hint="eastAsia" w:ascii="黑体" w:eastAsia="黑体"/>
          <w:color w:val="000000" w:themeColor="text1"/>
        </w:rPr>
        <w:t>承包人引起的工期延误</w:t>
      </w:r>
      <w:bookmarkEnd w:id="227"/>
      <w:bookmarkEnd w:id="228"/>
      <w:bookmarkEnd w:id="229"/>
      <w:bookmarkEnd w:id="230"/>
      <w:bookmarkEnd w:id="231"/>
    </w:p>
    <w:p>
      <w:pPr>
        <w:snapToGrid w:val="0"/>
        <w:spacing w:beforeAutospacing="0" w:afterAutospacing="0"/>
        <w:ind w:left="1133" w:leftChars="472"/>
        <w:rPr>
          <w:rFonts w:ascii="宋体" w:hAnsi="宋体"/>
          <w:color w:val="000000" w:themeColor="text1"/>
        </w:rPr>
      </w:pPr>
      <w:r>
        <w:rPr>
          <w:rFonts w:ascii="宋体" w:hAnsi="宋体"/>
          <w:color w:val="000000" w:themeColor="text1"/>
        </w:rPr>
        <w:t>由于</w:t>
      </w:r>
      <w:r>
        <w:rPr>
          <w:rFonts w:hint="eastAsia" w:ascii="宋体" w:hAnsi="宋体"/>
          <w:color w:val="000000" w:themeColor="text1"/>
        </w:rPr>
        <w:t>承包</w:t>
      </w:r>
      <w:r>
        <w:rPr>
          <w:rFonts w:ascii="宋体" w:hAnsi="宋体"/>
          <w:color w:val="000000" w:themeColor="text1"/>
        </w:rPr>
        <w:t>人原因造成工期延误，</w:t>
      </w:r>
      <w:r>
        <w:rPr>
          <w:rFonts w:hint="eastAsia" w:ascii="宋体" w:hAnsi="宋体"/>
          <w:color w:val="000000" w:themeColor="text1"/>
        </w:rPr>
        <w:t>承包</w:t>
      </w:r>
      <w:r>
        <w:rPr>
          <w:rFonts w:ascii="宋体" w:hAnsi="宋体"/>
          <w:color w:val="000000" w:themeColor="text1"/>
        </w:rPr>
        <w:t>人应按照</w:t>
      </w:r>
      <w:r>
        <w:rPr>
          <w:rFonts w:hint="eastAsia" w:ascii="宋体" w:hAnsi="宋体"/>
          <w:color w:val="000000" w:themeColor="text1"/>
        </w:rPr>
        <w:t>专用合同条款</w:t>
      </w:r>
      <w:r>
        <w:rPr>
          <w:rFonts w:ascii="宋体" w:hAnsi="宋体"/>
          <w:color w:val="000000" w:themeColor="text1"/>
        </w:rPr>
        <w:t>中约定的逾期竣工违约金计算方法</w:t>
      </w:r>
      <w:r>
        <w:rPr>
          <w:rFonts w:hint="eastAsia" w:ascii="宋体" w:hAnsi="宋体"/>
          <w:color w:val="000000" w:themeColor="text1"/>
        </w:rPr>
        <w:t>和最高限额</w:t>
      </w:r>
      <w:r>
        <w:rPr>
          <w:rFonts w:ascii="宋体" w:hAnsi="宋体"/>
          <w:color w:val="000000" w:themeColor="text1"/>
        </w:rPr>
        <w:t>，支付逾期竣工违约金</w:t>
      </w:r>
      <w:r>
        <w:rPr>
          <w:rFonts w:hint="eastAsia" w:ascii="宋体" w:hAnsi="宋体"/>
          <w:color w:val="000000" w:themeColor="text1"/>
        </w:rPr>
        <w:t>。承包人支付逾期竣工违约金，不免除承包人完成工程及修补缺陷的义务。</w:t>
      </w:r>
    </w:p>
    <w:bookmarkEnd w:id="185"/>
    <w:bookmarkEnd w:id="186"/>
    <w:bookmarkEnd w:id="187"/>
    <w:p>
      <w:pPr>
        <w:snapToGrid w:val="0"/>
        <w:spacing w:beforeAutospacing="0" w:afterAutospacing="0"/>
        <w:ind w:left="991" w:hanging="991" w:hangingChars="413"/>
        <w:outlineLvl w:val="2"/>
        <w:rPr>
          <w:rFonts w:ascii="黑体" w:eastAsia="黑体"/>
          <w:color w:val="000000" w:themeColor="text1"/>
        </w:rPr>
      </w:pPr>
      <w:bookmarkStart w:id="232" w:name="_Toc246997034"/>
      <w:bookmarkStart w:id="233" w:name="_Toc246996291"/>
      <w:bookmarkStart w:id="234" w:name="_Toc247085806"/>
      <w:bookmarkStart w:id="235" w:name="_Toc32611"/>
      <w:bookmarkStart w:id="236" w:name="_Toc296602535"/>
      <w:bookmarkStart w:id="237" w:name="_Toc184635110"/>
      <w:bookmarkStart w:id="238" w:name="_Toc13114"/>
      <w:r>
        <w:rPr>
          <w:rFonts w:hint="eastAsia" w:ascii="黑体" w:eastAsia="黑体"/>
          <w:color w:val="000000" w:themeColor="text1"/>
        </w:rPr>
        <w:t>7.</w:t>
      </w:r>
      <w:r>
        <w:rPr>
          <w:rFonts w:hint="eastAsia" w:ascii="黑体" w:eastAsia="黑体"/>
          <w:color w:val="000000" w:themeColor="text1"/>
        </w:rPr>
        <w:tab/>
      </w:r>
      <w:r>
        <w:rPr>
          <w:rFonts w:hint="eastAsia" w:ascii="黑体" w:eastAsia="黑体"/>
          <w:color w:val="000000" w:themeColor="text1"/>
        </w:rPr>
        <w:t>工程质量</w:t>
      </w:r>
      <w:bookmarkEnd w:id="232"/>
      <w:bookmarkEnd w:id="233"/>
      <w:bookmarkEnd w:id="234"/>
      <w:bookmarkEnd w:id="235"/>
      <w:bookmarkEnd w:id="236"/>
      <w:bookmarkEnd w:id="237"/>
      <w:bookmarkEnd w:id="238"/>
    </w:p>
    <w:p>
      <w:pPr>
        <w:snapToGrid w:val="0"/>
        <w:spacing w:beforeAutospacing="0" w:afterAutospacing="0"/>
        <w:ind w:left="991" w:hanging="991" w:hangingChars="413"/>
        <w:rPr>
          <w:rFonts w:ascii="黑体" w:eastAsia="黑体"/>
          <w:color w:val="000000" w:themeColor="text1"/>
        </w:rPr>
      </w:pPr>
      <w:bookmarkStart w:id="239" w:name="_Toc246997035"/>
      <w:bookmarkStart w:id="240" w:name="_Toc247085807"/>
      <w:bookmarkStart w:id="241" w:name="_Toc296602536"/>
      <w:bookmarkStart w:id="242" w:name="_Toc246996292"/>
      <w:r>
        <w:rPr>
          <w:rFonts w:hint="eastAsia" w:ascii="黑体" w:eastAsia="黑体"/>
          <w:color w:val="000000" w:themeColor="text1"/>
        </w:rPr>
        <w:t>7.1</w:t>
      </w:r>
      <w:r>
        <w:rPr>
          <w:rFonts w:hint="eastAsia" w:ascii="黑体" w:eastAsia="黑体"/>
          <w:color w:val="000000" w:themeColor="text1"/>
        </w:rPr>
        <w:tab/>
      </w:r>
      <w:r>
        <w:rPr>
          <w:rFonts w:hint="eastAsia" w:ascii="黑体" w:eastAsia="黑体"/>
          <w:color w:val="000000" w:themeColor="text1"/>
        </w:rPr>
        <w:t>工程质量要求</w:t>
      </w:r>
      <w:bookmarkEnd w:id="239"/>
      <w:bookmarkEnd w:id="240"/>
      <w:bookmarkEnd w:id="241"/>
      <w:bookmarkEnd w:id="242"/>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工程质量验收按照合同约定的验收标准执行。</w:t>
      </w:r>
    </w:p>
    <w:p>
      <w:pPr>
        <w:snapToGrid w:val="0"/>
        <w:spacing w:beforeAutospacing="0" w:afterAutospacing="0"/>
        <w:ind w:left="991" w:hanging="991" w:hangingChars="413"/>
        <w:rPr>
          <w:rFonts w:ascii="黑体" w:eastAsia="黑体"/>
          <w:color w:val="000000" w:themeColor="text1"/>
        </w:rPr>
      </w:pPr>
      <w:bookmarkStart w:id="243" w:name="_Toc246997036"/>
      <w:bookmarkStart w:id="244" w:name="_Toc296602537"/>
      <w:bookmarkStart w:id="245" w:name="_Toc247085808"/>
      <w:bookmarkStart w:id="246" w:name="_Toc246996293"/>
      <w:r>
        <w:rPr>
          <w:rFonts w:hint="eastAsia" w:ascii="黑体" w:eastAsia="黑体"/>
          <w:color w:val="000000" w:themeColor="text1"/>
        </w:rPr>
        <w:t>7.2</w:t>
      </w:r>
      <w:r>
        <w:rPr>
          <w:rFonts w:hint="eastAsia" w:ascii="黑体" w:eastAsia="黑体"/>
          <w:color w:val="000000" w:themeColor="text1"/>
        </w:rPr>
        <w:tab/>
      </w:r>
      <w:r>
        <w:rPr>
          <w:rFonts w:hint="eastAsia" w:ascii="黑体" w:eastAsia="黑体"/>
          <w:color w:val="000000" w:themeColor="text1"/>
        </w:rPr>
        <w:t>监理人的质量检查</w:t>
      </w:r>
      <w:bookmarkEnd w:id="243"/>
      <w:bookmarkEnd w:id="244"/>
      <w:bookmarkEnd w:id="245"/>
      <w:bookmarkEnd w:id="246"/>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监理人有权对工程的所有部位及其施工工艺、材料和工程设备进行检查和检验。监理人的检查和检验，不免除承包人按合同约定应负的责任。</w:t>
      </w:r>
    </w:p>
    <w:p>
      <w:pPr>
        <w:snapToGrid w:val="0"/>
        <w:spacing w:beforeAutospacing="0" w:afterAutospacing="0"/>
        <w:ind w:left="991" w:hanging="991" w:hangingChars="413"/>
        <w:rPr>
          <w:rFonts w:ascii="黑体" w:eastAsia="黑体"/>
          <w:color w:val="000000" w:themeColor="text1"/>
        </w:rPr>
      </w:pPr>
      <w:bookmarkStart w:id="247" w:name="_Toc247085809"/>
      <w:bookmarkStart w:id="248" w:name="_Toc296602538"/>
      <w:bookmarkStart w:id="249" w:name="_Toc246997037"/>
      <w:bookmarkStart w:id="250" w:name="_Toc246996294"/>
      <w:r>
        <w:rPr>
          <w:rFonts w:hint="eastAsia" w:ascii="黑体" w:eastAsia="黑体"/>
          <w:color w:val="000000" w:themeColor="text1"/>
        </w:rPr>
        <w:t>7.3</w:t>
      </w:r>
      <w:r>
        <w:rPr>
          <w:rFonts w:hint="eastAsia" w:ascii="黑体" w:eastAsia="黑体"/>
          <w:color w:val="000000" w:themeColor="text1"/>
        </w:rPr>
        <w:tab/>
      </w:r>
      <w:r>
        <w:rPr>
          <w:rFonts w:hint="eastAsia" w:ascii="黑体" w:eastAsia="黑体"/>
          <w:color w:val="000000" w:themeColor="text1"/>
        </w:rPr>
        <w:t>工程隐蔽部位覆盖前的检查</w:t>
      </w:r>
      <w:bookmarkEnd w:id="247"/>
      <w:bookmarkEnd w:id="248"/>
      <w:bookmarkEnd w:id="249"/>
      <w:bookmarkEnd w:id="250"/>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经承包人自检确认的工程隐蔽部位具备覆盖条件后，承包人应通知监理人在约定的期限内检查。监理人应按时到场检查。监理人未到场检查的，除监理人另有指示外，承包人可自行完成覆盖工作。无论监理人是否到场检查，对已覆盖的工程隐蔽部位，监理人</w:t>
      </w:r>
      <w:r>
        <w:rPr>
          <w:rFonts w:ascii="宋体" w:hAnsi="宋体"/>
          <w:color w:val="000000" w:themeColor="text1"/>
        </w:rPr>
        <w:t>可</w:t>
      </w:r>
      <w:r>
        <w:rPr>
          <w:rFonts w:hint="eastAsia" w:ascii="宋体" w:hAnsi="宋体"/>
          <w:color w:val="000000" w:themeColor="text1"/>
        </w:rPr>
        <w:t>要求承包人对已覆盖的部位进行钻孔探测或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承包人未通知监理人到场检查，私自将工程隐蔽部位覆盖的，监理人有权指示承包人钻孔探测或揭开检查，无论工程隐蔽部位质量是否合格，由此增加的费用和（或）工期延误由承包人承担。</w:t>
      </w:r>
    </w:p>
    <w:p>
      <w:pPr>
        <w:snapToGrid w:val="0"/>
        <w:spacing w:beforeAutospacing="0" w:afterAutospacing="0"/>
        <w:ind w:left="991" w:hanging="991" w:hangingChars="413"/>
        <w:rPr>
          <w:rFonts w:ascii="黑体" w:eastAsia="黑体"/>
          <w:color w:val="000000" w:themeColor="text1"/>
        </w:rPr>
      </w:pPr>
      <w:bookmarkStart w:id="251" w:name="_Toc247085810"/>
      <w:bookmarkStart w:id="252" w:name="_Toc246997038"/>
      <w:bookmarkStart w:id="253" w:name="_Toc246996295"/>
      <w:bookmarkStart w:id="254" w:name="_Toc296602539"/>
      <w:r>
        <w:rPr>
          <w:rFonts w:hint="eastAsia" w:ascii="黑体" w:eastAsia="黑体"/>
          <w:color w:val="000000" w:themeColor="text1"/>
        </w:rPr>
        <w:t>7.4</w:t>
      </w:r>
      <w:r>
        <w:rPr>
          <w:rFonts w:hint="eastAsia" w:ascii="黑体" w:eastAsia="黑体"/>
          <w:color w:val="000000" w:themeColor="text1"/>
        </w:rPr>
        <w:tab/>
      </w:r>
      <w:r>
        <w:rPr>
          <w:rFonts w:hint="eastAsia" w:ascii="黑体" w:eastAsia="黑体"/>
          <w:color w:val="000000" w:themeColor="text1"/>
        </w:rPr>
        <w:t>清除不合格工程</w:t>
      </w:r>
      <w:bookmarkEnd w:id="251"/>
      <w:bookmarkEnd w:id="252"/>
      <w:bookmarkEnd w:id="253"/>
      <w:bookmarkEnd w:id="254"/>
    </w:p>
    <w:p>
      <w:pPr>
        <w:snapToGrid w:val="0"/>
        <w:spacing w:beforeAutospacing="0" w:afterAutospacing="0"/>
        <w:ind w:left="1133" w:leftChars="472"/>
        <w:rPr>
          <w:rFonts w:ascii="宋体" w:hAnsi="宋体"/>
          <w:color w:val="000000" w:themeColor="text1"/>
        </w:rPr>
      </w:pPr>
      <w:r>
        <w:rPr>
          <w:rFonts w:ascii="宋体" w:hAnsi="宋体"/>
          <w:color w:val="000000" w:themeColor="text1"/>
        </w:rPr>
        <w:t>由于</w:t>
      </w:r>
      <w:r>
        <w:rPr>
          <w:rFonts w:hint="eastAsia" w:ascii="宋体" w:hAnsi="宋体"/>
          <w:color w:val="000000" w:themeColor="text1"/>
        </w:rPr>
        <w:t>承包</w:t>
      </w:r>
      <w:r>
        <w:rPr>
          <w:rFonts w:ascii="宋体" w:hAnsi="宋体"/>
          <w:color w:val="000000" w:themeColor="text1"/>
        </w:rPr>
        <w:t>人的材料、工程设备，或采用施工工艺不符合合同</w:t>
      </w:r>
      <w:r>
        <w:rPr>
          <w:rFonts w:hint="eastAsia" w:ascii="宋体" w:hAnsi="宋体"/>
          <w:color w:val="000000" w:themeColor="text1"/>
        </w:rPr>
        <w:t>要求</w:t>
      </w:r>
      <w:r>
        <w:rPr>
          <w:rFonts w:ascii="宋体" w:hAnsi="宋体"/>
          <w:color w:val="000000" w:themeColor="text1"/>
        </w:rPr>
        <w:t>造成的任何缺陷，监理人可以随时发出指示，要求承包人立即采取措施进行补救，直至达到合同要求的质量标准，由此增加的费用和（或）工期延误由</w:t>
      </w:r>
      <w:r>
        <w:rPr>
          <w:rFonts w:hint="eastAsia" w:ascii="宋体" w:hAnsi="宋体"/>
          <w:color w:val="000000" w:themeColor="text1"/>
        </w:rPr>
        <w:t>承包</w:t>
      </w:r>
      <w:r>
        <w:rPr>
          <w:rFonts w:ascii="宋体" w:hAnsi="宋体"/>
          <w:color w:val="000000" w:themeColor="text1"/>
        </w:rPr>
        <w:t>人承担</w:t>
      </w:r>
      <w:r>
        <w:rPr>
          <w:rFonts w:hint="eastAsia" w:ascii="宋体" w:hAnsi="宋体"/>
          <w:color w:val="000000" w:themeColor="text1"/>
        </w:rPr>
        <w:t>。</w:t>
      </w:r>
    </w:p>
    <w:p>
      <w:pPr>
        <w:snapToGrid w:val="0"/>
        <w:spacing w:beforeAutospacing="0" w:afterAutospacing="0"/>
        <w:ind w:left="991" w:hanging="991" w:hangingChars="413"/>
        <w:outlineLvl w:val="2"/>
        <w:rPr>
          <w:rFonts w:ascii="黑体" w:eastAsia="黑体"/>
          <w:color w:val="000000" w:themeColor="text1"/>
        </w:rPr>
      </w:pPr>
      <w:bookmarkStart w:id="255" w:name="_Toc246997039"/>
      <w:bookmarkStart w:id="256" w:name="_Toc17189"/>
      <w:bookmarkStart w:id="257" w:name="_Toc247085811"/>
      <w:bookmarkStart w:id="258" w:name="_Toc246996296"/>
      <w:bookmarkStart w:id="259" w:name="_Toc296602540"/>
      <w:bookmarkStart w:id="260" w:name="_Toc6981"/>
      <w:r>
        <w:rPr>
          <w:rFonts w:hint="eastAsia" w:ascii="黑体" w:eastAsia="黑体"/>
          <w:color w:val="000000" w:themeColor="text1"/>
        </w:rPr>
        <w:t>8.</w:t>
      </w:r>
      <w:r>
        <w:rPr>
          <w:rFonts w:hint="eastAsia" w:ascii="黑体" w:eastAsia="黑体"/>
          <w:color w:val="000000" w:themeColor="text1"/>
        </w:rPr>
        <w:tab/>
      </w:r>
      <w:r>
        <w:rPr>
          <w:rFonts w:hint="eastAsia" w:ascii="黑体" w:eastAsia="黑体"/>
          <w:color w:val="000000" w:themeColor="text1"/>
        </w:rPr>
        <w:t>试验和检验</w:t>
      </w:r>
      <w:bookmarkEnd w:id="255"/>
      <w:bookmarkEnd w:id="256"/>
      <w:bookmarkEnd w:id="257"/>
      <w:bookmarkEnd w:id="258"/>
      <w:bookmarkEnd w:id="259"/>
      <w:bookmarkEnd w:id="260"/>
    </w:p>
    <w:p>
      <w:pPr>
        <w:snapToGrid w:val="0"/>
        <w:spacing w:beforeAutospacing="0" w:afterAutospacing="0"/>
        <w:ind w:left="991" w:hanging="991" w:hangingChars="413"/>
        <w:rPr>
          <w:rFonts w:ascii="黑体" w:eastAsia="黑体"/>
          <w:color w:val="000000" w:themeColor="text1"/>
        </w:rPr>
      </w:pPr>
      <w:bookmarkStart w:id="261" w:name="_Toc152045703"/>
      <w:bookmarkStart w:id="262" w:name="_Toc296602541"/>
      <w:bookmarkStart w:id="263" w:name="_Toc152042481"/>
      <w:bookmarkStart w:id="264" w:name="_Toc179632721"/>
      <w:bookmarkStart w:id="265" w:name="_Toc144974672"/>
      <w:r>
        <w:rPr>
          <w:rFonts w:hint="eastAsia" w:ascii="黑体" w:eastAsia="黑体"/>
          <w:color w:val="000000" w:themeColor="text1"/>
        </w:rPr>
        <w:t>8.1</w:t>
      </w:r>
      <w:r>
        <w:rPr>
          <w:rFonts w:hint="eastAsia" w:ascii="黑体" w:eastAsia="黑体"/>
          <w:color w:val="000000" w:themeColor="text1"/>
        </w:rPr>
        <w:tab/>
      </w:r>
      <w:r>
        <w:rPr>
          <w:rFonts w:hint="eastAsia" w:ascii="黑体" w:eastAsia="黑体"/>
          <w:color w:val="000000" w:themeColor="text1"/>
        </w:rPr>
        <w:t>材料、工程设备和工程的试验和检验</w:t>
      </w:r>
      <w:bookmarkEnd w:id="261"/>
      <w:bookmarkEnd w:id="262"/>
      <w:bookmarkEnd w:id="263"/>
      <w:bookmarkEnd w:id="264"/>
      <w:bookmarkEnd w:id="265"/>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8.1.1</w:t>
      </w:r>
      <w:r>
        <w:rPr>
          <w:rFonts w:hint="eastAsia" w:ascii="宋体" w:hAnsi="宋体"/>
          <w:color w:val="000000" w:themeColor="text1"/>
        </w:rPr>
        <w:tab/>
      </w:r>
      <w:r>
        <w:rPr>
          <w:rFonts w:hint="eastAsia" w:ascii="宋体" w:hAnsi="宋体"/>
          <w:color w:val="000000" w:themeColor="text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8.1.2</w:t>
      </w:r>
      <w:r>
        <w:rPr>
          <w:rFonts w:hint="eastAsia" w:ascii="宋体" w:hAnsi="宋体"/>
          <w:color w:val="000000" w:themeColor="text1"/>
        </w:rPr>
        <w:tab/>
      </w:r>
      <w:r>
        <w:rPr>
          <w:rFonts w:hint="eastAsia" w:ascii="宋体" w:hAnsi="宋体"/>
          <w:color w:val="000000" w:themeColor="text1"/>
        </w:rPr>
        <w:t>监理人未按合同约定派员参加试验和检验的，除监理人另有指示外，承包人可自行试验和检验，并应立即将试验和检验结果报送监理人，监理人应签字确认。</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8.1.3</w:t>
      </w:r>
      <w:r>
        <w:rPr>
          <w:rFonts w:hint="eastAsia" w:ascii="宋体" w:hAnsi="宋体"/>
          <w:color w:val="000000" w:themeColor="text1"/>
        </w:rPr>
        <w:tab/>
      </w:r>
      <w:r>
        <w:rPr>
          <w:rFonts w:hint="eastAsia" w:ascii="宋体" w:hAnsi="宋体"/>
          <w:color w:val="000000" w:themeColor="text1"/>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napToGrid w:val="0"/>
        <w:spacing w:beforeAutospacing="0" w:afterAutospacing="0"/>
        <w:ind w:left="991" w:hanging="991" w:hangingChars="413"/>
        <w:rPr>
          <w:rFonts w:ascii="黑体" w:eastAsia="黑体"/>
          <w:color w:val="000000" w:themeColor="text1"/>
        </w:rPr>
      </w:pPr>
      <w:bookmarkStart w:id="266" w:name="_Toc144974673"/>
      <w:bookmarkStart w:id="267" w:name="_Toc296602542"/>
      <w:bookmarkStart w:id="268" w:name="_Toc152045704"/>
      <w:bookmarkStart w:id="269" w:name="_Toc152042482"/>
      <w:bookmarkStart w:id="270" w:name="_Toc179632722"/>
      <w:r>
        <w:rPr>
          <w:rFonts w:hint="eastAsia" w:ascii="黑体" w:eastAsia="黑体"/>
          <w:color w:val="000000" w:themeColor="text1"/>
        </w:rPr>
        <w:t>8.2</w:t>
      </w:r>
      <w:r>
        <w:rPr>
          <w:rFonts w:hint="eastAsia" w:ascii="黑体" w:eastAsia="黑体"/>
          <w:color w:val="000000" w:themeColor="text1"/>
        </w:rPr>
        <w:tab/>
      </w:r>
      <w:r>
        <w:rPr>
          <w:rFonts w:hint="eastAsia" w:ascii="黑体" w:eastAsia="黑体"/>
          <w:color w:val="000000" w:themeColor="text1"/>
        </w:rPr>
        <w:t>现场材料试验</w:t>
      </w:r>
      <w:bookmarkEnd w:id="266"/>
      <w:bookmarkEnd w:id="267"/>
      <w:bookmarkEnd w:id="268"/>
      <w:bookmarkEnd w:id="269"/>
      <w:bookmarkEnd w:id="270"/>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8.2.1</w:t>
      </w:r>
      <w:r>
        <w:rPr>
          <w:rFonts w:hint="eastAsia" w:ascii="宋体" w:hAnsi="宋体"/>
          <w:color w:val="000000" w:themeColor="text1"/>
        </w:rPr>
        <w:tab/>
      </w:r>
      <w:r>
        <w:rPr>
          <w:rFonts w:hint="eastAsia" w:ascii="宋体" w:hAnsi="宋体"/>
          <w:color w:val="000000" w:themeColor="text1"/>
        </w:rPr>
        <w:t>承包人根据合同约定或监理人指示进行的现场材料试验，应由承包人提供试验场所、试验人员、试验设备器材以及其他必要的试验条件。</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8.2.2</w:t>
      </w:r>
      <w:r>
        <w:rPr>
          <w:rFonts w:hint="eastAsia" w:ascii="宋体" w:hAnsi="宋体"/>
          <w:color w:val="000000" w:themeColor="text1"/>
        </w:rPr>
        <w:tab/>
      </w:r>
      <w:r>
        <w:rPr>
          <w:rFonts w:hint="eastAsia" w:ascii="宋体" w:hAnsi="宋体"/>
          <w:color w:val="000000" w:themeColor="text1"/>
        </w:rPr>
        <w:t>监理人在必要时可以使用承包人的试验场所、试验设备器材以及其他试验条件，进行以工程质量检查为目的的复核性材料试验，承包人应予以协助。</w:t>
      </w:r>
    </w:p>
    <w:p>
      <w:pPr>
        <w:snapToGrid w:val="0"/>
        <w:spacing w:beforeAutospacing="0" w:afterAutospacing="0"/>
        <w:ind w:left="991" w:hanging="991" w:hangingChars="413"/>
        <w:outlineLvl w:val="2"/>
        <w:rPr>
          <w:rFonts w:ascii="黑体" w:eastAsia="黑体"/>
          <w:color w:val="000000" w:themeColor="text1"/>
        </w:rPr>
      </w:pPr>
      <w:bookmarkStart w:id="271" w:name="_Toc246996297"/>
      <w:bookmarkStart w:id="272" w:name="_Toc8146"/>
      <w:bookmarkStart w:id="273" w:name="_Toc2046"/>
      <w:bookmarkStart w:id="274" w:name="_Toc296602543"/>
      <w:bookmarkStart w:id="275" w:name="_Toc246997040"/>
      <w:bookmarkStart w:id="276" w:name="_Toc184635112"/>
      <w:bookmarkStart w:id="277" w:name="_Toc247085812"/>
      <w:r>
        <w:rPr>
          <w:rFonts w:hint="eastAsia" w:ascii="黑体" w:eastAsia="黑体"/>
          <w:color w:val="000000" w:themeColor="text1"/>
        </w:rPr>
        <w:t>9.</w:t>
      </w:r>
      <w:r>
        <w:rPr>
          <w:rFonts w:hint="eastAsia" w:ascii="黑体" w:eastAsia="黑体"/>
          <w:color w:val="000000" w:themeColor="text1"/>
        </w:rPr>
        <w:tab/>
      </w:r>
      <w:r>
        <w:rPr>
          <w:rFonts w:hint="eastAsia" w:ascii="黑体" w:eastAsia="黑体"/>
          <w:color w:val="000000" w:themeColor="text1"/>
        </w:rPr>
        <w:t>变更</w:t>
      </w:r>
      <w:bookmarkEnd w:id="271"/>
      <w:bookmarkEnd w:id="272"/>
      <w:bookmarkEnd w:id="273"/>
      <w:bookmarkEnd w:id="274"/>
      <w:bookmarkEnd w:id="275"/>
      <w:bookmarkEnd w:id="276"/>
      <w:bookmarkEnd w:id="277"/>
    </w:p>
    <w:p>
      <w:pPr>
        <w:snapToGrid w:val="0"/>
        <w:spacing w:beforeAutospacing="0" w:afterAutospacing="0"/>
        <w:ind w:left="991" w:hanging="991" w:hangingChars="413"/>
        <w:rPr>
          <w:rFonts w:ascii="黑体" w:eastAsia="黑体"/>
          <w:color w:val="000000" w:themeColor="text1"/>
        </w:rPr>
      </w:pPr>
      <w:bookmarkStart w:id="278" w:name="_Toc247085813"/>
      <w:bookmarkStart w:id="279" w:name="_Toc246997041"/>
      <w:bookmarkStart w:id="280" w:name="_Toc296602544"/>
      <w:bookmarkStart w:id="281" w:name="_Toc246996298"/>
      <w:r>
        <w:rPr>
          <w:rFonts w:hint="eastAsia" w:ascii="黑体" w:eastAsia="黑体"/>
          <w:color w:val="000000" w:themeColor="text1"/>
        </w:rPr>
        <w:t>9.1</w:t>
      </w:r>
      <w:r>
        <w:rPr>
          <w:rFonts w:hint="eastAsia" w:ascii="黑体" w:eastAsia="黑体"/>
          <w:color w:val="000000" w:themeColor="text1"/>
        </w:rPr>
        <w:tab/>
      </w:r>
      <w:r>
        <w:rPr>
          <w:rFonts w:hint="eastAsia" w:ascii="黑体" w:eastAsia="黑体"/>
          <w:color w:val="000000" w:themeColor="text1"/>
        </w:rPr>
        <w:t>变更权</w:t>
      </w:r>
      <w:bookmarkEnd w:id="278"/>
      <w:bookmarkEnd w:id="279"/>
      <w:bookmarkEnd w:id="280"/>
      <w:bookmarkEnd w:id="281"/>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在履行合同过程中，经发包人同意，监理人可按第9.2款约定的变更程序向承包人作出变更指示，承包人应遵照执行。</w:t>
      </w:r>
    </w:p>
    <w:p>
      <w:pPr>
        <w:snapToGrid w:val="0"/>
        <w:spacing w:beforeAutospacing="0" w:afterAutospacing="0"/>
        <w:ind w:left="991" w:hanging="991" w:hangingChars="413"/>
        <w:rPr>
          <w:rFonts w:ascii="黑体" w:eastAsia="黑体"/>
          <w:color w:val="000000" w:themeColor="text1"/>
        </w:rPr>
      </w:pPr>
      <w:bookmarkStart w:id="282" w:name="_Toc247085814"/>
      <w:bookmarkStart w:id="283" w:name="_Toc296602545"/>
      <w:bookmarkStart w:id="284" w:name="_Toc246997042"/>
      <w:bookmarkStart w:id="285" w:name="_Toc246996299"/>
      <w:r>
        <w:rPr>
          <w:rFonts w:hint="eastAsia" w:ascii="黑体" w:eastAsia="黑体"/>
          <w:color w:val="000000" w:themeColor="text1"/>
        </w:rPr>
        <w:t>9.2</w:t>
      </w:r>
      <w:r>
        <w:rPr>
          <w:rFonts w:hint="eastAsia" w:ascii="黑体" w:eastAsia="黑体"/>
          <w:color w:val="000000" w:themeColor="text1"/>
        </w:rPr>
        <w:tab/>
      </w:r>
      <w:r>
        <w:rPr>
          <w:rFonts w:hint="eastAsia" w:ascii="黑体" w:eastAsia="黑体"/>
          <w:color w:val="000000" w:themeColor="text1"/>
        </w:rPr>
        <w:t>变更程序</w:t>
      </w:r>
      <w:bookmarkEnd w:id="282"/>
      <w:bookmarkEnd w:id="283"/>
      <w:bookmarkEnd w:id="284"/>
      <w:bookmarkEnd w:id="285"/>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承包</w:t>
      </w:r>
      <w:r>
        <w:rPr>
          <w:rFonts w:ascii="宋体" w:hAnsi="宋体"/>
          <w:color w:val="000000" w:themeColor="text1"/>
        </w:rPr>
        <w:t>人应在</w:t>
      </w:r>
      <w:r>
        <w:rPr>
          <w:rFonts w:hint="eastAsia" w:ascii="宋体" w:hAnsi="宋体"/>
          <w:color w:val="000000" w:themeColor="text1"/>
        </w:rPr>
        <w:t>收到变更指示14</w:t>
      </w:r>
      <w:r>
        <w:rPr>
          <w:rFonts w:ascii="宋体" w:hAnsi="宋体"/>
          <w:color w:val="000000" w:themeColor="text1"/>
        </w:rPr>
        <w:t>天内，向监理人提交</w:t>
      </w:r>
      <w:r>
        <w:rPr>
          <w:rFonts w:hint="eastAsia" w:ascii="宋体" w:hAnsi="宋体"/>
          <w:color w:val="000000" w:themeColor="text1"/>
        </w:rPr>
        <w:t>变更报价书</w:t>
      </w:r>
      <w:r>
        <w:rPr>
          <w:rFonts w:ascii="宋体" w:hAnsi="宋体"/>
          <w:color w:val="000000" w:themeColor="text1"/>
        </w:rPr>
        <w:t>。监理人应审查，并</w:t>
      </w:r>
      <w:r>
        <w:rPr>
          <w:rFonts w:hint="eastAsia" w:ascii="宋体" w:hAnsi="宋体"/>
          <w:color w:val="000000" w:themeColor="text1"/>
        </w:rPr>
        <w:t>在收到承包人变更报价书后14天内，</w:t>
      </w:r>
      <w:r>
        <w:rPr>
          <w:rFonts w:ascii="宋体" w:hAnsi="宋体"/>
          <w:color w:val="000000" w:themeColor="text1"/>
        </w:rPr>
        <w:t>与发包人和</w:t>
      </w:r>
      <w:r>
        <w:rPr>
          <w:rFonts w:hint="eastAsia" w:ascii="宋体" w:hAnsi="宋体"/>
          <w:color w:val="000000" w:themeColor="text1"/>
        </w:rPr>
        <w:t>承包</w:t>
      </w:r>
      <w:r>
        <w:rPr>
          <w:rFonts w:ascii="宋体" w:hAnsi="宋体"/>
          <w:color w:val="000000" w:themeColor="text1"/>
        </w:rPr>
        <w:t>人共同商定此估价。在未达成协议的情况下，监理人应确定该估价</w:t>
      </w:r>
      <w:r>
        <w:rPr>
          <w:rFonts w:hint="eastAsia" w:ascii="宋体" w:hAnsi="宋体"/>
          <w:color w:val="000000" w:themeColor="text1"/>
        </w:rPr>
        <w:t>。</w:t>
      </w:r>
    </w:p>
    <w:p>
      <w:pPr>
        <w:snapToGrid w:val="0"/>
        <w:spacing w:beforeAutospacing="0" w:afterAutospacing="0"/>
        <w:ind w:left="991" w:hanging="991" w:hangingChars="413"/>
        <w:rPr>
          <w:rFonts w:ascii="黑体" w:eastAsia="黑体"/>
          <w:color w:val="000000" w:themeColor="text1"/>
        </w:rPr>
      </w:pPr>
      <w:bookmarkStart w:id="286" w:name="_Toc246996300"/>
      <w:bookmarkStart w:id="287" w:name="_Toc246997043"/>
      <w:bookmarkStart w:id="288" w:name="_Toc296602546"/>
      <w:bookmarkStart w:id="289" w:name="_Toc247085815"/>
      <w:r>
        <w:rPr>
          <w:rFonts w:hint="eastAsia" w:ascii="黑体" w:eastAsia="黑体"/>
          <w:color w:val="000000" w:themeColor="text1"/>
        </w:rPr>
        <w:t>9.3</w:t>
      </w:r>
      <w:r>
        <w:rPr>
          <w:rFonts w:hint="eastAsia" w:ascii="黑体" w:eastAsia="黑体"/>
          <w:color w:val="000000" w:themeColor="text1"/>
        </w:rPr>
        <w:tab/>
      </w:r>
      <w:r>
        <w:rPr>
          <w:rFonts w:hint="eastAsia" w:ascii="黑体" w:eastAsia="黑体"/>
          <w:color w:val="000000" w:themeColor="text1"/>
        </w:rPr>
        <w:t>变更的估价原则</w:t>
      </w:r>
      <w:bookmarkEnd w:id="286"/>
      <w:bookmarkEnd w:id="287"/>
      <w:bookmarkEnd w:id="288"/>
      <w:bookmarkEnd w:id="289"/>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除专用合同条款另有约定外，因</w:t>
      </w:r>
      <w:r>
        <w:rPr>
          <w:rFonts w:ascii="宋体" w:hAnsi="宋体"/>
          <w:color w:val="000000" w:themeColor="text1"/>
        </w:rPr>
        <w:t>变更</w:t>
      </w:r>
      <w:r>
        <w:rPr>
          <w:rFonts w:hint="eastAsia" w:ascii="宋体" w:hAnsi="宋体"/>
          <w:color w:val="000000" w:themeColor="text1"/>
        </w:rPr>
        <w:t>引起的价格调整按照本款约定处理</w:t>
      </w:r>
      <w:r>
        <w:rPr>
          <w:rFonts w:ascii="宋体" w:hAnsi="宋体"/>
          <w:color w:val="000000" w:themeColor="text1"/>
        </w:rPr>
        <w:t>：</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（1）已标价工程量清单中有适用于变更工作的子目的，采用该子目的单价；</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（2）已标价工程量清单中无适用于变更工作的子目，但有类似子目的，可在合理范围内参照类似项目，由监理人按第3.5款商定或确定变更工作的单价；</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（3）已标价工程量清单中无适用或类似子目的单价，可按照成本加利润的原则，由监理人按第3.5款商定或确定变更工作的单价。</w:t>
      </w:r>
    </w:p>
    <w:p>
      <w:pPr>
        <w:snapToGrid w:val="0"/>
        <w:spacing w:beforeAutospacing="0" w:afterAutospacing="0"/>
        <w:ind w:left="991" w:hanging="991" w:hangingChars="413"/>
        <w:rPr>
          <w:rFonts w:ascii="黑体" w:eastAsia="黑体"/>
          <w:color w:val="000000" w:themeColor="text1"/>
        </w:rPr>
      </w:pPr>
      <w:bookmarkStart w:id="290" w:name="_Toc296602547"/>
      <w:bookmarkStart w:id="291" w:name="_Toc246997044"/>
      <w:bookmarkStart w:id="292" w:name="_Toc246996301"/>
      <w:bookmarkStart w:id="293" w:name="_Toc247085816"/>
      <w:r>
        <w:rPr>
          <w:rFonts w:hint="eastAsia" w:ascii="黑体" w:eastAsia="黑体"/>
          <w:color w:val="000000" w:themeColor="text1"/>
        </w:rPr>
        <w:t>9.4</w:t>
      </w:r>
      <w:r>
        <w:rPr>
          <w:rFonts w:hint="eastAsia" w:ascii="黑体" w:eastAsia="黑体"/>
          <w:color w:val="000000" w:themeColor="text1"/>
        </w:rPr>
        <w:tab/>
      </w:r>
      <w:r>
        <w:rPr>
          <w:rFonts w:hint="eastAsia" w:ascii="黑体" w:eastAsia="黑体"/>
          <w:color w:val="000000" w:themeColor="text1"/>
        </w:rPr>
        <w:t>暂列金额</w:t>
      </w:r>
      <w:bookmarkEnd w:id="290"/>
      <w:bookmarkEnd w:id="291"/>
      <w:bookmarkEnd w:id="292"/>
      <w:bookmarkEnd w:id="293"/>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暂列金额只能按照监理人的指示使用，并对合同价格进行相应调整。</w:t>
      </w:r>
    </w:p>
    <w:p>
      <w:pPr>
        <w:snapToGrid w:val="0"/>
        <w:spacing w:beforeAutospacing="0" w:afterAutospacing="0"/>
        <w:ind w:left="991" w:hanging="991" w:hangingChars="413"/>
        <w:rPr>
          <w:rFonts w:ascii="黑体" w:eastAsia="黑体"/>
          <w:color w:val="000000" w:themeColor="text1"/>
        </w:rPr>
      </w:pPr>
      <w:bookmarkStart w:id="294" w:name="_Toc246997045"/>
      <w:bookmarkStart w:id="295" w:name="_Toc246996302"/>
      <w:bookmarkStart w:id="296" w:name="_Toc247085817"/>
      <w:bookmarkStart w:id="297" w:name="_Toc296602548"/>
      <w:r>
        <w:rPr>
          <w:rFonts w:hint="eastAsia" w:ascii="黑体" w:eastAsia="黑体"/>
          <w:color w:val="000000" w:themeColor="text1"/>
        </w:rPr>
        <w:t>9.5</w:t>
      </w:r>
      <w:r>
        <w:rPr>
          <w:rFonts w:hint="eastAsia" w:ascii="黑体" w:eastAsia="黑体"/>
          <w:color w:val="000000" w:themeColor="text1"/>
        </w:rPr>
        <w:tab/>
      </w:r>
      <w:r>
        <w:rPr>
          <w:rFonts w:hint="eastAsia" w:ascii="黑体" w:eastAsia="黑体"/>
          <w:color w:val="000000" w:themeColor="text1"/>
        </w:rPr>
        <w:t>计日工</w:t>
      </w:r>
      <w:bookmarkEnd w:id="294"/>
      <w:bookmarkEnd w:id="295"/>
      <w:bookmarkEnd w:id="296"/>
      <w:bookmarkEnd w:id="297"/>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9.5.1</w:t>
      </w:r>
      <w:r>
        <w:rPr>
          <w:rFonts w:hint="eastAsia" w:ascii="宋体" w:hAnsi="宋体"/>
          <w:color w:val="000000" w:themeColor="text1"/>
        </w:rPr>
        <w:tab/>
      </w:r>
      <w:r>
        <w:rPr>
          <w:rFonts w:hint="eastAsia" w:ascii="宋体" w:hAnsi="宋体"/>
          <w:color w:val="000000" w:themeColor="text1"/>
        </w:rPr>
        <w:t>发包人认为有必要时，由监理人通知承包人以计日工方式实施变更的零星工作。其价款按列入已标价工程量清单中的计日工计价子目及其单价进行计算。</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9.5.2</w:t>
      </w:r>
      <w:r>
        <w:rPr>
          <w:rFonts w:hint="eastAsia" w:ascii="宋体" w:hAnsi="宋体"/>
          <w:color w:val="000000" w:themeColor="text1"/>
        </w:rPr>
        <w:tab/>
      </w:r>
      <w:r>
        <w:rPr>
          <w:rFonts w:hint="eastAsia" w:ascii="宋体" w:hAnsi="宋体"/>
          <w:color w:val="000000" w:themeColor="text1"/>
        </w:rPr>
        <w:t>采用计日工计价的任何一项变更工作，应从暂列金额中支付，承包人应在该项变更的实施过程中，每天提交以下报表和有关凭证报送监理人审批：</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（l）工作名称、内容和数量；</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（2）投入该工作所有人员的姓名、工种、级别和耗用工时；</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（3）投入该工作的材料类别和数量；</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（4）投入该工作的施工设备型号、台数和耗用台时；</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（5）监理人要求提交的其他资料和凭证。</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9.5.3</w:t>
      </w:r>
      <w:r>
        <w:rPr>
          <w:rFonts w:hint="eastAsia" w:ascii="宋体" w:hAnsi="宋体"/>
          <w:color w:val="000000" w:themeColor="text1"/>
        </w:rPr>
        <w:tab/>
      </w:r>
      <w:r>
        <w:rPr>
          <w:rFonts w:hint="eastAsia" w:ascii="宋体" w:hAnsi="宋体"/>
          <w:color w:val="000000" w:themeColor="text1"/>
        </w:rPr>
        <w:t>计日工由承包人汇总后，按第10.3款的约定列入进度付款申请单，由监理人复核并经发包人同意后列入进度付款。</w:t>
      </w:r>
    </w:p>
    <w:p>
      <w:pPr>
        <w:snapToGrid w:val="0"/>
        <w:spacing w:beforeAutospacing="0" w:afterAutospacing="0"/>
        <w:ind w:left="991" w:hanging="991" w:hangingChars="413"/>
        <w:outlineLvl w:val="2"/>
        <w:rPr>
          <w:rFonts w:ascii="黑体" w:eastAsia="黑体"/>
          <w:color w:val="000000" w:themeColor="text1"/>
        </w:rPr>
      </w:pPr>
      <w:bookmarkStart w:id="298" w:name="_Toc184635114"/>
      <w:bookmarkStart w:id="299" w:name="_Toc296602549"/>
      <w:bookmarkStart w:id="300" w:name="_Toc246997047"/>
      <w:bookmarkStart w:id="301" w:name="_Toc246996304"/>
      <w:bookmarkStart w:id="302" w:name="_Toc247085819"/>
      <w:bookmarkStart w:id="303" w:name="_Toc16529"/>
      <w:bookmarkStart w:id="304" w:name="_Toc23045"/>
      <w:r>
        <w:rPr>
          <w:rFonts w:hint="eastAsia" w:ascii="黑体" w:eastAsia="黑体"/>
          <w:color w:val="000000" w:themeColor="text1"/>
        </w:rPr>
        <w:t>10.</w:t>
      </w:r>
      <w:r>
        <w:rPr>
          <w:rFonts w:hint="eastAsia" w:ascii="黑体" w:eastAsia="黑体"/>
          <w:color w:val="000000" w:themeColor="text1"/>
        </w:rPr>
        <w:tab/>
      </w:r>
      <w:r>
        <w:rPr>
          <w:rFonts w:hint="eastAsia" w:ascii="黑体" w:eastAsia="黑体"/>
          <w:color w:val="000000" w:themeColor="text1"/>
        </w:rPr>
        <w:t>计量与支付</w:t>
      </w:r>
      <w:bookmarkEnd w:id="298"/>
      <w:bookmarkEnd w:id="299"/>
      <w:bookmarkEnd w:id="300"/>
      <w:bookmarkEnd w:id="301"/>
      <w:bookmarkEnd w:id="302"/>
      <w:bookmarkEnd w:id="303"/>
      <w:bookmarkEnd w:id="304"/>
    </w:p>
    <w:p>
      <w:pPr>
        <w:snapToGrid w:val="0"/>
        <w:spacing w:beforeAutospacing="0" w:afterAutospacing="0"/>
        <w:ind w:left="991" w:hanging="991" w:hangingChars="413"/>
        <w:rPr>
          <w:rFonts w:ascii="黑体" w:eastAsia="黑体"/>
          <w:color w:val="000000" w:themeColor="text1"/>
        </w:rPr>
      </w:pPr>
      <w:bookmarkStart w:id="305" w:name="_Toc246996305"/>
      <w:bookmarkStart w:id="306" w:name="_Toc296602550"/>
      <w:bookmarkStart w:id="307" w:name="_Toc247085820"/>
      <w:bookmarkStart w:id="308" w:name="_Toc246997048"/>
      <w:r>
        <w:rPr>
          <w:rFonts w:hint="eastAsia" w:ascii="黑体" w:eastAsia="黑体"/>
          <w:color w:val="000000" w:themeColor="text1"/>
        </w:rPr>
        <w:t>10.1</w:t>
      </w:r>
      <w:r>
        <w:rPr>
          <w:rFonts w:hint="eastAsia" w:ascii="黑体" w:eastAsia="黑体"/>
          <w:color w:val="000000" w:themeColor="text1"/>
        </w:rPr>
        <w:tab/>
      </w:r>
      <w:r>
        <w:rPr>
          <w:rFonts w:hint="eastAsia" w:ascii="黑体" w:eastAsia="黑体"/>
          <w:color w:val="000000" w:themeColor="text1"/>
        </w:rPr>
        <w:t>计量</w:t>
      </w:r>
      <w:bookmarkEnd w:id="305"/>
      <w:bookmarkEnd w:id="306"/>
      <w:bookmarkEnd w:id="307"/>
      <w:bookmarkEnd w:id="308"/>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除专用合同条款另有约定外，承包人应根据有合同约束力的进度计划，按月分解签约合同价，形成支付分解报告，送监理人批准后成为有合同约束力的支付分解表，按有合同约束力的支付分解表分期计量和支付；支付分解表应随进度计划的修订而调整；除按照第9条约定的变更外，签约合同价所基于的工程量即是用于竣工结算的最终工程量。</w:t>
      </w:r>
    </w:p>
    <w:p>
      <w:pPr>
        <w:snapToGrid w:val="0"/>
        <w:spacing w:beforeAutospacing="0" w:afterAutospacing="0"/>
        <w:ind w:left="991" w:hanging="991" w:hangingChars="413"/>
        <w:rPr>
          <w:rFonts w:ascii="黑体" w:eastAsia="黑体"/>
          <w:color w:val="000000" w:themeColor="text1"/>
        </w:rPr>
      </w:pPr>
      <w:bookmarkStart w:id="309" w:name="_Toc247085821"/>
      <w:bookmarkStart w:id="310" w:name="_Toc246996306"/>
      <w:bookmarkStart w:id="311" w:name="_Toc296602551"/>
      <w:bookmarkStart w:id="312" w:name="_Toc246997049"/>
      <w:r>
        <w:rPr>
          <w:rFonts w:hint="eastAsia" w:ascii="黑体" w:eastAsia="黑体"/>
          <w:color w:val="000000" w:themeColor="text1"/>
        </w:rPr>
        <w:t>10.2</w:t>
      </w:r>
      <w:r>
        <w:rPr>
          <w:rFonts w:hint="eastAsia" w:ascii="黑体" w:eastAsia="黑体"/>
          <w:color w:val="000000" w:themeColor="text1"/>
        </w:rPr>
        <w:tab/>
      </w:r>
      <w:r>
        <w:rPr>
          <w:rFonts w:hint="eastAsia" w:ascii="黑体" w:eastAsia="黑体"/>
          <w:color w:val="000000" w:themeColor="text1"/>
        </w:rPr>
        <w:t>预付款</w:t>
      </w:r>
      <w:bookmarkEnd w:id="309"/>
      <w:bookmarkEnd w:id="310"/>
      <w:bookmarkEnd w:id="311"/>
      <w:bookmarkEnd w:id="312"/>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预付款用于承包人为合同工程施工购置材料、工程设备、施工设备、修建临时设施以及组织施工队伍进场等。预付款的额度、预付办法，以及扣回与还清办法在专用合同条款中约定。预付款必须专用于合同工程。</w:t>
      </w:r>
    </w:p>
    <w:p>
      <w:pPr>
        <w:snapToGrid w:val="0"/>
        <w:spacing w:beforeAutospacing="0" w:afterAutospacing="0"/>
        <w:ind w:left="991" w:hanging="991" w:hangingChars="413"/>
        <w:rPr>
          <w:rFonts w:ascii="黑体" w:eastAsia="黑体"/>
          <w:color w:val="000000" w:themeColor="text1"/>
        </w:rPr>
      </w:pPr>
      <w:bookmarkStart w:id="313" w:name="_Toc296602552"/>
      <w:bookmarkStart w:id="314" w:name="_Toc246997050"/>
      <w:bookmarkStart w:id="315" w:name="_Toc246996307"/>
      <w:bookmarkStart w:id="316" w:name="_Toc247085822"/>
      <w:r>
        <w:rPr>
          <w:rFonts w:hint="eastAsia" w:ascii="黑体" w:eastAsia="黑体"/>
          <w:color w:val="000000" w:themeColor="text1"/>
        </w:rPr>
        <w:t>10.3</w:t>
      </w:r>
      <w:r>
        <w:rPr>
          <w:rFonts w:hint="eastAsia" w:ascii="黑体" w:eastAsia="黑体"/>
          <w:color w:val="000000" w:themeColor="text1"/>
        </w:rPr>
        <w:tab/>
      </w:r>
      <w:r>
        <w:rPr>
          <w:rFonts w:hint="eastAsia" w:ascii="黑体" w:eastAsia="黑体"/>
          <w:color w:val="000000" w:themeColor="text1"/>
        </w:rPr>
        <w:t>工程进度付款</w:t>
      </w:r>
      <w:bookmarkEnd w:id="313"/>
      <w:bookmarkEnd w:id="314"/>
      <w:bookmarkEnd w:id="315"/>
      <w:bookmarkEnd w:id="316"/>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承包人应在第10.1款约定的支付分解表确定的每个付款周期末，按监理人批准的格式和专用合同条款约定的份数，向监理人提交进度付款申请单，并附相应的支持性证明文件。除专用合同条款另有约定外，进度付款申请单应包括下列内容：</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（1）截至本次付款周期末已实施工程的合同价款；</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（2）根据第9条应增加和扣减的变更金额；</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（3）根据第16条应增加和扣减的索赔金额；</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（4）根据第10.2款应支付的预付款和扣减的返还预付款；</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（5）根据第10.4款应扣减的质量保证金；</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（6）根据合同应增加和扣减的其他金额。</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监理人应在收到承包人进度付款申请单以及相应的支持性证明文件后的7天内完成核查</w:t>
      </w:r>
      <w:r>
        <w:rPr>
          <w:rFonts w:ascii="宋体" w:hAnsi="宋体"/>
          <w:color w:val="000000" w:themeColor="text1"/>
        </w:rPr>
        <w:t>，</w:t>
      </w:r>
      <w:r>
        <w:rPr>
          <w:rFonts w:hint="eastAsia" w:ascii="宋体" w:hAnsi="宋体"/>
          <w:color w:val="000000" w:themeColor="text1"/>
        </w:rPr>
        <w:t>并向承包人出具经发包人签认的付款证书。</w:t>
      </w:r>
      <w:r>
        <w:rPr>
          <w:rFonts w:ascii="宋体" w:hAnsi="宋体"/>
          <w:color w:val="000000" w:themeColor="text1"/>
        </w:rPr>
        <w:t>发包人应在监理人收到进度付款申请单的</w:t>
      </w:r>
      <w:r>
        <w:rPr>
          <w:rFonts w:hint="eastAsia" w:ascii="宋体" w:hAnsi="宋体"/>
          <w:color w:val="000000" w:themeColor="text1"/>
        </w:rPr>
        <w:t>14</w:t>
      </w:r>
      <w:r>
        <w:rPr>
          <w:rFonts w:ascii="宋体" w:hAnsi="宋体"/>
          <w:color w:val="000000" w:themeColor="text1"/>
        </w:rPr>
        <w:t>天内将进度</w:t>
      </w:r>
      <w:r>
        <w:rPr>
          <w:rFonts w:hint="eastAsia" w:ascii="宋体" w:hAnsi="宋体"/>
          <w:color w:val="000000" w:themeColor="text1"/>
        </w:rPr>
        <w:t>应付</w:t>
      </w:r>
      <w:r>
        <w:rPr>
          <w:rFonts w:ascii="宋体" w:hAnsi="宋体"/>
          <w:color w:val="000000" w:themeColor="text1"/>
        </w:rPr>
        <w:t>款支付给</w:t>
      </w:r>
      <w:r>
        <w:rPr>
          <w:rFonts w:hint="eastAsia" w:ascii="宋体" w:hAnsi="宋体"/>
          <w:color w:val="000000" w:themeColor="text1"/>
        </w:rPr>
        <w:t>承包</w:t>
      </w:r>
      <w:r>
        <w:rPr>
          <w:rFonts w:ascii="宋体" w:hAnsi="宋体"/>
          <w:color w:val="000000" w:themeColor="text1"/>
        </w:rPr>
        <w:t>人</w:t>
      </w:r>
      <w:r>
        <w:rPr>
          <w:rFonts w:hint="eastAsia" w:ascii="宋体" w:hAnsi="宋体"/>
          <w:color w:val="000000" w:themeColor="text1"/>
        </w:rPr>
        <w:t>。涉及政府投资资金的，按照国库集中支付等国家相关规定和专用合同条款的约定执行。</w:t>
      </w:r>
    </w:p>
    <w:p>
      <w:pPr>
        <w:snapToGrid w:val="0"/>
        <w:spacing w:beforeAutospacing="0" w:afterAutospacing="0"/>
        <w:ind w:left="991" w:hanging="991" w:hangingChars="413"/>
        <w:rPr>
          <w:rFonts w:ascii="黑体" w:eastAsia="黑体"/>
          <w:color w:val="000000" w:themeColor="text1"/>
        </w:rPr>
      </w:pPr>
      <w:bookmarkStart w:id="317" w:name="_Toc246996308"/>
      <w:bookmarkStart w:id="318" w:name="_Toc296602553"/>
      <w:bookmarkStart w:id="319" w:name="_Toc246997051"/>
      <w:bookmarkStart w:id="320" w:name="_Toc247085823"/>
      <w:r>
        <w:rPr>
          <w:rFonts w:hint="eastAsia" w:ascii="黑体" w:eastAsia="黑体"/>
          <w:color w:val="000000" w:themeColor="text1"/>
        </w:rPr>
        <w:t>10.4</w:t>
      </w:r>
      <w:r>
        <w:rPr>
          <w:rFonts w:hint="eastAsia" w:ascii="黑体" w:eastAsia="黑体"/>
          <w:color w:val="000000" w:themeColor="text1"/>
        </w:rPr>
        <w:tab/>
      </w:r>
      <w:r>
        <w:rPr>
          <w:rFonts w:hint="eastAsia" w:ascii="黑体" w:eastAsia="黑体"/>
          <w:color w:val="000000" w:themeColor="text1"/>
        </w:rPr>
        <w:t>质量保证金</w:t>
      </w:r>
      <w:bookmarkEnd w:id="317"/>
      <w:bookmarkEnd w:id="318"/>
      <w:bookmarkEnd w:id="319"/>
      <w:bookmarkEnd w:id="320"/>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监理人应从第一个付款周期开始，在发包人的进度付款中，按专用合同条款的约定扣留质量保证金，直至扣留的质量保证金总额达到专用合同条款约定的金额或比例为止。</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在专用合同条款约定的缺陷责任期满时，承包人向发包人申请到期应返还承包人剩余的质量保证金金额，发包人应在14天内会同承包人按照合同约定的内容核实承包人是否完成缺陷责任，并将无异议的剩余质量保证金返还承包人。</w:t>
      </w:r>
    </w:p>
    <w:p>
      <w:pPr>
        <w:snapToGrid w:val="0"/>
        <w:spacing w:beforeAutospacing="0" w:afterAutospacing="0"/>
        <w:ind w:left="991" w:hanging="991" w:hangingChars="413"/>
        <w:rPr>
          <w:rFonts w:ascii="黑体" w:eastAsia="黑体"/>
          <w:color w:val="000000" w:themeColor="text1"/>
        </w:rPr>
      </w:pPr>
      <w:bookmarkStart w:id="321" w:name="_Toc246996309"/>
      <w:bookmarkStart w:id="322" w:name="_Toc246997052"/>
      <w:bookmarkStart w:id="323" w:name="_Toc296602554"/>
      <w:bookmarkStart w:id="324" w:name="_Toc247085824"/>
      <w:r>
        <w:rPr>
          <w:rFonts w:hint="eastAsia" w:ascii="黑体" w:eastAsia="黑体"/>
          <w:color w:val="000000" w:themeColor="text1"/>
        </w:rPr>
        <w:t>10.5</w:t>
      </w:r>
      <w:r>
        <w:rPr>
          <w:rFonts w:hint="eastAsia" w:ascii="黑体" w:eastAsia="黑体"/>
          <w:color w:val="000000" w:themeColor="text1"/>
        </w:rPr>
        <w:tab/>
      </w:r>
      <w:r>
        <w:rPr>
          <w:rFonts w:hint="eastAsia" w:ascii="黑体" w:eastAsia="黑体"/>
          <w:color w:val="000000" w:themeColor="text1"/>
        </w:rPr>
        <w:t>竣工结算</w:t>
      </w:r>
      <w:bookmarkEnd w:id="321"/>
      <w:bookmarkEnd w:id="322"/>
      <w:bookmarkEnd w:id="323"/>
      <w:bookmarkEnd w:id="324"/>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10.5.1</w:t>
      </w:r>
      <w:r>
        <w:rPr>
          <w:rFonts w:hint="eastAsia" w:ascii="宋体" w:hAnsi="宋体"/>
          <w:color w:val="000000" w:themeColor="text1"/>
        </w:rPr>
        <w:tab/>
      </w:r>
      <w:r>
        <w:rPr>
          <w:rFonts w:hint="eastAsia" w:ascii="宋体" w:hAnsi="宋体"/>
          <w:color w:val="000000" w:themeColor="text1"/>
        </w:rPr>
        <w:t>除专用合同条款另有约定外，竣工结算价格不因物价波动和法律变化而调整。</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10.5.2</w:t>
      </w:r>
      <w:r>
        <w:rPr>
          <w:rFonts w:hint="eastAsia" w:ascii="宋体" w:hAnsi="宋体"/>
          <w:color w:val="000000" w:themeColor="text1"/>
        </w:rPr>
        <w:tab/>
      </w:r>
      <w:r>
        <w:rPr>
          <w:rFonts w:ascii="宋体" w:hAnsi="宋体"/>
          <w:color w:val="000000" w:themeColor="text1"/>
        </w:rPr>
        <w:t>工程接收证书颁发后，承包人应按</w:t>
      </w:r>
      <w:r>
        <w:rPr>
          <w:rFonts w:hint="eastAsia" w:ascii="宋体" w:hAnsi="宋体"/>
          <w:color w:val="000000" w:themeColor="text1"/>
        </w:rPr>
        <w:t>专用合同条款</w:t>
      </w:r>
      <w:r>
        <w:rPr>
          <w:rFonts w:ascii="宋体" w:hAnsi="宋体"/>
          <w:color w:val="000000" w:themeColor="text1"/>
        </w:rPr>
        <w:t>约定的份数和期限向监理人提交竣工付款申请单，并提供相关证明材料。监理人</w:t>
      </w:r>
      <w:r>
        <w:rPr>
          <w:rFonts w:hint="eastAsia" w:ascii="宋体" w:hAnsi="宋体"/>
          <w:color w:val="000000" w:themeColor="text1"/>
        </w:rPr>
        <w:t>应当在</w:t>
      </w:r>
      <w:r>
        <w:rPr>
          <w:rFonts w:ascii="宋体" w:hAnsi="宋体"/>
          <w:color w:val="000000" w:themeColor="text1"/>
        </w:rPr>
        <w:t>收到竣工结算申请单的</w:t>
      </w:r>
      <w:r>
        <w:rPr>
          <w:rFonts w:hint="eastAsia" w:ascii="宋体" w:hAnsi="宋体"/>
          <w:color w:val="000000" w:themeColor="text1"/>
        </w:rPr>
        <w:t>7天内完成</w:t>
      </w:r>
      <w:r>
        <w:rPr>
          <w:rFonts w:ascii="宋体" w:hAnsi="宋体"/>
          <w:color w:val="000000" w:themeColor="text1"/>
        </w:rPr>
        <w:t>核查</w:t>
      </w:r>
      <w:r>
        <w:rPr>
          <w:rFonts w:hint="eastAsia" w:ascii="宋体" w:hAnsi="宋体"/>
          <w:color w:val="000000" w:themeColor="text1"/>
        </w:rPr>
        <w:t>、准备竣工付款证书并送发包人审核</w:t>
      </w:r>
      <w:r>
        <w:rPr>
          <w:rFonts w:ascii="宋体" w:hAnsi="宋体"/>
          <w:color w:val="000000" w:themeColor="text1"/>
        </w:rPr>
        <w:t>，发包人应在</w:t>
      </w:r>
      <w:r>
        <w:rPr>
          <w:rFonts w:hint="eastAsia" w:ascii="宋体" w:hAnsi="宋体"/>
          <w:color w:val="000000" w:themeColor="text1"/>
        </w:rPr>
        <w:t>收到后14</w:t>
      </w:r>
      <w:r>
        <w:rPr>
          <w:rFonts w:ascii="宋体" w:hAnsi="宋体"/>
          <w:color w:val="000000" w:themeColor="text1"/>
        </w:rPr>
        <w:t>天内</w:t>
      </w:r>
      <w:r>
        <w:rPr>
          <w:rFonts w:hint="eastAsia" w:ascii="宋体" w:hAnsi="宋体"/>
          <w:color w:val="000000" w:themeColor="text1"/>
        </w:rPr>
        <w:t>提出具体意见或签认竣工付款证书，并在</w:t>
      </w:r>
      <w:r>
        <w:rPr>
          <w:rFonts w:ascii="宋体" w:hAnsi="宋体"/>
          <w:color w:val="000000" w:themeColor="text1"/>
        </w:rPr>
        <w:t>监理人收到竣工结算申请单的</w:t>
      </w:r>
      <w:r>
        <w:rPr>
          <w:rFonts w:hint="eastAsia" w:ascii="宋体" w:hAnsi="宋体"/>
          <w:color w:val="000000" w:themeColor="text1"/>
        </w:rPr>
        <w:t>28</w:t>
      </w:r>
      <w:r>
        <w:rPr>
          <w:rFonts w:ascii="宋体" w:hAnsi="宋体"/>
          <w:color w:val="000000" w:themeColor="text1"/>
        </w:rPr>
        <w:t>天内将应付款支付给承包人。</w:t>
      </w:r>
      <w:r>
        <w:rPr>
          <w:rFonts w:hint="eastAsia" w:ascii="宋体" w:hAnsi="宋体"/>
          <w:color w:val="000000" w:themeColor="text1"/>
        </w:rPr>
        <w:t>发包人未在约定时间内审核并提出具体意见或者签认竣工付款证书的，视为同意承包人提出的竣工付款金额。</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10.5.3</w:t>
      </w:r>
      <w:r>
        <w:rPr>
          <w:rFonts w:hint="eastAsia" w:ascii="宋体" w:hAnsi="宋体"/>
          <w:color w:val="000000" w:themeColor="text1"/>
        </w:rPr>
        <w:tab/>
      </w:r>
      <w:r>
        <w:rPr>
          <w:rFonts w:hint="eastAsia" w:ascii="宋体" w:hAnsi="宋体"/>
          <w:color w:val="000000" w:themeColor="text1"/>
        </w:rPr>
        <w:t>竣工付款涉及政府投资资金的，按照国库集中支付等国家相关规定和专用合同条款的约定执行。</w:t>
      </w:r>
    </w:p>
    <w:p>
      <w:pPr>
        <w:snapToGrid w:val="0"/>
        <w:spacing w:beforeAutospacing="0" w:afterAutospacing="0"/>
        <w:ind w:left="991" w:hanging="991" w:hangingChars="413"/>
        <w:rPr>
          <w:rFonts w:ascii="黑体" w:eastAsia="黑体"/>
          <w:color w:val="000000" w:themeColor="text1"/>
        </w:rPr>
      </w:pPr>
      <w:bookmarkStart w:id="325" w:name="_Toc247085825"/>
      <w:bookmarkStart w:id="326" w:name="_Toc296602555"/>
      <w:bookmarkStart w:id="327" w:name="_Toc246996310"/>
      <w:bookmarkStart w:id="328" w:name="_Toc246997053"/>
      <w:r>
        <w:rPr>
          <w:rFonts w:hint="eastAsia" w:ascii="黑体" w:eastAsia="黑体"/>
          <w:color w:val="000000" w:themeColor="text1"/>
        </w:rPr>
        <w:t>10.6</w:t>
      </w:r>
      <w:r>
        <w:rPr>
          <w:rFonts w:hint="eastAsia" w:ascii="黑体" w:eastAsia="黑体"/>
          <w:color w:val="000000" w:themeColor="text1"/>
        </w:rPr>
        <w:tab/>
      </w:r>
      <w:r>
        <w:rPr>
          <w:rFonts w:hint="eastAsia" w:ascii="黑体" w:eastAsia="黑体"/>
          <w:color w:val="000000" w:themeColor="text1"/>
        </w:rPr>
        <w:t>付款延误</w:t>
      </w:r>
      <w:bookmarkEnd w:id="325"/>
      <w:bookmarkEnd w:id="326"/>
      <w:bookmarkEnd w:id="327"/>
      <w:bookmarkEnd w:id="328"/>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发包人不按期支付的，按专用合同条款的约定支付逾期付款违约金。</w:t>
      </w:r>
    </w:p>
    <w:p>
      <w:pPr>
        <w:snapToGrid w:val="0"/>
        <w:spacing w:beforeAutospacing="0" w:afterAutospacing="0"/>
        <w:ind w:left="991" w:hanging="991" w:hangingChars="413"/>
        <w:outlineLvl w:val="2"/>
        <w:rPr>
          <w:rFonts w:ascii="黑体" w:eastAsia="黑体"/>
          <w:color w:val="000000" w:themeColor="text1"/>
        </w:rPr>
      </w:pPr>
      <w:bookmarkStart w:id="329" w:name="_Toc246996311"/>
      <w:bookmarkStart w:id="330" w:name="_Toc296602556"/>
      <w:bookmarkStart w:id="331" w:name="_Toc246997054"/>
      <w:bookmarkStart w:id="332" w:name="_Toc20332"/>
      <w:bookmarkStart w:id="333" w:name="_Toc247085826"/>
      <w:bookmarkStart w:id="334" w:name="_Toc184635115"/>
      <w:bookmarkStart w:id="335" w:name="_Toc26069"/>
      <w:r>
        <w:rPr>
          <w:rFonts w:hint="eastAsia" w:ascii="黑体" w:eastAsia="黑体"/>
          <w:color w:val="000000" w:themeColor="text1"/>
        </w:rPr>
        <w:t>11.</w:t>
      </w:r>
      <w:r>
        <w:rPr>
          <w:rFonts w:hint="eastAsia" w:ascii="黑体" w:eastAsia="黑体"/>
          <w:color w:val="000000" w:themeColor="text1"/>
        </w:rPr>
        <w:tab/>
      </w:r>
      <w:r>
        <w:rPr>
          <w:rFonts w:hint="eastAsia" w:ascii="黑体" w:eastAsia="黑体"/>
          <w:color w:val="000000" w:themeColor="text1"/>
        </w:rPr>
        <w:t>竣工验收</w:t>
      </w:r>
      <w:bookmarkEnd w:id="329"/>
      <w:bookmarkEnd w:id="330"/>
      <w:bookmarkEnd w:id="331"/>
      <w:bookmarkEnd w:id="332"/>
      <w:bookmarkEnd w:id="333"/>
      <w:bookmarkEnd w:id="334"/>
      <w:bookmarkEnd w:id="335"/>
    </w:p>
    <w:p>
      <w:pPr>
        <w:snapToGrid w:val="0"/>
        <w:spacing w:beforeAutospacing="0" w:afterAutospacing="0"/>
        <w:ind w:left="991" w:hanging="991" w:hangingChars="413"/>
        <w:rPr>
          <w:rFonts w:ascii="黑体" w:eastAsia="黑体"/>
          <w:color w:val="000000" w:themeColor="text1"/>
        </w:rPr>
      </w:pPr>
      <w:bookmarkStart w:id="336" w:name="_Toc296602557"/>
      <w:bookmarkStart w:id="337" w:name="_Toc246997055"/>
      <w:bookmarkStart w:id="338" w:name="_Toc247085827"/>
      <w:bookmarkStart w:id="339" w:name="_Toc246996312"/>
      <w:r>
        <w:rPr>
          <w:rFonts w:hint="eastAsia" w:ascii="黑体" w:eastAsia="黑体"/>
          <w:color w:val="000000" w:themeColor="text1"/>
        </w:rPr>
        <w:t>11.1</w:t>
      </w:r>
      <w:r>
        <w:rPr>
          <w:rFonts w:hint="eastAsia" w:ascii="黑体" w:eastAsia="黑体"/>
          <w:color w:val="000000" w:themeColor="text1"/>
        </w:rPr>
        <w:tab/>
      </w:r>
      <w:r>
        <w:rPr>
          <w:rFonts w:hint="eastAsia" w:ascii="黑体" w:eastAsia="黑体"/>
          <w:color w:val="000000" w:themeColor="text1"/>
        </w:rPr>
        <w:t>竣工验收的含义</w:t>
      </w:r>
      <w:bookmarkEnd w:id="336"/>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11.1.1</w:t>
      </w:r>
      <w:r>
        <w:rPr>
          <w:rFonts w:hint="eastAsia" w:ascii="宋体" w:hAnsi="宋体"/>
          <w:color w:val="000000" w:themeColor="text1"/>
        </w:rPr>
        <w:tab/>
      </w:r>
      <w:r>
        <w:rPr>
          <w:rFonts w:hint="eastAsia" w:ascii="宋体" w:hAnsi="宋体"/>
          <w:color w:val="000000" w:themeColor="text1"/>
        </w:rPr>
        <w:t>竣工验收是指承包人完成了全部合同工作后，发包人按合同要求进行的验收。</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11.1.2</w:t>
      </w:r>
      <w:r>
        <w:rPr>
          <w:rFonts w:hint="eastAsia" w:ascii="宋体" w:hAnsi="宋体"/>
          <w:color w:val="000000" w:themeColor="text1"/>
        </w:rPr>
        <w:tab/>
      </w:r>
      <w:r>
        <w:rPr>
          <w:rFonts w:hint="eastAsia" w:ascii="宋体" w:hAnsi="宋体"/>
          <w:color w:val="000000" w:themeColor="text1"/>
        </w:rPr>
        <w:t>需要进行国家验收的，竣工验收是国家验收的一部分。竣工验收所采用的各项验收和评定标准应符合国家验收标准。发包人和承包人为竣工验收提供的各项竣工验收资料应符合国家验收的要求。</w:t>
      </w:r>
    </w:p>
    <w:p>
      <w:pPr>
        <w:snapToGrid w:val="0"/>
        <w:spacing w:beforeAutospacing="0" w:afterAutospacing="0"/>
        <w:ind w:left="991" w:hanging="991" w:hangingChars="413"/>
        <w:rPr>
          <w:rFonts w:ascii="黑体" w:eastAsia="黑体"/>
          <w:color w:val="000000" w:themeColor="text1"/>
        </w:rPr>
      </w:pPr>
      <w:bookmarkStart w:id="340" w:name="_Toc296602558"/>
      <w:r>
        <w:rPr>
          <w:rFonts w:hint="eastAsia" w:ascii="黑体" w:eastAsia="黑体"/>
          <w:color w:val="000000" w:themeColor="text1"/>
        </w:rPr>
        <w:t>11.2</w:t>
      </w:r>
      <w:r>
        <w:rPr>
          <w:rFonts w:hint="eastAsia" w:ascii="黑体" w:eastAsia="黑体"/>
          <w:color w:val="000000" w:themeColor="text1"/>
        </w:rPr>
        <w:tab/>
      </w:r>
      <w:r>
        <w:rPr>
          <w:rFonts w:hint="eastAsia" w:ascii="黑体" w:eastAsia="黑体"/>
          <w:color w:val="000000" w:themeColor="text1"/>
        </w:rPr>
        <w:t>竣工验收申请报告</w:t>
      </w:r>
      <w:bookmarkEnd w:id="337"/>
      <w:bookmarkEnd w:id="338"/>
      <w:bookmarkEnd w:id="339"/>
      <w:bookmarkEnd w:id="340"/>
    </w:p>
    <w:p>
      <w:pPr>
        <w:snapToGrid w:val="0"/>
        <w:spacing w:beforeAutospacing="0" w:afterAutospacing="0"/>
        <w:ind w:left="1133" w:leftChars="472"/>
        <w:rPr>
          <w:rFonts w:ascii="宋体" w:hAnsi="宋体"/>
          <w:color w:val="000000" w:themeColor="text1"/>
        </w:rPr>
      </w:pPr>
      <w:r>
        <w:rPr>
          <w:rFonts w:ascii="宋体" w:hAnsi="宋体"/>
          <w:color w:val="000000" w:themeColor="text1"/>
        </w:rPr>
        <w:t>当工程具备竣工条件时，</w:t>
      </w:r>
      <w:r>
        <w:rPr>
          <w:rFonts w:hint="eastAsia" w:ascii="宋体" w:hAnsi="宋体"/>
          <w:color w:val="000000" w:themeColor="text1"/>
        </w:rPr>
        <w:t>承包</w:t>
      </w:r>
      <w:r>
        <w:rPr>
          <w:rFonts w:ascii="宋体" w:hAnsi="宋体"/>
          <w:color w:val="000000" w:themeColor="text1"/>
        </w:rPr>
        <w:t>人即可向监理人报送竣工验收申请报告</w:t>
      </w:r>
      <w:r>
        <w:rPr>
          <w:rFonts w:hint="eastAsia" w:ascii="宋体" w:hAnsi="宋体"/>
          <w:color w:val="000000" w:themeColor="text1"/>
        </w:rPr>
        <w:t>。</w:t>
      </w:r>
    </w:p>
    <w:p>
      <w:pPr>
        <w:snapToGrid w:val="0"/>
        <w:spacing w:beforeAutospacing="0" w:afterAutospacing="0"/>
        <w:ind w:left="991" w:hanging="991" w:hangingChars="413"/>
        <w:rPr>
          <w:rFonts w:ascii="黑体" w:eastAsia="黑体"/>
          <w:color w:val="000000" w:themeColor="text1"/>
        </w:rPr>
      </w:pPr>
      <w:bookmarkStart w:id="341" w:name="_Toc296602559"/>
      <w:bookmarkStart w:id="342" w:name="_Toc246996313"/>
      <w:bookmarkStart w:id="343" w:name="_Toc246997056"/>
      <w:bookmarkStart w:id="344" w:name="_Toc247085828"/>
      <w:r>
        <w:rPr>
          <w:rFonts w:hint="eastAsia" w:ascii="黑体" w:eastAsia="黑体"/>
          <w:color w:val="000000" w:themeColor="text1"/>
        </w:rPr>
        <w:t>11.3</w:t>
      </w:r>
      <w:r>
        <w:rPr>
          <w:rFonts w:hint="eastAsia" w:ascii="黑体" w:eastAsia="黑体"/>
          <w:color w:val="000000" w:themeColor="text1"/>
        </w:rPr>
        <w:tab/>
      </w:r>
      <w:r>
        <w:rPr>
          <w:rFonts w:hint="eastAsia" w:ascii="黑体" w:eastAsia="黑体"/>
          <w:color w:val="000000" w:themeColor="text1"/>
        </w:rPr>
        <w:t>竣工和验收</w:t>
      </w:r>
      <w:bookmarkEnd w:id="341"/>
      <w:bookmarkEnd w:id="342"/>
      <w:bookmarkEnd w:id="343"/>
      <w:bookmarkEnd w:id="344"/>
    </w:p>
    <w:p>
      <w:pPr>
        <w:snapToGrid w:val="0"/>
        <w:spacing w:beforeAutospacing="0" w:afterAutospacing="0"/>
        <w:ind w:left="1133" w:leftChars="472"/>
        <w:rPr>
          <w:rFonts w:ascii="宋体" w:hAnsi="宋体"/>
          <w:color w:val="000000" w:themeColor="text1"/>
        </w:rPr>
      </w:pPr>
      <w:r>
        <w:rPr>
          <w:rFonts w:ascii="宋体" w:hAnsi="宋体"/>
          <w:color w:val="000000" w:themeColor="text1"/>
        </w:rPr>
        <w:t>监理人审查后认为具备竣工验收条件的，提请发包人进行工程验收。发包人经过验收后同意接收工程的，由监理人向</w:t>
      </w:r>
      <w:r>
        <w:rPr>
          <w:rFonts w:hint="eastAsia" w:ascii="宋体" w:hAnsi="宋体"/>
          <w:color w:val="000000" w:themeColor="text1"/>
        </w:rPr>
        <w:t>承包</w:t>
      </w:r>
      <w:r>
        <w:rPr>
          <w:rFonts w:ascii="宋体" w:hAnsi="宋体"/>
          <w:color w:val="000000" w:themeColor="text1"/>
        </w:rPr>
        <w:t>人出具经发包人签认的工程接收证书</w:t>
      </w:r>
      <w:r>
        <w:rPr>
          <w:rFonts w:hint="eastAsia" w:ascii="宋体" w:hAnsi="宋体"/>
          <w:color w:val="000000" w:themeColor="text1"/>
        </w:rPr>
        <w:t>。</w:t>
      </w:r>
    </w:p>
    <w:p>
      <w:pPr>
        <w:snapToGrid w:val="0"/>
        <w:spacing w:beforeAutospacing="0" w:afterAutospacing="0"/>
        <w:ind w:left="1133" w:leftChars="472"/>
        <w:rPr>
          <w:rFonts w:ascii="宋体" w:hAnsi="宋体"/>
          <w:color w:val="000000" w:themeColor="text1"/>
        </w:rPr>
      </w:pPr>
      <w:r>
        <w:rPr>
          <w:rFonts w:ascii="宋体" w:hAnsi="宋体"/>
          <w:color w:val="000000" w:themeColor="text1"/>
        </w:rPr>
        <w:t>除专用合同条款另有约定外，经验收合格工程的实际竣工日期，以提交竣工验收申请报告的日期为准，并在工程接收证书中写明</w:t>
      </w:r>
      <w:r>
        <w:rPr>
          <w:rFonts w:hint="eastAsia" w:ascii="宋体" w:hAnsi="宋体"/>
          <w:color w:val="000000" w:themeColor="text1"/>
        </w:rPr>
        <w:t>。</w:t>
      </w:r>
    </w:p>
    <w:p>
      <w:pPr>
        <w:snapToGrid w:val="0"/>
        <w:spacing w:beforeAutospacing="0" w:afterAutospacing="0"/>
        <w:ind w:left="991" w:hanging="991" w:hangingChars="413"/>
        <w:rPr>
          <w:rFonts w:ascii="黑体" w:eastAsia="黑体"/>
          <w:color w:val="000000" w:themeColor="text1"/>
        </w:rPr>
      </w:pPr>
      <w:bookmarkStart w:id="345" w:name="_Toc246996314"/>
      <w:bookmarkStart w:id="346" w:name="_Toc296602560"/>
      <w:bookmarkStart w:id="347" w:name="_Toc247085829"/>
      <w:bookmarkStart w:id="348" w:name="_Toc246997057"/>
      <w:r>
        <w:rPr>
          <w:rFonts w:hint="eastAsia" w:ascii="黑体" w:eastAsia="黑体"/>
          <w:color w:val="000000" w:themeColor="text1"/>
        </w:rPr>
        <w:t>11.4</w:t>
      </w:r>
      <w:r>
        <w:rPr>
          <w:rFonts w:hint="eastAsia" w:ascii="黑体" w:eastAsia="黑体"/>
          <w:color w:val="000000" w:themeColor="text1"/>
        </w:rPr>
        <w:tab/>
      </w:r>
      <w:r>
        <w:rPr>
          <w:rFonts w:hint="eastAsia" w:ascii="黑体" w:eastAsia="黑体"/>
          <w:color w:val="000000" w:themeColor="text1"/>
        </w:rPr>
        <w:t>试运行</w:t>
      </w:r>
      <w:bookmarkEnd w:id="345"/>
      <w:bookmarkEnd w:id="346"/>
      <w:bookmarkEnd w:id="347"/>
      <w:bookmarkEnd w:id="348"/>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除专用合同条款另有约定外，承包人应按专用合同条款约定进行工程及工程设备试运行，负责提供试运行所需的人员、器材和必要的条件，并承担全部试运行费用。</w:t>
      </w:r>
    </w:p>
    <w:p>
      <w:pPr>
        <w:snapToGrid w:val="0"/>
        <w:spacing w:beforeAutospacing="0" w:afterAutospacing="0"/>
        <w:ind w:left="991" w:hanging="991" w:hangingChars="413"/>
        <w:rPr>
          <w:rFonts w:ascii="黑体" w:eastAsia="黑体"/>
          <w:color w:val="000000" w:themeColor="text1"/>
        </w:rPr>
      </w:pPr>
      <w:bookmarkStart w:id="349" w:name="_Toc296602561"/>
      <w:bookmarkStart w:id="350" w:name="_Toc247085830"/>
      <w:bookmarkStart w:id="351" w:name="_Toc246997058"/>
      <w:bookmarkStart w:id="352" w:name="_Toc246996315"/>
      <w:r>
        <w:rPr>
          <w:rFonts w:hint="eastAsia" w:ascii="黑体" w:eastAsia="黑体"/>
          <w:color w:val="000000" w:themeColor="text1"/>
        </w:rPr>
        <w:t>11.5</w:t>
      </w:r>
      <w:r>
        <w:rPr>
          <w:rFonts w:hint="eastAsia" w:ascii="黑体" w:eastAsia="黑体"/>
          <w:color w:val="000000" w:themeColor="text1"/>
        </w:rPr>
        <w:tab/>
      </w:r>
      <w:r>
        <w:rPr>
          <w:rFonts w:hint="eastAsia" w:ascii="黑体" w:eastAsia="黑体"/>
          <w:color w:val="000000" w:themeColor="text1"/>
        </w:rPr>
        <w:t>竣工清场</w:t>
      </w:r>
      <w:bookmarkEnd w:id="349"/>
      <w:bookmarkEnd w:id="350"/>
      <w:bookmarkEnd w:id="351"/>
      <w:bookmarkEnd w:id="352"/>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除合同另有约定外，工程接收证书颁发后，承包人应对施工场地进行清理，直至监理人检验合格为止。竣工清场费用由承包人承担。</w:t>
      </w:r>
    </w:p>
    <w:p>
      <w:pPr>
        <w:snapToGrid w:val="0"/>
        <w:spacing w:beforeAutospacing="0" w:afterAutospacing="0"/>
        <w:ind w:left="991" w:hanging="991" w:hangingChars="413"/>
        <w:outlineLvl w:val="2"/>
        <w:rPr>
          <w:rFonts w:ascii="黑体" w:eastAsia="黑体"/>
          <w:color w:val="000000" w:themeColor="text1"/>
        </w:rPr>
      </w:pPr>
      <w:bookmarkStart w:id="353" w:name="_Toc1331"/>
      <w:bookmarkStart w:id="354" w:name="_Toc26485"/>
      <w:bookmarkStart w:id="355" w:name="_Toc296602562"/>
      <w:bookmarkStart w:id="356" w:name="_Toc247085831"/>
      <w:bookmarkStart w:id="357" w:name="_Toc246997059"/>
      <w:bookmarkStart w:id="358" w:name="_Toc184635116"/>
      <w:bookmarkStart w:id="359" w:name="_Toc246996316"/>
      <w:r>
        <w:rPr>
          <w:rFonts w:hint="eastAsia" w:ascii="黑体" w:eastAsia="黑体"/>
          <w:color w:val="000000" w:themeColor="text1"/>
        </w:rPr>
        <w:t>12.</w:t>
      </w:r>
      <w:r>
        <w:rPr>
          <w:rFonts w:hint="eastAsia" w:ascii="黑体" w:eastAsia="黑体"/>
          <w:color w:val="000000" w:themeColor="text1"/>
        </w:rPr>
        <w:tab/>
      </w:r>
      <w:r>
        <w:rPr>
          <w:rFonts w:hint="eastAsia" w:ascii="黑体" w:eastAsia="黑体"/>
          <w:color w:val="000000" w:themeColor="text1"/>
        </w:rPr>
        <w:t>缺陷责任与保修责任</w:t>
      </w:r>
      <w:bookmarkEnd w:id="353"/>
      <w:bookmarkEnd w:id="354"/>
      <w:bookmarkEnd w:id="355"/>
      <w:bookmarkEnd w:id="356"/>
      <w:bookmarkEnd w:id="357"/>
      <w:bookmarkEnd w:id="358"/>
      <w:bookmarkEnd w:id="359"/>
    </w:p>
    <w:p>
      <w:pPr>
        <w:snapToGrid w:val="0"/>
        <w:spacing w:beforeAutospacing="0" w:afterAutospacing="0"/>
        <w:ind w:left="991" w:hanging="991" w:hangingChars="413"/>
        <w:rPr>
          <w:rFonts w:ascii="黑体" w:eastAsia="黑体"/>
          <w:color w:val="000000" w:themeColor="text1"/>
        </w:rPr>
      </w:pPr>
      <w:bookmarkStart w:id="360" w:name="_Toc246997060"/>
      <w:bookmarkStart w:id="361" w:name="_Toc296602563"/>
      <w:bookmarkStart w:id="362" w:name="_Toc247085832"/>
      <w:bookmarkStart w:id="363" w:name="_Toc246996317"/>
      <w:r>
        <w:rPr>
          <w:rFonts w:hint="eastAsia" w:ascii="黑体" w:eastAsia="黑体"/>
          <w:color w:val="000000" w:themeColor="text1"/>
        </w:rPr>
        <w:t>12.1</w:t>
      </w:r>
      <w:r>
        <w:rPr>
          <w:rFonts w:hint="eastAsia" w:ascii="黑体" w:eastAsia="黑体"/>
          <w:color w:val="000000" w:themeColor="text1"/>
        </w:rPr>
        <w:tab/>
      </w:r>
      <w:r>
        <w:rPr>
          <w:rFonts w:hint="eastAsia" w:ascii="黑体" w:eastAsia="黑体"/>
          <w:color w:val="000000" w:themeColor="text1"/>
        </w:rPr>
        <w:t>缺陷责任</w:t>
      </w:r>
      <w:bookmarkEnd w:id="360"/>
      <w:bookmarkEnd w:id="361"/>
      <w:bookmarkEnd w:id="362"/>
      <w:bookmarkEnd w:id="363"/>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缺陷责任自实际竣工日期起计算。在缺陷责任期内，已交付的工程</w:t>
      </w:r>
      <w:r>
        <w:rPr>
          <w:rFonts w:ascii="宋体" w:hAnsi="宋体"/>
          <w:color w:val="000000" w:themeColor="text1"/>
        </w:rPr>
        <w:t>由于</w:t>
      </w:r>
      <w:r>
        <w:rPr>
          <w:rFonts w:hint="eastAsia" w:ascii="宋体" w:hAnsi="宋体"/>
          <w:color w:val="000000" w:themeColor="text1"/>
        </w:rPr>
        <w:t>承包</w:t>
      </w:r>
      <w:r>
        <w:rPr>
          <w:rFonts w:ascii="宋体" w:hAnsi="宋体"/>
          <w:color w:val="000000" w:themeColor="text1"/>
        </w:rPr>
        <w:t>人的材料、设备或工艺不符合合同要求所产生的缺陷，修补费用由</w:t>
      </w:r>
      <w:r>
        <w:rPr>
          <w:rFonts w:hint="eastAsia" w:ascii="宋体" w:hAnsi="宋体"/>
          <w:color w:val="000000" w:themeColor="text1"/>
        </w:rPr>
        <w:t>承包</w:t>
      </w:r>
      <w:r>
        <w:rPr>
          <w:rFonts w:ascii="宋体" w:hAnsi="宋体"/>
          <w:color w:val="000000" w:themeColor="text1"/>
        </w:rPr>
        <w:t>人承担</w:t>
      </w:r>
      <w:r>
        <w:rPr>
          <w:rFonts w:hint="eastAsia" w:ascii="宋体" w:hAnsi="宋体"/>
          <w:color w:val="000000" w:themeColor="text1"/>
        </w:rPr>
        <w:t>。由于承包人原因造成某项缺陷或损坏使某项工程或工程设备不能按原定目标使用而需要再次检查、检验和修复的，发包人有权要求承包人相应延长缺陷责任期，但缺陷责任期最长不超过2年。</w:t>
      </w:r>
    </w:p>
    <w:p>
      <w:pPr>
        <w:snapToGrid w:val="0"/>
        <w:spacing w:beforeAutospacing="0" w:afterAutospacing="0"/>
        <w:ind w:left="991" w:hanging="991" w:hangingChars="413"/>
        <w:rPr>
          <w:rFonts w:ascii="黑体" w:eastAsia="黑体"/>
          <w:color w:val="000000" w:themeColor="text1"/>
        </w:rPr>
      </w:pPr>
      <w:bookmarkStart w:id="364" w:name="_Toc296602564"/>
      <w:bookmarkStart w:id="365" w:name="_Toc247085833"/>
      <w:bookmarkStart w:id="366" w:name="_Toc246996318"/>
      <w:bookmarkStart w:id="367" w:name="_Toc246997061"/>
      <w:r>
        <w:rPr>
          <w:rFonts w:hint="eastAsia" w:ascii="黑体" w:eastAsia="黑体"/>
          <w:color w:val="000000" w:themeColor="text1"/>
        </w:rPr>
        <w:t>12.2</w:t>
      </w:r>
      <w:r>
        <w:rPr>
          <w:rFonts w:hint="eastAsia" w:ascii="黑体" w:eastAsia="黑体"/>
          <w:color w:val="000000" w:themeColor="text1"/>
        </w:rPr>
        <w:tab/>
      </w:r>
      <w:r>
        <w:rPr>
          <w:rFonts w:hint="eastAsia" w:ascii="黑体" w:eastAsia="黑体"/>
          <w:color w:val="000000" w:themeColor="text1"/>
        </w:rPr>
        <w:t>保修责任</w:t>
      </w:r>
      <w:bookmarkEnd w:id="364"/>
      <w:bookmarkEnd w:id="365"/>
      <w:bookmarkEnd w:id="366"/>
      <w:bookmarkEnd w:id="367"/>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合同当事人根据有关法律规定，在专用合同条款中约定工程质量保修范围、期限和责任。保修期自实际竣工日期起计算。</w:t>
      </w:r>
      <w:bookmarkStart w:id="368" w:name="_Toc246996319"/>
      <w:bookmarkStart w:id="369" w:name="_Toc246997062"/>
      <w:bookmarkStart w:id="370" w:name="_Toc184635117"/>
      <w:bookmarkStart w:id="371" w:name="_Toc247085834"/>
    </w:p>
    <w:p>
      <w:pPr>
        <w:snapToGrid w:val="0"/>
        <w:spacing w:beforeAutospacing="0" w:afterAutospacing="0"/>
        <w:ind w:left="991" w:hanging="991" w:hangingChars="413"/>
        <w:outlineLvl w:val="2"/>
        <w:rPr>
          <w:rFonts w:ascii="黑体" w:eastAsia="黑体"/>
          <w:color w:val="000000" w:themeColor="text1"/>
        </w:rPr>
      </w:pPr>
      <w:bookmarkStart w:id="372" w:name="_Toc13951"/>
      <w:bookmarkStart w:id="373" w:name="_Toc296602565"/>
      <w:bookmarkStart w:id="374" w:name="_Toc22677"/>
      <w:r>
        <w:rPr>
          <w:rFonts w:hint="eastAsia" w:ascii="黑体" w:eastAsia="黑体"/>
          <w:color w:val="000000" w:themeColor="text1"/>
        </w:rPr>
        <w:t>13.</w:t>
      </w:r>
      <w:r>
        <w:rPr>
          <w:rFonts w:hint="eastAsia" w:ascii="黑体" w:eastAsia="黑体"/>
          <w:color w:val="000000" w:themeColor="text1"/>
        </w:rPr>
        <w:tab/>
      </w:r>
      <w:r>
        <w:rPr>
          <w:rFonts w:hint="eastAsia" w:ascii="黑体" w:eastAsia="黑体"/>
          <w:color w:val="000000" w:themeColor="text1"/>
        </w:rPr>
        <w:t>保险</w:t>
      </w:r>
      <w:bookmarkEnd w:id="368"/>
      <w:bookmarkEnd w:id="369"/>
      <w:bookmarkEnd w:id="370"/>
      <w:bookmarkEnd w:id="371"/>
      <w:bookmarkEnd w:id="372"/>
      <w:bookmarkEnd w:id="373"/>
      <w:bookmarkEnd w:id="374"/>
    </w:p>
    <w:p>
      <w:pPr>
        <w:snapToGrid w:val="0"/>
        <w:spacing w:beforeAutospacing="0" w:afterAutospacing="0"/>
        <w:ind w:left="991" w:hanging="991" w:hangingChars="413"/>
        <w:rPr>
          <w:rFonts w:ascii="黑体" w:eastAsia="黑体"/>
          <w:color w:val="000000" w:themeColor="text1"/>
        </w:rPr>
      </w:pPr>
      <w:bookmarkStart w:id="375" w:name="_Toc296602566"/>
      <w:bookmarkStart w:id="376" w:name="_Toc246996320"/>
      <w:bookmarkStart w:id="377" w:name="_Toc246997063"/>
      <w:bookmarkStart w:id="378" w:name="_Toc247085835"/>
      <w:r>
        <w:rPr>
          <w:rFonts w:hint="eastAsia" w:ascii="黑体" w:eastAsia="黑体"/>
          <w:color w:val="000000" w:themeColor="text1"/>
        </w:rPr>
        <w:t>13.1</w:t>
      </w:r>
      <w:r>
        <w:rPr>
          <w:rFonts w:hint="eastAsia" w:ascii="黑体" w:eastAsia="黑体"/>
          <w:color w:val="000000" w:themeColor="text1"/>
        </w:rPr>
        <w:tab/>
      </w:r>
      <w:r>
        <w:rPr>
          <w:rFonts w:hint="eastAsia" w:ascii="黑体" w:eastAsia="黑体"/>
          <w:color w:val="000000" w:themeColor="text1"/>
        </w:rPr>
        <w:t>保险范围</w:t>
      </w:r>
      <w:bookmarkEnd w:id="375"/>
      <w:bookmarkEnd w:id="376"/>
      <w:bookmarkEnd w:id="377"/>
      <w:bookmarkEnd w:id="378"/>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13.1.1</w:t>
      </w:r>
      <w:r>
        <w:rPr>
          <w:rFonts w:hint="eastAsia" w:ascii="宋体" w:hAnsi="宋体"/>
          <w:color w:val="000000" w:themeColor="text1"/>
        </w:rPr>
        <w:tab/>
      </w:r>
      <w:r>
        <w:rPr>
          <w:rFonts w:hint="eastAsia" w:ascii="宋体" w:hAnsi="宋体"/>
          <w:color w:val="000000" w:themeColor="text1"/>
        </w:rPr>
        <w:t>承包人按照专用合同条款的约定向双方同意的保险人投保建筑工程一切险或安装工程一切险等保险。具体的投保险种、保险范围、保险金额、保险费率、保险期限等有关内容应当在专用合同条款中明确约定。</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13.1.2</w:t>
      </w:r>
      <w:r>
        <w:rPr>
          <w:rFonts w:hint="eastAsia" w:ascii="宋体" w:hAnsi="宋体"/>
          <w:color w:val="000000" w:themeColor="text1"/>
        </w:rPr>
        <w:tab/>
      </w:r>
      <w:r>
        <w:rPr>
          <w:rFonts w:hint="eastAsia" w:ascii="宋体" w:hAnsi="宋体"/>
          <w:color w:val="000000" w:themeColor="text1"/>
        </w:rPr>
        <w:t>承包</w:t>
      </w:r>
      <w:r>
        <w:rPr>
          <w:rFonts w:ascii="宋体" w:hAnsi="宋体"/>
          <w:color w:val="000000" w:themeColor="text1"/>
        </w:rPr>
        <w:t>人应依照有关法律规定参加工伤保险和人身意外伤害险，为其履行合同所雇佣的全部人员，缴纳工伤保险费和</w:t>
      </w:r>
      <w:r>
        <w:rPr>
          <w:rFonts w:hint="eastAsia" w:ascii="宋体" w:hAnsi="宋体"/>
          <w:color w:val="000000" w:themeColor="text1"/>
        </w:rPr>
        <w:t>人身</w:t>
      </w:r>
      <w:r>
        <w:rPr>
          <w:rFonts w:ascii="宋体" w:hAnsi="宋体"/>
          <w:color w:val="000000" w:themeColor="text1"/>
        </w:rPr>
        <w:t>意外伤害险费。</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13.1.3</w:t>
      </w:r>
      <w:r>
        <w:rPr>
          <w:rFonts w:hint="eastAsia" w:ascii="宋体" w:hAnsi="宋体"/>
          <w:color w:val="000000" w:themeColor="text1"/>
        </w:rPr>
        <w:tab/>
      </w:r>
      <w:r>
        <w:rPr>
          <w:rFonts w:ascii="宋体" w:hAnsi="宋体"/>
          <w:color w:val="000000" w:themeColor="text1"/>
        </w:rPr>
        <w:t>发包人应依照有关法律规定参加工伤保险和人身意外伤害险，为其现场机构雇佣的全部人员，缴纳工伤保险费和人身意外伤害险费，并要求其监理人也进行此类保险</w:t>
      </w:r>
      <w:r>
        <w:rPr>
          <w:rFonts w:hint="eastAsia" w:ascii="宋体" w:hAnsi="宋体"/>
          <w:color w:val="000000" w:themeColor="text1"/>
        </w:rPr>
        <w:t>。</w:t>
      </w:r>
    </w:p>
    <w:p>
      <w:pPr>
        <w:snapToGrid w:val="0"/>
        <w:spacing w:beforeAutospacing="0" w:afterAutospacing="0"/>
        <w:ind w:left="991" w:hanging="991" w:hangingChars="413"/>
        <w:rPr>
          <w:rFonts w:ascii="黑体" w:eastAsia="黑体"/>
          <w:color w:val="000000" w:themeColor="text1"/>
        </w:rPr>
      </w:pPr>
      <w:bookmarkStart w:id="379" w:name="_Toc247085836"/>
      <w:bookmarkStart w:id="380" w:name="_Toc246996321"/>
      <w:bookmarkStart w:id="381" w:name="_Toc296602567"/>
      <w:bookmarkStart w:id="382" w:name="_Toc246997064"/>
      <w:r>
        <w:rPr>
          <w:rFonts w:hint="eastAsia" w:ascii="黑体" w:eastAsia="黑体"/>
          <w:color w:val="000000" w:themeColor="text1"/>
        </w:rPr>
        <w:t>13.2</w:t>
      </w:r>
      <w:r>
        <w:rPr>
          <w:rFonts w:hint="eastAsia" w:ascii="黑体" w:eastAsia="黑体"/>
          <w:color w:val="000000" w:themeColor="text1"/>
        </w:rPr>
        <w:tab/>
      </w:r>
      <w:r>
        <w:rPr>
          <w:rFonts w:ascii="黑体" w:eastAsia="黑体"/>
          <w:color w:val="000000" w:themeColor="text1"/>
        </w:rPr>
        <w:t>未办理保</w:t>
      </w:r>
      <w:r>
        <w:rPr>
          <w:rFonts w:hint="eastAsia" w:ascii="黑体" w:eastAsia="黑体"/>
          <w:color w:val="000000" w:themeColor="text1"/>
        </w:rPr>
        <w:t>险</w:t>
      </w:r>
      <w:bookmarkEnd w:id="379"/>
      <w:bookmarkEnd w:id="380"/>
      <w:bookmarkEnd w:id="381"/>
      <w:bookmarkEnd w:id="382"/>
    </w:p>
    <w:p>
      <w:pPr>
        <w:snapToGrid w:val="0"/>
        <w:spacing w:beforeAutospacing="0" w:afterAutospacing="0"/>
        <w:ind w:left="991" w:hanging="991" w:hangingChars="413"/>
        <w:rPr>
          <w:rFonts w:ascii="宋体" w:hAnsi="宋体"/>
          <w:color w:val="000000" w:themeColor="text1"/>
        </w:rPr>
      </w:pPr>
      <w:bookmarkStart w:id="383" w:name="_Toc184635118"/>
      <w:r>
        <w:rPr>
          <w:rFonts w:hint="eastAsia" w:ascii="宋体" w:hAnsi="宋体"/>
          <w:color w:val="000000" w:themeColor="text1"/>
        </w:rPr>
        <w:t>13.2.1</w:t>
      </w:r>
      <w:r>
        <w:rPr>
          <w:rFonts w:hint="eastAsia" w:ascii="宋体" w:hAnsi="宋体"/>
          <w:color w:val="000000" w:themeColor="text1"/>
        </w:rPr>
        <w:tab/>
      </w:r>
      <w:r>
        <w:rPr>
          <w:rFonts w:ascii="宋体" w:hAnsi="宋体"/>
          <w:color w:val="000000" w:themeColor="text1"/>
        </w:rPr>
        <w:t>由于负有投保义务的一方当事人未按合同约定办理保险，或未能使保险持续有效的，另一方当事人可代为办理，所需费用由对方当事人承担。</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13.2.2</w:t>
      </w:r>
      <w:r>
        <w:rPr>
          <w:rFonts w:hint="eastAsia" w:ascii="宋体" w:hAnsi="宋体"/>
          <w:color w:val="000000" w:themeColor="text1"/>
        </w:rPr>
        <w:tab/>
      </w:r>
      <w:r>
        <w:rPr>
          <w:rFonts w:ascii="宋体" w:hAnsi="宋体"/>
          <w:color w:val="000000" w:themeColor="text1"/>
        </w:rPr>
        <w:t>由于负有投保义务的一方当事人未按合同约定办理某项保险，导致受益人未能得到保险人的赔偿，原应从该项保险得到的保险金应由负有投保义务的一方当事人支付</w:t>
      </w:r>
      <w:r>
        <w:rPr>
          <w:rFonts w:hint="eastAsia" w:ascii="宋体" w:hAnsi="宋体"/>
          <w:color w:val="000000" w:themeColor="text1"/>
        </w:rPr>
        <w:t>。</w:t>
      </w:r>
    </w:p>
    <w:bookmarkEnd w:id="383"/>
    <w:p>
      <w:pPr>
        <w:snapToGrid w:val="0"/>
        <w:spacing w:beforeAutospacing="0" w:afterAutospacing="0"/>
        <w:ind w:left="991" w:hanging="991" w:hangingChars="413"/>
        <w:outlineLvl w:val="2"/>
        <w:rPr>
          <w:rFonts w:ascii="黑体" w:eastAsia="黑体"/>
          <w:color w:val="000000" w:themeColor="text1"/>
        </w:rPr>
      </w:pPr>
      <w:bookmarkStart w:id="384" w:name="_Toc247514180"/>
      <w:bookmarkStart w:id="385" w:name="_Toc5392"/>
      <w:bookmarkStart w:id="386" w:name="_Toc247527781"/>
      <w:bookmarkStart w:id="387" w:name="_Toc7229"/>
      <w:bookmarkStart w:id="388" w:name="_Toc296602568"/>
      <w:bookmarkStart w:id="389" w:name="_Toc271821895"/>
      <w:bookmarkStart w:id="390" w:name="_Toc246996322"/>
      <w:bookmarkStart w:id="391" w:name="_Toc247085837"/>
      <w:bookmarkStart w:id="392" w:name="_Toc246997065"/>
      <w:bookmarkStart w:id="393" w:name="_Toc184635119"/>
      <w:r>
        <w:rPr>
          <w:rFonts w:hint="eastAsia" w:ascii="黑体" w:eastAsia="黑体"/>
          <w:color w:val="000000" w:themeColor="text1"/>
        </w:rPr>
        <w:t>14.</w:t>
      </w:r>
      <w:r>
        <w:rPr>
          <w:rFonts w:hint="eastAsia" w:ascii="黑体" w:eastAsia="黑体"/>
          <w:color w:val="000000" w:themeColor="text1"/>
        </w:rPr>
        <w:tab/>
      </w:r>
      <w:r>
        <w:rPr>
          <w:rFonts w:hint="eastAsia" w:ascii="黑体" w:eastAsia="黑体"/>
          <w:color w:val="000000" w:themeColor="text1"/>
        </w:rPr>
        <w:t>不可抗力</w:t>
      </w:r>
      <w:bookmarkEnd w:id="384"/>
      <w:bookmarkEnd w:id="385"/>
      <w:bookmarkEnd w:id="386"/>
      <w:bookmarkEnd w:id="387"/>
      <w:bookmarkEnd w:id="388"/>
      <w:bookmarkEnd w:id="389"/>
    </w:p>
    <w:p>
      <w:pPr>
        <w:snapToGrid w:val="0"/>
        <w:spacing w:beforeAutospacing="0" w:afterAutospacing="0"/>
        <w:ind w:left="991" w:hanging="991" w:hangingChars="413"/>
        <w:rPr>
          <w:rFonts w:ascii="黑体" w:eastAsia="黑体"/>
          <w:color w:val="000000" w:themeColor="text1"/>
        </w:rPr>
      </w:pPr>
      <w:bookmarkStart w:id="394" w:name="_Toc296602569"/>
      <w:bookmarkStart w:id="395" w:name="_Toc247527782"/>
      <w:bookmarkStart w:id="396" w:name="_Toc271821896"/>
      <w:bookmarkStart w:id="397" w:name="_Toc247514181"/>
      <w:r>
        <w:rPr>
          <w:rFonts w:hint="eastAsia" w:ascii="黑体" w:eastAsia="黑体"/>
          <w:color w:val="000000" w:themeColor="text1"/>
        </w:rPr>
        <w:t>14.1</w:t>
      </w:r>
      <w:r>
        <w:rPr>
          <w:rFonts w:hint="eastAsia" w:ascii="黑体" w:eastAsia="黑体"/>
          <w:color w:val="000000" w:themeColor="text1"/>
        </w:rPr>
        <w:tab/>
      </w:r>
      <w:r>
        <w:rPr>
          <w:rFonts w:hint="eastAsia" w:ascii="黑体" w:eastAsia="黑体"/>
          <w:color w:val="000000" w:themeColor="text1"/>
        </w:rPr>
        <w:t>不可抗力的确认</w:t>
      </w:r>
      <w:bookmarkEnd w:id="394"/>
      <w:bookmarkEnd w:id="395"/>
      <w:bookmarkEnd w:id="396"/>
      <w:bookmarkEnd w:id="397"/>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14.1.1</w:t>
      </w:r>
      <w:r>
        <w:rPr>
          <w:rFonts w:hint="eastAsia" w:ascii="宋体" w:hAnsi="宋体"/>
          <w:color w:val="000000" w:themeColor="text1"/>
        </w:rPr>
        <w:tab/>
      </w:r>
      <w:r>
        <w:rPr>
          <w:rFonts w:hint="eastAsia" w:ascii="宋体" w:hAnsi="宋体"/>
          <w:color w:val="000000" w:themeColor="text1"/>
        </w:rPr>
        <w:t>不可抗力是指承包人和发包人在订立合同时不可预见，在履行合同过程中不可避免发生并不能克服的自然灾害和社会性突发事件，如地震、海啸、瘟疫、水灾、骚乱、暴动、战争和专用合同条款约定的其他情形。</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14.1.2</w:t>
      </w:r>
      <w:r>
        <w:rPr>
          <w:rFonts w:hint="eastAsia" w:ascii="宋体" w:hAnsi="宋体"/>
          <w:color w:val="000000" w:themeColor="text1"/>
        </w:rPr>
        <w:tab/>
      </w:r>
      <w:r>
        <w:rPr>
          <w:rFonts w:hint="eastAsia" w:ascii="宋体" w:hAnsi="宋体"/>
          <w:color w:val="000000" w:themeColor="text1"/>
        </w:rPr>
        <w:t>不可抗力发生后，发包人和承包人应及时认真统计所造成的损失，收集不可抗力造成损失的证据。合同双方对是否属于不可抗力或其损失的意见不一致的，由监理人按第3.5款商定或确定。发生争议时，按第17条的约定执行。</w:t>
      </w:r>
    </w:p>
    <w:p>
      <w:pPr>
        <w:snapToGrid w:val="0"/>
        <w:spacing w:beforeAutospacing="0" w:afterAutospacing="0"/>
        <w:ind w:left="991" w:hanging="991" w:hangingChars="413"/>
        <w:rPr>
          <w:rFonts w:ascii="黑体" w:eastAsia="黑体"/>
          <w:color w:val="000000" w:themeColor="text1"/>
        </w:rPr>
      </w:pPr>
      <w:bookmarkStart w:id="398" w:name="_Toc296602570"/>
      <w:bookmarkStart w:id="399" w:name="_Toc271821897"/>
      <w:bookmarkStart w:id="400" w:name="_Toc247514182"/>
      <w:bookmarkStart w:id="401" w:name="_Toc247527783"/>
      <w:r>
        <w:rPr>
          <w:rFonts w:hint="eastAsia" w:ascii="黑体" w:eastAsia="黑体"/>
          <w:color w:val="000000" w:themeColor="text1"/>
        </w:rPr>
        <w:t>14.2</w:t>
      </w:r>
      <w:r>
        <w:rPr>
          <w:rFonts w:hint="eastAsia" w:ascii="黑体" w:eastAsia="黑体"/>
          <w:color w:val="000000" w:themeColor="text1"/>
        </w:rPr>
        <w:tab/>
      </w:r>
      <w:r>
        <w:rPr>
          <w:rFonts w:hint="eastAsia" w:ascii="黑体" w:eastAsia="黑体"/>
          <w:color w:val="000000" w:themeColor="text1"/>
        </w:rPr>
        <w:t>不可抗力的通知</w:t>
      </w:r>
      <w:bookmarkEnd w:id="398"/>
      <w:bookmarkEnd w:id="399"/>
      <w:bookmarkEnd w:id="400"/>
      <w:bookmarkEnd w:id="401"/>
    </w:p>
    <w:p>
      <w:pPr>
        <w:snapToGrid w:val="0"/>
        <w:spacing w:beforeAutospacing="0" w:afterAutospacing="0"/>
        <w:ind w:left="972" w:leftChars="405"/>
        <w:rPr>
          <w:rFonts w:ascii="宋体" w:hAnsi="宋体"/>
          <w:color w:val="000000" w:themeColor="text1"/>
        </w:rPr>
      </w:pPr>
      <w:r>
        <w:rPr>
          <w:rFonts w:hint="eastAsia" w:ascii="宋体" w:hAnsi="宋体"/>
          <w:color w:val="000000" w:themeColor="text1"/>
        </w:rPr>
        <w:t>合同一方当事人遇到不可抗力事件，使其履行合同义务受到阻碍时，应立即通知合同另一方当事人和监理人，书面说明不可抗力和受阻碍的详细情况，并提供必要的证明。如不可抗力持续发生，合同一方当事人应及时向合同另一方当事人和监理人提交中间报告，说明不可抗力和履行合同受阻的情况，并于不可抗力事件结束后14天内提交最终报告及有关资料。</w:t>
      </w:r>
    </w:p>
    <w:p>
      <w:pPr>
        <w:snapToGrid w:val="0"/>
        <w:spacing w:beforeAutospacing="0" w:afterAutospacing="0"/>
        <w:ind w:left="991" w:hanging="991" w:hangingChars="413"/>
        <w:rPr>
          <w:rFonts w:ascii="黑体" w:eastAsia="黑体"/>
          <w:color w:val="000000" w:themeColor="text1"/>
        </w:rPr>
      </w:pPr>
      <w:bookmarkStart w:id="402" w:name="_Toc247514183"/>
      <w:bookmarkStart w:id="403" w:name="_Toc296602571"/>
      <w:bookmarkStart w:id="404" w:name="_Toc271821898"/>
      <w:bookmarkStart w:id="405" w:name="_Toc247527784"/>
      <w:r>
        <w:rPr>
          <w:rFonts w:hint="eastAsia" w:ascii="黑体" w:eastAsia="黑体"/>
          <w:color w:val="000000" w:themeColor="text1"/>
        </w:rPr>
        <w:t>14.3</w:t>
      </w:r>
      <w:r>
        <w:rPr>
          <w:rFonts w:hint="eastAsia" w:ascii="黑体" w:eastAsia="黑体"/>
          <w:color w:val="000000" w:themeColor="text1"/>
        </w:rPr>
        <w:tab/>
      </w:r>
      <w:r>
        <w:rPr>
          <w:rFonts w:hint="eastAsia" w:ascii="黑体" w:eastAsia="黑体"/>
          <w:color w:val="000000" w:themeColor="text1"/>
        </w:rPr>
        <w:t>不可抗力后果及其处理</w:t>
      </w:r>
      <w:bookmarkEnd w:id="402"/>
      <w:bookmarkEnd w:id="403"/>
      <w:bookmarkEnd w:id="404"/>
      <w:bookmarkEnd w:id="405"/>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除专用合同条款另有约定外，不可抗力导致的人员伤亡、财产损失、费用增加和（或）工期延误等后果，由合同双方按以下原则承担：</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（1）永久工程，包括已运至施工场地的材料和工程设备的损害，以及因工程损害造成的第三者人员伤亡和财产损失由发包人承担；</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（2）承包人设备的损坏由承包人承担；</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（3）发包人和承包人各自承担其人员伤亡和其他财产损失及其相关费用；</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（4）承包人的停工损失由承包人承担，但停工期间应监理人要求照管工程和清理、修复工程的金额由发包人承担；</w:t>
      </w:r>
    </w:p>
    <w:p>
      <w:pPr>
        <w:snapToGrid w:val="0"/>
        <w:spacing w:beforeAutospacing="0" w:afterAutospacing="0"/>
        <w:ind w:left="1733" w:leftChars="472" w:hanging="600" w:hangingChars="250"/>
        <w:rPr>
          <w:rFonts w:ascii="宋体" w:hAnsi="宋体"/>
          <w:color w:val="000000" w:themeColor="text1"/>
        </w:rPr>
      </w:pPr>
      <w:r>
        <w:rPr>
          <w:rFonts w:hint="eastAsia" w:ascii="宋体" w:hAnsi="宋体"/>
          <w:color w:val="000000" w:themeColor="text1"/>
        </w:rPr>
        <w:t>（5）不能按期竣工的，应合理延长工期，承包人不需支付逾期竣工违约金。发包人要求赶工的，承包人应采取赶工措施，赶工费用由发包人承担。</w:t>
      </w:r>
    </w:p>
    <w:p>
      <w:pPr>
        <w:snapToGrid w:val="0"/>
        <w:spacing w:beforeAutospacing="0" w:afterAutospacing="0"/>
        <w:ind w:left="991" w:hanging="991" w:hangingChars="413"/>
        <w:outlineLvl w:val="2"/>
        <w:rPr>
          <w:rFonts w:ascii="黑体" w:eastAsia="黑体"/>
          <w:color w:val="000000" w:themeColor="text1"/>
        </w:rPr>
      </w:pPr>
      <w:bookmarkStart w:id="406" w:name="_Toc296602572"/>
      <w:bookmarkStart w:id="407" w:name="_Toc1036"/>
      <w:bookmarkStart w:id="408" w:name="_Toc1"/>
      <w:r>
        <w:rPr>
          <w:rFonts w:hint="eastAsia" w:ascii="黑体" w:eastAsia="黑体"/>
          <w:color w:val="000000" w:themeColor="text1"/>
        </w:rPr>
        <w:t>15.</w:t>
      </w:r>
      <w:r>
        <w:rPr>
          <w:rFonts w:hint="eastAsia" w:ascii="黑体" w:eastAsia="黑体"/>
          <w:color w:val="000000" w:themeColor="text1"/>
        </w:rPr>
        <w:tab/>
      </w:r>
      <w:r>
        <w:rPr>
          <w:rFonts w:hint="eastAsia" w:ascii="黑体" w:eastAsia="黑体"/>
          <w:color w:val="000000" w:themeColor="text1"/>
        </w:rPr>
        <w:t>违约</w:t>
      </w:r>
      <w:bookmarkEnd w:id="390"/>
      <w:bookmarkEnd w:id="391"/>
      <w:bookmarkEnd w:id="392"/>
      <w:bookmarkEnd w:id="393"/>
      <w:bookmarkEnd w:id="406"/>
      <w:bookmarkEnd w:id="407"/>
      <w:bookmarkEnd w:id="408"/>
    </w:p>
    <w:p>
      <w:pPr>
        <w:snapToGrid w:val="0"/>
        <w:spacing w:beforeAutospacing="0" w:afterAutospacing="0"/>
        <w:ind w:left="991" w:hanging="991" w:hangingChars="413"/>
        <w:rPr>
          <w:rFonts w:ascii="黑体" w:eastAsia="黑体"/>
          <w:color w:val="000000" w:themeColor="text1"/>
        </w:rPr>
      </w:pPr>
      <w:bookmarkStart w:id="409" w:name="_Toc247085838"/>
      <w:bookmarkStart w:id="410" w:name="_Toc296602573"/>
      <w:bookmarkStart w:id="411" w:name="_Toc246996323"/>
      <w:bookmarkStart w:id="412" w:name="_Toc246997066"/>
      <w:r>
        <w:rPr>
          <w:rFonts w:hint="eastAsia" w:ascii="黑体" w:eastAsia="黑体"/>
          <w:color w:val="000000" w:themeColor="text1"/>
        </w:rPr>
        <w:t>15.1</w:t>
      </w:r>
      <w:r>
        <w:rPr>
          <w:rFonts w:hint="eastAsia" w:ascii="黑体" w:eastAsia="黑体"/>
          <w:color w:val="000000" w:themeColor="text1"/>
        </w:rPr>
        <w:tab/>
      </w:r>
      <w:r>
        <w:rPr>
          <w:rFonts w:hint="eastAsia" w:ascii="黑体" w:eastAsia="黑体"/>
          <w:color w:val="000000" w:themeColor="text1"/>
        </w:rPr>
        <w:t>承包人违约</w:t>
      </w:r>
      <w:bookmarkEnd w:id="409"/>
      <w:bookmarkEnd w:id="410"/>
      <w:bookmarkEnd w:id="411"/>
      <w:bookmarkEnd w:id="412"/>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15.1.1</w:t>
      </w:r>
      <w:r>
        <w:rPr>
          <w:rFonts w:hint="eastAsia" w:ascii="宋体" w:hAnsi="宋体"/>
          <w:color w:val="000000" w:themeColor="text1"/>
        </w:rPr>
        <w:tab/>
      </w:r>
      <w:r>
        <w:rPr>
          <w:rFonts w:ascii="宋体" w:hAnsi="宋体"/>
          <w:color w:val="000000" w:themeColor="text1"/>
        </w:rPr>
        <w:t>如果</w:t>
      </w:r>
      <w:r>
        <w:rPr>
          <w:rFonts w:hint="eastAsia" w:ascii="宋体" w:hAnsi="宋体"/>
          <w:color w:val="000000" w:themeColor="text1"/>
        </w:rPr>
        <w:t>承包</w:t>
      </w:r>
      <w:r>
        <w:rPr>
          <w:rFonts w:ascii="宋体" w:hAnsi="宋体"/>
          <w:color w:val="000000" w:themeColor="text1"/>
        </w:rPr>
        <w:t>人拒绝或未能遵守监理人的指示，或未能按合同进度计划及时完成合同约定的工作，已造成或预期造成工期延误，或违反合同不顾书面警告，监理人可发出通知</w:t>
      </w:r>
      <w:r>
        <w:rPr>
          <w:rFonts w:hint="eastAsia" w:ascii="宋体" w:hAnsi="宋体"/>
          <w:color w:val="000000" w:themeColor="text1"/>
        </w:rPr>
        <w:t>，告知</w:t>
      </w:r>
      <w:r>
        <w:rPr>
          <w:rFonts w:ascii="宋体" w:hAnsi="宋体"/>
          <w:color w:val="000000" w:themeColor="text1"/>
        </w:rPr>
        <w:t>承包人违约</w:t>
      </w:r>
      <w:r>
        <w:rPr>
          <w:rFonts w:hint="eastAsia" w:ascii="宋体" w:hAnsi="宋体"/>
          <w:color w:val="000000" w:themeColor="text1"/>
        </w:rPr>
        <w:t>。</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15.1.2</w:t>
      </w:r>
      <w:r>
        <w:rPr>
          <w:rFonts w:hint="eastAsia" w:ascii="宋体" w:hAnsi="宋体"/>
          <w:color w:val="000000" w:themeColor="text1"/>
        </w:rPr>
        <w:tab/>
      </w:r>
      <w:r>
        <w:rPr>
          <w:rFonts w:ascii="宋体" w:hAnsi="宋体"/>
          <w:color w:val="000000" w:themeColor="text1"/>
        </w:rPr>
        <w:t>如果</w:t>
      </w:r>
      <w:r>
        <w:rPr>
          <w:rFonts w:hint="eastAsia" w:ascii="宋体" w:hAnsi="宋体"/>
          <w:color w:val="000000" w:themeColor="text1"/>
        </w:rPr>
        <w:t>承包</w:t>
      </w:r>
      <w:r>
        <w:rPr>
          <w:rFonts w:ascii="宋体" w:hAnsi="宋体"/>
          <w:color w:val="000000" w:themeColor="text1"/>
        </w:rPr>
        <w:t>人在收到监理人通知后21天内，没有采取可行的措施纠正违约，发包人可向</w:t>
      </w:r>
      <w:r>
        <w:rPr>
          <w:rFonts w:hint="eastAsia" w:ascii="宋体" w:hAnsi="宋体"/>
          <w:color w:val="000000" w:themeColor="text1"/>
        </w:rPr>
        <w:t>承包</w:t>
      </w:r>
      <w:r>
        <w:rPr>
          <w:rFonts w:ascii="宋体" w:hAnsi="宋体"/>
          <w:color w:val="000000" w:themeColor="text1"/>
        </w:rPr>
        <w:t>人发出解除合同通知。发包人因继续完成该工程的需要，有权扣留使用承包人在现场的材料、设备</w:t>
      </w:r>
      <w:r>
        <w:rPr>
          <w:rFonts w:hint="eastAsia" w:ascii="宋体" w:hAnsi="宋体"/>
          <w:color w:val="000000" w:themeColor="text1"/>
        </w:rPr>
        <w:t>和</w:t>
      </w:r>
      <w:r>
        <w:rPr>
          <w:rFonts w:ascii="宋体" w:hAnsi="宋体"/>
          <w:color w:val="000000" w:themeColor="text1"/>
        </w:rPr>
        <w:t>临时设施。但发包人的这一行动不免除</w:t>
      </w:r>
      <w:r>
        <w:rPr>
          <w:rFonts w:hint="eastAsia" w:ascii="宋体" w:hAnsi="宋体"/>
          <w:color w:val="000000" w:themeColor="text1"/>
        </w:rPr>
        <w:t>承包</w:t>
      </w:r>
      <w:r>
        <w:rPr>
          <w:rFonts w:ascii="宋体" w:hAnsi="宋体"/>
          <w:color w:val="000000" w:themeColor="text1"/>
        </w:rPr>
        <w:t>人应承担的违约责任，也不影响发包人根据合同约定享有的索赔权利</w:t>
      </w:r>
      <w:r>
        <w:rPr>
          <w:rFonts w:hint="eastAsia" w:ascii="宋体" w:hAnsi="宋体"/>
          <w:color w:val="000000" w:themeColor="text1"/>
        </w:rPr>
        <w:t>。</w:t>
      </w:r>
    </w:p>
    <w:p>
      <w:pPr>
        <w:snapToGrid w:val="0"/>
        <w:spacing w:beforeAutospacing="0" w:afterAutospacing="0"/>
        <w:ind w:left="991" w:hanging="991" w:hangingChars="413"/>
        <w:rPr>
          <w:rFonts w:ascii="黑体" w:eastAsia="黑体"/>
          <w:color w:val="000000" w:themeColor="text1"/>
        </w:rPr>
      </w:pPr>
      <w:bookmarkStart w:id="413" w:name="_Toc247085839"/>
      <w:bookmarkStart w:id="414" w:name="_Toc246996324"/>
      <w:bookmarkStart w:id="415" w:name="_Toc296602574"/>
      <w:bookmarkStart w:id="416" w:name="_Toc246997067"/>
      <w:r>
        <w:rPr>
          <w:rFonts w:hint="eastAsia" w:ascii="黑体" w:eastAsia="黑体"/>
          <w:color w:val="000000" w:themeColor="text1"/>
        </w:rPr>
        <w:t>15.2</w:t>
      </w:r>
      <w:r>
        <w:rPr>
          <w:rFonts w:hint="eastAsia" w:ascii="黑体" w:eastAsia="黑体"/>
          <w:color w:val="000000" w:themeColor="text1"/>
        </w:rPr>
        <w:tab/>
      </w:r>
      <w:r>
        <w:rPr>
          <w:rFonts w:hint="eastAsia" w:ascii="黑体" w:eastAsia="黑体"/>
          <w:color w:val="000000" w:themeColor="text1"/>
        </w:rPr>
        <w:t>发包人违约</w:t>
      </w:r>
      <w:bookmarkEnd w:id="413"/>
      <w:bookmarkEnd w:id="414"/>
      <w:bookmarkEnd w:id="415"/>
      <w:bookmarkEnd w:id="416"/>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15.2.1</w:t>
      </w:r>
      <w:r>
        <w:rPr>
          <w:rFonts w:hint="eastAsia" w:ascii="宋体" w:hAnsi="宋体"/>
          <w:color w:val="000000" w:themeColor="text1"/>
        </w:rPr>
        <w:tab/>
      </w:r>
      <w:r>
        <w:rPr>
          <w:rFonts w:ascii="宋体" w:hAnsi="宋体"/>
          <w:color w:val="000000" w:themeColor="text1"/>
        </w:rPr>
        <w:t>如果发包人未能按合同付款，或违反合同不顾书面警告，承包人可发出通知</w:t>
      </w:r>
      <w:r>
        <w:rPr>
          <w:rFonts w:hint="eastAsia" w:ascii="宋体" w:hAnsi="宋体"/>
          <w:color w:val="000000" w:themeColor="text1"/>
        </w:rPr>
        <w:t>，告知</w:t>
      </w:r>
      <w:r>
        <w:rPr>
          <w:rFonts w:ascii="宋体" w:hAnsi="宋体"/>
          <w:color w:val="000000" w:themeColor="text1"/>
        </w:rPr>
        <w:t>发包人违约。如果发包人在收到该通知后14天内</w:t>
      </w:r>
      <w:r>
        <w:rPr>
          <w:rFonts w:hint="eastAsia" w:ascii="宋体" w:hAnsi="宋体"/>
          <w:color w:val="000000" w:themeColor="text1"/>
        </w:rPr>
        <w:t>未</w:t>
      </w:r>
      <w:r>
        <w:rPr>
          <w:rFonts w:ascii="宋体" w:hAnsi="宋体"/>
          <w:color w:val="000000" w:themeColor="text1"/>
        </w:rPr>
        <w:t>纠正违约，承包人可暂停工作或放慢工作进度。</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15.2.2</w:t>
      </w:r>
      <w:r>
        <w:rPr>
          <w:rFonts w:hint="eastAsia" w:ascii="宋体" w:hAnsi="宋体"/>
          <w:color w:val="000000" w:themeColor="text1"/>
        </w:rPr>
        <w:tab/>
      </w:r>
      <w:r>
        <w:rPr>
          <w:rFonts w:ascii="宋体" w:hAnsi="宋体"/>
          <w:color w:val="000000" w:themeColor="text1"/>
        </w:rPr>
        <w:t>如果发包人收到承包人通知后28内</w:t>
      </w:r>
      <w:r>
        <w:rPr>
          <w:rFonts w:hint="eastAsia" w:ascii="宋体" w:hAnsi="宋体"/>
          <w:color w:val="000000" w:themeColor="text1"/>
        </w:rPr>
        <w:t>未</w:t>
      </w:r>
      <w:r>
        <w:rPr>
          <w:rFonts w:ascii="宋体" w:hAnsi="宋体"/>
          <w:color w:val="000000" w:themeColor="text1"/>
        </w:rPr>
        <w:t>纠正违约，承包人可向发包人发出解除合同通知。合同解除后，承包人应妥善做好已竣工工程和已购材料、设备的保护和移交工作，按发包人要求将承包人设备和人员撤出施工场地，同时发包人应为承包人</w:t>
      </w:r>
      <w:r>
        <w:rPr>
          <w:rFonts w:hint="eastAsia" w:ascii="宋体" w:hAnsi="宋体"/>
          <w:color w:val="000000" w:themeColor="text1"/>
        </w:rPr>
        <w:t>的</w:t>
      </w:r>
      <w:r>
        <w:rPr>
          <w:rFonts w:ascii="宋体" w:hAnsi="宋体"/>
          <w:color w:val="000000" w:themeColor="text1"/>
        </w:rPr>
        <w:t>撤出提供必要条件</w:t>
      </w:r>
      <w:r>
        <w:rPr>
          <w:rFonts w:hint="eastAsia" w:ascii="宋体" w:hAnsi="宋体"/>
          <w:color w:val="000000" w:themeColor="text1"/>
        </w:rPr>
        <w:t>，</w:t>
      </w:r>
      <w:r>
        <w:rPr>
          <w:rFonts w:ascii="宋体" w:hAnsi="宋体"/>
          <w:color w:val="000000" w:themeColor="text1"/>
        </w:rPr>
        <w:t>但承包人的</w:t>
      </w:r>
      <w:r>
        <w:rPr>
          <w:rFonts w:hint="eastAsia" w:ascii="宋体" w:hAnsi="宋体"/>
          <w:color w:val="000000" w:themeColor="text1"/>
        </w:rPr>
        <w:t>这一</w:t>
      </w:r>
      <w:r>
        <w:rPr>
          <w:rFonts w:ascii="宋体" w:hAnsi="宋体"/>
          <w:color w:val="000000" w:themeColor="text1"/>
        </w:rPr>
        <w:t>行动不免除发包人应承担的违约责任，也不影响承包人根据合同约定享有的索赔权利</w:t>
      </w:r>
      <w:r>
        <w:rPr>
          <w:rFonts w:hint="eastAsia" w:ascii="宋体" w:hAnsi="宋体"/>
          <w:color w:val="000000" w:themeColor="text1"/>
        </w:rPr>
        <w:t>。</w:t>
      </w:r>
    </w:p>
    <w:p>
      <w:pPr>
        <w:snapToGrid w:val="0"/>
        <w:spacing w:beforeAutospacing="0" w:afterAutospacing="0"/>
        <w:ind w:left="991" w:hanging="991" w:hangingChars="413"/>
        <w:outlineLvl w:val="2"/>
        <w:rPr>
          <w:rFonts w:ascii="黑体" w:eastAsia="黑体"/>
          <w:color w:val="000000" w:themeColor="text1"/>
        </w:rPr>
      </w:pPr>
      <w:bookmarkStart w:id="417" w:name="_Toc247085841"/>
      <w:bookmarkStart w:id="418" w:name="_Toc296602575"/>
      <w:bookmarkStart w:id="419" w:name="_Toc246997069"/>
      <w:bookmarkStart w:id="420" w:name="_Toc184635120"/>
      <w:bookmarkStart w:id="421" w:name="_Toc11826"/>
      <w:bookmarkStart w:id="422" w:name="_Toc246996326"/>
      <w:bookmarkStart w:id="423" w:name="_Toc12216"/>
      <w:r>
        <w:rPr>
          <w:rFonts w:hint="eastAsia" w:ascii="黑体" w:eastAsia="黑体"/>
          <w:color w:val="000000" w:themeColor="text1"/>
        </w:rPr>
        <w:t>16.</w:t>
      </w:r>
      <w:r>
        <w:rPr>
          <w:rFonts w:hint="eastAsia" w:ascii="黑体" w:eastAsia="黑体"/>
          <w:color w:val="000000" w:themeColor="text1"/>
        </w:rPr>
        <w:tab/>
      </w:r>
      <w:r>
        <w:rPr>
          <w:rFonts w:hint="eastAsia" w:ascii="黑体" w:eastAsia="黑体"/>
          <w:color w:val="000000" w:themeColor="text1"/>
        </w:rPr>
        <w:t>索赔</w:t>
      </w:r>
      <w:bookmarkEnd w:id="417"/>
      <w:bookmarkEnd w:id="418"/>
      <w:bookmarkEnd w:id="419"/>
      <w:bookmarkEnd w:id="420"/>
      <w:bookmarkEnd w:id="421"/>
      <w:bookmarkEnd w:id="422"/>
      <w:bookmarkEnd w:id="423"/>
    </w:p>
    <w:p>
      <w:pPr>
        <w:snapToGrid w:val="0"/>
        <w:spacing w:beforeAutospacing="0" w:afterAutospacing="0"/>
        <w:ind w:left="991" w:hanging="991" w:hangingChars="413"/>
        <w:rPr>
          <w:rFonts w:ascii="黑体" w:eastAsia="黑体"/>
          <w:color w:val="000000" w:themeColor="text1"/>
        </w:rPr>
      </w:pPr>
      <w:bookmarkStart w:id="424" w:name="_Toc247085842"/>
      <w:bookmarkStart w:id="425" w:name="_Toc246996327"/>
      <w:bookmarkStart w:id="426" w:name="_Toc246997070"/>
      <w:bookmarkStart w:id="427" w:name="_Toc296602576"/>
      <w:r>
        <w:rPr>
          <w:rFonts w:hint="eastAsia" w:ascii="黑体" w:eastAsia="黑体"/>
          <w:color w:val="000000" w:themeColor="text1"/>
        </w:rPr>
        <w:t>16.1</w:t>
      </w:r>
      <w:r>
        <w:rPr>
          <w:rFonts w:hint="eastAsia" w:ascii="黑体" w:eastAsia="黑体"/>
          <w:color w:val="000000" w:themeColor="text1"/>
        </w:rPr>
        <w:tab/>
      </w:r>
      <w:r>
        <w:rPr>
          <w:rFonts w:hint="eastAsia" w:ascii="黑体" w:eastAsia="黑体"/>
          <w:color w:val="000000" w:themeColor="text1"/>
        </w:rPr>
        <w:t>承包人索赔的提出</w:t>
      </w:r>
      <w:bookmarkEnd w:id="424"/>
      <w:bookmarkEnd w:id="425"/>
      <w:bookmarkEnd w:id="426"/>
      <w:bookmarkEnd w:id="427"/>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根据合同约定，承包人认为有权得到追加付款和（或）延长工期的，应按以下程序向发包人提出索赔：</w:t>
      </w:r>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（l）</w:t>
      </w:r>
      <w:r>
        <w:rPr>
          <w:rFonts w:hint="eastAsia" w:ascii="宋体" w:hAnsi="宋体"/>
          <w:color w:val="000000" w:themeColor="text1"/>
        </w:rPr>
        <w:tab/>
      </w:r>
      <w:r>
        <w:rPr>
          <w:rFonts w:hint="eastAsia" w:ascii="宋体" w:hAnsi="宋体"/>
          <w:color w:val="000000" w:themeColor="text1"/>
        </w:rPr>
        <w:t>承包人应在知道或应当知道索赔事件发生后14天内，向监理人递交索赔通知书。索赔通知书应详细说明索赔理由以及要求追加的付款金额和（或）延长的工期，并附必要的记录和证明材料；</w:t>
      </w:r>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（2）</w:t>
      </w:r>
      <w:r>
        <w:rPr>
          <w:rFonts w:hint="eastAsia" w:ascii="宋体" w:hAnsi="宋体"/>
          <w:color w:val="000000" w:themeColor="text1"/>
        </w:rPr>
        <w:tab/>
      </w:r>
      <w:r>
        <w:rPr>
          <w:rFonts w:hint="eastAsia" w:ascii="宋体" w:hAnsi="宋体"/>
          <w:color w:val="000000" w:themeColor="text1"/>
        </w:rPr>
        <w:t>索赔事件具有连续影响的，承包人应在索赔事件影响结束后的14天内，向监理人递交最终索赔通知书，说明最终要求索赔的追加付款金额和延长的工期，并附必要的记录和证明材料；</w:t>
      </w:r>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（3）</w:t>
      </w:r>
      <w:r>
        <w:rPr>
          <w:rFonts w:hint="eastAsia" w:ascii="宋体" w:hAnsi="宋体"/>
          <w:color w:val="000000" w:themeColor="text1"/>
        </w:rPr>
        <w:tab/>
      </w:r>
      <w:r>
        <w:rPr>
          <w:rFonts w:hint="eastAsia" w:ascii="宋体" w:hAnsi="宋体"/>
          <w:color w:val="000000" w:themeColor="text1"/>
        </w:rPr>
        <w:t>承包人未在前述14天内递交索赔通知书的，丧失要求追加付款和（或）延长工期的权利。</w:t>
      </w:r>
    </w:p>
    <w:p>
      <w:pPr>
        <w:snapToGrid w:val="0"/>
        <w:spacing w:beforeAutospacing="0" w:afterAutospacing="0"/>
        <w:ind w:left="991" w:hanging="991" w:hangingChars="413"/>
        <w:rPr>
          <w:rFonts w:ascii="黑体" w:eastAsia="黑体"/>
          <w:color w:val="000000" w:themeColor="text1"/>
        </w:rPr>
      </w:pPr>
      <w:bookmarkStart w:id="428" w:name="_Toc296602577"/>
      <w:bookmarkStart w:id="429" w:name="_Toc246996328"/>
      <w:bookmarkStart w:id="430" w:name="_Toc246997071"/>
      <w:bookmarkStart w:id="431" w:name="_Toc247085843"/>
      <w:r>
        <w:rPr>
          <w:rFonts w:hint="eastAsia" w:ascii="黑体" w:eastAsia="黑体"/>
          <w:color w:val="000000" w:themeColor="text1"/>
        </w:rPr>
        <w:t>16.2</w:t>
      </w:r>
      <w:r>
        <w:rPr>
          <w:rFonts w:hint="eastAsia" w:ascii="黑体" w:eastAsia="黑体"/>
          <w:color w:val="000000" w:themeColor="text1"/>
        </w:rPr>
        <w:tab/>
      </w:r>
      <w:r>
        <w:rPr>
          <w:rFonts w:hint="eastAsia" w:ascii="黑体" w:eastAsia="黑体"/>
          <w:color w:val="000000" w:themeColor="text1"/>
        </w:rPr>
        <w:t>承包人索赔处理程序</w:t>
      </w:r>
      <w:bookmarkEnd w:id="428"/>
      <w:bookmarkEnd w:id="429"/>
      <w:bookmarkEnd w:id="430"/>
      <w:bookmarkEnd w:id="431"/>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（1）</w:t>
      </w:r>
      <w:r>
        <w:rPr>
          <w:rFonts w:hint="eastAsia" w:ascii="宋体" w:hAnsi="宋体"/>
          <w:color w:val="000000" w:themeColor="text1"/>
        </w:rPr>
        <w:tab/>
      </w:r>
      <w:r>
        <w:rPr>
          <w:rFonts w:hint="eastAsia" w:ascii="宋体" w:hAnsi="宋体"/>
          <w:color w:val="000000" w:themeColor="text1"/>
        </w:rPr>
        <w:t>监理人收到承包人提交的索赔通知书后，应按第3.5款商定或确定追加的付款和（或）延长的工期，并在收到上述索赔通知书或有关索赔的进一步证明材料后的14天内，将索赔处理结果答复承包人。</w:t>
      </w:r>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（2）</w:t>
      </w:r>
      <w:r>
        <w:rPr>
          <w:rFonts w:hint="eastAsia" w:ascii="宋体" w:hAnsi="宋体"/>
          <w:color w:val="000000" w:themeColor="text1"/>
        </w:rPr>
        <w:tab/>
      </w:r>
      <w:r>
        <w:rPr>
          <w:rFonts w:hint="eastAsia" w:ascii="宋体" w:hAnsi="宋体"/>
          <w:color w:val="000000" w:themeColor="text1"/>
        </w:rPr>
        <w:t>承包人接受索赔处理结果的，发包人应在作出索赔处理结果答复后14天内完成赔付。承包人不接受索赔处理结果的，按第17条的约定执行。</w:t>
      </w:r>
    </w:p>
    <w:p>
      <w:pPr>
        <w:snapToGrid w:val="0"/>
        <w:spacing w:beforeAutospacing="0" w:afterAutospacing="0"/>
        <w:ind w:left="991" w:hanging="991" w:hangingChars="413"/>
        <w:rPr>
          <w:rFonts w:ascii="黑体" w:eastAsia="黑体"/>
          <w:color w:val="000000" w:themeColor="text1"/>
        </w:rPr>
      </w:pPr>
      <w:bookmarkStart w:id="432" w:name="_Toc296602578"/>
      <w:bookmarkStart w:id="433" w:name="_Toc247085844"/>
      <w:bookmarkStart w:id="434" w:name="_Toc246996329"/>
      <w:bookmarkStart w:id="435" w:name="_Toc246997072"/>
      <w:r>
        <w:rPr>
          <w:rFonts w:hint="eastAsia" w:ascii="黑体" w:eastAsia="黑体"/>
          <w:color w:val="000000" w:themeColor="text1"/>
        </w:rPr>
        <w:t>16.3</w:t>
      </w:r>
      <w:r>
        <w:rPr>
          <w:rFonts w:hint="eastAsia" w:ascii="黑体" w:eastAsia="黑体"/>
          <w:color w:val="000000" w:themeColor="text1"/>
        </w:rPr>
        <w:tab/>
      </w:r>
      <w:r>
        <w:rPr>
          <w:rFonts w:hint="eastAsia" w:ascii="黑体" w:eastAsia="黑体"/>
          <w:color w:val="000000" w:themeColor="text1"/>
        </w:rPr>
        <w:t>承包人提出索赔的期限</w:t>
      </w:r>
      <w:bookmarkEnd w:id="432"/>
      <w:bookmarkEnd w:id="433"/>
      <w:bookmarkEnd w:id="434"/>
      <w:bookmarkEnd w:id="435"/>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承包人按第10.5款的约定接受了竣工付款证书后，应被认为已无权再提出在合同工程接收证书颁发前所发生的任何索赔。</w:t>
      </w:r>
    </w:p>
    <w:p>
      <w:pPr>
        <w:snapToGrid w:val="0"/>
        <w:spacing w:beforeAutospacing="0" w:afterAutospacing="0"/>
        <w:ind w:left="991" w:hanging="991" w:hangingChars="413"/>
        <w:rPr>
          <w:rFonts w:ascii="黑体" w:eastAsia="黑体"/>
          <w:color w:val="000000" w:themeColor="text1"/>
        </w:rPr>
      </w:pPr>
      <w:bookmarkStart w:id="436" w:name="_Toc296602579"/>
      <w:r>
        <w:rPr>
          <w:rFonts w:hint="eastAsia" w:ascii="黑体" w:eastAsia="黑体"/>
          <w:color w:val="000000" w:themeColor="text1"/>
        </w:rPr>
        <w:t>16.4</w:t>
      </w:r>
      <w:r>
        <w:rPr>
          <w:rFonts w:hint="eastAsia" w:ascii="黑体" w:eastAsia="黑体"/>
          <w:color w:val="000000" w:themeColor="text1"/>
        </w:rPr>
        <w:tab/>
      </w:r>
      <w:r>
        <w:rPr>
          <w:rFonts w:hint="eastAsia" w:ascii="黑体" w:eastAsia="黑体"/>
          <w:color w:val="000000" w:themeColor="text1"/>
        </w:rPr>
        <w:t>发包人索赔的提出</w:t>
      </w:r>
      <w:bookmarkEnd w:id="436"/>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根据合同约定，发包人认为有权得到追加付款和（或）延长工期的，应按以下程序向承包人提出索赔：</w:t>
      </w:r>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（l）</w:t>
      </w:r>
      <w:r>
        <w:rPr>
          <w:rFonts w:hint="eastAsia" w:ascii="宋体" w:hAnsi="宋体"/>
          <w:color w:val="000000" w:themeColor="text1"/>
        </w:rPr>
        <w:tab/>
      </w:r>
      <w:r>
        <w:rPr>
          <w:rFonts w:hint="eastAsia" w:ascii="宋体" w:hAnsi="宋体"/>
          <w:color w:val="000000" w:themeColor="text1"/>
        </w:rPr>
        <w:t>监理人应在知道或应当知道索赔事件发生后14天内，向承包人递交索赔通知书。索赔通知书应详细说明索赔理由以及要求追加的付款金额和（或）延长的工期，并附必要的记录和证明材料；</w:t>
      </w:r>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（2）</w:t>
      </w:r>
      <w:r>
        <w:rPr>
          <w:rFonts w:hint="eastAsia" w:ascii="宋体" w:hAnsi="宋体"/>
          <w:color w:val="000000" w:themeColor="text1"/>
        </w:rPr>
        <w:tab/>
      </w:r>
      <w:r>
        <w:rPr>
          <w:rFonts w:hint="eastAsia" w:ascii="宋体" w:hAnsi="宋体"/>
          <w:color w:val="000000" w:themeColor="text1"/>
        </w:rPr>
        <w:t>索赔事件具有连续影响的，监理人应在索赔事件影响结束后的14天内，向承包人递交最终索赔通知书，说明最终要求索赔的追加付款金额和延长的工期，并附必要的记录和证明材料。</w:t>
      </w:r>
    </w:p>
    <w:p>
      <w:pPr>
        <w:snapToGrid w:val="0"/>
        <w:spacing w:beforeAutospacing="0" w:afterAutospacing="0"/>
        <w:ind w:left="991" w:hanging="991" w:hangingChars="413"/>
        <w:rPr>
          <w:rFonts w:ascii="黑体" w:eastAsia="黑体"/>
          <w:color w:val="000000" w:themeColor="text1"/>
        </w:rPr>
      </w:pPr>
      <w:bookmarkStart w:id="437" w:name="_Toc296602580"/>
      <w:r>
        <w:rPr>
          <w:rFonts w:hint="eastAsia" w:ascii="黑体" w:eastAsia="黑体"/>
          <w:color w:val="000000" w:themeColor="text1"/>
        </w:rPr>
        <w:t>16.5</w:t>
      </w:r>
      <w:r>
        <w:rPr>
          <w:rFonts w:hint="eastAsia" w:ascii="黑体" w:eastAsia="黑体"/>
          <w:color w:val="000000" w:themeColor="text1"/>
        </w:rPr>
        <w:tab/>
      </w:r>
      <w:r>
        <w:rPr>
          <w:rFonts w:hint="eastAsia" w:ascii="黑体" w:eastAsia="黑体"/>
          <w:color w:val="000000" w:themeColor="text1"/>
        </w:rPr>
        <w:t>发包人索赔处理程序</w:t>
      </w:r>
      <w:bookmarkEnd w:id="437"/>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（1）</w:t>
      </w:r>
      <w:r>
        <w:rPr>
          <w:rFonts w:hint="eastAsia" w:ascii="宋体" w:hAnsi="宋体"/>
          <w:color w:val="000000" w:themeColor="text1"/>
        </w:rPr>
        <w:tab/>
      </w:r>
      <w:r>
        <w:rPr>
          <w:rFonts w:hint="eastAsia" w:ascii="宋体" w:hAnsi="宋体"/>
          <w:color w:val="000000" w:themeColor="text1"/>
        </w:rPr>
        <w:t>承包人收到监理人提交的索赔通知书后，应按第3.5款商定或确定追加的付款和（或）延长的工期，并在收到上述索赔通知书或有关索赔的进一步证明材料后的14天内，将索赔处理结果答复监理人。</w:t>
      </w:r>
    </w:p>
    <w:p>
      <w:pPr>
        <w:snapToGrid w:val="0"/>
        <w:spacing w:beforeAutospacing="0" w:afterAutospacing="0"/>
        <w:ind w:left="1841" w:leftChars="472" w:hanging="708" w:hangingChars="295"/>
        <w:rPr>
          <w:rFonts w:ascii="宋体" w:hAnsi="宋体"/>
          <w:color w:val="000000" w:themeColor="text1"/>
        </w:rPr>
      </w:pPr>
      <w:r>
        <w:rPr>
          <w:rFonts w:hint="eastAsia" w:ascii="宋体" w:hAnsi="宋体"/>
          <w:color w:val="000000" w:themeColor="text1"/>
        </w:rPr>
        <w:t>（2）</w:t>
      </w:r>
      <w:r>
        <w:rPr>
          <w:rFonts w:hint="eastAsia" w:ascii="宋体" w:hAnsi="宋体"/>
          <w:color w:val="000000" w:themeColor="text1"/>
        </w:rPr>
        <w:tab/>
      </w:r>
      <w:r>
        <w:rPr>
          <w:rFonts w:hint="eastAsia" w:ascii="宋体" w:hAnsi="宋体"/>
          <w:color w:val="000000" w:themeColor="text1"/>
        </w:rPr>
        <w:t>监理人接受索赔处理结果的，承包人应在作出索赔处理结果答复后14天内完成赔付。监理人不接受索赔处理结果的，按第17条的约定执行。</w:t>
      </w:r>
    </w:p>
    <w:p>
      <w:pPr>
        <w:snapToGrid w:val="0"/>
        <w:spacing w:beforeAutospacing="0" w:afterAutospacing="0"/>
        <w:ind w:left="991" w:hanging="991" w:hangingChars="413"/>
        <w:outlineLvl w:val="2"/>
        <w:rPr>
          <w:rFonts w:ascii="黑体" w:eastAsia="黑体"/>
          <w:color w:val="000000" w:themeColor="text1"/>
        </w:rPr>
      </w:pPr>
      <w:bookmarkStart w:id="438" w:name="_Toc3523"/>
      <w:bookmarkStart w:id="439" w:name="_Toc296602581"/>
      <w:bookmarkStart w:id="440" w:name="_Toc247085846"/>
      <w:bookmarkStart w:id="441" w:name="_Toc20766"/>
      <w:bookmarkStart w:id="442" w:name="_Toc246996331"/>
      <w:bookmarkStart w:id="443" w:name="_Toc184635121"/>
      <w:bookmarkStart w:id="444" w:name="_Toc246997074"/>
      <w:r>
        <w:rPr>
          <w:rFonts w:hint="eastAsia" w:ascii="黑体" w:eastAsia="黑体"/>
          <w:color w:val="000000" w:themeColor="text1"/>
        </w:rPr>
        <w:t>17.</w:t>
      </w:r>
      <w:r>
        <w:rPr>
          <w:rFonts w:hint="eastAsia" w:ascii="黑体" w:eastAsia="黑体"/>
          <w:color w:val="000000" w:themeColor="text1"/>
        </w:rPr>
        <w:tab/>
      </w:r>
      <w:r>
        <w:rPr>
          <w:rFonts w:hint="eastAsia" w:ascii="黑体" w:eastAsia="黑体"/>
          <w:color w:val="000000" w:themeColor="text1"/>
        </w:rPr>
        <w:t>争议的解决</w:t>
      </w:r>
      <w:bookmarkEnd w:id="438"/>
      <w:bookmarkEnd w:id="439"/>
      <w:bookmarkEnd w:id="440"/>
      <w:bookmarkEnd w:id="441"/>
      <w:bookmarkEnd w:id="442"/>
      <w:bookmarkEnd w:id="443"/>
      <w:bookmarkEnd w:id="444"/>
    </w:p>
    <w:p>
      <w:pPr>
        <w:snapToGrid w:val="0"/>
        <w:spacing w:beforeAutospacing="0" w:afterAutospacing="0"/>
        <w:ind w:left="991" w:hanging="991" w:hangingChars="413"/>
        <w:rPr>
          <w:rFonts w:ascii="黑体" w:eastAsia="黑体"/>
          <w:color w:val="000000" w:themeColor="text1"/>
        </w:rPr>
      </w:pPr>
      <w:bookmarkStart w:id="445" w:name="_Toc246996332"/>
      <w:bookmarkStart w:id="446" w:name="_Toc247085847"/>
      <w:bookmarkStart w:id="447" w:name="_Toc246997075"/>
      <w:bookmarkStart w:id="448" w:name="_Toc296602582"/>
      <w:r>
        <w:rPr>
          <w:rFonts w:hint="eastAsia" w:ascii="黑体" w:eastAsia="黑体"/>
          <w:color w:val="000000" w:themeColor="text1"/>
        </w:rPr>
        <w:t>17.1</w:t>
      </w:r>
      <w:r>
        <w:rPr>
          <w:rFonts w:hint="eastAsia" w:ascii="黑体" w:eastAsia="黑体"/>
          <w:color w:val="000000" w:themeColor="text1"/>
        </w:rPr>
        <w:tab/>
      </w:r>
      <w:r>
        <w:rPr>
          <w:rFonts w:hint="eastAsia" w:ascii="黑体" w:eastAsia="黑体"/>
          <w:color w:val="000000" w:themeColor="text1"/>
        </w:rPr>
        <w:t>争议的解决方式</w:t>
      </w:r>
      <w:bookmarkEnd w:id="445"/>
      <w:bookmarkEnd w:id="446"/>
      <w:bookmarkEnd w:id="447"/>
      <w:bookmarkEnd w:id="448"/>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（l）向约定的仲裁委员会申请仲裁；</w:t>
      </w:r>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（2）向有管辖权的人民法院提起诉讼。</w:t>
      </w:r>
    </w:p>
    <w:p>
      <w:pPr>
        <w:snapToGrid w:val="0"/>
        <w:spacing w:beforeAutospacing="0" w:afterAutospacing="0"/>
        <w:ind w:left="991" w:hanging="991" w:hangingChars="413"/>
        <w:rPr>
          <w:rFonts w:ascii="黑体" w:eastAsia="黑体"/>
          <w:color w:val="000000" w:themeColor="text1"/>
        </w:rPr>
      </w:pPr>
      <w:bookmarkStart w:id="449" w:name="_Toc246997076"/>
      <w:bookmarkStart w:id="450" w:name="_Toc246996333"/>
      <w:bookmarkStart w:id="451" w:name="_Toc247085848"/>
      <w:bookmarkStart w:id="452" w:name="_Toc296602583"/>
      <w:r>
        <w:rPr>
          <w:rFonts w:hint="eastAsia" w:ascii="黑体" w:eastAsia="黑体"/>
          <w:color w:val="000000" w:themeColor="text1"/>
        </w:rPr>
        <w:t>17.2</w:t>
      </w:r>
      <w:r>
        <w:rPr>
          <w:rFonts w:hint="eastAsia" w:ascii="黑体" w:eastAsia="黑体"/>
          <w:color w:val="000000" w:themeColor="text1"/>
        </w:rPr>
        <w:tab/>
      </w:r>
      <w:r>
        <w:rPr>
          <w:rFonts w:hint="eastAsia" w:ascii="黑体" w:eastAsia="黑体"/>
          <w:color w:val="000000" w:themeColor="text1"/>
        </w:rPr>
        <w:t>友好解决</w:t>
      </w:r>
      <w:bookmarkEnd w:id="449"/>
      <w:bookmarkEnd w:id="450"/>
      <w:bookmarkEnd w:id="451"/>
      <w:bookmarkEnd w:id="452"/>
    </w:p>
    <w:p>
      <w:pPr>
        <w:snapToGrid w:val="0"/>
        <w:spacing w:beforeAutospacing="0" w:afterAutospacing="0"/>
        <w:ind w:left="1133" w:leftChars="472"/>
        <w:rPr>
          <w:rFonts w:ascii="宋体" w:hAnsi="宋体"/>
          <w:color w:val="000000" w:themeColor="text1"/>
        </w:rPr>
      </w:pPr>
      <w:r>
        <w:rPr>
          <w:rFonts w:hint="eastAsia" w:ascii="宋体" w:hAnsi="宋体"/>
          <w:color w:val="000000" w:themeColor="text1"/>
        </w:rPr>
        <w:t>在提请争议评审、仲裁或者诉讼前，以及在争议评审、仲裁或诉讼过程中，发包人和承包人均可共同努力友好协商解决争议。</w:t>
      </w:r>
    </w:p>
    <w:p>
      <w:pPr>
        <w:snapToGrid w:val="0"/>
        <w:spacing w:beforeAutospacing="0" w:afterAutospacing="0"/>
        <w:ind w:left="991" w:hanging="991" w:hangingChars="413"/>
        <w:rPr>
          <w:rFonts w:ascii="黑体" w:eastAsia="黑体"/>
          <w:color w:val="000000" w:themeColor="text1"/>
        </w:rPr>
      </w:pPr>
      <w:bookmarkStart w:id="453" w:name="_Toc246997077"/>
      <w:bookmarkStart w:id="454" w:name="_Toc246996334"/>
      <w:bookmarkStart w:id="455" w:name="_Toc296602584"/>
      <w:bookmarkStart w:id="456" w:name="_Toc247085849"/>
      <w:r>
        <w:rPr>
          <w:rFonts w:hint="eastAsia" w:ascii="黑体" w:eastAsia="黑体"/>
          <w:color w:val="000000" w:themeColor="text1"/>
        </w:rPr>
        <w:t>17.3</w:t>
      </w:r>
      <w:r>
        <w:rPr>
          <w:rFonts w:hint="eastAsia" w:ascii="黑体" w:eastAsia="黑体"/>
          <w:color w:val="000000" w:themeColor="text1"/>
        </w:rPr>
        <w:tab/>
      </w:r>
      <w:r>
        <w:rPr>
          <w:rFonts w:hint="eastAsia" w:ascii="黑体" w:eastAsia="黑体"/>
          <w:color w:val="000000" w:themeColor="text1"/>
        </w:rPr>
        <w:t>争议评审</w:t>
      </w:r>
      <w:bookmarkEnd w:id="453"/>
      <w:bookmarkEnd w:id="454"/>
      <w:bookmarkEnd w:id="455"/>
      <w:bookmarkEnd w:id="456"/>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17.3.1</w:t>
      </w:r>
      <w:r>
        <w:rPr>
          <w:rFonts w:hint="eastAsia" w:ascii="宋体" w:hAnsi="宋体"/>
          <w:color w:val="000000" w:themeColor="text1"/>
        </w:rPr>
        <w:tab/>
      </w:r>
      <w:r>
        <w:rPr>
          <w:rFonts w:hint="eastAsia" w:ascii="宋体" w:hAnsi="宋体"/>
          <w:color w:val="000000" w:themeColor="text1"/>
        </w:rPr>
        <w:t>采用争议评审的，发包人和承包人应当在专用合同条款中约定争议评审的程序和规则，并在开工日后的28天内或在争议发生后，协商成立争议评审组。</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17.3.2</w:t>
      </w:r>
      <w:r>
        <w:rPr>
          <w:rFonts w:hint="eastAsia" w:ascii="宋体" w:hAnsi="宋体"/>
          <w:color w:val="000000" w:themeColor="text1"/>
        </w:rPr>
        <w:tab/>
      </w:r>
      <w:r>
        <w:rPr>
          <w:rFonts w:hint="eastAsia" w:ascii="宋体" w:hAnsi="宋体"/>
          <w:color w:val="000000" w:themeColor="text1"/>
        </w:rPr>
        <w:t>发包人和承包人接受评审意见的，由监理人根据评审意见拟定执行协议，经争议双方签字后作为合同的补充文件，并遵照执行。</w:t>
      </w:r>
    </w:p>
    <w:p>
      <w:pPr>
        <w:snapToGrid w:val="0"/>
        <w:spacing w:beforeAutospacing="0" w:afterAutospacing="0"/>
        <w:ind w:left="991" w:hanging="991" w:hangingChars="413"/>
        <w:rPr>
          <w:rFonts w:ascii="宋体" w:hAnsi="宋体"/>
          <w:color w:val="000000" w:themeColor="text1"/>
        </w:rPr>
      </w:pPr>
      <w:r>
        <w:rPr>
          <w:rFonts w:hint="eastAsia" w:ascii="宋体" w:hAnsi="宋体"/>
          <w:color w:val="000000" w:themeColor="text1"/>
        </w:rPr>
        <w:t>17.3.3</w:t>
      </w:r>
      <w:r>
        <w:rPr>
          <w:rFonts w:hint="eastAsia" w:ascii="宋体" w:hAnsi="宋体"/>
          <w:color w:val="000000" w:themeColor="text1"/>
        </w:rPr>
        <w:tab/>
      </w:r>
      <w:r>
        <w:rPr>
          <w:rFonts w:hint="eastAsia" w:ascii="宋体" w:hAnsi="宋体"/>
          <w:color w:val="000000" w:themeColor="text1"/>
        </w:rPr>
        <w:t>发包人或承包人不接受评审意见，并要求提交仲裁或提起诉讼的，应在收到评审意见后的14天内将仲裁或起诉意向书面通知另一方，并抄送监理人，但在仲裁或诉讼结束前应暂按总监理工程师的确定执行。</w:t>
      </w:r>
    </w:p>
    <w:p>
      <w:pPr>
        <w:spacing w:beforeAutospacing="0" w:afterAutospacing="0"/>
        <w:ind w:firstLine="480" w:firstLineChars="200"/>
        <w:rPr>
          <w:color w:val="000000" w:themeColor="text1"/>
        </w:rPr>
      </w:pPr>
      <w:r>
        <w:rPr>
          <w:color w:val="000000" w:themeColor="text1"/>
        </w:rPr>
        <w:br w:type="page"/>
      </w:r>
    </w:p>
    <w:p>
      <w:pPr>
        <w:spacing w:beforeAutospacing="0" w:afterAutospacing="0"/>
        <w:jc w:val="center"/>
        <w:outlineLvl w:val="1"/>
        <w:rPr>
          <w:color w:val="000000" w:themeColor="text1"/>
          <w:sz w:val="30"/>
          <w:szCs w:val="30"/>
        </w:rPr>
      </w:pPr>
      <w:bookmarkStart w:id="457" w:name="_Toc296602585"/>
      <w:bookmarkStart w:id="458" w:name="_Toc247085850"/>
      <w:bookmarkStart w:id="459" w:name="_Toc19221"/>
      <w:bookmarkStart w:id="460" w:name="_Toc246997078"/>
      <w:bookmarkStart w:id="461" w:name="_Toc246996335"/>
      <w:r>
        <w:rPr>
          <w:rFonts w:hint="eastAsia"/>
          <w:color w:val="000000" w:themeColor="text1"/>
          <w:sz w:val="30"/>
          <w:szCs w:val="30"/>
        </w:rPr>
        <w:t>第二节  专用合同条款</w:t>
      </w:r>
      <w:bookmarkEnd w:id="457"/>
      <w:bookmarkEnd w:id="458"/>
      <w:bookmarkEnd w:id="459"/>
      <w:bookmarkEnd w:id="460"/>
      <w:bookmarkEnd w:id="461"/>
    </w:p>
    <w:p>
      <w:pPr>
        <w:snapToGrid w:val="0"/>
        <w:spacing w:before="0" w:beforeAutospacing="0" w:after="0" w:afterAutospacing="0"/>
        <w:ind w:left="991" w:hanging="991" w:hangingChars="413"/>
        <w:outlineLvl w:val="2"/>
        <w:rPr>
          <w:rFonts w:ascii="黑体" w:eastAsia="黑体"/>
          <w:color w:val="000000" w:themeColor="text1"/>
        </w:rPr>
      </w:pPr>
      <w:bookmarkStart w:id="462" w:name="_Toc28607"/>
      <w:bookmarkStart w:id="463" w:name="_Toc17448"/>
      <w:r>
        <w:rPr>
          <w:rFonts w:hint="eastAsia" w:ascii="黑体" w:eastAsia="黑体"/>
          <w:color w:val="000000" w:themeColor="text1"/>
        </w:rPr>
        <w:t>1.</w:t>
      </w:r>
      <w:r>
        <w:rPr>
          <w:rFonts w:hint="eastAsia" w:ascii="黑体" w:eastAsia="黑体"/>
          <w:color w:val="000000" w:themeColor="text1"/>
        </w:rPr>
        <w:tab/>
      </w:r>
      <w:r>
        <w:rPr>
          <w:rFonts w:hint="eastAsia" w:ascii="黑体" w:eastAsia="黑体"/>
          <w:color w:val="000000" w:themeColor="text1"/>
        </w:rPr>
        <w:t>一般约定</w:t>
      </w:r>
      <w:bookmarkEnd w:id="462"/>
      <w:bookmarkEnd w:id="463"/>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1.1</w:t>
      </w:r>
      <w:r>
        <w:rPr>
          <w:rFonts w:hint="eastAsia" w:ascii="黑体" w:eastAsia="黑体"/>
          <w:color w:val="000000" w:themeColor="text1"/>
        </w:rPr>
        <w:tab/>
      </w:r>
      <w:r>
        <w:rPr>
          <w:rFonts w:hint="eastAsia" w:ascii="黑体" w:eastAsia="黑体"/>
          <w:color w:val="000000" w:themeColor="text1"/>
        </w:rPr>
        <w:t>词语定义</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w:t>
      </w:r>
      <w:r>
        <w:rPr>
          <w:rFonts w:hint="eastAsia" w:ascii="宋体" w:hAnsi="宋体"/>
          <w:color w:val="000000" w:themeColor="text1"/>
        </w:rPr>
        <w:tab/>
      </w:r>
      <w:r>
        <w:rPr>
          <w:rFonts w:hint="eastAsia" w:ascii="宋体" w:hAnsi="宋体"/>
          <w:color w:val="000000" w:themeColor="text1"/>
        </w:rPr>
        <w:t>合同当事人和人员</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1.1.2.2</w:t>
      </w:r>
      <w:r>
        <w:rPr>
          <w:rFonts w:hint="eastAsia" w:ascii="宋体" w:hAnsi="宋体"/>
          <w:color w:val="000000" w:themeColor="text1"/>
        </w:rPr>
        <w:tab/>
      </w:r>
      <w:r>
        <w:rPr>
          <w:rFonts w:hint="eastAsia" w:ascii="宋体" w:hAnsi="宋体"/>
          <w:color w:val="000000" w:themeColor="text1"/>
        </w:rPr>
        <w:t xml:space="preserve">发包人：。 </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1.1.2.3</w:t>
      </w:r>
      <w:r>
        <w:rPr>
          <w:rFonts w:hint="eastAsia" w:ascii="宋体" w:hAnsi="宋体"/>
          <w:color w:val="000000" w:themeColor="text1"/>
        </w:rPr>
        <w:tab/>
      </w:r>
      <w:r>
        <w:rPr>
          <w:rFonts w:hint="eastAsia" w:ascii="宋体" w:hAnsi="宋体"/>
          <w:color w:val="000000" w:themeColor="text1"/>
        </w:rPr>
        <w:t>承包人：。</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1.1.2.4</w:t>
      </w:r>
      <w:r>
        <w:rPr>
          <w:rFonts w:hint="eastAsia" w:ascii="宋体" w:hAnsi="宋体"/>
          <w:color w:val="000000" w:themeColor="text1"/>
        </w:rPr>
        <w:tab/>
      </w:r>
      <w:r>
        <w:rPr>
          <w:rFonts w:hint="eastAsia" w:ascii="宋体" w:hAnsi="宋体"/>
          <w:color w:val="000000" w:themeColor="text1"/>
        </w:rPr>
        <w:t>承包人项目经理：</w:t>
      </w:r>
    </w:p>
    <w:p>
      <w:pPr>
        <w:snapToGrid w:val="0"/>
        <w:spacing w:before="0" w:beforeAutospacing="0" w:after="0" w:afterAutospacing="0"/>
        <w:ind w:left="1130" w:leftChars="471" w:firstLine="141" w:firstLineChars="59"/>
        <w:rPr>
          <w:rFonts w:ascii="宋体" w:hAnsi="宋体"/>
          <w:color w:val="000000" w:themeColor="text1"/>
        </w:rPr>
      </w:pPr>
      <w:r>
        <w:rPr>
          <w:rFonts w:hint="eastAsia" w:ascii="宋体" w:hAnsi="宋体"/>
          <w:color w:val="000000" w:themeColor="text1"/>
        </w:rPr>
        <w:t>姓      名：</w:t>
      </w:r>
    </w:p>
    <w:p>
      <w:pPr>
        <w:snapToGrid w:val="0"/>
        <w:spacing w:before="0" w:beforeAutospacing="0" w:after="0" w:afterAutospacing="0"/>
        <w:ind w:left="1130" w:leftChars="471" w:firstLine="141" w:firstLineChars="59"/>
        <w:rPr>
          <w:rFonts w:ascii="宋体" w:hAnsi="宋体"/>
          <w:color w:val="000000" w:themeColor="text1"/>
        </w:rPr>
      </w:pPr>
      <w:r>
        <w:rPr>
          <w:rFonts w:hint="eastAsia" w:ascii="宋体" w:hAnsi="宋体"/>
          <w:color w:val="000000" w:themeColor="text1"/>
        </w:rPr>
        <w:t>执业资格证书编号：</w:t>
      </w:r>
    </w:p>
    <w:p>
      <w:pPr>
        <w:snapToGrid w:val="0"/>
        <w:spacing w:before="0" w:beforeAutospacing="0" w:after="0" w:afterAutospacing="0"/>
        <w:ind w:left="1130" w:leftChars="471" w:firstLine="141" w:firstLineChars="59"/>
        <w:rPr>
          <w:rFonts w:ascii="宋体" w:hAnsi="宋体"/>
          <w:color w:val="000000" w:themeColor="text1"/>
        </w:rPr>
      </w:pPr>
      <w:r>
        <w:rPr>
          <w:rFonts w:hint="eastAsia" w:ascii="宋体" w:hAnsi="宋体"/>
          <w:color w:val="000000" w:themeColor="text1"/>
        </w:rPr>
        <w:t>注册证书编号：</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1.1.2.5</w:t>
      </w:r>
      <w:r>
        <w:rPr>
          <w:rFonts w:hint="eastAsia" w:ascii="宋体" w:hAnsi="宋体"/>
          <w:color w:val="000000" w:themeColor="text1"/>
        </w:rPr>
        <w:tab/>
      </w:r>
      <w:r>
        <w:rPr>
          <w:rFonts w:hint="eastAsia" w:ascii="宋体" w:hAnsi="宋体"/>
          <w:color w:val="000000" w:themeColor="text1"/>
        </w:rPr>
        <w:t>监理人：。</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w:t>
      </w:r>
      <w:r>
        <w:rPr>
          <w:rFonts w:hint="eastAsia" w:ascii="宋体" w:hAnsi="宋体"/>
          <w:color w:val="000000" w:themeColor="text1"/>
        </w:rPr>
        <w:tab/>
      </w:r>
      <w:r>
        <w:rPr>
          <w:rFonts w:hint="eastAsia" w:ascii="宋体" w:hAnsi="宋体"/>
          <w:color w:val="000000" w:themeColor="text1"/>
        </w:rPr>
        <w:t>日期</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1.1.4.5</w:t>
      </w:r>
      <w:r>
        <w:rPr>
          <w:rFonts w:hint="eastAsia" w:ascii="宋体" w:hAnsi="宋体"/>
          <w:color w:val="000000" w:themeColor="text1"/>
        </w:rPr>
        <w:tab/>
      </w:r>
      <w:r>
        <w:rPr>
          <w:rFonts w:hint="eastAsia" w:ascii="宋体" w:hAnsi="宋体"/>
          <w:color w:val="000000" w:themeColor="text1"/>
        </w:rPr>
        <w:t>缺陷责任期：</w:t>
      </w:r>
      <w:r>
        <w:rPr>
          <w:rFonts w:ascii="宋体" w:hAnsi="宋体"/>
          <w:color w:val="000000" w:themeColor="text1"/>
          <w:u w:val="single"/>
        </w:rPr>
        <w:t xml:space="preserve">12  </w:t>
      </w:r>
      <w:r>
        <w:rPr>
          <w:rFonts w:hint="eastAsia" w:ascii="宋体" w:hAnsi="宋体"/>
          <w:color w:val="000000" w:themeColor="text1"/>
          <w:u w:val="single"/>
        </w:rPr>
        <w:t>个</w:t>
      </w:r>
      <w:r>
        <w:rPr>
          <w:rFonts w:hint="eastAsia" w:ascii="宋体" w:hAnsi="宋体"/>
          <w:color w:val="000000" w:themeColor="text1"/>
        </w:rPr>
        <w:t>月。</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1.4</w:t>
      </w:r>
      <w:r>
        <w:rPr>
          <w:rFonts w:hint="eastAsia" w:ascii="黑体" w:eastAsia="黑体"/>
          <w:color w:val="000000" w:themeColor="text1"/>
        </w:rPr>
        <w:tab/>
      </w:r>
      <w:r>
        <w:rPr>
          <w:rFonts w:hint="eastAsia" w:ascii="黑体" w:eastAsia="黑体"/>
          <w:color w:val="000000" w:themeColor="text1"/>
        </w:rPr>
        <w:t>合同文件的优先顺序</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 xml:space="preserve">解释合同文件的优先顺序: </w:t>
      </w:r>
      <w:r>
        <w:rPr>
          <w:rFonts w:hint="eastAsia" w:ascii="宋体" w:hAnsi="宋体"/>
          <w:color w:val="000000" w:themeColor="text1"/>
          <w:u w:val="single"/>
        </w:rPr>
        <w:t xml:space="preserve"> 同通用合同条款，无另外约定 </w:t>
      </w:r>
      <w:r>
        <w:rPr>
          <w:rFonts w:hint="eastAsia" w:ascii="宋体" w:hAnsi="宋体"/>
          <w:color w:val="000000" w:themeColor="text1"/>
        </w:rPr>
        <w:t xml:space="preserve"> 。</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合同协议书中约定采用总价合同形式的，已标价工程量清单中的各项工程量对合同双方不具合同约束力。</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图纸与技术标准和要求之间有矛盾或者不一致的，以其中要求较严格的标准为准。</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合同双方在合同履行过程中签订的补充协议亦构成合同文件的组成部分，其解释顺序视其内容与其他合同文件的相互关系而定。</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1.6</w:t>
      </w:r>
      <w:r>
        <w:rPr>
          <w:rFonts w:hint="eastAsia" w:ascii="黑体" w:eastAsia="黑体"/>
          <w:color w:val="000000" w:themeColor="text1"/>
        </w:rPr>
        <w:tab/>
      </w:r>
      <w:r>
        <w:rPr>
          <w:rFonts w:hint="eastAsia" w:ascii="黑体" w:eastAsia="黑体"/>
          <w:color w:val="000000" w:themeColor="text1"/>
        </w:rPr>
        <w:t>图纸和承包人文件</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1.6.1</w:t>
      </w:r>
      <w:r>
        <w:rPr>
          <w:rFonts w:hint="eastAsia" w:ascii="宋体" w:hAnsi="宋体"/>
          <w:color w:val="000000" w:themeColor="text1"/>
        </w:rPr>
        <w:tab/>
      </w:r>
      <w:r>
        <w:rPr>
          <w:rFonts w:hint="eastAsia" w:ascii="宋体" w:hAnsi="宋体"/>
          <w:color w:val="000000" w:themeColor="text1"/>
        </w:rPr>
        <w:t>发包人提供的图纸</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发包人提供图纸时间：</w:t>
      </w:r>
      <w:r>
        <w:rPr>
          <w:rFonts w:hint="eastAsia" w:ascii="宋体" w:hAnsi="宋体"/>
          <w:color w:val="000000" w:themeColor="text1"/>
          <w:u w:val="single"/>
        </w:rPr>
        <w:t xml:space="preserve"> 开工通知中载明的开工日期前14天 </w:t>
      </w:r>
      <w:r>
        <w:rPr>
          <w:rFonts w:hint="eastAsia" w:ascii="宋体" w:hAnsi="宋体"/>
          <w:color w:val="000000" w:themeColor="text1"/>
        </w:rPr>
        <w:t>。</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发包人提供图纸份数：</w:t>
      </w:r>
      <w:r>
        <w:rPr>
          <w:rFonts w:hint="eastAsia" w:ascii="宋体" w:hAnsi="宋体"/>
          <w:color w:val="000000" w:themeColor="text1"/>
          <w:u w:val="single"/>
        </w:rPr>
        <w:t>1</w:t>
      </w:r>
      <w:r>
        <w:rPr>
          <w:rFonts w:ascii="宋体" w:hAnsi="宋体"/>
          <w:color w:val="000000" w:themeColor="text1"/>
          <w:u w:val="single"/>
        </w:rPr>
        <w:t xml:space="preserve">份 </w:t>
      </w:r>
      <w:r>
        <w:rPr>
          <w:rFonts w:hint="eastAsia" w:ascii="宋体" w:hAnsi="宋体"/>
          <w:color w:val="000000" w:themeColor="text1"/>
          <w:u w:val="single"/>
        </w:rPr>
        <w:t>。</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1.6.2</w:t>
      </w:r>
      <w:r>
        <w:rPr>
          <w:rFonts w:hint="eastAsia" w:ascii="宋体" w:hAnsi="宋体"/>
          <w:color w:val="000000" w:themeColor="text1"/>
        </w:rPr>
        <w:tab/>
      </w:r>
      <w:r>
        <w:rPr>
          <w:rFonts w:hint="eastAsia" w:ascii="宋体" w:hAnsi="宋体"/>
          <w:color w:val="000000" w:themeColor="text1"/>
        </w:rPr>
        <w:t>承包人提供的文件</w:t>
      </w:r>
    </w:p>
    <w:p>
      <w:pPr>
        <w:snapToGrid w:val="0"/>
        <w:spacing w:before="0" w:beforeAutospacing="0" w:after="0" w:afterAutospacing="0"/>
        <w:ind w:left="1761" w:leftChars="473" w:hanging="626" w:hangingChars="261"/>
        <w:rPr>
          <w:rFonts w:ascii="宋体" w:hAnsi="宋体"/>
          <w:color w:val="000000" w:themeColor="text1"/>
        </w:rPr>
      </w:pPr>
      <w:r>
        <w:rPr>
          <w:rFonts w:hint="eastAsia" w:ascii="宋体" w:hAnsi="宋体"/>
          <w:color w:val="000000" w:themeColor="text1"/>
        </w:rPr>
        <w:t>(1)由承包人提供的文件范围：</w:t>
      </w:r>
      <w:r>
        <w:rPr>
          <w:rFonts w:hint="eastAsia" w:ascii="宋体" w:hAnsi="宋体"/>
          <w:color w:val="000000" w:themeColor="text1"/>
          <w:u w:val="single"/>
        </w:rPr>
        <w:t xml:space="preserve"> 按通用条款执行  </w:t>
      </w:r>
      <w:r>
        <w:rPr>
          <w:rFonts w:hint="eastAsia" w:ascii="宋体" w:hAnsi="宋体"/>
          <w:color w:val="000000" w:themeColor="text1"/>
        </w:rPr>
        <w:t>。</w:t>
      </w:r>
    </w:p>
    <w:p>
      <w:pPr>
        <w:snapToGrid w:val="0"/>
        <w:spacing w:before="0" w:beforeAutospacing="0" w:after="0" w:afterAutospacing="0"/>
        <w:ind w:left="1761" w:leftChars="473" w:hanging="626" w:hangingChars="261"/>
        <w:rPr>
          <w:rFonts w:ascii="宋体" w:hAnsi="宋体"/>
          <w:color w:val="000000" w:themeColor="text1"/>
        </w:rPr>
      </w:pPr>
      <w:r>
        <w:rPr>
          <w:rFonts w:hint="eastAsia" w:ascii="宋体" w:hAnsi="宋体"/>
          <w:color w:val="000000" w:themeColor="text1"/>
        </w:rPr>
        <w:t>(2)承包人提供文件的期限：</w:t>
      </w:r>
      <w:r>
        <w:rPr>
          <w:rFonts w:hint="eastAsia" w:ascii="宋体" w:hAnsi="宋体"/>
          <w:color w:val="000000" w:themeColor="text1"/>
          <w:u w:val="single"/>
        </w:rPr>
        <w:t xml:space="preserve">   按通用条款执行  </w:t>
      </w:r>
      <w:r>
        <w:rPr>
          <w:rFonts w:hint="eastAsia" w:ascii="宋体" w:hAnsi="宋体"/>
          <w:color w:val="000000" w:themeColor="text1"/>
        </w:rPr>
        <w:t>。</w:t>
      </w:r>
    </w:p>
    <w:p>
      <w:pPr>
        <w:snapToGrid w:val="0"/>
        <w:spacing w:before="0" w:beforeAutospacing="0" w:after="0" w:afterAutospacing="0"/>
        <w:ind w:left="1761" w:leftChars="473" w:hanging="626" w:hangingChars="261"/>
        <w:rPr>
          <w:rFonts w:ascii="宋体" w:hAnsi="宋体"/>
          <w:color w:val="000000" w:themeColor="text1"/>
        </w:rPr>
      </w:pPr>
      <w:r>
        <w:rPr>
          <w:rFonts w:hint="eastAsia" w:ascii="宋体" w:hAnsi="宋体"/>
          <w:color w:val="000000" w:themeColor="text1"/>
        </w:rPr>
        <w:t>(3)承包人提供文件的数量：</w:t>
      </w:r>
      <w:r>
        <w:rPr>
          <w:rFonts w:hint="eastAsia" w:ascii="宋体" w:hAnsi="宋体"/>
          <w:color w:val="000000" w:themeColor="text1"/>
          <w:u w:val="single"/>
        </w:rPr>
        <w:t xml:space="preserve">   按通用条款执行  </w:t>
      </w:r>
      <w:r>
        <w:rPr>
          <w:rFonts w:hint="eastAsia" w:ascii="宋体" w:hAnsi="宋体"/>
          <w:color w:val="000000" w:themeColor="text1"/>
        </w:rPr>
        <w:t>。</w:t>
      </w:r>
    </w:p>
    <w:p>
      <w:pPr>
        <w:snapToGrid w:val="0"/>
        <w:spacing w:before="0" w:beforeAutospacing="0" w:after="0" w:afterAutospacing="0"/>
        <w:ind w:left="1761" w:leftChars="473" w:hanging="626" w:hangingChars="261"/>
        <w:rPr>
          <w:rFonts w:ascii="宋体" w:hAnsi="宋体"/>
          <w:color w:val="000000" w:themeColor="text1"/>
        </w:rPr>
      </w:pPr>
      <w:r>
        <w:rPr>
          <w:rFonts w:hint="eastAsia" w:ascii="宋体" w:hAnsi="宋体"/>
          <w:color w:val="000000" w:themeColor="text1"/>
        </w:rPr>
        <w:t>(4)监理人批复承包人提供文件的期限：</w:t>
      </w:r>
      <w:r>
        <w:rPr>
          <w:rFonts w:hint="eastAsia" w:ascii="宋体" w:hAnsi="宋体"/>
          <w:color w:val="000000" w:themeColor="text1"/>
          <w:u w:val="single"/>
        </w:rPr>
        <w:t xml:space="preserve">  按通用条款执行  </w:t>
      </w:r>
      <w:r>
        <w:rPr>
          <w:rFonts w:hint="eastAsia" w:ascii="宋体" w:hAnsi="宋体"/>
          <w:color w:val="000000" w:themeColor="text1"/>
        </w:rPr>
        <w:t>。</w:t>
      </w:r>
    </w:p>
    <w:p>
      <w:pPr>
        <w:snapToGrid w:val="0"/>
        <w:spacing w:before="0" w:beforeAutospacing="0" w:after="0" w:afterAutospacing="0"/>
        <w:ind w:left="1761" w:leftChars="473" w:hanging="626" w:hangingChars="261"/>
        <w:rPr>
          <w:rFonts w:ascii="宋体" w:hAnsi="宋体"/>
          <w:color w:val="000000" w:themeColor="text1"/>
        </w:rPr>
      </w:pPr>
      <w:r>
        <w:rPr>
          <w:rFonts w:hint="eastAsia" w:ascii="宋体" w:hAnsi="宋体"/>
          <w:color w:val="000000" w:themeColor="text1"/>
        </w:rPr>
        <w:t>(5)其他约定：</w:t>
      </w:r>
      <w:r>
        <w:rPr>
          <w:rFonts w:hint="eastAsia" w:ascii="宋体" w:hAnsi="宋体"/>
          <w:color w:val="000000" w:themeColor="text1"/>
          <w:u w:val="single"/>
        </w:rPr>
        <w:t xml:space="preserve"> 按通用条款执行  </w:t>
      </w:r>
      <w:r>
        <w:rPr>
          <w:rFonts w:hint="eastAsia" w:ascii="宋体" w:hAnsi="宋体"/>
          <w:color w:val="000000" w:themeColor="text1"/>
        </w:rPr>
        <w:t>。</w:t>
      </w:r>
    </w:p>
    <w:p>
      <w:pPr>
        <w:snapToGrid w:val="0"/>
        <w:spacing w:before="0" w:beforeAutospacing="0" w:after="0" w:afterAutospacing="0"/>
        <w:ind w:left="1133" w:leftChars="472"/>
        <w:rPr>
          <w:rFonts w:ascii="宋体" w:hAnsi="宋体"/>
          <w:color w:val="000000" w:themeColor="text1"/>
        </w:rPr>
      </w:pP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2.3</w:t>
      </w:r>
      <w:r>
        <w:rPr>
          <w:rFonts w:hint="eastAsia" w:ascii="黑体" w:eastAsia="黑体"/>
          <w:color w:val="000000" w:themeColor="text1"/>
        </w:rPr>
        <w:tab/>
      </w:r>
      <w:r>
        <w:rPr>
          <w:rFonts w:hint="eastAsia" w:ascii="黑体" w:eastAsia="黑体"/>
          <w:color w:val="000000" w:themeColor="text1"/>
        </w:rPr>
        <w:t>提供施工场地</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发包人提供施工场地时间：</w:t>
      </w:r>
      <w:r>
        <w:rPr>
          <w:rFonts w:hint="eastAsia" w:ascii="宋体" w:hAnsi="宋体"/>
          <w:color w:val="000000" w:themeColor="text1"/>
          <w:u w:val="single"/>
        </w:rPr>
        <w:t xml:space="preserve"> 开工通知中载明的开工日期前7天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2.8     其他义务</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2.8.1 发包人责任</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（1）积极配合承包人协调工程建设过程中的有关事项；</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（2）合同签订后3天内，向承包人提供施工图纸及其他相关文件材料；</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（3）施工前，发包人和监理人、承包人一起到现场确定工程施工的位置；</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（4）委托监理单位监理人员对本工程施工全过程进行监理。</w:t>
      </w:r>
    </w:p>
    <w:p>
      <w:pPr>
        <w:snapToGrid w:val="0"/>
        <w:spacing w:before="0" w:beforeAutospacing="0" w:after="0" w:afterAutospacing="0"/>
        <w:ind w:left="991" w:hanging="991" w:hangingChars="413"/>
        <w:outlineLvl w:val="2"/>
        <w:rPr>
          <w:rFonts w:ascii="黑体" w:eastAsia="黑体"/>
          <w:color w:val="000000" w:themeColor="text1"/>
        </w:rPr>
      </w:pPr>
      <w:bookmarkStart w:id="464" w:name="_Toc22985"/>
      <w:bookmarkStart w:id="465" w:name="_Toc4048"/>
      <w:r>
        <w:rPr>
          <w:rFonts w:hint="eastAsia" w:ascii="黑体" w:eastAsia="黑体"/>
          <w:color w:val="000000" w:themeColor="text1"/>
        </w:rPr>
        <w:t>3.</w:t>
      </w:r>
      <w:r>
        <w:rPr>
          <w:rFonts w:hint="eastAsia" w:ascii="黑体" w:eastAsia="黑体"/>
          <w:color w:val="000000" w:themeColor="text1"/>
        </w:rPr>
        <w:tab/>
      </w:r>
      <w:r>
        <w:rPr>
          <w:rFonts w:hint="eastAsia" w:ascii="黑体" w:eastAsia="黑体"/>
          <w:color w:val="000000" w:themeColor="text1"/>
        </w:rPr>
        <w:t>监理人</w:t>
      </w:r>
      <w:bookmarkEnd w:id="464"/>
      <w:bookmarkEnd w:id="465"/>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3.1</w:t>
      </w:r>
      <w:r>
        <w:rPr>
          <w:rFonts w:hint="eastAsia" w:ascii="黑体" w:eastAsia="黑体"/>
          <w:color w:val="000000" w:themeColor="text1"/>
        </w:rPr>
        <w:tab/>
      </w:r>
      <w:r>
        <w:rPr>
          <w:rFonts w:hint="eastAsia" w:ascii="黑体" w:eastAsia="黑体"/>
          <w:color w:val="000000" w:themeColor="text1"/>
        </w:rPr>
        <w:t>监理人的职责和权力</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3.1.1</w:t>
      </w:r>
      <w:r>
        <w:rPr>
          <w:rFonts w:hint="eastAsia" w:ascii="宋体" w:hAnsi="宋体"/>
          <w:color w:val="000000" w:themeColor="text1"/>
        </w:rPr>
        <w:tab/>
      </w:r>
      <w:r>
        <w:rPr>
          <w:rFonts w:hint="eastAsia" w:ascii="宋体" w:hAnsi="宋体"/>
          <w:color w:val="000000" w:themeColor="text1"/>
        </w:rPr>
        <w:t>须经发包人批准行使的权力：</w:t>
      </w:r>
      <w:r>
        <w:rPr>
          <w:rFonts w:hint="eastAsia" w:ascii="宋体" w:hAnsi="宋体"/>
          <w:color w:val="000000" w:themeColor="text1"/>
          <w:u w:val="single"/>
        </w:rPr>
        <w:t xml:space="preserve"> 见GB/T 50319-2013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3.3</w:t>
      </w:r>
      <w:r>
        <w:rPr>
          <w:rFonts w:hint="eastAsia" w:ascii="黑体" w:eastAsia="黑体"/>
          <w:color w:val="000000" w:themeColor="text1"/>
        </w:rPr>
        <w:tab/>
      </w:r>
      <w:r>
        <w:rPr>
          <w:rFonts w:hint="eastAsia" w:ascii="黑体" w:eastAsia="黑体"/>
          <w:color w:val="000000" w:themeColor="text1"/>
        </w:rPr>
        <w:t>监理人员</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3.3.4</w:t>
      </w:r>
      <w:r>
        <w:rPr>
          <w:rFonts w:hint="eastAsia" w:ascii="宋体" w:hAnsi="宋体"/>
          <w:color w:val="000000" w:themeColor="text1"/>
        </w:rPr>
        <w:tab/>
      </w:r>
      <w:r>
        <w:rPr>
          <w:rFonts w:hint="eastAsia" w:ascii="宋体" w:hAnsi="宋体"/>
          <w:color w:val="000000" w:themeColor="text1"/>
        </w:rPr>
        <w:t>总监理工程师不应将第3.5款约定应由总监理工程师作出确定的权力授权或委托给其他监理人员。</w:t>
      </w:r>
    </w:p>
    <w:p>
      <w:pPr>
        <w:snapToGrid w:val="0"/>
        <w:spacing w:before="0" w:beforeAutospacing="0" w:after="0" w:afterAutospacing="0"/>
        <w:ind w:left="991" w:hanging="991" w:hangingChars="413"/>
        <w:outlineLvl w:val="2"/>
        <w:rPr>
          <w:rFonts w:ascii="黑体" w:eastAsia="黑体"/>
          <w:color w:val="000000" w:themeColor="text1"/>
        </w:rPr>
      </w:pPr>
      <w:bookmarkStart w:id="466" w:name="_Toc2500"/>
      <w:bookmarkStart w:id="467" w:name="_Toc1232"/>
      <w:r>
        <w:rPr>
          <w:rFonts w:hint="eastAsia" w:ascii="黑体" w:eastAsia="黑体"/>
          <w:color w:val="000000" w:themeColor="text1"/>
        </w:rPr>
        <w:t>4.</w:t>
      </w:r>
      <w:r>
        <w:rPr>
          <w:rFonts w:hint="eastAsia" w:ascii="黑体" w:eastAsia="黑体"/>
          <w:color w:val="000000" w:themeColor="text1"/>
        </w:rPr>
        <w:tab/>
      </w:r>
      <w:r>
        <w:rPr>
          <w:rFonts w:hint="eastAsia" w:ascii="黑体" w:eastAsia="黑体"/>
          <w:color w:val="000000" w:themeColor="text1"/>
        </w:rPr>
        <w:t>承包人</w:t>
      </w:r>
      <w:bookmarkEnd w:id="466"/>
      <w:bookmarkEnd w:id="467"/>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4.1</w:t>
      </w:r>
      <w:r>
        <w:rPr>
          <w:rFonts w:hint="eastAsia" w:ascii="黑体" w:eastAsia="黑体"/>
          <w:color w:val="000000" w:themeColor="text1"/>
        </w:rPr>
        <w:tab/>
      </w:r>
      <w:r>
        <w:rPr>
          <w:rFonts w:hint="eastAsia" w:ascii="黑体" w:eastAsia="黑体"/>
          <w:color w:val="000000" w:themeColor="text1"/>
        </w:rPr>
        <w:t>承包人的一般义务</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4.1.6</w:t>
      </w:r>
      <w:r>
        <w:rPr>
          <w:rFonts w:hint="eastAsia" w:ascii="宋体" w:hAnsi="宋体"/>
          <w:color w:val="000000" w:themeColor="text1"/>
        </w:rPr>
        <w:tab/>
      </w:r>
      <w:r>
        <w:rPr>
          <w:rFonts w:hint="eastAsia" w:ascii="宋体" w:hAnsi="宋体"/>
          <w:color w:val="000000" w:themeColor="text1"/>
        </w:rPr>
        <w:t>承包人应履行合同约定的其他义务。</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4.1.6.1 按发包人提供的工程施工图的工程内容进行施工，施工必须符合设计要求。工地达到安全文明工地要求，竣工后由承包人负责清理施工过程中产生的废弃物并运走，费用由承包人自负；</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4.1.6.2 制定施工方案和进度计划，按工期完工。向发包人编制并无偿提供工程进度月报和工程施工前、施工中、施工后相关相片等资料以及按有关规定规范和发包人要求的其它计划与报表、工程竣工图、竣工决算报告书等材料；</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4.1.6.3 工程通过竣工验收之日起一年内，除不可抗力致使工程设施受损后，其余因素造成的工程设施损坏、项目无法正常运转、出水水质标准不达标等，均由施工单位负责维修，使其达到原设计标准；</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4.1.6.4 负责材料、设备的检验，费用由承包人承担,并无偿将其检验单提供给发包人；</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4.1.6.5 承包人在施工过程中,由于承包人或在施工安全等原因导致发生人身安全事故和造成经济损失，或竣工后质保期间内因工程质量等问题发生的安全事故导致发生人身安全事故和造成经济损失,责任全部由承包人承担，发包人不承担任何责任；</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4.1.6.6 承包人应按时支付农民工工资，如果工程竣工后承包人尚未支付完农民工工资，发包人有权扣出相应款额支付给农民工；</w:t>
      </w:r>
    </w:p>
    <w:p>
      <w:pPr>
        <w:snapToGrid w:val="0"/>
        <w:spacing w:beforeAutospacing="0" w:afterAutospacing="0"/>
        <w:ind w:left="991" w:hanging="991" w:hangingChars="413"/>
        <w:rPr>
          <w:rFonts w:ascii="黑体" w:eastAsia="黑体"/>
          <w:color w:val="000000" w:themeColor="text1"/>
        </w:rPr>
      </w:pPr>
      <w:r>
        <w:rPr>
          <w:rFonts w:hint="eastAsia" w:ascii="黑体" w:eastAsia="黑体"/>
          <w:color w:val="000000" w:themeColor="text1"/>
        </w:rPr>
        <w:t>4.3</w:t>
      </w:r>
      <w:r>
        <w:rPr>
          <w:rFonts w:hint="eastAsia" w:ascii="黑体" w:eastAsia="黑体"/>
          <w:color w:val="000000" w:themeColor="text1"/>
        </w:rPr>
        <w:tab/>
      </w:r>
      <w:r>
        <w:rPr>
          <w:rFonts w:hint="eastAsia" w:ascii="黑体" w:eastAsia="黑体"/>
          <w:color w:val="000000" w:themeColor="text1"/>
        </w:rPr>
        <w:t>承包人项目经理</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承包人指派的项目经理，应在接到发包人通知后</w:t>
      </w:r>
      <w:r>
        <w:rPr>
          <w:rFonts w:ascii="宋体" w:hAnsi="宋体"/>
          <w:color w:val="000000" w:themeColor="text1"/>
          <w:u w:val="single"/>
        </w:rPr>
        <w:t>7</w:t>
      </w:r>
      <w:r>
        <w:rPr>
          <w:rFonts w:hint="eastAsia" w:ascii="宋体" w:hAnsi="宋体"/>
          <w:color w:val="000000" w:themeColor="text1"/>
        </w:rPr>
        <w:t>日内到职。</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4.5</w:t>
      </w:r>
      <w:r>
        <w:rPr>
          <w:rFonts w:hint="eastAsia" w:ascii="黑体" w:eastAsia="黑体"/>
          <w:color w:val="000000" w:themeColor="text1"/>
        </w:rPr>
        <w:tab/>
      </w:r>
      <w:r>
        <w:rPr>
          <w:rFonts w:hint="eastAsia" w:ascii="黑体" w:eastAsia="黑体"/>
          <w:color w:val="000000" w:themeColor="text1"/>
        </w:rPr>
        <w:t>不利物质条件</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4.5.1</w:t>
      </w:r>
      <w:r>
        <w:rPr>
          <w:rFonts w:hint="eastAsia" w:ascii="宋体" w:hAnsi="宋体"/>
          <w:color w:val="000000" w:themeColor="text1"/>
        </w:rPr>
        <w:tab/>
      </w:r>
      <w:r>
        <w:rPr>
          <w:rFonts w:hint="eastAsia" w:ascii="宋体" w:hAnsi="宋体"/>
          <w:color w:val="000000" w:themeColor="text1"/>
        </w:rPr>
        <w:t>不利物质条件的范围：</w:t>
      </w:r>
      <w:r>
        <w:rPr>
          <w:rFonts w:hint="eastAsia" w:ascii="宋体" w:hAnsi="宋体"/>
          <w:color w:val="000000" w:themeColor="text1"/>
          <w:u w:val="single"/>
        </w:rPr>
        <w:t xml:space="preserve"> 未探明的高度超过3m的溶洞、大于5立方米孤石、废弃的建（构）筑物以及超过国家标准的幅射物 </w:t>
      </w:r>
      <w:r>
        <w:rPr>
          <w:rFonts w:hint="eastAsia" w:ascii="宋体" w:hAnsi="宋体"/>
          <w:color w:val="000000" w:themeColor="text1"/>
        </w:rPr>
        <w:t>。</w:t>
      </w:r>
    </w:p>
    <w:p>
      <w:pPr>
        <w:snapToGrid w:val="0"/>
        <w:spacing w:before="0" w:beforeAutospacing="0" w:after="0" w:afterAutospacing="0"/>
        <w:ind w:left="991" w:hanging="991" w:hangingChars="413"/>
        <w:outlineLvl w:val="2"/>
        <w:rPr>
          <w:rFonts w:ascii="黑体" w:eastAsia="黑体"/>
          <w:color w:val="000000" w:themeColor="text1"/>
        </w:rPr>
      </w:pPr>
      <w:bookmarkStart w:id="468" w:name="_Toc3323"/>
      <w:bookmarkStart w:id="469" w:name="_Toc8152"/>
      <w:r>
        <w:rPr>
          <w:rFonts w:hint="eastAsia" w:ascii="黑体" w:eastAsia="黑体"/>
          <w:color w:val="000000" w:themeColor="text1"/>
        </w:rPr>
        <w:t>5.</w:t>
      </w:r>
      <w:r>
        <w:rPr>
          <w:rFonts w:hint="eastAsia" w:ascii="黑体" w:eastAsia="黑体"/>
          <w:color w:val="000000" w:themeColor="text1"/>
        </w:rPr>
        <w:tab/>
      </w:r>
      <w:r>
        <w:rPr>
          <w:rFonts w:hint="eastAsia" w:ascii="黑体" w:eastAsia="黑体"/>
          <w:color w:val="000000" w:themeColor="text1"/>
        </w:rPr>
        <w:t>施工控制网</w:t>
      </w:r>
      <w:bookmarkEnd w:id="468"/>
      <w:bookmarkEnd w:id="469"/>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5.1</w:t>
      </w:r>
      <w:r>
        <w:rPr>
          <w:rFonts w:hint="eastAsia" w:ascii="宋体" w:hAnsi="宋体"/>
          <w:color w:val="000000" w:themeColor="text1"/>
        </w:rPr>
        <w:tab/>
      </w:r>
      <w:r>
        <w:rPr>
          <w:rFonts w:hint="eastAsia" w:ascii="宋体" w:hAnsi="宋体"/>
          <w:color w:val="000000" w:themeColor="text1"/>
        </w:rPr>
        <w:t xml:space="preserve">发包人向承包人提供测量基准点、基准线和水准点及其书面资料时间： </w:t>
      </w:r>
      <w:r>
        <w:rPr>
          <w:rFonts w:hint="eastAsia" w:ascii="宋体" w:hAnsi="宋体"/>
          <w:color w:val="000000" w:themeColor="text1"/>
          <w:u w:val="single"/>
        </w:rPr>
        <w:t xml:space="preserve">开工通知中载明的开工日期前14天 </w:t>
      </w:r>
      <w:r>
        <w:rPr>
          <w:rFonts w:hint="eastAsia" w:ascii="宋体" w:hAnsi="宋体"/>
          <w:color w:val="000000" w:themeColor="text1"/>
        </w:rPr>
        <w:t>。</w:t>
      </w:r>
    </w:p>
    <w:p>
      <w:pPr>
        <w:snapToGrid w:val="0"/>
        <w:spacing w:before="0" w:beforeAutospacing="0" w:after="0" w:afterAutospacing="0"/>
        <w:ind w:left="1130" w:leftChars="471" w:firstLine="2"/>
        <w:rPr>
          <w:rFonts w:ascii="宋体" w:hAnsi="宋体"/>
          <w:color w:val="000000" w:themeColor="text1"/>
        </w:rPr>
      </w:pPr>
      <w:r>
        <w:rPr>
          <w:rFonts w:hint="eastAsia" w:ascii="宋体" w:hAnsi="宋体"/>
          <w:color w:val="000000" w:themeColor="text1"/>
        </w:rPr>
        <w:t xml:space="preserve">承包人向监理人报送施工控制网的时间： </w:t>
      </w:r>
      <w:r>
        <w:rPr>
          <w:rFonts w:hint="eastAsia" w:ascii="宋体" w:hAnsi="宋体"/>
          <w:color w:val="000000" w:themeColor="text1"/>
          <w:u w:val="single"/>
        </w:rPr>
        <w:t xml:space="preserve">开工通知中载明的开工日期前7天 </w:t>
      </w:r>
      <w:r>
        <w:rPr>
          <w:rFonts w:hint="eastAsia" w:ascii="宋体" w:hAnsi="宋体"/>
          <w:color w:val="000000" w:themeColor="text1"/>
        </w:rPr>
        <w:t>。</w:t>
      </w:r>
    </w:p>
    <w:p>
      <w:pPr>
        <w:snapToGrid w:val="0"/>
        <w:spacing w:before="0" w:beforeAutospacing="0" w:after="0" w:afterAutospacing="0"/>
        <w:ind w:left="991" w:hanging="991" w:hangingChars="413"/>
        <w:outlineLvl w:val="2"/>
        <w:rPr>
          <w:rFonts w:ascii="黑体" w:eastAsia="黑体"/>
          <w:color w:val="000000" w:themeColor="text1"/>
        </w:rPr>
      </w:pPr>
      <w:bookmarkStart w:id="470" w:name="_Toc6871"/>
      <w:bookmarkStart w:id="471" w:name="_Toc29075"/>
      <w:r>
        <w:rPr>
          <w:rFonts w:hint="eastAsia" w:ascii="黑体" w:eastAsia="黑体"/>
          <w:color w:val="000000" w:themeColor="text1"/>
        </w:rPr>
        <w:t>6.</w:t>
      </w:r>
      <w:r>
        <w:rPr>
          <w:rFonts w:hint="eastAsia" w:ascii="黑体" w:eastAsia="黑体"/>
          <w:color w:val="000000" w:themeColor="text1"/>
        </w:rPr>
        <w:tab/>
      </w:r>
      <w:r>
        <w:rPr>
          <w:rFonts w:hint="eastAsia" w:ascii="黑体" w:eastAsia="黑体"/>
          <w:color w:val="000000" w:themeColor="text1"/>
        </w:rPr>
        <w:t>工期</w:t>
      </w:r>
      <w:bookmarkEnd w:id="470"/>
      <w:bookmarkEnd w:id="471"/>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6.1</w:t>
      </w:r>
      <w:r>
        <w:rPr>
          <w:rFonts w:hint="eastAsia" w:ascii="黑体" w:eastAsia="黑体"/>
          <w:color w:val="000000" w:themeColor="text1"/>
        </w:rPr>
        <w:tab/>
      </w:r>
      <w:r>
        <w:rPr>
          <w:rFonts w:hint="eastAsia" w:ascii="黑体" w:eastAsia="黑体"/>
          <w:color w:val="000000" w:themeColor="text1"/>
        </w:rPr>
        <w:t>进度计划</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承包</w:t>
      </w:r>
      <w:r>
        <w:rPr>
          <w:rFonts w:ascii="宋体" w:hAnsi="宋体"/>
          <w:color w:val="000000" w:themeColor="text1"/>
        </w:rPr>
        <w:t>人向监理人提交</w:t>
      </w:r>
      <w:r>
        <w:rPr>
          <w:rFonts w:hint="eastAsia" w:ascii="宋体" w:hAnsi="宋体"/>
          <w:color w:val="000000" w:themeColor="text1"/>
        </w:rPr>
        <w:t>详细的施工进度计划和施工方案说明的</w:t>
      </w:r>
      <w:r>
        <w:rPr>
          <w:rFonts w:ascii="宋体" w:hAnsi="宋体"/>
          <w:color w:val="000000" w:themeColor="text1"/>
        </w:rPr>
        <w:t>时间：</w:t>
      </w:r>
      <w:r>
        <w:rPr>
          <w:rFonts w:hint="eastAsia" w:ascii="宋体" w:hAnsi="宋体"/>
          <w:color w:val="000000" w:themeColor="text1"/>
          <w:u w:val="single"/>
        </w:rPr>
        <w:t>开工通知中载明的开工日期前7天</w:t>
      </w:r>
      <w:r>
        <w:rPr>
          <w:rFonts w:ascii="宋体" w:hAnsi="宋体"/>
          <w:color w:val="000000" w:themeColor="text1"/>
        </w:rPr>
        <w:t>。</w:t>
      </w:r>
    </w:p>
    <w:p>
      <w:pPr>
        <w:spacing w:before="0" w:beforeAutospacing="0" w:after="0" w:afterAutospacing="0"/>
        <w:ind w:left="1557" w:leftChars="472" w:hanging="424" w:hangingChars="177"/>
        <w:rPr>
          <w:rFonts w:ascii="宋体" w:hAnsi="宋体"/>
          <w:color w:val="000000" w:themeColor="text1"/>
        </w:rPr>
      </w:pPr>
      <w:r>
        <w:rPr>
          <w:rFonts w:hint="eastAsia" w:ascii="宋体" w:hAnsi="宋体"/>
          <w:color w:val="000000" w:themeColor="text1"/>
        </w:rPr>
        <w:t>(1)承包人报送修订合同进度计划申请报告和相关资料的期限：</w:t>
      </w:r>
      <w:r>
        <w:rPr>
          <w:rFonts w:hint="eastAsia" w:ascii="宋体" w:hAnsi="宋体"/>
          <w:color w:val="000000" w:themeColor="text1"/>
          <w:u w:val="single"/>
        </w:rPr>
        <w:t xml:space="preserve"> 当发生工程实际进度与经监理人批准的合同进度计划情况后7天内</w:t>
      </w:r>
      <w:r>
        <w:rPr>
          <w:rFonts w:hint="eastAsia" w:ascii="宋体" w:hAnsi="宋体"/>
          <w:color w:val="000000" w:themeColor="text1"/>
        </w:rPr>
        <w:t xml:space="preserve"> 。</w:t>
      </w:r>
    </w:p>
    <w:p>
      <w:pPr>
        <w:spacing w:before="0" w:beforeAutospacing="0" w:after="0" w:afterAutospacing="0"/>
        <w:ind w:left="1557" w:leftChars="472" w:hanging="424" w:hangingChars="177"/>
        <w:rPr>
          <w:rFonts w:ascii="宋体" w:hAnsi="宋体"/>
          <w:color w:val="000000" w:themeColor="text1"/>
        </w:rPr>
      </w:pPr>
      <w:r>
        <w:rPr>
          <w:rFonts w:hint="eastAsia" w:ascii="宋体" w:hAnsi="宋体"/>
          <w:color w:val="000000" w:themeColor="text1"/>
        </w:rPr>
        <w:t>(2)监理人批复修订合同进度计划的期限：</w:t>
      </w:r>
      <w:r>
        <w:rPr>
          <w:rFonts w:hint="eastAsia" w:ascii="宋体" w:hAnsi="宋体"/>
          <w:color w:val="000000" w:themeColor="text1"/>
          <w:u w:val="single"/>
        </w:rPr>
        <w:t xml:space="preserve"> 7天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6.4</w:t>
      </w:r>
      <w:r>
        <w:rPr>
          <w:rFonts w:hint="eastAsia" w:ascii="黑体" w:eastAsia="黑体"/>
          <w:color w:val="000000" w:themeColor="text1"/>
        </w:rPr>
        <w:tab/>
      </w:r>
      <w:r>
        <w:rPr>
          <w:rFonts w:hint="eastAsia" w:ascii="黑体" w:eastAsia="黑体"/>
          <w:color w:val="000000" w:themeColor="text1"/>
        </w:rPr>
        <w:t>异常恶劣的气候条件</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异常恶劣气候指：</w:t>
      </w:r>
      <w:r>
        <w:rPr>
          <w:rFonts w:hint="eastAsia" w:ascii="宋体" w:hAnsi="宋体"/>
          <w:color w:val="000000" w:themeColor="text1"/>
          <w:u w:val="single"/>
        </w:rPr>
        <w:t xml:space="preserve"> 持续 3天的大雨（降雨量＞25mm/d</w:t>
      </w:r>
      <w:r>
        <w:rPr>
          <w:rFonts w:ascii="宋体" w:hAnsi="宋体"/>
          <w:color w:val="000000" w:themeColor="text1"/>
          <w:u w:val="single"/>
        </w:rPr>
        <w:t>）</w:t>
      </w:r>
      <w:r>
        <w:rPr>
          <w:rFonts w:hint="eastAsia" w:ascii="宋体" w:hAnsi="宋体"/>
          <w:color w:val="000000" w:themeColor="text1"/>
          <w:u w:val="single"/>
        </w:rPr>
        <w:t xml:space="preserve">；台风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6.5</w:t>
      </w:r>
      <w:r>
        <w:rPr>
          <w:rFonts w:hint="eastAsia" w:ascii="黑体" w:eastAsia="黑体"/>
          <w:color w:val="000000" w:themeColor="text1"/>
        </w:rPr>
        <w:tab/>
      </w:r>
      <w:r>
        <w:rPr>
          <w:rFonts w:hint="eastAsia" w:ascii="黑体" w:eastAsia="黑体"/>
          <w:color w:val="000000" w:themeColor="text1"/>
        </w:rPr>
        <w:t>承包人引起的工期延误</w:t>
      </w:r>
    </w:p>
    <w:p>
      <w:pPr>
        <w:snapToGrid w:val="0"/>
        <w:spacing w:before="0" w:beforeAutospacing="0" w:after="0" w:afterAutospacing="0"/>
        <w:ind w:left="1133" w:leftChars="472"/>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w:t>
      </w:r>
    </w:p>
    <w:p>
      <w:pPr>
        <w:snapToGrid w:val="0"/>
        <w:spacing w:before="0" w:beforeAutospacing="0" w:after="0" w:afterAutospacing="0"/>
        <w:ind w:left="1133" w:leftChars="472"/>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承包人施工过程如果遇到不可抗拒的自然灾害、政府行为、或村庄群众阻工问题造成工程不能按期完工，经双方确认后可延长工期。</w:t>
      </w:r>
    </w:p>
    <w:p>
      <w:pPr>
        <w:snapToGrid w:val="0"/>
        <w:spacing w:before="0" w:beforeAutospacing="0" w:after="0" w:afterAutospacing="0"/>
        <w:ind w:left="1133" w:leftChars="472"/>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工程未能在约定时限内完工的，发包人有权责令承包人限期完工，如承包人仍然无法按期完工的，发包人有权解除合同并要求承包人赔偿相关损失以重新委托其它公司完成工程施工。</w:t>
      </w:r>
    </w:p>
    <w:p>
      <w:pPr>
        <w:snapToGrid w:val="0"/>
        <w:spacing w:before="0" w:beforeAutospacing="0" w:after="0" w:afterAutospacing="0"/>
        <w:ind w:left="1133" w:leftChars="472"/>
        <w:rPr>
          <w:rFonts w:ascii="宋体" w:hAnsi="宋体"/>
          <w:color w:val="000000" w:themeColor="text1"/>
        </w:rPr>
      </w:pPr>
      <w:r>
        <w:rPr>
          <w:rFonts w:ascii="宋体" w:hAnsi="宋体"/>
          <w:color w:val="000000" w:themeColor="text1"/>
        </w:rPr>
        <w:t>逾期竣工违约金：</w:t>
      </w:r>
      <w:r>
        <w:rPr>
          <w:rFonts w:hint="eastAsia" w:ascii="宋体" w:hAnsi="宋体"/>
          <w:color w:val="000000" w:themeColor="text1"/>
          <w:u w:val="single"/>
        </w:rPr>
        <w:t xml:space="preserve"> 最高限额为合同价款的10% </w:t>
      </w:r>
      <w:r>
        <w:rPr>
          <w:rFonts w:hint="eastAsia" w:ascii="宋体" w:hAnsi="宋体"/>
          <w:color w:val="000000" w:themeColor="text1"/>
        </w:rPr>
        <w:t>。</w:t>
      </w:r>
    </w:p>
    <w:p>
      <w:pPr>
        <w:snapToGrid w:val="0"/>
        <w:spacing w:before="0" w:beforeAutospacing="0" w:after="0" w:afterAutospacing="0"/>
        <w:ind w:left="991" w:hanging="991" w:hangingChars="413"/>
        <w:outlineLvl w:val="2"/>
        <w:rPr>
          <w:rFonts w:ascii="黑体" w:eastAsia="黑体"/>
          <w:color w:val="000000" w:themeColor="text1"/>
        </w:rPr>
      </w:pPr>
      <w:bookmarkStart w:id="472" w:name="_Toc22280"/>
      <w:bookmarkStart w:id="473" w:name="_Toc16898"/>
      <w:r>
        <w:rPr>
          <w:rFonts w:hint="eastAsia" w:ascii="黑体" w:eastAsia="黑体"/>
          <w:color w:val="000000" w:themeColor="text1"/>
        </w:rPr>
        <w:t>7.</w:t>
      </w:r>
      <w:r>
        <w:rPr>
          <w:rFonts w:hint="eastAsia" w:ascii="黑体" w:eastAsia="黑体"/>
          <w:color w:val="000000" w:themeColor="text1"/>
        </w:rPr>
        <w:tab/>
      </w:r>
      <w:r>
        <w:rPr>
          <w:rFonts w:hint="eastAsia" w:ascii="黑体" w:eastAsia="黑体"/>
          <w:color w:val="000000" w:themeColor="text1"/>
        </w:rPr>
        <w:t>工程质量</w:t>
      </w:r>
      <w:bookmarkEnd w:id="472"/>
      <w:bookmarkEnd w:id="473"/>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7.1</w:t>
      </w:r>
      <w:r>
        <w:rPr>
          <w:rFonts w:hint="eastAsia" w:ascii="黑体" w:eastAsia="黑体"/>
          <w:color w:val="000000" w:themeColor="text1"/>
        </w:rPr>
        <w:tab/>
      </w:r>
      <w:r>
        <w:rPr>
          <w:rFonts w:hint="eastAsia" w:ascii="黑体" w:eastAsia="黑体"/>
          <w:color w:val="000000" w:themeColor="text1"/>
        </w:rPr>
        <w:t>工程质量要求</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7.1.1 工程选购使用材料必须同时符合工程《施工图》设计要求及《项目概算审核报告》本工程预算审核书中套价的且符合国家质量标准的材料。施工过程中需改变施工材料、制作工艺或增减项目费用等工程变更，承包人须提前报监理人和发包人，按有关规定办理。承包人要做好材料送检、隐藏工程每道工序申报验收工作。</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7.1.2 严格按照本工程施工图纸等相关文件要求施工。</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7.1.3 工程符合设计要求和标准以及国家和地方关于建设工程施工规范，坚固耐用，外形美观大方，质量符合国家和地方有关规定要求并达到验收合格标准。</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7.3</w:t>
      </w:r>
      <w:r>
        <w:rPr>
          <w:rFonts w:hint="eastAsia" w:ascii="黑体" w:eastAsia="黑体"/>
          <w:color w:val="000000" w:themeColor="text1"/>
        </w:rPr>
        <w:tab/>
      </w:r>
      <w:r>
        <w:rPr>
          <w:rFonts w:hint="eastAsia" w:ascii="黑体" w:eastAsia="黑体"/>
          <w:color w:val="000000" w:themeColor="text1"/>
        </w:rPr>
        <w:t>工程隐蔽部位覆盖前的检查</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承包人自检确认的工程隐蔽部位具备覆盖条件后，承包人应提前48小时通知监理人进行检查。</w:t>
      </w:r>
    </w:p>
    <w:p>
      <w:pPr>
        <w:snapToGrid w:val="0"/>
        <w:spacing w:before="0" w:beforeAutospacing="0" w:after="0" w:afterAutospacing="0"/>
        <w:ind w:left="991" w:hanging="991" w:hangingChars="413"/>
        <w:outlineLvl w:val="2"/>
        <w:rPr>
          <w:rFonts w:ascii="黑体" w:eastAsia="黑体"/>
          <w:color w:val="000000" w:themeColor="text1"/>
        </w:rPr>
      </w:pPr>
      <w:bookmarkStart w:id="474" w:name="_Toc15167"/>
      <w:bookmarkStart w:id="475" w:name="_Toc9879"/>
      <w:r>
        <w:rPr>
          <w:rFonts w:hint="eastAsia" w:ascii="黑体" w:eastAsia="黑体"/>
          <w:color w:val="000000" w:themeColor="text1"/>
        </w:rPr>
        <w:t>9.</w:t>
      </w:r>
      <w:r>
        <w:rPr>
          <w:rFonts w:hint="eastAsia" w:ascii="黑体" w:eastAsia="黑体"/>
          <w:color w:val="000000" w:themeColor="text1"/>
        </w:rPr>
        <w:tab/>
      </w:r>
      <w:r>
        <w:rPr>
          <w:rFonts w:hint="eastAsia" w:ascii="黑体" w:eastAsia="黑体"/>
          <w:color w:val="000000" w:themeColor="text1"/>
        </w:rPr>
        <w:t>变更</w:t>
      </w:r>
      <w:bookmarkEnd w:id="474"/>
      <w:bookmarkEnd w:id="475"/>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9.3</w:t>
      </w:r>
      <w:r>
        <w:rPr>
          <w:rFonts w:hint="eastAsia" w:ascii="黑体" w:eastAsia="黑体"/>
          <w:color w:val="000000" w:themeColor="text1"/>
        </w:rPr>
        <w:tab/>
      </w:r>
      <w:r>
        <w:rPr>
          <w:rFonts w:hint="eastAsia" w:ascii="黑体" w:eastAsia="黑体"/>
          <w:color w:val="000000" w:themeColor="text1"/>
        </w:rPr>
        <w:t>变更的估价原则</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因</w:t>
      </w:r>
      <w:r>
        <w:rPr>
          <w:rFonts w:ascii="宋体" w:hAnsi="宋体"/>
          <w:color w:val="000000" w:themeColor="text1"/>
        </w:rPr>
        <w:t>变更</w:t>
      </w:r>
      <w:r>
        <w:rPr>
          <w:rFonts w:hint="eastAsia" w:ascii="宋体" w:hAnsi="宋体"/>
          <w:color w:val="000000" w:themeColor="text1"/>
        </w:rPr>
        <w:t>引起的价格调整</w:t>
      </w:r>
      <w:r>
        <w:rPr>
          <w:rFonts w:ascii="宋体" w:hAnsi="宋体"/>
          <w:color w:val="000000" w:themeColor="text1"/>
        </w:rPr>
        <w:t>：</w:t>
      </w:r>
      <w:r>
        <w:rPr>
          <w:rFonts w:ascii="宋体" w:hAnsi="宋体"/>
          <w:color w:val="000000" w:themeColor="text1"/>
          <w:u w:val="single"/>
        </w:rPr>
        <w:t>同通用条款，无另外约定</w:t>
      </w:r>
      <w:r>
        <w:rPr>
          <w:rFonts w:hint="eastAsia" w:ascii="宋体" w:hAnsi="宋体"/>
          <w:color w:val="000000" w:themeColor="text1"/>
        </w:rPr>
        <w:t>。</w:t>
      </w:r>
    </w:p>
    <w:p>
      <w:pPr>
        <w:snapToGrid w:val="0"/>
        <w:spacing w:before="0" w:beforeAutospacing="0" w:after="0" w:afterAutospacing="0"/>
        <w:ind w:left="991" w:hanging="991" w:hangingChars="413"/>
        <w:outlineLvl w:val="2"/>
        <w:rPr>
          <w:rFonts w:ascii="黑体" w:eastAsia="黑体"/>
          <w:color w:val="000000" w:themeColor="text1"/>
        </w:rPr>
      </w:pPr>
      <w:bookmarkStart w:id="476" w:name="_Toc18548"/>
      <w:bookmarkStart w:id="477" w:name="_Toc8285"/>
      <w:r>
        <w:rPr>
          <w:rFonts w:hint="eastAsia" w:ascii="黑体" w:eastAsia="黑体"/>
          <w:color w:val="000000" w:themeColor="text1"/>
        </w:rPr>
        <w:t>10.</w:t>
      </w:r>
      <w:r>
        <w:rPr>
          <w:rFonts w:hint="eastAsia" w:ascii="黑体" w:eastAsia="黑体"/>
          <w:color w:val="000000" w:themeColor="text1"/>
        </w:rPr>
        <w:tab/>
      </w:r>
      <w:r>
        <w:rPr>
          <w:rFonts w:hint="eastAsia" w:ascii="黑体" w:eastAsia="黑体"/>
          <w:color w:val="000000" w:themeColor="text1"/>
        </w:rPr>
        <w:t>计量与支付</w:t>
      </w:r>
      <w:bookmarkEnd w:id="476"/>
      <w:bookmarkEnd w:id="477"/>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10.1</w:t>
      </w:r>
      <w:r>
        <w:rPr>
          <w:rFonts w:hint="eastAsia" w:ascii="黑体" w:eastAsia="黑体"/>
          <w:color w:val="000000" w:themeColor="text1"/>
        </w:rPr>
        <w:tab/>
      </w:r>
      <w:r>
        <w:rPr>
          <w:rFonts w:hint="eastAsia" w:ascii="黑体" w:eastAsia="黑体"/>
          <w:color w:val="000000" w:themeColor="text1"/>
        </w:rPr>
        <w:t>计量</w:t>
      </w:r>
    </w:p>
    <w:p>
      <w:pPr>
        <w:snapToGrid w:val="0"/>
        <w:spacing w:before="0" w:beforeAutospacing="0" w:after="0" w:afterAutospacing="0"/>
        <w:ind w:left="2409" w:leftChars="472" w:hanging="1276" w:hangingChars="532"/>
        <w:rPr>
          <w:rFonts w:ascii="宋体" w:hAnsi="宋体"/>
          <w:color w:val="000000" w:themeColor="text1"/>
        </w:rPr>
      </w:pPr>
      <w:r>
        <w:rPr>
          <w:rFonts w:hint="eastAsia" w:ascii="宋体" w:hAnsi="宋体"/>
          <w:color w:val="000000" w:themeColor="text1"/>
        </w:rPr>
        <w:t xml:space="preserve">计量方法： </w:t>
      </w:r>
      <w:r>
        <w:rPr>
          <w:rFonts w:hint="eastAsia" w:ascii="宋体" w:hAnsi="宋体"/>
          <w:color w:val="000000" w:themeColor="text1"/>
          <w:u w:val="single"/>
        </w:rPr>
        <w:t>本项目在合同工程竣工验收合格后进行工程计量与结算，施工过程中不计量。</w:t>
      </w:r>
    </w:p>
    <w:p>
      <w:pPr>
        <w:snapToGrid w:val="0"/>
        <w:spacing w:before="0" w:beforeAutospacing="0" w:after="0" w:afterAutospacing="0"/>
        <w:ind w:left="2409" w:leftChars="472" w:hanging="1276" w:hangingChars="532"/>
        <w:rPr>
          <w:rFonts w:ascii="宋体" w:hAnsi="宋体"/>
          <w:color w:val="000000" w:themeColor="text1"/>
        </w:rPr>
      </w:pPr>
      <w:r>
        <w:rPr>
          <w:rFonts w:hint="eastAsia" w:ascii="宋体" w:hAnsi="宋体"/>
          <w:color w:val="000000" w:themeColor="text1"/>
        </w:rPr>
        <w:t xml:space="preserve">计量周期： </w:t>
      </w:r>
      <w:r>
        <w:rPr>
          <w:rFonts w:hint="eastAsia" w:ascii="宋体" w:hAnsi="宋体"/>
          <w:color w:val="000000" w:themeColor="text1"/>
          <w:u w:val="single"/>
        </w:rPr>
        <w:t xml:space="preserve">    /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10.2</w:t>
      </w:r>
      <w:r>
        <w:rPr>
          <w:rFonts w:hint="eastAsia" w:ascii="黑体" w:eastAsia="黑体"/>
          <w:color w:val="000000" w:themeColor="text1"/>
        </w:rPr>
        <w:tab/>
      </w:r>
      <w:r>
        <w:rPr>
          <w:rFonts w:hint="eastAsia" w:ascii="黑体" w:eastAsia="黑体"/>
          <w:color w:val="000000" w:themeColor="text1"/>
        </w:rPr>
        <w:t>预付款</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预付款的额度：</w:t>
      </w:r>
      <w:r>
        <w:rPr>
          <w:rFonts w:hint="eastAsia" w:ascii="宋体" w:hAnsi="宋体"/>
          <w:color w:val="000000" w:themeColor="text1"/>
          <w:u w:val="single"/>
        </w:rPr>
        <w:t>签约合同价的</w:t>
      </w:r>
      <w:r>
        <w:rPr>
          <w:rFonts w:ascii="宋体" w:hAnsi="宋体"/>
          <w:color w:val="000000" w:themeColor="text1"/>
          <w:u w:val="single"/>
        </w:rPr>
        <w:t xml:space="preserve"> 30 %</w:t>
      </w:r>
      <w:r>
        <w:rPr>
          <w:rFonts w:hint="eastAsia" w:ascii="宋体" w:hAnsi="宋体"/>
          <w:color w:val="000000" w:themeColor="text1"/>
        </w:rPr>
        <w:t>。</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预付款扣回：</w:t>
      </w:r>
      <w:r>
        <w:rPr>
          <w:rFonts w:hint="eastAsia" w:ascii="宋体" w:hAnsi="宋体"/>
          <w:color w:val="000000" w:themeColor="text1"/>
          <w:u w:val="single"/>
        </w:rPr>
        <w:t>工程结算时扣回预付款。</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10.3</w:t>
      </w:r>
      <w:r>
        <w:rPr>
          <w:rFonts w:hint="eastAsia" w:ascii="黑体" w:eastAsia="黑体"/>
          <w:color w:val="000000" w:themeColor="text1"/>
        </w:rPr>
        <w:tab/>
      </w:r>
      <w:r>
        <w:rPr>
          <w:rFonts w:hint="eastAsia" w:ascii="黑体" w:eastAsia="黑体"/>
          <w:color w:val="000000" w:themeColor="text1"/>
        </w:rPr>
        <w:t>工程进度付款</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10.3.1 工程施工进度达到60%以上后，发包人向承包人支付工程总价款30%的工程款。</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10.3.2 工程通过竣工验收后，发包人向承包人支付工程总价款30%的工程款。</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10.3.3 工程通过结算审计后，发包人向承包人支付（工程审计后的总价款－原工程总价款90%－工程审计后的总价款7%）的工程款。</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10.3.4 涉及政府投资资金的，按照国库集中支付等国家相关规定执行，以财政部门拨款时间为准，5个工作日内发包人向承包人支付相应阶段工程款。</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10.4</w:t>
      </w:r>
      <w:r>
        <w:rPr>
          <w:rFonts w:hint="eastAsia" w:ascii="黑体" w:eastAsia="黑体"/>
          <w:color w:val="000000" w:themeColor="text1"/>
        </w:rPr>
        <w:tab/>
      </w:r>
      <w:r>
        <w:rPr>
          <w:rFonts w:hint="eastAsia" w:ascii="黑体" w:eastAsia="黑体"/>
          <w:color w:val="000000" w:themeColor="text1"/>
        </w:rPr>
        <w:t>质量保证金</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质量保证金额度：</w:t>
      </w:r>
      <w:r>
        <w:rPr>
          <w:rFonts w:hint="eastAsia" w:ascii="宋体" w:hAnsi="宋体"/>
          <w:color w:val="000000" w:themeColor="text1"/>
          <w:u w:val="single"/>
        </w:rPr>
        <w:t xml:space="preserve"> 合同价款的3% </w:t>
      </w:r>
      <w:r>
        <w:rPr>
          <w:rFonts w:hint="eastAsia" w:ascii="宋体" w:hAnsi="宋体"/>
          <w:color w:val="000000" w:themeColor="text1"/>
        </w:rPr>
        <w:t>。</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质量保证金提供方式：工程结算时承包人须提供发包人认可的质量保证金保函。</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保修期满一年后，发包人支付承包人质保金。</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10.5</w:t>
      </w:r>
      <w:r>
        <w:rPr>
          <w:rFonts w:hint="eastAsia" w:ascii="黑体" w:eastAsia="黑体"/>
          <w:color w:val="000000" w:themeColor="text1"/>
        </w:rPr>
        <w:tab/>
      </w:r>
      <w:r>
        <w:rPr>
          <w:rFonts w:hint="eastAsia" w:ascii="黑体" w:eastAsia="黑体"/>
          <w:color w:val="000000" w:themeColor="text1"/>
        </w:rPr>
        <w:t>竣工结算</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10.5.1</w:t>
      </w:r>
      <w:r>
        <w:rPr>
          <w:rFonts w:hint="eastAsia" w:ascii="宋体" w:hAnsi="宋体"/>
          <w:color w:val="000000" w:themeColor="text1"/>
        </w:rPr>
        <w:tab/>
      </w:r>
      <w:r>
        <w:rPr>
          <w:rFonts w:hint="eastAsia" w:ascii="宋体" w:hAnsi="宋体"/>
          <w:color w:val="000000" w:themeColor="text1"/>
        </w:rPr>
        <w:t>竣工结算价格调整：</w:t>
      </w:r>
      <w:r>
        <w:rPr>
          <w:rFonts w:hint="eastAsia" w:ascii="宋体" w:hAnsi="宋体"/>
          <w:color w:val="000000" w:themeColor="text1"/>
          <w:u w:val="single"/>
        </w:rPr>
        <w:t xml:space="preserve"> 同通用条款，无另外约定 </w:t>
      </w:r>
      <w:r>
        <w:rPr>
          <w:rFonts w:hint="eastAsia" w:ascii="宋体" w:hAnsi="宋体"/>
          <w:color w:val="000000" w:themeColor="text1"/>
        </w:rPr>
        <w:t>。</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10.5.2</w:t>
      </w:r>
      <w:r>
        <w:rPr>
          <w:rFonts w:hint="eastAsia" w:ascii="宋体" w:hAnsi="宋体"/>
          <w:color w:val="000000" w:themeColor="text1"/>
        </w:rPr>
        <w:tab/>
      </w:r>
      <w:r>
        <w:rPr>
          <w:rFonts w:hint="eastAsia" w:ascii="宋体" w:hAnsi="宋体"/>
          <w:color w:val="000000" w:themeColor="text1"/>
        </w:rPr>
        <w:t>竣工付款申请单</w:t>
      </w:r>
    </w:p>
    <w:p>
      <w:pPr>
        <w:snapToGrid w:val="0"/>
        <w:spacing w:before="0" w:beforeAutospacing="0" w:after="0" w:afterAutospacing="0"/>
        <w:ind w:left="1130" w:leftChars="471" w:firstLine="2"/>
        <w:rPr>
          <w:rFonts w:ascii="宋体" w:hAnsi="宋体"/>
          <w:color w:val="000000" w:themeColor="text1"/>
        </w:rPr>
      </w:pPr>
      <w:r>
        <w:rPr>
          <w:rFonts w:hint="eastAsia" w:ascii="宋体" w:hAnsi="宋体"/>
          <w:color w:val="000000" w:themeColor="text1"/>
        </w:rPr>
        <w:t>交竣工付款申请单的份数：</w:t>
      </w:r>
      <w:r>
        <w:rPr>
          <w:rFonts w:hint="eastAsia" w:ascii="宋体" w:hAnsi="宋体"/>
          <w:color w:val="000000" w:themeColor="text1"/>
          <w:u w:val="single"/>
        </w:rPr>
        <w:t xml:space="preserve">  4   </w:t>
      </w:r>
      <w:r>
        <w:rPr>
          <w:rFonts w:hint="eastAsia" w:ascii="宋体" w:hAnsi="宋体"/>
          <w:color w:val="000000" w:themeColor="text1"/>
        </w:rPr>
        <w:t>。</w:t>
      </w:r>
    </w:p>
    <w:p>
      <w:pPr>
        <w:snapToGrid w:val="0"/>
        <w:spacing w:before="0" w:beforeAutospacing="0" w:after="0" w:afterAutospacing="0"/>
        <w:ind w:left="1130" w:leftChars="471" w:firstLine="2"/>
        <w:rPr>
          <w:rFonts w:ascii="宋体" w:hAnsi="宋体"/>
          <w:color w:val="000000" w:themeColor="text1"/>
        </w:rPr>
      </w:pPr>
      <w:r>
        <w:rPr>
          <w:rFonts w:hint="eastAsia" w:ascii="宋体" w:hAnsi="宋体"/>
          <w:color w:val="000000" w:themeColor="text1"/>
        </w:rPr>
        <w:t>承包人提交竣工付款申请单的期限：</w:t>
      </w:r>
      <w:r>
        <w:rPr>
          <w:rFonts w:ascii="宋体" w:hAnsi="宋体"/>
          <w:color w:val="000000" w:themeColor="text1"/>
          <w:u w:val="single"/>
        </w:rPr>
        <w:t>工程接收证书颁发后</w:t>
      </w:r>
      <w:r>
        <w:rPr>
          <w:rFonts w:hint="eastAsia" w:ascii="宋体" w:hAnsi="宋体"/>
          <w:color w:val="000000" w:themeColor="text1"/>
          <w:u w:val="single"/>
        </w:rPr>
        <w:t xml:space="preserve">28天内 </w:t>
      </w:r>
      <w:r>
        <w:rPr>
          <w:rFonts w:hint="eastAsia" w:ascii="宋体" w:hAnsi="宋体"/>
          <w:color w:val="000000" w:themeColor="text1"/>
        </w:rPr>
        <w:t>。</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10.5.3</w:t>
      </w:r>
      <w:r>
        <w:rPr>
          <w:rFonts w:hint="eastAsia" w:ascii="宋体" w:hAnsi="宋体"/>
          <w:color w:val="000000" w:themeColor="text1"/>
        </w:rPr>
        <w:tab/>
      </w:r>
      <w:r>
        <w:rPr>
          <w:rFonts w:hint="eastAsia" w:ascii="宋体" w:hAnsi="宋体"/>
          <w:color w:val="000000" w:themeColor="text1"/>
        </w:rPr>
        <w:t>竣工付款涉及政府投资资金的：</w:t>
      </w:r>
      <w:r>
        <w:rPr>
          <w:rFonts w:hint="eastAsia" w:ascii="宋体" w:hAnsi="宋体"/>
          <w:color w:val="000000" w:themeColor="text1"/>
          <w:u w:val="single"/>
        </w:rPr>
        <w:t xml:space="preserve">同通用条款，无另外约定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10.6</w:t>
      </w:r>
      <w:r>
        <w:rPr>
          <w:rFonts w:hint="eastAsia" w:ascii="黑体" w:eastAsia="黑体"/>
          <w:color w:val="000000" w:themeColor="text1"/>
        </w:rPr>
        <w:tab/>
      </w:r>
      <w:r>
        <w:rPr>
          <w:rFonts w:hint="eastAsia" w:ascii="黑体" w:eastAsia="黑体"/>
          <w:color w:val="000000" w:themeColor="text1"/>
        </w:rPr>
        <w:t>付款延误</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发包人逾期付款违约金：</w:t>
      </w:r>
      <w:r>
        <w:rPr>
          <w:rFonts w:hint="eastAsia" w:ascii="宋体" w:hAnsi="宋体"/>
          <w:color w:val="000000" w:themeColor="text1"/>
          <w:u w:val="single"/>
        </w:rPr>
        <w:t xml:space="preserve"> 发包人逾期付款超过14天时，按同期中国人民银行发布的贷款基准利率及逾期支付时间（实际逾期天数减14天）支付逾期支付违约金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11.3</w:t>
      </w:r>
      <w:r>
        <w:rPr>
          <w:rFonts w:hint="eastAsia" w:ascii="黑体" w:eastAsia="黑体"/>
          <w:color w:val="000000" w:themeColor="text1"/>
        </w:rPr>
        <w:tab/>
      </w:r>
      <w:r>
        <w:rPr>
          <w:rFonts w:hint="eastAsia" w:ascii="黑体" w:eastAsia="黑体"/>
          <w:color w:val="000000" w:themeColor="text1"/>
        </w:rPr>
        <w:t>竣工和验收</w:t>
      </w:r>
    </w:p>
    <w:p>
      <w:pPr>
        <w:snapToGrid w:val="0"/>
        <w:spacing w:before="0" w:beforeAutospacing="0" w:after="0" w:afterAutospacing="0"/>
        <w:ind w:left="1133" w:leftChars="472"/>
        <w:rPr>
          <w:rFonts w:ascii="宋体" w:hAnsi="宋体"/>
          <w:color w:val="000000" w:themeColor="text1"/>
        </w:rPr>
      </w:pPr>
      <w:r>
        <w:rPr>
          <w:rFonts w:ascii="宋体" w:hAnsi="宋体"/>
          <w:color w:val="000000" w:themeColor="text1"/>
        </w:rPr>
        <w:t>实际竣工日期：</w:t>
      </w:r>
      <w:r>
        <w:rPr>
          <w:rFonts w:hint="eastAsia" w:ascii="宋体" w:hAnsi="宋体"/>
          <w:color w:val="000000" w:themeColor="text1"/>
          <w:u w:val="single"/>
        </w:rPr>
        <w:t xml:space="preserve">无另外约定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11.4</w:t>
      </w:r>
      <w:r>
        <w:rPr>
          <w:rFonts w:hint="eastAsia" w:ascii="黑体" w:eastAsia="黑体"/>
          <w:color w:val="000000" w:themeColor="text1"/>
        </w:rPr>
        <w:tab/>
      </w:r>
      <w:r>
        <w:rPr>
          <w:rFonts w:hint="eastAsia" w:ascii="黑体" w:eastAsia="黑体"/>
          <w:color w:val="000000" w:themeColor="text1"/>
        </w:rPr>
        <w:t>试运行</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工程及工程设备试运行：</w:t>
      </w:r>
      <w:r>
        <w:rPr>
          <w:rFonts w:hint="eastAsia" w:ascii="宋体" w:hAnsi="宋体"/>
          <w:color w:val="000000" w:themeColor="text1"/>
          <w:u w:val="single"/>
        </w:rPr>
        <w:t>无另外约定</w:t>
      </w:r>
      <w:r>
        <w:rPr>
          <w:rFonts w:hint="eastAsia" w:ascii="宋体" w:hAnsi="宋体"/>
          <w:color w:val="000000" w:themeColor="text1"/>
        </w:rPr>
        <w:t>。</w:t>
      </w:r>
    </w:p>
    <w:p>
      <w:pPr>
        <w:snapToGrid w:val="0"/>
        <w:spacing w:before="0" w:beforeAutospacing="0" w:after="0" w:afterAutospacing="0"/>
        <w:ind w:left="991" w:hanging="991" w:hangingChars="413"/>
        <w:outlineLvl w:val="2"/>
        <w:rPr>
          <w:rFonts w:ascii="黑体" w:eastAsia="黑体"/>
          <w:color w:val="000000" w:themeColor="text1"/>
        </w:rPr>
      </w:pPr>
      <w:bookmarkStart w:id="478" w:name="_Toc6772"/>
      <w:bookmarkStart w:id="479" w:name="_Toc3381"/>
      <w:r>
        <w:rPr>
          <w:rFonts w:hint="eastAsia" w:ascii="黑体" w:eastAsia="黑体"/>
          <w:color w:val="000000" w:themeColor="text1"/>
        </w:rPr>
        <w:t>12.</w:t>
      </w:r>
      <w:r>
        <w:rPr>
          <w:rFonts w:hint="eastAsia" w:ascii="黑体" w:eastAsia="黑体"/>
          <w:color w:val="000000" w:themeColor="text1"/>
        </w:rPr>
        <w:tab/>
      </w:r>
      <w:r>
        <w:rPr>
          <w:rFonts w:hint="eastAsia" w:ascii="黑体" w:eastAsia="黑体"/>
          <w:color w:val="000000" w:themeColor="text1"/>
        </w:rPr>
        <w:t>缺陷责任与保修责任</w:t>
      </w:r>
      <w:bookmarkEnd w:id="478"/>
      <w:bookmarkEnd w:id="479"/>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12.2</w:t>
      </w:r>
      <w:r>
        <w:rPr>
          <w:rFonts w:hint="eastAsia" w:ascii="黑体" w:eastAsia="黑体"/>
          <w:color w:val="000000" w:themeColor="text1"/>
        </w:rPr>
        <w:tab/>
      </w:r>
      <w:r>
        <w:rPr>
          <w:rFonts w:hint="eastAsia" w:ascii="黑体" w:eastAsia="黑体"/>
          <w:color w:val="000000" w:themeColor="text1"/>
        </w:rPr>
        <w:t>保修责任</w:t>
      </w:r>
    </w:p>
    <w:p>
      <w:pPr>
        <w:spacing w:before="0" w:beforeAutospacing="0" w:after="0" w:afterAutospacing="0"/>
        <w:ind w:left="1567" w:leftChars="503" w:hanging="360" w:hangingChars="150"/>
        <w:rPr>
          <w:rFonts w:ascii="宋体" w:hAnsi="宋体"/>
          <w:color w:val="000000" w:themeColor="text1"/>
        </w:rPr>
      </w:pPr>
      <w:r>
        <w:rPr>
          <w:rFonts w:hint="eastAsia" w:ascii="宋体" w:hAnsi="宋体"/>
          <w:color w:val="000000" w:themeColor="text1"/>
        </w:rPr>
        <w:t>(1)工程质量保修范围：</w:t>
      </w:r>
      <w:r>
        <w:rPr>
          <w:rFonts w:hint="eastAsia" w:ascii="宋体" w:hAnsi="宋体"/>
          <w:color w:val="000000" w:themeColor="text1"/>
          <w:u w:val="single"/>
        </w:rPr>
        <w:t xml:space="preserve"> 承包人实施的全部工程 </w:t>
      </w:r>
      <w:r>
        <w:rPr>
          <w:rFonts w:hint="eastAsia" w:ascii="宋体" w:hAnsi="宋体"/>
          <w:color w:val="000000" w:themeColor="text1"/>
        </w:rPr>
        <w:t>。</w:t>
      </w:r>
    </w:p>
    <w:p>
      <w:pPr>
        <w:spacing w:before="0" w:beforeAutospacing="0" w:after="0" w:afterAutospacing="0"/>
        <w:ind w:left="1567" w:leftChars="503" w:hanging="360" w:hangingChars="150"/>
        <w:rPr>
          <w:rFonts w:ascii="宋体" w:hAnsi="宋体"/>
          <w:color w:val="000000" w:themeColor="text1"/>
        </w:rPr>
      </w:pPr>
      <w:r>
        <w:rPr>
          <w:rFonts w:hint="eastAsia" w:ascii="宋体" w:hAnsi="宋体"/>
          <w:color w:val="000000" w:themeColor="text1"/>
        </w:rPr>
        <w:t>(2)工程质量保修期限：</w:t>
      </w:r>
      <w:r>
        <w:rPr>
          <w:rFonts w:hint="eastAsia" w:ascii="宋体" w:hAnsi="宋体"/>
          <w:color w:val="000000" w:themeColor="text1"/>
          <w:u w:val="single"/>
        </w:rPr>
        <w:t xml:space="preserve"> 执行国家相关规定。 </w:t>
      </w:r>
      <w:r>
        <w:rPr>
          <w:rFonts w:hint="eastAsia" w:ascii="宋体" w:hAnsi="宋体"/>
          <w:color w:val="000000" w:themeColor="text1"/>
        </w:rPr>
        <w:t>。</w:t>
      </w:r>
    </w:p>
    <w:p>
      <w:pPr>
        <w:snapToGrid w:val="0"/>
        <w:spacing w:before="0" w:beforeAutospacing="0" w:after="0" w:afterAutospacing="0"/>
        <w:ind w:left="991" w:hanging="991" w:hangingChars="413"/>
        <w:outlineLvl w:val="2"/>
        <w:rPr>
          <w:rFonts w:ascii="黑体" w:eastAsia="黑体"/>
          <w:color w:val="000000" w:themeColor="text1"/>
        </w:rPr>
      </w:pPr>
      <w:bookmarkStart w:id="480" w:name="_Toc1536"/>
      <w:bookmarkStart w:id="481" w:name="_Toc545"/>
      <w:r>
        <w:rPr>
          <w:rFonts w:hint="eastAsia" w:ascii="黑体" w:eastAsia="黑体"/>
          <w:color w:val="000000" w:themeColor="text1"/>
        </w:rPr>
        <w:t>13.</w:t>
      </w:r>
      <w:r>
        <w:rPr>
          <w:rFonts w:hint="eastAsia" w:ascii="黑体" w:eastAsia="黑体"/>
          <w:color w:val="000000" w:themeColor="text1"/>
        </w:rPr>
        <w:tab/>
      </w:r>
      <w:r>
        <w:rPr>
          <w:rFonts w:hint="eastAsia" w:ascii="黑体" w:eastAsia="黑体"/>
          <w:color w:val="000000" w:themeColor="text1"/>
        </w:rPr>
        <w:t>保险</w:t>
      </w:r>
      <w:bookmarkEnd w:id="480"/>
      <w:bookmarkEnd w:id="481"/>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13.1</w:t>
      </w:r>
      <w:r>
        <w:rPr>
          <w:rFonts w:hint="eastAsia" w:ascii="黑体" w:eastAsia="黑体"/>
          <w:color w:val="000000" w:themeColor="text1"/>
        </w:rPr>
        <w:tab/>
      </w:r>
      <w:r>
        <w:rPr>
          <w:rFonts w:hint="eastAsia" w:ascii="黑体" w:eastAsia="黑体"/>
          <w:color w:val="000000" w:themeColor="text1"/>
        </w:rPr>
        <w:t>保险范围</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13.1.1</w:t>
      </w:r>
      <w:r>
        <w:rPr>
          <w:rFonts w:hint="eastAsia" w:ascii="宋体" w:hAnsi="宋体"/>
          <w:color w:val="000000" w:themeColor="text1"/>
        </w:rPr>
        <w:tab/>
      </w:r>
      <w:r>
        <w:rPr>
          <w:rFonts w:hint="eastAsia" w:ascii="宋体" w:hAnsi="宋体"/>
          <w:color w:val="000000" w:themeColor="text1"/>
        </w:rPr>
        <w:t>本工程</w:t>
      </w:r>
      <w:r>
        <w:rPr>
          <w:rFonts w:hint="eastAsia" w:ascii="宋体" w:hAnsi="宋体"/>
          <w:color w:val="000000" w:themeColor="text1"/>
          <w:u w:val="single"/>
        </w:rPr>
        <w:t xml:space="preserve">  投保  </w:t>
      </w:r>
      <w:r>
        <w:rPr>
          <w:rFonts w:hint="eastAsia" w:ascii="宋体" w:hAnsi="宋体"/>
          <w:color w:val="000000" w:themeColor="text1"/>
        </w:rPr>
        <w:t>工程保险。投保工程保险时，险种为：</w:t>
      </w:r>
      <w:r>
        <w:rPr>
          <w:rFonts w:hint="eastAsia" w:ascii="宋体" w:hAnsi="宋体"/>
          <w:color w:val="000000" w:themeColor="text1"/>
          <w:u w:val="single"/>
        </w:rPr>
        <w:t xml:space="preserve"> 建筑工程一切险及第三者责任险</w:t>
      </w:r>
      <w:r>
        <w:rPr>
          <w:rFonts w:hint="eastAsia" w:ascii="宋体" w:hAnsi="宋体"/>
          <w:color w:val="000000" w:themeColor="text1"/>
        </w:rPr>
        <w:t>，并符合以下约定。</w:t>
      </w:r>
    </w:p>
    <w:p>
      <w:pPr>
        <w:spacing w:before="0" w:beforeAutospacing="0" w:after="0" w:afterAutospacing="0"/>
        <w:ind w:left="1493" w:leftChars="472" w:hanging="360" w:hangingChars="150"/>
        <w:rPr>
          <w:rFonts w:ascii="宋体" w:hAnsi="宋体"/>
          <w:color w:val="000000" w:themeColor="text1"/>
        </w:rPr>
      </w:pPr>
      <w:r>
        <w:rPr>
          <w:rFonts w:hint="eastAsia" w:ascii="宋体" w:hAnsi="宋体"/>
          <w:color w:val="000000" w:themeColor="text1"/>
        </w:rPr>
        <w:t>(1)投保人：</w:t>
      </w:r>
      <w:r>
        <w:rPr>
          <w:rFonts w:hint="eastAsia" w:ascii="宋体" w:hAnsi="宋体"/>
          <w:color w:val="000000" w:themeColor="text1"/>
          <w:u w:val="single"/>
        </w:rPr>
        <w:t xml:space="preserve">   承包人   </w:t>
      </w:r>
      <w:r>
        <w:rPr>
          <w:rFonts w:hint="eastAsia" w:ascii="宋体" w:hAnsi="宋体"/>
          <w:color w:val="000000" w:themeColor="text1"/>
        </w:rPr>
        <w:t>。</w:t>
      </w:r>
    </w:p>
    <w:p>
      <w:pPr>
        <w:spacing w:before="0" w:beforeAutospacing="0" w:after="0" w:afterAutospacing="0"/>
        <w:ind w:left="1493" w:leftChars="472" w:hanging="360" w:hangingChars="150"/>
        <w:rPr>
          <w:rFonts w:ascii="宋体" w:hAnsi="宋体"/>
          <w:color w:val="000000" w:themeColor="text1"/>
        </w:rPr>
      </w:pPr>
      <w:r>
        <w:rPr>
          <w:rFonts w:hint="eastAsia" w:ascii="宋体" w:hAnsi="宋体"/>
          <w:color w:val="000000" w:themeColor="text1"/>
        </w:rPr>
        <w:t>(2)投保内容：</w:t>
      </w:r>
      <w:r>
        <w:rPr>
          <w:rFonts w:hint="eastAsia" w:ascii="宋体" w:hAnsi="宋体"/>
          <w:color w:val="000000" w:themeColor="text1"/>
          <w:u w:val="single"/>
        </w:rPr>
        <w:t xml:space="preserve"> 永久工程、工程设备、本项目第三者 </w:t>
      </w:r>
      <w:r>
        <w:rPr>
          <w:rFonts w:hint="eastAsia" w:ascii="宋体" w:hAnsi="宋体"/>
          <w:color w:val="000000" w:themeColor="text1"/>
        </w:rPr>
        <w:t>。</w:t>
      </w:r>
    </w:p>
    <w:p>
      <w:pPr>
        <w:spacing w:before="0" w:beforeAutospacing="0" w:after="0" w:afterAutospacing="0"/>
        <w:ind w:left="1493" w:leftChars="472" w:hanging="360" w:hangingChars="150"/>
        <w:rPr>
          <w:rFonts w:ascii="宋体" w:hAnsi="宋体"/>
          <w:color w:val="000000" w:themeColor="text1"/>
        </w:rPr>
      </w:pPr>
      <w:r>
        <w:rPr>
          <w:rFonts w:hint="eastAsia" w:ascii="宋体" w:hAnsi="宋体"/>
          <w:color w:val="000000" w:themeColor="text1"/>
        </w:rPr>
        <w:t>(3)保险费率：由投保人与合同双方同意的保险人商定。</w:t>
      </w:r>
    </w:p>
    <w:p>
      <w:pPr>
        <w:spacing w:before="0" w:beforeAutospacing="0" w:after="0" w:afterAutospacing="0"/>
        <w:ind w:left="1493" w:leftChars="472" w:hanging="360" w:hangingChars="150"/>
        <w:rPr>
          <w:rFonts w:ascii="宋体" w:hAnsi="宋体"/>
          <w:color w:val="000000" w:themeColor="text1"/>
        </w:rPr>
      </w:pPr>
      <w:r>
        <w:rPr>
          <w:rFonts w:hint="eastAsia" w:ascii="宋体" w:hAnsi="宋体"/>
          <w:color w:val="000000" w:themeColor="text1"/>
        </w:rPr>
        <w:t>(4)保险期限：</w:t>
      </w:r>
      <w:r>
        <w:rPr>
          <w:rFonts w:hint="eastAsia" w:ascii="宋体" w:hAnsi="宋体"/>
          <w:color w:val="000000" w:themeColor="text1"/>
          <w:u w:val="single"/>
        </w:rPr>
        <w:t xml:space="preserve"> 自项目开工日起至竣工验收合格日止 </w:t>
      </w:r>
      <w:r>
        <w:rPr>
          <w:rFonts w:hint="eastAsia" w:ascii="宋体" w:hAnsi="宋体"/>
          <w:color w:val="000000" w:themeColor="text1"/>
        </w:rPr>
        <w:t>。</w:t>
      </w:r>
    </w:p>
    <w:p>
      <w:pPr>
        <w:snapToGrid w:val="0"/>
        <w:spacing w:before="0" w:beforeAutospacing="0" w:after="0" w:afterAutospacing="0"/>
        <w:ind w:left="991" w:hanging="991" w:hangingChars="413"/>
        <w:outlineLvl w:val="2"/>
        <w:rPr>
          <w:rFonts w:ascii="黑体" w:eastAsia="黑体"/>
          <w:color w:val="000000" w:themeColor="text1"/>
        </w:rPr>
      </w:pPr>
      <w:bookmarkStart w:id="482" w:name="_Toc25047"/>
      <w:bookmarkStart w:id="483" w:name="_Toc25794"/>
      <w:r>
        <w:rPr>
          <w:rFonts w:hint="eastAsia" w:ascii="黑体" w:eastAsia="黑体"/>
          <w:color w:val="000000" w:themeColor="text1"/>
        </w:rPr>
        <w:t>14.</w:t>
      </w:r>
      <w:r>
        <w:rPr>
          <w:rFonts w:hint="eastAsia" w:ascii="黑体" w:eastAsia="黑体"/>
          <w:color w:val="000000" w:themeColor="text1"/>
        </w:rPr>
        <w:tab/>
      </w:r>
      <w:r>
        <w:rPr>
          <w:rFonts w:hint="eastAsia" w:ascii="黑体" w:eastAsia="黑体"/>
          <w:color w:val="000000" w:themeColor="text1"/>
        </w:rPr>
        <w:t>不可抗力</w:t>
      </w:r>
      <w:bookmarkEnd w:id="482"/>
      <w:bookmarkEnd w:id="483"/>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14.1</w:t>
      </w:r>
      <w:r>
        <w:rPr>
          <w:rFonts w:hint="eastAsia" w:ascii="黑体" w:eastAsia="黑体"/>
          <w:color w:val="000000" w:themeColor="text1"/>
        </w:rPr>
        <w:tab/>
      </w:r>
      <w:r>
        <w:rPr>
          <w:rFonts w:hint="eastAsia" w:ascii="黑体" w:eastAsia="黑体"/>
          <w:color w:val="000000" w:themeColor="text1"/>
        </w:rPr>
        <w:t>不可抗力的确认</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14.1.1</w:t>
      </w:r>
      <w:r>
        <w:rPr>
          <w:rFonts w:hint="eastAsia" w:ascii="宋体" w:hAnsi="宋体"/>
          <w:color w:val="000000" w:themeColor="text1"/>
        </w:rPr>
        <w:tab/>
      </w:r>
      <w:r>
        <w:rPr>
          <w:rFonts w:hint="eastAsia" w:ascii="宋体" w:hAnsi="宋体"/>
          <w:color w:val="000000" w:themeColor="text1"/>
        </w:rPr>
        <w:t>不可抗力</w:t>
      </w:r>
    </w:p>
    <w:p>
      <w:pPr>
        <w:snapToGrid w:val="0"/>
        <w:spacing w:before="0" w:beforeAutospacing="0" w:after="0" w:afterAutospacing="0"/>
        <w:ind w:left="1130" w:leftChars="471" w:firstLine="2"/>
        <w:rPr>
          <w:rFonts w:ascii="宋体" w:hAnsi="宋体"/>
          <w:color w:val="000000" w:themeColor="text1"/>
        </w:rPr>
      </w:pPr>
      <w:r>
        <w:rPr>
          <w:rFonts w:hint="eastAsia" w:ascii="宋体" w:hAnsi="宋体"/>
          <w:color w:val="000000" w:themeColor="text1"/>
        </w:rPr>
        <w:t>其他不可抗力：</w:t>
      </w:r>
      <w:r>
        <w:rPr>
          <w:rFonts w:hint="eastAsia" w:ascii="宋体" w:hAnsi="宋体"/>
          <w:color w:val="000000" w:themeColor="text1"/>
          <w:u w:val="single"/>
        </w:rPr>
        <w:t xml:space="preserve"> 无  </w:t>
      </w:r>
      <w:r>
        <w:rPr>
          <w:rFonts w:hint="eastAsia" w:ascii="宋体" w:hAnsi="宋体"/>
          <w:color w:val="000000" w:themeColor="text1"/>
        </w:rPr>
        <w:t>。</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14.3</w:t>
      </w:r>
      <w:r>
        <w:rPr>
          <w:rFonts w:hint="eastAsia" w:ascii="黑体" w:eastAsia="黑体"/>
          <w:color w:val="000000" w:themeColor="text1"/>
        </w:rPr>
        <w:tab/>
      </w:r>
      <w:r>
        <w:rPr>
          <w:rFonts w:hint="eastAsia" w:ascii="黑体" w:eastAsia="黑体"/>
          <w:color w:val="000000" w:themeColor="text1"/>
        </w:rPr>
        <w:t>不可抗力后果及其处理</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不可抗力后果及其处理：同通用合同条款，无另外约定。</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15.1</w:t>
      </w:r>
      <w:r>
        <w:rPr>
          <w:rFonts w:hint="eastAsia" w:ascii="黑体" w:eastAsia="黑体"/>
          <w:color w:val="000000" w:themeColor="text1"/>
        </w:rPr>
        <w:tab/>
      </w:r>
      <w:r>
        <w:rPr>
          <w:rFonts w:hint="eastAsia" w:ascii="黑体" w:eastAsia="黑体"/>
          <w:color w:val="000000" w:themeColor="text1"/>
        </w:rPr>
        <w:t>承包人违约</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15.1.3 承包人如果不按合同约定的工程数量、质量标准施工，发包人有权要求承包人停工或返工。由此发生的一切费用由承包人全部承担，工期不顺延。如承包人返工经发包人监理人验收仍不能达到合格要求，发包人有权解除合同。承包人应承担由此给发包人所造成的一切经济损失；承包人如擅自将本工程全部或部分转包或擅自进行工程变更所造成的后果全部由承包人承担。</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15.1.4 承包人在本合同约定进场开工之日起10日内还未进场开工或无理停工连续15天以上,发包人有权终止合同,后果全部由承包人承担。承包人超过合同约定的时间竣工，每逾期一天，发包人可从工程合同总价款或履约保证金中按合同价款千分之一扣除承包人违约金，所造成的经济损失全部由承包人承担,但除发包人原因及第三人原因外。</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15.1.5 发包人如不按合同约定时间付工程款，致使工期延误，给双方造成的损失由发包方承担。但因市财政局部门延期拨付工程款等原因除外。</w:t>
      </w:r>
    </w:p>
    <w:p>
      <w:pPr>
        <w:snapToGrid w:val="0"/>
        <w:spacing w:before="0" w:beforeAutospacing="0" w:after="0" w:afterAutospacing="0"/>
        <w:ind w:left="991" w:hanging="991" w:hangingChars="413"/>
        <w:outlineLvl w:val="2"/>
        <w:rPr>
          <w:rFonts w:ascii="黑体" w:eastAsia="黑体"/>
          <w:color w:val="000000" w:themeColor="text1"/>
        </w:rPr>
      </w:pPr>
      <w:bookmarkStart w:id="484" w:name="_Toc12064"/>
      <w:bookmarkStart w:id="485" w:name="_Toc6100"/>
      <w:r>
        <w:rPr>
          <w:rFonts w:hint="eastAsia" w:ascii="黑体" w:eastAsia="黑体"/>
          <w:color w:val="000000" w:themeColor="text1"/>
        </w:rPr>
        <w:t>17.</w:t>
      </w:r>
      <w:r>
        <w:rPr>
          <w:rFonts w:hint="eastAsia" w:ascii="黑体" w:eastAsia="黑体"/>
          <w:color w:val="000000" w:themeColor="text1"/>
        </w:rPr>
        <w:tab/>
      </w:r>
      <w:r>
        <w:rPr>
          <w:rFonts w:hint="eastAsia" w:ascii="黑体" w:eastAsia="黑体"/>
          <w:color w:val="000000" w:themeColor="text1"/>
        </w:rPr>
        <w:t>争议的解决</w:t>
      </w:r>
      <w:bookmarkEnd w:id="484"/>
      <w:bookmarkEnd w:id="485"/>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17.1</w:t>
      </w:r>
      <w:r>
        <w:rPr>
          <w:rFonts w:hint="eastAsia" w:ascii="黑体" w:eastAsia="黑体"/>
          <w:color w:val="000000" w:themeColor="text1"/>
        </w:rPr>
        <w:tab/>
      </w:r>
      <w:r>
        <w:rPr>
          <w:rFonts w:hint="eastAsia" w:ascii="黑体" w:eastAsia="黑体"/>
          <w:color w:val="000000" w:themeColor="text1"/>
        </w:rPr>
        <w:t>争议的解决方式</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合同当事人友好协商解决不成、不愿提请争议评审或者不接受争议评审组意见的，选择下列第2种方式解决：</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（l）向仲裁委员会申请仲裁；</w:t>
      </w:r>
    </w:p>
    <w:p>
      <w:pPr>
        <w:snapToGrid w:val="0"/>
        <w:spacing w:before="0" w:beforeAutospacing="0" w:after="0" w:afterAutospacing="0"/>
        <w:ind w:left="1133" w:leftChars="472"/>
        <w:rPr>
          <w:rFonts w:ascii="宋体" w:hAnsi="宋体"/>
          <w:color w:val="000000" w:themeColor="text1"/>
        </w:rPr>
      </w:pPr>
      <w:r>
        <w:rPr>
          <w:rFonts w:hint="eastAsia" w:ascii="宋体" w:hAnsi="宋体"/>
          <w:color w:val="000000" w:themeColor="text1"/>
        </w:rPr>
        <w:t>（2）向</w:t>
      </w:r>
      <w:r>
        <w:rPr>
          <w:rFonts w:hint="eastAsia" w:ascii="宋体" w:hAnsi="宋体"/>
          <w:color w:val="000000" w:themeColor="text1"/>
          <w:u w:val="single"/>
        </w:rPr>
        <w:t xml:space="preserve"> 工程所在地 </w:t>
      </w:r>
      <w:r>
        <w:rPr>
          <w:rFonts w:hint="eastAsia" w:ascii="宋体" w:hAnsi="宋体"/>
          <w:color w:val="000000" w:themeColor="text1"/>
        </w:rPr>
        <w:t>的人民法院提起诉讼。</w:t>
      </w:r>
    </w:p>
    <w:p>
      <w:pPr>
        <w:snapToGrid w:val="0"/>
        <w:spacing w:before="0" w:beforeAutospacing="0" w:after="0" w:afterAutospacing="0"/>
        <w:ind w:left="991" w:hanging="991" w:hangingChars="413"/>
        <w:rPr>
          <w:rFonts w:ascii="黑体" w:eastAsia="黑体"/>
          <w:color w:val="000000" w:themeColor="text1"/>
        </w:rPr>
      </w:pPr>
      <w:r>
        <w:rPr>
          <w:rFonts w:hint="eastAsia" w:ascii="黑体" w:eastAsia="黑体"/>
          <w:color w:val="000000" w:themeColor="text1"/>
        </w:rPr>
        <w:t>17.3</w:t>
      </w:r>
      <w:r>
        <w:rPr>
          <w:rFonts w:hint="eastAsia" w:ascii="黑体" w:eastAsia="黑体"/>
          <w:color w:val="000000" w:themeColor="text1"/>
        </w:rPr>
        <w:tab/>
      </w:r>
      <w:r>
        <w:rPr>
          <w:rFonts w:hint="eastAsia" w:ascii="黑体" w:eastAsia="黑体"/>
          <w:color w:val="000000" w:themeColor="text1"/>
        </w:rPr>
        <w:t>争议评审</w:t>
      </w:r>
    </w:p>
    <w:p>
      <w:pPr>
        <w:snapToGrid w:val="0"/>
        <w:spacing w:before="0" w:beforeAutospacing="0" w:after="0" w:afterAutospacing="0"/>
        <w:ind w:left="991" w:hanging="991" w:hangingChars="413"/>
        <w:rPr>
          <w:rFonts w:ascii="宋体" w:hAnsi="宋体"/>
          <w:color w:val="000000" w:themeColor="text1"/>
        </w:rPr>
      </w:pPr>
      <w:r>
        <w:rPr>
          <w:rFonts w:hint="eastAsia" w:ascii="宋体" w:hAnsi="宋体"/>
          <w:color w:val="000000" w:themeColor="text1"/>
        </w:rPr>
        <w:t>17.3.1</w:t>
      </w:r>
      <w:r>
        <w:rPr>
          <w:rFonts w:hint="eastAsia" w:ascii="宋体" w:hAnsi="宋体"/>
          <w:color w:val="000000" w:themeColor="text1"/>
        </w:rPr>
        <w:tab/>
      </w:r>
      <w:r>
        <w:rPr>
          <w:rFonts w:hint="eastAsia" w:ascii="宋体" w:hAnsi="宋体"/>
          <w:color w:val="000000" w:themeColor="text1"/>
        </w:rPr>
        <w:t>争议评审：</w:t>
      </w:r>
      <w:r>
        <w:rPr>
          <w:rFonts w:hint="eastAsia" w:ascii="宋体" w:hAnsi="宋体"/>
          <w:color w:val="000000" w:themeColor="text1"/>
          <w:u w:val="single"/>
        </w:rPr>
        <w:t xml:space="preserve"> 本项目不采用争议评审 </w:t>
      </w:r>
      <w:r>
        <w:rPr>
          <w:rFonts w:hint="eastAsia" w:ascii="宋体" w:hAnsi="宋体"/>
          <w:color w:val="000000" w:themeColor="text1"/>
        </w:rPr>
        <w:t>。</w:t>
      </w:r>
    </w:p>
    <w:p>
      <w:pPr>
        <w:pStyle w:val="24"/>
        <w:outlineLvl w:val="1"/>
        <w:rPr>
          <w:rFonts w:hAnsi="宋体" w:cs="宋体"/>
          <w:color w:val="000000" w:themeColor="text1"/>
          <w:sz w:val="24"/>
          <w:szCs w:val="24"/>
        </w:rPr>
      </w:pPr>
      <w:r>
        <w:rPr>
          <w:rFonts w:hAnsi="宋体" w:cs="宋体"/>
          <w:color w:val="000000" w:themeColor="text1"/>
          <w:sz w:val="24"/>
          <w:szCs w:val="24"/>
        </w:rPr>
        <w:br w:type="page"/>
      </w:r>
      <w:bookmarkStart w:id="486" w:name="_Toc19082"/>
      <w:r>
        <w:rPr>
          <w:rFonts w:hint="eastAsia" w:hAnsi="宋体" w:cs="宋体"/>
          <w:color w:val="000000" w:themeColor="text1"/>
          <w:sz w:val="24"/>
          <w:szCs w:val="24"/>
        </w:rPr>
        <w:t>第三节  合同附件格式</w:t>
      </w:r>
      <w:bookmarkEnd w:id="486"/>
    </w:p>
    <w:p>
      <w:pPr>
        <w:pStyle w:val="5"/>
        <w:spacing w:line="413" w:lineRule="auto"/>
        <w:jc w:val="center"/>
        <w:rPr>
          <w:rFonts w:eastAsia="黑体"/>
          <w:b/>
          <w:bCs w:val="0"/>
          <w:color w:val="000000" w:themeColor="text1"/>
          <w:sz w:val="32"/>
        </w:rPr>
      </w:pPr>
      <w:bookmarkStart w:id="487" w:name="_Toc15720"/>
      <w:bookmarkStart w:id="488" w:name="_Toc7441"/>
      <w:r>
        <w:rPr>
          <w:rFonts w:hint="eastAsia"/>
          <w:b/>
          <w:bCs w:val="0"/>
          <w:color w:val="000000" w:themeColor="text1"/>
          <w:sz w:val="32"/>
        </w:rPr>
        <w:t>合同协议书（格式）</w:t>
      </w:r>
      <w:bookmarkEnd w:id="487"/>
    </w:p>
    <w:p>
      <w:pPr>
        <w:spacing w:before="0" w:beforeAutospacing="0" w:after="0" w:afterAutospacing="0"/>
        <w:rPr>
          <w:rFonts w:ascii="仿宋" w:hAnsi="仿宋" w:eastAsia="仿宋" w:cs="仿宋"/>
          <w:b/>
          <w:color w:val="000000" w:themeColor="text1"/>
          <w:u w:val="single"/>
        </w:rPr>
      </w:pPr>
      <w:r>
        <w:rPr>
          <w:rFonts w:hint="eastAsia" w:ascii="仿宋" w:hAnsi="仿宋" w:eastAsia="仿宋" w:cs="仿宋"/>
          <w:b/>
          <w:color w:val="000000" w:themeColor="text1"/>
        </w:rPr>
        <w:t>发包人（全称）：</w:t>
      </w:r>
      <w:r>
        <w:rPr>
          <w:rFonts w:hint="eastAsia" w:ascii="仿宋" w:hAnsi="仿宋" w:eastAsia="仿宋" w:cs="仿宋"/>
          <w:b/>
          <w:color w:val="000000" w:themeColor="text1"/>
          <w:u w:val="single"/>
        </w:rPr>
        <w:t xml:space="preserve">                           </w:t>
      </w:r>
    </w:p>
    <w:p>
      <w:pPr>
        <w:spacing w:before="0" w:beforeAutospacing="0" w:after="0" w:afterAutospacing="0"/>
        <w:rPr>
          <w:rFonts w:ascii="仿宋" w:hAnsi="仿宋" w:eastAsia="仿宋" w:cs="仿宋"/>
          <w:b/>
          <w:color w:val="000000" w:themeColor="text1"/>
          <w:u w:val="single"/>
        </w:rPr>
      </w:pPr>
      <w:r>
        <w:rPr>
          <w:rFonts w:hint="eastAsia" w:ascii="仿宋" w:hAnsi="仿宋" w:eastAsia="仿宋" w:cs="仿宋"/>
          <w:b/>
          <w:color w:val="000000" w:themeColor="text1"/>
        </w:rPr>
        <w:t>承包人（全称）：</w:t>
      </w:r>
      <w:r>
        <w:rPr>
          <w:rFonts w:hint="eastAsia" w:ascii="仿宋" w:hAnsi="仿宋" w:eastAsia="仿宋" w:cs="仿宋"/>
          <w:b/>
          <w:color w:val="000000" w:themeColor="text1"/>
          <w:u w:val="single"/>
        </w:rPr>
        <w:t>                      </w:t>
      </w:r>
    </w:p>
    <w:p>
      <w:pPr>
        <w:spacing w:before="0" w:beforeAutospacing="0" w:after="0" w:afterAutospacing="0"/>
        <w:ind w:firstLine="480" w:firstLineChars="200"/>
        <w:rPr>
          <w:rFonts w:eastAsia="仿宋_GB2312"/>
          <w:color w:val="000000" w:themeColor="text1"/>
        </w:rPr>
      </w:pPr>
      <w:r>
        <w:rPr>
          <w:rFonts w:eastAsia="仿宋_GB2312"/>
          <w:color w:val="000000" w:themeColor="text1"/>
        </w:rPr>
        <w:t>根据《中华人民共和国合同法》、《中华人民共和国建筑法》及有关法律规定，遵循平等、自愿、公平和诚实信用的原则，双方就</w:t>
      </w:r>
      <w:r>
        <w:rPr>
          <w:rFonts w:hint="eastAsia" w:eastAsia="仿宋_GB2312"/>
          <w:color w:val="000000" w:themeColor="text1"/>
          <w:u w:val="single"/>
        </w:rPr>
        <w:t>XXXXXXXXXXXXX</w:t>
      </w:r>
      <w:r>
        <w:rPr>
          <w:rFonts w:hint="eastAsia" w:eastAsia="仿宋_GB2312"/>
          <w:color w:val="000000" w:themeColor="text1"/>
        </w:rPr>
        <w:t>项目</w:t>
      </w:r>
      <w:r>
        <w:rPr>
          <w:rFonts w:eastAsia="仿宋_GB2312"/>
          <w:color w:val="000000" w:themeColor="text1"/>
        </w:rPr>
        <w:t>工程施工及有关事项协商一致</w:t>
      </w:r>
      <w:r>
        <w:rPr>
          <w:rFonts w:hint="eastAsia" w:eastAsia="仿宋_GB2312"/>
          <w:color w:val="000000" w:themeColor="text1"/>
        </w:rPr>
        <w:t>，</w:t>
      </w:r>
      <w:r>
        <w:rPr>
          <w:rFonts w:eastAsia="仿宋_GB2312"/>
          <w:color w:val="000000" w:themeColor="text1"/>
        </w:rPr>
        <w:t>共同达成如下协议：</w:t>
      </w:r>
    </w:p>
    <w:p>
      <w:pPr>
        <w:pStyle w:val="6"/>
        <w:spacing w:before="0" w:after="0"/>
        <w:rPr>
          <w:rFonts w:ascii="仿宋" w:hAnsi="仿宋" w:eastAsia="仿宋" w:cs="仿宋"/>
          <w:b/>
          <w:bCs w:val="0"/>
          <w:color w:val="000000" w:themeColor="text1"/>
          <w:sz w:val="28"/>
        </w:rPr>
      </w:pPr>
      <w:bookmarkStart w:id="489" w:name="_Toc351203481"/>
      <w:r>
        <w:rPr>
          <w:rFonts w:hint="eastAsia" w:ascii="仿宋" w:hAnsi="仿宋" w:eastAsia="仿宋" w:cs="仿宋"/>
          <w:b/>
          <w:bCs w:val="0"/>
          <w:color w:val="000000" w:themeColor="text1"/>
          <w:sz w:val="28"/>
        </w:rPr>
        <w:t>一、工程概况</w:t>
      </w:r>
      <w:bookmarkEnd w:id="489"/>
    </w:p>
    <w:p>
      <w:pPr>
        <w:spacing w:before="0" w:beforeAutospacing="0" w:after="0" w:afterAutospacing="0"/>
        <w:ind w:firstLine="470" w:firstLineChars="196"/>
        <w:rPr>
          <w:rFonts w:ascii="仿宋" w:hAnsi="仿宋" w:eastAsia="仿宋" w:cs="仿宋"/>
          <w:color w:val="000000" w:themeColor="text1"/>
          <w:u w:val="single"/>
        </w:rPr>
      </w:pPr>
      <w:r>
        <w:rPr>
          <w:rFonts w:hint="eastAsia" w:ascii="仿宋" w:hAnsi="仿宋" w:eastAsia="仿宋" w:cs="仿宋"/>
          <w:bCs/>
          <w:color w:val="000000" w:themeColor="text1"/>
        </w:rPr>
        <w:t>1.工程名称</w:t>
      </w:r>
      <w:r>
        <w:rPr>
          <w:rFonts w:hint="eastAsia" w:ascii="仿宋" w:hAnsi="仿宋" w:eastAsia="仿宋" w:cs="仿宋"/>
          <w:color w:val="000000" w:themeColor="text1"/>
        </w:rPr>
        <w:t>：</w:t>
      </w:r>
      <w:r>
        <w:rPr>
          <w:rFonts w:hint="eastAsia" w:ascii="仿宋" w:hAnsi="仿宋" w:eastAsia="仿宋" w:cs="仿宋"/>
          <w:color w:val="000000" w:themeColor="text1"/>
          <w:u w:val="single"/>
        </w:rPr>
        <w:t>XXXXXXXXXXXXX项目</w:t>
      </w:r>
      <w:r>
        <w:rPr>
          <w:rFonts w:hint="eastAsia" w:ascii="仿宋" w:hAnsi="仿宋" w:eastAsia="仿宋" w:cs="仿宋"/>
          <w:color w:val="000000" w:themeColor="text1"/>
        </w:rPr>
        <w:t>。</w:t>
      </w:r>
    </w:p>
    <w:p>
      <w:pPr>
        <w:spacing w:before="0" w:beforeAutospacing="0" w:after="0" w:afterAutospacing="0"/>
        <w:ind w:firstLine="470" w:firstLineChars="196"/>
        <w:rPr>
          <w:rFonts w:ascii="仿宋" w:hAnsi="仿宋" w:eastAsia="仿宋" w:cs="仿宋"/>
          <w:bCs/>
          <w:color w:val="000000" w:themeColor="text1"/>
        </w:rPr>
      </w:pPr>
      <w:r>
        <w:rPr>
          <w:rFonts w:hint="eastAsia" w:ascii="仿宋" w:hAnsi="仿宋" w:eastAsia="仿宋" w:cs="仿宋"/>
          <w:bCs/>
          <w:color w:val="000000" w:themeColor="text1"/>
        </w:rPr>
        <w:t>2.工程地点：</w:t>
      </w:r>
      <w:r>
        <w:rPr>
          <w:rFonts w:hint="eastAsia" w:ascii="仿宋" w:hAnsi="仿宋" w:eastAsia="仿宋" w:cs="仿宋"/>
          <w:color w:val="000000" w:themeColor="text1"/>
        </w:rPr>
        <w:t>。</w:t>
      </w:r>
    </w:p>
    <w:p>
      <w:pPr>
        <w:spacing w:before="0" w:beforeAutospacing="0" w:after="0" w:afterAutospacing="0"/>
        <w:ind w:firstLine="470" w:firstLineChars="196"/>
        <w:rPr>
          <w:rFonts w:ascii="仿宋" w:hAnsi="仿宋" w:eastAsia="仿宋" w:cs="仿宋"/>
          <w:bCs/>
          <w:color w:val="000000" w:themeColor="text1"/>
        </w:rPr>
      </w:pPr>
      <w:r>
        <w:rPr>
          <w:rFonts w:hint="eastAsia" w:ascii="仿宋" w:hAnsi="仿宋" w:eastAsia="仿宋" w:cs="仿宋"/>
          <w:bCs/>
          <w:color w:val="000000" w:themeColor="text1"/>
        </w:rPr>
        <w:t>3.工程批准文号：</w:t>
      </w:r>
      <w:r>
        <w:rPr>
          <w:rFonts w:hint="eastAsia" w:ascii="仿宋" w:hAnsi="仿宋" w:eastAsia="仿宋" w:cs="仿宋"/>
          <w:color w:val="000000" w:themeColor="text1"/>
          <w:u w:val="single"/>
        </w:rPr>
        <w:t xml:space="preserve">       </w:t>
      </w:r>
      <w:r>
        <w:rPr>
          <w:rFonts w:hint="eastAsia" w:ascii="仿宋" w:hAnsi="仿宋" w:eastAsia="仿宋" w:cs="仿宋"/>
          <w:bCs/>
          <w:color w:val="000000" w:themeColor="text1"/>
        </w:rPr>
        <w:t>。</w:t>
      </w:r>
    </w:p>
    <w:p>
      <w:pPr>
        <w:spacing w:before="0" w:beforeAutospacing="0" w:after="0" w:afterAutospacing="0"/>
        <w:ind w:firstLine="470" w:firstLineChars="196"/>
        <w:rPr>
          <w:rFonts w:ascii="仿宋" w:hAnsi="仿宋" w:eastAsia="仿宋" w:cs="仿宋"/>
          <w:bCs/>
          <w:color w:val="000000" w:themeColor="text1"/>
        </w:rPr>
      </w:pPr>
      <w:r>
        <w:rPr>
          <w:rFonts w:hint="eastAsia" w:ascii="仿宋" w:hAnsi="仿宋" w:eastAsia="仿宋" w:cs="仿宋"/>
          <w:bCs/>
          <w:color w:val="000000" w:themeColor="text1"/>
        </w:rPr>
        <w:t>4.资金来源：</w:t>
      </w:r>
      <w:r>
        <w:rPr>
          <w:rFonts w:hint="eastAsia" w:ascii="仿宋" w:hAnsi="仿宋" w:eastAsia="仿宋" w:cs="仿宋"/>
          <w:bCs/>
          <w:color w:val="000000" w:themeColor="text1"/>
          <w:szCs w:val="22"/>
          <w:u w:val="single"/>
        </w:rPr>
        <w:t>财政资金</w:t>
      </w:r>
      <w:r>
        <w:rPr>
          <w:rFonts w:hint="eastAsia" w:ascii="仿宋" w:hAnsi="仿宋" w:eastAsia="仿宋" w:cs="仿宋"/>
          <w:bCs/>
          <w:color w:val="000000" w:themeColor="text1"/>
        </w:rPr>
        <w:t>。</w:t>
      </w:r>
    </w:p>
    <w:p>
      <w:pPr>
        <w:spacing w:before="0" w:beforeAutospacing="0" w:after="0" w:afterAutospacing="0"/>
        <w:ind w:firstLine="470" w:firstLineChars="196"/>
        <w:rPr>
          <w:rFonts w:ascii="仿宋" w:hAnsi="仿宋" w:eastAsia="仿宋" w:cs="仿宋"/>
          <w:bCs/>
          <w:color w:val="000000" w:themeColor="text1"/>
        </w:rPr>
      </w:pPr>
      <w:r>
        <w:rPr>
          <w:rFonts w:hint="eastAsia" w:ascii="仿宋" w:hAnsi="仿宋" w:eastAsia="仿宋" w:cs="仿宋"/>
          <w:bCs/>
          <w:color w:val="000000" w:themeColor="text1"/>
        </w:rPr>
        <w:t>5.工程内容：</w:t>
      </w:r>
      <w:r>
        <w:rPr>
          <w:rFonts w:hint="eastAsia" w:ascii="仿宋" w:hAnsi="仿宋" w:eastAsia="仿宋" w:cs="仿宋"/>
          <w:color w:val="000000" w:themeColor="text1"/>
          <w:u w:val="single"/>
        </w:rPr>
        <w:t xml:space="preserve">       </w:t>
      </w:r>
      <w:r>
        <w:rPr>
          <w:rFonts w:hint="eastAsia" w:ascii="仿宋" w:hAnsi="仿宋" w:eastAsia="仿宋" w:cs="仿宋"/>
          <w:bCs/>
          <w:color w:val="000000" w:themeColor="text1"/>
        </w:rPr>
        <w:t>。</w:t>
      </w:r>
    </w:p>
    <w:p>
      <w:pPr>
        <w:spacing w:before="0" w:beforeAutospacing="0" w:after="0" w:afterAutospacing="0"/>
        <w:ind w:firstLine="470" w:firstLineChars="196"/>
        <w:rPr>
          <w:rFonts w:ascii="仿宋" w:hAnsi="仿宋" w:eastAsia="仿宋" w:cs="仿宋"/>
          <w:bCs/>
          <w:color w:val="000000" w:themeColor="text1"/>
        </w:rPr>
      </w:pPr>
      <w:r>
        <w:rPr>
          <w:rFonts w:hint="eastAsia" w:ascii="仿宋" w:hAnsi="仿宋" w:eastAsia="仿宋" w:cs="仿宋"/>
          <w:bCs/>
          <w:color w:val="000000" w:themeColor="text1"/>
        </w:rPr>
        <w:t>6.工程承包范围：</w:t>
      </w:r>
    </w:p>
    <w:p>
      <w:pPr>
        <w:spacing w:before="0" w:beforeAutospacing="0" w:after="0" w:afterAutospacing="0"/>
        <w:ind w:firstLine="463" w:firstLineChars="193"/>
        <w:rPr>
          <w:rFonts w:ascii="仿宋" w:hAnsi="仿宋" w:eastAsia="仿宋" w:cs="仿宋"/>
          <w:color w:val="000000" w:themeColor="text1"/>
        </w:rPr>
      </w:pPr>
      <w:r>
        <w:rPr>
          <w:rFonts w:hint="eastAsia" w:ascii="仿宋" w:hAnsi="仿宋" w:eastAsia="仿宋" w:cs="仿宋"/>
          <w:color w:val="000000" w:themeColor="text1"/>
          <w:u w:val="single"/>
        </w:rPr>
        <w:t>   </w:t>
      </w:r>
    </w:p>
    <w:p>
      <w:pPr>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u w:val="single"/>
        </w:rPr>
        <w:t> </w:t>
      </w:r>
      <w:r>
        <w:rPr>
          <w:rFonts w:hint="eastAsia" w:ascii="仿宋" w:hAnsi="仿宋" w:eastAsia="仿宋" w:cs="仿宋"/>
          <w:color w:val="000000" w:themeColor="text1"/>
        </w:rPr>
        <w:t>。</w:t>
      </w:r>
    </w:p>
    <w:p>
      <w:pPr>
        <w:pStyle w:val="6"/>
        <w:spacing w:before="0" w:after="0"/>
        <w:rPr>
          <w:rFonts w:ascii="仿宋" w:hAnsi="仿宋" w:eastAsia="仿宋" w:cs="仿宋"/>
          <w:b/>
          <w:bCs w:val="0"/>
          <w:color w:val="000000" w:themeColor="text1"/>
          <w:sz w:val="28"/>
        </w:rPr>
      </w:pPr>
      <w:bookmarkStart w:id="490" w:name="_Toc351203482"/>
      <w:r>
        <w:rPr>
          <w:rFonts w:hint="eastAsia" w:ascii="仿宋" w:hAnsi="仿宋" w:eastAsia="仿宋" w:cs="仿宋"/>
          <w:b/>
          <w:bCs w:val="0"/>
          <w:color w:val="000000" w:themeColor="text1"/>
          <w:sz w:val="28"/>
        </w:rPr>
        <w:t>二、合同工期</w:t>
      </w:r>
      <w:bookmarkEnd w:id="490"/>
    </w:p>
    <w:p>
      <w:pPr>
        <w:spacing w:before="0" w:beforeAutospacing="0" w:after="0" w:afterAutospacing="0"/>
        <w:ind w:firstLine="459"/>
        <w:rPr>
          <w:rFonts w:ascii="仿宋" w:hAnsi="仿宋" w:eastAsia="仿宋" w:cs="仿宋"/>
          <w:color w:val="000000" w:themeColor="text1"/>
        </w:rPr>
      </w:pPr>
      <w:r>
        <w:rPr>
          <w:rFonts w:hint="eastAsia" w:ascii="仿宋" w:hAnsi="仿宋" w:eastAsia="仿宋" w:cs="仿宋"/>
          <w:color w:val="000000" w:themeColor="text1"/>
        </w:rPr>
        <w:t>计划开工日期：</w:t>
      </w:r>
      <w:r>
        <w:rPr>
          <w:rFonts w:hint="eastAsia" w:ascii="仿宋" w:hAnsi="仿宋" w:eastAsia="仿宋" w:cs="仿宋"/>
          <w:color w:val="000000" w:themeColor="text1"/>
          <w:u w:val="single"/>
        </w:rPr>
        <w:t></w:t>
      </w:r>
      <w:r>
        <w:rPr>
          <w:rFonts w:hint="eastAsia" w:ascii="仿宋" w:hAnsi="仿宋" w:eastAsia="仿宋" w:cs="仿宋"/>
          <w:color w:val="000000" w:themeColor="text1"/>
        </w:rPr>
        <w:t>年</w:t>
      </w:r>
      <w:r>
        <w:rPr>
          <w:rFonts w:hint="eastAsia" w:ascii="仿宋" w:hAnsi="仿宋" w:eastAsia="仿宋" w:cs="仿宋"/>
          <w:color w:val="000000" w:themeColor="text1"/>
          <w:u w:val="single"/>
        </w:rPr>
        <w:t></w:t>
      </w:r>
      <w:r>
        <w:rPr>
          <w:rFonts w:hint="eastAsia" w:ascii="仿宋" w:hAnsi="仿宋" w:eastAsia="仿宋" w:cs="仿宋"/>
          <w:color w:val="000000" w:themeColor="text1"/>
        </w:rPr>
        <w:t>月</w:t>
      </w:r>
      <w:r>
        <w:rPr>
          <w:rFonts w:hint="eastAsia" w:ascii="仿宋" w:hAnsi="仿宋" w:eastAsia="仿宋" w:cs="仿宋"/>
          <w:color w:val="000000" w:themeColor="text1"/>
          <w:u w:val="single"/>
        </w:rPr>
        <w:t></w:t>
      </w:r>
      <w:r>
        <w:rPr>
          <w:rFonts w:hint="eastAsia" w:ascii="仿宋" w:hAnsi="仿宋" w:eastAsia="仿宋" w:cs="仿宋"/>
          <w:color w:val="000000" w:themeColor="text1"/>
        </w:rPr>
        <w:t>日。</w:t>
      </w:r>
    </w:p>
    <w:p>
      <w:pPr>
        <w:spacing w:before="0" w:beforeAutospacing="0" w:after="0" w:afterAutospacing="0"/>
        <w:ind w:firstLine="459"/>
        <w:rPr>
          <w:rFonts w:ascii="仿宋" w:hAnsi="仿宋" w:eastAsia="仿宋" w:cs="仿宋"/>
          <w:color w:val="000000" w:themeColor="text1"/>
        </w:rPr>
      </w:pPr>
      <w:r>
        <w:rPr>
          <w:rFonts w:hint="eastAsia" w:ascii="仿宋" w:hAnsi="仿宋" w:eastAsia="仿宋" w:cs="仿宋"/>
          <w:color w:val="000000" w:themeColor="text1"/>
        </w:rPr>
        <w:t>计划竣工日期：</w:t>
      </w:r>
      <w:r>
        <w:rPr>
          <w:rFonts w:hint="eastAsia" w:ascii="仿宋" w:hAnsi="仿宋" w:eastAsia="仿宋" w:cs="仿宋"/>
          <w:color w:val="000000" w:themeColor="text1"/>
          <w:u w:val="single"/>
        </w:rPr>
        <w:t></w:t>
      </w:r>
      <w:r>
        <w:rPr>
          <w:rFonts w:hint="eastAsia" w:ascii="仿宋" w:hAnsi="仿宋" w:eastAsia="仿宋" w:cs="仿宋"/>
          <w:color w:val="000000" w:themeColor="text1"/>
        </w:rPr>
        <w:t>年</w:t>
      </w:r>
      <w:r>
        <w:rPr>
          <w:rFonts w:hint="eastAsia" w:ascii="仿宋" w:hAnsi="仿宋" w:eastAsia="仿宋" w:cs="仿宋"/>
          <w:color w:val="000000" w:themeColor="text1"/>
          <w:u w:val="single"/>
        </w:rPr>
        <w:t></w:t>
      </w:r>
      <w:r>
        <w:rPr>
          <w:rFonts w:hint="eastAsia" w:ascii="仿宋" w:hAnsi="仿宋" w:eastAsia="仿宋" w:cs="仿宋"/>
          <w:color w:val="000000" w:themeColor="text1"/>
        </w:rPr>
        <w:t>月</w:t>
      </w:r>
      <w:r>
        <w:rPr>
          <w:rFonts w:hint="eastAsia" w:ascii="仿宋" w:hAnsi="仿宋" w:eastAsia="仿宋" w:cs="仿宋"/>
          <w:color w:val="000000" w:themeColor="text1"/>
          <w:u w:val="single"/>
        </w:rPr>
        <w:t></w:t>
      </w:r>
      <w:r>
        <w:rPr>
          <w:rFonts w:hint="eastAsia" w:ascii="仿宋" w:hAnsi="仿宋" w:eastAsia="仿宋" w:cs="仿宋"/>
          <w:color w:val="000000" w:themeColor="text1"/>
        </w:rPr>
        <w:t>日。</w:t>
      </w:r>
    </w:p>
    <w:p>
      <w:pPr>
        <w:spacing w:before="0" w:beforeAutospacing="0" w:after="0" w:afterAutospacing="0"/>
        <w:ind w:firstLine="459"/>
        <w:rPr>
          <w:rFonts w:ascii="仿宋" w:hAnsi="仿宋" w:eastAsia="仿宋" w:cs="仿宋"/>
          <w:color w:val="000000" w:themeColor="text1"/>
        </w:rPr>
      </w:pPr>
      <w:r>
        <w:rPr>
          <w:rFonts w:hint="eastAsia" w:ascii="仿宋" w:hAnsi="仿宋" w:eastAsia="仿宋" w:cs="仿宋"/>
          <w:color w:val="000000" w:themeColor="text1"/>
        </w:rPr>
        <w:t>工期总日历天数：</w:t>
      </w:r>
      <w:r>
        <w:rPr>
          <w:rFonts w:hint="eastAsia" w:ascii="仿宋" w:hAnsi="仿宋" w:eastAsia="仿宋" w:cs="仿宋"/>
          <w:color w:val="000000" w:themeColor="text1"/>
          <w:u w:val="single"/>
        </w:rPr>
        <w:t></w:t>
      </w:r>
      <w:r>
        <w:rPr>
          <w:rFonts w:hint="eastAsia" w:ascii="仿宋" w:hAnsi="仿宋" w:eastAsia="仿宋" w:cs="仿宋"/>
          <w:color w:val="000000" w:themeColor="text1"/>
          <w:u w:val="single"/>
          <w:lang w:val="en-US" w:eastAsia="zh-CN"/>
        </w:rPr>
        <w:t xml:space="preserve"> </w:t>
      </w:r>
      <w:bookmarkStart w:id="565" w:name="_GoBack"/>
      <w:bookmarkEnd w:id="565"/>
      <w:r>
        <w:rPr>
          <w:rFonts w:hint="eastAsia" w:ascii="仿宋" w:hAnsi="仿宋" w:eastAsia="仿宋" w:cs="仿宋"/>
          <w:color w:val="000000" w:themeColor="text1"/>
          <w:u w:val="single"/>
        </w:rPr>
        <w:t></w:t>
      </w:r>
      <w:r>
        <w:rPr>
          <w:rFonts w:hint="eastAsia" w:ascii="仿宋" w:hAnsi="仿宋" w:eastAsia="仿宋" w:cs="仿宋"/>
          <w:color w:val="000000" w:themeColor="text1"/>
        </w:rPr>
        <w:t>天。工期总日历天数与根据前述计划开竣工日期计算的工期天数不一致的，以工期总日历天数为准。</w:t>
      </w:r>
    </w:p>
    <w:p>
      <w:pPr>
        <w:pStyle w:val="6"/>
        <w:spacing w:before="0" w:after="0"/>
        <w:rPr>
          <w:rFonts w:ascii="仿宋" w:hAnsi="仿宋" w:eastAsia="仿宋" w:cs="仿宋"/>
          <w:b/>
          <w:bCs w:val="0"/>
          <w:color w:val="000000" w:themeColor="text1"/>
          <w:sz w:val="28"/>
        </w:rPr>
      </w:pPr>
      <w:bookmarkStart w:id="491" w:name="_Toc351203483"/>
      <w:r>
        <w:rPr>
          <w:rFonts w:hint="eastAsia" w:ascii="仿宋" w:hAnsi="仿宋" w:eastAsia="仿宋" w:cs="仿宋"/>
          <w:b/>
          <w:bCs w:val="0"/>
          <w:color w:val="000000" w:themeColor="text1"/>
          <w:sz w:val="28"/>
        </w:rPr>
        <w:t>三、质量标准</w:t>
      </w:r>
      <w:bookmarkEnd w:id="491"/>
    </w:p>
    <w:p>
      <w:pPr>
        <w:spacing w:before="0" w:beforeAutospacing="0" w:after="0" w:afterAutospacing="0"/>
        <w:ind w:firstLine="459"/>
        <w:rPr>
          <w:rFonts w:ascii="仿宋" w:hAnsi="仿宋" w:eastAsia="仿宋" w:cs="仿宋"/>
          <w:color w:val="000000" w:themeColor="text1"/>
        </w:rPr>
      </w:pPr>
      <w:r>
        <w:rPr>
          <w:rFonts w:hint="eastAsia" w:ascii="仿宋" w:hAnsi="仿宋" w:eastAsia="仿宋" w:cs="仿宋"/>
          <w:color w:val="000000" w:themeColor="text1"/>
        </w:rPr>
        <w:t>工程质量符合工程质量标准：达到国家和地方规定施工验收规范合格标准。</w:t>
      </w:r>
    </w:p>
    <w:p>
      <w:pPr>
        <w:pStyle w:val="6"/>
        <w:spacing w:before="0" w:after="0"/>
        <w:rPr>
          <w:rFonts w:ascii="仿宋" w:hAnsi="仿宋" w:eastAsia="仿宋" w:cs="仿宋"/>
          <w:b/>
          <w:bCs w:val="0"/>
          <w:color w:val="000000" w:themeColor="text1"/>
          <w:sz w:val="28"/>
        </w:rPr>
      </w:pPr>
      <w:bookmarkStart w:id="492" w:name="_Toc351203484"/>
      <w:r>
        <w:rPr>
          <w:rFonts w:hint="eastAsia" w:ascii="仿宋" w:hAnsi="仿宋" w:eastAsia="仿宋" w:cs="仿宋"/>
          <w:b/>
          <w:bCs w:val="0"/>
          <w:color w:val="000000" w:themeColor="text1"/>
          <w:sz w:val="28"/>
        </w:rPr>
        <w:t>四、签约合同价与合同价格形式</w:t>
      </w:r>
      <w:bookmarkEnd w:id="492"/>
      <w:r>
        <w:rPr>
          <w:rFonts w:hint="eastAsia" w:ascii="仿宋" w:hAnsi="仿宋" w:eastAsia="仿宋" w:cs="仿宋"/>
          <w:b/>
          <w:bCs w:val="0"/>
          <w:color w:val="000000" w:themeColor="text1"/>
          <w:sz w:val="28"/>
        </w:rPr>
        <w:tab/>
      </w:r>
    </w:p>
    <w:p>
      <w:pPr>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1.签约合同价为：</w:t>
      </w:r>
    </w:p>
    <w:p>
      <w:pPr>
        <w:spacing w:before="0" w:beforeAutospacing="0" w:after="0" w:afterAutospacing="0"/>
        <w:ind w:firstLine="600" w:firstLineChars="250"/>
        <w:rPr>
          <w:rFonts w:ascii="仿宋" w:hAnsi="仿宋" w:eastAsia="仿宋" w:cs="仿宋"/>
          <w:color w:val="000000" w:themeColor="text1"/>
        </w:rPr>
      </w:pPr>
      <w:r>
        <w:rPr>
          <w:rFonts w:hint="eastAsia" w:ascii="仿宋" w:hAnsi="仿宋" w:eastAsia="仿宋" w:cs="仿宋"/>
          <w:color w:val="000000" w:themeColor="text1"/>
        </w:rPr>
        <w:t>人民币（大写）(¥元)；</w:t>
      </w:r>
    </w:p>
    <w:p>
      <w:pPr>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2.合同价格形式：</w:t>
      </w:r>
      <w:r>
        <w:rPr>
          <w:rFonts w:hint="eastAsia" w:ascii="仿宋" w:hAnsi="仿宋" w:eastAsia="仿宋" w:cs="仿宋"/>
          <w:color w:val="000000" w:themeColor="text1"/>
          <w:u w:val="single"/>
        </w:rPr>
        <w:t>总价合同</w:t>
      </w:r>
      <w:r>
        <w:rPr>
          <w:rFonts w:hint="eastAsia" w:ascii="仿宋" w:hAnsi="仿宋" w:eastAsia="仿宋" w:cs="仿宋"/>
          <w:color w:val="000000" w:themeColor="text1"/>
        </w:rPr>
        <w:t>。</w:t>
      </w:r>
    </w:p>
    <w:p>
      <w:pPr>
        <w:pStyle w:val="6"/>
        <w:spacing w:before="0" w:after="0"/>
        <w:rPr>
          <w:rFonts w:ascii="仿宋" w:hAnsi="仿宋" w:eastAsia="仿宋" w:cs="仿宋"/>
          <w:b/>
          <w:bCs w:val="0"/>
          <w:color w:val="000000" w:themeColor="text1"/>
          <w:sz w:val="28"/>
        </w:rPr>
      </w:pPr>
      <w:bookmarkStart w:id="493" w:name="_Toc351203485"/>
      <w:r>
        <w:rPr>
          <w:rFonts w:hint="eastAsia" w:ascii="仿宋" w:hAnsi="仿宋" w:eastAsia="仿宋" w:cs="仿宋"/>
          <w:b/>
          <w:bCs w:val="0"/>
          <w:color w:val="000000" w:themeColor="text1"/>
          <w:sz w:val="28"/>
        </w:rPr>
        <w:t>五、</w:t>
      </w:r>
      <w:bookmarkEnd w:id="493"/>
      <w:r>
        <w:rPr>
          <w:rFonts w:hint="eastAsia" w:ascii="仿宋" w:hAnsi="仿宋" w:eastAsia="仿宋" w:cs="仿宋"/>
          <w:b/>
          <w:bCs w:val="0"/>
          <w:color w:val="000000" w:themeColor="text1"/>
          <w:sz w:val="28"/>
        </w:rPr>
        <w:t>项目经理</w:t>
      </w:r>
    </w:p>
    <w:p>
      <w:pPr>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承包人项目经理：</w:t>
      </w:r>
      <w:r>
        <w:rPr>
          <w:rFonts w:hint="eastAsia" w:ascii="仿宋" w:hAnsi="仿宋" w:eastAsia="仿宋" w:cs="仿宋"/>
          <w:color w:val="000000" w:themeColor="text1"/>
          <w:u w:val="single"/>
        </w:rPr>
        <w:t>                     </w:t>
      </w:r>
      <w:r>
        <w:rPr>
          <w:rFonts w:hint="eastAsia" w:ascii="仿宋" w:hAnsi="仿宋" w:eastAsia="仿宋" w:cs="仿宋"/>
          <w:color w:val="000000" w:themeColor="text1"/>
        </w:rPr>
        <w:t>。</w:t>
      </w:r>
    </w:p>
    <w:p>
      <w:pPr>
        <w:pStyle w:val="6"/>
        <w:spacing w:before="0" w:after="0"/>
        <w:rPr>
          <w:rFonts w:ascii="仿宋" w:hAnsi="仿宋" w:eastAsia="仿宋" w:cs="仿宋"/>
          <w:b/>
          <w:bCs w:val="0"/>
          <w:color w:val="000000" w:themeColor="text1"/>
          <w:sz w:val="28"/>
        </w:rPr>
      </w:pPr>
      <w:bookmarkStart w:id="494" w:name="_Toc351203486"/>
      <w:r>
        <w:rPr>
          <w:rFonts w:hint="eastAsia" w:ascii="仿宋" w:hAnsi="仿宋" w:eastAsia="仿宋" w:cs="仿宋"/>
          <w:b/>
          <w:bCs w:val="0"/>
          <w:color w:val="000000" w:themeColor="text1"/>
          <w:sz w:val="28"/>
        </w:rPr>
        <w:t>六、合同文件构成</w:t>
      </w:r>
      <w:bookmarkEnd w:id="494"/>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本协议书与下列文件一起构成合同文件：</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（1）中标通知书（如果有）；</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 xml:space="preserve">（2）投标函及其附录（如果有）； </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（3）专用合同条款及其附件；</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（4）通用合同条款；</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（5）技术标准和要求；</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（6）图纸；</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（7）已标价工程量清单或预算书；</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（8）其他合同文件。</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在合同订立及履行过程中形成的与合同有关的文件均构成合同文件组成部分。</w:t>
      </w:r>
    </w:p>
    <w:p>
      <w:pPr>
        <w:autoSpaceDE w:val="0"/>
        <w:autoSpaceDN w:val="0"/>
        <w:adjustRightInd w:val="0"/>
        <w:spacing w:before="0" w:beforeAutospacing="0" w:after="0" w:afterAutospacing="0"/>
        <w:ind w:firstLine="480" w:firstLineChars="200"/>
        <w:rPr>
          <w:rFonts w:ascii="仿宋" w:hAnsi="仿宋" w:eastAsia="仿宋" w:cs="仿宋"/>
          <w:color w:val="000000" w:themeColor="text1"/>
        </w:rPr>
      </w:pPr>
      <w:r>
        <w:rPr>
          <w:rFonts w:hint="eastAsia" w:ascii="仿宋" w:hAnsi="仿宋" w:eastAsia="仿宋" w:cs="仿宋"/>
          <w:color w:val="000000" w:themeColor="text1"/>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rPr>
          <w:rFonts w:ascii="仿宋" w:hAnsi="仿宋" w:eastAsia="仿宋" w:cs="仿宋"/>
          <w:b/>
          <w:bCs w:val="0"/>
          <w:color w:val="000000" w:themeColor="text1"/>
          <w:sz w:val="28"/>
        </w:rPr>
      </w:pPr>
      <w:bookmarkStart w:id="495" w:name="_Toc351203487"/>
      <w:r>
        <w:rPr>
          <w:rFonts w:hint="eastAsia" w:ascii="仿宋" w:hAnsi="仿宋" w:eastAsia="仿宋" w:cs="仿宋"/>
          <w:b/>
          <w:bCs w:val="0"/>
          <w:color w:val="000000" w:themeColor="text1"/>
          <w:sz w:val="28"/>
        </w:rPr>
        <w:t>七、承诺</w:t>
      </w:r>
      <w:bookmarkEnd w:id="495"/>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1.发包人承诺按照法律规定履行项目审批手续、筹集工程建设资金并按照合同约定的期限和方式支付合同价款。</w:t>
      </w:r>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2.承包人承诺按照法律规定及合同约定组织完成工程施工，确保工程质量和安全，不进行转包及违法分包，并在缺陷责任期及保修期内承担相应的工程维修责任。</w:t>
      </w:r>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3.发包人和承包人通过招投标形式签订合同的，双方理解并承诺不再就同一工程另行签订与合同实质性内容相背离的协议。</w:t>
      </w:r>
    </w:p>
    <w:p>
      <w:pPr>
        <w:pStyle w:val="6"/>
        <w:spacing w:before="0" w:after="0"/>
        <w:rPr>
          <w:rFonts w:ascii="仿宋" w:hAnsi="仿宋" w:eastAsia="仿宋" w:cs="仿宋"/>
          <w:b/>
          <w:bCs w:val="0"/>
          <w:color w:val="000000" w:themeColor="text1"/>
          <w:sz w:val="28"/>
        </w:rPr>
      </w:pPr>
      <w:bookmarkStart w:id="496" w:name="_Toc351203488"/>
      <w:r>
        <w:rPr>
          <w:rFonts w:hint="eastAsia" w:ascii="仿宋" w:hAnsi="仿宋" w:eastAsia="仿宋" w:cs="仿宋"/>
          <w:b/>
          <w:bCs w:val="0"/>
          <w:color w:val="000000" w:themeColor="text1"/>
          <w:sz w:val="28"/>
        </w:rPr>
        <w:t>八、词语含义</w:t>
      </w:r>
      <w:bookmarkEnd w:id="496"/>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本协议书中词语含义与第二部分通用合同条款中赋予的含义相同。</w:t>
      </w:r>
    </w:p>
    <w:p>
      <w:pPr>
        <w:pStyle w:val="6"/>
        <w:spacing w:before="0" w:after="0"/>
        <w:rPr>
          <w:rFonts w:ascii="仿宋" w:hAnsi="仿宋" w:eastAsia="仿宋" w:cs="仿宋"/>
          <w:b/>
          <w:bCs w:val="0"/>
          <w:color w:val="000000" w:themeColor="text1"/>
          <w:sz w:val="28"/>
        </w:rPr>
      </w:pPr>
      <w:bookmarkStart w:id="497" w:name="_Toc351203489"/>
      <w:r>
        <w:rPr>
          <w:rFonts w:hint="eastAsia" w:ascii="仿宋" w:hAnsi="仿宋" w:eastAsia="仿宋" w:cs="仿宋"/>
          <w:b/>
          <w:bCs w:val="0"/>
          <w:color w:val="000000" w:themeColor="text1"/>
          <w:sz w:val="28"/>
        </w:rPr>
        <w:t>九、签订时间</w:t>
      </w:r>
      <w:bookmarkEnd w:id="497"/>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本合同于年月日签订。</w:t>
      </w:r>
    </w:p>
    <w:p>
      <w:pPr>
        <w:pStyle w:val="6"/>
        <w:spacing w:before="0" w:after="0"/>
        <w:rPr>
          <w:rFonts w:ascii="仿宋" w:hAnsi="仿宋" w:eastAsia="仿宋" w:cs="仿宋"/>
          <w:b/>
          <w:bCs w:val="0"/>
          <w:color w:val="000000" w:themeColor="text1"/>
          <w:sz w:val="28"/>
        </w:rPr>
      </w:pPr>
      <w:bookmarkStart w:id="498" w:name="_Toc351203490"/>
      <w:r>
        <w:rPr>
          <w:rFonts w:hint="eastAsia" w:ascii="仿宋" w:hAnsi="仿宋" w:eastAsia="仿宋" w:cs="仿宋"/>
          <w:b/>
          <w:bCs w:val="0"/>
          <w:color w:val="000000" w:themeColor="text1"/>
          <w:sz w:val="28"/>
        </w:rPr>
        <w:t>十、签订地点</w:t>
      </w:r>
      <w:bookmarkEnd w:id="498"/>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本合同在签订。</w:t>
      </w:r>
    </w:p>
    <w:p>
      <w:pPr>
        <w:pStyle w:val="6"/>
        <w:spacing w:before="0" w:after="0"/>
        <w:rPr>
          <w:rFonts w:ascii="仿宋" w:hAnsi="仿宋" w:eastAsia="仿宋" w:cs="仿宋"/>
          <w:b/>
          <w:bCs w:val="0"/>
          <w:color w:val="000000" w:themeColor="text1"/>
          <w:sz w:val="28"/>
        </w:rPr>
      </w:pPr>
      <w:bookmarkStart w:id="499" w:name="_Toc351203491"/>
      <w:r>
        <w:rPr>
          <w:rFonts w:hint="eastAsia" w:ascii="仿宋" w:hAnsi="仿宋" w:eastAsia="仿宋" w:cs="仿宋"/>
          <w:b/>
          <w:bCs w:val="0"/>
          <w:color w:val="000000" w:themeColor="text1"/>
          <w:sz w:val="28"/>
        </w:rPr>
        <w:t>十一、补充协议</w:t>
      </w:r>
      <w:bookmarkEnd w:id="499"/>
    </w:p>
    <w:p>
      <w:pPr>
        <w:spacing w:before="0" w:beforeAutospacing="0" w:after="0" w:afterAutospacing="0"/>
        <w:ind w:firstLine="480" w:firstLineChars="200"/>
        <w:rPr>
          <w:rFonts w:ascii="仿宋" w:hAnsi="仿宋" w:eastAsia="仿宋" w:cs="仿宋"/>
          <w:b/>
          <w:bCs/>
          <w:color w:val="000000" w:themeColor="text1"/>
        </w:rPr>
      </w:pPr>
      <w:r>
        <w:rPr>
          <w:rFonts w:hint="eastAsia" w:ascii="仿宋" w:hAnsi="仿宋" w:eastAsia="仿宋" w:cs="仿宋"/>
          <w:bCs/>
          <w:color w:val="000000" w:themeColor="text1"/>
        </w:rPr>
        <w:t>合同未尽事宜，合同当事人另行签订补充协议，补充协议是合同的组成部分。</w:t>
      </w:r>
    </w:p>
    <w:p>
      <w:pPr>
        <w:pStyle w:val="6"/>
        <w:spacing w:before="0" w:after="0"/>
        <w:rPr>
          <w:rFonts w:ascii="仿宋" w:hAnsi="仿宋" w:eastAsia="仿宋" w:cs="仿宋"/>
          <w:b/>
          <w:bCs w:val="0"/>
          <w:color w:val="000000" w:themeColor="text1"/>
          <w:sz w:val="28"/>
        </w:rPr>
      </w:pPr>
      <w:bookmarkStart w:id="500" w:name="_Toc351203492"/>
      <w:r>
        <w:rPr>
          <w:rFonts w:hint="eastAsia" w:ascii="仿宋" w:hAnsi="仿宋" w:eastAsia="仿宋" w:cs="仿宋"/>
          <w:b/>
          <w:bCs w:val="0"/>
          <w:color w:val="000000" w:themeColor="text1"/>
          <w:sz w:val="28"/>
        </w:rPr>
        <w:t>十二、合同生效</w:t>
      </w:r>
      <w:bookmarkEnd w:id="500"/>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本合同自</w:t>
      </w:r>
      <w:r>
        <w:rPr>
          <w:rFonts w:hint="eastAsia" w:ascii="仿宋" w:hAnsi="仿宋" w:eastAsia="仿宋" w:cs="仿宋"/>
          <w:color w:val="000000" w:themeColor="text1"/>
        </w:rPr>
        <w:t>本合同经双方法定代表人签字并盖公章后</w:t>
      </w:r>
      <w:r>
        <w:rPr>
          <w:rFonts w:hint="eastAsia" w:ascii="仿宋" w:hAnsi="仿宋" w:eastAsia="仿宋" w:cs="仿宋"/>
          <w:bCs/>
          <w:color w:val="000000" w:themeColor="text1"/>
        </w:rPr>
        <w:t>生效。</w:t>
      </w:r>
    </w:p>
    <w:p>
      <w:pPr>
        <w:pStyle w:val="6"/>
        <w:spacing w:before="0" w:after="0"/>
        <w:rPr>
          <w:rFonts w:ascii="仿宋" w:hAnsi="仿宋" w:eastAsia="仿宋" w:cs="仿宋"/>
          <w:b/>
          <w:bCs w:val="0"/>
          <w:color w:val="000000" w:themeColor="text1"/>
          <w:sz w:val="28"/>
        </w:rPr>
      </w:pPr>
      <w:bookmarkStart w:id="501" w:name="_Toc351203493"/>
      <w:r>
        <w:rPr>
          <w:rFonts w:hint="eastAsia" w:ascii="仿宋" w:hAnsi="仿宋" w:eastAsia="仿宋" w:cs="仿宋"/>
          <w:b/>
          <w:bCs w:val="0"/>
          <w:color w:val="000000" w:themeColor="text1"/>
          <w:sz w:val="28"/>
        </w:rPr>
        <w:t>十三、合同份数</w:t>
      </w:r>
      <w:bookmarkEnd w:id="501"/>
    </w:p>
    <w:p>
      <w:pPr>
        <w:spacing w:before="0" w:beforeAutospacing="0" w:after="0" w:afterAutospacing="0"/>
        <w:ind w:firstLine="480" w:firstLineChars="200"/>
        <w:rPr>
          <w:rFonts w:ascii="仿宋" w:hAnsi="仿宋" w:eastAsia="仿宋" w:cs="仿宋"/>
          <w:bCs/>
          <w:color w:val="000000" w:themeColor="text1"/>
        </w:rPr>
      </w:pPr>
      <w:r>
        <w:rPr>
          <w:rFonts w:hint="eastAsia" w:ascii="仿宋" w:hAnsi="仿宋" w:eastAsia="仿宋" w:cs="仿宋"/>
          <w:bCs/>
          <w:color w:val="000000" w:themeColor="text1"/>
        </w:rPr>
        <w:t>本合同一式</w:t>
      </w:r>
      <w:r>
        <w:rPr>
          <w:rFonts w:hint="eastAsia" w:ascii="仿宋" w:hAnsi="仿宋" w:eastAsia="仿宋" w:cs="仿宋"/>
          <w:bCs/>
          <w:color w:val="000000" w:themeColor="text1"/>
          <w:u w:val="single"/>
        </w:rPr>
        <w:t xml:space="preserve"> 伍 </w:t>
      </w:r>
      <w:r>
        <w:rPr>
          <w:rFonts w:hint="eastAsia" w:ascii="仿宋" w:hAnsi="仿宋" w:eastAsia="仿宋" w:cs="仿宋"/>
          <w:bCs/>
          <w:color w:val="000000" w:themeColor="text1"/>
        </w:rPr>
        <w:t>份，均具有同等法律效力，发包人执</w:t>
      </w:r>
      <w:r>
        <w:rPr>
          <w:rFonts w:hint="eastAsia" w:ascii="仿宋" w:hAnsi="仿宋" w:eastAsia="仿宋" w:cs="仿宋"/>
          <w:bCs/>
          <w:color w:val="000000" w:themeColor="text1"/>
          <w:u w:val="single"/>
        </w:rPr>
        <w:t xml:space="preserve"> 叁 </w:t>
      </w:r>
      <w:r>
        <w:rPr>
          <w:rFonts w:hint="eastAsia" w:ascii="仿宋" w:hAnsi="仿宋" w:eastAsia="仿宋" w:cs="仿宋"/>
          <w:bCs/>
          <w:color w:val="000000" w:themeColor="text1"/>
        </w:rPr>
        <w:t>份，承包人执</w:t>
      </w:r>
      <w:r>
        <w:rPr>
          <w:rFonts w:hint="eastAsia" w:ascii="仿宋" w:hAnsi="仿宋" w:eastAsia="仿宋" w:cs="仿宋"/>
          <w:bCs/>
          <w:color w:val="000000" w:themeColor="text1"/>
          <w:u w:val="single"/>
        </w:rPr>
        <w:t xml:space="preserve"> 贰 </w:t>
      </w:r>
      <w:r>
        <w:rPr>
          <w:rFonts w:hint="eastAsia" w:ascii="仿宋" w:hAnsi="仿宋" w:eastAsia="仿宋" w:cs="仿宋"/>
          <w:bCs/>
          <w:color w:val="000000" w:themeColor="text1"/>
        </w:rPr>
        <w:t>份。</w:t>
      </w:r>
    </w:p>
    <w:p>
      <w:pPr>
        <w:spacing w:before="0" w:beforeAutospacing="0" w:after="0" w:afterAutospacing="0"/>
        <w:rPr>
          <w:rFonts w:ascii="仿宋" w:hAnsi="仿宋" w:eastAsia="仿宋" w:cs="仿宋"/>
          <w:color w:val="000000" w:themeColor="text1"/>
        </w:rPr>
      </w:pPr>
    </w:p>
    <w:p>
      <w:pPr>
        <w:spacing w:before="0" w:beforeAutospacing="0" w:after="0" w:afterAutospacing="0"/>
        <w:rPr>
          <w:rFonts w:ascii="仿宋" w:hAnsi="仿宋" w:eastAsia="仿宋" w:cs="仿宋"/>
          <w:color w:val="000000" w:themeColor="text1"/>
        </w:rPr>
      </w:pPr>
    </w:p>
    <w:p>
      <w:pPr>
        <w:spacing w:before="0" w:beforeAutospacing="0" w:after="0" w:afterAutospacing="0"/>
        <w:rPr>
          <w:rFonts w:ascii="仿宋" w:hAnsi="仿宋" w:eastAsia="仿宋" w:cs="仿宋"/>
          <w:color w:val="000000" w:themeColor="text1"/>
        </w:rPr>
      </w:pPr>
    </w:p>
    <w:p>
      <w:pPr>
        <w:spacing w:before="0" w:beforeAutospacing="0" w:after="0" w:afterAutospacing="0"/>
        <w:rPr>
          <w:rFonts w:ascii="仿宋" w:hAnsi="仿宋" w:eastAsia="仿宋" w:cs="仿宋"/>
          <w:color w:val="000000" w:themeColor="text1"/>
        </w:rPr>
      </w:pP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发包人：                     (公章)     承包人：                   (公章)</w:t>
      </w:r>
    </w:p>
    <w:p>
      <w:pPr>
        <w:spacing w:before="0" w:beforeAutospacing="0" w:after="0" w:afterAutospacing="0"/>
        <w:rPr>
          <w:rFonts w:ascii="仿宋" w:hAnsi="仿宋" w:eastAsia="仿宋" w:cs="仿宋"/>
          <w:color w:val="000000" w:themeColor="text1"/>
          <w:u w:val="single"/>
        </w:rPr>
      </w:pP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法定代表人或其委托代理人：              法定代表人或其委托代理人：</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（签字）                               （签字）</w:t>
      </w:r>
    </w:p>
    <w:p>
      <w:pPr>
        <w:spacing w:before="0" w:beforeAutospacing="0" w:after="0" w:afterAutospacing="0"/>
        <w:rPr>
          <w:rFonts w:ascii="仿宋" w:hAnsi="仿宋" w:eastAsia="仿宋" w:cs="仿宋"/>
          <w:color w:val="000000" w:themeColor="text1"/>
          <w:u w:val="single"/>
        </w:rPr>
      </w:pPr>
    </w:p>
    <w:p>
      <w:pPr>
        <w:tabs>
          <w:tab w:val="left" w:pos="4410"/>
        </w:tabs>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组织机构代码：</w:t>
      </w:r>
      <w:r>
        <w:rPr>
          <w:rFonts w:hint="eastAsia" w:ascii="仿宋" w:hAnsi="仿宋" w:eastAsia="仿宋" w:cs="仿宋"/>
          <w:color w:val="000000" w:themeColor="text1"/>
          <w:u w:val="single"/>
        </w:rPr>
        <w:t xml:space="preserve">       </w:t>
      </w:r>
      <w:r>
        <w:rPr>
          <w:rFonts w:hint="eastAsia" w:ascii="仿宋" w:hAnsi="仿宋" w:eastAsia="仿宋" w:cs="仿宋"/>
          <w:color w:val="000000" w:themeColor="text1"/>
        </w:rPr>
        <w:t xml:space="preserve">             组织机构代码：</w:t>
      </w:r>
      <w:r>
        <w:rPr>
          <w:rFonts w:hint="eastAsia" w:ascii="仿宋" w:hAnsi="仿宋" w:eastAsia="仿宋" w:cs="仿宋"/>
          <w:color w:val="000000" w:themeColor="text1"/>
          <w:u w:val="single"/>
        </w:rPr>
        <w:t xml:space="preserve">  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地  址：                                地  址：</w:t>
      </w:r>
      <w:r>
        <w:rPr>
          <w:rFonts w:hint="eastAsia" w:ascii="仿宋" w:hAnsi="仿宋" w:eastAsia="仿宋" w:cs="仿宋"/>
          <w:color w:val="000000" w:themeColor="text1"/>
          <w:u w:val="single"/>
        </w:rPr>
        <w:t xml:space="preserve">  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邮政编码：5xxxxx                       邮政编码：</w:t>
      </w:r>
      <w:r>
        <w:rPr>
          <w:rFonts w:hint="eastAsia" w:ascii="仿宋" w:hAnsi="仿宋" w:eastAsia="仿宋" w:cs="仿宋"/>
          <w:color w:val="000000" w:themeColor="text1"/>
          <w:u w:val="single"/>
        </w:rPr>
        <w:t xml:space="preserve">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法定代表人：</w:t>
      </w:r>
      <w:r>
        <w:rPr>
          <w:rFonts w:hint="eastAsia" w:ascii="仿宋" w:hAnsi="仿宋" w:eastAsia="仿宋" w:cs="仿宋"/>
          <w:color w:val="000000" w:themeColor="text1"/>
          <w:u w:val="single"/>
        </w:rPr>
        <w:t xml:space="preserve">           </w:t>
      </w:r>
      <w:r>
        <w:rPr>
          <w:rFonts w:hint="eastAsia" w:ascii="仿宋" w:hAnsi="仿宋" w:eastAsia="仿宋" w:cs="仿宋"/>
          <w:color w:val="000000" w:themeColor="text1"/>
        </w:rPr>
        <w:t xml:space="preserve">             法定代表人：</w:t>
      </w:r>
      <w:r>
        <w:rPr>
          <w:rFonts w:hint="eastAsia" w:ascii="仿宋" w:hAnsi="仿宋" w:eastAsia="仿宋" w:cs="仿宋"/>
          <w:color w:val="000000" w:themeColor="text1"/>
          <w:u w:val="single"/>
        </w:rPr>
        <w:t xml:space="preserve">      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委托代理人：</w:t>
      </w:r>
      <w:r>
        <w:rPr>
          <w:rFonts w:hint="eastAsia" w:ascii="仿宋" w:hAnsi="仿宋" w:eastAsia="仿宋" w:cs="仿宋"/>
          <w:color w:val="000000" w:themeColor="text1"/>
          <w:u w:val="single"/>
        </w:rPr>
        <w:t xml:space="preserve">           </w:t>
      </w:r>
      <w:r>
        <w:rPr>
          <w:rFonts w:hint="eastAsia" w:ascii="仿宋" w:hAnsi="仿宋" w:eastAsia="仿宋" w:cs="仿宋"/>
          <w:color w:val="000000" w:themeColor="text1"/>
        </w:rPr>
        <w:t xml:space="preserve">             委托代理人：</w:t>
      </w:r>
      <w:r>
        <w:rPr>
          <w:rFonts w:hint="eastAsia" w:ascii="仿宋" w:hAnsi="仿宋" w:eastAsia="仿宋" w:cs="仿宋"/>
          <w:color w:val="000000" w:themeColor="text1"/>
          <w:u w:val="single"/>
        </w:rPr>
        <w:t xml:space="preserve">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电  话：0898-xxxxxxx                    电  话：</w:t>
      </w:r>
      <w:r>
        <w:rPr>
          <w:rFonts w:hint="eastAsia" w:ascii="仿宋" w:hAnsi="仿宋" w:eastAsia="仿宋" w:cs="仿宋"/>
          <w:color w:val="000000" w:themeColor="text1"/>
          <w:u w:val="single"/>
        </w:rPr>
        <w:t xml:space="preserve">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传  真：</w:t>
      </w:r>
      <w:r>
        <w:rPr>
          <w:rFonts w:hint="eastAsia" w:ascii="仿宋" w:hAnsi="仿宋" w:eastAsia="仿宋" w:cs="仿宋"/>
          <w:color w:val="000000" w:themeColor="text1"/>
          <w:u w:val="single"/>
        </w:rPr>
        <w:t xml:space="preserve">   </w:t>
      </w:r>
      <w:r>
        <w:rPr>
          <w:rFonts w:hint="eastAsia" w:ascii="仿宋" w:hAnsi="仿宋" w:eastAsia="仿宋" w:cs="仿宋"/>
          <w:color w:val="000000" w:themeColor="text1"/>
        </w:rPr>
        <w:t xml:space="preserve">             传  真：</w:t>
      </w:r>
      <w:r>
        <w:rPr>
          <w:rFonts w:hint="eastAsia" w:ascii="仿宋" w:hAnsi="仿宋" w:eastAsia="仿宋" w:cs="仿宋"/>
          <w:color w:val="000000" w:themeColor="text1"/>
          <w:u w:val="single"/>
        </w:rPr>
        <w:t xml:space="preserve">  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电子信箱：             电子信箱：</w:t>
      </w:r>
      <w:r>
        <w:rPr>
          <w:rFonts w:hint="eastAsia" w:ascii="仿宋" w:hAnsi="仿宋" w:eastAsia="仿宋" w:cs="仿宋"/>
          <w:color w:val="000000" w:themeColor="text1"/>
          <w:u w:val="single"/>
        </w:rPr>
        <w:t xml:space="preserve">   </w:t>
      </w:r>
    </w:p>
    <w:p>
      <w:pPr>
        <w:spacing w:before="0" w:beforeAutospacing="0" w:after="0" w:afterAutospacing="0"/>
        <w:rPr>
          <w:rFonts w:ascii="仿宋" w:hAnsi="仿宋" w:eastAsia="仿宋" w:cs="仿宋"/>
          <w:color w:val="000000" w:themeColor="text1"/>
        </w:rPr>
      </w:pPr>
      <w:r>
        <w:rPr>
          <w:rFonts w:hint="eastAsia" w:ascii="仿宋" w:hAnsi="仿宋" w:eastAsia="仿宋" w:cs="仿宋"/>
          <w:color w:val="000000" w:themeColor="text1"/>
        </w:rPr>
        <w:t>开户银行：</w:t>
      </w:r>
      <w:r>
        <w:rPr>
          <w:rFonts w:hint="eastAsia" w:ascii="仿宋" w:hAnsi="仿宋" w:eastAsia="仿宋" w:cs="仿宋"/>
          <w:color w:val="000000" w:themeColor="text1"/>
          <w:u w:val="single"/>
        </w:rPr>
        <w:t xml:space="preserve">   </w:t>
      </w:r>
      <w:r>
        <w:rPr>
          <w:rFonts w:hint="eastAsia" w:ascii="仿宋" w:hAnsi="仿宋" w:eastAsia="仿宋" w:cs="仿宋"/>
          <w:color w:val="000000" w:themeColor="text1"/>
        </w:rPr>
        <w:t xml:space="preserve">             开户银行：</w:t>
      </w:r>
      <w:r>
        <w:rPr>
          <w:rFonts w:hint="eastAsia" w:ascii="仿宋" w:hAnsi="仿宋" w:eastAsia="仿宋" w:cs="仿宋"/>
          <w:color w:val="000000" w:themeColor="text1"/>
          <w:u w:val="single"/>
        </w:rPr>
        <w:t xml:space="preserve">   </w:t>
      </w:r>
    </w:p>
    <w:p>
      <w:pPr>
        <w:spacing w:before="0" w:beforeAutospacing="0" w:after="0" w:afterAutospacing="0" w:line="240" w:lineRule="auto"/>
        <w:rPr>
          <w:color w:val="000000" w:themeColor="text1"/>
        </w:rPr>
      </w:pPr>
      <w:r>
        <w:rPr>
          <w:rFonts w:hint="eastAsia" w:ascii="仿宋" w:hAnsi="仿宋" w:eastAsia="仿宋" w:cs="仿宋"/>
          <w:color w:val="000000" w:themeColor="text1"/>
        </w:rPr>
        <w:t>账  号：</w:t>
      </w:r>
      <w:r>
        <w:rPr>
          <w:rFonts w:hint="eastAsia" w:ascii="仿宋" w:hAnsi="仿宋" w:eastAsia="仿宋" w:cs="仿宋"/>
          <w:color w:val="000000" w:themeColor="text1"/>
          <w:u w:val="single"/>
        </w:rPr>
        <w:t xml:space="preserve">       </w:t>
      </w:r>
      <w:r>
        <w:rPr>
          <w:rFonts w:hint="eastAsia" w:ascii="仿宋" w:hAnsi="仿宋" w:eastAsia="仿宋" w:cs="仿宋"/>
          <w:color w:val="000000" w:themeColor="text1"/>
        </w:rPr>
        <w:t xml:space="preserve">             账  号：</w:t>
      </w:r>
      <w:r>
        <w:rPr>
          <w:rFonts w:hint="eastAsia" w:ascii="仿宋" w:hAnsi="仿宋" w:eastAsia="仿宋" w:cs="仿宋"/>
          <w:color w:val="000000" w:themeColor="text1"/>
          <w:u w:val="single"/>
        </w:rPr>
        <w:t xml:space="preserve">  </w:t>
      </w:r>
    </w:p>
    <w:p>
      <w:pPr>
        <w:spacing w:line="240" w:lineRule="auto"/>
        <w:rPr>
          <w:color w:val="000000" w:themeColor="text1"/>
        </w:rPr>
      </w:pPr>
    </w:p>
    <w:p>
      <w:pPr>
        <w:spacing w:line="240" w:lineRule="auto"/>
        <w:rPr>
          <w:color w:val="000000" w:themeColor="text1"/>
        </w:rPr>
      </w:pPr>
      <w:r>
        <w:rPr>
          <w:rFonts w:hint="eastAsia"/>
          <w:color w:val="000000" w:themeColor="text1"/>
        </w:rPr>
        <w:br w:type="page"/>
      </w:r>
    </w:p>
    <w:p>
      <w:pPr>
        <w:spacing w:line="240" w:lineRule="auto"/>
        <w:rPr>
          <w:color w:val="000000" w:themeColor="text1"/>
        </w:rPr>
      </w:pPr>
      <w:r>
        <w:rPr>
          <w:rFonts w:hint="eastAsia"/>
          <w:color w:val="000000" w:themeColor="text1"/>
        </w:rPr>
        <w:t>附件一</w:t>
      </w:r>
    </w:p>
    <w:p>
      <w:pPr>
        <w:jc w:val="center"/>
        <w:outlineLvl w:val="2"/>
        <w:rPr>
          <w:rFonts w:ascii="仿宋_GB2312" w:hAnsi="仿宋_GB2312" w:eastAsia="仿宋_GB2312" w:cs="宋体"/>
          <w:color w:val="000000" w:themeColor="text1"/>
        </w:rPr>
      </w:pPr>
      <w:bookmarkStart w:id="502" w:name="_Toc26796"/>
      <w:r>
        <w:rPr>
          <w:rFonts w:hint="eastAsia" w:ascii="仿宋_GB2312" w:hAnsi="仿宋_GB2312" w:eastAsia="仿宋_GB2312" w:cs="宋体"/>
          <w:color w:val="000000" w:themeColor="text1"/>
        </w:rPr>
        <w:t>履约保证金保函（格式）</w:t>
      </w:r>
      <w:bookmarkEnd w:id="488"/>
      <w:bookmarkEnd w:id="502"/>
    </w:p>
    <w:p>
      <w:pPr>
        <w:spacing w:before="0" w:beforeAutospacing="0" w:after="0" w:afterAutospacing="0"/>
        <w:rPr>
          <w:rFonts w:ascii="仿宋_GB2312" w:hAnsi="仿宋_GB2312" w:eastAsia="仿宋_GB2312" w:cs="宋体"/>
          <w:b/>
          <w:color w:val="000000" w:themeColor="text1"/>
        </w:rPr>
      </w:pPr>
      <w:r>
        <w:rPr>
          <w:rFonts w:hint="eastAsia" w:ascii="仿宋_GB2312" w:hAnsi="仿宋_GB2312" w:eastAsia="仿宋_GB2312" w:cs="宋体"/>
          <w:color w:val="000000" w:themeColor="text1"/>
        </w:rPr>
        <w:t>编号：</w:t>
      </w:r>
    </w:p>
    <w:p>
      <w:pPr>
        <w:spacing w:before="0" w:beforeAutospacing="0" w:after="0" w:afterAutospacing="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 xml:space="preserve">（采购人）： </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鉴于你方与（以下简称供应商）于</w:t>
      </w:r>
      <w:r>
        <w:rPr>
          <w:rFonts w:hint="eastAsia" w:ascii="仿宋_GB2312" w:hAnsi="仿宋_GB2312" w:eastAsia="仿宋_GB2312" w:cs="宋体"/>
          <w:color w:val="000000" w:themeColor="text1"/>
          <w:szCs w:val="28"/>
          <w:u w:val="single"/>
        </w:rPr>
        <w:t xml:space="preserve">        年      月     日</w:t>
      </w:r>
      <w:r>
        <w:rPr>
          <w:rFonts w:hint="eastAsia" w:ascii="仿宋_GB2312" w:hAnsi="仿宋_GB2312" w:eastAsia="仿宋_GB2312" w:cs="宋体"/>
          <w:color w:val="000000" w:themeColor="text1"/>
          <w:szCs w:val="28"/>
        </w:rPr>
        <w:t>签定编号为的《</w:t>
      </w:r>
      <w:r>
        <w:rPr>
          <w:rFonts w:hint="eastAsia" w:ascii="仿宋_GB2312" w:hAnsi="仿宋_GB2312" w:eastAsia="仿宋_GB2312" w:cs="宋体"/>
          <w:color w:val="000000" w:themeColor="text1"/>
          <w:szCs w:val="28"/>
          <w:u w:val="single"/>
        </w:rPr>
        <w:t xml:space="preserve">              政府采购</w:t>
      </w:r>
      <w:r>
        <w:rPr>
          <w:rFonts w:hint="eastAsia" w:ascii="仿宋_GB2312" w:hAnsi="仿宋_GB2312" w:eastAsia="仿宋_GB2312" w:cs="宋体"/>
          <w:color w:val="000000" w:themeColor="text1"/>
          <w:szCs w:val="28"/>
        </w:rPr>
        <w:t>合同》（以下简称主合同），且依据该合同的约定，供应商应在</w:t>
      </w:r>
      <w:r>
        <w:rPr>
          <w:rFonts w:hint="eastAsia" w:ascii="仿宋_GB2312" w:hAnsi="仿宋_GB2312" w:eastAsia="仿宋_GB2312" w:cs="宋体"/>
          <w:color w:val="000000" w:themeColor="text1"/>
          <w:szCs w:val="28"/>
          <w:u w:val="single"/>
        </w:rPr>
        <w:t xml:space="preserve">   年   月  日</w:t>
      </w:r>
      <w:r>
        <w:rPr>
          <w:rFonts w:hint="eastAsia" w:ascii="仿宋_GB2312" w:hAnsi="仿宋_GB2312" w:eastAsia="仿宋_GB2312" w:cs="宋体"/>
          <w:color w:val="000000" w:themeColor="text1"/>
          <w:szCs w:val="28"/>
        </w:rPr>
        <w:t>前向你方交纳履约保证金，且可以履约保证金函的形式交纳履约保证金。应供应商的申请，我方以保证的方式向你方提供如下履约保证金担保：</w:t>
      </w:r>
    </w:p>
    <w:p>
      <w:pPr>
        <w:spacing w:before="0" w:beforeAutospacing="0" w:after="0" w:afterAutospacing="0"/>
        <w:ind w:firstLine="482" w:firstLineChars="200"/>
        <w:rPr>
          <w:rFonts w:ascii="仿宋_GB2312" w:hAnsi="仿宋_GB2312" w:eastAsia="仿宋_GB2312" w:cs="宋体"/>
          <w:b/>
          <w:color w:val="000000" w:themeColor="text1"/>
          <w:szCs w:val="28"/>
        </w:rPr>
      </w:pPr>
      <w:r>
        <w:rPr>
          <w:rFonts w:hint="eastAsia" w:ascii="仿宋_GB2312" w:hAnsi="仿宋_GB2312" w:eastAsia="仿宋_GB2312" w:cs="宋体"/>
          <w:b/>
          <w:color w:val="000000" w:themeColor="text1"/>
          <w:szCs w:val="28"/>
        </w:rPr>
        <w:t>一、保证责任的情形及保证金额</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（一）在供应商出现下列情形之一时，我方承担保证责任：</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1．将成交项目转让给他人，或者在响应文件中未说明，且未经采购人同意，将成交项目分包给他人的；</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 xml:space="preserve">2．主合同约定的应当缴纳履约保证金的情形: </w:t>
      </w:r>
    </w:p>
    <w:p>
      <w:pPr>
        <w:spacing w:before="0" w:beforeAutospacing="0" w:after="0" w:afterAutospacing="0"/>
        <w:ind w:firstLine="480" w:firstLineChars="200"/>
        <w:rPr>
          <w:rFonts w:ascii="仿宋_GB2312" w:hAnsi="仿宋_GB2312" w:eastAsia="仿宋_GB2312" w:cs="宋体"/>
          <w:b/>
          <w:color w:val="000000" w:themeColor="text1"/>
          <w:szCs w:val="28"/>
        </w:rPr>
      </w:pPr>
      <w:r>
        <w:rPr>
          <w:rFonts w:hint="eastAsia" w:ascii="仿宋_GB2312" w:hAnsi="仿宋_GB2312" w:eastAsia="仿宋_GB2312" w:cs="宋体"/>
          <w:color w:val="000000" w:themeColor="text1"/>
          <w:szCs w:val="28"/>
        </w:rPr>
        <w:t xml:space="preserve">（1）未按主合同约定的质量、数量和期限完成工程的； </w:t>
      </w:r>
    </w:p>
    <w:p>
      <w:pPr>
        <w:spacing w:before="0" w:beforeAutospacing="0" w:after="0" w:afterAutospacing="0"/>
        <w:ind w:firstLine="480" w:firstLineChars="200"/>
        <w:rPr>
          <w:rFonts w:ascii="仿宋_GB2312" w:hAnsi="仿宋_GB2312" w:eastAsia="仿宋_GB2312" w:cs="宋体"/>
          <w:color w:val="000000" w:themeColor="text1"/>
          <w:szCs w:val="28"/>
          <w:u w:val="single"/>
        </w:rPr>
      </w:pPr>
      <w:r>
        <w:rPr>
          <w:rFonts w:hint="eastAsia" w:ascii="仿宋_GB2312" w:hAnsi="仿宋_GB2312" w:eastAsia="仿宋_GB2312" w:cs="宋体"/>
          <w:color w:val="000000" w:themeColor="text1"/>
          <w:szCs w:val="28"/>
        </w:rPr>
        <w:t>（2）。</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（二）我方的保证范围是主合同约定的合同价款总额的%数额为元（大写），币种为。（即主合同履约保证金金额）</w:t>
      </w:r>
    </w:p>
    <w:p>
      <w:pPr>
        <w:spacing w:before="0" w:beforeAutospacing="0" w:after="0" w:afterAutospacing="0"/>
        <w:ind w:firstLine="482" w:firstLineChars="200"/>
        <w:rPr>
          <w:rFonts w:ascii="仿宋_GB2312" w:hAnsi="仿宋_GB2312" w:eastAsia="仿宋_GB2312" w:cs="宋体"/>
          <w:b/>
          <w:color w:val="000000" w:themeColor="text1"/>
          <w:szCs w:val="28"/>
        </w:rPr>
      </w:pPr>
      <w:r>
        <w:rPr>
          <w:rFonts w:hint="eastAsia" w:ascii="仿宋_GB2312" w:hAnsi="仿宋_GB2312" w:eastAsia="仿宋_GB2312" w:cs="宋体"/>
          <w:b/>
          <w:color w:val="000000" w:themeColor="text1"/>
          <w:szCs w:val="28"/>
        </w:rPr>
        <w:t xml:space="preserve">二、保证的方式及保证期间 </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 xml:space="preserve">我方保证的方式为：连带责任保证。 </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我方保证的期间为：自本合同生效之日起至供应商按照主合同约定的供货/完工期限届满后日内。</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 xml:space="preserve">如果供应商未按主合同约定向贵方完成工程的，由我方在保证金额内向你方支付上述款项。 </w:t>
      </w:r>
    </w:p>
    <w:p>
      <w:pPr>
        <w:spacing w:before="0" w:beforeAutospacing="0" w:after="0" w:afterAutospacing="0"/>
        <w:ind w:firstLine="482" w:firstLineChars="200"/>
        <w:rPr>
          <w:rFonts w:ascii="仿宋_GB2312" w:hAnsi="仿宋_GB2312" w:eastAsia="仿宋_GB2312" w:cs="宋体"/>
          <w:b/>
          <w:color w:val="000000" w:themeColor="text1"/>
          <w:szCs w:val="28"/>
        </w:rPr>
      </w:pPr>
      <w:r>
        <w:rPr>
          <w:rFonts w:hint="eastAsia" w:ascii="仿宋_GB2312" w:hAnsi="仿宋_GB2312" w:eastAsia="仿宋_GB2312" w:cs="宋体"/>
          <w:b/>
          <w:color w:val="000000" w:themeColor="text1"/>
          <w:szCs w:val="28"/>
        </w:rPr>
        <w:t>三、承担保证责任的程序</w:t>
      </w:r>
    </w:p>
    <w:p>
      <w:pPr>
        <w:spacing w:before="0" w:beforeAutospacing="0" w:after="0" w:afterAutospacing="0"/>
        <w:ind w:firstLine="480" w:firstLineChars="200"/>
        <w:rPr>
          <w:rFonts w:ascii="仿宋_GB2312" w:hAnsi="仿宋_GB2312" w:eastAsia="仿宋_GB2312" w:cs="宋体"/>
          <w:b/>
          <w:color w:val="000000" w:themeColor="text1"/>
          <w:szCs w:val="28"/>
        </w:rPr>
      </w:pPr>
      <w:r>
        <w:rPr>
          <w:rFonts w:hint="eastAsia" w:ascii="仿宋_GB2312" w:hAnsi="仿宋_GB2312" w:eastAsia="仿宋_GB2312" w:cs="宋体"/>
          <w:color w:val="000000" w:themeColor="text1"/>
          <w:szCs w:val="28"/>
        </w:rPr>
        <w:t xml:space="preserve">1．你方要求我方承担保证责任的，应在本保函保证期间内向我方发出书面索赔通知。索赔通知应写明要求索赔的金额，支付款项应到达的帐号。并附有证明供应商违约事实的证明材料。 </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2．我方收到你方的书面索赔通知及相应证明材料，在工作日内进行核定后按照本保函的承诺承担保证责任。</w:t>
      </w:r>
    </w:p>
    <w:p>
      <w:pPr>
        <w:spacing w:before="0" w:beforeAutospacing="0" w:after="0" w:afterAutospacing="0"/>
        <w:ind w:firstLine="482" w:firstLineChars="200"/>
        <w:rPr>
          <w:rFonts w:ascii="仿宋_GB2312" w:hAnsi="仿宋_GB2312" w:eastAsia="仿宋_GB2312" w:cs="宋体"/>
          <w:b/>
          <w:color w:val="000000" w:themeColor="text1"/>
          <w:szCs w:val="28"/>
        </w:rPr>
      </w:pPr>
      <w:r>
        <w:rPr>
          <w:rFonts w:hint="eastAsia" w:ascii="仿宋_GB2312" w:hAnsi="仿宋_GB2312" w:eastAsia="仿宋_GB2312" w:cs="宋体"/>
          <w:b/>
          <w:color w:val="000000" w:themeColor="text1"/>
          <w:szCs w:val="28"/>
        </w:rPr>
        <w:t>四、保证责任的终止</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1．保证期间届满你方未向我方书面主张保证责任的，自保证期间届满次日起，我方保证责任自动终止。保证期间届满前，主合同约定的工程全部验收合格的，自验收合格日起，我方保证责任自动终止。</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2．我方按照本保函向你方履行了保证责任后，自我方向你方支付款项（支付款项从我方账户划出）之日起，保证责任即终止。</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3．按照法律法规的规定或出现应终止我方保证责任的其它情形的，我方在本保函项下的保证责任亦终止。</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before="0" w:beforeAutospacing="0" w:after="0" w:afterAutospacing="0"/>
        <w:ind w:firstLine="482" w:firstLineChars="200"/>
        <w:rPr>
          <w:rFonts w:ascii="仿宋_GB2312" w:hAnsi="仿宋_GB2312" w:eastAsia="仿宋_GB2312" w:cs="宋体"/>
          <w:b/>
          <w:color w:val="000000" w:themeColor="text1"/>
          <w:szCs w:val="28"/>
        </w:rPr>
      </w:pPr>
      <w:r>
        <w:rPr>
          <w:rFonts w:hint="eastAsia" w:ascii="仿宋_GB2312" w:hAnsi="仿宋_GB2312" w:eastAsia="仿宋_GB2312" w:cs="宋体"/>
          <w:b/>
          <w:color w:val="000000" w:themeColor="text1"/>
          <w:szCs w:val="28"/>
        </w:rPr>
        <w:t>五、免责条款</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1．因你方违反主合同约定致使供应商不能履行义务的，我方不承担保证责任。</w:t>
      </w:r>
    </w:p>
    <w:p>
      <w:pPr>
        <w:spacing w:before="0" w:beforeAutospacing="0" w:after="0" w:afterAutospacing="0"/>
        <w:ind w:firstLine="480" w:firstLineChars="200"/>
        <w:rPr>
          <w:rFonts w:ascii="仿宋_GB2312" w:hAnsi="仿宋_GB2312" w:eastAsia="仿宋_GB2312" w:cs="宋体"/>
          <w:b/>
          <w:color w:val="000000" w:themeColor="text1"/>
          <w:szCs w:val="28"/>
        </w:rPr>
      </w:pPr>
      <w:r>
        <w:rPr>
          <w:rFonts w:hint="eastAsia" w:ascii="仿宋_GB2312" w:hAnsi="仿宋_GB2312" w:eastAsia="仿宋_GB2312" w:cs="宋体"/>
          <w:color w:val="000000" w:themeColor="text1"/>
          <w:szCs w:val="28"/>
        </w:rPr>
        <w:t>2．依照法律法规的规定或你方与供应商的另行约定，全部或者部分免除供应商应缴纳的保证金义务的，我方亦免除相应的保证责任。</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3．因不可抗力造成供应商不能履行供货义务的，我方不承担保证责任。</w:t>
      </w:r>
    </w:p>
    <w:p>
      <w:pPr>
        <w:spacing w:before="0" w:beforeAutospacing="0" w:after="0" w:afterAutospacing="0"/>
        <w:ind w:firstLine="482" w:firstLineChars="200"/>
        <w:rPr>
          <w:rFonts w:ascii="仿宋_GB2312" w:hAnsi="仿宋_GB2312" w:eastAsia="仿宋_GB2312" w:cs="宋体"/>
          <w:b/>
          <w:color w:val="000000" w:themeColor="text1"/>
          <w:szCs w:val="28"/>
        </w:rPr>
      </w:pPr>
      <w:r>
        <w:rPr>
          <w:rFonts w:hint="eastAsia" w:ascii="仿宋_GB2312" w:hAnsi="仿宋_GB2312" w:eastAsia="仿宋_GB2312" w:cs="宋体"/>
          <w:b/>
          <w:color w:val="000000" w:themeColor="text1"/>
          <w:szCs w:val="28"/>
        </w:rPr>
        <w:t>六、争议的解决</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因本保函发生的纠纷，由你我双方协商解决，协商不成的，通过诉讼程序解决，诉讼管辖地法院为法院。</w:t>
      </w:r>
    </w:p>
    <w:p>
      <w:pPr>
        <w:spacing w:before="0" w:beforeAutospacing="0" w:after="0" w:afterAutospacing="0"/>
        <w:ind w:firstLine="482" w:firstLineChars="200"/>
        <w:rPr>
          <w:rFonts w:ascii="仿宋_GB2312" w:hAnsi="仿宋_GB2312" w:eastAsia="仿宋_GB2312" w:cs="宋体"/>
          <w:b/>
          <w:color w:val="000000" w:themeColor="text1"/>
          <w:szCs w:val="28"/>
        </w:rPr>
      </w:pPr>
      <w:r>
        <w:rPr>
          <w:rFonts w:hint="eastAsia" w:ascii="仿宋_GB2312" w:hAnsi="仿宋_GB2312" w:eastAsia="仿宋_GB2312" w:cs="宋体"/>
          <w:b/>
          <w:color w:val="000000" w:themeColor="text1"/>
          <w:szCs w:val="28"/>
        </w:rPr>
        <w:t xml:space="preserve">七、保函的生效 </w:t>
      </w:r>
    </w:p>
    <w:p>
      <w:pPr>
        <w:spacing w:before="0" w:beforeAutospacing="0" w:after="0" w:afterAutospacing="0"/>
        <w:ind w:firstLine="480" w:firstLineChars="200"/>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 xml:space="preserve">本保函自我方加盖公章之日起生效。 </w:t>
      </w:r>
    </w:p>
    <w:p>
      <w:pPr>
        <w:spacing w:before="0" w:beforeAutospacing="0" w:after="0" w:afterAutospacing="0"/>
        <w:rPr>
          <w:rFonts w:ascii="仿宋_GB2312" w:hAnsi="仿宋_GB2312" w:eastAsia="仿宋_GB2312" w:cs="宋体"/>
          <w:color w:val="000000" w:themeColor="text1"/>
          <w:szCs w:val="28"/>
        </w:rPr>
      </w:pPr>
    </w:p>
    <w:p>
      <w:pPr>
        <w:spacing w:before="0" w:beforeAutospacing="0" w:after="0" w:afterAutospacing="0"/>
        <w:jc w:val="right"/>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 xml:space="preserve">保证人：（公章）                     </w:t>
      </w:r>
    </w:p>
    <w:p>
      <w:pPr>
        <w:spacing w:before="0" w:beforeAutospacing="0" w:after="0" w:afterAutospacing="0"/>
        <w:jc w:val="right"/>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 xml:space="preserve">                                    年   月   日</w:t>
      </w:r>
    </w:p>
    <w:p>
      <w:pPr>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br w:type="page"/>
      </w:r>
    </w:p>
    <w:p>
      <w:pPr>
        <w:jc w:val="both"/>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附件二</w:t>
      </w:r>
    </w:p>
    <w:p>
      <w:pPr>
        <w:jc w:val="both"/>
        <w:rPr>
          <w:rFonts w:ascii="仿宋_GB2312" w:hAnsi="仿宋_GB2312" w:eastAsia="仿宋_GB2312" w:cs="宋体"/>
          <w:color w:val="000000" w:themeColor="text1"/>
          <w:szCs w:val="28"/>
        </w:rPr>
      </w:pPr>
    </w:p>
    <w:p>
      <w:pPr>
        <w:jc w:val="center"/>
        <w:rPr>
          <w:color w:val="000000" w:themeColor="text1"/>
        </w:rPr>
      </w:pPr>
      <w:r>
        <w:rPr>
          <w:rFonts w:hint="eastAsia" w:ascii="Arial" w:hAnsi="Arial" w:eastAsia="黑体"/>
          <w:bCs/>
          <w:snapToGrid w:val="0"/>
          <w:color w:val="000000" w:themeColor="text1"/>
          <w:kern w:val="21"/>
          <w:sz w:val="30"/>
          <w:szCs w:val="30"/>
        </w:rPr>
        <w:t>项目管理机构</w:t>
      </w:r>
    </w:p>
    <w:tbl>
      <w:tblPr>
        <w:tblStyle w:val="43"/>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054"/>
        <w:gridCol w:w="901"/>
        <w:gridCol w:w="1308"/>
        <w:gridCol w:w="915"/>
        <w:gridCol w:w="1685"/>
        <w:gridCol w:w="180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41" w:type="dxa"/>
            <w:vMerge w:val="restart"/>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职务</w:t>
            </w:r>
          </w:p>
        </w:tc>
        <w:tc>
          <w:tcPr>
            <w:tcW w:w="1054" w:type="dxa"/>
            <w:vMerge w:val="restart"/>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姓名</w:t>
            </w:r>
          </w:p>
        </w:tc>
        <w:tc>
          <w:tcPr>
            <w:tcW w:w="901" w:type="dxa"/>
            <w:vMerge w:val="restart"/>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职称</w:t>
            </w:r>
          </w:p>
        </w:tc>
        <w:tc>
          <w:tcPr>
            <w:tcW w:w="5710" w:type="dxa"/>
            <w:gridSpan w:val="4"/>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执业或职业资格证明</w:t>
            </w:r>
          </w:p>
        </w:tc>
        <w:tc>
          <w:tcPr>
            <w:tcW w:w="902" w:type="dxa"/>
            <w:vMerge w:val="restart"/>
            <w:vAlign w:val="center"/>
          </w:tcPr>
          <w:p>
            <w:pPr>
              <w:autoSpaceDE w:val="0"/>
              <w:autoSpaceDN w:val="0"/>
              <w:jc w:val="center"/>
              <w:rPr>
                <w:rFonts w:ascii="宋体" w:hAnsi="宋体"/>
                <w:color w:val="000000" w:themeColor="text1"/>
                <w:szCs w:val="21"/>
              </w:rPr>
            </w:pPr>
            <w:r>
              <w:rPr>
                <w:rFonts w:hint="eastAsia" w:ascii="宋体" w:hAns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41" w:type="dxa"/>
            <w:vMerge w:val="continue"/>
            <w:vAlign w:val="center"/>
          </w:tcPr>
          <w:p>
            <w:pPr>
              <w:autoSpaceDE w:val="0"/>
              <w:autoSpaceDN w:val="0"/>
              <w:jc w:val="center"/>
              <w:rPr>
                <w:rFonts w:ascii="宋体" w:hAnsi="宋体" w:cs="宋体"/>
                <w:color w:val="000000" w:themeColor="text1"/>
                <w:szCs w:val="21"/>
              </w:rPr>
            </w:pPr>
          </w:p>
        </w:tc>
        <w:tc>
          <w:tcPr>
            <w:tcW w:w="1054" w:type="dxa"/>
            <w:vMerge w:val="continue"/>
            <w:vAlign w:val="center"/>
          </w:tcPr>
          <w:p>
            <w:pPr>
              <w:autoSpaceDE w:val="0"/>
              <w:autoSpaceDN w:val="0"/>
              <w:jc w:val="center"/>
              <w:rPr>
                <w:rFonts w:ascii="宋体" w:hAnsi="宋体" w:cs="宋体"/>
                <w:color w:val="000000" w:themeColor="text1"/>
                <w:szCs w:val="21"/>
              </w:rPr>
            </w:pPr>
          </w:p>
        </w:tc>
        <w:tc>
          <w:tcPr>
            <w:tcW w:w="901" w:type="dxa"/>
            <w:vMerge w:val="continue"/>
            <w:vAlign w:val="center"/>
          </w:tcPr>
          <w:p>
            <w:pPr>
              <w:autoSpaceDE w:val="0"/>
              <w:autoSpaceDN w:val="0"/>
              <w:jc w:val="center"/>
              <w:rPr>
                <w:rFonts w:ascii="宋体" w:hAnsi="宋体" w:cs="宋体"/>
                <w:color w:val="000000" w:themeColor="text1"/>
                <w:szCs w:val="21"/>
              </w:rPr>
            </w:pPr>
          </w:p>
        </w:tc>
        <w:tc>
          <w:tcPr>
            <w:tcW w:w="1308" w:type="dxa"/>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证书名称</w:t>
            </w:r>
          </w:p>
        </w:tc>
        <w:tc>
          <w:tcPr>
            <w:tcW w:w="915" w:type="dxa"/>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级别</w:t>
            </w:r>
          </w:p>
        </w:tc>
        <w:tc>
          <w:tcPr>
            <w:tcW w:w="1685" w:type="dxa"/>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证号</w:t>
            </w:r>
          </w:p>
        </w:tc>
        <w:tc>
          <w:tcPr>
            <w:tcW w:w="1802" w:type="dxa"/>
            <w:vAlign w:val="center"/>
          </w:tcPr>
          <w:p>
            <w:pPr>
              <w:autoSpaceDE w:val="0"/>
              <w:autoSpaceDN w:val="0"/>
              <w:jc w:val="center"/>
              <w:rPr>
                <w:rFonts w:ascii="宋体" w:hAnsi="宋体" w:cs="宋体"/>
                <w:color w:val="000000" w:themeColor="text1"/>
                <w:szCs w:val="21"/>
              </w:rPr>
            </w:pPr>
            <w:r>
              <w:rPr>
                <w:rFonts w:hint="eastAsia" w:ascii="宋体" w:hAnsi="宋体" w:cs="宋体"/>
                <w:color w:val="000000" w:themeColor="text1"/>
                <w:szCs w:val="21"/>
              </w:rPr>
              <w:t>专业</w:t>
            </w:r>
          </w:p>
        </w:tc>
        <w:tc>
          <w:tcPr>
            <w:tcW w:w="902" w:type="dxa"/>
            <w:vMerge w:val="continue"/>
            <w:vAlign w:val="center"/>
          </w:tcPr>
          <w:p>
            <w:pPr>
              <w:autoSpaceDE w:val="0"/>
              <w:autoSpaceDN w:val="0"/>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1" w:type="dxa"/>
            <w:vAlign w:val="center"/>
          </w:tcPr>
          <w:p>
            <w:pPr>
              <w:tabs>
                <w:tab w:val="left" w:pos="360"/>
                <w:tab w:val="left" w:pos="540"/>
                <w:tab w:val="left" w:pos="900"/>
                <w:tab w:val="left" w:pos="1080"/>
              </w:tabs>
              <w:ind w:firstLine="24" w:firstLineChars="10"/>
              <w:jc w:val="center"/>
              <w:rPr>
                <w:rFonts w:ascii="宋体" w:hAnsi="宋体"/>
                <w:color w:val="000000" w:themeColor="text1"/>
                <w:szCs w:val="21"/>
              </w:rPr>
            </w:pPr>
          </w:p>
        </w:tc>
        <w:tc>
          <w:tcPr>
            <w:tcW w:w="1054" w:type="dxa"/>
            <w:vAlign w:val="center"/>
          </w:tcPr>
          <w:p>
            <w:pPr>
              <w:pStyle w:val="202"/>
              <w:ind w:firstLine="21" w:firstLineChars="10"/>
              <w:jc w:val="center"/>
              <w:rPr>
                <w:rFonts w:ascii="宋体" w:hAnsi="宋体"/>
                <w:color w:val="000000" w:themeColor="text1"/>
                <w:szCs w:val="21"/>
              </w:rPr>
            </w:pPr>
          </w:p>
        </w:tc>
        <w:tc>
          <w:tcPr>
            <w:tcW w:w="901" w:type="dxa"/>
            <w:vAlign w:val="center"/>
          </w:tcPr>
          <w:p>
            <w:pPr>
              <w:pStyle w:val="147"/>
              <w:ind w:firstLine="0"/>
              <w:rPr>
                <w:rFonts w:ascii="宋体" w:hAnsi="宋体"/>
                <w:color w:val="000000" w:themeColor="text1"/>
                <w:szCs w:val="21"/>
              </w:rPr>
            </w:pPr>
          </w:p>
        </w:tc>
        <w:tc>
          <w:tcPr>
            <w:tcW w:w="1308"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915"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1685"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1802" w:type="dxa"/>
            <w:vAlign w:val="center"/>
          </w:tcPr>
          <w:p>
            <w:pPr>
              <w:jc w:val="center"/>
              <w:rPr>
                <w:rFonts w:ascii="宋体" w:hAnsi="宋体"/>
                <w:color w:val="000000" w:themeColor="text1"/>
                <w:szCs w:val="21"/>
              </w:rPr>
            </w:pPr>
          </w:p>
        </w:tc>
        <w:tc>
          <w:tcPr>
            <w:tcW w:w="902" w:type="dxa"/>
            <w:vAlign w:val="center"/>
          </w:tcPr>
          <w:p>
            <w:pPr>
              <w:autoSpaceDE w:val="0"/>
              <w:autoSpaceDN w:val="0"/>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1" w:type="dxa"/>
            <w:vAlign w:val="center"/>
          </w:tcPr>
          <w:p>
            <w:pPr>
              <w:pStyle w:val="202"/>
              <w:ind w:firstLine="21" w:firstLineChars="10"/>
              <w:jc w:val="center"/>
              <w:rPr>
                <w:rFonts w:ascii="宋体" w:hAnsi="宋体"/>
                <w:color w:val="000000" w:themeColor="text1"/>
                <w:szCs w:val="21"/>
              </w:rPr>
            </w:pPr>
          </w:p>
        </w:tc>
        <w:tc>
          <w:tcPr>
            <w:tcW w:w="1054" w:type="dxa"/>
            <w:vAlign w:val="center"/>
          </w:tcPr>
          <w:p>
            <w:pPr>
              <w:pStyle w:val="202"/>
              <w:ind w:firstLine="21" w:firstLineChars="10"/>
              <w:jc w:val="center"/>
              <w:rPr>
                <w:rFonts w:ascii="宋体" w:hAnsi="宋体" w:cs="宋体"/>
                <w:color w:val="000000" w:themeColor="text1"/>
                <w:kern w:val="0"/>
                <w:szCs w:val="21"/>
              </w:rPr>
            </w:pPr>
          </w:p>
        </w:tc>
        <w:tc>
          <w:tcPr>
            <w:tcW w:w="901" w:type="dxa"/>
            <w:vAlign w:val="center"/>
          </w:tcPr>
          <w:p>
            <w:pPr>
              <w:pStyle w:val="147"/>
              <w:ind w:firstLine="0"/>
              <w:rPr>
                <w:rFonts w:ascii="宋体" w:hAnsi="宋体"/>
                <w:color w:val="000000" w:themeColor="text1"/>
                <w:szCs w:val="21"/>
              </w:rPr>
            </w:pPr>
          </w:p>
        </w:tc>
        <w:tc>
          <w:tcPr>
            <w:tcW w:w="1308" w:type="dxa"/>
            <w:vAlign w:val="center"/>
          </w:tcPr>
          <w:p>
            <w:pPr>
              <w:pStyle w:val="202"/>
              <w:ind w:firstLine="21" w:firstLineChars="10"/>
              <w:jc w:val="center"/>
              <w:rPr>
                <w:rFonts w:ascii="宋体" w:hAnsi="宋体" w:cs="宋体"/>
                <w:color w:val="000000" w:themeColor="text1"/>
                <w:kern w:val="0"/>
                <w:szCs w:val="21"/>
              </w:rPr>
            </w:pPr>
          </w:p>
        </w:tc>
        <w:tc>
          <w:tcPr>
            <w:tcW w:w="915" w:type="dxa"/>
            <w:vAlign w:val="center"/>
          </w:tcPr>
          <w:p>
            <w:pPr>
              <w:pStyle w:val="202"/>
              <w:ind w:firstLine="21" w:firstLineChars="10"/>
              <w:jc w:val="center"/>
              <w:rPr>
                <w:rFonts w:ascii="宋体" w:hAnsi="宋体" w:cs="宋体"/>
                <w:color w:val="000000" w:themeColor="text1"/>
                <w:kern w:val="0"/>
                <w:szCs w:val="21"/>
              </w:rPr>
            </w:pPr>
          </w:p>
        </w:tc>
        <w:tc>
          <w:tcPr>
            <w:tcW w:w="1685" w:type="dxa"/>
            <w:vAlign w:val="center"/>
          </w:tcPr>
          <w:p>
            <w:pPr>
              <w:pStyle w:val="202"/>
              <w:ind w:firstLine="21" w:firstLineChars="10"/>
              <w:jc w:val="center"/>
              <w:rPr>
                <w:rFonts w:ascii="宋体" w:hAnsi="宋体" w:cs="宋体"/>
                <w:color w:val="000000" w:themeColor="text1"/>
                <w:kern w:val="0"/>
                <w:szCs w:val="21"/>
              </w:rPr>
            </w:pPr>
          </w:p>
        </w:tc>
        <w:tc>
          <w:tcPr>
            <w:tcW w:w="1802" w:type="dxa"/>
            <w:vAlign w:val="center"/>
          </w:tcPr>
          <w:p>
            <w:pPr>
              <w:pStyle w:val="202"/>
              <w:ind w:firstLine="21" w:firstLineChars="10"/>
              <w:jc w:val="center"/>
              <w:rPr>
                <w:rFonts w:ascii="宋体" w:hAnsi="宋体" w:cs="宋体"/>
                <w:color w:val="000000" w:themeColor="text1"/>
                <w:kern w:val="0"/>
                <w:szCs w:val="21"/>
              </w:rPr>
            </w:pPr>
          </w:p>
        </w:tc>
        <w:tc>
          <w:tcPr>
            <w:tcW w:w="902" w:type="dxa"/>
            <w:vAlign w:val="center"/>
          </w:tcPr>
          <w:p>
            <w:pPr>
              <w:autoSpaceDE w:val="0"/>
              <w:autoSpaceDN w:val="0"/>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1" w:type="dxa"/>
            <w:vAlign w:val="center"/>
          </w:tcPr>
          <w:p>
            <w:pPr>
              <w:pStyle w:val="147"/>
              <w:ind w:firstLine="21" w:firstLineChars="10"/>
              <w:jc w:val="center"/>
              <w:rPr>
                <w:rFonts w:ascii="宋体" w:hAnsi="宋体"/>
                <w:color w:val="000000" w:themeColor="text1"/>
                <w:szCs w:val="21"/>
              </w:rPr>
            </w:pPr>
          </w:p>
        </w:tc>
        <w:tc>
          <w:tcPr>
            <w:tcW w:w="1054" w:type="dxa"/>
            <w:vAlign w:val="center"/>
          </w:tcPr>
          <w:p>
            <w:pPr>
              <w:pStyle w:val="203"/>
              <w:jc w:val="center"/>
              <w:rPr>
                <w:rFonts w:ascii="宋体" w:hAnsi="宋体" w:cs="宋体"/>
                <w:color w:val="000000" w:themeColor="text1"/>
                <w:kern w:val="0"/>
                <w:szCs w:val="21"/>
              </w:rPr>
            </w:pPr>
          </w:p>
        </w:tc>
        <w:tc>
          <w:tcPr>
            <w:tcW w:w="901" w:type="dxa"/>
            <w:vAlign w:val="center"/>
          </w:tcPr>
          <w:p>
            <w:pPr>
              <w:pStyle w:val="203"/>
              <w:jc w:val="center"/>
              <w:rPr>
                <w:rFonts w:ascii="宋体" w:hAnsi="宋体" w:cs="宋体"/>
                <w:color w:val="000000" w:themeColor="text1"/>
                <w:kern w:val="0"/>
                <w:szCs w:val="21"/>
              </w:rPr>
            </w:pPr>
          </w:p>
        </w:tc>
        <w:tc>
          <w:tcPr>
            <w:tcW w:w="1308" w:type="dxa"/>
            <w:vAlign w:val="center"/>
          </w:tcPr>
          <w:p>
            <w:pPr>
              <w:pStyle w:val="203"/>
              <w:jc w:val="center"/>
              <w:rPr>
                <w:rFonts w:ascii="宋体" w:hAnsi="宋体" w:cs="宋体"/>
                <w:color w:val="000000" w:themeColor="text1"/>
                <w:kern w:val="0"/>
                <w:szCs w:val="21"/>
              </w:rPr>
            </w:pPr>
          </w:p>
        </w:tc>
        <w:tc>
          <w:tcPr>
            <w:tcW w:w="915" w:type="dxa"/>
            <w:vAlign w:val="center"/>
          </w:tcPr>
          <w:p>
            <w:pPr>
              <w:pStyle w:val="203"/>
              <w:jc w:val="center"/>
              <w:rPr>
                <w:rFonts w:ascii="宋体" w:hAnsi="宋体" w:cs="宋体"/>
                <w:color w:val="000000" w:themeColor="text1"/>
                <w:kern w:val="0"/>
                <w:szCs w:val="21"/>
              </w:rPr>
            </w:pPr>
          </w:p>
        </w:tc>
        <w:tc>
          <w:tcPr>
            <w:tcW w:w="1685" w:type="dxa"/>
            <w:vAlign w:val="center"/>
          </w:tcPr>
          <w:p>
            <w:pPr>
              <w:pStyle w:val="203"/>
              <w:jc w:val="center"/>
              <w:rPr>
                <w:rFonts w:ascii="宋体" w:hAnsi="宋体" w:cs="宋体"/>
                <w:color w:val="000000" w:themeColor="text1"/>
                <w:kern w:val="0"/>
                <w:szCs w:val="21"/>
              </w:rPr>
            </w:pPr>
          </w:p>
        </w:tc>
        <w:tc>
          <w:tcPr>
            <w:tcW w:w="1802" w:type="dxa"/>
            <w:vAlign w:val="center"/>
          </w:tcPr>
          <w:p>
            <w:pPr>
              <w:pStyle w:val="203"/>
              <w:jc w:val="center"/>
              <w:rPr>
                <w:rFonts w:ascii="宋体" w:hAnsi="宋体" w:cs="宋体"/>
                <w:color w:val="000000" w:themeColor="text1"/>
                <w:kern w:val="0"/>
                <w:szCs w:val="21"/>
              </w:rPr>
            </w:pPr>
          </w:p>
        </w:tc>
        <w:tc>
          <w:tcPr>
            <w:tcW w:w="902" w:type="dxa"/>
            <w:vAlign w:val="center"/>
          </w:tcPr>
          <w:p>
            <w:pPr>
              <w:autoSpaceDE w:val="0"/>
              <w:autoSpaceDN w:val="0"/>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1" w:type="dxa"/>
            <w:vAlign w:val="center"/>
          </w:tcPr>
          <w:p>
            <w:pPr>
              <w:pStyle w:val="147"/>
              <w:ind w:firstLine="21" w:firstLineChars="10"/>
              <w:jc w:val="center"/>
              <w:rPr>
                <w:rFonts w:ascii="宋体" w:hAnsi="宋体"/>
                <w:color w:val="000000" w:themeColor="text1"/>
                <w:kern w:val="0"/>
                <w:szCs w:val="21"/>
              </w:rPr>
            </w:pPr>
          </w:p>
        </w:tc>
        <w:tc>
          <w:tcPr>
            <w:tcW w:w="1054" w:type="dxa"/>
            <w:vAlign w:val="center"/>
          </w:tcPr>
          <w:p>
            <w:pPr>
              <w:ind w:firstLine="24" w:firstLineChars="10"/>
              <w:jc w:val="center"/>
              <w:rPr>
                <w:rFonts w:ascii="宋体" w:hAnsi="宋体"/>
                <w:color w:val="000000" w:themeColor="text1"/>
                <w:szCs w:val="21"/>
              </w:rPr>
            </w:pPr>
          </w:p>
        </w:tc>
        <w:tc>
          <w:tcPr>
            <w:tcW w:w="901" w:type="dxa"/>
            <w:vAlign w:val="center"/>
          </w:tcPr>
          <w:p>
            <w:pPr>
              <w:pStyle w:val="203"/>
              <w:jc w:val="center"/>
              <w:rPr>
                <w:rFonts w:ascii="宋体" w:hAnsi="宋体" w:cs="宋体"/>
                <w:color w:val="000000" w:themeColor="text1"/>
                <w:kern w:val="0"/>
                <w:szCs w:val="21"/>
              </w:rPr>
            </w:pPr>
          </w:p>
        </w:tc>
        <w:tc>
          <w:tcPr>
            <w:tcW w:w="1308" w:type="dxa"/>
            <w:vAlign w:val="center"/>
          </w:tcPr>
          <w:p>
            <w:pPr>
              <w:ind w:firstLine="24" w:firstLineChars="10"/>
              <w:jc w:val="center"/>
              <w:rPr>
                <w:rFonts w:ascii="宋体" w:hAnsi="宋体"/>
                <w:color w:val="000000" w:themeColor="text1"/>
                <w:szCs w:val="21"/>
              </w:rPr>
            </w:pPr>
          </w:p>
        </w:tc>
        <w:tc>
          <w:tcPr>
            <w:tcW w:w="915" w:type="dxa"/>
            <w:vAlign w:val="center"/>
          </w:tcPr>
          <w:p>
            <w:pPr>
              <w:ind w:firstLine="24" w:firstLineChars="10"/>
              <w:jc w:val="center"/>
              <w:rPr>
                <w:rFonts w:ascii="宋体" w:hAnsi="宋体"/>
                <w:color w:val="000000" w:themeColor="text1"/>
                <w:szCs w:val="21"/>
              </w:rPr>
            </w:pPr>
          </w:p>
        </w:tc>
        <w:tc>
          <w:tcPr>
            <w:tcW w:w="1685" w:type="dxa"/>
            <w:vAlign w:val="center"/>
          </w:tcPr>
          <w:p>
            <w:pPr>
              <w:ind w:firstLine="24" w:firstLineChars="10"/>
              <w:jc w:val="center"/>
              <w:rPr>
                <w:rFonts w:ascii="宋体" w:hAnsi="宋体"/>
                <w:color w:val="000000" w:themeColor="text1"/>
                <w:szCs w:val="21"/>
              </w:rPr>
            </w:pPr>
          </w:p>
        </w:tc>
        <w:tc>
          <w:tcPr>
            <w:tcW w:w="1802"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902" w:type="dxa"/>
            <w:vAlign w:val="center"/>
          </w:tcPr>
          <w:p>
            <w:pPr>
              <w:autoSpaceDE w:val="0"/>
              <w:autoSpaceDN w:val="0"/>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1" w:type="dxa"/>
            <w:vAlign w:val="center"/>
          </w:tcPr>
          <w:p>
            <w:pPr>
              <w:pStyle w:val="147"/>
              <w:ind w:firstLine="21" w:firstLineChars="10"/>
              <w:jc w:val="center"/>
              <w:rPr>
                <w:rFonts w:ascii="宋体" w:hAnsi="宋体"/>
                <w:color w:val="000000" w:themeColor="text1"/>
                <w:kern w:val="0"/>
                <w:szCs w:val="21"/>
              </w:rPr>
            </w:pPr>
          </w:p>
        </w:tc>
        <w:tc>
          <w:tcPr>
            <w:tcW w:w="1054" w:type="dxa"/>
            <w:vAlign w:val="center"/>
          </w:tcPr>
          <w:p>
            <w:pPr>
              <w:pStyle w:val="147"/>
              <w:ind w:firstLine="21" w:firstLineChars="10"/>
              <w:jc w:val="center"/>
              <w:rPr>
                <w:rFonts w:ascii="宋体" w:hAnsi="宋体"/>
                <w:color w:val="000000" w:themeColor="text1"/>
                <w:szCs w:val="21"/>
              </w:rPr>
            </w:pPr>
          </w:p>
        </w:tc>
        <w:tc>
          <w:tcPr>
            <w:tcW w:w="901" w:type="dxa"/>
            <w:vAlign w:val="center"/>
          </w:tcPr>
          <w:p>
            <w:pPr>
              <w:pStyle w:val="203"/>
              <w:jc w:val="center"/>
              <w:rPr>
                <w:rFonts w:ascii="宋体" w:hAnsi="宋体" w:cs="宋体"/>
                <w:color w:val="000000" w:themeColor="text1"/>
                <w:kern w:val="0"/>
                <w:szCs w:val="21"/>
              </w:rPr>
            </w:pPr>
          </w:p>
        </w:tc>
        <w:tc>
          <w:tcPr>
            <w:tcW w:w="1308" w:type="dxa"/>
            <w:vAlign w:val="center"/>
          </w:tcPr>
          <w:p>
            <w:pPr>
              <w:pStyle w:val="147"/>
              <w:ind w:firstLine="21" w:firstLineChars="10"/>
              <w:jc w:val="center"/>
              <w:rPr>
                <w:rFonts w:ascii="宋体" w:hAnsi="宋体"/>
                <w:color w:val="000000" w:themeColor="text1"/>
                <w:szCs w:val="21"/>
              </w:rPr>
            </w:pPr>
          </w:p>
        </w:tc>
        <w:tc>
          <w:tcPr>
            <w:tcW w:w="915" w:type="dxa"/>
            <w:vAlign w:val="center"/>
          </w:tcPr>
          <w:p>
            <w:pPr>
              <w:pStyle w:val="147"/>
              <w:ind w:firstLine="21" w:firstLineChars="10"/>
              <w:jc w:val="center"/>
              <w:rPr>
                <w:rFonts w:ascii="宋体" w:hAnsi="宋体"/>
                <w:color w:val="000000" w:themeColor="text1"/>
                <w:szCs w:val="21"/>
              </w:rPr>
            </w:pPr>
          </w:p>
        </w:tc>
        <w:tc>
          <w:tcPr>
            <w:tcW w:w="1685" w:type="dxa"/>
            <w:vAlign w:val="center"/>
          </w:tcPr>
          <w:p>
            <w:pPr>
              <w:pStyle w:val="147"/>
              <w:ind w:firstLine="21" w:firstLineChars="10"/>
              <w:jc w:val="center"/>
              <w:rPr>
                <w:rFonts w:ascii="宋体" w:hAnsi="宋体"/>
                <w:color w:val="000000" w:themeColor="text1"/>
                <w:szCs w:val="21"/>
              </w:rPr>
            </w:pPr>
          </w:p>
        </w:tc>
        <w:tc>
          <w:tcPr>
            <w:tcW w:w="1802"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902" w:type="dxa"/>
            <w:vAlign w:val="center"/>
          </w:tcPr>
          <w:p>
            <w:pPr>
              <w:autoSpaceDE w:val="0"/>
              <w:autoSpaceDN w:val="0"/>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1" w:type="dxa"/>
            <w:vAlign w:val="center"/>
          </w:tcPr>
          <w:p>
            <w:pPr>
              <w:pStyle w:val="147"/>
              <w:ind w:firstLine="21" w:firstLineChars="10"/>
              <w:jc w:val="center"/>
              <w:rPr>
                <w:rFonts w:ascii="宋体" w:hAnsi="宋体"/>
                <w:color w:val="000000" w:themeColor="text1"/>
                <w:szCs w:val="21"/>
              </w:rPr>
            </w:pPr>
          </w:p>
        </w:tc>
        <w:tc>
          <w:tcPr>
            <w:tcW w:w="1054" w:type="dxa"/>
            <w:vAlign w:val="center"/>
          </w:tcPr>
          <w:p>
            <w:pPr>
              <w:ind w:firstLine="24" w:firstLineChars="10"/>
              <w:jc w:val="center"/>
              <w:rPr>
                <w:rFonts w:ascii="宋体" w:hAnsi="宋体"/>
                <w:color w:val="000000" w:themeColor="text1"/>
                <w:szCs w:val="21"/>
              </w:rPr>
            </w:pPr>
          </w:p>
        </w:tc>
        <w:tc>
          <w:tcPr>
            <w:tcW w:w="901" w:type="dxa"/>
            <w:vAlign w:val="center"/>
          </w:tcPr>
          <w:p>
            <w:pPr>
              <w:pStyle w:val="203"/>
              <w:jc w:val="center"/>
              <w:rPr>
                <w:rFonts w:ascii="宋体" w:hAnsi="宋体" w:cs="宋体"/>
                <w:color w:val="000000" w:themeColor="text1"/>
                <w:kern w:val="0"/>
                <w:szCs w:val="21"/>
              </w:rPr>
            </w:pPr>
          </w:p>
        </w:tc>
        <w:tc>
          <w:tcPr>
            <w:tcW w:w="1308" w:type="dxa"/>
            <w:vAlign w:val="center"/>
          </w:tcPr>
          <w:p>
            <w:pPr>
              <w:ind w:firstLine="24" w:firstLineChars="10"/>
              <w:jc w:val="center"/>
              <w:rPr>
                <w:rFonts w:ascii="宋体" w:hAnsi="宋体"/>
                <w:color w:val="000000" w:themeColor="text1"/>
                <w:szCs w:val="21"/>
              </w:rPr>
            </w:pPr>
          </w:p>
        </w:tc>
        <w:tc>
          <w:tcPr>
            <w:tcW w:w="915" w:type="dxa"/>
            <w:vAlign w:val="center"/>
          </w:tcPr>
          <w:p>
            <w:pPr>
              <w:ind w:firstLine="24" w:firstLineChars="10"/>
              <w:jc w:val="center"/>
              <w:rPr>
                <w:rFonts w:ascii="宋体" w:hAnsi="宋体"/>
                <w:color w:val="000000" w:themeColor="text1"/>
                <w:szCs w:val="21"/>
              </w:rPr>
            </w:pPr>
          </w:p>
        </w:tc>
        <w:tc>
          <w:tcPr>
            <w:tcW w:w="1685" w:type="dxa"/>
            <w:vAlign w:val="center"/>
          </w:tcPr>
          <w:p>
            <w:pPr>
              <w:ind w:firstLine="24" w:firstLineChars="10"/>
              <w:jc w:val="center"/>
              <w:rPr>
                <w:rFonts w:ascii="宋体" w:hAnsi="宋体"/>
                <w:color w:val="000000" w:themeColor="text1"/>
                <w:szCs w:val="21"/>
              </w:rPr>
            </w:pPr>
          </w:p>
        </w:tc>
        <w:tc>
          <w:tcPr>
            <w:tcW w:w="1802"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902" w:type="dxa"/>
            <w:vAlign w:val="center"/>
          </w:tcPr>
          <w:p>
            <w:pPr>
              <w:autoSpaceDE w:val="0"/>
              <w:autoSpaceDN w:val="0"/>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41" w:type="dxa"/>
            <w:vAlign w:val="center"/>
          </w:tcPr>
          <w:p>
            <w:pPr>
              <w:pStyle w:val="147"/>
              <w:ind w:firstLine="21" w:firstLineChars="10"/>
              <w:jc w:val="center"/>
              <w:rPr>
                <w:rFonts w:ascii="宋体" w:hAnsi="宋体"/>
                <w:color w:val="000000" w:themeColor="text1"/>
                <w:szCs w:val="21"/>
              </w:rPr>
            </w:pPr>
          </w:p>
        </w:tc>
        <w:tc>
          <w:tcPr>
            <w:tcW w:w="1054" w:type="dxa"/>
            <w:vAlign w:val="center"/>
          </w:tcPr>
          <w:p>
            <w:pPr>
              <w:pStyle w:val="147"/>
              <w:ind w:firstLine="21" w:firstLineChars="10"/>
              <w:jc w:val="center"/>
              <w:rPr>
                <w:rFonts w:ascii="宋体" w:hAnsi="宋体"/>
                <w:color w:val="000000" w:themeColor="text1"/>
                <w:szCs w:val="21"/>
              </w:rPr>
            </w:pPr>
          </w:p>
        </w:tc>
        <w:tc>
          <w:tcPr>
            <w:tcW w:w="901" w:type="dxa"/>
            <w:vAlign w:val="center"/>
          </w:tcPr>
          <w:p>
            <w:pPr>
              <w:pStyle w:val="203"/>
              <w:jc w:val="center"/>
              <w:rPr>
                <w:rFonts w:ascii="宋体" w:hAnsi="宋体" w:cs="宋体"/>
                <w:color w:val="000000" w:themeColor="text1"/>
                <w:kern w:val="0"/>
                <w:szCs w:val="21"/>
              </w:rPr>
            </w:pPr>
          </w:p>
        </w:tc>
        <w:tc>
          <w:tcPr>
            <w:tcW w:w="1308" w:type="dxa"/>
            <w:vAlign w:val="center"/>
          </w:tcPr>
          <w:p>
            <w:pPr>
              <w:pStyle w:val="147"/>
              <w:ind w:firstLine="21" w:firstLineChars="10"/>
              <w:jc w:val="center"/>
              <w:rPr>
                <w:rFonts w:ascii="宋体" w:hAnsi="宋体"/>
                <w:color w:val="000000" w:themeColor="text1"/>
                <w:szCs w:val="21"/>
              </w:rPr>
            </w:pPr>
          </w:p>
        </w:tc>
        <w:tc>
          <w:tcPr>
            <w:tcW w:w="915" w:type="dxa"/>
            <w:vAlign w:val="center"/>
          </w:tcPr>
          <w:p>
            <w:pPr>
              <w:pStyle w:val="203"/>
              <w:jc w:val="center"/>
              <w:rPr>
                <w:rFonts w:ascii="宋体" w:hAnsi="宋体" w:cs="宋体"/>
                <w:color w:val="000000" w:themeColor="text1"/>
                <w:kern w:val="0"/>
                <w:szCs w:val="21"/>
              </w:rPr>
            </w:pPr>
          </w:p>
        </w:tc>
        <w:tc>
          <w:tcPr>
            <w:tcW w:w="1685" w:type="dxa"/>
            <w:vAlign w:val="center"/>
          </w:tcPr>
          <w:p>
            <w:pPr>
              <w:pStyle w:val="147"/>
              <w:ind w:firstLine="21" w:firstLineChars="10"/>
              <w:jc w:val="center"/>
              <w:rPr>
                <w:rFonts w:ascii="宋体" w:hAnsi="宋体"/>
                <w:color w:val="000000" w:themeColor="text1"/>
                <w:szCs w:val="21"/>
              </w:rPr>
            </w:pPr>
          </w:p>
        </w:tc>
        <w:tc>
          <w:tcPr>
            <w:tcW w:w="1802"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902" w:type="dxa"/>
            <w:vAlign w:val="center"/>
          </w:tcPr>
          <w:p>
            <w:pPr>
              <w:autoSpaceDE w:val="0"/>
              <w:autoSpaceDN w:val="0"/>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141" w:type="dxa"/>
            <w:vAlign w:val="center"/>
          </w:tcPr>
          <w:p>
            <w:pPr>
              <w:tabs>
                <w:tab w:val="left" w:pos="360"/>
                <w:tab w:val="left" w:pos="540"/>
                <w:tab w:val="left" w:pos="900"/>
                <w:tab w:val="left" w:pos="1080"/>
              </w:tabs>
              <w:ind w:firstLine="24" w:firstLineChars="10"/>
              <w:jc w:val="center"/>
              <w:rPr>
                <w:rFonts w:ascii="宋体" w:hAnsi="宋体"/>
                <w:color w:val="000000" w:themeColor="text1"/>
                <w:szCs w:val="21"/>
              </w:rPr>
            </w:pPr>
          </w:p>
        </w:tc>
        <w:tc>
          <w:tcPr>
            <w:tcW w:w="1054" w:type="dxa"/>
            <w:vAlign w:val="center"/>
          </w:tcPr>
          <w:p>
            <w:pPr>
              <w:tabs>
                <w:tab w:val="left" w:pos="360"/>
                <w:tab w:val="left" w:pos="540"/>
                <w:tab w:val="left" w:pos="900"/>
                <w:tab w:val="left" w:pos="1080"/>
              </w:tabs>
              <w:ind w:firstLine="24" w:firstLineChars="10"/>
              <w:jc w:val="center"/>
              <w:rPr>
                <w:rFonts w:ascii="宋体" w:hAnsi="宋体"/>
                <w:color w:val="000000" w:themeColor="text1"/>
                <w:szCs w:val="21"/>
              </w:rPr>
            </w:pPr>
          </w:p>
        </w:tc>
        <w:tc>
          <w:tcPr>
            <w:tcW w:w="901" w:type="dxa"/>
            <w:vAlign w:val="center"/>
          </w:tcPr>
          <w:p>
            <w:pPr>
              <w:pStyle w:val="203"/>
              <w:jc w:val="center"/>
              <w:rPr>
                <w:rFonts w:ascii="宋体" w:hAnsi="宋体" w:cs="宋体"/>
                <w:color w:val="000000" w:themeColor="text1"/>
                <w:kern w:val="0"/>
                <w:szCs w:val="21"/>
              </w:rPr>
            </w:pPr>
          </w:p>
        </w:tc>
        <w:tc>
          <w:tcPr>
            <w:tcW w:w="1308" w:type="dxa"/>
            <w:vAlign w:val="center"/>
          </w:tcPr>
          <w:p>
            <w:pPr>
              <w:tabs>
                <w:tab w:val="left" w:pos="360"/>
                <w:tab w:val="left" w:pos="540"/>
                <w:tab w:val="left" w:pos="900"/>
                <w:tab w:val="left" w:pos="1080"/>
              </w:tabs>
              <w:ind w:firstLine="24" w:firstLineChars="10"/>
              <w:jc w:val="center"/>
              <w:rPr>
                <w:rFonts w:ascii="宋体" w:hAnsi="宋体"/>
                <w:color w:val="000000" w:themeColor="text1"/>
                <w:szCs w:val="21"/>
              </w:rPr>
            </w:pPr>
          </w:p>
        </w:tc>
        <w:tc>
          <w:tcPr>
            <w:tcW w:w="915" w:type="dxa"/>
            <w:vAlign w:val="center"/>
          </w:tcPr>
          <w:p>
            <w:pPr>
              <w:tabs>
                <w:tab w:val="left" w:pos="360"/>
                <w:tab w:val="left" w:pos="540"/>
                <w:tab w:val="left" w:pos="900"/>
                <w:tab w:val="left" w:pos="1080"/>
              </w:tabs>
              <w:ind w:firstLine="24" w:firstLineChars="10"/>
              <w:jc w:val="center"/>
              <w:rPr>
                <w:rFonts w:ascii="宋体" w:hAnsi="宋体"/>
                <w:color w:val="000000" w:themeColor="text1"/>
                <w:szCs w:val="21"/>
              </w:rPr>
            </w:pPr>
          </w:p>
        </w:tc>
        <w:tc>
          <w:tcPr>
            <w:tcW w:w="1685" w:type="dxa"/>
            <w:vAlign w:val="center"/>
          </w:tcPr>
          <w:p>
            <w:pPr>
              <w:tabs>
                <w:tab w:val="left" w:pos="360"/>
                <w:tab w:val="left" w:pos="540"/>
                <w:tab w:val="left" w:pos="900"/>
                <w:tab w:val="left" w:pos="1080"/>
              </w:tabs>
              <w:ind w:firstLine="24" w:firstLineChars="10"/>
              <w:jc w:val="center"/>
              <w:rPr>
                <w:rFonts w:ascii="宋体" w:hAnsi="宋体"/>
                <w:color w:val="000000" w:themeColor="text1"/>
                <w:szCs w:val="21"/>
              </w:rPr>
            </w:pPr>
          </w:p>
        </w:tc>
        <w:tc>
          <w:tcPr>
            <w:tcW w:w="1802" w:type="dxa"/>
            <w:vAlign w:val="center"/>
          </w:tcPr>
          <w:p>
            <w:pPr>
              <w:tabs>
                <w:tab w:val="left" w:pos="360"/>
                <w:tab w:val="left" w:pos="540"/>
                <w:tab w:val="left" w:pos="900"/>
                <w:tab w:val="left" w:pos="1080"/>
              </w:tabs>
              <w:ind w:firstLine="24" w:firstLineChars="10"/>
              <w:jc w:val="center"/>
              <w:rPr>
                <w:rFonts w:ascii="宋体" w:hAnsi="宋体" w:cs="宋体"/>
                <w:color w:val="000000" w:themeColor="text1"/>
                <w:szCs w:val="21"/>
              </w:rPr>
            </w:pPr>
          </w:p>
        </w:tc>
        <w:tc>
          <w:tcPr>
            <w:tcW w:w="902" w:type="dxa"/>
            <w:vAlign w:val="center"/>
          </w:tcPr>
          <w:p>
            <w:pPr>
              <w:autoSpaceDE w:val="0"/>
              <w:autoSpaceDN w:val="0"/>
              <w:jc w:val="center"/>
              <w:rPr>
                <w:rFonts w:ascii="宋体" w:hAnsi="宋体" w:cs="宋体"/>
                <w:color w:val="000000" w:themeColor="text1"/>
                <w:szCs w:val="21"/>
              </w:rPr>
            </w:pPr>
          </w:p>
        </w:tc>
      </w:tr>
    </w:tbl>
    <w:p>
      <w:pPr>
        <w:jc w:val="both"/>
        <w:rPr>
          <w:rFonts w:ascii="仿宋_GB2312" w:hAnsi="仿宋_GB2312" w:eastAsia="仿宋_GB2312" w:cs="宋体"/>
          <w:color w:val="000000" w:themeColor="text1"/>
          <w:szCs w:val="28"/>
        </w:rPr>
      </w:pPr>
    </w:p>
    <w:p>
      <w:pPr>
        <w:jc w:val="both"/>
        <w:rPr>
          <w:rFonts w:ascii="仿宋_GB2312" w:hAnsi="仿宋_GB2312" w:eastAsia="仿宋_GB2312" w:cs="宋体"/>
          <w:color w:val="000000" w:themeColor="text1"/>
          <w:szCs w:val="28"/>
        </w:rPr>
      </w:pPr>
    </w:p>
    <w:p>
      <w:pPr>
        <w:jc w:val="both"/>
        <w:rPr>
          <w:rFonts w:ascii="仿宋_GB2312" w:hAnsi="仿宋_GB2312" w:eastAsia="仿宋_GB2312" w:cs="宋体"/>
          <w:color w:val="000000" w:themeColor="text1"/>
          <w:szCs w:val="28"/>
        </w:rPr>
      </w:pPr>
    </w:p>
    <w:p>
      <w:pPr>
        <w:jc w:val="both"/>
        <w:rPr>
          <w:rFonts w:ascii="仿宋_GB2312" w:hAnsi="仿宋_GB2312" w:eastAsia="仿宋_GB2312" w:cs="宋体"/>
          <w:color w:val="000000" w:themeColor="text1"/>
          <w:szCs w:val="28"/>
        </w:rPr>
      </w:pPr>
    </w:p>
    <w:p>
      <w:pPr>
        <w:rPr>
          <w:rFonts w:ascii="仿宋_GB2312" w:hAnsi="仿宋_GB2312" w:eastAsia="仿宋_GB2312" w:cs="宋体"/>
          <w:color w:val="000000" w:themeColor="text1"/>
          <w:szCs w:val="28"/>
        </w:rPr>
      </w:pPr>
    </w:p>
    <w:p>
      <w:pPr>
        <w:jc w:val="both"/>
        <w:rPr>
          <w:rFonts w:ascii="仿宋_GB2312" w:hAnsi="仿宋_GB2312" w:eastAsia="仿宋_GB2312" w:cs="宋体"/>
          <w:color w:val="000000" w:themeColor="text1"/>
          <w:szCs w:val="28"/>
        </w:rPr>
      </w:pPr>
      <w:r>
        <w:rPr>
          <w:rFonts w:hint="eastAsia" w:ascii="仿宋_GB2312" w:hAnsi="仿宋_GB2312" w:eastAsia="仿宋_GB2312" w:cs="宋体"/>
          <w:color w:val="000000" w:themeColor="text1"/>
          <w:szCs w:val="28"/>
        </w:rPr>
        <w:t>附件三 成交通知书</w:t>
      </w:r>
    </w:p>
    <w:p>
      <w:pPr>
        <w:widowControl w:val="0"/>
        <w:tabs>
          <w:tab w:val="left" w:pos="420"/>
          <w:tab w:val="right" w:leader="dot" w:pos="9146"/>
        </w:tabs>
        <w:adjustRightInd w:val="0"/>
        <w:snapToGrid w:val="0"/>
        <w:spacing w:before="0" w:beforeAutospacing="0" w:after="0" w:afterAutospacing="0"/>
        <w:rPr>
          <w:rFonts w:ascii="宋体" w:hAnsi="宋体" w:cs="Arial"/>
          <w:color w:val="000000" w:themeColor="text1"/>
          <w:kern w:val="2"/>
          <w:szCs w:val="24"/>
        </w:rPr>
      </w:pPr>
    </w:p>
    <w:p>
      <w:pPr>
        <w:widowControl w:val="0"/>
        <w:tabs>
          <w:tab w:val="left" w:pos="420"/>
          <w:tab w:val="right" w:leader="dot" w:pos="9146"/>
        </w:tabs>
        <w:spacing w:before="0" w:beforeAutospacing="0" w:after="0" w:afterAutospacing="0" w:line="240" w:lineRule="auto"/>
        <w:rPr>
          <w:rFonts w:ascii="宋体" w:hAnsi="宋体" w:cs="Arial"/>
          <w:color w:val="000000" w:themeColor="text1"/>
          <w:kern w:val="2"/>
          <w:szCs w:val="24"/>
        </w:rPr>
      </w:pPr>
      <w:r>
        <w:rPr>
          <w:rFonts w:ascii="宋体" w:hAnsi="宋体" w:cs="Arial"/>
          <w:color w:val="000000" w:themeColor="text1"/>
          <w:kern w:val="2"/>
          <w:szCs w:val="24"/>
        </w:rPr>
        <w:t> </w:t>
      </w:r>
    </w:p>
    <w:p>
      <w:pPr>
        <w:pStyle w:val="41"/>
        <w:rPr>
          <w:rFonts w:ascii="宋体" w:hAnsi="宋体" w:cs="Arial"/>
          <w:b/>
          <w:color w:val="000000" w:themeColor="text1"/>
          <w:kern w:val="2"/>
          <w:szCs w:val="24"/>
        </w:rPr>
      </w:pPr>
      <w:r>
        <w:rPr>
          <w:rFonts w:ascii="宋体" w:hAnsi="宋体" w:cs="Arial"/>
          <w:color w:val="000000" w:themeColor="text1"/>
          <w:kern w:val="2"/>
          <w:szCs w:val="24"/>
        </w:rPr>
        <w:br w:type="page"/>
      </w:r>
      <w:bookmarkStart w:id="503" w:name="_Toc487215013"/>
      <w:bookmarkStart w:id="504" w:name="_Toc534808260"/>
      <w:bookmarkStart w:id="505" w:name="_Toc433540020"/>
      <w:r>
        <w:rPr>
          <w:rFonts w:hint="eastAsia"/>
          <w:color w:val="000000" w:themeColor="text1"/>
        </w:rPr>
        <w:t>第五章 工程量清单</w:t>
      </w:r>
      <w:bookmarkEnd w:id="503"/>
      <w:bookmarkEnd w:id="504"/>
    </w:p>
    <w:p>
      <w:pPr>
        <w:spacing w:line="240" w:lineRule="auto"/>
        <w:ind w:firstLine="480" w:firstLineChars="200"/>
        <w:rPr>
          <w:color w:val="000000" w:themeColor="text1"/>
        </w:rPr>
      </w:pPr>
    </w:p>
    <w:p>
      <w:pPr>
        <w:spacing w:line="240" w:lineRule="auto"/>
        <w:jc w:val="center"/>
        <w:rPr>
          <w:b/>
          <w:color w:val="000000" w:themeColor="text1"/>
        </w:rPr>
      </w:pPr>
      <w:r>
        <w:rPr>
          <w:rFonts w:hint="eastAsia"/>
          <w:b/>
          <w:color w:val="000000" w:themeColor="text1"/>
        </w:rPr>
        <w:t>另册</w:t>
      </w:r>
    </w:p>
    <w:p>
      <w:pPr>
        <w:spacing w:line="240" w:lineRule="auto"/>
        <w:ind w:firstLine="480" w:firstLineChars="200"/>
        <w:rPr>
          <w:color w:val="000000" w:themeColor="text1"/>
        </w:rPr>
      </w:pPr>
    </w:p>
    <w:p>
      <w:pPr>
        <w:spacing w:line="240" w:lineRule="auto"/>
        <w:ind w:firstLine="480" w:firstLineChars="200"/>
        <w:rPr>
          <w:color w:val="000000" w:themeColor="text1"/>
        </w:rPr>
      </w:pPr>
    </w:p>
    <w:p>
      <w:pPr>
        <w:spacing w:line="240" w:lineRule="auto"/>
        <w:ind w:firstLine="480" w:firstLineChars="200"/>
        <w:rPr>
          <w:color w:val="000000" w:themeColor="text1"/>
        </w:rPr>
      </w:pPr>
    </w:p>
    <w:p>
      <w:pPr>
        <w:spacing w:line="240" w:lineRule="auto"/>
        <w:ind w:firstLine="480" w:firstLineChars="200"/>
        <w:rPr>
          <w:color w:val="000000" w:themeColor="text1"/>
        </w:rPr>
      </w:pPr>
    </w:p>
    <w:p>
      <w:pPr>
        <w:spacing w:before="0" w:beforeAutospacing="0" w:after="0" w:afterAutospacing="0" w:line="240" w:lineRule="auto"/>
        <w:rPr>
          <w:color w:val="000000" w:themeColor="text1"/>
        </w:rPr>
      </w:pPr>
      <w:r>
        <w:rPr>
          <w:color w:val="000000" w:themeColor="text1"/>
        </w:rPr>
        <w:br w:type="page"/>
      </w:r>
    </w:p>
    <w:p>
      <w:pPr>
        <w:spacing w:after="0" w:afterAutospacing="0"/>
        <w:jc w:val="center"/>
        <w:rPr>
          <w:b/>
          <w:bCs/>
          <w:color w:val="000000" w:themeColor="text1"/>
          <w:sz w:val="36"/>
          <w:szCs w:val="36"/>
        </w:rPr>
      </w:pPr>
      <w:bookmarkStart w:id="506" w:name="_Toc534808262"/>
      <w:r>
        <w:rPr>
          <w:rFonts w:hint="eastAsia"/>
          <w:b/>
          <w:bCs/>
          <w:color w:val="000000" w:themeColor="text1"/>
          <w:sz w:val="36"/>
          <w:szCs w:val="36"/>
        </w:rPr>
        <w:t>第六章 项目技术规范</w:t>
      </w:r>
      <w:bookmarkEnd w:id="506"/>
    </w:p>
    <w:p>
      <w:pPr>
        <w:adjustRightInd w:val="0"/>
        <w:snapToGrid w:val="0"/>
        <w:spacing w:before="0" w:beforeAutospacing="0" w:after="0" w:afterAutospacing="0" w:line="420" w:lineRule="exact"/>
        <w:ind w:right="-65" w:rightChars="-27"/>
        <w:rPr>
          <w:rFonts w:ascii="宋体" w:hAnsi="宋体"/>
          <w:color w:val="000000" w:themeColor="text1"/>
        </w:rPr>
      </w:pPr>
      <w:r>
        <w:rPr>
          <w:rFonts w:hint="eastAsia" w:ascii="宋体" w:hAnsi="宋体"/>
          <w:color w:val="000000" w:themeColor="text1"/>
        </w:rPr>
        <w:t>一、适用规范和标准</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 工程测量规范(GBJ50026-93)</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 xml:space="preserve">2.民用建筑设计通则(GB50352-2005) </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 xml:space="preserve">3.建筑地基基础施工质量验收规范(GB50202—2002) </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4.混凝土结构工程施工质量验收规范(GB50204-2002)</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5.建筑地面工程施工质量验收规范(GB50209-2002)</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6.住宅装饰装修工程施工规范(GB50327-2001)</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7.建筑工程施工质量验收统一标准(GB50300-2001)</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8.建筑工程质量检验评定标准(000000)</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9.建筑防腐蚀工程质量检验评定标准(GB50224-95</w:t>
      </w:r>
      <w:r>
        <w:rPr>
          <w:rFonts w:ascii="宋体" w:hAnsi="宋体"/>
          <w:color w:val="000000" w:themeColor="text1"/>
        </w:rPr>
        <w:t>)</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10.混凝土质量控制标准(GB50164-92</w:t>
      </w:r>
      <w:r>
        <w:rPr>
          <w:rFonts w:ascii="宋体" w:hAnsi="宋体"/>
          <w:color w:val="000000" w:themeColor="text1"/>
        </w:rPr>
        <w:t>)</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11.建筑节能工程施工验收规范（GB50411-2007）</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12.建筑施工安全检查办法(JGJ59-99)</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13.建筑施工高处作业安全技术规程(JGJ80-91)</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14.建筑机械使用安全技术规程(JGJ33-2001)</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15.施工现场临时用电安全技术规程(JGJ46-88)</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16.建设工程施工现场供用电安全规范(GB50194-93)</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17.建筑装饰装修工程质量验收规范（GB50210-2001）</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18.民用建筑工程室内环境污染控制规范（GB50325-2001）</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19.木结构工程施工质量验收规范(GB50206-2002)</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20.建筑设计防火规范(GB50016-2006)</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21.设计单位设计的施工图中涉及到的规范、规程和标准图集及相关技术要求。</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22．工程建设标准强制性条文（房屋建筑部分）</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23．建筑给排水设计规范（GB50015-2003）</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24．民用建筑电气设计规范（JGJ16-2008）</w:t>
      </w:r>
    </w:p>
    <w:p>
      <w:pPr>
        <w:autoSpaceDE w:val="0"/>
        <w:autoSpaceDN w:val="0"/>
        <w:adjustRightInd w:val="0"/>
        <w:spacing w:before="0" w:beforeAutospacing="0" w:after="0" w:afterAutospacing="0" w:line="420" w:lineRule="exact"/>
        <w:ind w:left="120" w:right="84"/>
        <w:rPr>
          <w:rFonts w:ascii="宋体" w:hAnsi="宋体"/>
          <w:color w:val="000000" w:themeColor="text1"/>
        </w:rPr>
      </w:pPr>
      <w:r>
        <w:rPr>
          <w:rFonts w:hint="eastAsia" w:ascii="宋体" w:hAnsi="宋体"/>
          <w:color w:val="000000" w:themeColor="text1"/>
        </w:rPr>
        <w:t>25．建筑照明设计标准（GB50034-2004）</w:t>
      </w:r>
    </w:p>
    <w:p>
      <w:pPr>
        <w:autoSpaceDE w:val="0"/>
        <w:autoSpaceDN w:val="0"/>
        <w:adjustRightInd w:val="0"/>
        <w:spacing w:before="0" w:beforeAutospacing="0" w:after="0" w:afterAutospacing="0" w:line="420" w:lineRule="exact"/>
        <w:ind w:left="120" w:right="84"/>
        <w:rPr>
          <w:rStyle w:val="54"/>
          <w:color w:val="000000" w:themeColor="text1"/>
        </w:rPr>
      </w:pPr>
      <w:r>
        <w:rPr>
          <w:rFonts w:hint="eastAsia" w:ascii="宋体" w:hAnsi="宋体"/>
          <w:color w:val="000000" w:themeColor="text1"/>
        </w:rPr>
        <w:t>备注：</w:t>
      </w:r>
      <w:r>
        <w:rPr>
          <w:rFonts w:ascii="宋体" w:hAnsi="宋体"/>
          <w:color w:val="000000" w:themeColor="text1"/>
        </w:rPr>
        <w:t>上述标准、规范及规程仅是本工程建筑</w:t>
      </w:r>
      <w:r>
        <w:rPr>
          <w:rFonts w:hint="eastAsia" w:ascii="宋体" w:hAnsi="宋体"/>
          <w:color w:val="000000" w:themeColor="text1"/>
        </w:rPr>
        <w:t>装饰装修工程</w:t>
      </w:r>
      <w:r>
        <w:rPr>
          <w:rFonts w:ascii="宋体" w:hAnsi="宋体"/>
          <w:color w:val="000000" w:themeColor="text1"/>
        </w:rPr>
        <w:t>的最基本依据，并未包括实施中所涉及到的所有标准、规范和规程，</w:t>
      </w:r>
      <w:r>
        <w:rPr>
          <w:rFonts w:hint="eastAsia" w:ascii="宋体" w:hAnsi="宋体"/>
          <w:color w:val="000000" w:themeColor="text1"/>
        </w:rPr>
        <w:t>并且所用标准和技术规范</w:t>
      </w:r>
      <w:r>
        <w:rPr>
          <w:rFonts w:ascii="宋体" w:hAnsi="宋体"/>
          <w:color w:val="000000" w:themeColor="text1"/>
        </w:rPr>
        <w:t>均应为合同签订之日为止时的最</w:t>
      </w:r>
      <w:r>
        <w:rPr>
          <w:rFonts w:hint="eastAsia" w:ascii="宋体" w:hAnsi="宋体"/>
          <w:color w:val="000000" w:themeColor="text1"/>
        </w:rPr>
        <w:t>新版本。</w:t>
      </w:r>
    </w:p>
    <w:p>
      <w:pPr>
        <w:rPr>
          <w:color w:val="000000" w:themeColor="text1"/>
          <w:szCs w:val="24"/>
        </w:rPr>
      </w:pPr>
    </w:p>
    <w:p>
      <w:pPr>
        <w:spacing w:line="240" w:lineRule="auto"/>
        <w:rPr>
          <w:color w:val="000000" w:themeColor="text1"/>
        </w:rPr>
      </w:pPr>
    </w:p>
    <w:p>
      <w:pPr>
        <w:pStyle w:val="41"/>
        <w:rPr>
          <w:b/>
          <w:color w:val="000000" w:themeColor="text1"/>
        </w:rPr>
      </w:pPr>
      <w:bookmarkStart w:id="507" w:name="_Toc487215016"/>
      <w:bookmarkStart w:id="508" w:name="_Toc527970792"/>
      <w:bookmarkStart w:id="509" w:name="_Toc534808263"/>
      <w:r>
        <w:rPr>
          <w:rFonts w:hint="eastAsia"/>
          <w:b/>
          <w:color w:val="000000" w:themeColor="text1"/>
        </w:rPr>
        <w:t>第七章 响应文件格式</w:t>
      </w:r>
      <w:bookmarkEnd w:id="505"/>
      <w:bookmarkEnd w:id="507"/>
      <w:bookmarkEnd w:id="508"/>
      <w:bookmarkEnd w:id="509"/>
    </w:p>
    <w:p>
      <w:pPr>
        <w:spacing w:line="240" w:lineRule="auto"/>
        <w:ind w:firstLine="480" w:firstLineChars="200"/>
        <w:rPr>
          <w:color w:val="000000" w:themeColor="text1"/>
        </w:rPr>
      </w:pPr>
    </w:p>
    <w:p>
      <w:pPr>
        <w:autoSpaceDE w:val="0"/>
        <w:autoSpaceDN w:val="0"/>
        <w:adjustRightInd w:val="0"/>
        <w:spacing w:line="240" w:lineRule="auto"/>
        <w:ind w:right="120" w:rightChars="50" w:firstLine="380" w:firstLineChars="200"/>
        <w:rPr>
          <w:color w:val="000000" w:themeColor="text1"/>
          <w:sz w:val="19"/>
        </w:rPr>
      </w:pPr>
    </w:p>
    <w:p>
      <w:pPr>
        <w:autoSpaceDE w:val="0"/>
        <w:autoSpaceDN w:val="0"/>
        <w:adjustRightInd w:val="0"/>
        <w:spacing w:line="240" w:lineRule="auto"/>
        <w:ind w:right="120" w:rightChars="50" w:firstLine="380" w:firstLineChars="200"/>
        <w:rPr>
          <w:color w:val="000000" w:themeColor="text1"/>
          <w:sz w:val="19"/>
        </w:rPr>
      </w:pPr>
    </w:p>
    <w:p>
      <w:pPr>
        <w:autoSpaceDE w:val="0"/>
        <w:autoSpaceDN w:val="0"/>
        <w:adjustRightInd w:val="0"/>
        <w:spacing w:before="15" w:line="240" w:lineRule="auto"/>
        <w:ind w:right="120" w:rightChars="50"/>
        <w:jc w:val="center"/>
        <w:rPr>
          <w:b/>
          <w:color w:val="000000" w:themeColor="text1"/>
          <w:sz w:val="72"/>
          <w:szCs w:val="72"/>
        </w:rPr>
      </w:pPr>
      <w:r>
        <w:rPr>
          <w:rFonts w:hint="eastAsia"/>
          <w:b/>
          <w:color w:val="000000" w:themeColor="text1"/>
          <w:sz w:val="72"/>
          <w:szCs w:val="72"/>
        </w:rPr>
        <w:t>竞争性磋商响应文件</w:t>
      </w:r>
    </w:p>
    <w:p>
      <w:pPr>
        <w:spacing w:line="240" w:lineRule="auto"/>
        <w:ind w:firstLine="562" w:firstLineChars="200"/>
        <w:rPr>
          <w:b/>
          <w:color w:val="000000" w:themeColor="text1"/>
          <w:sz w:val="28"/>
          <w:szCs w:val="28"/>
        </w:rPr>
      </w:pPr>
    </w:p>
    <w:p>
      <w:pPr>
        <w:spacing w:line="240" w:lineRule="auto"/>
        <w:ind w:firstLine="562" w:firstLineChars="200"/>
        <w:rPr>
          <w:b/>
          <w:color w:val="000000" w:themeColor="text1"/>
          <w:sz w:val="28"/>
          <w:szCs w:val="28"/>
        </w:rPr>
      </w:pPr>
    </w:p>
    <w:p>
      <w:pPr>
        <w:spacing w:line="240" w:lineRule="auto"/>
        <w:ind w:left="1440" w:leftChars="600" w:firstLine="562" w:firstLineChars="200"/>
        <w:rPr>
          <w:b/>
          <w:color w:val="000000" w:themeColor="text1"/>
          <w:sz w:val="28"/>
          <w:szCs w:val="28"/>
          <w:u w:val="single"/>
        </w:rPr>
      </w:pPr>
      <w:r>
        <w:rPr>
          <w:rFonts w:hint="eastAsia"/>
          <w:b/>
          <w:color w:val="000000" w:themeColor="text1"/>
          <w:sz w:val="28"/>
          <w:szCs w:val="28"/>
        </w:rPr>
        <w:t>项目编号：</w:t>
      </w:r>
    </w:p>
    <w:p>
      <w:pPr>
        <w:spacing w:line="240" w:lineRule="auto"/>
        <w:ind w:left="1440" w:leftChars="600" w:firstLine="562" w:firstLineChars="200"/>
        <w:rPr>
          <w:b/>
          <w:color w:val="000000" w:themeColor="text1"/>
          <w:sz w:val="28"/>
          <w:szCs w:val="28"/>
        </w:rPr>
      </w:pPr>
      <w:r>
        <w:rPr>
          <w:rFonts w:hint="eastAsia"/>
          <w:b/>
          <w:color w:val="000000" w:themeColor="text1"/>
          <w:sz w:val="28"/>
          <w:szCs w:val="28"/>
        </w:rPr>
        <w:t>项目名称：</w:t>
      </w:r>
    </w:p>
    <w:p>
      <w:pPr>
        <w:spacing w:line="240" w:lineRule="auto"/>
        <w:ind w:firstLine="562" w:firstLineChars="200"/>
        <w:rPr>
          <w:b/>
          <w:color w:val="000000" w:themeColor="text1"/>
          <w:sz w:val="28"/>
          <w:szCs w:val="28"/>
        </w:rPr>
      </w:pPr>
    </w:p>
    <w:p>
      <w:pPr>
        <w:autoSpaceDE w:val="0"/>
        <w:autoSpaceDN w:val="0"/>
        <w:adjustRightInd w:val="0"/>
        <w:spacing w:line="240" w:lineRule="auto"/>
        <w:ind w:right="120" w:rightChars="50" w:firstLine="540" w:firstLineChars="200"/>
        <w:rPr>
          <w:color w:val="000000" w:themeColor="text1"/>
          <w:sz w:val="27"/>
        </w:rPr>
      </w:pPr>
    </w:p>
    <w:p>
      <w:pPr>
        <w:autoSpaceDE w:val="0"/>
        <w:autoSpaceDN w:val="0"/>
        <w:adjustRightInd w:val="0"/>
        <w:spacing w:line="240" w:lineRule="auto"/>
        <w:ind w:right="120" w:rightChars="50" w:firstLine="540" w:firstLineChars="200"/>
        <w:rPr>
          <w:color w:val="000000" w:themeColor="text1"/>
          <w:sz w:val="27"/>
        </w:rPr>
      </w:pPr>
    </w:p>
    <w:p>
      <w:pPr>
        <w:autoSpaceDE w:val="0"/>
        <w:autoSpaceDN w:val="0"/>
        <w:adjustRightInd w:val="0"/>
        <w:spacing w:line="240" w:lineRule="auto"/>
        <w:ind w:right="120" w:rightChars="50" w:firstLine="540" w:firstLineChars="200"/>
        <w:rPr>
          <w:color w:val="000000" w:themeColor="text1"/>
          <w:sz w:val="27"/>
        </w:rPr>
      </w:pPr>
    </w:p>
    <w:p>
      <w:pPr>
        <w:autoSpaceDE w:val="0"/>
        <w:autoSpaceDN w:val="0"/>
        <w:adjustRightInd w:val="0"/>
        <w:spacing w:line="240" w:lineRule="auto"/>
        <w:ind w:right="120" w:rightChars="50" w:firstLine="540" w:firstLineChars="200"/>
        <w:rPr>
          <w:color w:val="000000" w:themeColor="text1"/>
          <w:sz w:val="27"/>
        </w:rPr>
      </w:pPr>
    </w:p>
    <w:p>
      <w:pPr>
        <w:autoSpaceDE w:val="0"/>
        <w:autoSpaceDN w:val="0"/>
        <w:adjustRightInd w:val="0"/>
        <w:spacing w:line="240" w:lineRule="auto"/>
        <w:ind w:right="120" w:rightChars="50" w:firstLine="540" w:firstLineChars="200"/>
        <w:rPr>
          <w:color w:val="000000" w:themeColor="text1"/>
          <w:sz w:val="27"/>
        </w:rPr>
      </w:pPr>
    </w:p>
    <w:p>
      <w:pPr>
        <w:spacing w:line="240" w:lineRule="auto"/>
        <w:ind w:firstLine="1928" w:firstLineChars="800"/>
        <w:rPr>
          <w:color w:val="000000" w:themeColor="text1"/>
        </w:rPr>
      </w:pPr>
      <w:r>
        <w:rPr>
          <w:rFonts w:hint="eastAsia"/>
          <w:b/>
          <w:color w:val="000000" w:themeColor="text1"/>
        </w:rPr>
        <w:t>磋商单位：</w:t>
      </w:r>
      <w:r>
        <w:rPr>
          <w:rFonts w:hAnsi="宋体"/>
          <w:color w:val="000000" w:themeColor="text1"/>
          <w:w w:val="99"/>
          <w:sz w:val="27"/>
        </w:rPr>
        <w:t>（盖单位</w:t>
      </w:r>
      <w:r>
        <w:rPr>
          <w:rFonts w:hint="eastAsia" w:hAnsi="宋体"/>
          <w:color w:val="000000" w:themeColor="text1"/>
          <w:w w:val="99"/>
          <w:sz w:val="27"/>
        </w:rPr>
        <w:t>公</w:t>
      </w:r>
      <w:r>
        <w:rPr>
          <w:rFonts w:hAnsi="宋体"/>
          <w:color w:val="000000" w:themeColor="text1"/>
          <w:w w:val="99"/>
          <w:sz w:val="27"/>
        </w:rPr>
        <w:t>章）</w:t>
      </w:r>
    </w:p>
    <w:p>
      <w:pPr>
        <w:spacing w:line="240" w:lineRule="auto"/>
        <w:ind w:firstLine="1928" w:firstLineChars="800"/>
        <w:rPr>
          <w:rFonts w:hAnsi="宋体"/>
          <w:color w:val="000000" w:themeColor="text1"/>
          <w:w w:val="99"/>
          <w:sz w:val="27"/>
        </w:rPr>
      </w:pPr>
      <w:r>
        <w:rPr>
          <w:b/>
          <w:color w:val="000000" w:themeColor="text1"/>
        </w:rPr>
        <w:t>法定代表人或其委托代理人：</w:t>
      </w:r>
      <w:r>
        <w:rPr>
          <w:color w:val="000000" w:themeColor="text1"/>
          <w:sz w:val="27"/>
          <w:u w:val="single"/>
        </w:rPr>
        <w:tab/>
      </w:r>
      <w:r>
        <w:rPr>
          <w:color w:val="000000" w:themeColor="text1"/>
          <w:sz w:val="27"/>
          <w:u w:val="single"/>
        </w:rPr>
        <w:tab/>
      </w:r>
      <w:r>
        <w:rPr>
          <w:rFonts w:hAnsi="宋体"/>
          <w:color w:val="000000" w:themeColor="text1"/>
          <w:w w:val="99"/>
          <w:sz w:val="27"/>
        </w:rPr>
        <w:t>（签字）</w:t>
      </w:r>
    </w:p>
    <w:p>
      <w:pPr>
        <w:spacing w:line="240" w:lineRule="auto"/>
        <w:ind w:firstLine="1928" w:firstLineChars="800"/>
        <w:rPr>
          <w:b/>
          <w:color w:val="000000" w:themeColor="text1"/>
        </w:rPr>
      </w:pPr>
      <w:r>
        <w:rPr>
          <w:rFonts w:hint="eastAsia"/>
          <w:b/>
          <w:color w:val="000000" w:themeColor="text1"/>
        </w:rPr>
        <w:t>日期：年月日</w:t>
      </w:r>
    </w:p>
    <w:p>
      <w:pPr>
        <w:spacing w:before="0" w:beforeAutospacing="0" w:after="0" w:afterAutospacing="0" w:line="240" w:lineRule="auto"/>
        <w:rPr>
          <w:b/>
          <w:color w:val="000000" w:themeColor="text1"/>
        </w:rPr>
      </w:pPr>
      <w:r>
        <w:rPr>
          <w:b/>
          <w:color w:val="000000" w:themeColor="text1"/>
        </w:rPr>
        <w:br w:type="page"/>
      </w:r>
    </w:p>
    <w:p>
      <w:pPr>
        <w:pStyle w:val="161"/>
        <w:spacing w:line="240" w:lineRule="auto"/>
        <w:jc w:val="center"/>
        <w:rPr>
          <w:color w:val="000000" w:themeColor="text1"/>
        </w:rPr>
      </w:pPr>
      <w:bookmarkStart w:id="510" w:name="_Toc152042576"/>
      <w:bookmarkStart w:id="511" w:name="_Toc522025892"/>
      <w:bookmarkStart w:id="512" w:name="_Toc378324946"/>
      <w:bookmarkStart w:id="513" w:name="_Toc527970793"/>
      <w:bookmarkStart w:id="514" w:name="_Toc144974856"/>
      <w:bookmarkStart w:id="515" w:name="_Toc378324394"/>
      <w:bookmarkStart w:id="516" w:name="_Toc487215017"/>
      <w:bookmarkStart w:id="517" w:name="_Toc527978803"/>
      <w:bookmarkStart w:id="518" w:name="_Toc152045787"/>
      <w:bookmarkStart w:id="519" w:name="_Toc449194268"/>
      <w:bookmarkStart w:id="520" w:name="_Toc449193615"/>
      <w:bookmarkStart w:id="521" w:name="_Toc179632807"/>
      <w:bookmarkStart w:id="522" w:name="_Toc534808264"/>
      <w:bookmarkStart w:id="523" w:name="_Toc302050275"/>
      <w:bookmarkStart w:id="524" w:name="_Toc302051563"/>
      <w:r>
        <w:rPr>
          <w:rFonts w:hint="eastAsia"/>
          <w:color w:val="000000" w:themeColor="text1"/>
        </w:rPr>
        <w:t>目  录</w:t>
      </w:r>
      <w:bookmarkEnd w:id="510"/>
      <w:bookmarkEnd w:id="511"/>
      <w:bookmarkEnd w:id="512"/>
      <w:bookmarkEnd w:id="513"/>
      <w:bookmarkEnd w:id="514"/>
      <w:bookmarkEnd w:id="515"/>
      <w:bookmarkEnd w:id="516"/>
      <w:bookmarkEnd w:id="517"/>
      <w:bookmarkEnd w:id="518"/>
      <w:bookmarkEnd w:id="519"/>
      <w:bookmarkEnd w:id="520"/>
      <w:bookmarkEnd w:id="521"/>
      <w:bookmarkEnd w:id="522"/>
    </w:p>
    <w:p>
      <w:pPr>
        <w:widowControl w:val="0"/>
        <w:spacing w:before="0" w:beforeAutospacing="0" w:after="0" w:afterAutospacing="0" w:line="240" w:lineRule="auto"/>
        <w:ind w:firstLine="480" w:firstLineChars="200"/>
        <w:jc w:val="both"/>
        <w:rPr>
          <w:rFonts w:ascii="宋体" w:hAnsi="宋体" w:cs="Arial"/>
          <w:color w:val="000000" w:themeColor="text1"/>
          <w:kern w:val="2"/>
          <w:szCs w:val="24"/>
        </w:rPr>
      </w:pPr>
      <w:bookmarkStart w:id="525" w:name="_Toc449194269"/>
      <w:bookmarkStart w:id="526" w:name="_Toc449193616"/>
      <w:bookmarkStart w:id="527" w:name="_Toc152045788"/>
      <w:bookmarkStart w:id="528" w:name="_Toc152042577"/>
      <w:bookmarkStart w:id="529" w:name="_Toc179632808"/>
      <w:bookmarkStart w:id="530" w:name="_Toc378324395"/>
      <w:bookmarkStart w:id="531" w:name="_Toc487215018"/>
      <w:bookmarkStart w:id="532" w:name="_Toc378324947"/>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报价函及其附录；</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法定代表人身份证明及授权委托书；</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磋商保证金；</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已标价工程量清单；</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商务、技术条款偏差表；</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资格证明文件；</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小微企业、监狱企业、残疾人福利单位的声明函或证明材料（如有）</w:t>
      </w:r>
      <w:r>
        <w:rPr>
          <w:rFonts w:ascii="宋体" w:hAnsi="宋体" w:cs="黑体"/>
          <w:color w:val="000000" w:themeColor="text1"/>
        </w:rPr>
        <w:t>；</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项目管理机构；</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项目业绩一览表；</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施工服务方案；</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hint="eastAsia" w:ascii="宋体" w:hAnsi="宋体" w:cs="黑体"/>
          <w:color w:val="000000" w:themeColor="text1"/>
        </w:rPr>
        <w:t>磋商文件要求的其他内容以及供应商认为必要的其他内容；</w:t>
      </w:r>
    </w:p>
    <w:p>
      <w:pPr>
        <w:widowControl w:val="0"/>
        <w:numPr>
          <w:ilvl w:val="0"/>
          <w:numId w:val="2"/>
        </w:numPr>
        <w:autoSpaceDE w:val="0"/>
        <w:autoSpaceDN w:val="0"/>
        <w:adjustRightInd w:val="0"/>
        <w:snapToGrid w:val="0"/>
        <w:spacing w:before="0" w:beforeAutospacing="0" w:after="0" w:afterAutospacing="0"/>
        <w:ind w:left="0" w:firstLine="0"/>
        <w:jc w:val="both"/>
        <w:rPr>
          <w:rFonts w:ascii="宋体" w:hAnsi="宋体" w:cs="黑体"/>
          <w:color w:val="000000" w:themeColor="text1"/>
        </w:rPr>
      </w:pPr>
      <w:r>
        <w:rPr>
          <w:rFonts w:ascii="宋体" w:hAnsi="宋体" w:cs="黑体"/>
          <w:color w:val="000000" w:themeColor="text1"/>
        </w:rPr>
        <w:t>最后报价函</w:t>
      </w:r>
      <w:r>
        <w:rPr>
          <w:rFonts w:hint="eastAsia" w:ascii="宋体" w:hAnsi="宋体" w:cs="黑体"/>
          <w:color w:val="000000" w:themeColor="text1"/>
        </w:rPr>
        <w:t>。</w:t>
      </w:r>
      <w:r>
        <w:rPr>
          <w:color w:val="000000" w:themeColor="text1"/>
        </w:rPr>
        <w:br w:type="page"/>
      </w:r>
    </w:p>
    <w:p>
      <w:pPr>
        <w:keepNext/>
        <w:keepLines/>
        <w:spacing w:line="240" w:lineRule="auto"/>
        <w:ind w:firstLine="562" w:firstLineChars="200"/>
        <w:jc w:val="center"/>
        <w:outlineLvl w:val="1"/>
        <w:rPr>
          <w:rFonts w:asciiTheme="minorEastAsia" w:hAnsiTheme="minorEastAsia" w:eastAsiaTheme="minorEastAsia"/>
          <w:b/>
          <w:color w:val="000000" w:themeColor="text1"/>
          <w:sz w:val="28"/>
        </w:rPr>
      </w:pPr>
      <w:bookmarkStart w:id="533" w:name="_Toc534808265"/>
      <w:bookmarkStart w:id="534" w:name="_Toc527970795"/>
      <w:bookmarkStart w:id="535" w:name="_Toc527978805"/>
      <w:r>
        <w:rPr>
          <w:rFonts w:hint="eastAsia" w:asciiTheme="minorEastAsia" w:hAnsiTheme="minorEastAsia" w:eastAsiaTheme="minorEastAsia"/>
          <w:b/>
          <w:color w:val="000000" w:themeColor="text1"/>
          <w:sz w:val="28"/>
        </w:rPr>
        <w:t>一、报价函及其附录</w:t>
      </w:r>
      <w:bookmarkEnd w:id="533"/>
    </w:p>
    <w:p>
      <w:pPr>
        <w:pStyle w:val="8"/>
        <w:jc w:val="center"/>
        <w:rPr>
          <w:color w:val="000000" w:themeColor="text1"/>
        </w:rPr>
      </w:pPr>
      <w:r>
        <w:rPr>
          <w:color w:val="000000" w:themeColor="text1"/>
        </w:rPr>
        <w:t>（</w:t>
      </w:r>
      <w:r>
        <w:rPr>
          <w:rFonts w:hint="eastAsia"/>
          <w:color w:val="000000" w:themeColor="text1"/>
        </w:rPr>
        <w:t>1</w:t>
      </w:r>
      <w:r>
        <w:rPr>
          <w:color w:val="000000" w:themeColor="text1"/>
        </w:rPr>
        <w:t>）</w:t>
      </w:r>
      <w:r>
        <w:rPr>
          <w:rFonts w:hint="eastAsia"/>
          <w:color w:val="000000" w:themeColor="text1"/>
        </w:rPr>
        <w:t>一次报价</w:t>
      </w:r>
      <w:r>
        <w:rPr>
          <w:color w:val="000000" w:themeColor="text1"/>
        </w:rPr>
        <w:t>函</w:t>
      </w:r>
      <w:bookmarkEnd w:id="534"/>
      <w:bookmarkEnd w:id="535"/>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u w:val="single"/>
        </w:rPr>
      </w:pPr>
      <w:r>
        <w:rPr>
          <w:rFonts w:asciiTheme="minorEastAsia" w:hAnsiTheme="minorEastAsia" w:eastAsiaTheme="minorEastAsia"/>
          <w:color w:val="000000" w:themeColor="text1"/>
          <w:szCs w:val="24"/>
          <w:u w:val="single"/>
        </w:rPr>
        <w:t>（采购人名称）：</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1．我方已仔细研究了</w:t>
      </w:r>
      <w:r>
        <w:rPr>
          <w:rFonts w:hint="eastAsia" w:asciiTheme="minorEastAsia" w:hAnsiTheme="minorEastAsia" w:eastAsiaTheme="minorEastAsia"/>
          <w:color w:val="000000" w:themeColor="text1"/>
          <w:szCs w:val="24"/>
        </w:rPr>
        <w:t>项目（项目编号：）竞争性磋商</w:t>
      </w:r>
      <w:r>
        <w:rPr>
          <w:rFonts w:asciiTheme="minorEastAsia" w:hAnsiTheme="minorEastAsia" w:eastAsiaTheme="minorEastAsia"/>
          <w:color w:val="000000" w:themeColor="text1"/>
          <w:szCs w:val="24"/>
        </w:rPr>
        <w:t>文件</w:t>
      </w:r>
      <w:r>
        <w:rPr>
          <w:rFonts w:hint="eastAsia" w:cs="仿宋_GB2312" w:asciiTheme="minorEastAsia" w:hAnsiTheme="minorEastAsia" w:eastAsiaTheme="minorEastAsia"/>
          <w:color w:val="000000" w:themeColor="text1"/>
        </w:rPr>
        <w:t>（包括修改、澄清文件）</w:t>
      </w:r>
      <w:r>
        <w:rPr>
          <w:rFonts w:asciiTheme="minorEastAsia" w:hAnsiTheme="minorEastAsia" w:eastAsiaTheme="minorEastAsia"/>
          <w:color w:val="000000" w:themeColor="text1"/>
          <w:szCs w:val="24"/>
        </w:rPr>
        <w:t>的全部内容，</w:t>
      </w:r>
      <w:r>
        <w:rPr>
          <w:rFonts w:hint="eastAsia" w:cs="仿宋_GB2312" w:asciiTheme="minorEastAsia" w:hAnsiTheme="minorEastAsia" w:eastAsiaTheme="minorEastAsia"/>
          <w:color w:val="000000" w:themeColor="text1"/>
        </w:rPr>
        <w:t>且对磋商文件无任何异议，</w:t>
      </w:r>
      <w:r>
        <w:rPr>
          <w:rFonts w:asciiTheme="minorEastAsia" w:hAnsiTheme="minorEastAsia" w:eastAsiaTheme="minorEastAsia"/>
          <w:color w:val="000000" w:themeColor="text1"/>
          <w:szCs w:val="24"/>
        </w:rPr>
        <w:t>愿意以人民币（大写）元（¥）的总价，</w:t>
      </w:r>
      <w:r>
        <w:rPr>
          <w:rFonts w:hint="eastAsia" w:asciiTheme="minorEastAsia" w:hAnsiTheme="minorEastAsia" w:eastAsiaTheme="minorEastAsia"/>
          <w:color w:val="000000" w:themeColor="text1"/>
          <w:szCs w:val="24"/>
        </w:rPr>
        <w:t>工期日历天，</w:t>
      </w:r>
      <w:r>
        <w:rPr>
          <w:rFonts w:asciiTheme="minorEastAsia" w:hAnsiTheme="minorEastAsia" w:eastAsiaTheme="minorEastAsia"/>
          <w:color w:val="000000" w:themeColor="text1"/>
          <w:szCs w:val="24"/>
        </w:rPr>
        <w:t>按合同约定实施和完成承包工程，修补工程中的任何缺陷，工程质量达到。</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2．我方承诺在</w:t>
      </w:r>
      <w:r>
        <w:rPr>
          <w:rFonts w:hint="eastAsia" w:asciiTheme="minorEastAsia" w:hAnsiTheme="minorEastAsia" w:eastAsiaTheme="minorEastAsia"/>
          <w:color w:val="000000" w:themeColor="text1"/>
          <w:szCs w:val="24"/>
        </w:rPr>
        <w:t>响应</w:t>
      </w:r>
      <w:r>
        <w:rPr>
          <w:rFonts w:asciiTheme="minorEastAsia" w:hAnsiTheme="minorEastAsia" w:eastAsiaTheme="minorEastAsia"/>
          <w:color w:val="000000" w:themeColor="text1"/>
          <w:szCs w:val="24"/>
        </w:rPr>
        <w:t>有效期内不</w:t>
      </w:r>
      <w:r>
        <w:rPr>
          <w:rFonts w:hint="eastAsia" w:asciiTheme="minorEastAsia" w:hAnsiTheme="minorEastAsia" w:eastAsiaTheme="minorEastAsia"/>
          <w:color w:val="000000" w:themeColor="text1"/>
          <w:szCs w:val="24"/>
        </w:rPr>
        <w:t>补充、</w:t>
      </w:r>
      <w:r>
        <w:rPr>
          <w:rFonts w:asciiTheme="minorEastAsia" w:hAnsiTheme="minorEastAsia" w:eastAsiaTheme="minorEastAsia"/>
          <w:color w:val="000000" w:themeColor="text1"/>
          <w:szCs w:val="24"/>
        </w:rPr>
        <w:t>修改、</w:t>
      </w:r>
      <w:r>
        <w:rPr>
          <w:rFonts w:hint="eastAsia" w:asciiTheme="minorEastAsia" w:hAnsiTheme="minorEastAsia" w:eastAsiaTheme="minorEastAsia"/>
          <w:color w:val="000000" w:themeColor="text1"/>
          <w:szCs w:val="24"/>
        </w:rPr>
        <w:t>替换或者撤回本</w:t>
      </w:r>
      <w:r>
        <w:rPr>
          <w:rFonts w:hint="eastAsia" w:asciiTheme="minorEastAsia" w:hAnsiTheme="minorEastAsia" w:eastAsiaTheme="minorEastAsia"/>
          <w:color w:val="000000" w:themeColor="text1"/>
          <w:kern w:val="2"/>
          <w:szCs w:val="24"/>
        </w:rPr>
        <w:t>响应</w:t>
      </w:r>
      <w:r>
        <w:rPr>
          <w:rFonts w:asciiTheme="minorEastAsia" w:hAnsiTheme="minorEastAsia" w:eastAsiaTheme="minorEastAsia"/>
          <w:color w:val="000000" w:themeColor="text1"/>
          <w:szCs w:val="24"/>
        </w:rPr>
        <w:t>文件。</w:t>
      </w:r>
      <w:r>
        <w:rPr>
          <w:rFonts w:hint="eastAsia" w:cs="TimesNewRomanPSMT" w:asciiTheme="minorEastAsia" w:hAnsiTheme="minorEastAsia" w:eastAsiaTheme="minorEastAsia"/>
          <w:color w:val="000000" w:themeColor="text1"/>
        </w:rPr>
        <w:t>否则，你方可不予退还我方的磋商保证金。</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3．随同本</w:t>
      </w:r>
      <w:r>
        <w:rPr>
          <w:rFonts w:hint="eastAsia" w:asciiTheme="minorEastAsia" w:hAnsiTheme="minorEastAsia" w:eastAsiaTheme="minorEastAsia"/>
          <w:color w:val="000000" w:themeColor="text1"/>
          <w:szCs w:val="24"/>
        </w:rPr>
        <w:t>响应</w:t>
      </w:r>
      <w:r>
        <w:rPr>
          <w:rFonts w:asciiTheme="minorEastAsia" w:hAnsiTheme="minorEastAsia" w:eastAsiaTheme="minorEastAsia"/>
          <w:color w:val="000000" w:themeColor="text1"/>
          <w:szCs w:val="24"/>
        </w:rPr>
        <w:t>函</w:t>
      </w:r>
      <w:r>
        <w:rPr>
          <w:rFonts w:hint="eastAsia" w:asciiTheme="minorEastAsia" w:hAnsiTheme="minorEastAsia" w:eastAsiaTheme="minorEastAsia"/>
          <w:color w:val="000000" w:themeColor="text1"/>
          <w:szCs w:val="24"/>
        </w:rPr>
        <w:t>递交竞争性磋商</w:t>
      </w:r>
      <w:r>
        <w:rPr>
          <w:rFonts w:asciiTheme="minorEastAsia" w:hAnsiTheme="minorEastAsia" w:eastAsiaTheme="minorEastAsia"/>
          <w:color w:val="000000" w:themeColor="text1"/>
          <w:szCs w:val="24"/>
        </w:rPr>
        <w:t>保证金一份，金额为人民币（大写）元（¥ ）。</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4．如我方中标：</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（1）我方承诺在收到</w:t>
      </w:r>
      <w:r>
        <w:rPr>
          <w:rFonts w:hint="eastAsia" w:asciiTheme="minorEastAsia" w:hAnsiTheme="minorEastAsia" w:eastAsiaTheme="minorEastAsia"/>
          <w:color w:val="000000" w:themeColor="text1"/>
          <w:szCs w:val="24"/>
        </w:rPr>
        <w:t>成交</w:t>
      </w:r>
      <w:r>
        <w:rPr>
          <w:rFonts w:asciiTheme="minorEastAsia" w:hAnsiTheme="minorEastAsia" w:eastAsiaTheme="minorEastAsia"/>
          <w:color w:val="000000" w:themeColor="text1"/>
          <w:szCs w:val="24"/>
        </w:rPr>
        <w:t>通知书后，在</w:t>
      </w:r>
      <w:r>
        <w:rPr>
          <w:rFonts w:hint="eastAsia" w:asciiTheme="minorEastAsia" w:hAnsiTheme="minorEastAsia" w:eastAsiaTheme="minorEastAsia"/>
          <w:color w:val="000000" w:themeColor="text1"/>
          <w:szCs w:val="24"/>
        </w:rPr>
        <w:t>成交</w:t>
      </w:r>
      <w:r>
        <w:rPr>
          <w:rFonts w:asciiTheme="minorEastAsia" w:hAnsiTheme="minorEastAsia" w:eastAsiaTheme="minorEastAsia"/>
          <w:color w:val="000000" w:themeColor="text1"/>
          <w:szCs w:val="24"/>
        </w:rPr>
        <w:t>通知书规定的期限内与你方签订合同。</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（2）随同本函递交的</w:t>
      </w:r>
      <w:r>
        <w:rPr>
          <w:rFonts w:hint="eastAsia" w:asciiTheme="minorEastAsia" w:hAnsiTheme="minorEastAsia" w:eastAsiaTheme="minorEastAsia"/>
          <w:color w:val="000000" w:themeColor="text1"/>
          <w:szCs w:val="24"/>
        </w:rPr>
        <w:t>响应</w:t>
      </w:r>
      <w:r>
        <w:rPr>
          <w:rFonts w:asciiTheme="minorEastAsia" w:hAnsiTheme="minorEastAsia" w:eastAsiaTheme="minorEastAsia"/>
          <w:color w:val="000000" w:themeColor="text1"/>
          <w:szCs w:val="24"/>
        </w:rPr>
        <w:t>函附录属于合同文件的组成部分。</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（3）我方承诺按照</w:t>
      </w:r>
      <w:r>
        <w:rPr>
          <w:rFonts w:hint="eastAsia" w:asciiTheme="minorEastAsia" w:hAnsiTheme="minorEastAsia" w:eastAsiaTheme="minorEastAsia"/>
          <w:color w:val="000000" w:themeColor="text1"/>
          <w:szCs w:val="24"/>
        </w:rPr>
        <w:t>磋商</w:t>
      </w:r>
      <w:r>
        <w:rPr>
          <w:rFonts w:asciiTheme="minorEastAsia" w:hAnsiTheme="minorEastAsia" w:eastAsiaTheme="minorEastAsia"/>
          <w:color w:val="000000" w:themeColor="text1"/>
          <w:szCs w:val="24"/>
        </w:rPr>
        <w:t>文件规定向你方递交履约担保。</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（4）我方承诺在合同约定的期限内完成并移交全部合同工程。</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5．</w:t>
      </w:r>
      <w:r>
        <w:rPr>
          <w:rFonts w:hint="eastAsia" w:asciiTheme="minorEastAsia" w:hAnsiTheme="minorEastAsia" w:eastAsiaTheme="minorEastAsia"/>
          <w:color w:val="000000" w:themeColor="text1"/>
          <w:szCs w:val="24"/>
        </w:rPr>
        <w:t>我方在此声明，所递交的</w:t>
      </w:r>
      <w:r>
        <w:rPr>
          <w:rFonts w:hint="eastAsia" w:asciiTheme="minorEastAsia" w:hAnsiTheme="minorEastAsia" w:eastAsiaTheme="minorEastAsia"/>
          <w:color w:val="000000" w:themeColor="text1"/>
          <w:kern w:val="2"/>
          <w:szCs w:val="24"/>
        </w:rPr>
        <w:t>响应</w:t>
      </w:r>
      <w:r>
        <w:rPr>
          <w:rFonts w:hint="eastAsia" w:asciiTheme="minorEastAsia" w:hAnsiTheme="minorEastAsia" w:eastAsiaTheme="minorEastAsia"/>
          <w:color w:val="000000" w:themeColor="text1"/>
          <w:szCs w:val="24"/>
        </w:rPr>
        <w:t>文件及有关资料内容完整、真实和准确，且不存在第二章“供应商须知”第1.5.5项规定的任何一种情形。</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w:t>
      </w:r>
      <w:r>
        <w:rPr>
          <w:rFonts w:asciiTheme="minorEastAsia" w:hAnsiTheme="minorEastAsia" w:eastAsiaTheme="minorEastAsia"/>
          <w:color w:val="000000" w:themeColor="text1"/>
          <w:szCs w:val="24"/>
        </w:rPr>
        <w:t>（</w:t>
      </w:r>
      <w:r>
        <w:rPr>
          <w:rFonts w:hint="eastAsia" w:asciiTheme="minorEastAsia" w:hAnsiTheme="minorEastAsia" w:eastAsiaTheme="minorEastAsia"/>
          <w:color w:val="000000" w:themeColor="text1"/>
          <w:szCs w:val="24"/>
        </w:rPr>
        <w:t>其他</w:t>
      </w:r>
      <w:r>
        <w:rPr>
          <w:rFonts w:asciiTheme="minorEastAsia" w:hAnsiTheme="minorEastAsia" w:eastAsiaTheme="minorEastAsia"/>
          <w:color w:val="000000" w:themeColor="text1"/>
          <w:szCs w:val="24"/>
        </w:rPr>
        <w:t>补充说明）。</w:t>
      </w:r>
    </w:p>
    <w:p>
      <w:pPr>
        <w:adjustRightInd w:val="0"/>
        <w:snapToGrid w:val="0"/>
        <w:spacing w:before="0" w:beforeAutospacing="0" w:after="0" w:afterAutospacing="0"/>
        <w:ind w:firstLine="480" w:firstLineChars="200"/>
        <w:rPr>
          <w:rFonts w:asciiTheme="minorEastAsia" w:hAnsiTheme="minorEastAsia" w:eastAsiaTheme="minorEastAsia"/>
          <w:color w:val="000000" w:themeColor="text1"/>
          <w:szCs w:val="24"/>
        </w:rPr>
      </w:pPr>
    </w:p>
    <w:p>
      <w:pPr>
        <w:adjustRightInd w:val="0"/>
        <w:snapToGrid w:val="0"/>
        <w:spacing w:before="0" w:beforeAutospacing="0" w:after="0" w:afterAutospacing="0"/>
        <w:ind w:left="1920" w:leftChars="800" w:firstLine="480" w:firstLineChars="200"/>
        <w:rPr>
          <w:rFonts w:asciiTheme="minorEastAsia" w:hAnsiTheme="minorEastAsia" w:eastAsiaTheme="minorEastAsia"/>
          <w:color w:val="000000" w:themeColor="text1"/>
          <w:szCs w:val="24"/>
        </w:rPr>
      </w:pPr>
    </w:p>
    <w:p>
      <w:pPr>
        <w:adjustRightInd w:val="0"/>
        <w:snapToGrid w:val="0"/>
        <w:spacing w:before="0" w:beforeAutospacing="0" w:after="0" w:afterAutospacing="0"/>
        <w:ind w:left="2160" w:leftChars="900"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投 标 人：（盖单位章）</w:t>
      </w:r>
    </w:p>
    <w:p>
      <w:pPr>
        <w:adjustRightInd w:val="0"/>
        <w:snapToGrid w:val="0"/>
        <w:spacing w:before="0" w:beforeAutospacing="0" w:after="0" w:afterAutospacing="0"/>
        <w:ind w:left="2160" w:leftChars="900"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法定代表人或其委托代理人：（签字</w:t>
      </w:r>
      <w:r>
        <w:rPr>
          <w:rFonts w:hint="eastAsia" w:asciiTheme="minorEastAsia" w:hAnsiTheme="minorEastAsia" w:eastAsiaTheme="minorEastAsia"/>
          <w:color w:val="000000" w:themeColor="text1"/>
          <w:szCs w:val="24"/>
        </w:rPr>
        <w:t>或盖章</w:t>
      </w:r>
      <w:r>
        <w:rPr>
          <w:rFonts w:asciiTheme="minorEastAsia" w:hAnsiTheme="minorEastAsia" w:eastAsiaTheme="minorEastAsia"/>
          <w:color w:val="000000" w:themeColor="text1"/>
          <w:szCs w:val="24"/>
        </w:rPr>
        <w:t>）</w:t>
      </w:r>
    </w:p>
    <w:p>
      <w:pPr>
        <w:adjustRightInd w:val="0"/>
        <w:snapToGrid w:val="0"/>
        <w:spacing w:before="0" w:beforeAutospacing="0" w:after="0" w:afterAutospacing="0"/>
        <w:ind w:left="2160" w:leftChars="900"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地址：</w:t>
      </w:r>
    </w:p>
    <w:p>
      <w:pPr>
        <w:adjustRightInd w:val="0"/>
        <w:snapToGrid w:val="0"/>
        <w:spacing w:before="0" w:beforeAutospacing="0" w:after="0" w:afterAutospacing="0"/>
        <w:ind w:left="2160" w:leftChars="900"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电话：</w:t>
      </w:r>
    </w:p>
    <w:p>
      <w:pPr>
        <w:adjustRightInd w:val="0"/>
        <w:snapToGrid w:val="0"/>
        <w:spacing w:before="0" w:beforeAutospacing="0" w:after="0" w:afterAutospacing="0"/>
        <w:ind w:left="2160" w:leftChars="900"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传真：</w:t>
      </w:r>
    </w:p>
    <w:p>
      <w:pPr>
        <w:adjustRightInd w:val="0"/>
        <w:snapToGrid w:val="0"/>
        <w:spacing w:before="0" w:beforeAutospacing="0" w:after="0" w:afterAutospacing="0"/>
        <w:ind w:left="2160" w:leftChars="900" w:firstLine="480" w:firstLineChars="2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邮政编码：</w:t>
      </w:r>
    </w:p>
    <w:p>
      <w:pPr>
        <w:adjustRightInd w:val="0"/>
        <w:snapToGrid w:val="0"/>
        <w:spacing w:before="0" w:beforeAutospacing="0" w:after="0" w:afterAutospacing="0"/>
        <w:ind w:left="2160" w:leftChars="900"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日期：</w:t>
      </w:r>
      <w:r>
        <w:rPr>
          <w:rFonts w:asciiTheme="minorEastAsia" w:hAnsiTheme="minorEastAsia" w:eastAsiaTheme="minorEastAsia"/>
          <w:color w:val="000000" w:themeColor="text1"/>
          <w:szCs w:val="24"/>
        </w:rPr>
        <w:t>年月日</w:t>
      </w:r>
    </w:p>
    <w:p>
      <w:pPr>
        <w:spacing w:before="0" w:beforeAutospacing="0" w:after="0" w:afterAutospacing="0" w:line="240" w:lineRule="auto"/>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br w:type="page"/>
      </w:r>
    </w:p>
    <w:p>
      <w:pPr>
        <w:pStyle w:val="8"/>
        <w:jc w:val="center"/>
        <w:rPr>
          <w:color w:val="000000" w:themeColor="text1"/>
        </w:rPr>
      </w:pPr>
      <w:bookmarkStart w:id="536" w:name="_Toc527978806"/>
      <w:bookmarkStart w:id="537" w:name="_Toc527970796"/>
      <w:r>
        <w:rPr>
          <w:color w:val="000000" w:themeColor="text1"/>
        </w:rPr>
        <w:t>（</w:t>
      </w:r>
      <w:r>
        <w:rPr>
          <w:rFonts w:hint="eastAsia"/>
          <w:color w:val="000000" w:themeColor="text1"/>
        </w:rPr>
        <w:t>2</w:t>
      </w:r>
      <w:r>
        <w:rPr>
          <w:color w:val="000000" w:themeColor="text1"/>
        </w:rPr>
        <w:t>）</w:t>
      </w:r>
      <w:r>
        <w:rPr>
          <w:rFonts w:hint="eastAsia"/>
          <w:color w:val="000000" w:themeColor="text1"/>
        </w:rPr>
        <w:t>一次报价</w:t>
      </w:r>
      <w:r>
        <w:rPr>
          <w:color w:val="000000" w:themeColor="text1"/>
        </w:rPr>
        <w:t>函附录</w:t>
      </w:r>
      <w:bookmarkEnd w:id="536"/>
      <w:bookmarkEnd w:id="537"/>
    </w:p>
    <w:p>
      <w:pPr>
        <w:pStyle w:val="195"/>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项目编号：</w:t>
      </w:r>
    </w:p>
    <w:p>
      <w:pPr>
        <w:spacing w:line="240" w:lineRule="auto"/>
        <w:ind w:firstLine="482" w:firstLineChars="200"/>
        <w:rPr>
          <w:rFonts w:eastAsia="黑体"/>
          <w:color w:val="000000" w:themeColor="text1"/>
          <w:sz w:val="20"/>
        </w:rPr>
      </w:pPr>
      <w:r>
        <w:rPr>
          <w:rFonts w:hint="eastAsia" w:ascii="宋体" w:hAnsi="宋体"/>
          <w:b/>
          <w:bCs/>
          <w:color w:val="000000" w:themeColor="text1"/>
          <w:szCs w:val="24"/>
        </w:rPr>
        <w:t>项目名称：</w:t>
      </w:r>
    </w:p>
    <w:tbl>
      <w:tblPr>
        <w:tblStyle w:val="4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61"/>
        <w:gridCol w:w="442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959"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序号</w:t>
            </w:r>
          </w:p>
        </w:tc>
        <w:tc>
          <w:tcPr>
            <w:tcW w:w="246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项 目 内 容</w:t>
            </w:r>
          </w:p>
        </w:tc>
        <w:tc>
          <w:tcPr>
            <w:tcW w:w="4424"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约 定 内 容</w:t>
            </w:r>
          </w:p>
        </w:tc>
        <w:tc>
          <w:tcPr>
            <w:tcW w:w="876"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59"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1</w:t>
            </w:r>
          </w:p>
        </w:tc>
        <w:tc>
          <w:tcPr>
            <w:tcW w:w="246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项目经理</w:t>
            </w:r>
          </w:p>
        </w:tc>
        <w:tc>
          <w:tcPr>
            <w:tcW w:w="4424"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姓名：   </w:t>
            </w:r>
          </w:p>
        </w:tc>
        <w:tc>
          <w:tcPr>
            <w:tcW w:w="876"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59"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246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计划工期</w:t>
            </w:r>
          </w:p>
        </w:tc>
        <w:tc>
          <w:tcPr>
            <w:tcW w:w="4424"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日历天</w:t>
            </w:r>
          </w:p>
        </w:tc>
        <w:tc>
          <w:tcPr>
            <w:tcW w:w="876"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59"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w:t>
            </w:r>
          </w:p>
        </w:tc>
        <w:tc>
          <w:tcPr>
            <w:tcW w:w="246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质量标准</w:t>
            </w:r>
          </w:p>
        </w:tc>
        <w:tc>
          <w:tcPr>
            <w:tcW w:w="4424"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4"/>
                <w:u w:val="single"/>
              </w:rPr>
              <w:t>达到国家和地方规定施工验收规范合格标准</w:t>
            </w:r>
          </w:p>
        </w:tc>
        <w:tc>
          <w:tcPr>
            <w:tcW w:w="876"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59"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w:t>
            </w:r>
          </w:p>
        </w:tc>
        <w:tc>
          <w:tcPr>
            <w:tcW w:w="246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缺陷责任期</w:t>
            </w:r>
          </w:p>
        </w:tc>
        <w:tc>
          <w:tcPr>
            <w:tcW w:w="4424"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u w:val="single"/>
              </w:rPr>
              <w:t>12个月</w:t>
            </w:r>
          </w:p>
        </w:tc>
        <w:tc>
          <w:tcPr>
            <w:tcW w:w="876"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59"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p>
        </w:tc>
        <w:tc>
          <w:tcPr>
            <w:tcW w:w="2461" w:type="dxa"/>
            <w:vAlign w:val="center"/>
          </w:tcPr>
          <w:p>
            <w:pPr>
              <w:snapToGrid w:val="0"/>
              <w:spacing w:before="0" w:beforeAutospacing="0" w:after="0" w:afterAutospacing="0" w:line="240"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投标有效期</w:t>
            </w:r>
          </w:p>
        </w:tc>
        <w:tc>
          <w:tcPr>
            <w:tcW w:w="4424"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u w:val="single"/>
              </w:rPr>
            </w:pPr>
            <w:r>
              <w:rPr>
                <w:rFonts w:asciiTheme="minorEastAsia" w:hAnsiTheme="minorEastAsia" w:eastAsiaTheme="minorEastAsia"/>
                <w:color w:val="000000" w:themeColor="text1"/>
                <w:szCs w:val="21"/>
              </w:rPr>
              <w:t>90日历天（从投标截止之日算起）</w:t>
            </w:r>
          </w:p>
        </w:tc>
        <w:tc>
          <w:tcPr>
            <w:tcW w:w="876" w:type="dxa"/>
            <w:vAlign w:val="center"/>
          </w:tcPr>
          <w:p>
            <w:pPr>
              <w:snapToGrid w:val="0"/>
              <w:spacing w:before="0" w:beforeAutospacing="0" w:after="0" w:afterAutospacing="0" w:line="240" w:lineRule="auto"/>
              <w:rPr>
                <w:rFonts w:asciiTheme="minorEastAsia" w:hAnsiTheme="minorEastAsia" w:eastAsiaTheme="minorEastAsia"/>
                <w:color w:val="000000" w:themeColor="text1"/>
                <w:szCs w:val="21"/>
              </w:rPr>
            </w:pPr>
          </w:p>
        </w:tc>
      </w:tr>
    </w:tbl>
    <w:p>
      <w:pPr>
        <w:spacing w:line="240" w:lineRule="auto"/>
        <w:ind w:firstLine="480" w:firstLineChars="200"/>
        <w:rPr>
          <w:color w:val="000000" w:themeColor="text1"/>
          <w:szCs w:val="24"/>
        </w:rPr>
      </w:pPr>
    </w:p>
    <w:p>
      <w:pPr>
        <w:spacing w:line="240" w:lineRule="auto"/>
        <w:ind w:firstLine="480" w:firstLineChars="200"/>
        <w:rPr>
          <w:color w:val="000000" w:themeColor="text1"/>
          <w:szCs w:val="24"/>
        </w:rPr>
      </w:pPr>
    </w:p>
    <w:p>
      <w:pPr>
        <w:spacing w:line="240" w:lineRule="auto"/>
        <w:ind w:firstLine="480" w:firstLineChars="200"/>
        <w:rPr>
          <w:color w:val="000000" w:themeColor="text1"/>
          <w:szCs w:val="24"/>
        </w:rPr>
      </w:pPr>
    </w:p>
    <w:p>
      <w:pPr>
        <w:spacing w:line="240" w:lineRule="auto"/>
        <w:ind w:firstLine="480" w:firstLineChars="200"/>
        <w:jc w:val="center"/>
        <w:rPr>
          <w:color w:val="000000" w:themeColor="text1"/>
          <w:szCs w:val="24"/>
        </w:rPr>
      </w:pPr>
      <w:r>
        <w:rPr>
          <w:rFonts w:hint="eastAsia"/>
          <w:color w:val="000000" w:themeColor="text1"/>
          <w:szCs w:val="24"/>
        </w:rPr>
        <w:t>供应商名称（盖单位章）：</w:t>
      </w:r>
    </w:p>
    <w:p>
      <w:pPr>
        <w:spacing w:line="240" w:lineRule="auto"/>
        <w:ind w:firstLine="480" w:firstLineChars="200"/>
        <w:jc w:val="center"/>
        <w:rPr>
          <w:color w:val="000000" w:themeColor="text1"/>
          <w:szCs w:val="24"/>
        </w:rPr>
      </w:pPr>
      <w:r>
        <w:rPr>
          <w:rFonts w:hint="eastAsia"/>
          <w:color w:val="000000" w:themeColor="text1"/>
          <w:szCs w:val="24"/>
        </w:rPr>
        <w:t>法定代表人或法人授权代表（签字或盖章）：</w:t>
      </w:r>
    </w:p>
    <w:p>
      <w:pPr>
        <w:spacing w:line="240" w:lineRule="auto"/>
        <w:ind w:left="3442" w:leftChars="1434" w:firstLine="480" w:firstLineChars="200"/>
        <w:jc w:val="center"/>
        <w:rPr>
          <w:color w:val="000000" w:themeColor="text1"/>
          <w:szCs w:val="24"/>
        </w:rPr>
      </w:pPr>
      <w:r>
        <w:rPr>
          <w:rFonts w:hint="eastAsia"/>
          <w:color w:val="000000" w:themeColor="text1"/>
          <w:szCs w:val="24"/>
        </w:rPr>
        <w:t>年    月    日</w:t>
      </w:r>
    </w:p>
    <w:p>
      <w:pPr>
        <w:spacing w:before="0" w:beforeAutospacing="0" w:after="0" w:afterAutospacing="0" w:line="240" w:lineRule="auto"/>
        <w:rPr>
          <w:color w:val="000000" w:themeColor="text1"/>
          <w:szCs w:val="24"/>
        </w:rPr>
      </w:pPr>
      <w:r>
        <w:rPr>
          <w:color w:val="000000" w:themeColor="text1"/>
          <w:szCs w:val="24"/>
        </w:rPr>
        <w:br w:type="page"/>
      </w:r>
    </w:p>
    <w:p>
      <w:pPr>
        <w:pStyle w:val="4"/>
        <w:rPr>
          <w:color w:val="000000" w:themeColor="text1"/>
        </w:rPr>
      </w:pPr>
      <w:bookmarkStart w:id="538" w:name="_Toc534808266"/>
      <w:r>
        <w:rPr>
          <w:rFonts w:hint="eastAsia"/>
          <w:color w:val="000000" w:themeColor="text1"/>
        </w:rPr>
        <w:t>二、法定代表人身份证明及授权委托书</w:t>
      </w:r>
      <w:bookmarkEnd w:id="538"/>
    </w:p>
    <w:p>
      <w:pPr>
        <w:spacing w:line="240" w:lineRule="auto"/>
        <w:ind w:left="960" w:leftChars="400" w:firstLine="400" w:firstLineChars="200"/>
        <w:rPr>
          <w:color w:val="000000" w:themeColor="text1"/>
          <w:sz w:val="20"/>
        </w:rPr>
      </w:pPr>
    </w:p>
    <w:p>
      <w:pPr>
        <w:tabs>
          <w:tab w:val="left" w:pos="4000"/>
        </w:tabs>
        <w:autoSpaceDE w:val="0"/>
        <w:autoSpaceDN w:val="0"/>
        <w:adjustRightInd w:val="0"/>
        <w:jc w:val="center"/>
        <w:rPr>
          <w:rFonts w:ascii="黑体" w:hAnsi="黑体" w:eastAsia="黑体"/>
          <w:snapToGrid w:val="0"/>
          <w:color w:val="000000" w:themeColor="text1"/>
          <w:sz w:val="28"/>
          <w:szCs w:val="28"/>
        </w:rPr>
      </w:pPr>
      <w:r>
        <w:rPr>
          <w:rFonts w:ascii="黑体" w:hAnsi="黑体" w:eastAsia="黑体"/>
          <w:color w:val="000000" w:themeColor="text1"/>
          <w:sz w:val="28"/>
          <w:szCs w:val="28"/>
        </w:rPr>
        <w:t>法定代表人身份证明</w:t>
      </w:r>
    </w:p>
    <w:p>
      <w:pPr>
        <w:tabs>
          <w:tab w:val="left" w:pos="4000"/>
        </w:tabs>
        <w:autoSpaceDE w:val="0"/>
        <w:autoSpaceDN w:val="0"/>
        <w:adjustRightInd w:val="0"/>
        <w:ind w:firstLine="480" w:firstLineChars="200"/>
        <w:rPr>
          <w:rFonts w:asciiTheme="minorEastAsia" w:hAnsiTheme="minorEastAsia" w:eastAsiaTheme="minorEastAsia"/>
          <w:snapToGrid w:val="0"/>
          <w:color w:val="000000" w:themeColor="text1"/>
          <w:szCs w:val="21"/>
        </w:rPr>
      </w:pPr>
    </w:p>
    <w:p>
      <w:pPr>
        <w:tabs>
          <w:tab w:val="left" w:pos="400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供应商名称：</w:t>
      </w:r>
      <w:r>
        <w:rPr>
          <w:rFonts w:asciiTheme="minorEastAsia" w:hAnsiTheme="minorEastAsia" w:eastAsiaTheme="minorEastAsia"/>
          <w:snapToGrid w:val="0"/>
          <w:color w:val="000000" w:themeColor="text1"/>
          <w:szCs w:val="21"/>
          <w:u w:val="single"/>
        </w:rPr>
        <w:tab/>
      </w:r>
    </w:p>
    <w:p>
      <w:pPr>
        <w:tabs>
          <w:tab w:val="left" w:pos="400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单位性质：</w:t>
      </w:r>
      <w:r>
        <w:rPr>
          <w:rFonts w:asciiTheme="minorEastAsia" w:hAnsiTheme="minorEastAsia" w:eastAsiaTheme="minorEastAsia"/>
          <w:snapToGrid w:val="0"/>
          <w:color w:val="000000" w:themeColor="text1"/>
          <w:szCs w:val="21"/>
          <w:u w:val="single"/>
        </w:rPr>
        <w:tab/>
      </w:r>
    </w:p>
    <w:p>
      <w:pPr>
        <w:tabs>
          <w:tab w:val="left" w:pos="1900"/>
          <w:tab w:val="left" w:pos="2840"/>
          <w:tab w:val="left" w:pos="378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成立时间：</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年</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月</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日</w:t>
      </w:r>
    </w:p>
    <w:p>
      <w:pPr>
        <w:tabs>
          <w:tab w:val="left" w:pos="242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经营期限：</w:t>
      </w:r>
      <w:r>
        <w:rPr>
          <w:rFonts w:asciiTheme="minorEastAsia" w:hAnsiTheme="minorEastAsia" w:eastAsiaTheme="minorEastAsia"/>
          <w:snapToGrid w:val="0"/>
          <w:color w:val="000000" w:themeColor="text1"/>
          <w:szCs w:val="21"/>
          <w:u w:val="single"/>
        </w:rPr>
        <w:tab/>
      </w:r>
    </w:p>
    <w:p>
      <w:pPr>
        <w:tabs>
          <w:tab w:val="left" w:pos="1680"/>
          <w:tab w:val="left" w:pos="3360"/>
          <w:tab w:val="left" w:pos="4940"/>
          <w:tab w:val="left" w:pos="652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姓名：性别：年龄：职务：</w:t>
      </w:r>
      <w:r>
        <w:rPr>
          <w:rFonts w:asciiTheme="minorEastAsia" w:hAnsiTheme="minorEastAsia" w:eastAsiaTheme="minorEastAsia"/>
          <w:snapToGrid w:val="0"/>
          <w:color w:val="000000" w:themeColor="text1"/>
          <w:szCs w:val="21"/>
          <w:u w:val="single"/>
        </w:rPr>
        <w:tab/>
      </w:r>
    </w:p>
    <w:p>
      <w:pPr>
        <w:tabs>
          <w:tab w:val="left" w:pos="232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系</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（供应商名称）的法定代表人。</w:t>
      </w:r>
    </w:p>
    <w:p>
      <w:pPr>
        <w:autoSpaceDE w:val="0"/>
        <w:autoSpaceDN w:val="0"/>
        <w:adjustRightInd w:val="0"/>
        <w:ind w:firstLine="480" w:firstLineChars="200"/>
        <w:rPr>
          <w:rFonts w:asciiTheme="minorEastAsia" w:hAnsiTheme="minorEastAsia" w:eastAsiaTheme="minorEastAsia"/>
          <w:snapToGrid w:val="0"/>
          <w:color w:val="000000" w:themeColor="text1"/>
          <w:szCs w:val="21"/>
        </w:rPr>
      </w:pPr>
    </w:p>
    <w:p>
      <w:pPr>
        <w:autoSpaceDE w:val="0"/>
        <w:autoSpaceDN w:val="0"/>
        <w:adjustRightInd w:val="0"/>
        <w:ind w:firstLine="960" w:firstLineChars="4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特此证明。</w:t>
      </w:r>
    </w:p>
    <w:p>
      <w:pPr>
        <w:autoSpaceDE w:val="0"/>
        <w:autoSpaceDN w:val="0"/>
        <w:adjustRightInd w:val="0"/>
        <w:ind w:firstLine="480" w:firstLineChars="200"/>
        <w:rPr>
          <w:rFonts w:asciiTheme="minorEastAsia" w:hAnsiTheme="minorEastAsia" w:eastAsiaTheme="minorEastAsia"/>
          <w:snapToGrid w:val="0"/>
          <w:color w:val="000000" w:themeColor="text1"/>
          <w:szCs w:val="21"/>
        </w:rPr>
      </w:pPr>
    </w:p>
    <w:p>
      <w:pPr>
        <w:tabs>
          <w:tab w:val="left" w:pos="5140"/>
        </w:tabs>
        <w:autoSpaceDE w:val="0"/>
        <w:autoSpaceDN w:val="0"/>
        <w:adjustRightInd w:val="0"/>
        <w:rPr>
          <w:rFonts w:asciiTheme="minorEastAsia" w:hAnsiTheme="minorEastAsia" w:eastAsiaTheme="minorEastAsia"/>
          <w:snapToGrid w:val="0"/>
          <w:color w:val="000000" w:themeColor="text1"/>
          <w:szCs w:val="21"/>
        </w:rPr>
      </w:pPr>
    </w:p>
    <w:p>
      <w:pPr>
        <w:tabs>
          <w:tab w:val="left" w:pos="5140"/>
        </w:tabs>
        <w:autoSpaceDE w:val="0"/>
        <w:autoSpaceDN w:val="0"/>
        <w:adjustRightInd w:val="0"/>
        <w:ind w:firstLine="4800" w:firstLineChars="20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供应商：</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（盖单位章）</w:t>
      </w:r>
    </w:p>
    <w:p>
      <w:pPr>
        <w:spacing w:line="240" w:lineRule="auto"/>
        <w:ind w:left="960" w:leftChars="400" w:firstLine="4680" w:firstLineChars="1950"/>
        <w:rPr>
          <w:color w:val="000000" w:themeColor="text1"/>
          <w:sz w:val="20"/>
        </w:rPr>
      </w:pP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年</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月</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日</w:t>
      </w:r>
    </w:p>
    <w:p>
      <w:pPr>
        <w:spacing w:line="240" w:lineRule="auto"/>
        <w:rPr>
          <w:rFonts w:eastAsia="黑体"/>
          <w:color w:val="000000" w:themeColor="text1"/>
          <w:sz w:val="20"/>
        </w:rPr>
      </w:pPr>
    </w:p>
    <w:p>
      <w:pPr>
        <w:spacing w:before="0" w:beforeAutospacing="0" w:after="0" w:afterAutospacing="0" w:line="240" w:lineRule="auto"/>
        <w:rPr>
          <w:rFonts w:eastAsia="黑体"/>
          <w:color w:val="000000" w:themeColor="text1"/>
          <w:sz w:val="20"/>
        </w:rPr>
      </w:pPr>
      <w:r>
        <w:rPr>
          <w:rFonts w:eastAsia="黑体"/>
          <w:color w:val="000000" w:themeColor="text1"/>
          <w:sz w:val="20"/>
        </w:rPr>
        <w:br w:type="page"/>
      </w:r>
    </w:p>
    <w:p>
      <w:pPr>
        <w:tabs>
          <w:tab w:val="left" w:pos="4000"/>
        </w:tabs>
        <w:autoSpaceDE w:val="0"/>
        <w:autoSpaceDN w:val="0"/>
        <w:adjustRightInd w:val="0"/>
        <w:jc w:val="center"/>
        <w:rPr>
          <w:rFonts w:asciiTheme="minorEastAsia" w:hAnsiTheme="minorEastAsia" w:eastAsiaTheme="minorEastAsia"/>
          <w:color w:val="000000" w:themeColor="text1"/>
        </w:rPr>
      </w:pPr>
      <w:bookmarkStart w:id="539" w:name="_Toc491701826"/>
      <w:bookmarkStart w:id="540" w:name="_Toc268198648"/>
      <w:r>
        <w:rPr>
          <w:rFonts w:ascii="黑体" w:hAnsi="黑体" w:eastAsia="黑体"/>
          <w:color w:val="000000" w:themeColor="text1"/>
          <w:sz w:val="28"/>
          <w:szCs w:val="28"/>
        </w:rPr>
        <w:t>授权委托书</w:t>
      </w:r>
      <w:bookmarkEnd w:id="539"/>
      <w:bookmarkEnd w:id="540"/>
    </w:p>
    <w:p>
      <w:pPr>
        <w:spacing w:line="460" w:lineRule="exact"/>
        <w:jc w:val="center"/>
        <w:rPr>
          <w:rFonts w:asciiTheme="minorEastAsia" w:hAnsiTheme="minorEastAsia" w:eastAsiaTheme="minorEastAsia"/>
          <w:b/>
          <w:color w:val="000000" w:themeColor="text1"/>
          <w:sz w:val="32"/>
          <w:szCs w:val="32"/>
        </w:rPr>
      </w:pPr>
    </w:p>
    <w:p>
      <w:pPr>
        <w:tabs>
          <w:tab w:val="left" w:pos="1680"/>
          <w:tab w:val="left" w:pos="3715"/>
          <w:tab w:val="left" w:pos="883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本人</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（姓名）系（供应商名称）的法定代表人，现委托</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（姓名）为我方代理人。代理人根据授权，以我方名义签署、澄清、递交、撤回、修改（项目名称）项目采购竞争性磋商响应文件，其法律后果由我方承担。</w:t>
      </w:r>
    </w:p>
    <w:p>
      <w:pPr>
        <w:tabs>
          <w:tab w:val="left" w:pos="1680"/>
          <w:tab w:val="left" w:pos="3715"/>
          <w:tab w:val="left" w:pos="8830"/>
        </w:tabs>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hint="eastAsia" w:asciiTheme="minorEastAsia" w:hAnsiTheme="minorEastAsia" w:eastAsiaTheme="minorEastAsia"/>
          <w:snapToGrid w:val="0"/>
          <w:color w:val="000000" w:themeColor="text1"/>
          <w:szCs w:val="21"/>
        </w:rPr>
        <w:t>委托有效期限：</w:t>
      </w:r>
      <w:r>
        <w:rPr>
          <w:rFonts w:hint="eastAsia" w:asciiTheme="minorEastAsia" w:hAnsiTheme="minorEastAsia" w:eastAsiaTheme="minorEastAsia"/>
          <w:snapToGrid w:val="0"/>
          <w:color w:val="000000" w:themeColor="text1"/>
          <w:szCs w:val="21"/>
          <w:u w:val="single"/>
        </w:rPr>
        <w:t xml:space="preserve">                        。</w:t>
      </w:r>
    </w:p>
    <w:p>
      <w:pPr>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 xml:space="preserve">代理人无转委托权。 </w:t>
      </w:r>
    </w:p>
    <w:p>
      <w:pPr>
        <w:autoSpaceDE w:val="0"/>
        <w:autoSpaceDN w:val="0"/>
        <w:adjustRightInd w:val="0"/>
        <w:ind w:firstLine="480" w:firstLineChars="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附：法定代表人身份证明及授权代理人身份证复印件</w:t>
      </w:r>
    </w:p>
    <w:p>
      <w:pPr>
        <w:autoSpaceDE w:val="0"/>
        <w:autoSpaceDN w:val="0"/>
        <w:adjustRightInd w:val="0"/>
        <w:ind w:firstLine="480" w:firstLineChars="200"/>
        <w:rPr>
          <w:rFonts w:asciiTheme="minorEastAsia" w:hAnsiTheme="minorEastAsia" w:eastAsiaTheme="minorEastAsia"/>
          <w:snapToGrid w:val="0"/>
          <w:color w:val="000000" w:themeColor="text1"/>
          <w:szCs w:val="21"/>
        </w:rPr>
      </w:pPr>
    </w:p>
    <w:p>
      <w:pPr>
        <w:tabs>
          <w:tab w:val="left" w:pos="7465"/>
          <w:tab w:val="left" w:pos="7555"/>
          <w:tab w:val="left" w:pos="7690"/>
        </w:tabs>
        <w:autoSpaceDE w:val="0"/>
        <w:autoSpaceDN w:val="0"/>
        <w:adjustRightInd w:val="0"/>
        <w:ind w:firstLine="2880" w:firstLineChars="1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供应商：</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 xml:space="preserve">（盖单位章） </w:t>
      </w:r>
    </w:p>
    <w:p>
      <w:pPr>
        <w:tabs>
          <w:tab w:val="left" w:pos="6140"/>
          <w:tab w:val="left" w:pos="7465"/>
          <w:tab w:val="left" w:pos="7690"/>
        </w:tabs>
        <w:autoSpaceDE w:val="0"/>
        <w:autoSpaceDN w:val="0"/>
        <w:adjustRightInd w:val="0"/>
        <w:ind w:firstLine="2880" w:firstLineChars="1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法定代表人：</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（签字或盖章）</w:t>
      </w:r>
    </w:p>
    <w:p>
      <w:pPr>
        <w:tabs>
          <w:tab w:val="left" w:pos="7405"/>
          <w:tab w:val="left" w:pos="7465"/>
          <w:tab w:val="left" w:pos="7555"/>
        </w:tabs>
        <w:autoSpaceDE w:val="0"/>
        <w:autoSpaceDN w:val="0"/>
        <w:adjustRightInd w:val="0"/>
        <w:ind w:firstLine="2880" w:firstLineChars="1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身份证号码：</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u w:val="single"/>
        </w:rPr>
        <w:tab/>
      </w:r>
    </w:p>
    <w:p>
      <w:pPr>
        <w:tabs>
          <w:tab w:val="left" w:pos="7690"/>
          <w:tab w:val="left" w:pos="7750"/>
        </w:tabs>
        <w:autoSpaceDE w:val="0"/>
        <w:autoSpaceDN w:val="0"/>
        <w:adjustRightInd w:val="0"/>
        <w:ind w:firstLine="2880" w:firstLineChars="1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委托代理人：</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 xml:space="preserve">（签字） </w:t>
      </w:r>
    </w:p>
    <w:p>
      <w:pPr>
        <w:tabs>
          <w:tab w:val="left" w:pos="7465"/>
          <w:tab w:val="left" w:pos="7690"/>
        </w:tabs>
        <w:autoSpaceDE w:val="0"/>
        <w:autoSpaceDN w:val="0"/>
        <w:adjustRightInd w:val="0"/>
        <w:ind w:firstLine="2880" w:firstLineChars="12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t>身份证号码：</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u w:val="single"/>
        </w:rPr>
        <w:tab/>
      </w:r>
    </w:p>
    <w:p>
      <w:pPr>
        <w:spacing w:line="240" w:lineRule="auto"/>
        <w:ind w:firstLine="4080" w:firstLineChars="1700"/>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年</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月</w:t>
      </w:r>
      <w:r>
        <w:rPr>
          <w:rFonts w:asciiTheme="minorEastAsia" w:hAnsiTheme="minorEastAsia" w:eastAsiaTheme="minorEastAsia"/>
          <w:snapToGrid w:val="0"/>
          <w:color w:val="000000" w:themeColor="text1"/>
          <w:szCs w:val="21"/>
          <w:u w:val="single"/>
        </w:rPr>
        <w:tab/>
      </w:r>
      <w:r>
        <w:rPr>
          <w:rFonts w:asciiTheme="minorEastAsia" w:hAnsiTheme="minorEastAsia" w:eastAsiaTheme="minorEastAsia"/>
          <w:snapToGrid w:val="0"/>
          <w:color w:val="000000" w:themeColor="text1"/>
          <w:szCs w:val="21"/>
        </w:rPr>
        <w:t>日</w:t>
      </w:r>
    </w:p>
    <w:p>
      <w:pPr>
        <w:spacing w:before="0" w:beforeAutospacing="0" w:after="0" w:afterAutospacing="0" w:line="240" w:lineRule="auto"/>
        <w:rPr>
          <w:rFonts w:asciiTheme="minorEastAsia" w:hAnsiTheme="minorEastAsia" w:eastAsiaTheme="minorEastAsia"/>
          <w:snapToGrid w:val="0"/>
          <w:color w:val="000000" w:themeColor="text1"/>
          <w:szCs w:val="21"/>
        </w:rPr>
      </w:pPr>
      <w:r>
        <w:rPr>
          <w:rFonts w:asciiTheme="minorEastAsia" w:hAnsiTheme="minorEastAsia" w:eastAsiaTheme="minorEastAsia"/>
          <w:snapToGrid w:val="0"/>
          <w:color w:val="000000" w:themeColor="text1"/>
          <w:szCs w:val="21"/>
        </w:rPr>
        <w:br w:type="page"/>
      </w:r>
    </w:p>
    <w:p>
      <w:pPr>
        <w:pStyle w:val="4"/>
        <w:rPr>
          <w:color w:val="000000" w:themeColor="text1"/>
        </w:rPr>
      </w:pPr>
      <w:bookmarkStart w:id="541" w:name="_Toc534808267"/>
      <w:r>
        <w:rPr>
          <w:rFonts w:hint="eastAsia"/>
          <w:color w:val="000000" w:themeColor="text1"/>
        </w:rPr>
        <w:t>三、磋商保证金</w:t>
      </w:r>
      <w:bookmarkEnd w:id="541"/>
    </w:p>
    <w:p>
      <w:pPr>
        <w:spacing w:line="240" w:lineRule="auto"/>
        <w:rPr>
          <w:rFonts w:ascii="宋体"/>
          <w:color w:val="000000" w:themeColor="text1"/>
          <w:szCs w:val="21"/>
        </w:rPr>
      </w:pPr>
      <w:r>
        <w:rPr>
          <w:rFonts w:hint="eastAsia" w:ascii="宋体"/>
          <w:color w:val="000000" w:themeColor="text1"/>
          <w:szCs w:val="21"/>
        </w:rPr>
        <w:t>供应商提交的磋商保证金应采用磋商文件中规定的形式，并在此提供相应凭证的复印件</w:t>
      </w:r>
      <w:r>
        <w:rPr>
          <w:rFonts w:ascii="宋体"/>
          <w:color w:val="000000" w:themeColor="text1"/>
          <w:szCs w:val="21"/>
        </w:rPr>
        <w:t>。</w:t>
      </w:r>
    </w:p>
    <w:p>
      <w:pPr>
        <w:spacing w:before="0" w:beforeAutospacing="0" w:after="0" w:afterAutospacing="0" w:line="240" w:lineRule="auto"/>
        <w:rPr>
          <w:rFonts w:ascii="宋体"/>
          <w:color w:val="000000" w:themeColor="text1"/>
          <w:szCs w:val="21"/>
        </w:rPr>
      </w:pPr>
      <w:r>
        <w:rPr>
          <w:rFonts w:ascii="宋体"/>
          <w:color w:val="000000" w:themeColor="text1"/>
          <w:szCs w:val="21"/>
        </w:rPr>
        <w:br w:type="page"/>
      </w:r>
    </w:p>
    <w:p>
      <w:pPr>
        <w:pStyle w:val="4"/>
        <w:rPr>
          <w:color w:val="000000" w:themeColor="text1"/>
        </w:rPr>
      </w:pPr>
      <w:bookmarkStart w:id="542" w:name="_Toc527970797"/>
      <w:bookmarkStart w:id="543" w:name="_Toc527978807"/>
      <w:bookmarkStart w:id="544" w:name="_Toc534808268"/>
      <w:r>
        <w:rPr>
          <w:rFonts w:hint="eastAsia"/>
          <w:color w:val="000000" w:themeColor="text1"/>
        </w:rPr>
        <w:t>四、</w:t>
      </w:r>
      <w:r>
        <w:rPr>
          <w:color w:val="000000" w:themeColor="text1"/>
        </w:rPr>
        <w:t>已标价工程量清单</w:t>
      </w:r>
      <w:bookmarkEnd w:id="542"/>
      <w:bookmarkEnd w:id="543"/>
      <w:bookmarkEnd w:id="544"/>
    </w:p>
    <w:p>
      <w:pPr>
        <w:autoSpaceDE w:val="0"/>
        <w:autoSpaceDN w:val="0"/>
        <w:adjustRightInd w:val="0"/>
        <w:spacing w:before="0" w:beforeAutospacing="0" w:after="0" w:afterAutospacing="0" w:line="240" w:lineRule="auto"/>
        <w:ind w:firstLine="480" w:firstLineChars="200"/>
        <w:rPr>
          <w:rFonts w:ascii="黑体" w:hAnsi="Arial" w:eastAsia="黑体" w:cs="黑体"/>
          <w:color w:val="000000" w:themeColor="text1"/>
          <w:szCs w:val="21"/>
        </w:rPr>
      </w:pPr>
    </w:p>
    <w:p>
      <w:pPr>
        <w:autoSpaceDE w:val="0"/>
        <w:autoSpaceDN w:val="0"/>
        <w:adjustRightInd w:val="0"/>
        <w:spacing w:before="0" w:beforeAutospacing="0" w:after="0" w:afterAutospacing="0" w:line="240" w:lineRule="auto"/>
        <w:ind w:firstLine="480" w:firstLineChars="200"/>
        <w:rPr>
          <w:rFonts w:ascii="宋体" w:hAnsi="Arial" w:cs="宋体"/>
          <w:color w:val="000000" w:themeColor="text1"/>
          <w:szCs w:val="21"/>
        </w:rPr>
      </w:pPr>
      <w:r>
        <w:rPr>
          <w:rFonts w:hint="eastAsia" w:ascii="黑体" w:hAnsi="Arial" w:eastAsia="黑体" w:cs="黑体"/>
          <w:color w:val="000000" w:themeColor="text1"/>
          <w:szCs w:val="21"/>
        </w:rPr>
        <w:t>说明</w:t>
      </w:r>
      <w:r>
        <w:rPr>
          <w:rFonts w:hint="eastAsia" w:ascii="黑体" w:hAnsi="Arial" w:eastAsia="黑体" w:cs="黑体"/>
          <w:color w:val="000000" w:themeColor="text1"/>
          <w:spacing w:val="-22"/>
          <w:szCs w:val="21"/>
        </w:rPr>
        <w:t>：</w:t>
      </w:r>
      <w:r>
        <w:rPr>
          <w:rFonts w:hint="eastAsia" w:ascii="宋体" w:hAnsi="Arial" w:cs="宋体"/>
          <w:color w:val="000000" w:themeColor="text1"/>
          <w:szCs w:val="21"/>
        </w:rPr>
        <w:t>已标价工程量清单按第五</w:t>
      </w:r>
      <w:r>
        <w:rPr>
          <w:rFonts w:hint="eastAsia" w:ascii="宋体" w:hAnsi="Arial" w:cs="宋体"/>
          <w:color w:val="000000" w:themeColor="text1"/>
          <w:spacing w:val="-22"/>
          <w:szCs w:val="21"/>
        </w:rPr>
        <w:t>章</w:t>
      </w:r>
      <w:r>
        <w:rPr>
          <w:rFonts w:hint="eastAsia" w:ascii="宋体" w:hAnsi="Arial" w:cs="宋体"/>
          <w:color w:val="000000" w:themeColor="text1"/>
          <w:szCs w:val="21"/>
        </w:rPr>
        <w:t>“工程量清单</w:t>
      </w:r>
      <w:r>
        <w:rPr>
          <w:rFonts w:hint="eastAsia" w:ascii="宋体" w:hAnsi="Arial" w:cs="宋体"/>
          <w:color w:val="000000" w:themeColor="text1"/>
          <w:spacing w:val="-22"/>
          <w:szCs w:val="21"/>
        </w:rPr>
        <w:t>”</w:t>
      </w:r>
      <w:r>
        <w:rPr>
          <w:rFonts w:hint="eastAsia" w:ascii="宋体" w:hAnsi="Arial" w:cs="宋体"/>
          <w:color w:val="000000" w:themeColor="text1"/>
          <w:szCs w:val="21"/>
        </w:rPr>
        <w:t>中的相关清单表格式填写</w:t>
      </w:r>
      <w:r>
        <w:rPr>
          <w:rFonts w:hint="eastAsia" w:ascii="宋体" w:hAnsi="Arial" w:cs="宋体"/>
          <w:color w:val="000000" w:themeColor="text1"/>
          <w:spacing w:val="-22"/>
          <w:szCs w:val="21"/>
        </w:rPr>
        <w:t>。</w:t>
      </w:r>
      <w:r>
        <w:rPr>
          <w:rFonts w:hint="eastAsia" w:ascii="宋体" w:hAnsi="Arial" w:cs="宋体"/>
          <w:color w:val="000000" w:themeColor="text1"/>
          <w:szCs w:val="21"/>
        </w:rPr>
        <w:t>构成合同文件的已标价工程量清单包括第五</w:t>
      </w:r>
      <w:r>
        <w:rPr>
          <w:rFonts w:hint="eastAsia" w:ascii="宋体" w:hAnsi="Arial" w:cs="宋体"/>
          <w:color w:val="000000" w:themeColor="text1"/>
          <w:spacing w:val="-44"/>
          <w:szCs w:val="21"/>
        </w:rPr>
        <w:t>章</w:t>
      </w:r>
      <w:r>
        <w:rPr>
          <w:rFonts w:hint="eastAsia" w:ascii="宋体" w:hAnsi="Arial" w:cs="宋体"/>
          <w:color w:val="000000" w:themeColor="text1"/>
          <w:szCs w:val="21"/>
        </w:rPr>
        <w:t>“工程量清单”有关工程量清单</w:t>
      </w:r>
      <w:r>
        <w:rPr>
          <w:rFonts w:hint="eastAsia" w:ascii="宋体" w:hAnsi="Arial" w:cs="宋体"/>
          <w:color w:val="000000" w:themeColor="text1"/>
          <w:spacing w:val="-44"/>
          <w:szCs w:val="21"/>
        </w:rPr>
        <w:t>、</w:t>
      </w:r>
      <w:r>
        <w:rPr>
          <w:rFonts w:hint="eastAsia"/>
          <w:color w:val="000000" w:themeColor="text1"/>
          <w:szCs w:val="24"/>
        </w:rPr>
        <w:t>响应</w:t>
      </w:r>
      <w:r>
        <w:rPr>
          <w:rFonts w:hint="eastAsia" w:ascii="宋体" w:hAnsi="Arial" w:cs="宋体"/>
          <w:color w:val="000000" w:themeColor="text1"/>
          <w:szCs w:val="21"/>
        </w:rPr>
        <w:t>报价以及其他说明的内容。</w:t>
      </w:r>
    </w:p>
    <w:p>
      <w:pPr>
        <w:spacing w:before="0" w:beforeAutospacing="0" w:after="0" w:afterAutospacing="0" w:line="240" w:lineRule="auto"/>
        <w:rPr>
          <w:rFonts w:eastAsia="黑体"/>
          <w:color w:val="000000" w:themeColor="text1"/>
          <w:szCs w:val="23"/>
        </w:rPr>
      </w:pPr>
    </w:p>
    <w:p>
      <w:pPr>
        <w:spacing w:before="0" w:beforeAutospacing="0" w:after="0" w:afterAutospacing="0" w:line="240" w:lineRule="auto"/>
        <w:rPr>
          <w:rFonts w:eastAsia="黑体"/>
          <w:color w:val="000000" w:themeColor="text1"/>
          <w:szCs w:val="23"/>
        </w:rPr>
      </w:pPr>
      <w:r>
        <w:rPr>
          <w:rFonts w:eastAsia="黑体"/>
          <w:color w:val="000000" w:themeColor="text1"/>
          <w:szCs w:val="23"/>
        </w:rPr>
        <w:br w:type="page"/>
      </w:r>
    </w:p>
    <w:p>
      <w:pPr>
        <w:pStyle w:val="4"/>
        <w:rPr>
          <w:rFonts w:eastAsia="黑体"/>
          <w:color w:val="000000" w:themeColor="text1"/>
        </w:rPr>
      </w:pPr>
      <w:bookmarkStart w:id="545" w:name="_Toc534808269"/>
      <w:r>
        <w:rPr>
          <w:rFonts w:hint="eastAsia" w:eastAsia="黑体"/>
          <w:color w:val="000000" w:themeColor="text1"/>
        </w:rPr>
        <w:t>五、</w:t>
      </w:r>
      <w:r>
        <w:rPr>
          <w:color w:val="000000" w:themeColor="text1"/>
        </w:rPr>
        <w:t>商务、</w:t>
      </w:r>
      <w:r>
        <w:rPr>
          <w:rFonts w:hint="eastAsia"/>
          <w:color w:val="000000" w:themeColor="text1"/>
        </w:rPr>
        <w:t>技术</w:t>
      </w:r>
      <w:r>
        <w:rPr>
          <w:color w:val="000000" w:themeColor="text1"/>
        </w:rPr>
        <w:t>条款偏差表</w:t>
      </w:r>
      <w:bookmarkEnd w:id="545"/>
    </w:p>
    <w:p>
      <w:pPr>
        <w:spacing w:after="240"/>
        <w:ind w:hanging="119"/>
        <w:rPr>
          <w:color w:val="000000" w:themeColor="text1"/>
          <w:u w:val="single"/>
        </w:rPr>
      </w:pPr>
      <w:r>
        <w:rPr>
          <w:color w:val="000000" w:themeColor="text1"/>
        </w:rPr>
        <w:t>供应商名称：</w:t>
      </w:r>
    </w:p>
    <w:tbl>
      <w:tblPr>
        <w:tblStyle w:val="43"/>
        <w:tblW w:w="9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3264"/>
        <w:gridCol w:w="1276"/>
        <w:gridCol w:w="1068"/>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2093" w:type="dxa"/>
            <w:vAlign w:val="center"/>
          </w:tcPr>
          <w:p>
            <w:pPr>
              <w:snapToGrid w:val="0"/>
              <w:spacing w:before="0" w:beforeAutospacing="0" w:after="0" w:afterAutospacing="0" w:line="240" w:lineRule="auto"/>
              <w:jc w:val="center"/>
              <w:rPr>
                <w:color w:val="000000" w:themeColor="text1"/>
              </w:rPr>
            </w:pPr>
            <w:r>
              <w:rPr>
                <w:color w:val="000000" w:themeColor="text1"/>
              </w:rPr>
              <w:t>磋商文件条目号</w:t>
            </w:r>
          </w:p>
        </w:tc>
        <w:tc>
          <w:tcPr>
            <w:tcW w:w="3264" w:type="dxa"/>
            <w:vAlign w:val="center"/>
          </w:tcPr>
          <w:p>
            <w:pPr>
              <w:snapToGrid w:val="0"/>
              <w:spacing w:before="0" w:beforeAutospacing="0" w:after="0" w:afterAutospacing="0" w:line="240" w:lineRule="auto"/>
              <w:jc w:val="center"/>
              <w:rPr>
                <w:color w:val="000000" w:themeColor="text1"/>
              </w:rPr>
            </w:pPr>
            <w:r>
              <w:rPr>
                <w:color w:val="000000" w:themeColor="text1"/>
              </w:rPr>
              <w:t>磋商文件的商务、</w:t>
            </w:r>
            <w:r>
              <w:rPr>
                <w:rFonts w:hint="eastAsia"/>
                <w:color w:val="000000" w:themeColor="text1"/>
              </w:rPr>
              <w:t>技术</w:t>
            </w:r>
            <w:r>
              <w:rPr>
                <w:color w:val="000000" w:themeColor="text1"/>
              </w:rPr>
              <w:t>条款</w:t>
            </w:r>
          </w:p>
        </w:tc>
        <w:tc>
          <w:tcPr>
            <w:tcW w:w="1276" w:type="dxa"/>
            <w:vAlign w:val="center"/>
          </w:tcPr>
          <w:p>
            <w:pPr>
              <w:snapToGrid w:val="0"/>
              <w:spacing w:before="0" w:beforeAutospacing="0" w:after="0" w:afterAutospacing="0" w:line="240" w:lineRule="auto"/>
              <w:jc w:val="center"/>
              <w:rPr>
                <w:color w:val="000000" w:themeColor="text1"/>
              </w:rPr>
            </w:pPr>
            <w:r>
              <w:rPr>
                <w:rFonts w:hint="eastAsia"/>
                <w:color w:val="000000" w:themeColor="text1"/>
              </w:rPr>
              <w:t>完全</w:t>
            </w:r>
            <w:r>
              <w:rPr>
                <w:color w:val="000000" w:themeColor="text1"/>
              </w:rPr>
              <w:t>响应</w:t>
            </w:r>
          </w:p>
        </w:tc>
        <w:tc>
          <w:tcPr>
            <w:tcW w:w="1068" w:type="dxa"/>
            <w:vAlign w:val="center"/>
          </w:tcPr>
          <w:p>
            <w:pPr>
              <w:snapToGrid w:val="0"/>
              <w:spacing w:before="0" w:beforeAutospacing="0" w:after="0" w:afterAutospacing="0" w:line="240" w:lineRule="auto"/>
              <w:jc w:val="center"/>
              <w:rPr>
                <w:color w:val="000000" w:themeColor="text1"/>
              </w:rPr>
            </w:pPr>
            <w:r>
              <w:rPr>
                <w:rFonts w:hint="eastAsia"/>
                <w:color w:val="000000" w:themeColor="text1"/>
              </w:rPr>
              <w:t>有偏离</w:t>
            </w:r>
          </w:p>
        </w:tc>
        <w:tc>
          <w:tcPr>
            <w:tcW w:w="1310" w:type="dxa"/>
            <w:vAlign w:val="center"/>
          </w:tcPr>
          <w:p>
            <w:pPr>
              <w:snapToGrid w:val="0"/>
              <w:spacing w:before="0" w:beforeAutospacing="0" w:after="0" w:afterAutospacing="0" w:line="240" w:lineRule="auto"/>
              <w:jc w:val="center"/>
              <w:rPr>
                <w:color w:val="000000" w:themeColor="text1"/>
              </w:rPr>
            </w:pPr>
            <w:r>
              <w:rPr>
                <w:color w:val="000000" w:themeColor="text1"/>
              </w:rPr>
              <w:t>偏离</w:t>
            </w:r>
            <w:r>
              <w:rPr>
                <w:rFonts w:hint="eastAsia"/>
                <w:color w:val="000000" w:themeColor="text1"/>
              </w:rPr>
              <w:t>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2093" w:type="dxa"/>
            <w:vAlign w:val="center"/>
          </w:tcPr>
          <w:p>
            <w:pPr>
              <w:snapToGrid w:val="0"/>
              <w:spacing w:before="0" w:beforeAutospacing="0" w:after="0" w:afterAutospacing="0" w:line="240" w:lineRule="auto"/>
              <w:jc w:val="center"/>
              <w:rPr>
                <w:color w:val="000000" w:themeColor="text1"/>
              </w:rPr>
            </w:pPr>
          </w:p>
        </w:tc>
        <w:tc>
          <w:tcPr>
            <w:tcW w:w="3264" w:type="dxa"/>
            <w:vAlign w:val="center"/>
          </w:tcPr>
          <w:p>
            <w:pPr>
              <w:snapToGrid w:val="0"/>
              <w:spacing w:before="0" w:beforeAutospacing="0" w:after="0" w:afterAutospacing="0" w:line="240" w:lineRule="auto"/>
              <w:jc w:val="center"/>
              <w:rPr>
                <w:color w:val="000000" w:themeColor="text1"/>
              </w:rPr>
            </w:pPr>
          </w:p>
        </w:tc>
        <w:tc>
          <w:tcPr>
            <w:tcW w:w="1276" w:type="dxa"/>
            <w:vAlign w:val="center"/>
          </w:tcPr>
          <w:p>
            <w:pPr>
              <w:snapToGrid w:val="0"/>
              <w:spacing w:before="0" w:beforeAutospacing="0" w:after="0" w:afterAutospacing="0" w:line="240" w:lineRule="auto"/>
              <w:jc w:val="center"/>
              <w:rPr>
                <w:color w:val="000000" w:themeColor="text1"/>
              </w:rPr>
            </w:pPr>
          </w:p>
        </w:tc>
        <w:tc>
          <w:tcPr>
            <w:tcW w:w="1068" w:type="dxa"/>
            <w:vAlign w:val="center"/>
          </w:tcPr>
          <w:p>
            <w:pPr>
              <w:snapToGrid w:val="0"/>
              <w:spacing w:before="0" w:beforeAutospacing="0" w:after="0" w:afterAutospacing="0" w:line="240" w:lineRule="auto"/>
              <w:jc w:val="center"/>
              <w:rPr>
                <w:color w:val="000000" w:themeColor="text1"/>
              </w:rPr>
            </w:pPr>
          </w:p>
        </w:tc>
        <w:tc>
          <w:tcPr>
            <w:tcW w:w="1310" w:type="dxa"/>
            <w:vAlign w:val="center"/>
          </w:tcPr>
          <w:p>
            <w:pPr>
              <w:snapToGrid w:val="0"/>
              <w:spacing w:before="0" w:beforeAutospacing="0" w:after="0" w:afterAutospacing="0" w:line="240" w:lineRule="auto"/>
              <w:jc w:val="cente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napToGrid w:val="0"/>
              <w:spacing w:before="0" w:beforeAutospacing="0" w:after="0" w:afterAutospacing="0" w:line="240" w:lineRule="auto"/>
              <w:jc w:val="center"/>
              <w:rPr>
                <w:color w:val="000000" w:themeColor="text1"/>
              </w:rPr>
            </w:pPr>
          </w:p>
        </w:tc>
        <w:tc>
          <w:tcPr>
            <w:tcW w:w="3264" w:type="dxa"/>
            <w:vAlign w:val="center"/>
          </w:tcPr>
          <w:p>
            <w:pPr>
              <w:snapToGrid w:val="0"/>
              <w:spacing w:before="0" w:beforeAutospacing="0" w:after="0" w:afterAutospacing="0" w:line="240" w:lineRule="auto"/>
              <w:jc w:val="center"/>
              <w:rPr>
                <w:color w:val="000000" w:themeColor="text1"/>
              </w:rPr>
            </w:pPr>
          </w:p>
        </w:tc>
        <w:tc>
          <w:tcPr>
            <w:tcW w:w="1276" w:type="dxa"/>
            <w:vAlign w:val="center"/>
          </w:tcPr>
          <w:p>
            <w:pPr>
              <w:snapToGrid w:val="0"/>
              <w:spacing w:before="0" w:beforeAutospacing="0" w:after="0" w:afterAutospacing="0" w:line="240" w:lineRule="auto"/>
              <w:jc w:val="center"/>
              <w:rPr>
                <w:color w:val="000000" w:themeColor="text1"/>
              </w:rPr>
            </w:pPr>
          </w:p>
        </w:tc>
        <w:tc>
          <w:tcPr>
            <w:tcW w:w="1068" w:type="dxa"/>
            <w:vAlign w:val="center"/>
          </w:tcPr>
          <w:p>
            <w:pPr>
              <w:snapToGrid w:val="0"/>
              <w:spacing w:before="0" w:beforeAutospacing="0" w:after="0" w:afterAutospacing="0" w:line="240" w:lineRule="auto"/>
              <w:jc w:val="center"/>
              <w:rPr>
                <w:color w:val="000000" w:themeColor="text1"/>
              </w:rPr>
            </w:pPr>
          </w:p>
        </w:tc>
        <w:tc>
          <w:tcPr>
            <w:tcW w:w="1310" w:type="dxa"/>
            <w:vAlign w:val="center"/>
          </w:tcPr>
          <w:p>
            <w:pPr>
              <w:snapToGrid w:val="0"/>
              <w:spacing w:before="0" w:beforeAutospacing="0" w:after="0" w:afterAutospacing="0" w:line="240" w:lineRule="auto"/>
              <w:jc w:val="cente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napToGrid w:val="0"/>
              <w:spacing w:before="0" w:beforeAutospacing="0" w:after="0" w:afterAutospacing="0" w:line="240" w:lineRule="auto"/>
              <w:jc w:val="center"/>
              <w:rPr>
                <w:color w:val="000000" w:themeColor="text1"/>
              </w:rPr>
            </w:pPr>
          </w:p>
        </w:tc>
        <w:tc>
          <w:tcPr>
            <w:tcW w:w="3264" w:type="dxa"/>
            <w:vAlign w:val="center"/>
          </w:tcPr>
          <w:p>
            <w:pPr>
              <w:snapToGrid w:val="0"/>
              <w:spacing w:before="0" w:beforeAutospacing="0" w:after="0" w:afterAutospacing="0" w:line="240" w:lineRule="auto"/>
              <w:jc w:val="center"/>
              <w:rPr>
                <w:color w:val="000000" w:themeColor="text1"/>
              </w:rPr>
            </w:pPr>
          </w:p>
        </w:tc>
        <w:tc>
          <w:tcPr>
            <w:tcW w:w="1276" w:type="dxa"/>
            <w:vAlign w:val="center"/>
          </w:tcPr>
          <w:p>
            <w:pPr>
              <w:snapToGrid w:val="0"/>
              <w:spacing w:before="0" w:beforeAutospacing="0" w:after="0" w:afterAutospacing="0" w:line="240" w:lineRule="auto"/>
              <w:jc w:val="center"/>
              <w:rPr>
                <w:color w:val="000000" w:themeColor="text1"/>
              </w:rPr>
            </w:pPr>
          </w:p>
        </w:tc>
        <w:tc>
          <w:tcPr>
            <w:tcW w:w="1068" w:type="dxa"/>
            <w:vAlign w:val="center"/>
          </w:tcPr>
          <w:p>
            <w:pPr>
              <w:snapToGrid w:val="0"/>
              <w:spacing w:before="0" w:beforeAutospacing="0" w:after="0" w:afterAutospacing="0" w:line="240" w:lineRule="auto"/>
              <w:jc w:val="center"/>
              <w:rPr>
                <w:color w:val="000000" w:themeColor="text1"/>
              </w:rPr>
            </w:pPr>
          </w:p>
        </w:tc>
        <w:tc>
          <w:tcPr>
            <w:tcW w:w="1310" w:type="dxa"/>
            <w:vAlign w:val="center"/>
          </w:tcPr>
          <w:p>
            <w:pPr>
              <w:snapToGrid w:val="0"/>
              <w:spacing w:before="0" w:beforeAutospacing="0" w:after="0" w:afterAutospacing="0" w:line="240" w:lineRule="auto"/>
              <w:jc w:val="cente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napToGrid w:val="0"/>
              <w:spacing w:before="0" w:beforeAutospacing="0" w:after="0" w:afterAutospacing="0" w:line="240" w:lineRule="auto"/>
              <w:jc w:val="center"/>
              <w:rPr>
                <w:color w:val="000000" w:themeColor="text1"/>
              </w:rPr>
            </w:pPr>
          </w:p>
        </w:tc>
        <w:tc>
          <w:tcPr>
            <w:tcW w:w="3264" w:type="dxa"/>
            <w:vAlign w:val="center"/>
          </w:tcPr>
          <w:p>
            <w:pPr>
              <w:snapToGrid w:val="0"/>
              <w:spacing w:before="0" w:beforeAutospacing="0" w:after="0" w:afterAutospacing="0" w:line="240" w:lineRule="auto"/>
              <w:jc w:val="center"/>
              <w:rPr>
                <w:color w:val="000000" w:themeColor="text1"/>
              </w:rPr>
            </w:pPr>
          </w:p>
        </w:tc>
        <w:tc>
          <w:tcPr>
            <w:tcW w:w="1276" w:type="dxa"/>
            <w:vAlign w:val="center"/>
          </w:tcPr>
          <w:p>
            <w:pPr>
              <w:snapToGrid w:val="0"/>
              <w:spacing w:before="0" w:beforeAutospacing="0" w:after="0" w:afterAutospacing="0" w:line="240" w:lineRule="auto"/>
              <w:jc w:val="center"/>
              <w:rPr>
                <w:color w:val="000000" w:themeColor="text1"/>
              </w:rPr>
            </w:pPr>
          </w:p>
        </w:tc>
        <w:tc>
          <w:tcPr>
            <w:tcW w:w="1068" w:type="dxa"/>
            <w:vAlign w:val="center"/>
          </w:tcPr>
          <w:p>
            <w:pPr>
              <w:snapToGrid w:val="0"/>
              <w:spacing w:before="0" w:beforeAutospacing="0" w:after="0" w:afterAutospacing="0" w:line="240" w:lineRule="auto"/>
              <w:jc w:val="center"/>
              <w:rPr>
                <w:color w:val="000000" w:themeColor="text1"/>
              </w:rPr>
            </w:pPr>
          </w:p>
        </w:tc>
        <w:tc>
          <w:tcPr>
            <w:tcW w:w="1310" w:type="dxa"/>
            <w:vAlign w:val="center"/>
          </w:tcPr>
          <w:p>
            <w:pPr>
              <w:snapToGrid w:val="0"/>
              <w:spacing w:before="0" w:beforeAutospacing="0" w:after="0" w:afterAutospacing="0" w:line="240" w:lineRule="auto"/>
              <w:jc w:val="cente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napToGrid w:val="0"/>
              <w:spacing w:before="0" w:beforeAutospacing="0" w:after="0" w:afterAutospacing="0" w:line="240" w:lineRule="auto"/>
              <w:jc w:val="center"/>
              <w:rPr>
                <w:color w:val="000000" w:themeColor="text1"/>
                <w:szCs w:val="21"/>
              </w:rPr>
            </w:pPr>
          </w:p>
        </w:tc>
        <w:tc>
          <w:tcPr>
            <w:tcW w:w="3264" w:type="dxa"/>
            <w:vAlign w:val="center"/>
          </w:tcPr>
          <w:p>
            <w:pPr>
              <w:snapToGrid w:val="0"/>
              <w:spacing w:before="0" w:beforeAutospacing="0" w:after="0" w:afterAutospacing="0" w:line="240" w:lineRule="auto"/>
              <w:jc w:val="center"/>
              <w:rPr>
                <w:color w:val="000000" w:themeColor="text1"/>
                <w:szCs w:val="21"/>
              </w:rPr>
            </w:pPr>
          </w:p>
        </w:tc>
        <w:tc>
          <w:tcPr>
            <w:tcW w:w="1276" w:type="dxa"/>
            <w:vAlign w:val="center"/>
          </w:tcPr>
          <w:p>
            <w:pPr>
              <w:snapToGrid w:val="0"/>
              <w:spacing w:before="0" w:beforeAutospacing="0" w:after="0" w:afterAutospacing="0" w:line="240" w:lineRule="auto"/>
              <w:jc w:val="center"/>
              <w:rPr>
                <w:color w:val="000000" w:themeColor="text1"/>
              </w:rPr>
            </w:pPr>
          </w:p>
        </w:tc>
        <w:tc>
          <w:tcPr>
            <w:tcW w:w="1068" w:type="dxa"/>
            <w:vAlign w:val="center"/>
          </w:tcPr>
          <w:p>
            <w:pPr>
              <w:snapToGrid w:val="0"/>
              <w:spacing w:before="0" w:beforeAutospacing="0" w:after="0" w:afterAutospacing="0" w:line="240" w:lineRule="auto"/>
              <w:jc w:val="center"/>
              <w:rPr>
                <w:color w:val="000000" w:themeColor="text1"/>
              </w:rPr>
            </w:pPr>
          </w:p>
        </w:tc>
        <w:tc>
          <w:tcPr>
            <w:tcW w:w="1310" w:type="dxa"/>
            <w:vAlign w:val="center"/>
          </w:tcPr>
          <w:p>
            <w:pPr>
              <w:snapToGrid w:val="0"/>
              <w:spacing w:before="0" w:beforeAutospacing="0" w:after="0" w:afterAutospacing="0" w:line="240" w:lineRule="auto"/>
              <w:jc w:val="cente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napToGrid w:val="0"/>
              <w:spacing w:before="0" w:beforeAutospacing="0" w:after="0" w:afterAutospacing="0" w:line="240" w:lineRule="auto"/>
              <w:jc w:val="center"/>
              <w:rPr>
                <w:color w:val="000000" w:themeColor="text1"/>
                <w:szCs w:val="21"/>
              </w:rPr>
            </w:pPr>
            <w:r>
              <w:rPr>
                <w:rFonts w:hint="eastAsia"/>
                <w:color w:val="000000" w:themeColor="text1"/>
                <w:szCs w:val="21"/>
              </w:rPr>
              <w:t>……</w:t>
            </w:r>
          </w:p>
        </w:tc>
        <w:tc>
          <w:tcPr>
            <w:tcW w:w="3264" w:type="dxa"/>
            <w:vAlign w:val="center"/>
          </w:tcPr>
          <w:p>
            <w:pPr>
              <w:snapToGrid w:val="0"/>
              <w:spacing w:before="0" w:beforeAutospacing="0" w:after="0" w:afterAutospacing="0" w:line="240" w:lineRule="auto"/>
              <w:jc w:val="center"/>
              <w:rPr>
                <w:color w:val="000000" w:themeColor="text1"/>
                <w:szCs w:val="21"/>
              </w:rPr>
            </w:pPr>
            <w:r>
              <w:rPr>
                <w:rFonts w:hint="eastAsia"/>
                <w:color w:val="000000" w:themeColor="text1"/>
                <w:szCs w:val="21"/>
              </w:rPr>
              <w:t>……</w:t>
            </w:r>
          </w:p>
        </w:tc>
        <w:tc>
          <w:tcPr>
            <w:tcW w:w="1276" w:type="dxa"/>
            <w:vAlign w:val="center"/>
          </w:tcPr>
          <w:p>
            <w:pPr>
              <w:snapToGrid w:val="0"/>
              <w:spacing w:before="0" w:beforeAutospacing="0" w:after="0" w:afterAutospacing="0" w:line="240" w:lineRule="auto"/>
              <w:jc w:val="center"/>
              <w:rPr>
                <w:color w:val="000000" w:themeColor="text1"/>
              </w:rPr>
            </w:pPr>
          </w:p>
        </w:tc>
        <w:tc>
          <w:tcPr>
            <w:tcW w:w="1068" w:type="dxa"/>
            <w:vAlign w:val="center"/>
          </w:tcPr>
          <w:p>
            <w:pPr>
              <w:snapToGrid w:val="0"/>
              <w:spacing w:before="0" w:beforeAutospacing="0" w:after="0" w:afterAutospacing="0" w:line="240" w:lineRule="auto"/>
              <w:jc w:val="center"/>
              <w:rPr>
                <w:color w:val="000000" w:themeColor="text1"/>
              </w:rPr>
            </w:pPr>
          </w:p>
        </w:tc>
        <w:tc>
          <w:tcPr>
            <w:tcW w:w="1310" w:type="dxa"/>
            <w:vAlign w:val="center"/>
          </w:tcPr>
          <w:p>
            <w:pPr>
              <w:snapToGrid w:val="0"/>
              <w:spacing w:before="0" w:beforeAutospacing="0" w:after="0" w:afterAutospacing="0" w:line="240" w:lineRule="auto"/>
              <w:jc w:val="center"/>
              <w:rPr>
                <w:color w:val="000000" w:themeColor="text1"/>
              </w:rPr>
            </w:pPr>
          </w:p>
        </w:tc>
      </w:tr>
    </w:tbl>
    <w:p>
      <w:pPr>
        <w:spacing w:beforeLines="50" w:beforeAutospacing="0" w:line="440" w:lineRule="exact"/>
        <w:ind w:left="2976" w:leftChars="1240" w:firstLine="15"/>
        <w:rPr>
          <w:color w:val="000000" w:themeColor="text1"/>
        </w:rPr>
      </w:pPr>
    </w:p>
    <w:p>
      <w:pPr>
        <w:spacing w:beforeLines="50" w:beforeAutospacing="0" w:line="440" w:lineRule="exact"/>
        <w:ind w:left="2976" w:leftChars="1240" w:firstLine="15"/>
        <w:rPr>
          <w:color w:val="000000" w:themeColor="text1"/>
        </w:rPr>
      </w:pPr>
      <w:r>
        <w:rPr>
          <w:rFonts w:hint="eastAsia"/>
          <w:color w:val="000000" w:themeColor="text1"/>
        </w:rPr>
        <w:t>供应商：（公章）</w:t>
      </w:r>
    </w:p>
    <w:p>
      <w:pPr>
        <w:spacing w:beforeLines="50" w:beforeAutospacing="0" w:line="440" w:lineRule="exact"/>
        <w:ind w:left="2976" w:leftChars="1240"/>
        <w:rPr>
          <w:color w:val="000000" w:themeColor="text1"/>
        </w:rPr>
      </w:pPr>
      <w:r>
        <w:rPr>
          <w:color w:val="000000" w:themeColor="text1"/>
        </w:rPr>
        <w:t>法定代表人或其授权代表：（</w:t>
      </w:r>
      <w:r>
        <w:rPr>
          <w:rFonts w:hint="eastAsia"/>
          <w:color w:val="000000" w:themeColor="text1"/>
        </w:rPr>
        <w:t>签字或盖章</w:t>
      </w:r>
      <w:r>
        <w:rPr>
          <w:color w:val="000000" w:themeColor="text1"/>
        </w:rPr>
        <w:t>）</w:t>
      </w:r>
    </w:p>
    <w:p>
      <w:pPr>
        <w:spacing w:beforeLines="50" w:beforeAutospacing="0" w:line="440" w:lineRule="exact"/>
        <w:ind w:left="2976" w:leftChars="1240"/>
        <w:rPr>
          <w:color w:val="000000" w:themeColor="text1"/>
        </w:rPr>
      </w:pPr>
      <w:r>
        <w:rPr>
          <w:color w:val="000000" w:themeColor="text1"/>
        </w:rPr>
        <w:t>日期：</w:t>
      </w:r>
    </w:p>
    <w:p>
      <w:pPr>
        <w:rPr>
          <w:color w:val="000000" w:themeColor="text1"/>
        </w:rPr>
      </w:pPr>
    </w:p>
    <w:p>
      <w:pPr>
        <w:snapToGrid w:val="0"/>
        <w:spacing w:before="0" w:beforeAutospacing="0" w:after="0" w:afterAutospacing="0"/>
        <w:rPr>
          <w:rFonts w:ascii="宋体" w:hAnsi="宋体"/>
          <w:color w:val="000000" w:themeColor="text1"/>
          <w:sz w:val="21"/>
          <w:szCs w:val="21"/>
        </w:rPr>
      </w:pPr>
      <w:r>
        <w:rPr>
          <w:rFonts w:ascii="宋体" w:hAnsi="宋体"/>
          <w:color w:val="000000" w:themeColor="text1"/>
          <w:sz w:val="21"/>
          <w:szCs w:val="21"/>
        </w:rPr>
        <w:t>注：</w:t>
      </w:r>
      <w:r>
        <w:rPr>
          <w:rFonts w:hint="eastAsia" w:ascii="宋体" w:hAnsi="宋体"/>
          <w:color w:val="000000" w:themeColor="text1"/>
          <w:sz w:val="21"/>
          <w:szCs w:val="21"/>
        </w:rPr>
        <w:t>1、</w:t>
      </w:r>
      <w:r>
        <w:rPr>
          <w:rFonts w:hint="eastAsia" w:ascii="宋体" w:hAnsi="宋体"/>
          <w:color w:val="000000" w:themeColor="text1"/>
          <w:sz w:val="21"/>
          <w:szCs w:val="21"/>
        </w:rPr>
        <w:tab/>
      </w:r>
      <w:r>
        <w:rPr>
          <w:rFonts w:hint="eastAsia" w:ascii="宋体" w:hAnsi="宋体"/>
          <w:color w:val="000000" w:themeColor="text1"/>
          <w:sz w:val="21"/>
          <w:szCs w:val="21"/>
        </w:rPr>
        <w:t>供应商根据本磋商文件的供应商须知、用户需求书逐条填写本表；</w:t>
      </w:r>
    </w:p>
    <w:p>
      <w:pPr>
        <w:snapToGrid w:val="0"/>
        <w:spacing w:before="0" w:beforeAutospacing="0" w:after="0" w:afterAutospacing="0"/>
        <w:ind w:left="911" w:leftChars="203" w:hanging="424" w:hangingChars="202"/>
        <w:rPr>
          <w:rFonts w:ascii="宋体" w:hAnsi="宋体"/>
          <w:color w:val="000000" w:themeColor="text1"/>
          <w:sz w:val="21"/>
          <w:szCs w:val="21"/>
        </w:rPr>
      </w:pPr>
      <w:r>
        <w:rPr>
          <w:rFonts w:hint="eastAsia" w:ascii="宋体" w:hAnsi="宋体"/>
          <w:color w:val="000000" w:themeColor="text1"/>
          <w:sz w:val="21"/>
          <w:szCs w:val="21"/>
        </w:rPr>
        <w:t>2、</w:t>
      </w:r>
      <w:r>
        <w:rPr>
          <w:rFonts w:hint="eastAsia" w:ascii="宋体" w:hAnsi="宋体"/>
          <w:color w:val="000000" w:themeColor="text1"/>
          <w:sz w:val="21"/>
          <w:szCs w:val="21"/>
        </w:rPr>
        <w:tab/>
      </w:r>
      <w:r>
        <w:rPr>
          <w:rFonts w:hint="eastAsia" w:ascii="宋体" w:hAnsi="宋体"/>
          <w:color w:val="000000" w:themeColor="text1"/>
          <w:sz w:val="21"/>
          <w:szCs w:val="21"/>
        </w:rPr>
        <w:t>对完全响应的条目在本表相应列中标注“</w:t>
      </w:r>
      <w:r>
        <w:rPr>
          <w:rFonts w:hint="eastAsia"/>
          <w:color w:val="000000" w:themeColor="text1"/>
          <w:sz w:val="21"/>
          <w:szCs w:val="21"/>
        </w:rPr>
        <w:t>O</w:t>
      </w:r>
      <w:r>
        <w:rPr>
          <w:rFonts w:hint="eastAsia" w:ascii="宋体" w:hAnsi="宋体"/>
          <w:color w:val="000000" w:themeColor="text1"/>
          <w:sz w:val="21"/>
          <w:szCs w:val="21"/>
        </w:rPr>
        <w:t>”。对有偏离的条目在本表相应列中标注“正偏离”或“负偏离”。仅可在“完全响应”及“有偏离”中选一标注，同时，当且仅当选取“有偏离”栏中加以标注后，才能在“偏离简述”栏中加以说明。</w:t>
      </w:r>
    </w:p>
    <w:p>
      <w:pPr>
        <w:snapToGrid w:val="0"/>
        <w:spacing w:before="0" w:beforeAutospacing="0" w:after="0" w:afterAutospacing="0"/>
        <w:ind w:left="911" w:leftChars="203" w:hanging="424" w:hangingChars="202"/>
        <w:rPr>
          <w:rFonts w:ascii="宋体" w:hAnsi="宋体"/>
          <w:color w:val="000000" w:themeColor="text1"/>
          <w:sz w:val="21"/>
          <w:szCs w:val="21"/>
        </w:rPr>
      </w:pPr>
      <w:r>
        <w:rPr>
          <w:rFonts w:hint="eastAsia" w:ascii="宋体" w:hAnsi="宋体"/>
          <w:color w:val="000000" w:themeColor="text1"/>
          <w:sz w:val="21"/>
          <w:szCs w:val="21"/>
        </w:rPr>
        <w:t>3、</w:t>
      </w:r>
      <w:r>
        <w:rPr>
          <w:rFonts w:hint="eastAsia" w:ascii="宋体" w:hAnsi="宋体"/>
          <w:color w:val="000000" w:themeColor="text1"/>
          <w:sz w:val="21"/>
          <w:szCs w:val="21"/>
        </w:rPr>
        <w:tab/>
      </w:r>
      <w:r>
        <w:rPr>
          <w:rFonts w:hint="eastAsia" w:ascii="宋体" w:hAnsi="宋体"/>
          <w:color w:val="000000" w:themeColor="text1"/>
          <w:sz w:val="21"/>
          <w:szCs w:val="21"/>
        </w:rPr>
        <w:t>正偏离是指应答的条件优于磋商文件要求，负偏离是指应答的条件低于磋商文件要求，正偏离项目不作扣分处理。</w:t>
      </w:r>
    </w:p>
    <w:p>
      <w:pPr>
        <w:snapToGrid w:val="0"/>
        <w:spacing w:before="0" w:beforeAutospacing="0" w:after="0" w:afterAutospacing="0"/>
        <w:ind w:left="911" w:leftChars="203" w:hanging="424" w:hangingChars="202"/>
        <w:rPr>
          <w:rFonts w:ascii="宋体" w:hAnsi="宋体"/>
          <w:color w:val="000000" w:themeColor="text1"/>
          <w:sz w:val="21"/>
          <w:szCs w:val="21"/>
        </w:rPr>
      </w:pPr>
      <w:r>
        <w:rPr>
          <w:rFonts w:hint="eastAsia" w:ascii="宋体" w:hAnsi="宋体"/>
          <w:color w:val="000000" w:themeColor="text1"/>
          <w:sz w:val="21"/>
          <w:szCs w:val="21"/>
        </w:rPr>
        <w:t>4、</w:t>
      </w:r>
      <w:r>
        <w:rPr>
          <w:rFonts w:hint="eastAsia" w:ascii="宋体" w:hAnsi="宋体"/>
          <w:color w:val="000000" w:themeColor="text1"/>
          <w:sz w:val="21"/>
          <w:szCs w:val="21"/>
        </w:rPr>
        <w:tab/>
      </w:r>
      <w:r>
        <w:rPr>
          <w:rFonts w:hint="eastAsia" w:ascii="宋体" w:hAnsi="宋体"/>
          <w:color w:val="000000" w:themeColor="text1"/>
          <w:sz w:val="21"/>
          <w:szCs w:val="21"/>
        </w:rPr>
        <w:t>供应商须完整填写响应表。如果未完整填写本表的各项内容则视作供应商已经对磋商文件相关要求和内容完全理解并同意，其报价为在此基础上的完全价格。</w:t>
      </w:r>
    </w:p>
    <w:p>
      <w:pPr>
        <w:snapToGrid w:val="0"/>
        <w:spacing w:before="0" w:beforeAutospacing="0" w:after="0" w:afterAutospacing="0"/>
        <w:ind w:left="911" w:leftChars="203" w:hanging="424" w:hangingChars="202"/>
        <w:rPr>
          <w:rFonts w:ascii="宋体" w:hAnsi="宋体"/>
          <w:color w:val="000000" w:themeColor="text1"/>
        </w:rPr>
      </w:pPr>
      <w:r>
        <w:rPr>
          <w:rFonts w:hint="eastAsia" w:ascii="宋体" w:hAnsi="宋体"/>
          <w:color w:val="000000" w:themeColor="text1"/>
          <w:sz w:val="21"/>
          <w:szCs w:val="21"/>
        </w:rPr>
        <w:t>5、</w:t>
      </w:r>
      <w:r>
        <w:rPr>
          <w:rFonts w:hint="eastAsia" w:ascii="宋体" w:hAnsi="宋体"/>
          <w:color w:val="000000" w:themeColor="text1"/>
          <w:sz w:val="21"/>
          <w:szCs w:val="21"/>
        </w:rPr>
        <w:tab/>
      </w:r>
      <w:r>
        <w:rPr>
          <w:rFonts w:hint="eastAsia" w:ascii="宋体" w:hAnsi="宋体"/>
          <w:color w:val="000000" w:themeColor="text1"/>
          <w:sz w:val="21"/>
          <w:szCs w:val="21"/>
        </w:rPr>
        <w:t>在发包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r>
        <w:rPr>
          <w:rFonts w:hint="eastAsia" w:ascii="宋体" w:hAnsi="宋体"/>
          <w:color w:val="000000" w:themeColor="text1"/>
        </w:rPr>
        <w:t>。</w:t>
      </w:r>
    </w:p>
    <w:p>
      <w:pPr>
        <w:spacing w:before="0" w:beforeAutospacing="0" w:after="0" w:afterAutospacing="0" w:line="240" w:lineRule="auto"/>
        <w:rPr>
          <w:rFonts w:ascii="宋体" w:hAnsi="宋体"/>
          <w:color w:val="000000" w:themeColor="text1"/>
        </w:rPr>
      </w:pPr>
      <w:r>
        <w:rPr>
          <w:rFonts w:ascii="宋体" w:hAnsi="宋体"/>
          <w:color w:val="000000" w:themeColor="text1"/>
        </w:rPr>
        <w:br w:type="page"/>
      </w:r>
    </w:p>
    <w:p>
      <w:pPr>
        <w:pStyle w:val="4"/>
        <w:rPr>
          <w:color w:val="000000" w:themeColor="text1"/>
        </w:rPr>
      </w:pPr>
      <w:bookmarkStart w:id="546" w:name="_Toc534808270"/>
      <w:r>
        <w:rPr>
          <w:rFonts w:hint="eastAsia" w:ascii="宋体" w:hAnsi="宋体"/>
          <w:color w:val="000000" w:themeColor="text1"/>
        </w:rPr>
        <w:t>六、</w:t>
      </w:r>
      <w:r>
        <w:rPr>
          <w:rFonts w:hint="eastAsia"/>
          <w:color w:val="000000" w:themeColor="text1"/>
        </w:rPr>
        <w:t>资格证明文件</w:t>
      </w:r>
      <w:bookmarkEnd w:id="546"/>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ascii="宋体" w:hAnsi="宋体"/>
          <w:color w:val="000000" w:themeColor="text1"/>
        </w:rPr>
        <w:t>供应商基本情况表</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ascii="宋体" w:hAnsi="宋体"/>
          <w:color w:val="000000" w:themeColor="text1"/>
        </w:rPr>
        <w:t>提供会计师事务所出具的2019年度财务审计报告或2020年度任意一个</w:t>
      </w:r>
      <w:r>
        <w:rPr>
          <w:rFonts w:hint="eastAsia" w:ascii="宋体" w:hAnsi="宋体"/>
          <w:color w:val="000000" w:themeColor="text1"/>
          <w:lang w:eastAsia="zh-CN"/>
        </w:rPr>
        <w:t>月</w:t>
      </w:r>
      <w:r>
        <w:rPr>
          <w:rFonts w:hint="eastAsia" w:ascii="宋体" w:hAnsi="宋体"/>
          <w:color w:val="000000" w:themeColor="text1"/>
        </w:rPr>
        <w:t>的企业财务报表；</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asciiTheme="minorEastAsia" w:hAnsiTheme="minorEastAsia" w:eastAsiaTheme="minorEastAsia"/>
          <w:color w:val="000000" w:themeColor="text1"/>
        </w:rPr>
        <w:t>依法缴纳税收和社会保障资金的证明材料复印件；</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ascii="宋体" w:hAnsi="宋体"/>
          <w:color w:val="000000" w:themeColor="text1"/>
        </w:rPr>
        <w:t>具备履行合同所必需的设备和专业技术能力的承诺原件；</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ascii="宋体" w:hAnsi="宋体"/>
          <w:color w:val="000000" w:themeColor="text1"/>
        </w:rPr>
        <w:t>供应商参加政府采购活动前3年内在经营活动中没有重大违法记录的书面声明原件；</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ascii="宋体" w:hAnsi="宋体"/>
          <w:color w:val="000000" w:themeColor="text1"/>
        </w:rPr>
        <w:t>供应商控股股东名称、控股公司的名称和存在管理、被管理关系的单位名称说明；</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asciiTheme="minorEastAsia" w:hAnsiTheme="minorEastAsia" w:eastAsiaTheme="minorEastAsia"/>
          <w:color w:val="000000" w:themeColor="text1"/>
        </w:rPr>
        <w:t>为采购项目提供整体设计、规范编制或者项目管理、监理、检测等服务的供应商，不得再参加该采购项目的其他采购活动”（提供承诺函原件加盖公章）；</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color w:val="000000" w:themeColor="text1"/>
        </w:rPr>
        <w:t>供应商控股股东名称、控股公司的名称和存在管理、被管理关系的单位名称说明</w:t>
      </w:r>
      <w:r>
        <w:rPr>
          <w:rFonts w:hint="eastAsia" w:ascii="宋体" w:hAnsi="宋体"/>
          <w:color w:val="000000" w:themeColor="text1"/>
        </w:rPr>
        <w:t>；</w:t>
      </w:r>
    </w:p>
    <w:p>
      <w:pPr>
        <w:widowControl w:val="0"/>
        <w:numPr>
          <w:ilvl w:val="1"/>
          <w:numId w:val="3"/>
        </w:numPr>
        <w:tabs>
          <w:tab w:val="left" w:pos="993"/>
          <w:tab w:val="left" w:pos="1030"/>
          <w:tab w:val="left" w:pos="8364"/>
          <w:tab w:val="clear" w:pos="780"/>
        </w:tabs>
        <w:snapToGrid w:val="0"/>
        <w:spacing w:before="0" w:beforeAutospacing="0" w:afterLines="50" w:afterAutospacing="0" w:line="240" w:lineRule="auto"/>
        <w:ind w:left="993" w:right="-65" w:rightChars="-27" w:hanging="573"/>
        <w:rPr>
          <w:rFonts w:ascii="宋体" w:hAnsi="宋体"/>
          <w:color w:val="000000" w:themeColor="text1"/>
        </w:rPr>
      </w:pPr>
      <w:r>
        <w:rPr>
          <w:rFonts w:hint="eastAsia"/>
          <w:color w:val="000000" w:themeColor="text1"/>
        </w:rPr>
        <w:t>符合第二章“供应商须知”第</w:t>
      </w:r>
      <w:r>
        <w:rPr>
          <w:rFonts w:hint="eastAsia" w:asciiTheme="minorEastAsia" w:hAnsiTheme="minorEastAsia" w:eastAsiaTheme="minorEastAsia" w:cstheme="minorEastAsia"/>
          <w:color w:val="000000" w:themeColor="text1"/>
        </w:rPr>
        <w:t>1.5.1</w:t>
      </w:r>
      <w:r>
        <w:rPr>
          <w:rFonts w:hint="eastAsia"/>
          <w:color w:val="000000" w:themeColor="text1"/>
        </w:rPr>
        <w:t>项规定中要求提供的其他资料</w:t>
      </w:r>
      <w:r>
        <w:rPr>
          <w:rFonts w:hint="eastAsia" w:ascii="宋体" w:hAnsi="宋体"/>
          <w:color w:val="000000" w:themeColor="text1"/>
        </w:rPr>
        <w:t>。</w:t>
      </w:r>
    </w:p>
    <w:p>
      <w:pPr>
        <w:spacing w:before="0" w:beforeAutospacing="0" w:after="0" w:afterAutospacing="0" w:line="240" w:lineRule="auto"/>
        <w:rPr>
          <w:rFonts w:ascii="宋体" w:hAnsi="宋体"/>
          <w:color w:val="000000" w:themeColor="text1"/>
        </w:rPr>
      </w:pPr>
      <w:r>
        <w:rPr>
          <w:rFonts w:ascii="宋体" w:hAnsi="宋体"/>
          <w:color w:val="000000" w:themeColor="text1"/>
        </w:rPr>
        <w:br w:type="page"/>
      </w:r>
    </w:p>
    <w:p>
      <w:pPr>
        <w:pStyle w:val="8"/>
        <w:rPr>
          <w:color w:val="000000" w:themeColor="text1"/>
        </w:rPr>
      </w:pPr>
      <w:r>
        <w:rPr>
          <w:rFonts w:hint="eastAsia"/>
          <w:color w:val="000000" w:themeColor="text1"/>
        </w:rPr>
        <w:t>6-1  供应商基本情况表</w:t>
      </w:r>
    </w:p>
    <w:tbl>
      <w:tblPr>
        <w:tblStyle w:val="43"/>
        <w:tblW w:w="9309" w:type="dxa"/>
        <w:jc w:val="center"/>
        <w:tblLayout w:type="fixed"/>
        <w:tblCellMar>
          <w:top w:w="0" w:type="dxa"/>
          <w:left w:w="0" w:type="dxa"/>
          <w:bottom w:w="0" w:type="dxa"/>
          <w:right w:w="0" w:type="dxa"/>
        </w:tblCellMar>
      </w:tblPr>
      <w:tblGrid>
        <w:gridCol w:w="1728"/>
        <w:gridCol w:w="898"/>
        <w:gridCol w:w="1378"/>
        <w:gridCol w:w="709"/>
        <w:gridCol w:w="495"/>
        <w:gridCol w:w="72"/>
        <w:gridCol w:w="1006"/>
        <w:gridCol w:w="491"/>
        <w:gridCol w:w="204"/>
        <w:gridCol w:w="770"/>
        <w:gridCol w:w="1558"/>
      </w:tblGrid>
      <w:tr>
        <w:tblPrEx>
          <w:tblCellMar>
            <w:top w:w="0" w:type="dxa"/>
            <w:left w:w="0" w:type="dxa"/>
            <w:bottom w:w="0" w:type="dxa"/>
            <w:right w:w="0" w:type="dxa"/>
          </w:tblCellMar>
        </w:tblPrEx>
        <w:trPr>
          <w:trHeight w:val="57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供应商名称</w:t>
            </w:r>
          </w:p>
        </w:tc>
        <w:tc>
          <w:tcPr>
            <w:tcW w:w="7581"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2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注册地址</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邮政编码</w:t>
            </w:r>
          </w:p>
        </w:tc>
        <w:tc>
          <w:tcPr>
            <w:tcW w:w="302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14" w:hRule="exact"/>
          <w:jc w:val="center"/>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联系人</w:t>
            </w:r>
          </w:p>
        </w:tc>
        <w:tc>
          <w:tcPr>
            <w:tcW w:w="258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电  话</w:t>
            </w:r>
          </w:p>
        </w:tc>
        <w:tc>
          <w:tcPr>
            <w:tcW w:w="302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23" w:hRule="exact"/>
          <w:jc w:val="center"/>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传 真</w:t>
            </w:r>
          </w:p>
        </w:tc>
        <w:tc>
          <w:tcPr>
            <w:tcW w:w="258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网  址</w:t>
            </w:r>
          </w:p>
        </w:tc>
        <w:tc>
          <w:tcPr>
            <w:tcW w:w="302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18"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姓名</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技术职称</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电话</w:t>
            </w:r>
          </w:p>
        </w:tc>
        <w:tc>
          <w:tcPr>
            <w:tcW w:w="15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1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姓名</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技术职称</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7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电话</w:t>
            </w:r>
          </w:p>
        </w:tc>
        <w:tc>
          <w:tcPr>
            <w:tcW w:w="15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3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成立时间</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530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员工总人数：</w:t>
            </w:r>
          </w:p>
        </w:tc>
      </w:tr>
      <w:tr>
        <w:tblPrEx>
          <w:tblCellMar>
            <w:top w:w="0" w:type="dxa"/>
            <w:left w:w="0" w:type="dxa"/>
            <w:bottom w:w="0" w:type="dxa"/>
            <w:right w:w="0" w:type="dxa"/>
          </w:tblCellMar>
        </w:tblPrEx>
        <w:trPr>
          <w:trHeight w:val="620"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hint="eastAsia" w:asciiTheme="minorEastAsia" w:hAnsiTheme="minorEastAsia" w:eastAsiaTheme="minorEastAsia"/>
                <w:snapToGrid w:val="0"/>
                <w:color w:val="000000" w:themeColor="text1"/>
                <w:sz w:val="21"/>
                <w:szCs w:val="21"/>
              </w:rPr>
              <w:t>企业资质等级</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其中：</w:t>
            </w:r>
          </w:p>
        </w:tc>
        <w:tc>
          <w:tcPr>
            <w:tcW w:w="206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hint="eastAsia" w:asciiTheme="minorEastAsia" w:hAnsiTheme="minorEastAsia" w:eastAsiaTheme="minorEastAsia"/>
                <w:snapToGrid w:val="0"/>
                <w:color w:val="000000" w:themeColor="text1"/>
                <w:sz w:val="21"/>
                <w:szCs w:val="21"/>
              </w:rPr>
              <w:t>项目经理（建造师）</w:t>
            </w:r>
          </w:p>
        </w:tc>
        <w:tc>
          <w:tcPr>
            <w:tcW w:w="253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14"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营业执照号</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206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高级职称人员</w:t>
            </w:r>
          </w:p>
        </w:tc>
        <w:tc>
          <w:tcPr>
            <w:tcW w:w="253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14"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注册资金</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206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中级职称人员</w:t>
            </w:r>
          </w:p>
        </w:tc>
        <w:tc>
          <w:tcPr>
            <w:tcW w:w="253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36"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开户银行</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206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初级职称人员</w:t>
            </w:r>
          </w:p>
        </w:tc>
        <w:tc>
          <w:tcPr>
            <w:tcW w:w="253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616"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账号</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c>
          <w:tcPr>
            <w:tcW w:w="2064"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技     工</w:t>
            </w:r>
          </w:p>
        </w:tc>
        <w:tc>
          <w:tcPr>
            <w:tcW w:w="253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2279"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经营范围</w:t>
            </w:r>
          </w:p>
        </w:tc>
        <w:tc>
          <w:tcPr>
            <w:tcW w:w="7581"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ind w:firstLine="420" w:firstLineChars="200"/>
              <w:jc w:val="center"/>
              <w:rPr>
                <w:rFonts w:asciiTheme="minorEastAsia" w:hAnsiTheme="minorEastAsia" w:eastAsiaTheme="minorEastAsia"/>
                <w:snapToGrid w:val="0"/>
                <w:color w:val="000000" w:themeColor="text1"/>
                <w:sz w:val="21"/>
                <w:szCs w:val="21"/>
              </w:rPr>
            </w:pPr>
          </w:p>
        </w:tc>
      </w:tr>
      <w:tr>
        <w:tblPrEx>
          <w:tblCellMar>
            <w:top w:w="0" w:type="dxa"/>
            <w:left w:w="0" w:type="dxa"/>
            <w:bottom w:w="0" w:type="dxa"/>
            <w:right w:w="0" w:type="dxa"/>
          </w:tblCellMar>
        </w:tblPrEx>
        <w:trPr>
          <w:trHeight w:val="148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jc w:val="center"/>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备注</w:t>
            </w:r>
          </w:p>
        </w:tc>
        <w:tc>
          <w:tcPr>
            <w:tcW w:w="7581"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before="0" w:beforeAutospacing="0" w:after="0" w:afterAutospacing="0" w:line="240" w:lineRule="auto"/>
              <w:rPr>
                <w:rFonts w:asciiTheme="minorEastAsia" w:hAnsiTheme="minorEastAsia" w:eastAsiaTheme="minorEastAsia"/>
                <w:snapToGrid w:val="0"/>
                <w:color w:val="000000" w:themeColor="text1"/>
                <w:sz w:val="21"/>
                <w:szCs w:val="21"/>
              </w:rPr>
            </w:pPr>
            <w:r>
              <w:rPr>
                <w:rFonts w:asciiTheme="minorEastAsia" w:hAnsiTheme="minorEastAsia" w:eastAsiaTheme="minorEastAsia"/>
                <w:snapToGrid w:val="0"/>
                <w:color w:val="000000" w:themeColor="text1"/>
                <w:sz w:val="21"/>
                <w:szCs w:val="21"/>
              </w:rPr>
              <w:t xml:space="preserve"> 附企业营业执照的复印件。</w:t>
            </w:r>
          </w:p>
        </w:tc>
      </w:tr>
    </w:tbl>
    <w:p>
      <w:pPr>
        <w:spacing w:before="0" w:beforeAutospacing="0" w:after="0" w:afterAutospacing="0" w:line="240" w:lineRule="auto"/>
        <w:rPr>
          <w:rFonts w:ascii="宋体" w:hAnsi="宋体"/>
          <w:color w:val="000000" w:themeColor="text1"/>
        </w:rPr>
      </w:pPr>
      <w:r>
        <w:rPr>
          <w:rFonts w:ascii="宋体" w:hAnsi="宋体"/>
          <w:color w:val="000000" w:themeColor="text1"/>
        </w:rPr>
        <w:br w:type="page"/>
      </w:r>
    </w:p>
    <w:p>
      <w:pPr>
        <w:pStyle w:val="8"/>
        <w:rPr>
          <w:color w:val="000000" w:themeColor="text1"/>
          <w:szCs w:val="21"/>
        </w:rPr>
      </w:pPr>
      <w:r>
        <w:rPr>
          <w:rFonts w:hint="eastAsia"/>
          <w:color w:val="000000" w:themeColor="text1"/>
        </w:rPr>
        <w:t>6-2  提供会计师事务所出具的2019年度财务审计报告或2020年度任意一个</w:t>
      </w:r>
      <w:r>
        <w:rPr>
          <w:rFonts w:hint="eastAsia"/>
          <w:color w:val="000000" w:themeColor="text1"/>
          <w:lang w:eastAsia="zh-CN"/>
        </w:rPr>
        <w:t>月</w:t>
      </w:r>
      <w:r>
        <w:rPr>
          <w:rFonts w:hint="eastAsia"/>
          <w:color w:val="000000" w:themeColor="text1"/>
        </w:rPr>
        <w:t>的企业财务报表</w:t>
      </w:r>
    </w:p>
    <w:p>
      <w:pPr>
        <w:spacing w:before="0" w:beforeAutospacing="0" w:after="0" w:afterAutospacing="0" w:line="240" w:lineRule="auto"/>
        <w:rPr>
          <w:color w:val="000000" w:themeColor="text1"/>
          <w:szCs w:val="21"/>
        </w:rPr>
      </w:pPr>
      <w:r>
        <w:rPr>
          <w:color w:val="000000" w:themeColor="text1"/>
          <w:szCs w:val="21"/>
        </w:rPr>
        <w:br w:type="page"/>
      </w:r>
    </w:p>
    <w:p>
      <w:pPr>
        <w:pStyle w:val="8"/>
        <w:rPr>
          <w:color w:val="000000" w:themeColor="text1"/>
        </w:rPr>
      </w:pPr>
      <w:r>
        <w:rPr>
          <w:rFonts w:hint="eastAsia"/>
          <w:color w:val="000000" w:themeColor="text1"/>
        </w:rPr>
        <w:t>6-3  依法缴纳税收和社会保障资金的证明材料复印件</w:t>
      </w:r>
    </w:p>
    <w:p>
      <w:pPr>
        <w:spacing w:before="0" w:beforeAutospacing="0" w:after="0" w:afterAutospacing="0" w:line="240" w:lineRule="auto"/>
        <w:rPr>
          <w:color w:val="000000" w:themeColor="text1"/>
          <w:szCs w:val="21"/>
        </w:rPr>
      </w:pPr>
      <w:r>
        <w:rPr>
          <w:color w:val="000000" w:themeColor="text1"/>
          <w:szCs w:val="21"/>
        </w:rPr>
        <w:br w:type="page"/>
      </w:r>
    </w:p>
    <w:p>
      <w:pPr>
        <w:pStyle w:val="8"/>
        <w:rPr>
          <w:color w:val="000000" w:themeColor="text1"/>
        </w:rPr>
      </w:pPr>
      <w:r>
        <w:rPr>
          <w:rFonts w:hint="eastAsia"/>
          <w:color w:val="000000" w:themeColor="text1"/>
          <w:szCs w:val="21"/>
        </w:rPr>
        <w:t xml:space="preserve">6-4  </w:t>
      </w:r>
      <w:r>
        <w:rPr>
          <w:color w:val="000000" w:themeColor="text1"/>
        </w:rPr>
        <w:t>具备履行合同所必需的设备和专业技术能力承诺书</w:t>
      </w: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r>
        <w:rPr>
          <w:rFonts w:asciiTheme="minorEastAsia" w:hAnsiTheme="minorEastAsia" w:eastAsiaTheme="minorEastAsia"/>
          <w:color w:val="000000" w:themeColor="text1"/>
          <w:u w:val="single"/>
        </w:rPr>
        <w:t xml:space="preserve">采购人名称) ： </w:t>
      </w:r>
    </w:p>
    <w:p>
      <w:pPr>
        <w:rPr>
          <w:rFonts w:asciiTheme="minorEastAsia" w:hAnsiTheme="minorEastAsia" w:eastAsiaTheme="minorEastAsia"/>
          <w:color w:val="000000" w:themeColor="text1"/>
        </w:rPr>
      </w:pPr>
    </w:p>
    <w:p>
      <w:pPr>
        <w:ind w:firstLine="480" w:firstLineChars="200"/>
        <w:rPr>
          <w:rFonts w:asciiTheme="minorEastAsia" w:hAnsiTheme="minorEastAsia" w:eastAsiaTheme="minorEastAsia"/>
          <w:color w:val="000000" w:themeColor="text1"/>
        </w:rPr>
      </w:pPr>
      <w:r>
        <w:rPr>
          <w:rFonts w:asciiTheme="minorEastAsia" w:hAnsiTheme="minorEastAsia" w:eastAsiaTheme="minorEastAsia"/>
          <w:color w:val="000000" w:themeColor="text1"/>
        </w:rPr>
        <w:t>我公司承诺具备履行合同所必需的设备和专业技术能力。</w:t>
      </w: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ind w:firstLine="5520" w:firstLineChars="2300"/>
        <w:rPr>
          <w:rFonts w:asciiTheme="minorEastAsia" w:hAnsiTheme="minorEastAsia" w:eastAsiaTheme="minorEastAsia"/>
          <w:color w:val="000000" w:themeColor="text1"/>
        </w:rPr>
      </w:pPr>
      <w:r>
        <w:rPr>
          <w:rFonts w:asciiTheme="minorEastAsia" w:hAnsiTheme="minorEastAsia" w:eastAsiaTheme="minorEastAsia"/>
          <w:color w:val="000000" w:themeColor="text1"/>
        </w:rPr>
        <w:t>供应商：（公章）</w:t>
      </w:r>
    </w:p>
    <w:p>
      <w:pPr>
        <w:rPr>
          <w:rFonts w:asciiTheme="minorEastAsia" w:hAnsiTheme="minorEastAsia" w:eastAsiaTheme="minorEastAsia"/>
          <w:color w:val="000000" w:themeColor="text1"/>
        </w:rPr>
      </w:pPr>
    </w:p>
    <w:p>
      <w:pPr>
        <w:jc w:val="right"/>
        <w:rPr>
          <w:rFonts w:asciiTheme="minorEastAsia" w:hAnsiTheme="minorEastAsia" w:eastAsiaTheme="minorEastAsia"/>
          <w:color w:val="000000" w:themeColor="text1"/>
        </w:rPr>
      </w:pPr>
      <w:r>
        <w:rPr>
          <w:rFonts w:asciiTheme="minorEastAsia" w:hAnsiTheme="minorEastAsia" w:eastAsiaTheme="minorEastAsia"/>
          <w:color w:val="000000" w:themeColor="text1"/>
        </w:rPr>
        <w:t>法定代表人或其授权代表：（签字或盖章）</w:t>
      </w:r>
    </w:p>
    <w:p>
      <w:pPr>
        <w:rPr>
          <w:rFonts w:asciiTheme="minorEastAsia" w:hAnsiTheme="minorEastAsia" w:eastAsiaTheme="minorEastAsia"/>
          <w:color w:val="000000" w:themeColor="text1"/>
        </w:rPr>
      </w:pPr>
    </w:p>
    <w:p>
      <w:pPr>
        <w:ind w:firstLine="5880" w:firstLineChars="2450"/>
        <w:rPr>
          <w:rFonts w:asciiTheme="minorEastAsia" w:hAnsiTheme="minorEastAsia" w:eastAsiaTheme="minorEastAsia"/>
          <w:color w:val="000000" w:themeColor="text1"/>
        </w:rPr>
      </w:pPr>
      <w:r>
        <w:rPr>
          <w:rFonts w:asciiTheme="minorEastAsia" w:hAnsiTheme="minorEastAsia" w:eastAsiaTheme="minorEastAsia"/>
          <w:color w:val="000000" w:themeColor="text1"/>
        </w:rPr>
        <w:t>日期：</w:t>
      </w:r>
    </w:p>
    <w:p>
      <w:pPr>
        <w:rPr>
          <w:rFonts w:asciiTheme="minorEastAsia" w:hAnsiTheme="minorEastAsia" w:eastAsiaTheme="minorEastAsia"/>
          <w:color w:val="000000" w:themeColor="text1"/>
        </w:rPr>
      </w:pPr>
    </w:p>
    <w:p>
      <w:pPr>
        <w:spacing w:before="0" w:beforeAutospacing="0" w:after="0" w:afterAutospacing="0" w:line="240" w:lineRule="auto"/>
        <w:rPr>
          <w:rFonts w:asciiTheme="minorEastAsia" w:hAnsiTheme="minorEastAsia" w:eastAsiaTheme="minorEastAsia"/>
          <w:color w:val="000000" w:themeColor="text1"/>
        </w:rPr>
      </w:pPr>
      <w:r>
        <w:rPr>
          <w:rFonts w:asciiTheme="minorEastAsia" w:hAnsiTheme="minorEastAsia" w:eastAsiaTheme="minorEastAsia"/>
          <w:color w:val="000000" w:themeColor="text1"/>
        </w:rPr>
        <w:br w:type="page"/>
      </w:r>
    </w:p>
    <w:p>
      <w:pPr>
        <w:pStyle w:val="8"/>
        <w:rPr>
          <w:color w:val="000000" w:themeColor="text1"/>
        </w:rPr>
      </w:pPr>
      <w:r>
        <w:rPr>
          <w:rFonts w:hint="eastAsia"/>
          <w:color w:val="000000" w:themeColor="text1"/>
        </w:rPr>
        <w:t xml:space="preserve">6-5  </w:t>
      </w:r>
      <w:r>
        <w:rPr>
          <w:color w:val="000000" w:themeColor="text1"/>
        </w:rPr>
        <w:t>供应商参加政府采购活动前3年内在经营活动中没有重大违法记录的书面声明（格式）</w:t>
      </w: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tabs>
          <w:tab w:val="left" w:pos="5580"/>
        </w:tabs>
        <w:spacing w:before="120"/>
        <w:rPr>
          <w:rFonts w:asciiTheme="minorEastAsia" w:hAnsiTheme="minorEastAsia" w:eastAsiaTheme="minorEastAsia"/>
          <w:color w:val="000000" w:themeColor="text1"/>
        </w:rPr>
      </w:pPr>
      <w:r>
        <w:rPr>
          <w:rFonts w:asciiTheme="minorEastAsia" w:hAnsiTheme="minorEastAsia" w:eastAsiaTheme="minorEastAsia"/>
          <w:color w:val="000000" w:themeColor="text1"/>
          <w:u w:val="single"/>
        </w:rPr>
        <w:t xml:space="preserve">   （采购人）</w:t>
      </w:r>
      <w:r>
        <w:rPr>
          <w:rFonts w:hint="eastAsia" w:asciiTheme="minorEastAsia" w:hAnsiTheme="minorEastAsia" w:eastAsiaTheme="minorEastAsia"/>
          <w:color w:val="000000" w:themeColor="text1"/>
          <w:u w:val="single"/>
        </w:rPr>
        <w:t>：</w:t>
      </w:r>
    </w:p>
    <w:p>
      <w:pPr>
        <w:ind w:firstLine="480" w:firstLineChars="200"/>
        <w:rPr>
          <w:rFonts w:asciiTheme="minorEastAsia" w:hAnsiTheme="minorEastAsia" w:eastAsiaTheme="minorEastAsia"/>
          <w:color w:val="000000" w:themeColor="text1"/>
        </w:rPr>
      </w:pPr>
      <w:r>
        <w:rPr>
          <w:rFonts w:asciiTheme="minorEastAsia" w:hAnsiTheme="minorEastAsia" w:eastAsiaTheme="minorEastAsia"/>
          <w:color w:val="000000" w:themeColor="text1"/>
        </w:rPr>
        <w:t>我公司郑重承诺在参加本项目政府采购活动前三年内，在经营活动中无重大违法记录。公司未受到行政处罚或责令停业、吊销许可证（或执照）；未处于财产被接管、冻结、破产状况。</w:t>
      </w:r>
    </w:p>
    <w:p>
      <w:pPr>
        <w:ind w:firstLine="480" w:firstLineChars="200"/>
        <w:rPr>
          <w:rFonts w:asciiTheme="minorEastAsia" w:hAnsiTheme="minorEastAsia" w:eastAsiaTheme="minorEastAsia"/>
          <w:color w:val="000000" w:themeColor="text1"/>
        </w:rPr>
      </w:pPr>
      <w:r>
        <w:rPr>
          <w:rFonts w:asciiTheme="minorEastAsia" w:hAnsiTheme="minorEastAsia" w:eastAsiaTheme="minorEastAsia"/>
          <w:color w:val="000000" w:themeColor="text1"/>
        </w:rPr>
        <w:t>特此声明。</w:t>
      </w:r>
    </w:p>
    <w:p>
      <w:pPr>
        <w:ind w:firstLine="480" w:firstLineChars="200"/>
        <w:rPr>
          <w:rFonts w:asciiTheme="minorEastAsia" w:hAnsiTheme="minorEastAsia" w:eastAsiaTheme="minorEastAsia"/>
          <w:color w:val="000000" w:themeColor="text1"/>
        </w:rPr>
      </w:pPr>
    </w:p>
    <w:p>
      <w:pPr>
        <w:ind w:firstLine="480" w:firstLineChars="200"/>
        <w:rPr>
          <w:rFonts w:asciiTheme="minorEastAsia" w:hAnsiTheme="minorEastAsia" w:eastAsiaTheme="minorEastAsia"/>
          <w:color w:val="000000" w:themeColor="text1"/>
        </w:rPr>
      </w:pPr>
    </w:p>
    <w:p>
      <w:pPr>
        <w:ind w:left="3828" w:leftChars="1595"/>
        <w:rPr>
          <w:rFonts w:asciiTheme="minorEastAsia" w:hAnsiTheme="minorEastAsia" w:eastAsiaTheme="minorEastAsia"/>
          <w:color w:val="000000" w:themeColor="text1"/>
        </w:rPr>
      </w:pPr>
      <w:r>
        <w:rPr>
          <w:rFonts w:asciiTheme="minorEastAsia" w:hAnsiTheme="minorEastAsia" w:eastAsiaTheme="minorEastAsia"/>
          <w:color w:val="000000" w:themeColor="text1"/>
          <w:szCs w:val="24"/>
        </w:rPr>
        <w:t>供应商(盖章)：</w:t>
      </w:r>
      <w:r>
        <w:rPr>
          <w:rFonts w:asciiTheme="minorEastAsia" w:hAnsiTheme="minorEastAsia" w:eastAsiaTheme="minorEastAsia"/>
          <w:color w:val="000000" w:themeColor="text1"/>
          <w:szCs w:val="24"/>
          <w:u w:val="single"/>
        </w:rPr>
        <w:tab/>
      </w:r>
      <w:r>
        <w:rPr>
          <w:rFonts w:asciiTheme="minorEastAsia" w:hAnsiTheme="minorEastAsia" w:eastAsiaTheme="minorEastAsia"/>
          <w:color w:val="000000" w:themeColor="text1"/>
          <w:szCs w:val="24"/>
          <w:u w:val="single"/>
        </w:rPr>
        <w:tab/>
      </w:r>
    </w:p>
    <w:p>
      <w:pPr>
        <w:pStyle w:val="62"/>
        <w:spacing w:line="360" w:lineRule="auto"/>
        <w:ind w:left="3828" w:leftChars="1595"/>
        <w:rPr>
          <w:rFonts w:asciiTheme="minorEastAsia" w:hAnsiTheme="minorEastAsia" w:eastAsiaTheme="minorEastAsia"/>
          <w:color w:val="000000" w:themeColor="text1"/>
          <w:sz w:val="24"/>
          <w:szCs w:val="24"/>
        </w:rPr>
      </w:pPr>
      <w:r>
        <w:rPr>
          <w:rFonts w:hAnsi="宋体"/>
          <w:color w:val="000000" w:themeColor="text1"/>
          <w:sz w:val="24"/>
          <w:szCs w:val="24"/>
        </w:rPr>
        <w:t>法定代表人或其授权代表（</w:t>
      </w:r>
      <w:r>
        <w:rPr>
          <w:rFonts w:hint="eastAsia" w:hAnsi="宋体"/>
          <w:color w:val="000000" w:themeColor="text1"/>
          <w:sz w:val="24"/>
          <w:szCs w:val="24"/>
        </w:rPr>
        <w:t>签字或盖章</w:t>
      </w:r>
      <w:r>
        <w:rPr>
          <w:rFonts w:hAnsi="宋体"/>
          <w:color w:val="000000" w:themeColor="text1"/>
          <w:sz w:val="24"/>
          <w:szCs w:val="24"/>
        </w:rPr>
        <w:t>）</w:t>
      </w:r>
      <w:r>
        <w:rPr>
          <w:rFonts w:asciiTheme="minorEastAsia" w:hAnsiTheme="minorEastAsia" w:eastAsiaTheme="minorEastAsia"/>
          <w:color w:val="000000" w:themeColor="text1"/>
          <w:sz w:val="24"/>
          <w:szCs w:val="24"/>
        </w:rPr>
        <w:t>：_____________</w:t>
      </w:r>
    </w:p>
    <w:p>
      <w:pPr>
        <w:spacing w:before="0" w:beforeAutospacing="0" w:after="0" w:afterAutospacing="0" w:line="240" w:lineRule="auto"/>
        <w:rPr>
          <w:color w:val="000000" w:themeColor="text1"/>
          <w:szCs w:val="21"/>
        </w:rPr>
      </w:pPr>
    </w:p>
    <w:p>
      <w:pPr>
        <w:spacing w:before="0" w:beforeAutospacing="0" w:after="0" w:afterAutospacing="0" w:line="240" w:lineRule="auto"/>
        <w:rPr>
          <w:rFonts w:eastAsia="黑体"/>
          <w:b/>
          <w:color w:val="000000" w:themeColor="text1"/>
          <w:sz w:val="28"/>
        </w:rPr>
      </w:pPr>
      <w:bookmarkStart w:id="547" w:name="_Toc527978811"/>
      <w:bookmarkStart w:id="548" w:name="_Toc527970801"/>
    </w:p>
    <w:p>
      <w:pPr>
        <w:spacing w:before="0" w:beforeAutospacing="0" w:after="0" w:afterAutospacing="0" w:line="240" w:lineRule="auto"/>
        <w:rPr>
          <w:rFonts w:eastAsia="黑体"/>
          <w:b/>
          <w:color w:val="000000" w:themeColor="text1"/>
          <w:sz w:val="28"/>
        </w:rPr>
      </w:pPr>
      <w:r>
        <w:rPr>
          <w:rFonts w:eastAsia="黑体"/>
          <w:b/>
          <w:color w:val="000000" w:themeColor="text1"/>
          <w:sz w:val="28"/>
        </w:rPr>
        <w:br w:type="page"/>
      </w:r>
    </w:p>
    <w:p>
      <w:pPr>
        <w:pStyle w:val="8"/>
        <w:rPr>
          <w:color w:val="000000" w:themeColor="text1"/>
        </w:rPr>
      </w:pPr>
      <w:r>
        <w:rPr>
          <w:rFonts w:hint="eastAsia" w:eastAsia="黑体"/>
          <w:color w:val="000000" w:themeColor="text1"/>
          <w:sz w:val="28"/>
        </w:rPr>
        <w:t xml:space="preserve">6-6  </w:t>
      </w:r>
      <w:r>
        <w:rPr>
          <w:color w:val="000000" w:themeColor="text1"/>
        </w:rPr>
        <w:t>政府采购活动信用记录自查承诺函</w:t>
      </w:r>
    </w:p>
    <w:p>
      <w:pPr>
        <w:adjustRightInd w:val="0"/>
        <w:spacing w:line="360" w:lineRule="atLeast"/>
        <w:textAlignment w:val="baseline"/>
        <w:rPr>
          <w:rFonts w:asciiTheme="minorEastAsia" w:hAnsiTheme="minorEastAsia" w:eastAsiaTheme="minorEastAsia"/>
          <w:bCs/>
          <w:color w:val="000000" w:themeColor="text1"/>
          <w:spacing w:val="20"/>
          <w:sz w:val="21"/>
          <w:szCs w:val="21"/>
          <w:u w:val="single"/>
        </w:rPr>
      </w:pPr>
    </w:p>
    <w:p>
      <w:pPr>
        <w:adjustRightInd w:val="0"/>
        <w:spacing w:line="360" w:lineRule="atLeast"/>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u w:val="single"/>
        </w:rPr>
        <w:t>（采购人）</w:t>
      </w:r>
      <w:r>
        <w:rPr>
          <w:rFonts w:asciiTheme="minorEastAsia" w:hAnsiTheme="minorEastAsia" w:eastAsiaTheme="minorEastAsia"/>
          <w:bCs/>
          <w:color w:val="000000" w:themeColor="text1"/>
          <w:spacing w:val="20"/>
          <w:sz w:val="21"/>
          <w:szCs w:val="21"/>
        </w:rPr>
        <w:t>：</w:t>
      </w:r>
    </w:p>
    <w:p>
      <w:pPr>
        <w:adjustRightInd w:val="0"/>
        <w:snapToGrid w:val="0"/>
        <w:spacing w:before="0" w:beforeAutospacing="0" w:after="0" w:afterAutospacing="0"/>
        <w:ind w:firstLine="500" w:firstLineChars="200"/>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关于本公司（企业）信用情况，经对“信用中国”网站（www.creditchina.gov.cn）中企业信用信息、中国政府采购网（www.ccgp.gov.cn）中“政府采购严重违法失信行为信息记录”的网上查询，截至规定的投标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adjustRightInd w:val="0"/>
        <w:snapToGrid w:val="0"/>
        <w:spacing w:before="0" w:beforeAutospacing="0" w:after="0" w:afterAutospacing="0"/>
        <w:ind w:firstLine="500" w:firstLineChars="200"/>
        <w:textAlignment w:val="baseline"/>
        <w:rPr>
          <w:rFonts w:asciiTheme="minorEastAsia" w:hAnsiTheme="minorEastAsia" w:eastAsiaTheme="minorEastAsia"/>
          <w:bCs/>
          <w:color w:val="000000" w:themeColor="text1"/>
          <w:spacing w:val="20"/>
          <w:sz w:val="21"/>
          <w:szCs w:val="21"/>
        </w:rPr>
      </w:pPr>
    </w:p>
    <w:p>
      <w:pPr>
        <w:adjustRightInd w:val="0"/>
        <w:snapToGrid w:val="0"/>
        <w:spacing w:before="0" w:beforeAutospacing="0" w:after="0" w:afterAutospacing="0"/>
        <w:ind w:firstLine="500" w:firstLineChars="200"/>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特此承诺！</w:t>
      </w: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相关资格证明材料如下（均提供网站截图加盖公章）：</w:t>
      </w: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附件1：“信用中国”网站截图证明；</w:t>
      </w: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附件2：中国政府采购网（www.ccgp.gov.cn）中“政府采购严重违法失信行为信息记录”截图证明。</w:t>
      </w: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p>
    <w:p>
      <w:pPr>
        <w:adjustRightInd w:val="0"/>
        <w:snapToGrid w:val="0"/>
        <w:spacing w:before="0" w:beforeAutospacing="0" w:after="0" w:afterAutospacing="0"/>
        <w:ind w:left="3401" w:leftChars="1417"/>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供应商名称（加盖公章）：</w:t>
      </w:r>
    </w:p>
    <w:p>
      <w:pPr>
        <w:adjustRightInd w:val="0"/>
        <w:snapToGrid w:val="0"/>
        <w:spacing w:before="0" w:beforeAutospacing="0" w:after="0" w:afterAutospacing="0"/>
        <w:ind w:left="3401" w:leftChars="1417"/>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法定代表人或其授权代表（签字或盖章）：</w:t>
      </w:r>
    </w:p>
    <w:p>
      <w:pPr>
        <w:adjustRightInd w:val="0"/>
        <w:snapToGrid w:val="0"/>
        <w:spacing w:before="0" w:beforeAutospacing="0" w:after="0" w:afterAutospacing="0"/>
        <w:ind w:left="3401" w:leftChars="1417"/>
        <w:textAlignment w:val="baseline"/>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t>日    期：   年   月  日</w:t>
      </w: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 w:val="21"/>
          <w:szCs w:val="21"/>
        </w:rPr>
      </w:pPr>
    </w:p>
    <w:p>
      <w:pPr>
        <w:spacing w:before="0" w:beforeAutospacing="0" w:after="0" w:afterAutospacing="0" w:line="240" w:lineRule="auto"/>
        <w:rPr>
          <w:rFonts w:asciiTheme="minorEastAsia" w:hAnsiTheme="minorEastAsia" w:eastAsiaTheme="minorEastAsia"/>
          <w:bCs/>
          <w:color w:val="000000" w:themeColor="text1"/>
          <w:spacing w:val="20"/>
          <w:sz w:val="21"/>
          <w:szCs w:val="21"/>
        </w:rPr>
      </w:pPr>
      <w:r>
        <w:rPr>
          <w:rFonts w:asciiTheme="minorEastAsia" w:hAnsiTheme="minorEastAsia" w:eastAsiaTheme="minorEastAsia"/>
          <w:bCs/>
          <w:color w:val="000000" w:themeColor="text1"/>
          <w:spacing w:val="20"/>
          <w:sz w:val="21"/>
          <w:szCs w:val="21"/>
        </w:rPr>
        <w:br w:type="page"/>
      </w:r>
    </w:p>
    <w:p>
      <w:pPr>
        <w:pStyle w:val="8"/>
        <w:rPr>
          <w:color w:val="000000" w:themeColor="text1"/>
        </w:rPr>
      </w:pPr>
      <w:r>
        <w:rPr>
          <w:rFonts w:hint="eastAsia"/>
          <w:color w:val="000000" w:themeColor="text1"/>
          <w:szCs w:val="21"/>
        </w:rPr>
        <w:t>6-7</w:t>
      </w:r>
      <w:bookmarkStart w:id="549" w:name="_Ref527015410"/>
      <w:r>
        <w:rPr>
          <w:rFonts w:hint="eastAsia"/>
          <w:color w:val="000000" w:themeColor="text1"/>
        </w:rPr>
        <w:t>供应商</w:t>
      </w:r>
      <w:bookmarkEnd w:id="549"/>
      <w:r>
        <w:rPr>
          <w:rFonts w:hint="eastAsia"/>
          <w:color w:val="000000" w:themeColor="text1"/>
        </w:rPr>
        <w:t>承诺书</w:t>
      </w:r>
    </w:p>
    <w:p>
      <w:pPr>
        <w:rPr>
          <w:rFonts w:ascii="宋体" w:hAnsi="宋体"/>
          <w:color w:val="000000" w:themeColor="text1"/>
          <w:szCs w:val="21"/>
        </w:rPr>
      </w:pPr>
    </w:p>
    <w:p>
      <w:pPr>
        <w:rPr>
          <w:rFonts w:ascii="宋体" w:hAnsi="宋体"/>
          <w:color w:val="000000" w:themeColor="text1"/>
          <w:szCs w:val="21"/>
        </w:rPr>
      </w:pPr>
      <w:r>
        <w:rPr>
          <w:rFonts w:ascii="宋体" w:hAnsi="宋体"/>
          <w:color w:val="000000" w:themeColor="text1"/>
          <w:szCs w:val="21"/>
        </w:rPr>
        <w:t>致：</w:t>
      </w:r>
      <w:r>
        <w:rPr>
          <w:rFonts w:hint="eastAsia" w:ascii="宋体" w:hAnsi="宋体" w:cs="仿宋_GB2312"/>
          <w:color w:val="000000" w:themeColor="text1"/>
          <w:u w:val="single"/>
        </w:rPr>
        <w:t xml:space="preserve"> （代理机构） </w:t>
      </w:r>
    </w:p>
    <w:p>
      <w:pPr>
        <w:ind w:firstLine="426"/>
        <w:rPr>
          <w:rFonts w:ascii="宋体" w:hAnsi="Courier New" w:cs="Courier New"/>
          <w:color w:val="000000" w:themeColor="text1"/>
        </w:rPr>
      </w:pPr>
    </w:p>
    <w:p>
      <w:pPr>
        <w:widowControl w:val="0"/>
        <w:spacing w:line="420" w:lineRule="exact"/>
        <w:ind w:firstLine="480" w:firstLineChars="200"/>
        <w:rPr>
          <w:rFonts w:ascii="宋体" w:hAnsi="Courier New" w:cs="Courier New"/>
          <w:color w:val="000000" w:themeColor="text1"/>
        </w:rPr>
      </w:pPr>
      <w:r>
        <w:rPr>
          <w:rFonts w:hint="eastAsia" w:ascii="宋体" w:hAnsi="Courier New" w:cs="Courier New"/>
          <w:color w:val="000000" w:themeColor="text1"/>
          <w:szCs w:val="24"/>
        </w:rPr>
        <w:t>关于贵公司发布的项目（项目编号：）的竞争性磋商公告，本公司愿意参加本次竞争性磋商，并承诺：</w:t>
      </w:r>
    </w:p>
    <w:p>
      <w:pPr>
        <w:widowControl w:val="0"/>
        <w:spacing w:line="420" w:lineRule="exact"/>
        <w:ind w:firstLine="480" w:firstLineChars="200"/>
        <w:rPr>
          <w:rFonts w:ascii="宋体" w:hAnsi="Courier New" w:cs="Courier New"/>
          <w:color w:val="000000" w:themeColor="text1"/>
        </w:rPr>
      </w:pPr>
      <w:r>
        <w:rPr>
          <w:rFonts w:hint="eastAsia" w:ascii="宋体" w:hAnsi="Courier New" w:cs="Courier New"/>
          <w:color w:val="000000" w:themeColor="text1"/>
        </w:rPr>
        <w:t>根据《中华人民共和国政府采购法实施条例》的规定，本公司如为采购项目提供整体设计、规范编制或者项目管理、监理、检测等服务的供应商，不再参加该采购项目的其他采购活动。否则，由此所造成的损失、不良后果及法律责任，一律由我公司承担。</w:t>
      </w:r>
    </w:p>
    <w:p>
      <w:pPr>
        <w:spacing w:line="480" w:lineRule="auto"/>
        <w:ind w:firstLine="426"/>
        <w:rPr>
          <w:rFonts w:ascii="宋体" w:hAnsi="宋体"/>
          <w:color w:val="000000" w:themeColor="text1"/>
        </w:rPr>
      </w:pPr>
    </w:p>
    <w:p>
      <w:pPr>
        <w:spacing w:line="480" w:lineRule="auto"/>
        <w:ind w:firstLine="6422" w:firstLineChars="2676"/>
        <w:rPr>
          <w:rFonts w:ascii="宋体" w:hAnsi="宋体"/>
          <w:color w:val="000000" w:themeColor="text1"/>
        </w:rPr>
      </w:pPr>
      <w:r>
        <w:rPr>
          <w:rFonts w:ascii="宋体" w:hAnsi="宋体"/>
          <w:color w:val="000000" w:themeColor="text1"/>
        </w:rPr>
        <w:t>供应商名称（公章）：</w:t>
      </w:r>
    </w:p>
    <w:p>
      <w:pPr>
        <w:spacing w:line="480" w:lineRule="auto"/>
        <w:ind w:firstLine="3600" w:firstLineChars="1500"/>
        <w:rPr>
          <w:rFonts w:ascii="宋体" w:hAnsi="宋体"/>
          <w:color w:val="000000" w:themeColor="text1"/>
        </w:rPr>
      </w:pPr>
      <w:r>
        <w:rPr>
          <w:rFonts w:ascii="宋体" w:hAnsi="宋体"/>
          <w:color w:val="000000" w:themeColor="text1"/>
        </w:rPr>
        <w:t>法定代表人或其授权代表（</w:t>
      </w:r>
      <w:r>
        <w:rPr>
          <w:rFonts w:hint="eastAsia" w:ascii="宋体" w:hAnsi="宋体"/>
          <w:color w:val="000000" w:themeColor="text1"/>
        </w:rPr>
        <w:t>签字或加盖人名章</w:t>
      </w:r>
      <w:r>
        <w:rPr>
          <w:rFonts w:ascii="宋体" w:hAnsi="宋体"/>
          <w:color w:val="000000" w:themeColor="text1"/>
        </w:rPr>
        <w:t>）：</w:t>
      </w:r>
    </w:p>
    <w:p>
      <w:pPr>
        <w:pStyle w:val="18"/>
        <w:ind w:firstLine="6000" w:firstLineChars="2500"/>
        <w:rPr>
          <w:color w:val="000000" w:themeColor="text1"/>
        </w:rPr>
      </w:pPr>
      <w:r>
        <w:rPr>
          <w:rFonts w:ascii="宋体" w:hAnsi="宋体"/>
          <w:color w:val="000000" w:themeColor="text1"/>
        </w:rPr>
        <w:t>日    期：</w:t>
      </w:r>
      <w:r>
        <w:rPr>
          <w:rFonts w:ascii="宋体" w:hAnsi="宋体"/>
          <w:color w:val="000000" w:themeColor="text1"/>
          <w:u w:val="single"/>
        </w:rPr>
        <w:t xml:space="preserve">     年   月    日</w:t>
      </w:r>
    </w:p>
    <w:p>
      <w:pPr>
        <w:spacing w:before="0" w:beforeAutospacing="0" w:after="0" w:afterAutospacing="0" w:line="240" w:lineRule="auto"/>
        <w:rPr>
          <w:rFonts w:asciiTheme="minorEastAsia" w:hAnsiTheme="minorEastAsia" w:eastAsiaTheme="minorEastAsia"/>
          <w:bCs/>
          <w:color w:val="000000" w:themeColor="text1"/>
          <w:spacing w:val="20"/>
          <w:szCs w:val="21"/>
        </w:rPr>
      </w:pPr>
      <w:r>
        <w:rPr>
          <w:rFonts w:asciiTheme="minorEastAsia" w:hAnsiTheme="minorEastAsia" w:eastAsiaTheme="minorEastAsia"/>
          <w:bCs/>
          <w:color w:val="000000" w:themeColor="text1"/>
          <w:spacing w:val="20"/>
          <w:szCs w:val="21"/>
        </w:rPr>
        <w:br w:type="page"/>
      </w:r>
    </w:p>
    <w:p>
      <w:pPr>
        <w:pStyle w:val="8"/>
        <w:rPr>
          <w:color w:val="000000" w:themeColor="text1"/>
        </w:rPr>
      </w:pPr>
      <w:r>
        <w:rPr>
          <w:rFonts w:hint="eastAsia"/>
          <w:color w:val="000000" w:themeColor="text1"/>
          <w:szCs w:val="21"/>
        </w:rPr>
        <w:t>6-8</w:t>
      </w:r>
      <w:bookmarkStart w:id="550" w:name="_Ref527015401"/>
      <w:r>
        <w:rPr>
          <w:rFonts w:hint="eastAsia"/>
          <w:color w:val="000000" w:themeColor="text1"/>
        </w:rPr>
        <w:t>供应商控股股东名称、控股公司的名称和存在管理、被管理关系的单位名称说明</w:t>
      </w:r>
      <w:bookmarkEnd w:id="550"/>
    </w:p>
    <w:p>
      <w:pPr>
        <w:rPr>
          <w:rFonts w:ascii="宋体" w:hAnsi="宋体"/>
          <w:color w:val="000000" w:themeColor="text1"/>
          <w:szCs w:val="21"/>
        </w:rPr>
      </w:pPr>
    </w:p>
    <w:p>
      <w:pPr>
        <w:snapToGrid w:val="0"/>
        <w:spacing w:before="0" w:beforeAutospacing="0" w:after="0" w:afterAutospacing="0"/>
        <w:rPr>
          <w:rFonts w:ascii="宋体" w:hAnsi="宋体"/>
          <w:color w:val="000000" w:themeColor="text1"/>
          <w:szCs w:val="21"/>
        </w:rPr>
      </w:pPr>
      <w:r>
        <w:rPr>
          <w:rFonts w:ascii="宋体" w:hAnsi="宋体"/>
          <w:color w:val="000000" w:themeColor="text1"/>
          <w:szCs w:val="21"/>
          <w:u w:val="single"/>
        </w:rPr>
        <w:t>（采购人）</w:t>
      </w:r>
      <w:r>
        <w:rPr>
          <w:rFonts w:hint="eastAsia" w:ascii="宋体" w:hAnsi="宋体"/>
          <w:color w:val="000000" w:themeColor="text1"/>
          <w:szCs w:val="21"/>
        </w:rPr>
        <w:t>：</w:t>
      </w:r>
    </w:p>
    <w:p>
      <w:pPr>
        <w:snapToGrid w:val="0"/>
        <w:spacing w:before="0" w:beforeAutospacing="0" w:after="0" w:afterAutospacing="0"/>
        <w:rPr>
          <w:rFonts w:ascii="宋体" w:hAnsi="宋体"/>
          <w:color w:val="000000" w:themeColor="text1"/>
          <w:szCs w:val="21"/>
        </w:rPr>
      </w:pPr>
    </w:p>
    <w:p>
      <w:pPr>
        <w:snapToGrid w:val="0"/>
        <w:spacing w:before="0" w:beforeAutospacing="0" w:after="0" w:afterAutospacing="0"/>
        <w:ind w:firstLine="426"/>
        <w:rPr>
          <w:rFonts w:ascii="宋体" w:hAnsi="Courier New" w:cs="Courier New"/>
          <w:color w:val="000000" w:themeColor="text1"/>
        </w:rPr>
      </w:pPr>
      <w:r>
        <w:rPr>
          <w:rFonts w:hint="eastAsia" w:ascii="宋体" w:hAnsi="Courier New" w:cs="Courier New"/>
          <w:color w:val="000000" w:themeColor="text1"/>
        </w:rPr>
        <w:t>与我方的法定代表人（单位负责人）为同一人的企业如下：</w:t>
      </w:r>
    </w:p>
    <w:p>
      <w:pPr>
        <w:snapToGrid w:val="0"/>
        <w:spacing w:before="0" w:beforeAutospacing="0" w:after="0" w:afterAutospacing="0"/>
        <w:ind w:firstLine="426"/>
        <w:rPr>
          <w:rFonts w:ascii="宋体" w:hAnsi="Courier New" w:cs="Courier New"/>
          <w:color w:val="000000" w:themeColor="text1"/>
        </w:rPr>
      </w:pPr>
    </w:p>
    <w:p>
      <w:pPr>
        <w:snapToGrid w:val="0"/>
        <w:spacing w:before="0" w:beforeAutospacing="0" w:after="0" w:afterAutospacing="0"/>
        <w:ind w:firstLine="426"/>
        <w:rPr>
          <w:rFonts w:ascii="宋体" w:hAnsi="Courier New" w:cs="Courier New"/>
          <w:color w:val="000000" w:themeColor="text1"/>
        </w:rPr>
      </w:pPr>
      <w:r>
        <w:rPr>
          <w:rFonts w:hint="eastAsia" w:ascii="宋体" w:hAnsi="Courier New" w:cs="Courier New"/>
          <w:color w:val="000000" w:themeColor="text1"/>
        </w:rPr>
        <w:t>我方的控股股东如下：</w:t>
      </w:r>
    </w:p>
    <w:p>
      <w:pPr>
        <w:snapToGrid w:val="0"/>
        <w:spacing w:before="0" w:beforeAutospacing="0" w:after="0" w:afterAutospacing="0"/>
        <w:ind w:firstLine="426"/>
        <w:rPr>
          <w:rFonts w:ascii="宋体" w:hAnsi="Courier New" w:cs="Courier New"/>
          <w:color w:val="000000" w:themeColor="text1"/>
        </w:rPr>
      </w:pPr>
    </w:p>
    <w:p>
      <w:pPr>
        <w:snapToGrid w:val="0"/>
        <w:spacing w:before="0" w:beforeAutospacing="0" w:after="0" w:afterAutospacing="0"/>
        <w:ind w:firstLine="426"/>
        <w:rPr>
          <w:rFonts w:ascii="宋体" w:hAnsi="Courier New" w:cs="Courier New"/>
          <w:color w:val="000000" w:themeColor="text1"/>
        </w:rPr>
      </w:pPr>
      <w:r>
        <w:rPr>
          <w:rFonts w:hint="eastAsia" w:ascii="宋体" w:hAnsi="Courier New" w:cs="Courier New"/>
          <w:color w:val="000000" w:themeColor="text1"/>
        </w:rPr>
        <w:t>我方直接控股的企业如下：</w:t>
      </w:r>
    </w:p>
    <w:p>
      <w:pPr>
        <w:snapToGrid w:val="0"/>
        <w:spacing w:before="0" w:beforeAutospacing="0" w:after="0" w:afterAutospacing="0"/>
        <w:ind w:firstLine="426"/>
        <w:rPr>
          <w:rFonts w:ascii="宋体" w:hAnsi="Courier New" w:cs="Courier New"/>
          <w:color w:val="000000" w:themeColor="text1"/>
        </w:rPr>
      </w:pPr>
    </w:p>
    <w:p>
      <w:pPr>
        <w:snapToGrid w:val="0"/>
        <w:spacing w:before="0" w:beforeAutospacing="0" w:after="0" w:afterAutospacing="0"/>
        <w:ind w:firstLine="426"/>
        <w:rPr>
          <w:rFonts w:ascii="宋体" w:hAnsi="Courier New" w:cs="Courier New"/>
          <w:color w:val="000000" w:themeColor="text1"/>
        </w:rPr>
      </w:pPr>
      <w:r>
        <w:rPr>
          <w:rFonts w:hint="eastAsia" w:ascii="宋体" w:hAnsi="Courier New" w:cs="Courier New"/>
          <w:color w:val="000000" w:themeColor="text1"/>
        </w:rPr>
        <w:t>与我方存在管理、被管理关系的单位名称如下：</w:t>
      </w:r>
    </w:p>
    <w:p>
      <w:pPr>
        <w:snapToGrid w:val="0"/>
        <w:spacing w:before="0" w:beforeAutospacing="0" w:after="0" w:afterAutospacing="0"/>
        <w:ind w:firstLine="426"/>
        <w:rPr>
          <w:rFonts w:ascii="宋体" w:hAnsi="宋体"/>
          <w:color w:val="000000" w:themeColor="text1"/>
          <w:szCs w:val="21"/>
        </w:rPr>
      </w:pPr>
    </w:p>
    <w:p>
      <w:pPr>
        <w:snapToGrid w:val="0"/>
        <w:spacing w:before="0" w:beforeAutospacing="0" w:after="0" w:afterAutospacing="0"/>
        <w:ind w:firstLine="426"/>
        <w:rPr>
          <w:rFonts w:ascii="宋体" w:hAnsi="宋体"/>
          <w:color w:val="000000" w:themeColor="text1"/>
          <w:szCs w:val="21"/>
        </w:rPr>
      </w:pPr>
    </w:p>
    <w:p>
      <w:pPr>
        <w:snapToGrid w:val="0"/>
        <w:spacing w:before="0" w:beforeAutospacing="0" w:after="0" w:afterAutospacing="0"/>
        <w:ind w:left="3259" w:leftChars="1358" w:firstLine="426"/>
        <w:rPr>
          <w:rFonts w:ascii="宋体" w:hAnsi="宋体"/>
          <w:color w:val="000000" w:themeColor="text1"/>
          <w:szCs w:val="21"/>
        </w:rPr>
      </w:pPr>
      <w:r>
        <w:rPr>
          <w:rFonts w:ascii="宋体" w:hAnsi="宋体"/>
          <w:color w:val="000000" w:themeColor="text1"/>
          <w:szCs w:val="21"/>
        </w:rPr>
        <w:t xml:space="preserve">供应商名称（公章）： </w:t>
      </w:r>
    </w:p>
    <w:p>
      <w:pPr>
        <w:snapToGrid w:val="0"/>
        <w:spacing w:before="0" w:beforeAutospacing="0" w:after="0" w:afterAutospacing="0"/>
        <w:ind w:left="3259" w:leftChars="1358" w:firstLine="420"/>
        <w:rPr>
          <w:rFonts w:ascii="宋体" w:hAnsi="宋体"/>
          <w:color w:val="000000" w:themeColor="text1"/>
          <w:szCs w:val="21"/>
        </w:rPr>
      </w:pPr>
      <w:r>
        <w:rPr>
          <w:rFonts w:ascii="宋体" w:hAnsi="宋体"/>
          <w:color w:val="000000" w:themeColor="text1"/>
          <w:szCs w:val="21"/>
        </w:rPr>
        <w:t>法定代表人或其授权代表（</w:t>
      </w:r>
      <w:r>
        <w:rPr>
          <w:rFonts w:hint="eastAsia" w:ascii="宋体" w:hAnsi="宋体"/>
          <w:color w:val="000000" w:themeColor="text1"/>
          <w:szCs w:val="21"/>
        </w:rPr>
        <w:t>签字或盖章</w:t>
      </w:r>
      <w:r>
        <w:rPr>
          <w:rFonts w:ascii="宋体" w:hAnsi="宋体"/>
          <w:color w:val="000000" w:themeColor="text1"/>
          <w:szCs w:val="21"/>
        </w:rPr>
        <w:t>）：</w:t>
      </w:r>
    </w:p>
    <w:p>
      <w:pPr>
        <w:snapToGrid w:val="0"/>
        <w:spacing w:before="0" w:beforeAutospacing="0" w:after="0" w:afterAutospacing="0"/>
        <w:ind w:left="3259" w:leftChars="1358" w:firstLine="480" w:firstLineChars="200"/>
        <w:rPr>
          <w:rFonts w:ascii="宋体" w:hAnsi="宋体"/>
          <w:color w:val="000000" w:themeColor="text1"/>
          <w:szCs w:val="21"/>
        </w:rPr>
      </w:pPr>
      <w:r>
        <w:rPr>
          <w:rFonts w:ascii="宋体" w:hAnsi="宋体"/>
          <w:color w:val="000000" w:themeColor="text1"/>
          <w:szCs w:val="21"/>
        </w:rPr>
        <w:t>日期：年月日</w:t>
      </w: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Cs w:val="21"/>
        </w:rPr>
      </w:pPr>
    </w:p>
    <w:p>
      <w:pPr>
        <w:spacing w:before="0" w:beforeAutospacing="0" w:after="0" w:afterAutospacing="0" w:line="240" w:lineRule="auto"/>
        <w:rPr>
          <w:rFonts w:asciiTheme="minorEastAsia" w:hAnsiTheme="minorEastAsia" w:eastAsiaTheme="minorEastAsia"/>
          <w:bCs/>
          <w:color w:val="000000" w:themeColor="text1"/>
          <w:spacing w:val="20"/>
          <w:szCs w:val="21"/>
        </w:rPr>
      </w:pPr>
      <w:r>
        <w:rPr>
          <w:rFonts w:asciiTheme="minorEastAsia" w:hAnsiTheme="minorEastAsia" w:eastAsiaTheme="minorEastAsia"/>
          <w:bCs/>
          <w:color w:val="000000" w:themeColor="text1"/>
          <w:spacing w:val="20"/>
          <w:szCs w:val="21"/>
        </w:rPr>
        <w:br w:type="page"/>
      </w:r>
    </w:p>
    <w:p>
      <w:pPr>
        <w:pStyle w:val="8"/>
        <w:rPr>
          <w:color w:val="000000" w:themeColor="text1"/>
        </w:rPr>
      </w:pPr>
      <w:r>
        <w:rPr>
          <w:rFonts w:hint="eastAsia"/>
          <w:color w:val="000000" w:themeColor="text1"/>
        </w:rPr>
        <w:t>6-9  符合第二章“供应商须知”第1.5.1项规定中要求提供的其他资料</w:t>
      </w:r>
    </w:p>
    <w:p>
      <w:pPr>
        <w:adjustRightInd w:val="0"/>
        <w:snapToGrid w:val="0"/>
        <w:spacing w:before="0" w:beforeAutospacing="0" w:after="0" w:afterAutospacing="0"/>
        <w:textAlignment w:val="baseline"/>
        <w:rPr>
          <w:rFonts w:asciiTheme="minorEastAsia" w:hAnsiTheme="minorEastAsia" w:eastAsiaTheme="minorEastAsia"/>
          <w:bCs/>
          <w:color w:val="000000" w:themeColor="text1"/>
          <w:spacing w:val="20"/>
          <w:szCs w:val="21"/>
        </w:rPr>
      </w:pPr>
    </w:p>
    <w:p>
      <w:pPr>
        <w:spacing w:before="0" w:beforeAutospacing="0" w:after="0" w:afterAutospacing="0" w:line="240" w:lineRule="auto"/>
        <w:rPr>
          <w:rFonts w:asciiTheme="minorEastAsia" w:hAnsiTheme="minorEastAsia" w:eastAsiaTheme="minorEastAsia"/>
          <w:bCs/>
          <w:color w:val="000000" w:themeColor="text1"/>
          <w:spacing w:val="20"/>
          <w:szCs w:val="21"/>
        </w:rPr>
      </w:pPr>
      <w:r>
        <w:rPr>
          <w:rFonts w:asciiTheme="minorEastAsia" w:hAnsiTheme="minorEastAsia" w:eastAsiaTheme="minorEastAsia"/>
          <w:bCs/>
          <w:color w:val="000000" w:themeColor="text1"/>
          <w:spacing w:val="20"/>
          <w:szCs w:val="21"/>
        </w:rPr>
        <w:br w:type="page"/>
      </w:r>
    </w:p>
    <w:p>
      <w:pPr>
        <w:pStyle w:val="4"/>
        <w:rPr>
          <w:color w:val="000000" w:themeColor="text1"/>
        </w:rPr>
      </w:pPr>
      <w:bookmarkStart w:id="551" w:name="_Toc533069820"/>
      <w:bookmarkStart w:id="552" w:name="_Toc534808271"/>
      <w:r>
        <w:rPr>
          <w:rFonts w:hint="eastAsia"/>
          <w:color w:val="000000" w:themeColor="text1"/>
        </w:rPr>
        <w:t>七</w:t>
      </w:r>
      <w:r>
        <w:rPr>
          <w:color w:val="000000" w:themeColor="text1"/>
        </w:rPr>
        <w:t>、小微企业、监狱企业、残疾人福利单位的声明函或证明材料（如有）</w:t>
      </w:r>
      <w:bookmarkEnd w:id="551"/>
      <w:bookmarkEnd w:id="552"/>
    </w:p>
    <w:p>
      <w:pPr>
        <w:rPr>
          <w:rFonts w:asciiTheme="minorEastAsia" w:hAnsiTheme="minorEastAsia" w:eastAsiaTheme="minorEastAsia"/>
          <w:color w:val="000000" w:themeColor="text1"/>
        </w:rPr>
      </w:pPr>
    </w:p>
    <w:p>
      <w:pPr>
        <w:jc w:val="center"/>
        <w:outlineLvl w:val="2"/>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rPr>
        <w:t>（一）中小企业声明函</w:t>
      </w: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（注：符合中小企业划型标准的企业请提供本函，不符合的不提供本函）</w:t>
      </w:r>
    </w:p>
    <w:p>
      <w:pPr>
        <w:pStyle w:val="62"/>
        <w:snapToGrid w:val="0"/>
        <w:spacing w:line="360" w:lineRule="auto"/>
        <w:ind w:firstLine="480" w:firstLineChars="200"/>
        <w:rPr>
          <w:rFonts w:asciiTheme="minorEastAsia" w:hAnsiTheme="minorEastAsia" w:eastAsiaTheme="minorEastAsia"/>
          <w:color w:val="000000" w:themeColor="text1"/>
          <w:sz w:val="24"/>
          <w:szCs w:val="24"/>
        </w:rPr>
      </w:pPr>
    </w:p>
    <w:p>
      <w:pPr>
        <w:pStyle w:val="62"/>
        <w:snapToGrid w:val="0"/>
        <w:spacing w:line="360" w:lineRule="auto"/>
        <w:ind w:firstLine="480" w:firstLineChars="20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本公司郑重声明，根据《政府采购促进中小企业发展暂行办法》（财库[2011]181号）的规定，本公司为______（请填写：中型、小型、微型）企业。即，本公司同时满足以下条件：</w:t>
      </w:r>
    </w:p>
    <w:p>
      <w:pPr>
        <w:pStyle w:val="62"/>
        <w:snapToGrid w:val="0"/>
        <w:spacing w:line="360" w:lineRule="auto"/>
        <w:ind w:firstLine="480" w:firstLineChars="20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62"/>
        <w:snapToGrid w:val="0"/>
        <w:spacing w:line="360" w:lineRule="auto"/>
        <w:ind w:firstLine="480" w:firstLineChars="20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62"/>
        <w:snapToGrid w:val="0"/>
        <w:spacing w:line="360" w:lineRule="auto"/>
        <w:ind w:firstLine="480" w:firstLineChars="20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本公司对上述声明的真实性负责。如有虚假，将依法承担相应责任。</w:t>
      </w:r>
    </w:p>
    <w:p>
      <w:pPr>
        <w:pStyle w:val="62"/>
        <w:snapToGrid w:val="0"/>
        <w:spacing w:beforeLines="50"/>
        <w:rPr>
          <w:rFonts w:asciiTheme="minorEastAsia" w:hAnsiTheme="minorEastAsia" w:eastAsiaTheme="minorEastAsia"/>
          <w:color w:val="000000" w:themeColor="text1"/>
          <w:sz w:val="24"/>
          <w:szCs w:val="24"/>
        </w:rPr>
      </w:pPr>
    </w:p>
    <w:p>
      <w:pPr>
        <w:pStyle w:val="62"/>
        <w:snapToGrid w:val="0"/>
        <w:spacing w:line="360" w:lineRule="auto"/>
        <w:ind w:firstLine="480" w:firstLineChars="200"/>
        <w:rPr>
          <w:rFonts w:asciiTheme="minorEastAsia" w:hAnsiTheme="minorEastAsia" w:eastAsiaTheme="minorEastAsia"/>
          <w:color w:val="000000" w:themeColor="text1"/>
          <w:sz w:val="24"/>
          <w:szCs w:val="24"/>
        </w:rPr>
      </w:pPr>
    </w:p>
    <w:p>
      <w:pPr>
        <w:pStyle w:val="62"/>
        <w:snapToGrid w:val="0"/>
        <w:spacing w:line="360" w:lineRule="auto"/>
        <w:ind w:firstLine="4920" w:firstLineChars="205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企业名称（盖章）：　</w:t>
      </w:r>
    </w:p>
    <w:p>
      <w:pPr>
        <w:pStyle w:val="62"/>
        <w:snapToGrid w:val="0"/>
        <w:spacing w:line="360" w:lineRule="auto"/>
        <w:ind w:firstLine="6360" w:firstLineChars="265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日期：</w:t>
      </w:r>
    </w:p>
    <w:p>
      <w:pPr>
        <w:spacing w:line="460" w:lineRule="exact"/>
        <w:rPr>
          <w:rFonts w:asciiTheme="minorEastAsia" w:hAnsiTheme="minorEastAsia" w:eastAsiaTheme="minorEastAsia"/>
          <w:color w:val="000000" w:themeColor="text1"/>
          <w:szCs w:val="21"/>
        </w:rPr>
      </w:pPr>
    </w:p>
    <w:p>
      <w:pPr>
        <w:spacing w:line="460" w:lineRule="exact"/>
        <w:rPr>
          <w:rFonts w:asciiTheme="minorEastAsia" w:hAnsiTheme="minorEastAsia" w:eastAsiaTheme="minorEastAsia"/>
          <w:color w:val="000000" w:themeColor="text1"/>
          <w:szCs w:val="21"/>
        </w:rPr>
      </w:pPr>
    </w:p>
    <w:p>
      <w:pPr>
        <w:spacing w:line="460" w:lineRule="exact"/>
        <w:rPr>
          <w:rFonts w:asciiTheme="minorEastAsia" w:hAnsiTheme="minorEastAsia" w:eastAsiaTheme="minorEastAsia"/>
          <w:color w:val="000000" w:themeColor="text1"/>
          <w:szCs w:val="21"/>
        </w:rPr>
      </w:pPr>
    </w:p>
    <w:p>
      <w:pPr>
        <w:spacing w:before="0" w:beforeAutospacing="0" w:after="0" w:afterAutospacing="0" w:line="240" w:lineRule="auto"/>
        <w:rPr>
          <w:rFonts w:asciiTheme="minorEastAsia" w:hAnsiTheme="minorEastAsia" w:eastAsiaTheme="minorEastAsia"/>
          <w:color w:val="000000" w:themeColor="text1"/>
        </w:rPr>
      </w:pPr>
      <w:bookmarkStart w:id="553" w:name="_Toc3780"/>
      <w:bookmarkStart w:id="554" w:name="_Toc13395"/>
      <w:r>
        <w:rPr>
          <w:rFonts w:asciiTheme="minorEastAsia" w:hAnsiTheme="minorEastAsia" w:eastAsiaTheme="minorEastAsia"/>
          <w:color w:val="000000" w:themeColor="text1"/>
        </w:rPr>
        <w:br w:type="page"/>
      </w:r>
    </w:p>
    <w:p>
      <w:pPr>
        <w:jc w:val="center"/>
        <w:outlineLvl w:val="2"/>
        <w:rPr>
          <w:rFonts w:asciiTheme="minorEastAsia" w:hAnsiTheme="minorEastAsia" w:eastAsiaTheme="minorEastAsia"/>
          <w:color w:val="000000" w:themeColor="text1"/>
        </w:rPr>
      </w:pPr>
      <w:r>
        <w:rPr>
          <w:rFonts w:asciiTheme="minorEastAsia" w:hAnsiTheme="minorEastAsia" w:eastAsiaTheme="minorEastAsia"/>
          <w:color w:val="000000" w:themeColor="text1"/>
        </w:rPr>
        <w:t>（二）监狱企业证明</w:t>
      </w:r>
      <w:bookmarkEnd w:id="553"/>
      <w:bookmarkEnd w:id="554"/>
    </w:p>
    <w:p>
      <w:pPr>
        <w:jc w:val="center"/>
        <w:rPr>
          <w:rFonts w:asciiTheme="minorEastAsia" w:hAnsiTheme="minorEastAsia" w:eastAsiaTheme="minorEastAsia"/>
          <w:color w:val="000000" w:themeColor="text1"/>
        </w:rPr>
      </w:pPr>
    </w:p>
    <w:p>
      <w:pPr>
        <w:jc w:val="center"/>
        <w:rPr>
          <w:rFonts w:asciiTheme="minorEastAsia" w:hAnsiTheme="minorEastAsia" w:eastAsiaTheme="minorEastAsia"/>
          <w:color w:val="000000" w:themeColor="text1"/>
        </w:rPr>
      </w:pPr>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（注：符合条件的监狱企业请提供本函，不符合的不提供本函）</w:t>
      </w:r>
    </w:p>
    <w:p>
      <w:pPr>
        <w:pStyle w:val="62"/>
        <w:snapToGrid w:val="0"/>
        <w:spacing w:beforeLines="50"/>
        <w:rPr>
          <w:rFonts w:asciiTheme="minorEastAsia" w:hAnsiTheme="minorEastAsia" w:eastAsiaTheme="minorEastAsia"/>
          <w:color w:val="000000" w:themeColor="text1"/>
          <w:sz w:val="24"/>
          <w:szCs w:val="24"/>
        </w:rPr>
      </w:pPr>
    </w:p>
    <w:p>
      <w:pPr>
        <w:pStyle w:val="62"/>
        <w:snapToGrid w:val="0"/>
        <w:spacing w:beforeLines="5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省级以上监狱管理局、戒毒管理局（含新疆生产建设兵团）出具的属于监狱企业的证明文件。</w:t>
      </w:r>
    </w:p>
    <w:p>
      <w:pPr>
        <w:pStyle w:val="62"/>
        <w:snapToGrid w:val="0"/>
        <w:spacing w:beforeLines="50"/>
        <w:rPr>
          <w:rFonts w:asciiTheme="minorEastAsia" w:hAnsiTheme="minorEastAsia" w:eastAsiaTheme="minorEastAsia"/>
          <w:color w:val="000000" w:themeColor="text1"/>
          <w:sz w:val="24"/>
          <w:szCs w:val="24"/>
        </w:rPr>
      </w:pPr>
    </w:p>
    <w:p>
      <w:pPr>
        <w:pStyle w:val="62"/>
        <w:snapToGrid w:val="0"/>
        <w:spacing w:beforeLines="50"/>
        <w:rPr>
          <w:rFonts w:asciiTheme="minorEastAsia" w:hAnsiTheme="minorEastAsia" w:eastAsiaTheme="minorEastAsia"/>
          <w:color w:val="000000" w:themeColor="text1"/>
          <w:sz w:val="24"/>
          <w:szCs w:val="24"/>
        </w:rPr>
      </w:pPr>
    </w:p>
    <w:p>
      <w:pPr>
        <w:pStyle w:val="62"/>
        <w:snapToGrid w:val="0"/>
        <w:spacing w:beforeLines="50"/>
        <w:rPr>
          <w:rFonts w:asciiTheme="minorEastAsia" w:hAnsiTheme="minorEastAsia" w:eastAsiaTheme="minorEastAsia"/>
          <w:color w:val="000000" w:themeColor="text1"/>
          <w:sz w:val="24"/>
          <w:szCs w:val="24"/>
        </w:rPr>
      </w:pPr>
    </w:p>
    <w:p>
      <w:pPr>
        <w:pStyle w:val="62"/>
        <w:snapToGrid w:val="0"/>
        <w:spacing w:beforeLines="50"/>
        <w:rPr>
          <w:rFonts w:asciiTheme="minorEastAsia" w:hAnsiTheme="minorEastAsia" w:eastAsiaTheme="minorEastAsia"/>
          <w:color w:val="000000" w:themeColor="text1"/>
          <w:sz w:val="24"/>
          <w:szCs w:val="24"/>
        </w:rPr>
      </w:pPr>
    </w:p>
    <w:p>
      <w:pPr>
        <w:pStyle w:val="62"/>
        <w:snapToGrid w:val="0"/>
        <w:spacing w:beforeLines="50"/>
        <w:rPr>
          <w:rFonts w:asciiTheme="minorEastAsia" w:hAnsiTheme="minorEastAsia" w:eastAsiaTheme="minorEastAsia"/>
          <w:color w:val="000000" w:themeColor="text1"/>
          <w:sz w:val="24"/>
          <w:szCs w:val="24"/>
        </w:rPr>
      </w:pPr>
    </w:p>
    <w:p>
      <w:pPr>
        <w:pStyle w:val="62"/>
        <w:snapToGrid w:val="0"/>
        <w:spacing w:beforeLines="50"/>
        <w:rPr>
          <w:rFonts w:asciiTheme="minorEastAsia" w:hAnsiTheme="minorEastAsia" w:eastAsiaTheme="minorEastAsia"/>
          <w:color w:val="000000" w:themeColor="text1"/>
          <w:sz w:val="24"/>
          <w:szCs w:val="24"/>
        </w:rPr>
      </w:pPr>
    </w:p>
    <w:p>
      <w:pPr>
        <w:spacing w:before="0" w:beforeAutospacing="0" w:after="0" w:afterAutospacing="0" w:line="240" w:lineRule="auto"/>
        <w:rPr>
          <w:rFonts w:asciiTheme="minorEastAsia" w:hAnsiTheme="minorEastAsia" w:eastAsiaTheme="minorEastAsia"/>
          <w:color w:val="000000" w:themeColor="text1"/>
        </w:rPr>
      </w:pPr>
      <w:bookmarkStart w:id="555" w:name="_Toc25672"/>
      <w:bookmarkStart w:id="556" w:name="_Toc10862"/>
      <w:r>
        <w:rPr>
          <w:rFonts w:asciiTheme="minorEastAsia" w:hAnsiTheme="minorEastAsia" w:eastAsiaTheme="minorEastAsia"/>
          <w:color w:val="000000" w:themeColor="text1"/>
        </w:rPr>
        <w:br w:type="page"/>
      </w:r>
    </w:p>
    <w:p>
      <w:pPr>
        <w:jc w:val="center"/>
        <w:outlineLvl w:val="2"/>
        <w:rPr>
          <w:rFonts w:asciiTheme="minorEastAsia" w:hAnsiTheme="minorEastAsia" w:eastAsiaTheme="minorEastAsia"/>
          <w:color w:val="000000" w:themeColor="text1"/>
        </w:rPr>
      </w:pPr>
      <w:r>
        <w:rPr>
          <w:rFonts w:asciiTheme="minorEastAsia" w:hAnsiTheme="minorEastAsia" w:eastAsiaTheme="minorEastAsia"/>
          <w:color w:val="000000" w:themeColor="text1"/>
        </w:rPr>
        <w:t>（三）残疾人福利性单位声明函</w:t>
      </w:r>
      <w:bookmarkEnd w:id="555"/>
      <w:bookmarkEnd w:id="556"/>
    </w:p>
    <w:p>
      <w:pPr>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（注：符合条件的残疾人福利性单位请提供本函，不符合的不提供本函）</w:t>
      </w:r>
    </w:p>
    <w:p>
      <w:pPr>
        <w:rPr>
          <w:rFonts w:asciiTheme="minorEastAsia" w:hAnsiTheme="minorEastAsia" w:eastAsiaTheme="minorEastAsia"/>
          <w:color w:val="000000" w:themeColor="text1"/>
        </w:rPr>
      </w:pPr>
    </w:p>
    <w:p>
      <w:pPr>
        <w:ind w:firstLine="480" w:firstLineChars="200"/>
        <w:rPr>
          <w:rFonts w:asciiTheme="minorEastAsia" w:hAnsiTheme="minorEastAsia" w:eastAsiaTheme="minorEastAsia"/>
          <w:color w:val="000000" w:themeColor="text1"/>
        </w:rPr>
      </w:pPr>
      <w:r>
        <w:rPr>
          <w:rFonts w:asciiTheme="minorEastAsia" w:hAnsiTheme="minorEastAsia" w:eastAsiaTheme="minorEastAsia"/>
          <w:color w:val="000000" w:themeColor="text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firstLineChars="200"/>
        <w:rPr>
          <w:rFonts w:asciiTheme="minorEastAsia" w:hAnsiTheme="minorEastAsia" w:eastAsiaTheme="minorEastAsia"/>
          <w:color w:val="000000" w:themeColor="text1"/>
        </w:rPr>
      </w:pPr>
    </w:p>
    <w:p>
      <w:pPr>
        <w:pStyle w:val="62"/>
        <w:snapToGrid w:val="0"/>
        <w:spacing w:beforeLines="50"/>
        <w:ind w:firstLine="480" w:firstLineChars="20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rPr>
        <w:t>本单位对上述声明的真实性负责。如有虚假，将依法承担相应责任。</w:t>
      </w:r>
    </w:p>
    <w:p>
      <w:pPr>
        <w:spacing w:line="460" w:lineRule="exact"/>
        <w:rPr>
          <w:rFonts w:asciiTheme="minorEastAsia" w:hAnsiTheme="minorEastAsia" w:eastAsiaTheme="minorEastAsia"/>
          <w:color w:val="000000" w:themeColor="text1"/>
          <w:szCs w:val="21"/>
        </w:rPr>
      </w:pPr>
    </w:p>
    <w:p>
      <w:pPr>
        <w:spacing w:line="460" w:lineRule="exact"/>
        <w:rPr>
          <w:rFonts w:asciiTheme="minorEastAsia" w:hAnsiTheme="minorEastAsia" w:eastAsiaTheme="minorEastAsia"/>
          <w:color w:val="000000" w:themeColor="text1"/>
          <w:szCs w:val="21"/>
        </w:rPr>
      </w:pPr>
    </w:p>
    <w:p>
      <w:pPr>
        <w:spacing w:line="460" w:lineRule="exact"/>
        <w:rPr>
          <w:rFonts w:asciiTheme="minorEastAsia" w:hAnsiTheme="minorEastAsia" w:eastAsiaTheme="minorEastAsia"/>
          <w:color w:val="000000" w:themeColor="text1"/>
          <w:szCs w:val="21"/>
        </w:rPr>
      </w:pPr>
    </w:p>
    <w:p>
      <w:pPr>
        <w:pStyle w:val="62"/>
        <w:snapToGrid w:val="0"/>
        <w:spacing w:line="360" w:lineRule="auto"/>
        <w:ind w:firstLine="480" w:firstLineChars="200"/>
        <w:rPr>
          <w:rFonts w:asciiTheme="minorEastAsia" w:hAnsiTheme="minorEastAsia" w:eastAsiaTheme="minorEastAsia"/>
          <w:color w:val="000000" w:themeColor="text1"/>
          <w:sz w:val="24"/>
          <w:szCs w:val="24"/>
        </w:rPr>
      </w:pPr>
    </w:p>
    <w:p>
      <w:pPr>
        <w:pStyle w:val="62"/>
        <w:snapToGrid w:val="0"/>
        <w:spacing w:line="360" w:lineRule="auto"/>
        <w:ind w:firstLine="4920" w:firstLineChars="205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企业名称（盖章）：　</w:t>
      </w:r>
    </w:p>
    <w:p>
      <w:pPr>
        <w:pStyle w:val="62"/>
        <w:snapToGrid w:val="0"/>
        <w:spacing w:line="360" w:lineRule="auto"/>
        <w:ind w:firstLine="6360" w:firstLineChars="265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日期：</w:t>
      </w:r>
    </w:p>
    <w:p>
      <w:pPr>
        <w:pStyle w:val="62"/>
        <w:snapToGrid w:val="0"/>
        <w:spacing w:line="360" w:lineRule="auto"/>
        <w:rPr>
          <w:rFonts w:asciiTheme="minorEastAsia" w:hAnsiTheme="minorEastAsia" w:eastAsiaTheme="minorEastAsia"/>
          <w:color w:val="000000" w:themeColor="text1"/>
          <w:sz w:val="24"/>
          <w:szCs w:val="24"/>
        </w:rPr>
      </w:pPr>
    </w:p>
    <w:p>
      <w:pPr>
        <w:pStyle w:val="62"/>
        <w:snapToGrid w:val="0"/>
        <w:spacing w:line="360" w:lineRule="auto"/>
        <w:rPr>
          <w:rFonts w:asciiTheme="minorEastAsia" w:hAnsiTheme="minorEastAsia" w:eastAsiaTheme="minorEastAsia"/>
          <w:color w:val="000000" w:themeColor="text1"/>
          <w:sz w:val="24"/>
          <w:szCs w:val="24"/>
        </w:rPr>
      </w:pPr>
    </w:p>
    <w:p>
      <w:pPr>
        <w:spacing w:before="0" w:beforeAutospacing="0" w:after="0" w:afterAutospacing="0" w:line="240" w:lineRule="auto"/>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br w:type="page"/>
      </w:r>
    </w:p>
    <w:p>
      <w:pPr>
        <w:pStyle w:val="4"/>
        <w:ind w:left="-1"/>
        <w:rPr>
          <w:rFonts w:asciiTheme="minorEastAsia" w:hAnsiTheme="minorEastAsia" w:eastAsiaTheme="minorEastAsia"/>
          <w:color w:val="000000" w:themeColor="text1"/>
        </w:rPr>
      </w:pPr>
      <w:bookmarkStart w:id="557" w:name="_Toc534808272"/>
      <w:r>
        <w:rPr>
          <w:rFonts w:hint="eastAsia" w:asciiTheme="minorEastAsia" w:hAnsiTheme="minorEastAsia" w:eastAsiaTheme="minorEastAsia"/>
          <w:color w:val="000000" w:themeColor="text1"/>
          <w:sz w:val="24"/>
          <w:szCs w:val="24"/>
        </w:rPr>
        <w:t>八、</w:t>
      </w:r>
      <w:r>
        <w:rPr>
          <w:rFonts w:hint="eastAsia" w:asciiTheme="minorEastAsia" w:hAnsiTheme="minorEastAsia" w:eastAsiaTheme="minorEastAsia"/>
          <w:color w:val="000000" w:themeColor="text1"/>
        </w:rPr>
        <w:t>项目管理机构</w:t>
      </w:r>
      <w:bookmarkEnd w:id="557"/>
    </w:p>
    <w:p>
      <w:pPr>
        <w:pStyle w:val="8"/>
        <w:rPr>
          <w:color w:val="000000" w:themeColor="text1"/>
        </w:rPr>
      </w:pPr>
      <w:bookmarkStart w:id="558" w:name="_Toc268198660"/>
      <w:r>
        <w:rPr>
          <w:rFonts w:hint="eastAsia"/>
          <w:color w:val="000000" w:themeColor="text1"/>
        </w:rPr>
        <w:t>（一）项目管理机构组成表</w:t>
      </w:r>
      <w:bookmarkEnd w:id="558"/>
    </w:p>
    <w:tbl>
      <w:tblPr>
        <w:tblStyle w:val="4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31"/>
        <w:gridCol w:w="1032"/>
        <w:gridCol w:w="1290"/>
        <w:gridCol w:w="1290"/>
        <w:gridCol w:w="1290"/>
        <w:gridCol w:w="12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31" w:type="dxa"/>
            <w:vMerge w:val="restart"/>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职务</w:t>
            </w:r>
          </w:p>
        </w:tc>
        <w:tc>
          <w:tcPr>
            <w:tcW w:w="1031" w:type="dxa"/>
            <w:vMerge w:val="restart"/>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姓名</w:t>
            </w:r>
          </w:p>
        </w:tc>
        <w:tc>
          <w:tcPr>
            <w:tcW w:w="1032" w:type="dxa"/>
            <w:vMerge w:val="restart"/>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职称</w:t>
            </w:r>
          </w:p>
        </w:tc>
        <w:tc>
          <w:tcPr>
            <w:tcW w:w="5160" w:type="dxa"/>
            <w:gridSpan w:val="4"/>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执业或职业资格证明</w:t>
            </w:r>
          </w:p>
        </w:tc>
        <w:tc>
          <w:tcPr>
            <w:tcW w:w="1032" w:type="dxa"/>
            <w:vMerge w:val="restart"/>
            <w:vAlign w:val="center"/>
          </w:tcPr>
          <w:p>
            <w:pPr>
              <w:autoSpaceDE w:val="0"/>
              <w:autoSpaceDN w:val="0"/>
              <w:adjustRightInd w:val="0"/>
              <w:snapToGrid w:val="0"/>
              <w:spacing w:before="0" w:beforeAutospacing="0" w:after="0" w:afterAutospacing="0" w:line="240" w:lineRule="auto"/>
              <w:jc w:val="center"/>
              <w:rPr>
                <w:color w:val="000000" w:themeColor="text1"/>
              </w:rPr>
            </w:pPr>
            <w:r>
              <w:rPr>
                <w:rFonts w:hint="eastAsia" w:asci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31" w:type="dxa"/>
            <w:vMerge w:val="continue"/>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Merge w:val="continue"/>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Merge w:val="continue"/>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证书名称</w:t>
            </w: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级别</w:t>
            </w: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证号</w:t>
            </w: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r>
              <w:rPr>
                <w:rFonts w:hint="eastAsia" w:ascii="宋体" w:cs="宋体"/>
                <w:color w:val="000000" w:themeColor="text1"/>
                <w:szCs w:val="21"/>
              </w:rPr>
              <w:t>专业</w:t>
            </w:r>
          </w:p>
        </w:tc>
        <w:tc>
          <w:tcPr>
            <w:tcW w:w="1032" w:type="dxa"/>
            <w:vMerge w:val="continue"/>
            <w:vAlign w:val="center"/>
          </w:tcPr>
          <w:p>
            <w:pPr>
              <w:autoSpaceDE w:val="0"/>
              <w:autoSpaceDN w:val="0"/>
              <w:adjustRightInd w:val="0"/>
              <w:snapToGrid w:val="0"/>
              <w:spacing w:before="0" w:beforeAutospacing="0" w:after="0" w:afterAutospacing="0" w:line="240" w:lineRule="auto"/>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1"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290"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c>
          <w:tcPr>
            <w:tcW w:w="1032" w:type="dxa"/>
            <w:vAlign w:val="center"/>
          </w:tcPr>
          <w:p>
            <w:pPr>
              <w:autoSpaceDE w:val="0"/>
              <w:autoSpaceDN w:val="0"/>
              <w:adjustRightInd w:val="0"/>
              <w:snapToGrid w:val="0"/>
              <w:spacing w:before="0" w:beforeAutospacing="0" w:after="0" w:afterAutospacing="0" w:line="240" w:lineRule="auto"/>
              <w:jc w:val="center"/>
              <w:rPr>
                <w:rFonts w:ascii="宋体" w:cs="宋体"/>
                <w:color w:val="000000" w:themeColor="text1"/>
                <w:szCs w:val="21"/>
              </w:rPr>
            </w:pPr>
          </w:p>
        </w:tc>
      </w:tr>
    </w:tbl>
    <w:p>
      <w:pPr>
        <w:autoSpaceDE w:val="0"/>
        <w:autoSpaceDN w:val="0"/>
        <w:adjustRightInd w:val="0"/>
        <w:rPr>
          <w:color w:val="000000" w:themeColor="text1"/>
        </w:rPr>
      </w:pPr>
    </w:p>
    <w:p>
      <w:pPr>
        <w:rPr>
          <w:color w:val="000000" w:themeColor="text1"/>
        </w:rPr>
      </w:pPr>
    </w:p>
    <w:p>
      <w:pPr>
        <w:pStyle w:val="8"/>
        <w:rPr>
          <w:color w:val="000000" w:themeColor="text1"/>
        </w:rPr>
      </w:pPr>
      <w:r>
        <w:rPr>
          <w:rFonts w:hint="eastAsia"/>
          <w:color w:val="000000" w:themeColor="text1"/>
        </w:rPr>
        <w:br w:type="page"/>
      </w:r>
      <w:bookmarkStart w:id="559" w:name="_Toc268198661"/>
      <w:r>
        <w:rPr>
          <w:rFonts w:hint="eastAsia"/>
          <w:color w:val="000000" w:themeColor="text1"/>
        </w:rPr>
        <w:t>（二）主要人员简历表</w:t>
      </w:r>
      <w:bookmarkEnd w:id="559"/>
    </w:p>
    <w:p>
      <w:pPr>
        <w:ind w:firstLine="590" w:firstLineChars="246"/>
        <w:rPr>
          <w:color w:val="000000" w:themeColor="text1"/>
        </w:rPr>
      </w:pPr>
      <w:r>
        <w:rPr>
          <w:rFonts w:hint="eastAsia"/>
          <w:color w:val="000000" w:themeColor="text1"/>
        </w:rPr>
        <w:t>“主要人员简历表”中只需填写项目经理的信息，后附项目经理的身份证复印件、建造师注册证复印件。</w:t>
      </w:r>
    </w:p>
    <w:tbl>
      <w:tblPr>
        <w:tblStyle w:val="43"/>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1757"/>
        <w:gridCol w:w="1107"/>
        <w:gridCol w:w="27"/>
        <w:gridCol w:w="1417"/>
        <w:gridCol w:w="554"/>
        <w:gridCol w:w="86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279" w:type="dxa"/>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姓  名</w:t>
            </w:r>
          </w:p>
        </w:tc>
        <w:tc>
          <w:tcPr>
            <w:tcW w:w="1757" w:type="dxa"/>
            <w:vAlign w:val="center"/>
          </w:tcPr>
          <w:p>
            <w:pPr>
              <w:spacing w:before="0" w:beforeAutospacing="0" w:after="0" w:afterAutospacing="0" w:line="240" w:lineRule="auto"/>
              <w:jc w:val="center"/>
              <w:rPr>
                <w:rFonts w:ascii="宋体"/>
                <w:color w:val="000000" w:themeColor="text1"/>
                <w:szCs w:val="21"/>
              </w:rPr>
            </w:pPr>
          </w:p>
        </w:tc>
        <w:tc>
          <w:tcPr>
            <w:tcW w:w="1134" w:type="dxa"/>
            <w:gridSpan w:val="2"/>
            <w:vAlign w:val="center"/>
          </w:tcPr>
          <w:p>
            <w:pPr>
              <w:spacing w:before="0" w:beforeAutospacing="0" w:after="0" w:afterAutospacing="0" w:line="240" w:lineRule="auto"/>
              <w:ind w:left="117"/>
              <w:jc w:val="center"/>
              <w:rPr>
                <w:rFonts w:ascii="宋体"/>
                <w:color w:val="000000" w:themeColor="text1"/>
                <w:szCs w:val="21"/>
              </w:rPr>
            </w:pPr>
            <w:r>
              <w:rPr>
                <w:rFonts w:hint="eastAsia" w:ascii="宋体"/>
                <w:color w:val="000000" w:themeColor="text1"/>
                <w:szCs w:val="21"/>
              </w:rPr>
              <w:t>年龄</w:t>
            </w:r>
          </w:p>
        </w:tc>
        <w:tc>
          <w:tcPr>
            <w:tcW w:w="1417" w:type="dxa"/>
            <w:vAlign w:val="center"/>
          </w:tcPr>
          <w:p>
            <w:pPr>
              <w:spacing w:before="0" w:beforeAutospacing="0" w:after="0" w:afterAutospacing="0" w:line="240" w:lineRule="auto"/>
              <w:jc w:val="center"/>
              <w:rPr>
                <w:rFonts w:ascii="宋体"/>
                <w:color w:val="000000" w:themeColor="text1"/>
                <w:szCs w:val="21"/>
              </w:rPr>
            </w:pPr>
          </w:p>
        </w:tc>
        <w:tc>
          <w:tcPr>
            <w:tcW w:w="1418" w:type="dxa"/>
            <w:gridSpan w:val="2"/>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学历</w:t>
            </w:r>
          </w:p>
        </w:tc>
        <w:tc>
          <w:tcPr>
            <w:tcW w:w="1539" w:type="dxa"/>
            <w:vAlign w:val="center"/>
          </w:tcPr>
          <w:p>
            <w:pPr>
              <w:spacing w:before="0" w:beforeAutospacing="0" w:after="0" w:afterAutospacing="0" w:line="240" w:lineRule="auto"/>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2279" w:type="dxa"/>
            <w:tcBorders>
              <w:bottom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职   称</w:t>
            </w:r>
          </w:p>
        </w:tc>
        <w:tc>
          <w:tcPr>
            <w:tcW w:w="1757" w:type="dxa"/>
            <w:tcBorders>
              <w:bottom w:val="single" w:color="auto" w:sz="4" w:space="0"/>
            </w:tcBorders>
            <w:vAlign w:val="center"/>
          </w:tcPr>
          <w:p>
            <w:pPr>
              <w:spacing w:before="0" w:beforeAutospacing="0" w:after="0" w:afterAutospacing="0" w:line="240" w:lineRule="auto"/>
              <w:jc w:val="center"/>
              <w:rPr>
                <w:rFonts w:ascii="宋体"/>
                <w:color w:val="000000" w:themeColor="text1"/>
                <w:szCs w:val="21"/>
              </w:rPr>
            </w:pPr>
          </w:p>
        </w:tc>
        <w:tc>
          <w:tcPr>
            <w:tcW w:w="1134" w:type="dxa"/>
            <w:gridSpan w:val="2"/>
            <w:tcBorders>
              <w:bottom w:val="single" w:color="auto" w:sz="4" w:space="0"/>
            </w:tcBorders>
            <w:vAlign w:val="center"/>
          </w:tcPr>
          <w:p>
            <w:pPr>
              <w:spacing w:before="0" w:beforeAutospacing="0" w:after="0" w:afterAutospacing="0" w:line="240" w:lineRule="auto"/>
              <w:ind w:left="222"/>
              <w:jc w:val="center"/>
              <w:rPr>
                <w:rFonts w:ascii="宋体"/>
                <w:color w:val="000000" w:themeColor="text1"/>
                <w:szCs w:val="21"/>
              </w:rPr>
            </w:pPr>
            <w:r>
              <w:rPr>
                <w:rFonts w:hint="eastAsia" w:ascii="宋体"/>
                <w:color w:val="000000" w:themeColor="text1"/>
                <w:szCs w:val="21"/>
              </w:rPr>
              <w:t>职务</w:t>
            </w:r>
          </w:p>
        </w:tc>
        <w:tc>
          <w:tcPr>
            <w:tcW w:w="1417" w:type="dxa"/>
            <w:tcBorders>
              <w:bottom w:val="single" w:color="auto" w:sz="4" w:space="0"/>
            </w:tcBorders>
            <w:vAlign w:val="center"/>
          </w:tcPr>
          <w:p>
            <w:pPr>
              <w:spacing w:before="0" w:beforeAutospacing="0" w:after="0" w:afterAutospacing="0" w:line="240" w:lineRule="auto"/>
              <w:jc w:val="center"/>
              <w:rPr>
                <w:rFonts w:ascii="宋体"/>
                <w:color w:val="000000" w:themeColor="text1"/>
                <w:szCs w:val="21"/>
              </w:rPr>
            </w:pPr>
          </w:p>
        </w:tc>
        <w:tc>
          <w:tcPr>
            <w:tcW w:w="1418" w:type="dxa"/>
            <w:gridSpan w:val="2"/>
            <w:tcBorders>
              <w:bottom w:val="single" w:color="auto" w:sz="4" w:space="0"/>
            </w:tcBorders>
            <w:vAlign w:val="center"/>
          </w:tcPr>
          <w:p>
            <w:pPr>
              <w:spacing w:before="0" w:beforeAutospacing="0" w:after="0" w:afterAutospacing="0" w:line="240" w:lineRule="auto"/>
              <w:jc w:val="center"/>
              <w:rPr>
                <w:color w:val="000000" w:themeColor="text1"/>
                <w:szCs w:val="21"/>
              </w:rPr>
            </w:pPr>
            <w:r>
              <w:rPr>
                <w:rFonts w:hint="eastAsia" w:ascii="宋体"/>
                <w:color w:val="000000" w:themeColor="text1"/>
                <w:szCs w:val="21"/>
              </w:rPr>
              <w:t>拟在本合同任职</w:t>
            </w:r>
          </w:p>
        </w:tc>
        <w:tc>
          <w:tcPr>
            <w:tcW w:w="1539" w:type="dxa"/>
            <w:tcBorders>
              <w:bottom w:val="single" w:color="auto" w:sz="4" w:space="0"/>
            </w:tcBorders>
            <w:vAlign w:val="center"/>
          </w:tcPr>
          <w:p>
            <w:pPr>
              <w:spacing w:before="0" w:beforeAutospacing="0" w:after="0" w:afterAutospacing="0" w:line="240" w:lineRule="auto"/>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279" w:type="dxa"/>
            <w:tcBorders>
              <w:bottom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毕业学校</w:t>
            </w:r>
          </w:p>
        </w:tc>
        <w:tc>
          <w:tcPr>
            <w:tcW w:w="7265" w:type="dxa"/>
            <w:gridSpan w:val="7"/>
            <w:tcBorders>
              <w:bottom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544" w:type="dxa"/>
            <w:gridSpan w:val="8"/>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9" w:type="dxa"/>
            <w:tcBorders>
              <w:top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 xml:space="preserve">  时间</w:t>
            </w:r>
          </w:p>
        </w:tc>
        <w:tc>
          <w:tcPr>
            <w:tcW w:w="2864" w:type="dxa"/>
            <w:gridSpan w:val="2"/>
            <w:tcBorders>
              <w:top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参加过的类似项目</w:t>
            </w:r>
          </w:p>
        </w:tc>
        <w:tc>
          <w:tcPr>
            <w:tcW w:w="1998" w:type="dxa"/>
            <w:gridSpan w:val="3"/>
            <w:tcBorders>
              <w:top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担任职务</w:t>
            </w:r>
          </w:p>
        </w:tc>
        <w:tc>
          <w:tcPr>
            <w:tcW w:w="2403" w:type="dxa"/>
            <w:gridSpan w:val="2"/>
            <w:tcBorders>
              <w:top w:val="single" w:color="auto" w:sz="4" w:space="0"/>
            </w:tcBorders>
            <w:vAlign w:val="center"/>
          </w:tcPr>
          <w:p>
            <w:pPr>
              <w:spacing w:before="0" w:beforeAutospacing="0" w:after="0" w:afterAutospacing="0" w:line="240" w:lineRule="auto"/>
              <w:jc w:val="center"/>
              <w:rPr>
                <w:rFonts w:ascii="宋体"/>
                <w:color w:val="000000" w:themeColor="text1"/>
                <w:szCs w:val="21"/>
              </w:rPr>
            </w:pPr>
            <w:r>
              <w:rPr>
                <w:rFonts w:hint="eastAsia" w:ascii="宋体"/>
                <w:color w:val="000000" w:themeColor="text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79" w:type="dxa"/>
            <w:vAlign w:val="center"/>
          </w:tcPr>
          <w:p>
            <w:pPr>
              <w:spacing w:before="0" w:beforeAutospacing="0" w:after="0" w:afterAutospacing="0" w:line="240" w:lineRule="auto"/>
              <w:jc w:val="center"/>
              <w:rPr>
                <w:rFonts w:ascii="宋体"/>
                <w:color w:val="000000" w:themeColor="text1"/>
                <w:szCs w:val="21"/>
              </w:rPr>
            </w:pPr>
          </w:p>
        </w:tc>
        <w:tc>
          <w:tcPr>
            <w:tcW w:w="2864" w:type="dxa"/>
            <w:gridSpan w:val="2"/>
            <w:vAlign w:val="center"/>
          </w:tcPr>
          <w:p>
            <w:pPr>
              <w:spacing w:before="0" w:beforeAutospacing="0" w:after="0" w:afterAutospacing="0" w:line="240" w:lineRule="auto"/>
              <w:jc w:val="center"/>
              <w:rPr>
                <w:rFonts w:ascii="宋体"/>
                <w:color w:val="000000" w:themeColor="text1"/>
                <w:szCs w:val="21"/>
              </w:rPr>
            </w:pPr>
          </w:p>
        </w:tc>
        <w:tc>
          <w:tcPr>
            <w:tcW w:w="1998" w:type="dxa"/>
            <w:gridSpan w:val="3"/>
            <w:vAlign w:val="center"/>
          </w:tcPr>
          <w:p>
            <w:pPr>
              <w:spacing w:before="0" w:beforeAutospacing="0" w:after="0" w:afterAutospacing="0" w:line="240" w:lineRule="auto"/>
              <w:jc w:val="center"/>
              <w:rPr>
                <w:rFonts w:ascii="宋体"/>
                <w:color w:val="000000" w:themeColor="text1"/>
                <w:szCs w:val="21"/>
              </w:rPr>
            </w:pPr>
          </w:p>
        </w:tc>
        <w:tc>
          <w:tcPr>
            <w:tcW w:w="2403" w:type="dxa"/>
            <w:gridSpan w:val="2"/>
            <w:vAlign w:val="center"/>
          </w:tcPr>
          <w:p>
            <w:pPr>
              <w:spacing w:before="0" w:beforeAutospacing="0" w:after="0" w:afterAutospacing="0" w:line="240" w:lineRule="auto"/>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79" w:type="dxa"/>
            <w:vAlign w:val="center"/>
          </w:tcPr>
          <w:p>
            <w:pPr>
              <w:spacing w:before="0" w:beforeAutospacing="0" w:after="0" w:afterAutospacing="0" w:line="240" w:lineRule="auto"/>
              <w:jc w:val="center"/>
              <w:rPr>
                <w:rFonts w:ascii="宋体"/>
                <w:color w:val="000000" w:themeColor="text1"/>
                <w:szCs w:val="21"/>
              </w:rPr>
            </w:pPr>
          </w:p>
        </w:tc>
        <w:tc>
          <w:tcPr>
            <w:tcW w:w="2864" w:type="dxa"/>
            <w:gridSpan w:val="2"/>
            <w:vAlign w:val="center"/>
          </w:tcPr>
          <w:p>
            <w:pPr>
              <w:spacing w:before="0" w:beforeAutospacing="0" w:after="0" w:afterAutospacing="0" w:line="240" w:lineRule="auto"/>
              <w:jc w:val="center"/>
              <w:rPr>
                <w:rFonts w:ascii="宋体"/>
                <w:color w:val="000000" w:themeColor="text1"/>
                <w:szCs w:val="21"/>
              </w:rPr>
            </w:pPr>
          </w:p>
        </w:tc>
        <w:tc>
          <w:tcPr>
            <w:tcW w:w="1998" w:type="dxa"/>
            <w:gridSpan w:val="3"/>
            <w:vAlign w:val="center"/>
          </w:tcPr>
          <w:p>
            <w:pPr>
              <w:spacing w:before="0" w:beforeAutospacing="0" w:after="0" w:afterAutospacing="0" w:line="240" w:lineRule="auto"/>
              <w:jc w:val="center"/>
              <w:rPr>
                <w:rFonts w:ascii="宋体"/>
                <w:color w:val="000000" w:themeColor="text1"/>
                <w:szCs w:val="21"/>
              </w:rPr>
            </w:pPr>
          </w:p>
        </w:tc>
        <w:tc>
          <w:tcPr>
            <w:tcW w:w="2403" w:type="dxa"/>
            <w:gridSpan w:val="2"/>
            <w:vAlign w:val="center"/>
          </w:tcPr>
          <w:p>
            <w:pPr>
              <w:spacing w:before="0" w:beforeAutospacing="0" w:after="0" w:afterAutospacing="0" w:line="240" w:lineRule="auto"/>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79" w:type="dxa"/>
            <w:vAlign w:val="center"/>
          </w:tcPr>
          <w:p>
            <w:pPr>
              <w:spacing w:before="0" w:beforeAutospacing="0" w:after="0" w:afterAutospacing="0" w:line="240" w:lineRule="auto"/>
              <w:jc w:val="center"/>
              <w:rPr>
                <w:rFonts w:ascii="宋体"/>
                <w:color w:val="000000" w:themeColor="text1"/>
                <w:szCs w:val="21"/>
              </w:rPr>
            </w:pPr>
          </w:p>
        </w:tc>
        <w:tc>
          <w:tcPr>
            <w:tcW w:w="2864" w:type="dxa"/>
            <w:gridSpan w:val="2"/>
            <w:vAlign w:val="center"/>
          </w:tcPr>
          <w:p>
            <w:pPr>
              <w:spacing w:before="0" w:beforeAutospacing="0" w:after="0" w:afterAutospacing="0" w:line="240" w:lineRule="auto"/>
              <w:jc w:val="center"/>
              <w:rPr>
                <w:rFonts w:ascii="宋体"/>
                <w:color w:val="000000" w:themeColor="text1"/>
                <w:szCs w:val="21"/>
              </w:rPr>
            </w:pPr>
          </w:p>
        </w:tc>
        <w:tc>
          <w:tcPr>
            <w:tcW w:w="1998" w:type="dxa"/>
            <w:gridSpan w:val="3"/>
            <w:vAlign w:val="center"/>
          </w:tcPr>
          <w:p>
            <w:pPr>
              <w:spacing w:before="0" w:beforeAutospacing="0" w:after="0" w:afterAutospacing="0" w:line="240" w:lineRule="auto"/>
              <w:jc w:val="center"/>
              <w:rPr>
                <w:rFonts w:ascii="宋体"/>
                <w:color w:val="000000" w:themeColor="text1"/>
                <w:szCs w:val="21"/>
              </w:rPr>
            </w:pPr>
          </w:p>
        </w:tc>
        <w:tc>
          <w:tcPr>
            <w:tcW w:w="2403" w:type="dxa"/>
            <w:gridSpan w:val="2"/>
            <w:vAlign w:val="center"/>
          </w:tcPr>
          <w:p>
            <w:pPr>
              <w:spacing w:before="0" w:beforeAutospacing="0" w:after="0" w:afterAutospacing="0" w:line="240" w:lineRule="auto"/>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79" w:type="dxa"/>
            <w:vAlign w:val="center"/>
          </w:tcPr>
          <w:p>
            <w:pPr>
              <w:spacing w:before="0" w:beforeAutospacing="0" w:after="0" w:afterAutospacing="0" w:line="240" w:lineRule="auto"/>
              <w:jc w:val="center"/>
              <w:rPr>
                <w:rFonts w:ascii="宋体"/>
                <w:color w:val="000000" w:themeColor="text1"/>
                <w:szCs w:val="21"/>
              </w:rPr>
            </w:pPr>
          </w:p>
        </w:tc>
        <w:tc>
          <w:tcPr>
            <w:tcW w:w="2864" w:type="dxa"/>
            <w:gridSpan w:val="2"/>
            <w:vAlign w:val="center"/>
          </w:tcPr>
          <w:p>
            <w:pPr>
              <w:spacing w:before="0" w:beforeAutospacing="0" w:after="0" w:afterAutospacing="0" w:line="240" w:lineRule="auto"/>
              <w:jc w:val="center"/>
              <w:rPr>
                <w:rFonts w:ascii="宋体"/>
                <w:color w:val="000000" w:themeColor="text1"/>
                <w:szCs w:val="21"/>
              </w:rPr>
            </w:pPr>
          </w:p>
        </w:tc>
        <w:tc>
          <w:tcPr>
            <w:tcW w:w="1998" w:type="dxa"/>
            <w:gridSpan w:val="3"/>
            <w:vAlign w:val="center"/>
          </w:tcPr>
          <w:p>
            <w:pPr>
              <w:spacing w:before="0" w:beforeAutospacing="0" w:after="0" w:afterAutospacing="0" w:line="240" w:lineRule="auto"/>
              <w:jc w:val="center"/>
              <w:rPr>
                <w:rFonts w:ascii="宋体"/>
                <w:color w:val="000000" w:themeColor="text1"/>
                <w:szCs w:val="21"/>
              </w:rPr>
            </w:pPr>
          </w:p>
        </w:tc>
        <w:tc>
          <w:tcPr>
            <w:tcW w:w="2403" w:type="dxa"/>
            <w:gridSpan w:val="2"/>
            <w:vAlign w:val="center"/>
          </w:tcPr>
          <w:p>
            <w:pPr>
              <w:spacing w:before="0" w:beforeAutospacing="0" w:after="0" w:afterAutospacing="0" w:line="240" w:lineRule="auto"/>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79" w:type="dxa"/>
            <w:vAlign w:val="center"/>
          </w:tcPr>
          <w:p>
            <w:pPr>
              <w:spacing w:before="0" w:beforeAutospacing="0" w:after="0" w:afterAutospacing="0" w:line="240" w:lineRule="auto"/>
              <w:jc w:val="center"/>
              <w:rPr>
                <w:rFonts w:ascii="宋体"/>
                <w:color w:val="000000" w:themeColor="text1"/>
                <w:szCs w:val="21"/>
              </w:rPr>
            </w:pPr>
          </w:p>
        </w:tc>
        <w:tc>
          <w:tcPr>
            <w:tcW w:w="2864" w:type="dxa"/>
            <w:gridSpan w:val="2"/>
            <w:vAlign w:val="center"/>
          </w:tcPr>
          <w:p>
            <w:pPr>
              <w:spacing w:before="0" w:beforeAutospacing="0" w:after="0" w:afterAutospacing="0" w:line="240" w:lineRule="auto"/>
              <w:jc w:val="center"/>
              <w:rPr>
                <w:rFonts w:ascii="宋体"/>
                <w:color w:val="000000" w:themeColor="text1"/>
                <w:szCs w:val="21"/>
              </w:rPr>
            </w:pPr>
          </w:p>
        </w:tc>
        <w:tc>
          <w:tcPr>
            <w:tcW w:w="1998" w:type="dxa"/>
            <w:gridSpan w:val="3"/>
            <w:vAlign w:val="center"/>
          </w:tcPr>
          <w:p>
            <w:pPr>
              <w:spacing w:before="0" w:beforeAutospacing="0" w:after="0" w:afterAutospacing="0" w:line="240" w:lineRule="auto"/>
              <w:jc w:val="center"/>
              <w:rPr>
                <w:rFonts w:ascii="宋体"/>
                <w:color w:val="000000" w:themeColor="text1"/>
                <w:szCs w:val="21"/>
              </w:rPr>
            </w:pPr>
          </w:p>
        </w:tc>
        <w:tc>
          <w:tcPr>
            <w:tcW w:w="2403" w:type="dxa"/>
            <w:gridSpan w:val="2"/>
            <w:vAlign w:val="center"/>
          </w:tcPr>
          <w:p>
            <w:pPr>
              <w:spacing w:before="0" w:beforeAutospacing="0" w:after="0" w:afterAutospacing="0" w:line="240" w:lineRule="auto"/>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79" w:type="dxa"/>
            <w:tcBorders>
              <w:bottom w:val="single" w:color="auto" w:sz="4" w:space="0"/>
            </w:tcBorders>
            <w:vAlign w:val="center"/>
          </w:tcPr>
          <w:p>
            <w:pPr>
              <w:spacing w:before="0" w:beforeAutospacing="0" w:after="0" w:afterAutospacing="0" w:line="240" w:lineRule="auto"/>
              <w:jc w:val="center"/>
              <w:rPr>
                <w:rFonts w:ascii="宋体"/>
                <w:color w:val="000000" w:themeColor="text1"/>
                <w:szCs w:val="21"/>
              </w:rPr>
            </w:pPr>
          </w:p>
        </w:tc>
        <w:tc>
          <w:tcPr>
            <w:tcW w:w="2864" w:type="dxa"/>
            <w:gridSpan w:val="2"/>
            <w:vAlign w:val="center"/>
          </w:tcPr>
          <w:p>
            <w:pPr>
              <w:spacing w:before="0" w:beforeAutospacing="0" w:after="0" w:afterAutospacing="0" w:line="240" w:lineRule="auto"/>
              <w:jc w:val="center"/>
              <w:rPr>
                <w:rFonts w:ascii="宋体"/>
                <w:color w:val="000000" w:themeColor="text1"/>
                <w:szCs w:val="21"/>
              </w:rPr>
            </w:pPr>
          </w:p>
        </w:tc>
        <w:tc>
          <w:tcPr>
            <w:tcW w:w="1998" w:type="dxa"/>
            <w:gridSpan w:val="3"/>
            <w:vAlign w:val="center"/>
          </w:tcPr>
          <w:p>
            <w:pPr>
              <w:spacing w:before="0" w:beforeAutospacing="0" w:after="0" w:afterAutospacing="0" w:line="240" w:lineRule="auto"/>
              <w:jc w:val="center"/>
              <w:rPr>
                <w:rFonts w:ascii="宋体"/>
                <w:color w:val="000000" w:themeColor="text1"/>
                <w:szCs w:val="21"/>
              </w:rPr>
            </w:pPr>
          </w:p>
        </w:tc>
        <w:tc>
          <w:tcPr>
            <w:tcW w:w="2403" w:type="dxa"/>
            <w:gridSpan w:val="2"/>
            <w:vAlign w:val="center"/>
          </w:tcPr>
          <w:p>
            <w:pPr>
              <w:spacing w:before="0" w:beforeAutospacing="0" w:after="0" w:afterAutospacing="0" w:line="240" w:lineRule="auto"/>
              <w:jc w:val="center"/>
              <w:rPr>
                <w:rFonts w:ascii="宋体"/>
                <w:color w:val="000000" w:themeColor="text1"/>
                <w:szCs w:val="21"/>
              </w:rPr>
            </w:pPr>
          </w:p>
        </w:tc>
      </w:tr>
    </w:tbl>
    <w:p>
      <w:pPr>
        <w:spacing w:line="460" w:lineRule="exact"/>
        <w:rPr>
          <w:rFonts w:ascii="宋体" w:hAnsi="宋体"/>
          <w:color w:val="000000" w:themeColor="text1"/>
          <w:szCs w:val="21"/>
        </w:rPr>
      </w:pPr>
    </w:p>
    <w:p>
      <w:pPr>
        <w:spacing w:before="0" w:beforeAutospacing="0" w:after="0" w:afterAutospacing="0" w:line="240" w:lineRule="auto"/>
        <w:rPr>
          <w:rFonts w:ascii="宋体" w:hAnsi="宋体"/>
          <w:color w:val="000000" w:themeColor="text1"/>
          <w:szCs w:val="21"/>
        </w:rPr>
      </w:pPr>
      <w:r>
        <w:rPr>
          <w:rFonts w:ascii="宋体" w:hAnsi="宋体"/>
          <w:color w:val="000000" w:themeColor="text1"/>
          <w:szCs w:val="21"/>
        </w:rPr>
        <w:br w:type="page"/>
      </w:r>
    </w:p>
    <w:p>
      <w:pPr>
        <w:pStyle w:val="8"/>
        <w:rPr>
          <w:color w:val="000000" w:themeColor="text1"/>
        </w:rPr>
      </w:pPr>
      <w:r>
        <w:rPr>
          <w:rFonts w:hint="eastAsia"/>
          <w:color w:val="000000" w:themeColor="text1"/>
        </w:rPr>
        <w:t>（三）提供本项目经理未担任其他在施建设工程项目的项目经理承诺函</w:t>
      </w:r>
    </w:p>
    <w:p>
      <w:pPr>
        <w:spacing w:line="460" w:lineRule="exact"/>
        <w:jc w:val="center"/>
        <w:rPr>
          <w:rFonts w:ascii="宋体" w:hAnsi="宋体" w:cs="宋体"/>
          <w:color w:val="000000" w:themeColor="text1"/>
          <w:sz w:val="28"/>
          <w:szCs w:val="28"/>
        </w:rPr>
      </w:pPr>
      <w:r>
        <w:rPr>
          <w:rFonts w:hint="eastAsia" w:ascii="宋体" w:hAnsi="宋体" w:cs="宋体"/>
          <w:color w:val="000000" w:themeColor="text1"/>
          <w:sz w:val="28"/>
          <w:szCs w:val="28"/>
        </w:rPr>
        <w:t>（格式自拟）</w:t>
      </w:r>
    </w:p>
    <w:p>
      <w:pPr>
        <w:pStyle w:val="62"/>
        <w:snapToGrid w:val="0"/>
        <w:spacing w:line="360" w:lineRule="auto"/>
        <w:rPr>
          <w:rFonts w:asciiTheme="minorEastAsia" w:hAnsiTheme="minorEastAsia" w:eastAsiaTheme="minorEastAsia"/>
          <w:color w:val="000000" w:themeColor="text1"/>
          <w:sz w:val="24"/>
          <w:szCs w:val="24"/>
        </w:rPr>
      </w:pPr>
    </w:p>
    <w:p>
      <w:pPr>
        <w:pStyle w:val="62"/>
        <w:snapToGrid w:val="0"/>
        <w:spacing w:line="360" w:lineRule="auto"/>
        <w:rPr>
          <w:rFonts w:asciiTheme="minorEastAsia" w:hAnsiTheme="minorEastAsia" w:eastAsiaTheme="minorEastAsia"/>
          <w:color w:val="000000" w:themeColor="text1"/>
          <w:sz w:val="24"/>
          <w:szCs w:val="24"/>
        </w:rPr>
        <w:sectPr>
          <w:headerReference r:id="rId6" w:type="default"/>
          <w:footerReference r:id="rId7" w:type="default"/>
          <w:footerReference r:id="rId8" w:type="even"/>
          <w:footnotePr>
            <w:numRestart w:val="eachPage"/>
          </w:footnotePr>
          <w:pgSz w:w="11906" w:h="16838"/>
          <w:pgMar w:top="1276" w:right="1134" w:bottom="1134" w:left="1134" w:header="568" w:footer="0" w:gutter="0"/>
          <w:pgNumType w:start="1"/>
          <w:cols w:space="720" w:num="1"/>
          <w:docGrid w:linePitch="326" w:charSpace="0"/>
        </w:sectPr>
      </w:pPr>
    </w:p>
    <w:p>
      <w:pPr>
        <w:pStyle w:val="4"/>
        <w:rPr>
          <w:color w:val="000000" w:themeColor="text1"/>
        </w:rPr>
      </w:pPr>
      <w:bookmarkStart w:id="560" w:name="_Toc534808273"/>
      <w:r>
        <w:rPr>
          <w:rFonts w:hint="eastAsia"/>
          <w:color w:val="000000" w:themeColor="text1"/>
        </w:rPr>
        <w:t>九、项目业绩一览表</w:t>
      </w:r>
      <w:bookmarkEnd w:id="560"/>
    </w:p>
    <w:tbl>
      <w:tblPr>
        <w:tblStyle w:val="43"/>
        <w:tblW w:w="132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77"/>
        <w:gridCol w:w="1134"/>
        <w:gridCol w:w="2552"/>
        <w:gridCol w:w="2441"/>
        <w:gridCol w:w="4536"/>
        <w:gridCol w:w="17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72" w:hRule="atLeast"/>
          <w:jc w:val="center"/>
        </w:trPr>
        <w:tc>
          <w:tcPr>
            <w:tcW w:w="877" w:type="dxa"/>
            <w:tcBorders>
              <w:top w:val="single" w:color="auto" w:sz="4" w:space="0"/>
            </w:tcBorders>
            <w:vAlign w:val="center"/>
          </w:tcPr>
          <w:p>
            <w:pPr>
              <w:snapToGrid w:val="0"/>
              <w:spacing w:before="0" w:beforeAutospacing="0" w:after="0" w:afterAutospacing="0" w:line="240" w:lineRule="auto"/>
              <w:rPr>
                <w:b/>
                <w:color w:val="000000" w:themeColor="text1"/>
                <w:szCs w:val="24"/>
              </w:rPr>
            </w:pPr>
            <w:r>
              <w:rPr>
                <w:b/>
                <w:color w:val="000000" w:themeColor="text1"/>
                <w:szCs w:val="24"/>
              </w:rPr>
              <w:t xml:space="preserve"> 序号</w:t>
            </w:r>
          </w:p>
        </w:tc>
        <w:tc>
          <w:tcPr>
            <w:tcW w:w="1134" w:type="dxa"/>
            <w:tcBorders>
              <w:top w:val="single" w:color="auto" w:sz="4" w:space="0"/>
            </w:tcBorders>
            <w:vAlign w:val="center"/>
          </w:tcPr>
          <w:p>
            <w:pPr>
              <w:snapToGrid w:val="0"/>
              <w:spacing w:before="0" w:beforeAutospacing="0" w:after="0" w:afterAutospacing="0" w:line="240" w:lineRule="auto"/>
              <w:jc w:val="center"/>
              <w:rPr>
                <w:b/>
                <w:color w:val="000000" w:themeColor="text1"/>
                <w:szCs w:val="24"/>
              </w:rPr>
            </w:pPr>
            <w:r>
              <w:rPr>
                <w:b/>
                <w:color w:val="000000" w:themeColor="text1"/>
                <w:szCs w:val="24"/>
              </w:rPr>
              <w:t>年份</w:t>
            </w:r>
          </w:p>
        </w:tc>
        <w:tc>
          <w:tcPr>
            <w:tcW w:w="2552" w:type="dxa"/>
            <w:vAlign w:val="center"/>
          </w:tcPr>
          <w:p>
            <w:pPr>
              <w:snapToGrid w:val="0"/>
              <w:spacing w:before="0" w:beforeAutospacing="0" w:after="0" w:afterAutospacing="0" w:line="240" w:lineRule="auto"/>
              <w:jc w:val="center"/>
              <w:rPr>
                <w:b/>
                <w:color w:val="000000" w:themeColor="text1"/>
                <w:szCs w:val="24"/>
              </w:rPr>
            </w:pPr>
            <w:r>
              <w:rPr>
                <w:b/>
                <w:color w:val="000000" w:themeColor="text1"/>
                <w:szCs w:val="24"/>
              </w:rPr>
              <w:t>业主单位</w:t>
            </w:r>
          </w:p>
        </w:tc>
        <w:tc>
          <w:tcPr>
            <w:tcW w:w="2441" w:type="dxa"/>
            <w:vAlign w:val="center"/>
          </w:tcPr>
          <w:p>
            <w:pPr>
              <w:snapToGrid w:val="0"/>
              <w:spacing w:before="0" w:beforeAutospacing="0" w:after="0" w:afterAutospacing="0" w:line="240" w:lineRule="auto"/>
              <w:jc w:val="center"/>
              <w:rPr>
                <w:b/>
                <w:color w:val="000000" w:themeColor="text1"/>
                <w:szCs w:val="24"/>
              </w:rPr>
            </w:pPr>
            <w:r>
              <w:rPr>
                <w:b/>
                <w:color w:val="000000" w:themeColor="text1"/>
                <w:szCs w:val="24"/>
              </w:rPr>
              <w:t>项目名称</w:t>
            </w:r>
          </w:p>
        </w:tc>
        <w:tc>
          <w:tcPr>
            <w:tcW w:w="4536" w:type="dxa"/>
            <w:tcBorders>
              <w:right w:val="single" w:color="auto" w:sz="4" w:space="0"/>
            </w:tcBorders>
            <w:vAlign w:val="center"/>
          </w:tcPr>
          <w:p>
            <w:pPr>
              <w:snapToGrid w:val="0"/>
              <w:spacing w:before="0" w:beforeAutospacing="0" w:after="0" w:afterAutospacing="0" w:line="240" w:lineRule="auto"/>
              <w:jc w:val="center"/>
              <w:rPr>
                <w:b/>
                <w:color w:val="000000" w:themeColor="text1"/>
                <w:szCs w:val="24"/>
              </w:rPr>
            </w:pPr>
            <w:r>
              <w:rPr>
                <w:rFonts w:hint="eastAsia"/>
                <w:b/>
                <w:color w:val="000000" w:themeColor="text1"/>
                <w:szCs w:val="24"/>
              </w:rPr>
              <w:t>工程</w:t>
            </w:r>
            <w:r>
              <w:rPr>
                <w:b/>
                <w:color w:val="000000" w:themeColor="text1"/>
                <w:szCs w:val="24"/>
              </w:rPr>
              <w:t>规模</w:t>
            </w:r>
          </w:p>
        </w:tc>
        <w:tc>
          <w:tcPr>
            <w:tcW w:w="1728" w:type="dxa"/>
            <w:tcBorders>
              <w:left w:val="single" w:color="auto" w:sz="4" w:space="0"/>
              <w:right w:val="single" w:color="auto" w:sz="4" w:space="0"/>
            </w:tcBorders>
            <w:vAlign w:val="center"/>
          </w:tcPr>
          <w:p>
            <w:pPr>
              <w:snapToGrid w:val="0"/>
              <w:spacing w:before="0" w:beforeAutospacing="0" w:after="0" w:afterAutospacing="0" w:line="240" w:lineRule="auto"/>
              <w:jc w:val="center"/>
              <w:rPr>
                <w:b/>
                <w:color w:val="000000" w:themeColor="text1"/>
                <w:szCs w:val="24"/>
              </w:rPr>
            </w:pPr>
            <w:r>
              <w:rPr>
                <w:rFonts w:hint="eastAsia"/>
                <w:b/>
                <w:color w:val="000000" w:themeColor="text1"/>
                <w:szCs w:val="24"/>
              </w:rPr>
              <w:t>委托</w:t>
            </w:r>
            <w:r>
              <w:rPr>
                <w:b/>
                <w:color w:val="000000" w:themeColor="text1"/>
                <w:szCs w:val="24"/>
              </w:rPr>
              <w:t>金额</w:t>
            </w:r>
          </w:p>
          <w:p>
            <w:pPr>
              <w:snapToGrid w:val="0"/>
              <w:spacing w:before="0" w:beforeAutospacing="0" w:after="0" w:afterAutospacing="0" w:line="240" w:lineRule="auto"/>
              <w:jc w:val="center"/>
              <w:rPr>
                <w:b/>
                <w:color w:val="000000" w:themeColor="text1"/>
                <w:szCs w:val="24"/>
              </w:rPr>
            </w:pPr>
            <w:r>
              <w:rPr>
                <w:b/>
                <w:color w:val="000000" w:themeColor="text1"/>
                <w:szCs w:val="24"/>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7" w:type="dxa"/>
            <w:vAlign w:val="center"/>
          </w:tcPr>
          <w:p>
            <w:pPr>
              <w:snapToGrid w:val="0"/>
              <w:spacing w:before="0" w:beforeAutospacing="0" w:after="0" w:afterAutospacing="0" w:line="240" w:lineRule="auto"/>
              <w:jc w:val="center"/>
              <w:rPr>
                <w:color w:val="000000" w:themeColor="text1"/>
                <w:szCs w:val="24"/>
              </w:rPr>
            </w:pPr>
          </w:p>
        </w:tc>
        <w:tc>
          <w:tcPr>
            <w:tcW w:w="1134" w:type="dxa"/>
            <w:vAlign w:val="center"/>
          </w:tcPr>
          <w:p>
            <w:pPr>
              <w:snapToGrid w:val="0"/>
              <w:spacing w:before="0" w:beforeAutospacing="0" w:after="0" w:afterAutospacing="0" w:line="240" w:lineRule="auto"/>
              <w:jc w:val="center"/>
              <w:rPr>
                <w:color w:val="000000" w:themeColor="text1"/>
                <w:szCs w:val="24"/>
              </w:rPr>
            </w:pPr>
          </w:p>
        </w:tc>
        <w:tc>
          <w:tcPr>
            <w:tcW w:w="2552" w:type="dxa"/>
            <w:vAlign w:val="center"/>
          </w:tcPr>
          <w:p>
            <w:pPr>
              <w:snapToGrid w:val="0"/>
              <w:spacing w:before="0" w:beforeAutospacing="0" w:after="0" w:afterAutospacing="0" w:line="240" w:lineRule="auto"/>
              <w:jc w:val="center"/>
              <w:rPr>
                <w:color w:val="000000" w:themeColor="text1"/>
                <w:szCs w:val="24"/>
              </w:rPr>
            </w:pPr>
          </w:p>
        </w:tc>
        <w:tc>
          <w:tcPr>
            <w:tcW w:w="2441" w:type="dxa"/>
            <w:vAlign w:val="center"/>
          </w:tcPr>
          <w:p>
            <w:pPr>
              <w:snapToGrid w:val="0"/>
              <w:spacing w:before="0" w:beforeAutospacing="0" w:after="0" w:afterAutospacing="0" w:line="240" w:lineRule="auto"/>
              <w:jc w:val="center"/>
              <w:rPr>
                <w:color w:val="000000" w:themeColor="text1"/>
                <w:szCs w:val="24"/>
              </w:rPr>
            </w:pPr>
          </w:p>
        </w:tc>
        <w:tc>
          <w:tcPr>
            <w:tcW w:w="4536" w:type="dxa"/>
            <w:tcBorders>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1728" w:type="dxa"/>
            <w:tcBorders>
              <w:left w:val="single" w:color="auto" w:sz="4" w:space="0"/>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7" w:type="dxa"/>
            <w:vAlign w:val="center"/>
          </w:tcPr>
          <w:p>
            <w:pPr>
              <w:snapToGrid w:val="0"/>
              <w:spacing w:before="0" w:beforeAutospacing="0" w:after="0" w:afterAutospacing="0" w:line="240" w:lineRule="auto"/>
              <w:jc w:val="center"/>
              <w:rPr>
                <w:color w:val="000000" w:themeColor="text1"/>
                <w:szCs w:val="24"/>
              </w:rPr>
            </w:pPr>
          </w:p>
        </w:tc>
        <w:tc>
          <w:tcPr>
            <w:tcW w:w="1134" w:type="dxa"/>
            <w:vAlign w:val="center"/>
          </w:tcPr>
          <w:p>
            <w:pPr>
              <w:snapToGrid w:val="0"/>
              <w:spacing w:before="0" w:beforeAutospacing="0" w:after="0" w:afterAutospacing="0" w:line="240" w:lineRule="auto"/>
              <w:jc w:val="center"/>
              <w:rPr>
                <w:color w:val="000000" w:themeColor="text1"/>
                <w:szCs w:val="24"/>
              </w:rPr>
            </w:pPr>
          </w:p>
        </w:tc>
        <w:tc>
          <w:tcPr>
            <w:tcW w:w="2552" w:type="dxa"/>
            <w:vAlign w:val="center"/>
          </w:tcPr>
          <w:p>
            <w:pPr>
              <w:snapToGrid w:val="0"/>
              <w:spacing w:before="0" w:beforeAutospacing="0" w:after="0" w:afterAutospacing="0" w:line="240" w:lineRule="auto"/>
              <w:jc w:val="center"/>
              <w:rPr>
                <w:color w:val="000000" w:themeColor="text1"/>
                <w:szCs w:val="24"/>
              </w:rPr>
            </w:pPr>
          </w:p>
        </w:tc>
        <w:tc>
          <w:tcPr>
            <w:tcW w:w="2441" w:type="dxa"/>
            <w:vAlign w:val="center"/>
          </w:tcPr>
          <w:p>
            <w:pPr>
              <w:snapToGrid w:val="0"/>
              <w:spacing w:before="0" w:beforeAutospacing="0" w:after="0" w:afterAutospacing="0" w:line="240" w:lineRule="auto"/>
              <w:jc w:val="center"/>
              <w:rPr>
                <w:color w:val="000000" w:themeColor="text1"/>
                <w:szCs w:val="24"/>
              </w:rPr>
            </w:pPr>
          </w:p>
        </w:tc>
        <w:tc>
          <w:tcPr>
            <w:tcW w:w="4536" w:type="dxa"/>
            <w:tcBorders>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1728" w:type="dxa"/>
            <w:tcBorders>
              <w:left w:val="single" w:color="auto" w:sz="4" w:space="0"/>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7" w:type="dxa"/>
            <w:vAlign w:val="center"/>
          </w:tcPr>
          <w:p>
            <w:pPr>
              <w:snapToGrid w:val="0"/>
              <w:spacing w:before="0" w:beforeAutospacing="0" w:after="0" w:afterAutospacing="0" w:line="240" w:lineRule="auto"/>
              <w:jc w:val="center"/>
              <w:rPr>
                <w:color w:val="000000" w:themeColor="text1"/>
                <w:szCs w:val="24"/>
              </w:rPr>
            </w:pPr>
          </w:p>
        </w:tc>
        <w:tc>
          <w:tcPr>
            <w:tcW w:w="1134" w:type="dxa"/>
            <w:vAlign w:val="center"/>
          </w:tcPr>
          <w:p>
            <w:pPr>
              <w:snapToGrid w:val="0"/>
              <w:spacing w:before="0" w:beforeAutospacing="0" w:after="0" w:afterAutospacing="0" w:line="240" w:lineRule="auto"/>
              <w:jc w:val="center"/>
              <w:rPr>
                <w:color w:val="000000" w:themeColor="text1"/>
                <w:szCs w:val="24"/>
              </w:rPr>
            </w:pPr>
          </w:p>
        </w:tc>
        <w:tc>
          <w:tcPr>
            <w:tcW w:w="2552" w:type="dxa"/>
            <w:vAlign w:val="center"/>
          </w:tcPr>
          <w:p>
            <w:pPr>
              <w:snapToGrid w:val="0"/>
              <w:spacing w:before="0" w:beforeAutospacing="0" w:after="0" w:afterAutospacing="0" w:line="240" w:lineRule="auto"/>
              <w:jc w:val="center"/>
              <w:rPr>
                <w:color w:val="000000" w:themeColor="text1"/>
                <w:szCs w:val="24"/>
              </w:rPr>
            </w:pPr>
          </w:p>
        </w:tc>
        <w:tc>
          <w:tcPr>
            <w:tcW w:w="2441" w:type="dxa"/>
            <w:vAlign w:val="center"/>
          </w:tcPr>
          <w:p>
            <w:pPr>
              <w:snapToGrid w:val="0"/>
              <w:spacing w:before="0" w:beforeAutospacing="0" w:after="0" w:afterAutospacing="0" w:line="240" w:lineRule="auto"/>
              <w:jc w:val="center"/>
              <w:rPr>
                <w:color w:val="000000" w:themeColor="text1"/>
                <w:szCs w:val="24"/>
              </w:rPr>
            </w:pPr>
          </w:p>
        </w:tc>
        <w:tc>
          <w:tcPr>
            <w:tcW w:w="4536" w:type="dxa"/>
            <w:tcBorders>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1728" w:type="dxa"/>
            <w:tcBorders>
              <w:left w:val="single" w:color="auto" w:sz="4" w:space="0"/>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7" w:type="dxa"/>
            <w:vAlign w:val="center"/>
          </w:tcPr>
          <w:p>
            <w:pPr>
              <w:snapToGrid w:val="0"/>
              <w:spacing w:before="0" w:beforeAutospacing="0" w:after="0" w:afterAutospacing="0" w:line="240" w:lineRule="auto"/>
              <w:jc w:val="center"/>
              <w:rPr>
                <w:color w:val="000000" w:themeColor="text1"/>
                <w:szCs w:val="24"/>
              </w:rPr>
            </w:pPr>
          </w:p>
        </w:tc>
        <w:tc>
          <w:tcPr>
            <w:tcW w:w="1134" w:type="dxa"/>
            <w:vAlign w:val="center"/>
          </w:tcPr>
          <w:p>
            <w:pPr>
              <w:snapToGrid w:val="0"/>
              <w:spacing w:before="0" w:beforeAutospacing="0" w:after="0" w:afterAutospacing="0" w:line="240" w:lineRule="auto"/>
              <w:jc w:val="center"/>
              <w:rPr>
                <w:color w:val="000000" w:themeColor="text1"/>
                <w:szCs w:val="24"/>
              </w:rPr>
            </w:pPr>
          </w:p>
        </w:tc>
        <w:tc>
          <w:tcPr>
            <w:tcW w:w="2552" w:type="dxa"/>
            <w:tcBorders>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2441" w:type="dxa"/>
            <w:tcBorders>
              <w:lef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4536" w:type="dxa"/>
            <w:tcBorders>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1728" w:type="dxa"/>
            <w:tcBorders>
              <w:left w:val="single" w:color="auto" w:sz="4" w:space="0"/>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7" w:type="dxa"/>
            <w:vAlign w:val="center"/>
          </w:tcPr>
          <w:p>
            <w:pPr>
              <w:snapToGrid w:val="0"/>
              <w:spacing w:before="0" w:beforeAutospacing="0" w:after="0" w:afterAutospacing="0" w:line="240" w:lineRule="auto"/>
              <w:jc w:val="center"/>
              <w:rPr>
                <w:color w:val="000000" w:themeColor="text1"/>
                <w:szCs w:val="24"/>
              </w:rPr>
            </w:pPr>
            <w:r>
              <w:rPr>
                <w:rFonts w:hint="eastAsia"/>
                <w:color w:val="000000" w:themeColor="text1"/>
                <w:szCs w:val="24"/>
              </w:rPr>
              <w:t>……</w:t>
            </w:r>
          </w:p>
        </w:tc>
        <w:tc>
          <w:tcPr>
            <w:tcW w:w="1134" w:type="dxa"/>
            <w:vAlign w:val="center"/>
          </w:tcPr>
          <w:p>
            <w:pPr>
              <w:snapToGrid w:val="0"/>
              <w:spacing w:before="0" w:beforeAutospacing="0" w:after="0" w:afterAutospacing="0" w:line="240" w:lineRule="auto"/>
              <w:jc w:val="center"/>
              <w:rPr>
                <w:color w:val="000000" w:themeColor="text1"/>
                <w:szCs w:val="24"/>
              </w:rPr>
            </w:pPr>
          </w:p>
        </w:tc>
        <w:tc>
          <w:tcPr>
            <w:tcW w:w="2552" w:type="dxa"/>
            <w:tcBorders>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2441" w:type="dxa"/>
            <w:tcBorders>
              <w:lef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4536" w:type="dxa"/>
            <w:tcBorders>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c>
          <w:tcPr>
            <w:tcW w:w="1728" w:type="dxa"/>
            <w:tcBorders>
              <w:left w:val="single" w:color="auto" w:sz="4" w:space="0"/>
              <w:right w:val="single" w:color="auto" w:sz="4" w:space="0"/>
            </w:tcBorders>
            <w:vAlign w:val="center"/>
          </w:tcPr>
          <w:p>
            <w:pPr>
              <w:snapToGrid w:val="0"/>
              <w:spacing w:before="0" w:beforeAutospacing="0" w:after="0" w:afterAutospacing="0" w:line="240" w:lineRule="auto"/>
              <w:jc w:val="center"/>
              <w:rPr>
                <w:color w:val="000000" w:themeColor="text1"/>
                <w:szCs w:val="24"/>
              </w:rPr>
            </w:pPr>
          </w:p>
        </w:tc>
      </w:tr>
    </w:tbl>
    <w:p>
      <w:pPr>
        <w:pStyle w:val="62"/>
        <w:snapToGrid w:val="0"/>
        <w:spacing w:line="360" w:lineRule="auto"/>
        <w:rPr>
          <w:rFonts w:asciiTheme="minorEastAsia" w:hAnsiTheme="minorEastAsia" w:eastAsiaTheme="minorEastAsia"/>
          <w:color w:val="000000" w:themeColor="text1"/>
          <w:sz w:val="24"/>
          <w:szCs w:val="24"/>
        </w:rPr>
      </w:pPr>
    </w:p>
    <w:p>
      <w:pPr>
        <w:adjustRightInd w:val="0"/>
        <w:snapToGrid w:val="0"/>
        <w:spacing w:beforeLines="150" w:beforeAutospacing="0"/>
        <w:rPr>
          <w:color w:val="000000" w:themeColor="text1"/>
          <w:szCs w:val="24"/>
        </w:rPr>
      </w:pPr>
      <w:r>
        <w:rPr>
          <w:rFonts w:hint="eastAsia"/>
          <w:color w:val="000000" w:themeColor="text1"/>
          <w:szCs w:val="24"/>
        </w:rPr>
        <w:t>注：按顺序附上相关证明材料</w:t>
      </w:r>
    </w:p>
    <w:p>
      <w:pPr>
        <w:adjustRightInd w:val="0"/>
        <w:snapToGrid w:val="0"/>
        <w:ind w:left="7512" w:leftChars="3130"/>
        <w:rPr>
          <w:color w:val="000000" w:themeColor="text1"/>
          <w:szCs w:val="24"/>
        </w:rPr>
      </w:pPr>
      <w:r>
        <w:rPr>
          <w:rFonts w:hint="eastAsia"/>
          <w:color w:val="000000" w:themeColor="text1"/>
          <w:szCs w:val="24"/>
        </w:rPr>
        <w:t>供应商</w:t>
      </w:r>
      <w:r>
        <w:rPr>
          <w:color w:val="000000" w:themeColor="text1"/>
          <w:szCs w:val="24"/>
        </w:rPr>
        <w:t>名称：（盖公章）</w:t>
      </w:r>
    </w:p>
    <w:p>
      <w:pPr>
        <w:adjustRightInd w:val="0"/>
        <w:snapToGrid w:val="0"/>
        <w:spacing w:beforeLines="50" w:beforeAutospacing="0"/>
        <w:ind w:left="7512" w:leftChars="3130"/>
        <w:rPr>
          <w:color w:val="000000" w:themeColor="text1"/>
          <w:szCs w:val="24"/>
        </w:rPr>
      </w:pPr>
      <w:r>
        <w:rPr>
          <w:color w:val="000000" w:themeColor="text1"/>
          <w:szCs w:val="24"/>
        </w:rPr>
        <w:t>法定代表人或授权代表：</w:t>
      </w:r>
      <w:r>
        <w:rPr>
          <w:rFonts w:hint="eastAsia"/>
          <w:color w:val="000000" w:themeColor="text1"/>
          <w:szCs w:val="24"/>
        </w:rPr>
        <w:t>（签字）</w:t>
      </w:r>
    </w:p>
    <w:p>
      <w:pPr>
        <w:adjustRightInd w:val="0"/>
        <w:snapToGrid w:val="0"/>
        <w:spacing w:beforeLines="50" w:beforeAutospacing="0"/>
        <w:ind w:left="7512" w:leftChars="3130"/>
        <w:rPr>
          <w:rFonts w:asciiTheme="minorEastAsia" w:hAnsiTheme="minorEastAsia" w:eastAsiaTheme="minorEastAsia"/>
          <w:color w:val="000000" w:themeColor="text1"/>
          <w:szCs w:val="24"/>
        </w:rPr>
        <w:sectPr>
          <w:footerReference r:id="rId9" w:type="default"/>
          <w:footnotePr>
            <w:numRestart w:val="eachPage"/>
          </w:footnotePr>
          <w:pgSz w:w="16838" w:h="11906" w:orient="landscape"/>
          <w:pgMar w:top="1134" w:right="1134" w:bottom="1134" w:left="1134" w:header="426" w:footer="47" w:gutter="0"/>
          <w:pgNumType w:start="83"/>
          <w:cols w:space="720" w:num="1"/>
          <w:docGrid w:linePitch="326" w:charSpace="0"/>
        </w:sectPr>
      </w:pPr>
      <w:r>
        <w:rPr>
          <w:rFonts w:hint="eastAsia"/>
          <w:color w:val="000000" w:themeColor="text1"/>
          <w:szCs w:val="24"/>
        </w:rPr>
        <w:t>日期：</w:t>
      </w:r>
    </w:p>
    <w:bookmarkEnd w:id="0"/>
    <w:bookmarkEnd w:id="523"/>
    <w:bookmarkEnd w:id="524"/>
    <w:bookmarkEnd w:id="525"/>
    <w:bookmarkEnd w:id="526"/>
    <w:bookmarkEnd w:id="527"/>
    <w:bookmarkEnd w:id="528"/>
    <w:bookmarkEnd w:id="529"/>
    <w:bookmarkEnd w:id="530"/>
    <w:bookmarkEnd w:id="531"/>
    <w:bookmarkEnd w:id="532"/>
    <w:bookmarkEnd w:id="547"/>
    <w:bookmarkEnd w:id="548"/>
    <w:p>
      <w:pPr>
        <w:pStyle w:val="4"/>
        <w:rPr>
          <w:color w:val="000000" w:themeColor="text1"/>
        </w:rPr>
      </w:pPr>
      <w:bookmarkStart w:id="561" w:name="_Toc534808274"/>
      <w:bookmarkStart w:id="562" w:name="_Toc527970819"/>
      <w:bookmarkStart w:id="563" w:name="_Toc527978829"/>
      <w:r>
        <w:rPr>
          <w:rFonts w:hint="eastAsia"/>
          <w:color w:val="000000" w:themeColor="text1"/>
        </w:rPr>
        <w:t>十、施工服务方案</w:t>
      </w:r>
      <w:bookmarkEnd w:id="561"/>
    </w:p>
    <w:p>
      <w:pPr>
        <w:rPr>
          <w:color w:val="000000" w:themeColor="text1"/>
        </w:rPr>
      </w:pPr>
      <w:r>
        <w:rPr>
          <w:rFonts w:hint="eastAsia"/>
          <w:color w:val="000000" w:themeColor="text1"/>
        </w:rPr>
        <w:t>供应商应根据磋商文件相关规定要求，编写施工服务方案，格式自拟。</w:t>
      </w:r>
    </w:p>
    <w:p>
      <w:pPr>
        <w:rPr>
          <w:color w:val="000000" w:themeColor="text1"/>
        </w:rPr>
      </w:pPr>
    </w:p>
    <w:p>
      <w:pPr>
        <w:spacing w:before="0" w:beforeAutospacing="0" w:after="0" w:afterAutospacing="0" w:line="240" w:lineRule="auto"/>
        <w:rPr>
          <w:color w:val="000000" w:themeColor="text1"/>
        </w:rPr>
      </w:pPr>
      <w:r>
        <w:rPr>
          <w:color w:val="000000" w:themeColor="text1"/>
        </w:rPr>
        <w:br w:type="page"/>
      </w:r>
    </w:p>
    <w:p>
      <w:pPr>
        <w:pStyle w:val="4"/>
        <w:rPr>
          <w:color w:val="000000" w:themeColor="text1"/>
        </w:rPr>
      </w:pPr>
      <w:bookmarkStart w:id="564" w:name="_Toc534808275"/>
      <w:r>
        <w:rPr>
          <w:rFonts w:hint="eastAsia"/>
          <w:color w:val="000000" w:themeColor="text1"/>
        </w:rPr>
        <w:t>十一、</w:t>
      </w:r>
      <w:bookmarkEnd w:id="564"/>
      <w:r>
        <w:rPr>
          <w:rFonts w:hint="eastAsia" w:ascii="宋体" w:hAnsi="宋体" w:cs="Arial"/>
          <w:color w:val="000000" w:themeColor="text1"/>
          <w:kern w:val="2"/>
          <w:szCs w:val="24"/>
        </w:rPr>
        <w:t>磋商文件要求的其他内容以及供应商认为必要的其他内容</w:t>
      </w:r>
    </w:p>
    <w:p>
      <w:pPr>
        <w:rPr>
          <w:color w:val="000000" w:themeColor="text1"/>
        </w:rPr>
      </w:pPr>
    </w:p>
    <w:bookmarkEnd w:id="562"/>
    <w:bookmarkEnd w:id="563"/>
    <w:p>
      <w:pPr>
        <w:spacing w:before="0" w:beforeAutospacing="0" w:after="0" w:afterAutospacing="0" w:line="240" w:lineRule="auto"/>
        <w:rPr>
          <w:rFonts w:eastAsia="黑体"/>
          <w:color w:val="000000" w:themeColor="text1"/>
          <w:sz w:val="28"/>
        </w:rPr>
      </w:pPr>
    </w:p>
    <w:sectPr>
      <w:footerReference r:id="rId10" w:type="default"/>
      <w:footnotePr>
        <w:numRestart w:val="eachPage"/>
      </w:footnotePr>
      <w:pgSz w:w="11906" w:h="16838"/>
      <w:pgMar w:top="1134" w:right="1134" w:bottom="1134" w:left="1134" w:header="284" w:footer="9" w:gutter="0"/>
      <w:pgNumType w:start="84"/>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 Antiqua">
    <w:panose1 w:val="020406020503050303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96"/>
      </w:rPr>
    </w:pPr>
    <w:r>
      <w:fldChar w:fldCharType="begin"/>
    </w:r>
    <w:r>
      <w:rPr>
        <w:rStyle w:val="96"/>
      </w:rPr>
      <w:instrText xml:space="preserve">PAGE  </w:instrText>
    </w:r>
    <w:r>
      <w:fldChar w:fldCharType="separate"/>
    </w:r>
    <w:r>
      <w:rPr>
        <w:rStyle w:val="96"/>
      </w:rPr>
      <w:t>4</w:t>
    </w:r>
    <w:r>
      <w:fldChar w:fldCharType="end"/>
    </w: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20389"/>
    </w:sdtPr>
    <w:sdtContent>
      <w:p>
        <w:pPr>
          <w:pStyle w:val="29"/>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sdt>
      <w:sdtPr>
        <w:id w:val="472626"/>
      </w:sdtPr>
      <w:sdtContent>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20</w:t>
        </w:r>
        <w:r>
          <w:rPr>
            <w:rFonts w:ascii="Times New Roman" w:hAnsi="Times New Roman"/>
          </w:rPr>
          <w:fldChar w:fldCharType="end"/>
        </w:r>
      </w:sdtContent>
    </w:sdt>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96"/>
      </w:rPr>
    </w:pPr>
    <w:r>
      <w:fldChar w:fldCharType="begin"/>
    </w:r>
    <w:r>
      <w:rPr>
        <w:rStyle w:val="96"/>
      </w:rPr>
      <w:instrText xml:space="preserve">PAGE  </w:instrText>
    </w:r>
    <w:r>
      <w:fldChar w:fldCharType="separate"/>
    </w:r>
    <w:r>
      <w:rPr>
        <w:rStyle w:val="96"/>
      </w:rPr>
      <w:t>4</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666"/>
    </w:sdtPr>
    <w:sdtContent>
      <w:p>
        <w:pPr>
          <w:pStyle w:val="29"/>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83</w:t>
        </w:r>
        <w:r>
          <w:rPr>
            <w:rFonts w:ascii="Times New Roman" w:hAnsi="Times New Roman"/>
          </w:rPr>
          <w:fldChar w:fldCharType="end"/>
        </w:r>
      </w:p>
    </w:sdtContent>
  </w:sdt>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86</w:t>
    </w:r>
    <w:r>
      <w:rPr>
        <w:rFonts w:ascii="Times New Roman" w:hAnsi="Times New Roma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tabs>
        <w:tab w:val="right" w:pos="13860"/>
        <w:tab w:val="clear" w:pos="4153"/>
        <w:tab w:val="clear" w:pos="8306"/>
      </w:tabs>
      <w:ind w:right="23"/>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tentative="0">
      <w:start w:val="1"/>
      <w:numFmt w:val="bullet"/>
      <w:pStyle w:val="13"/>
      <w:lvlText w:val=""/>
      <w:lvlJc w:val="left"/>
      <w:pPr>
        <w:tabs>
          <w:tab w:val="left" w:pos="1620"/>
        </w:tabs>
        <w:ind w:left="1620" w:leftChars="600" w:hanging="360" w:hangingChars="200"/>
      </w:pPr>
      <w:rPr>
        <w:rFonts w:hint="default" w:ascii="Wingdings" w:hAnsi="Wingdings"/>
      </w:rPr>
    </w:lvl>
  </w:abstractNum>
  <w:abstractNum w:abstractNumId="1">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7303B58"/>
    <w:multiLevelType w:val="multilevel"/>
    <w:tmpl w:val="77303B58"/>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87"/>
    <w:rsid w:val="00002121"/>
    <w:rsid w:val="00004F7B"/>
    <w:rsid w:val="00005D72"/>
    <w:rsid w:val="0000729C"/>
    <w:rsid w:val="00012C77"/>
    <w:rsid w:val="00014DC3"/>
    <w:rsid w:val="00015D96"/>
    <w:rsid w:val="00017C27"/>
    <w:rsid w:val="00021B37"/>
    <w:rsid w:val="00022211"/>
    <w:rsid w:val="00022BD8"/>
    <w:rsid w:val="00023237"/>
    <w:rsid w:val="00025489"/>
    <w:rsid w:val="00026CF3"/>
    <w:rsid w:val="0002770B"/>
    <w:rsid w:val="000302E9"/>
    <w:rsid w:val="00030820"/>
    <w:rsid w:val="00030EF3"/>
    <w:rsid w:val="0003100F"/>
    <w:rsid w:val="000324DF"/>
    <w:rsid w:val="0003414F"/>
    <w:rsid w:val="0003495C"/>
    <w:rsid w:val="0003577E"/>
    <w:rsid w:val="00035CCD"/>
    <w:rsid w:val="000365CB"/>
    <w:rsid w:val="00036BE2"/>
    <w:rsid w:val="000373A5"/>
    <w:rsid w:val="000425BC"/>
    <w:rsid w:val="0004260A"/>
    <w:rsid w:val="00044621"/>
    <w:rsid w:val="00044B6D"/>
    <w:rsid w:val="00046166"/>
    <w:rsid w:val="00046914"/>
    <w:rsid w:val="00052E28"/>
    <w:rsid w:val="0005305E"/>
    <w:rsid w:val="00055325"/>
    <w:rsid w:val="00055C2C"/>
    <w:rsid w:val="00055D75"/>
    <w:rsid w:val="00055E9E"/>
    <w:rsid w:val="000616CB"/>
    <w:rsid w:val="0006338D"/>
    <w:rsid w:val="0006660A"/>
    <w:rsid w:val="000668A2"/>
    <w:rsid w:val="00070597"/>
    <w:rsid w:val="000705E3"/>
    <w:rsid w:val="00070DE2"/>
    <w:rsid w:val="00070E27"/>
    <w:rsid w:val="00073E00"/>
    <w:rsid w:val="00075B40"/>
    <w:rsid w:val="0007650F"/>
    <w:rsid w:val="00081AB1"/>
    <w:rsid w:val="000834CC"/>
    <w:rsid w:val="0008538D"/>
    <w:rsid w:val="00085753"/>
    <w:rsid w:val="00085C6C"/>
    <w:rsid w:val="00086154"/>
    <w:rsid w:val="00087E5E"/>
    <w:rsid w:val="00090EBA"/>
    <w:rsid w:val="0009135F"/>
    <w:rsid w:val="0009301F"/>
    <w:rsid w:val="00095997"/>
    <w:rsid w:val="000A0196"/>
    <w:rsid w:val="000A175B"/>
    <w:rsid w:val="000A1930"/>
    <w:rsid w:val="000A3240"/>
    <w:rsid w:val="000A4E01"/>
    <w:rsid w:val="000A5071"/>
    <w:rsid w:val="000A7751"/>
    <w:rsid w:val="000A7F2F"/>
    <w:rsid w:val="000B372F"/>
    <w:rsid w:val="000B3B60"/>
    <w:rsid w:val="000B4EAF"/>
    <w:rsid w:val="000B5A52"/>
    <w:rsid w:val="000B6368"/>
    <w:rsid w:val="000B6CD8"/>
    <w:rsid w:val="000C0E71"/>
    <w:rsid w:val="000C113A"/>
    <w:rsid w:val="000C170E"/>
    <w:rsid w:val="000C2737"/>
    <w:rsid w:val="000C5B4B"/>
    <w:rsid w:val="000C6419"/>
    <w:rsid w:val="000C7F2F"/>
    <w:rsid w:val="000D0597"/>
    <w:rsid w:val="000D2ED8"/>
    <w:rsid w:val="000D53A6"/>
    <w:rsid w:val="000D54B5"/>
    <w:rsid w:val="000D6B89"/>
    <w:rsid w:val="000D7451"/>
    <w:rsid w:val="000E0EBC"/>
    <w:rsid w:val="000E135C"/>
    <w:rsid w:val="000E14AA"/>
    <w:rsid w:val="000E17C0"/>
    <w:rsid w:val="000E1B2F"/>
    <w:rsid w:val="000E2D88"/>
    <w:rsid w:val="000E48DE"/>
    <w:rsid w:val="000E66AA"/>
    <w:rsid w:val="000F01F5"/>
    <w:rsid w:val="000F1D28"/>
    <w:rsid w:val="000F265F"/>
    <w:rsid w:val="000F37ED"/>
    <w:rsid w:val="000F4546"/>
    <w:rsid w:val="000F5A4F"/>
    <w:rsid w:val="000F66AB"/>
    <w:rsid w:val="000F690A"/>
    <w:rsid w:val="000F7273"/>
    <w:rsid w:val="000F78AC"/>
    <w:rsid w:val="000F7BC2"/>
    <w:rsid w:val="001022EC"/>
    <w:rsid w:val="00104640"/>
    <w:rsid w:val="0010603D"/>
    <w:rsid w:val="0010698A"/>
    <w:rsid w:val="00106E13"/>
    <w:rsid w:val="00112CA3"/>
    <w:rsid w:val="0011505E"/>
    <w:rsid w:val="001166C6"/>
    <w:rsid w:val="00116BF9"/>
    <w:rsid w:val="001210D5"/>
    <w:rsid w:val="001221CF"/>
    <w:rsid w:val="001221E7"/>
    <w:rsid w:val="00122215"/>
    <w:rsid w:val="0012302C"/>
    <w:rsid w:val="001248CE"/>
    <w:rsid w:val="00124BC5"/>
    <w:rsid w:val="00124CA5"/>
    <w:rsid w:val="00127F47"/>
    <w:rsid w:val="00132B29"/>
    <w:rsid w:val="00133983"/>
    <w:rsid w:val="00133BAB"/>
    <w:rsid w:val="00134429"/>
    <w:rsid w:val="00137138"/>
    <w:rsid w:val="00140427"/>
    <w:rsid w:val="001411BB"/>
    <w:rsid w:val="00142045"/>
    <w:rsid w:val="001420B8"/>
    <w:rsid w:val="001430CE"/>
    <w:rsid w:val="00145237"/>
    <w:rsid w:val="001454AB"/>
    <w:rsid w:val="00146DF4"/>
    <w:rsid w:val="00147A7E"/>
    <w:rsid w:val="00150090"/>
    <w:rsid w:val="00150163"/>
    <w:rsid w:val="00154B13"/>
    <w:rsid w:val="0015781A"/>
    <w:rsid w:val="001646E0"/>
    <w:rsid w:val="00165543"/>
    <w:rsid w:val="001659CF"/>
    <w:rsid w:val="00166793"/>
    <w:rsid w:val="001718F5"/>
    <w:rsid w:val="001719C7"/>
    <w:rsid w:val="001722C5"/>
    <w:rsid w:val="00172322"/>
    <w:rsid w:val="00172A27"/>
    <w:rsid w:val="00175724"/>
    <w:rsid w:val="00176528"/>
    <w:rsid w:val="00181E99"/>
    <w:rsid w:val="00182776"/>
    <w:rsid w:val="0018578E"/>
    <w:rsid w:val="001864CF"/>
    <w:rsid w:val="00187B56"/>
    <w:rsid w:val="001902D4"/>
    <w:rsid w:val="00190A7B"/>
    <w:rsid w:val="00192CCA"/>
    <w:rsid w:val="00193C23"/>
    <w:rsid w:val="00194DAE"/>
    <w:rsid w:val="001956C9"/>
    <w:rsid w:val="001958F7"/>
    <w:rsid w:val="001965A8"/>
    <w:rsid w:val="001A0074"/>
    <w:rsid w:val="001A0F0F"/>
    <w:rsid w:val="001A1B42"/>
    <w:rsid w:val="001A2608"/>
    <w:rsid w:val="001A3624"/>
    <w:rsid w:val="001A5832"/>
    <w:rsid w:val="001B04F2"/>
    <w:rsid w:val="001B0742"/>
    <w:rsid w:val="001B1446"/>
    <w:rsid w:val="001B2410"/>
    <w:rsid w:val="001B292F"/>
    <w:rsid w:val="001B309A"/>
    <w:rsid w:val="001B36A0"/>
    <w:rsid w:val="001C6771"/>
    <w:rsid w:val="001C6F5B"/>
    <w:rsid w:val="001C7F19"/>
    <w:rsid w:val="001D44A1"/>
    <w:rsid w:val="001D6D73"/>
    <w:rsid w:val="001D7A8F"/>
    <w:rsid w:val="001E1D01"/>
    <w:rsid w:val="001E4BA5"/>
    <w:rsid w:val="001F02E9"/>
    <w:rsid w:val="001F4044"/>
    <w:rsid w:val="001F7EBE"/>
    <w:rsid w:val="00201899"/>
    <w:rsid w:val="002034A8"/>
    <w:rsid w:val="00204260"/>
    <w:rsid w:val="00204521"/>
    <w:rsid w:val="00204DB6"/>
    <w:rsid w:val="002050A5"/>
    <w:rsid w:val="0020528C"/>
    <w:rsid w:val="00206793"/>
    <w:rsid w:val="00210D1D"/>
    <w:rsid w:val="0021109E"/>
    <w:rsid w:val="00217374"/>
    <w:rsid w:val="00220811"/>
    <w:rsid w:val="00220F63"/>
    <w:rsid w:val="002211DF"/>
    <w:rsid w:val="002222D0"/>
    <w:rsid w:val="002226F7"/>
    <w:rsid w:val="00223BBC"/>
    <w:rsid w:val="00224381"/>
    <w:rsid w:val="0022603B"/>
    <w:rsid w:val="00232A94"/>
    <w:rsid w:val="00233901"/>
    <w:rsid w:val="00241E64"/>
    <w:rsid w:val="002422C2"/>
    <w:rsid w:val="00243243"/>
    <w:rsid w:val="00243372"/>
    <w:rsid w:val="00247B69"/>
    <w:rsid w:val="00251EA7"/>
    <w:rsid w:val="00252F82"/>
    <w:rsid w:val="00253763"/>
    <w:rsid w:val="0025464A"/>
    <w:rsid w:val="00254820"/>
    <w:rsid w:val="00255088"/>
    <w:rsid w:val="002553C7"/>
    <w:rsid w:val="002565CB"/>
    <w:rsid w:val="002603F8"/>
    <w:rsid w:val="00262313"/>
    <w:rsid w:val="00262DC7"/>
    <w:rsid w:val="0026379D"/>
    <w:rsid w:val="00263ED2"/>
    <w:rsid w:val="002649E1"/>
    <w:rsid w:val="00265C5A"/>
    <w:rsid w:val="002664AC"/>
    <w:rsid w:val="002664D8"/>
    <w:rsid w:val="00267358"/>
    <w:rsid w:val="002712E0"/>
    <w:rsid w:val="00272303"/>
    <w:rsid w:val="00272535"/>
    <w:rsid w:val="002732B2"/>
    <w:rsid w:val="00273DFE"/>
    <w:rsid w:val="00273EBA"/>
    <w:rsid w:val="002740CC"/>
    <w:rsid w:val="00274B8C"/>
    <w:rsid w:val="00274D2D"/>
    <w:rsid w:val="002758C2"/>
    <w:rsid w:val="00275C41"/>
    <w:rsid w:val="002805E5"/>
    <w:rsid w:val="00280C64"/>
    <w:rsid w:val="00284A10"/>
    <w:rsid w:val="00287BE2"/>
    <w:rsid w:val="0029140C"/>
    <w:rsid w:val="00296065"/>
    <w:rsid w:val="00297B31"/>
    <w:rsid w:val="00297E7A"/>
    <w:rsid w:val="00297EBA"/>
    <w:rsid w:val="002A0820"/>
    <w:rsid w:val="002A4D4E"/>
    <w:rsid w:val="002A5149"/>
    <w:rsid w:val="002A59A9"/>
    <w:rsid w:val="002A5E7D"/>
    <w:rsid w:val="002A6458"/>
    <w:rsid w:val="002A7E47"/>
    <w:rsid w:val="002B18B3"/>
    <w:rsid w:val="002B2D7D"/>
    <w:rsid w:val="002B300D"/>
    <w:rsid w:val="002B4CD2"/>
    <w:rsid w:val="002B7084"/>
    <w:rsid w:val="002B7438"/>
    <w:rsid w:val="002B7F39"/>
    <w:rsid w:val="002C2187"/>
    <w:rsid w:val="002C38D8"/>
    <w:rsid w:val="002C4D55"/>
    <w:rsid w:val="002C5360"/>
    <w:rsid w:val="002C574C"/>
    <w:rsid w:val="002D22F8"/>
    <w:rsid w:val="002D3BF6"/>
    <w:rsid w:val="002D62D5"/>
    <w:rsid w:val="002D70F8"/>
    <w:rsid w:val="002E1333"/>
    <w:rsid w:val="002E391D"/>
    <w:rsid w:val="002E3C9B"/>
    <w:rsid w:val="002E4909"/>
    <w:rsid w:val="002E543E"/>
    <w:rsid w:val="002E7E5D"/>
    <w:rsid w:val="002F0852"/>
    <w:rsid w:val="002F1001"/>
    <w:rsid w:val="002F1FA7"/>
    <w:rsid w:val="002F3E35"/>
    <w:rsid w:val="002F453D"/>
    <w:rsid w:val="002F463F"/>
    <w:rsid w:val="002F4D2B"/>
    <w:rsid w:val="002F7396"/>
    <w:rsid w:val="002F7F5F"/>
    <w:rsid w:val="00302897"/>
    <w:rsid w:val="00306110"/>
    <w:rsid w:val="003102FC"/>
    <w:rsid w:val="00310CAF"/>
    <w:rsid w:val="00311867"/>
    <w:rsid w:val="00311CE7"/>
    <w:rsid w:val="00312EDA"/>
    <w:rsid w:val="00313306"/>
    <w:rsid w:val="00315340"/>
    <w:rsid w:val="00315404"/>
    <w:rsid w:val="00315B3A"/>
    <w:rsid w:val="0031623F"/>
    <w:rsid w:val="00317F5C"/>
    <w:rsid w:val="003207FF"/>
    <w:rsid w:val="00321C92"/>
    <w:rsid w:val="00321DE3"/>
    <w:rsid w:val="0032216E"/>
    <w:rsid w:val="00323015"/>
    <w:rsid w:val="00323563"/>
    <w:rsid w:val="0032398C"/>
    <w:rsid w:val="00323A9F"/>
    <w:rsid w:val="00323D78"/>
    <w:rsid w:val="00324B13"/>
    <w:rsid w:val="00324F9B"/>
    <w:rsid w:val="00325901"/>
    <w:rsid w:val="00326B22"/>
    <w:rsid w:val="00330DA3"/>
    <w:rsid w:val="003325B9"/>
    <w:rsid w:val="00333ABE"/>
    <w:rsid w:val="0033481C"/>
    <w:rsid w:val="00334E96"/>
    <w:rsid w:val="0033502E"/>
    <w:rsid w:val="0033511E"/>
    <w:rsid w:val="00336BD4"/>
    <w:rsid w:val="003375C7"/>
    <w:rsid w:val="0034104E"/>
    <w:rsid w:val="003424B3"/>
    <w:rsid w:val="00342853"/>
    <w:rsid w:val="003474F7"/>
    <w:rsid w:val="00350777"/>
    <w:rsid w:val="00351A9F"/>
    <w:rsid w:val="00352CDA"/>
    <w:rsid w:val="00352E18"/>
    <w:rsid w:val="00354B24"/>
    <w:rsid w:val="00355259"/>
    <w:rsid w:val="00357955"/>
    <w:rsid w:val="00362463"/>
    <w:rsid w:val="0036256E"/>
    <w:rsid w:val="00364DD9"/>
    <w:rsid w:val="00367AA8"/>
    <w:rsid w:val="003747D7"/>
    <w:rsid w:val="00380810"/>
    <w:rsid w:val="00381F4B"/>
    <w:rsid w:val="00383B9D"/>
    <w:rsid w:val="00383EB2"/>
    <w:rsid w:val="00386A91"/>
    <w:rsid w:val="00386B37"/>
    <w:rsid w:val="00387B3C"/>
    <w:rsid w:val="00391069"/>
    <w:rsid w:val="00392448"/>
    <w:rsid w:val="00392B9F"/>
    <w:rsid w:val="00393CBB"/>
    <w:rsid w:val="003951D8"/>
    <w:rsid w:val="00396567"/>
    <w:rsid w:val="003A0DDF"/>
    <w:rsid w:val="003A15E4"/>
    <w:rsid w:val="003A310F"/>
    <w:rsid w:val="003A61E3"/>
    <w:rsid w:val="003A6399"/>
    <w:rsid w:val="003B1FC0"/>
    <w:rsid w:val="003B37A5"/>
    <w:rsid w:val="003B3B3F"/>
    <w:rsid w:val="003B5092"/>
    <w:rsid w:val="003B6DDA"/>
    <w:rsid w:val="003B6E3A"/>
    <w:rsid w:val="003B7FD5"/>
    <w:rsid w:val="003C2050"/>
    <w:rsid w:val="003C386A"/>
    <w:rsid w:val="003C4CC4"/>
    <w:rsid w:val="003C6C05"/>
    <w:rsid w:val="003C6F06"/>
    <w:rsid w:val="003D0B6E"/>
    <w:rsid w:val="003D393A"/>
    <w:rsid w:val="003D3992"/>
    <w:rsid w:val="003D39B0"/>
    <w:rsid w:val="003D4645"/>
    <w:rsid w:val="003D47AB"/>
    <w:rsid w:val="003D5AE5"/>
    <w:rsid w:val="003D6A88"/>
    <w:rsid w:val="003D7835"/>
    <w:rsid w:val="003D7B1D"/>
    <w:rsid w:val="003E0257"/>
    <w:rsid w:val="003E02AC"/>
    <w:rsid w:val="003E0B88"/>
    <w:rsid w:val="003E196B"/>
    <w:rsid w:val="003E20A6"/>
    <w:rsid w:val="003E22D4"/>
    <w:rsid w:val="003E4819"/>
    <w:rsid w:val="003E4DD5"/>
    <w:rsid w:val="003E5C04"/>
    <w:rsid w:val="003F0246"/>
    <w:rsid w:val="003F1BEF"/>
    <w:rsid w:val="003F21CA"/>
    <w:rsid w:val="003F29F9"/>
    <w:rsid w:val="003F6923"/>
    <w:rsid w:val="003F69EA"/>
    <w:rsid w:val="003F6FCE"/>
    <w:rsid w:val="003F7247"/>
    <w:rsid w:val="004011B8"/>
    <w:rsid w:val="004024EC"/>
    <w:rsid w:val="00405247"/>
    <w:rsid w:val="00405C53"/>
    <w:rsid w:val="0041058C"/>
    <w:rsid w:val="00412859"/>
    <w:rsid w:val="00412F35"/>
    <w:rsid w:val="00414789"/>
    <w:rsid w:val="0041497B"/>
    <w:rsid w:val="00416391"/>
    <w:rsid w:val="004243F4"/>
    <w:rsid w:val="004247FB"/>
    <w:rsid w:val="004249ED"/>
    <w:rsid w:val="00425429"/>
    <w:rsid w:val="004256EF"/>
    <w:rsid w:val="0043142F"/>
    <w:rsid w:val="0043151A"/>
    <w:rsid w:val="0043166E"/>
    <w:rsid w:val="00433C24"/>
    <w:rsid w:val="00436076"/>
    <w:rsid w:val="00437A26"/>
    <w:rsid w:val="004401EF"/>
    <w:rsid w:val="004410A8"/>
    <w:rsid w:val="00441309"/>
    <w:rsid w:val="00441D4A"/>
    <w:rsid w:val="00441E70"/>
    <w:rsid w:val="004425AB"/>
    <w:rsid w:val="004430F9"/>
    <w:rsid w:val="00444050"/>
    <w:rsid w:val="004449B4"/>
    <w:rsid w:val="00446522"/>
    <w:rsid w:val="0044665B"/>
    <w:rsid w:val="00450CFF"/>
    <w:rsid w:val="004521F6"/>
    <w:rsid w:val="004527E5"/>
    <w:rsid w:val="00453B89"/>
    <w:rsid w:val="004548FC"/>
    <w:rsid w:val="00454C19"/>
    <w:rsid w:val="00457C46"/>
    <w:rsid w:val="004600D8"/>
    <w:rsid w:val="00460450"/>
    <w:rsid w:val="004614CB"/>
    <w:rsid w:val="004623ED"/>
    <w:rsid w:val="00462ED4"/>
    <w:rsid w:val="00464C9C"/>
    <w:rsid w:val="004659E1"/>
    <w:rsid w:val="00470BBC"/>
    <w:rsid w:val="00471DBD"/>
    <w:rsid w:val="004730B0"/>
    <w:rsid w:val="00474891"/>
    <w:rsid w:val="00475157"/>
    <w:rsid w:val="00476021"/>
    <w:rsid w:val="00477FCF"/>
    <w:rsid w:val="0048253E"/>
    <w:rsid w:val="00484017"/>
    <w:rsid w:val="00487EE6"/>
    <w:rsid w:val="00490930"/>
    <w:rsid w:val="00490F2D"/>
    <w:rsid w:val="004964D5"/>
    <w:rsid w:val="004A21B2"/>
    <w:rsid w:val="004A2B9A"/>
    <w:rsid w:val="004A394A"/>
    <w:rsid w:val="004A6511"/>
    <w:rsid w:val="004B315C"/>
    <w:rsid w:val="004B3890"/>
    <w:rsid w:val="004B4FDB"/>
    <w:rsid w:val="004B5B54"/>
    <w:rsid w:val="004B692E"/>
    <w:rsid w:val="004B6C84"/>
    <w:rsid w:val="004C0C46"/>
    <w:rsid w:val="004C3DEB"/>
    <w:rsid w:val="004C5769"/>
    <w:rsid w:val="004C5B95"/>
    <w:rsid w:val="004C5E21"/>
    <w:rsid w:val="004C6D29"/>
    <w:rsid w:val="004C7793"/>
    <w:rsid w:val="004D3D5D"/>
    <w:rsid w:val="004E1C74"/>
    <w:rsid w:val="004E268A"/>
    <w:rsid w:val="004E5734"/>
    <w:rsid w:val="004E734A"/>
    <w:rsid w:val="004E73B7"/>
    <w:rsid w:val="004E7DE9"/>
    <w:rsid w:val="004F1421"/>
    <w:rsid w:val="004F3229"/>
    <w:rsid w:val="004F3BC1"/>
    <w:rsid w:val="005035E6"/>
    <w:rsid w:val="00504686"/>
    <w:rsid w:val="00505B48"/>
    <w:rsid w:val="0050628D"/>
    <w:rsid w:val="00513D9F"/>
    <w:rsid w:val="00516263"/>
    <w:rsid w:val="00516296"/>
    <w:rsid w:val="00517FCE"/>
    <w:rsid w:val="00521FE6"/>
    <w:rsid w:val="0052560B"/>
    <w:rsid w:val="005328BB"/>
    <w:rsid w:val="00533516"/>
    <w:rsid w:val="00533E3B"/>
    <w:rsid w:val="0053560B"/>
    <w:rsid w:val="005356F3"/>
    <w:rsid w:val="00536CB4"/>
    <w:rsid w:val="00543968"/>
    <w:rsid w:val="00545C20"/>
    <w:rsid w:val="005504A3"/>
    <w:rsid w:val="005531B8"/>
    <w:rsid w:val="00563B52"/>
    <w:rsid w:val="00564FC8"/>
    <w:rsid w:val="0056575A"/>
    <w:rsid w:val="00565A23"/>
    <w:rsid w:val="00566534"/>
    <w:rsid w:val="00567E9E"/>
    <w:rsid w:val="005718E7"/>
    <w:rsid w:val="00572827"/>
    <w:rsid w:val="00573607"/>
    <w:rsid w:val="005739A3"/>
    <w:rsid w:val="00575923"/>
    <w:rsid w:val="005769BC"/>
    <w:rsid w:val="00576D96"/>
    <w:rsid w:val="00576E6C"/>
    <w:rsid w:val="00577FA0"/>
    <w:rsid w:val="005805F9"/>
    <w:rsid w:val="0058190E"/>
    <w:rsid w:val="005850A8"/>
    <w:rsid w:val="005851AA"/>
    <w:rsid w:val="005870E1"/>
    <w:rsid w:val="00590430"/>
    <w:rsid w:val="00590B6F"/>
    <w:rsid w:val="005953F6"/>
    <w:rsid w:val="00595F0B"/>
    <w:rsid w:val="00596B0E"/>
    <w:rsid w:val="00596FCA"/>
    <w:rsid w:val="005970A8"/>
    <w:rsid w:val="0059726A"/>
    <w:rsid w:val="005A1C78"/>
    <w:rsid w:val="005A1FAB"/>
    <w:rsid w:val="005A3399"/>
    <w:rsid w:val="005A3A17"/>
    <w:rsid w:val="005A4A44"/>
    <w:rsid w:val="005A54DE"/>
    <w:rsid w:val="005A551A"/>
    <w:rsid w:val="005A5AFD"/>
    <w:rsid w:val="005A5B07"/>
    <w:rsid w:val="005A5E74"/>
    <w:rsid w:val="005A6B8D"/>
    <w:rsid w:val="005B11B8"/>
    <w:rsid w:val="005B3437"/>
    <w:rsid w:val="005B375C"/>
    <w:rsid w:val="005B3CBC"/>
    <w:rsid w:val="005B3D0E"/>
    <w:rsid w:val="005B566F"/>
    <w:rsid w:val="005B5D4A"/>
    <w:rsid w:val="005B60CB"/>
    <w:rsid w:val="005B6E53"/>
    <w:rsid w:val="005B7B8E"/>
    <w:rsid w:val="005C06B0"/>
    <w:rsid w:val="005C0B6C"/>
    <w:rsid w:val="005C1126"/>
    <w:rsid w:val="005C328E"/>
    <w:rsid w:val="005C3F7A"/>
    <w:rsid w:val="005C496F"/>
    <w:rsid w:val="005C5869"/>
    <w:rsid w:val="005C5FBF"/>
    <w:rsid w:val="005D06C1"/>
    <w:rsid w:val="005D196F"/>
    <w:rsid w:val="005D1C3C"/>
    <w:rsid w:val="005D5013"/>
    <w:rsid w:val="005D5C3A"/>
    <w:rsid w:val="005D5D99"/>
    <w:rsid w:val="005D7B11"/>
    <w:rsid w:val="005E1B4A"/>
    <w:rsid w:val="005E213E"/>
    <w:rsid w:val="005E6CD1"/>
    <w:rsid w:val="005E75B2"/>
    <w:rsid w:val="005F082F"/>
    <w:rsid w:val="005F4F53"/>
    <w:rsid w:val="005F60EF"/>
    <w:rsid w:val="005F7109"/>
    <w:rsid w:val="00601078"/>
    <w:rsid w:val="006028AB"/>
    <w:rsid w:val="00602DD2"/>
    <w:rsid w:val="006045EB"/>
    <w:rsid w:val="0060475D"/>
    <w:rsid w:val="00605D65"/>
    <w:rsid w:val="00607E1E"/>
    <w:rsid w:val="0061096B"/>
    <w:rsid w:val="00612D71"/>
    <w:rsid w:val="00613183"/>
    <w:rsid w:val="00615AF3"/>
    <w:rsid w:val="00615F75"/>
    <w:rsid w:val="00621193"/>
    <w:rsid w:val="006223FE"/>
    <w:rsid w:val="006228CE"/>
    <w:rsid w:val="006229DE"/>
    <w:rsid w:val="006229FD"/>
    <w:rsid w:val="006238DA"/>
    <w:rsid w:val="00623EE5"/>
    <w:rsid w:val="006244FB"/>
    <w:rsid w:val="00627EA7"/>
    <w:rsid w:val="006303F3"/>
    <w:rsid w:val="00630495"/>
    <w:rsid w:val="00634406"/>
    <w:rsid w:val="006356F2"/>
    <w:rsid w:val="006357EA"/>
    <w:rsid w:val="0063747D"/>
    <w:rsid w:val="00637B0E"/>
    <w:rsid w:val="006402E6"/>
    <w:rsid w:val="0064381E"/>
    <w:rsid w:val="00644331"/>
    <w:rsid w:val="00645D96"/>
    <w:rsid w:val="00646439"/>
    <w:rsid w:val="00646EF9"/>
    <w:rsid w:val="00647803"/>
    <w:rsid w:val="0065102A"/>
    <w:rsid w:val="00651424"/>
    <w:rsid w:val="00652D40"/>
    <w:rsid w:val="00653546"/>
    <w:rsid w:val="00653A94"/>
    <w:rsid w:val="006543E6"/>
    <w:rsid w:val="006548D1"/>
    <w:rsid w:val="00660345"/>
    <w:rsid w:val="006676E9"/>
    <w:rsid w:val="0067096F"/>
    <w:rsid w:val="006710B4"/>
    <w:rsid w:val="00672C7E"/>
    <w:rsid w:val="006753D0"/>
    <w:rsid w:val="00676859"/>
    <w:rsid w:val="00677613"/>
    <w:rsid w:val="00677904"/>
    <w:rsid w:val="0068056A"/>
    <w:rsid w:val="0068208E"/>
    <w:rsid w:val="0068593F"/>
    <w:rsid w:val="00686ED3"/>
    <w:rsid w:val="00687829"/>
    <w:rsid w:val="00693A69"/>
    <w:rsid w:val="00694E43"/>
    <w:rsid w:val="00696769"/>
    <w:rsid w:val="0069722B"/>
    <w:rsid w:val="0069749C"/>
    <w:rsid w:val="006977EB"/>
    <w:rsid w:val="006A006F"/>
    <w:rsid w:val="006A19C1"/>
    <w:rsid w:val="006A2053"/>
    <w:rsid w:val="006A20C8"/>
    <w:rsid w:val="006A6856"/>
    <w:rsid w:val="006A6A66"/>
    <w:rsid w:val="006A765A"/>
    <w:rsid w:val="006A78CD"/>
    <w:rsid w:val="006A7C38"/>
    <w:rsid w:val="006B1635"/>
    <w:rsid w:val="006B6100"/>
    <w:rsid w:val="006C0383"/>
    <w:rsid w:val="006C1A22"/>
    <w:rsid w:val="006C4441"/>
    <w:rsid w:val="006C4EA1"/>
    <w:rsid w:val="006C50CD"/>
    <w:rsid w:val="006C569C"/>
    <w:rsid w:val="006C7A44"/>
    <w:rsid w:val="006D47DD"/>
    <w:rsid w:val="006D5EED"/>
    <w:rsid w:val="006D623D"/>
    <w:rsid w:val="006D69C0"/>
    <w:rsid w:val="006E1617"/>
    <w:rsid w:val="006E4888"/>
    <w:rsid w:val="006E49EA"/>
    <w:rsid w:val="006E5104"/>
    <w:rsid w:val="006E74A1"/>
    <w:rsid w:val="006F160B"/>
    <w:rsid w:val="006F1F21"/>
    <w:rsid w:val="006F22C8"/>
    <w:rsid w:val="006F3313"/>
    <w:rsid w:val="006F3800"/>
    <w:rsid w:val="006F3E91"/>
    <w:rsid w:val="006F6455"/>
    <w:rsid w:val="006F66F6"/>
    <w:rsid w:val="00702D5A"/>
    <w:rsid w:val="00703372"/>
    <w:rsid w:val="007066DB"/>
    <w:rsid w:val="007069CD"/>
    <w:rsid w:val="00706EE1"/>
    <w:rsid w:val="00710194"/>
    <w:rsid w:val="00710A30"/>
    <w:rsid w:val="0071142A"/>
    <w:rsid w:val="00713D7B"/>
    <w:rsid w:val="0071509A"/>
    <w:rsid w:val="00717BDA"/>
    <w:rsid w:val="00720ECF"/>
    <w:rsid w:val="00720F57"/>
    <w:rsid w:val="007221F6"/>
    <w:rsid w:val="007237DB"/>
    <w:rsid w:val="00725551"/>
    <w:rsid w:val="00726942"/>
    <w:rsid w:val="0072767A"/>
    <w:rsid w:val="00727B88"/>
    <w:rsid w:val="007320A1"/>
    <w:rsid w:val="00733707"/>
    <w:rsid w:val="0073447B"/>
    <w:rsid w:val="007367C7"/>
    <w:rsid w:val="0073696F"/>
    <w:rsid w:val="007369D2"/>
    <w:rsid w:val="00736C5F"/>
    <w:rsid w:val="00737833"/>
    <w:rsid w:val="007405A4"/>
    <w:rsid w:val="00742A4B"/>
    <w:rsid w:val="007471D8"/>
    <w:rsid w:val="0075014F"/>
    <w:rsid w:val="007505CB"/>
    <w:rsid w:val="00753C0C"/>
    <w:rsid w:val="00754726"/>
    <w:rsid w:val="00756AB1"/>
    <w:rsid w:val="007572B9"/>
    <w:rsid w:val="00760F3C"/>
    <w:rsid w:val="0076121C"/>
    <w:rsid w:val="007625AA"/>
    <w:rsid w:val="0076344E"/>
    <w:rsid w:val="0076531D"/>
    <w:rsid w:val="00766400"/>
    <w:rsid w:val="00766DAD"/>
    <w:rsid w:val="00771F77"/>
    <w:rsid w:val="0077251B"/>
    <w:rsid w:val="00772523"/>
    <w:rsid w:val="00773205"/>
    <w:rsid w:val="00775416"/>
    <w:rsid w:val="00775B2E"/>
    <w:rsid w:val="0077608D"/>
    <w:rsid w:val="00776AFC"/>
    <w:rsid w:val="00777C58"/>
    <w:rsid w:val="00781B8D"/>
    <w:rsid w:val="00784D9D"/>
    <w:rsid w:val="00794228"/>
    <w:rsid w:val="00795C5B"/>
    <w:rsid w:val="00796BA2"/>
    <w:rsid w:val="00796BA8"/>
    <w:rsid w:val="00796C90"/>
    <w:rsid w:val="007A03A3"/>
    <w:rsid w:val="007A244D"/>
    <w:rsid w:val="007A3932"/>
    <w:rsid w:val="007A3EF2"/>
    <w:rsid w:val="007A47F8"/>
    <w:rsid w:val="007A5F6B"/>
    <w:rsid w:val="007B0414"/>
    <w:rsid w:val="007B1749"/>
    <w:rsid w:val="007B2FB5"/>
    <w:rsid w:val="007B3182"/>
    <w:rsid w:val="007B3954"/>
    <w:rsid w:val="007B4494"/>
    <w:rsid w:val="007B60C7"/>
    <w:rsid w:val="007B7864"/>
    <w:rsid w:val="007C12C9"/>
    <w:rsid w:val="007C4EEB"/>
    <w:rsid w:val="007C5EFA"/>
    <w:rsid w:val="007D1310"/>
    <w:rsid w:val="007D1CF4"/>
    <w:rsid w:val="007D28B6"/>
    <w:rsid w:val="007D3352"/>
    <w:rsid w:val="007D68B9"/>
    <w:rsid w:val="007E119A"/>
    <w:rsid w:val="007E3D4B"/>
    <w:rsid w:val="007E4576"/>
    <w:rsid w:val="007F1384"/>
    <w:rsid w:val="007F4FED"/>
    <w:rsid w:val="007F59DB"/>
    <w:rsid w:val="007F5E3F"/>
    <w:rsid w:val="007F6E87"/>
    <w:rsid w:val="0080032B"/>
    <w:rsid w:val="008032E3"/>
    <w:rsid w:val="008050CE"/>
    <w:rsid w:val="0080558E"/>
    <w:rsid w:val="008065D5"/>
    <w:rsid w:val="00806730"/>
    <w:rsid w:val="008067D1"/>
    <w:rsid w:val="008106D3"/>
    <w:rsid w:val="008163C6"/>
    <w:rsid w:val="0081786F"/>
    <w:rsid w:val="008233DA"/>
    <w:rsid w:val="00823AED"/>
    <w:rsid w:val="008260E6"/>
    <w:rsid w:val="00827CDF"/>
    <w:rsid w:val="008307A8"/>
    <w:rsid w:val="00831BA5"/>
    <w:rsid w:val="008341A2"/>
    <w:rsid w:val="00840844"/>
    <w:rsid w:val="008411C8"/>
    <w:rsid w:val="00842578"/>
    <w:rsid w:val="0084284E"/>
    <w:rsid w:val="0084355F"/>
    <w:rsid w:val="00843830"/>
    <w:rsid w:val="00843EEA"/>
    <w:rsid w:val="008462E2"/>
    <w:rsid w:val="00847348"/>
    <w:rsid w:val="008507B1"/>
    <w:rsid w:val="00852665"/>
    <w:rsid w:val="00852E52"/>
    <w:rsid w:val="00854181"/>
    <w:rsid w:val="0085517A"/>
    <w:rsid w:val="00855C8E"/>
    <w:rsid w:val="00857FCB"/>
    <w:rsid w:val="008617DB"/>
    <w:rsid w:val="008639FA"/>
    <w:rsid w:val="00863B29"/>
    <w:rsid w:val="00864BA0"/>
    <w:rsid w:val="00865D69"/>
    <w:rsid w:val="0086607A"/>
    <w:rsid w:val="008667EA"/>
    <w:rsid w:val="008702D6"/>
    <w:rsid w:val="00873BB0"/>
    <w:rsid w:val="00875042"/>
    <w:rsid w:val="00876BDE"/>
    <w:rsid w:val="00876F13"/>
    <w:rsid w:val="00877D0B"/>
    <w:rsid w:val="00880D73"/>
    <w:rsid w:val="00881262"/>
    <w:rsid w:val="00881900"/>
    <w:rsid w:val="00883175"/>
    <w:rsid w:val="008835C5"/>
    <w:rsid w:val="008836A2"/>
    <w:rsid w:val="0088411C"/>
    <w:rsid w:val="008848B4"/>
    <w:rsid w:val="00885D1E"/>
    <w:rsid w:val="0088609E"/>
    <w:rsid w:val="00891097"/>
    <w:rsid w:val="00893608"/>
    <w:rsid w:val="0089446E"/>
    <w:rsid w:val="00894D9F"/>
    <w:rsid w:val="00895E77"/>
    <w:rsid w:val="00896CF7"/>
    <w:rsid w:val="00897BAB"/>
    <w:rsid w:val="008A0A64"/>
    <w:rsid w:val="008A402A"/>
    <w:rsid w:val="008A69A3"/>
    <w:rsid w:val="008B2D01"/>
    <w:rsid w:val="008B499E"/>
    <w:rsid w:val="008B59DC"/>
    <w:rsid w:val="008C6C91"/>
    <w:rsid w:val="008C7611"/>
    <w:rsid w:val="008D02B6"/>
    <w:rsid w:val="008D12AC"/>
    <w:rsid w:val="008D16A3"/>
    <w:rsid w:val="008D2989"/>
    <w:rsid w:val="008D36DD"/>
    <w:rsid w:val="008D5A53"/>
    <w:rsid w:val="008D5B3E"/>
    <w:rsid w:val="008D5C5F"/>
    <w:rsid w:val="008D5C74"/>
    <w:rsid w:val="008D60DC"/>
    <w:rsid w:val="008D65E3"/>
    <w:rsid w:val="008E06DC"/>
    <w:rsid w:val="008E2F91"/>
    <w:rsid w:val="008E42EE"/>
    <w:rsid w:val="008E4F31"/>
    <w:rsid w:val="008E67DA"/>
    <w:rsid w:val="008F17A1"/>
    <w:rsid w:val="008F227F"/>
    <w:rsid w:val="008F5237"/>
    <w:rsid w:val="008F54BC"/>
    <w:rsid w:val="008F6544"/>
    <w:rsid w:val="008F6968"/>
    <w:rsid w:val="008F6C19"/>
    <w:rsid w:val="00900235"/>
    <w:rsid w:val="00900C94"/>
    <w:rsid w:val="00900FBE"/>
    <w:rsid w:val="00901C10"/>
    <w:rsid w:val="009036F4"/>
    <w:rsid w:val="0090406B"/>
    <w:rsid w:val="00905443"/>
    <w:rsid w:val="009054D8"/>
    <w:rsid w:val="0090609E"/>
    <w:rsid w:val="00906199"/>
    <w:rsid w:val="00906AA9"/>
    <w:rsid w:val="00907DDC"/>
    <w:rsid w:val="00910FDC"/>
    <w:rsid w:val="00913CAE"/>
    <w:rsid w:val="00915A98"/>
    <w:rsid w:val="0091641B"/>
    <w:rsid w:val="009167EB"/>
    <w:rsid w:val="00920129"/>
    <w:rsid w:val="0092127F"/>
    <w:rsid w:val="0092253C"/>
    <w:rsid w:val="00922C1E"/>
    <w:rsid w:val="00923B51"/>
    <w:rsid w:val="009251A5"/>
    <w:rsid w:val="00925F2D"/>
    <w:rsid w:val="009275E4"/>
    <w:rsid w:val="00930A26"/>
    <w:rsid w:val="009311E7"/>
    <w:rsid w:val="00932335"/>
    <w:rsid w:val="009369A9"/>
    <w:rsid w:val="00945A96"/>
    <w:rsid w:val="00947E46"/>
    <w:rsid w:val="00960B91"/>
    <w:rsid w:val="0096106C"/>
    <w:rsid w:val="00961BAF"/>
    <w:rsid w:val="0096376D"/>
    <w:rsid w:val="00963FAC"/>
    <w:rsid w:val="0096540C"/>
    <w:rsid w:val="009657F5"/>
    <w:rsid w:val="009658CF"/>
    <w:rsid w:val="00965EF2"/>
    <w:rsid w:val="00971954"/>
    <w:rsid w:val="00972107"/>
    <w:rsid w:val="0097267D"/>
    <w:rsid w:val="00975E51"/>
    <w:rsid w:val="009762B6"/>
    <w:rsid w:val="0097638B"/>
    <w:rsid w:val="00981F23"/>
    <w:rsid w:val="0098293A"/>
    <w:rsid w:val="00982BA6"/>
    <w:rsid w:val="00986E2A"/>
    <w:rsid w:val="009932F7"/>
    <w:rsid w:val="00993428"/>
    <w:rsid w:val="00996463"/>
    <w:rsid w:val="00996759"/>
    <w:rsid w:val="009A306C"/>
    <w:rsid w:val="009A433F"/>
    <w:rsid w:val="009A4DF2"/>
    <w:rsid w:val="009A6CE6"/>
    <w:rsid w:val="009A76E4"/>
    <w:rsid w:val="009B24DF"/>
    <w:rsid w:val="009B341C"/>
    <w:rsid w:val="009C28C2"/>
    <w:rsid w:val="009C314A"/>
    <w:rsid w:val="009C3807"/>
    <w:rsid w:val="009C41A9"/>
    <w:rsid w:val="009C43D5"/>
    <w:rsid w:val="009C60EE"/>
    <w:rsid w:val="009C6885"/>
    <w:rsid w:val="009D0A52"/>
    <w:rsid w:val="009D107A"/>
    <w:rsid w:val="009D326E"/>
    <w:rsid w:val="009D6A5A"/>
    <w:rsid w:val="009E175F"/>
    <w:rsid w:val="009E19A2"/>
    <w:rsid w:val="009E312E"/>
    <w:rsid w:val="009E4A5F"/>
    <w:rsid w:val="009E6A16"/>
    <w:rsid w:val="009E6EDE"/>
    <w:rsid w:val="009E734E"/>
    <w:rsid w:val="009E7743"/>
    <w:rsid w:val="009E777A"/>
    <w:rsid w:val="009F01AE"/>
    <w:rsid w:val="009F02DB"/>
    <w:rsid w:val="009F0C4E"/>
    <w:rsid w:val="009F1B44"/>
    <w:rsid w:val="009F4A11"/>
    <w:rsid w:val="009F59E1"/>
    <w:rsid w:val="009F7288"/>
    <w:rsid w:val="009F7344"/>
    <w:rsid w:val="009F74E7"/>
    <w:rsid w:val="00A01A6A"/>
    <w:rsid w:val="00A02265"/>
    <w:rsid w:val="00A05669"/>
    <w:rsid w:val="00A10203"/>
    <w:rsid w:val="00A1133B"/>
    <w:rsid w:val="00A11E6C"/>
    <w:rsid w:val="00A14745"/>
    <w:rsid w:val="00A15FF3"/>
    <w:rsid w:val="00A16042"/>
    <w:rsid w:val="00A177A2"/>
    <w:rsid w:val="00A20471"/>
    <w:rsid w:val="00A21829"/>
    <w:rsid w:val="00A238E0"/>
    <w:rsid w:val="00A242EE"/>
    <w:rsid w:val="00A2631F"/>
    <w:rsid w:val="00A26BF2"/>
    <w:rsid w:val="00A277E9"/>
    <w:rsid w:val="00A3020B"/>
    <w:rsid w:val="00A30514"/>
    <w:rsid w:val="00A30BC5"/>
    <w:rsid w:val="00A31152"/>
    <w:rsid w:val="00A32A48"/>
    <w:rsid w:val="00A32CC8"/>
    <w:rsid w:val="00A333E7"/>
    <w:rsid w:val="00A344D2"/>
    <w:rsid w:val="00A34CA9"/>
    <w:rsid w:val="00A36715"/>
    <w:rsid w:val="00A43E42"/>
    <w:rsid w:val="00A44EE9"/>
    <w:rsid w:val="00A45C1F"/>
    <w:rsid w:val="00A45EAC"/>
    <w:rsid w:val="00A51269"/>
    <w:rsid w:val="00A51EE8"/>
    <w:rsid w:val="00A51FDE"/>
    <w:rsid w:val="00A524DB"/>
    <w:rsid w:val="00A530DF"/>
    <w:rsid w:val="00A56603"/>
    <w:rsid w:val="00A60B06"/>
    <w:rsid w:val="00A61837"/>
    <w:rsid w:val="00A61BED"/>
    <w:rsid w:val="00A62C88"/>
    <w:rsid w:val="00A6384D"/>
    <w:rsid w:val="00A644AF"/>
    <w:rsid w:val="00A644E0"/>
    <w:rsid w:val="00A64DC6"/>
    <w:rsid w:val="00A652A5"/>
    <w:rsid w:val="00A66EB0"/>
    <w:rsid w:val="00A704D9"/>
    <w:rsid w:val="00A705D1"/>
    <w:rsid w:val="00A72129"/>
    <w:rsid w:val="00A75131"/>
    <w:rsid w:val="00A7535A"/>
    <w:rsid w:val="00A76393"/>
    <w:rsid w:val="00A76ABC"/>
    <w:rsid w:val="00A82284"/>
    <w:rsid w:val="00A82CA0"/>
    <w:rsid w:val="00A82D6D"/>
    <w:rsid w:val="00A83EEE"/>
    <w:rsid w:val="00A851BF"/>
    <w:rsid w:val="00A86230"/>
    <w:rsid w:val="00A86E62"/>
    <w:rsid w:val="00A93419"/>
    <w:rsid w:val="00A940F1"/>
    <w:rsid w:val="00A95CC4"/>
    <w:rsid w:val="00AA0B0E"/>
    <w:rsid w:val="00AA1625"/>
    <w:rsid w:val="00AA1E96"/>
    <w:rsid w:val="00AA2905"/>
    <w:rsid w:val="00AA389B"/>
    <w:rsid w:val="00AA4FBB"/>
    <w:rsid w:val="00AA577E"/>
    <w:rsid w:val="00AA761E"/>
    <w:rsid w:val="00AB5726"/>
    <w:rsid w:val="00AB698F"/>
    <w:rsid w:val="00AB6BA5"/>
    <w:rsid w:val="00AB7901"/>
    <w:rsid w:val="00AC1E2D"/>
    <w:rsid w:val="00AC25AB"/>
    <w:rsid w:val="00AC352B"/>
    <w:rsid w:val="00AC7755"/>
    <w:rsid w:val="00AD0EFE"/>
    <w:rsid w:val="00AD3918"/>
    <w:rsid w:val="00AD57C3"/>
    <w:rsid w:val="00AD6431"/>
    <w:rsid w:val="00AD78AC"/>
    <w:rsid w:val="00AD7B5C"/>
    <w:rsid w:val="00AE3704"/>
    <w:rsid w:val="00AE5142"/>
    <w:rsid w:val="00AE582C"/>
    <w:rsid w:val="00AF1835"/>
    <w:rsid w:val="00AF342D"/>
    <w:rsid w:val="00AF473C"/>
    <w:rsid w:val="00AF5349"/>
    <w:rsid w:val="00AF6057"/>
    <w:rsid w:val="00AF6790"/>
    <w:rsid w:val="00AF7834"/>
    <w:rsid w:val="00AF7E3F"/>
    <w:rsid w:val="00B0003D"/>
    <w:rsid w:val="00B01CEC"/>
    <w:rsid w:val="00B02887"/>
    <w:rsid w:val="00B0677B"/>
    <w:rsid w:val="00B06CC9"/>
    <w:rsid w:val="00B14474"/>
    <w:rsid w:val="00B1461D"/>
    <w:rsid w:val="00B1569D"/>
    <w:rsid w:val="00B161C6"/>
    <w:rsid w:val="00B16A94"/>
    <w:rsid w:val="00B17A32"/>
    <w:rsid w:val="00B2081D"/>
    <w:rsid w:val="00B218C1"/>
    <w:rsid w:val="00B22879"/>
    <w:rsid w:val="00B2483E"/>
    <w:rsid w:val="00B26A1C"/>
    <w:rsid w:val="00B279F7"/>
    <w:rsid w:val="00B302CD"/>
    <w:rsid w:val="00B30669"/>
    <w:rsid w:val="00B30B03"/>
    <w:rsid w:val="00B30F75"/>
    <w:rsid w:val="00B31D6D"/>
    <w:rsid w:val="00B365E1"/>
    <w:rsid w:val="00B36C22"/>
    <w:rsid w:val="00B4023A"/>
    <w:rsid w:val="00B40AEB"/>
    <w:rsid w:val="00B428D4"/>
    <w:rsid w:val="00B42AEB"/>
    <w:rsid w:val="00B43F00"/>
    <w:rsid w:val="00B44706"/>
    <w:rsid w:val="00B449C9"/>
    <w:rsid w:val="00B45422"/>
    <w:rsid w:val="00B45606"/>
    <w:rsid w:val="00B45E2B"/>
    <w:rsid w:val="00B47741"/>
    <w:rsid w:val="00B530C4"/>
    <w:rsid w:val="00B53483"/>
    <w:rsid w:val="00B53A4B"/>
    <w:rsid w:val="00B54B97"/>
    <w:rsid w:val="00B55401"/>
    <w:rsid w:val="00B56423"/>
    <w:rsid w:val="00B634B4"/>
    <w:rsid w:val="00B64ECE"/>
    <w:rsid w:val="00B70257"/>
    <w:rsid w:val="00B70809"/>
    <w:rsid w:val="00B71B33"/>
    <w:rsid w:val="00B73104"/>
    <w:rsid w:val="00B7399F"/>
    <w:rsid w:val="00B74FB2"/>
    <w:rsid w:val="00B7586D"/>
    <w:rsid w:val="00B76328"/>
    <w:rsid w:val="00B764D4"/>
    <w:rsid w:val="00B76BFB"/>
    <w:rsid w:val="00B76C9F"/>
    <w:rsid w:val="00B82A20"/>
    <w:rsid w:val="00B86832"/>
    <w:rsid w:val="00B86D92"/>
    <w:rsid w:val="00B87176"/>
    <w:rsid w:val="00B93DF4"/>
    <w:rsid w:val="00B93F16"/>
    <w:rsid w:val="00B94B6E"/>
    <w:rsid w:val="00B94CEC"/>
    <w:rsid w:val="00B950DF"/>
    <w:rsid w:val="00B95F18"/>
    <w:rsid w:val="00B97978"/>
    <w:rsid w:val="00BA0C09"/>
    <w:rsid w:val="00BA1B99"/>
    <w:rsid w:val="00BA3963"/>
    <w:rsid w:val="00BA3D20"/>
    <w:rsid w:val="00BA3FAE"/>
    <w:rsid w:val="00BA400B"/>
    <w:rsid w:val="00BA5378"/>
    <w:rsid w:val="00BA59FB"/>
    <w:rsid w:val="00BA7CD4"/>
    <w:rsid w:val="00BB01D7"/>
    <w:rsid w:val="00BB0438"/>
    <w:rsid w:val="00BB0F11"/>
    <w:rsid w:val="00BB1DCC"/>
    <w:rsid w:val="00BB25DB"/>
    <w:rsid w:val="00BB3037"/>
    <w:rsid w:val="00BB43EB"/>
    <w:rsid w:val="00BB490E"/>
    <w:rsid w:val="00BB5DAF"/>
    <w:rsid w:val="00BB6F02"/>
    <w:rsid w:val="00BB7411"/>
    <w:rsid w:val="00BC01C7"/>
    <w:rsid w:val="00BC0CF0"/>
    <w:rsid w:val="00BC227C"/>
    <w:rsid w:val="00BC5B44"/>
    <w:rsid w:val="00BC73A0"/>
    <w:rsid w:val="00BD3C3D"/>
    <w:rsid w:val="00BD3CF3"/>
    <w:rsid w:val="00BD479C"/>
    <w:rsid w:val="00BD53C5"/>
    <w:rsid w:val="00BD6099"/>
    <w:rsid w:val="00BD7E25"/>
    <w:rsid w:val="00BE0030"/>
    <w:rsid w:val="00BE0509"/>
    <w:rsid w:val="00BE34D1"/>
    <w:rsid w:val="00BE3B62"/>
    <w:rsid w:val="00BE3C15"/>
    <w:rsid w:val="00BE4A2A"/>
    <w:rsid w:val="00BE58D5"/>
    <w:rsid w:val="00BE60F5"/>
    <w:rsid w:val="00BE6CE6"/>
    <w:rsid w:val="00BE7CF3"/>
    <w:rsid w:val="00BF23CD"/>
    <w:rsid w:val="00BF39EF"/>
    <w:rsid w:val="00BF412B"/>
    <w:rsid w:val="00C0113D"/>
    <w:rsid w:val="00C0136E"/>
    <w:rsid w:val="00C01434"/>
    <w:rsid w:val="00C019E2"/>
    <w:rsid w:val="00C0248C"/>
    <w:rsid w:val="00C04100"/>
    <w:rsid w:val="00C055D0"/>
    <w:rsid w:val="00C05C7C"/>
    <w:rsid w:val="00C05F98"/>
    <w:rsid w:val="00C10719"/>
    <w:rsid w:val="00C10778"/>
    <w:rsid w:val="00C10AC4"/>
    <w:rsid w:val="00C10B27"/>
    <w:rsid w:val="00C118E2"/>
    <w:rsid w:val="00C121B0"/>
    <w:rsid w:val="00C12C16"/>
    <w:rsid w:val="00C15962"/>
    <w:rsid w:val="00C16BE0"/>
    <w:rsid w:val="00C16C62"/>
    <w:rsid w:val="00C170A9"/>
    <w:rsid w:val="00C1726F"/>
    <w:rsid w:val="00C17708"/>
    <w:rsid w:val="00C17809"/>
    <w:rsid w:val="00C20FD6"/>
    <w:rsid w:val="00C23415"/>
    <w:rsid w:val="00C2353E"/>
    <w:rsid w:val="00C23C20"/>
    <w:rsid w:val="00C24B0F"/>
    <w:rsid w:val="00C25CA1"/>
    <w:rsid w:val="00C266EC"/>
    <w:rsid w:val="00C27A19"/>
    <w:rsid w:val="00C3265A"/>
    <w:rsid w:val="00C32BD8"/>
    <w:rsid w:val="00C32F61"/>
    <w:rsid w:val="00C33273"/>
    <w:rsid w:val="00C34EBB"/>
    <w:rsid w:val="00C35876"/>
    <w:rsid w:val="00C36438"/>
    <w:rsid w:val="00C37B08"/>
    <w:rsid w:val="00C403B9"/>
    <w:rsid w:val="00C41BAD"/>
    <w:rsid w:val="00C421CF"/>
    <w:rsid w:val="00C422E7"/>
    <w:rsid w:val="00C42333"/>
    <w:rsid w:val="00C42A80"/>
    <w:rsid w:val="00C44D47"/>
    <w:rsid w:val="00C47356"/>
    <w:rsid w:val="00C51C46"/>
    <w:rsid w:val="00C53D28"/>
    <w:rsid w:val="00C53EA1"/>
    <w:rsid w:val="00C5581D"/>
    <w:rsid w:val="00C576DA"/>
    <w:rsid w:val="00C57C4D"/>
    <w:rsid w:val="00C57E8E"/>
    <w:rsid w:val="00C60067"/>
    <w:rsid w:val="00C63532"/>
    <w:rsid w:val="00C642F2"/>
    <w:rsid w:val="00C64D1D"/>
    <w:rsid w:val="00C65CD1"/>
    <w:rsid w:val="00C674C2"/>
    <w:rsid w:val="00C6766C"/>
    <w:rsid w:val="00C67B7F"/>
    <w:rsid w:val="00C7125A"/>
    <w:rsid w:val="00C71B67"/>
    <w:rsid w:val="00C7346B"/>
    <w:rsid w:val="00C73CB1"/>
    <w:rsid w:val="00C74AAC"/>
    <w:rsid w:val="00C7765D"/>
    <w:rsid w:val="00C77EE8"/>
    <w:rsid w:val="00C82055"/>
    <w:rsid w:val="00C83B8F"/>
    <w:rsid w:val="00C83D1F"/>
    <w:rsid w:val="00C85B69"/>
    <w:rsid w:val="00C87885"/>
    <w:rsid w:val="00C879FF"/>
    <w:rsid w:val="00C902F4"/>
    <w:rsid w:val="00C918F5"/>
    <w:rsid w:val="00C92831"/>
    <w:rsid w:val="00C930D5"/>
    <w:rsid w:val="00C9518B"/>
    <w:rsid w:val="00C95CA1"/>
    <w:rsid w:val="00C964F2"/>
    <w:rsid w:val="00C97F3B"/>
    <w:rsid w:val="00CA0509"/>
    <w:rsid w:val="00CA235F"/>
    <w:rsid w:val="00CA24F7"/>
    <w:rsid w:val="00CA70F4"/>
    <w:rsid w:val="00CB2B63"/>
    <w:rsid w:val="00CB2E73"/>
    <w:rsid w:val="00CB429F"/>
    <w:rsid w:val="00CB5CFC"/>
    <w:rsid w:val="00CB6D44"/>
    <w:rsid w:val="00CB766A"/>
    <w:rsid w:val="00CC0908"/>
    <w:rsid w:val="00CC09AF"/>
    <w:rsid w:val="00CC1329"/>
    <w:rsid w:val="00CC1BFE"/>
    <w:rsid w:val="00CC22F4"/>
    <w:rsid w:val="00CC26BA"/>
    <w:rsid w:val="00CC2D9C"/>
    <w:rsid w:val="00CC33A8"/>
    <w:rsid w:val="00CC3EF0"/>
    <w:rsid w:val="00CC3FDC"/>
    <w:rsid w:val="00CC5B48"/>
    <w:rsid w:val="00CD19FB"/>
    <w:rsid w:val="00CD3DC2"/>
    <w:rsid w:val="00CD442C"/>
    <w:rsid w:val="00CD47ED"/>
    <w:rsid w:val="00CD504D"/>
    <w:rsid w:val="00CD5E4C"/>
    <w:rsid w:val="00CE7A1F"/>
    <w:rsid w:val="00CF2819"/>
    <w:rsid w:val="00CF37D1"/>
    <w:rsid w:val="00CF7C3D"/>
    <w:rsid w:val="00D01CBF"/>
    <w:rsid w:val="00D03D91"/>
    <w:rsid w:val="00D04B86"/>
    <w:rsid w:val="00D078CB"/>
    <w:rsid w:val="00D07BB7"/>
    <w:rsid w:val="00D162D4"/>
    <w:rsid w:val="00D2086F"/>
    <w:rsid w:val="00D224B0"/>
    <w:rsid w:val="00D22755"/>
    <w:rsid w:val="00D23212"/>
    <w:rsid w:val="00D24994"/>
    <w:rsid w:val="00D25984"/>
    <w:rsid w:val="00D30039"/>
    <w:rsid w:val="00D30ABA"/>
    <w:rsid w:val="00D34E7F"/>
    <w:rsid w:val="00D40219"/>
    <w:rsid w:val="00D402EA"/>
    <w:rsid w:val="00D40814"/>
    <w:rsid w:val="00D4088B"/>
    <w:rsid w:val="00D43617"/>
    <w:rsid w:val="00D4384C"/>
    <w:rsid w:val="00D457F0"/>
    <w:rsid w:val="00D4589F"/>
    <w:rsid w:val="00D466C7"/>
    <w:rsid w:val="00D46CD2"/>
    <w:rsid w:val="00D46D49"/>
    <w:rsid w:val="00D46DB4"/>
    <w:rsid w:val="00D478EA"/>
    <w:rsid w:val="00D5004C"/>
    <w:rsid w:val="00D507DC"/>
    <w:rsid w:val="00D51521"/>
    <w:rsid w:val="00D51BFD"/>
    <w:rsid w:val="00D51E0C"/>
    <w:rsid w:val="00D52C16"/>
    <w:rsid w:val="00D53495"/>
    <w:rsid w:val="00D53B8D"/>
    <w:rsid w:val="00D54DDD"/>
    <w:rsid w:val="00D564AB"/>
    <w:rsid w:val="00D57B40"/>
    <w:rsid w:val="00D6383B"/>
    <w:rsid w:val="00D64A17"/>
    <w:rsid w:val="00D64F33"/>
    <w:rsid w:val="00D65959"/>
    <w:rsid w:val="00D65E14"/>
    <w:rsid w:val="00D65E7E"/>
    <w:rsid w:val="00D67A97"/>
    <w:rsid w:val="00D70381"/>
    <w:rsid w:val="00D707AB"/>
    <w:rsid w:val="00D70EB5"/>
    <w:rsid w:val="00D71EF2"/>
    <w:rsid w:val="00D742BB"/>
    <w:rsid w:val="00D77693"/>
    <w:rsid w:val="00D820FD"/>
    <w:rsid w:val="00D823A4"/>
    <w:rsid w:val="00D83502"/>
    <w:rsid w:val="00D83D0F"/>
    <w:rsid w:val="00D8425F"/>
    <w:rsid w:val="00D868D8"/>
    <w:rsid w:val="00D875B0"/>
    <w:rsid w:val="00D90048"/>
    <w:rsid w:val="00D9018A"/>
    <w:rsid w:val="00D90A00"/>
    <w:rsid w:val="00D93ACD"/>
    <w:rsid w:val="00D93CB2"/>
    <w:rsid w:val="00D9598F"/>
    <w:rsid w:val="00D977D5"/>
    <w:rsid w:val="00DA3346"/>
    <w:rsid w:val="00DA4ED0"/>
    <w:rsid w:val="00DB1043"/>
    <w:rsid w:val="00DB17D1"/>
    <w:rsid w:val="00DB1E96"/>
    <w:rsid w:val="00DB26F7"/>
    <w:rsid w:val="00DB2C33"/>
    <w:rsid w:val="00DB2E32"/>
    <w:rsid w:val="00DB3701"/>
    <w:rsid w:val="00DB43F2"/>
    <w:rsid w:val="00DB6C1C"/>
    <w:rsid w:val="00DB7381"/>
    <w:rsid w:val="00DB73D7"/>
    <w:rsid w:val="00DC24DB"/>
    <w:rsid w:val="00DC30E4"/>
    <w:rsid w:val="00DC5E93"/>
    <w:rsid w:val="00DD4333"/>
    <w:rsid w:val="00DD4494"/>
    <w:rsid w:val="00DD4AB3"/>
    <w:rsid w:val="00DD5C97"/>
    <w:rsid w:val="00DD5FC9"/>
    <w:rsid w:val="00DD67DF"/>
    <w:rsid w:val="00DE189E"/>
    <w:rsid w:val="00DE1BA4"/>
    <w:rsid w:val="00DE259D"/>
    <w:rsid w:val="00DE447F"/>
    <w:rsid w:val="00DE457F"/>
    <w:rsid w:val="00DE4CFF"/>
    <w:rsid w:val="00DE642A"/>
    <w:rsid w:val="00DF0209"/>
    <w:rsid w:val="00DF1DD1"/>
    <w:rsid w:val="00DF2A8E"/>
    <w:rsid w:val="00DF3CF4"/>
    <w:rsid w:val="00DF416C"/>
    <w:rsid w:val="00DF44B8"/>
    <w:rsid w:val="00DF56AF"/>
    <w:rsid w:val="00DF6A89"/>
    <w:rsid w:val="00DF6AFD"/>
    <w:rsid w:val="00DF71B8"/>
    <w:rsid w:val="00DF79E7"/>
    <w:rsid w:val="00E03612"/>
    <w:rsid w:val="00E10F2A"/>
    <w:rsid w:val="00E12B8A"/>
    <w:rsid w:val="00E1311A"/>
    <w:rsid w:val="00E13143"/>
    <w:rsid w:val="00E13C3B"/>
    <w:rsid w:val="00E1452C"/>
    <w:rsid w:val="00E1513A"/>
    <w:rsid w:val="00E1555F"/>
    <w:rsid w:val="00E16167"/>
    <w:rsid w:val="00E16693"/>
    <w:rsid w:val="00E17129"/>
    <w:rsid w:val="00E20DE6"/>
    <w:rsid w:val="00E22425"/>
    <w:rsid w:val="00E22EC7"/>
    <w:rsid w:val="00E27C1D"/>
    <w:rsid w:val="00E30CEE"/>
    <w:rsid w:val="00E32239"/>
    <w:rsid w:val="00E34646"/>
    <w:rsid w:val="00E349F2"/>
    <w:rsid w:val="00E34A69"/>
    <w:rsid w:val="00E358AD"/>
    <w:rsid w:val="00E35C99"/>
    <w:rsid w:val="00E37AA0"/>
    <w:rsid w:val="00E40297"/>
    <w:rsid w:val="00E406BB"/>
    <w:rsid w:val="00E41356"/>
    <w:rsid w:val="00E415FC"/>
    <w:rsid w:val="00E42753"/>
    <w:rsid w:val="00E44CB4"/>
    <w:rsid w:val="00E47D52"/>
    <w:rsid w:val="00E5045E"/>
    <w:rsid w:val="00E51308"/>
    <w:rsid w:val="00E53B19"/>
    <w:rsid w:val="00E53EFE"/>
    <w:rsid w:val="00E55EBC"/>
    <w:rsid w:val="00E573A8"/>
    <w:rsid w:val="00E57868"/>
    <w:rsid w:val="00E610B2"/>
    <w:rsid w:val="00E6110C"/>
    <w:rsid w:val="00E62082"/>
    <w:rsid w:val="00E629FF"/>
    <w:rsid w:val="00E630C1"/>
    <w:rsid w:val="00E641A7"/>
    <w:rsid w:val="00E64978"/>
    <w:rsid w:val="00E64A47"/>
    <w:rsid w:val="00E671FA"/>
    <w:rsid w:val="00E71467"/>
    <w:rsid w:val="00E71A27"/>
    <w:rsid w:val="00E7550A"/>
    <w:rsid w:val="00E7625A"/>
    <w:rsid w:val="00E77333"/>
    <w:rsid w:val="00E80077"/>
    <w:rsid w:val="00E805A0"/>
    <w:rsid w:val="00E80D63"/>
    <w:rsid w:val="00E813EB"/>
    <w:rsid w:val="00E827E4"/>
    <w:rsid w:val="00E83B22"/>
    <w:rsid w:val="00E84E3F"/>
    <w:rsid w:val="00E90BD6"/>
    <w:rsid w:val="00E90E8D"/>
    <w:rsid w:val="00E90F53"/>
    <w:rsid w:val="00E922A9"/>
    <w:rsid w:val="00E92E3C"/>
    <w:rsid w:val="00E93652"/>
    <w:rsid w:val="00E94423"/>
    <w:rsid w:val="00E9544A"/>
    <w:rsid w:val="00E95A32"/>
    <w:rsid w:val="00E96B54"/>
    <w:rsid w:val="00E974AA"/>
    <w:rsid w:val="00E97653"/>
    <w:rsid w:val="00EA039C"/>
    <w:rsid w:val="00EA12D6"/>
    <w:rsid w:val="00EA16C6"/>
    <w:rsid w:val="00EA1842"/>
    <w:rsid w:val="00EA23DF"/>
    <w:rsid w:val="00EA2675"/>
    <w:rsid w:val="00EA26A7"/>
    <w:rsid w:val="00EA304B"/>
    <w:rsid w:val="00EA3FAC"/>
    <w:rsid w:val="00EA5E2C"/>
    <w:rsid w:val="00EA606C"/>
    <w:rsid w:val="00EA6A6C"/>
    <w:rsid w:val="00EB03CC"/>
    <w:rsid w:val="00EB5832"/>
    <w:rsid w:val="00EB600E"/>
    <w:rsid w:val="00EB75E7"/>
    <w:rsid w:val="00EC0992"/>
    <w:rsid w:val="00EC32E9"/>
    <w:rsid w:val="00EC35E1"/>
    <w:rsid w:val="00EC6E6E"/>
    <w:rsid w:val="00EC78E8"/>
    <w:rsid w:val="00EC7B06"/>
    <w:rsid w:val="00ED24A5"/>
    <w:rsid w:val="00ED318C"/>
    <w:rsid w:val="00ED3574"/>
    <w:rsid w:val="00ED56B3"/>
    <w:rsid w:val="00ED5D71"/>
    <w:rsid w:val="00EE04C0"/>
    <w:rsid w:val="00EE1F3C"/>
    <w:rsid w:val="00EE34B4"/>
    <w:rsid w:val="00EE4180"/>
    <w:rsid w:val="00EE4776"/>
    <w:rsid w:val="00EE47EF"/>
    <w:rsid w:val="00EE4BA8"/>
    <w:rsid w:val="00EE5C2D"/>
    <w:rsid w:val="00EE5FFD"/>
    <w:rsid w:val="00EE6475"/>
    <w:rsid w:val="00EE772D"/>
    <w:rsid w:val="00EF3D5A"/>
    <w:rsid w:val="00EF4F6F"/>
    <w:rsid w:val="00EF5327"/>
    <w:rsid w:val="00EF70F5"/>
    <w:rsid w:val="00EF7C17"/>
    <w:rsid w:val="00EF7CE0"/>
    <w:rsid w:val="00F01632"/>
    <w:rsid w:val="00F02F0A"/>
    <w:rsid w:val="00F049CB"/>
    <w:rsid w:val="00F04B0D"/>
    <w:rsid w:val="00F05AF0"/>
    <w:rsid w:val="00F05B65"/>
    <w:rsid w:val="00F07ACE"/>
    <w:rsid w:val="00F1317F"/>
    <w:rsid w:val="00F1518F"/>
    <w:rsid w:val="00F1573B"/>
    <w:rsid w:val="00F15E6D"/>
    <w:rsid w:val="00F15F24"/>
    <w:rsid w:val="00F1656F"/>
    <w:rsid w:val="00F2151A"/>
    <w:rsid w:val="00F21D1B"/>
    <w:rsid w:val="00F21DE8"/>
    <w:rsid w:val="00F2305F"/>
    <w:rsid w:val="00F23B6D"/>
    <w:rsid w:val="00F24AAC"/>
    <w:rsid w:val="00F25BDF"/>
    <w:rsid w:val="00F25F9C"/>
    <w:rsid w:val="00F278ED"/>
    <w:rsid w:val="00F330A3"/>
    <w:rsid w:val="00F34211"/>
    <w:rsid w:val="00F343C8"/>
    <w:rsid w:val="00F34940"/>
    <w:rsid w:val="00F35120"/>
    <w:rsid w:val="00F40180"/>
    <w:rsid w:val="00F430D3"/>
    <w:rsid w:val="00F433C8"/>
    <w:rsid w:val="00F45FA2"/>
    <w:rsid w:val="00F4628D"/>
    <w:rsid w:val="00F46EA0"/>
    <w:rsid w:val="00F474AB"/>
    <w:rsid w:val="00F47B07"/>
    <w:rsid w:val="00F504CD"/>
    <w:rsid w:val="00F51712"/>
    <w:rsid w:val="00F518B6"/>
    <w:rsid w:val="00F51906"/>
    <w:rsid w:val="00F51C53"/>
    <w:rsid w:val="00F52665"/>
    <w:rsid w:val="00F53DE6"/>
    <w:rsid w:val="00F570EF"/>
    <w:rsid w:val="00F577BF"/>
    <w:rsid w:val="00F6023C"/>
    <w:rsid w:val="00F6051A"/>
    <w:rsid w:val="00F60E0B"/>
    <w:rsid w:val="00F612EC"/>
    <w:rsid w:val="00F62F82"/>
    <w:rsid w:val="00F653AC"/>
    <w:rsid w:val="00F6560C"/>
    <w:rsid w:val="00F670B2"/>
    <w:rsid w:val="00F71395"/>
    <w:rsid w:val="00F71D42"/>
    <w:rsid w:val="00F7221D"/>
    <w:rsid w:val="00F766AD"/>
    <w:rsid w:val="00F76952"/>
    <w:rsid w:val="00F77D46"/>
    <w:rsid w:val="00F80092"/>
    <w:rsid w:val="00F80697"/>
    <w:rsid w:val="00F81559"/>
    <w:rsid w:val="00F820B0"/>
    <w:rsid w:val="00F83AB9"/>
    <w:rsid w:val="00F8727B"/>
    <w:rsid w:val="00F87E4C"/>
    <w:rsid w:val="00F90818"/>
    <w:rsid w:val="00F90CCC"/>
    <w:rsid w:val="00F910B5"/>
    <w:rsid w:val="00F91472"/>
    <w:rsid w:val="00F9174C"/>
    <w:rsid w:val="00F91DD7"/>
    <w:rsid w:val="00F92B2F"/>
    <w:rsid w:val="00F93EB3"/>
    <w:rsid w:val="00F9530F"/>
    <w:rsid w:val="00F95E5C"/>
    <w:rsid w:val="00F96229"/>
    <w:rsid w:val="00F96537"/>
    <w:rsid w:val="00F96F9F"/>
    <w:rsid w:val="00FA4F18"/>
    <w:rsid w:val="00FA5613"/>
    <w:rsid w:val="00FA6F21"/>
    <w:rsid w:val="00FA7DCD"/>
    <w:rsid w:val="00FB06BF"/>
    <w:rsid w:val="00FB1283"/>
    <w:rsid w:val="00FB16BB"/>
    <w:rsid w:val="00FB1862"/>
    <w:rsid w:val="00FB23D0"/>
    <w:rsid w:val="00FB526E"/>
    <w:rsid w:val="00FB5F20"/>
    <w:rsid w:val="00FB69EB"/>
    <w:rsid w:val="00FB7B63"/>
    <w:rsid w:val="00FC06FA"/>
    <w:rsid w:val="00FC1B21"/>
    <w:rsid w:val="00FC457D"/>
    <w:rsid w:val="00FC52CF"/>
    <w:rsid w:val="00FC6522"/>
    <w:rsid w:val="00FC78E1"/>
    <w:rsid w:val="00FD0266"/>
    <w:rsid w:val="00FD5BDD"/>
    <w:rsid w:val="00FE044E"/>
    <w:rsid w:val="00FE0E89"/>
    <w:rsid w:val="00FE22A0"/>
    <w:rsid w:val="00FE3751"/>
    <w:rsid w:val="00FE6809"/>
    <w:rsid w:val="00FE6C10"/>
    <w:rsid w:val="00FE7D71"/>
    <w:rsid w:val="00FE7DC7"/>
    <w:rsid w:val="00FF3223"/>
    <w:rsid w:val="00FF3C92"/>
    <w:rsid w:val="00FF4C1E"/>
    <w:rsid w:val="00FF632F"/>
    <w:rsid w:val="00FF6FEA"/>
    <w:rsid w:val="00FF7DA3"/>
    <w:rsid w:val="014513C6"/>
    <w:rsid w:val="01DA7C7C"/>
    <w:rsid w:val="021C3530"/>
    <w:rsid w:val="024572AD"/>
    <w:rsid w:val="02B34407"/>
    <w:rsid w:val="02E36238"/>
    <w:rsid w:val="030F5A70"/>
    <w:rsid w:val="036C5ED0"/>
    <w:rsid w:val="03CF0566"/>
    <w:rsid w:val="049358E4"/>
    <w:rsid w:val="04D73878"/>
    <w:rsid w:val="04DF600A"/>
    <w:rsid w:val="05185EE1"/>
    <w:rsid w:val="05C006DF"/>
    <w:rsid w:val="06707559"/>
    <w:rsid w:val="06BC0458"/>
    <w:rsid w:val="06DA03F9"/>
    <w:rsid w:val="06DD68F6"/>
    <w:rsid w:val="06F701ED"/>
    <w:rsid w:val="070F3BCE"/>
    <w:rsid w:val="073F36D2"/>
    <w:rsid w:val="076B0317"/>
    <w:rsid w:val="090F1A3D"/>
    <w:rsid w:val="091148C3"/>
    <w:rsid w:val="0B6E30CD"/>
    <w:rsid w:val="0D8D37B7"/>
    <w:rsid w:val="0E7B42F3"/>
    <w:rsid w:val="11960D41"/>
    <w:rsid w:val="11C7256E"/>
    <w:rsid w:val="11E32CBD"/>
    <w:rsid w:val="14750F61"/>
    <w:rsid w:val="148D66EF"/>
    <w:rsid w:val="14BF3753"/>
    <w:rsid w:val="14F802A4"/>
    <w:rsid w:val="15166D43"/>
    <w:rsid w:val="16C87BCF"/>
    <w:rsid w:val="16CE4843"/>
    <w:rsid w:val="17176172"/>
    <w:rsid w:val="178A2825"/>
    <w:rsid w:val="17A425A0"/>
    <w:rsid w:val="1895448D"/>
    <w:rsid w:val="191E4D8F"/>
    <w:rsid w:val="197B139E"/>
    <w:rsid w:val="199A425B"/>
    <w:rsid w:val="19F45121"/>
    <w:rsid w:val="1AEA2C01"/>
    <w:rsid w:val="1B520D13"/>
    <w:rsid w:val="1C986171"/>
    <w:rsid w:val="1CDD5AF1"/>
    <w:rsid w:val="1D0935FB"/>
    <w:rsid w:val="1E7C3D8A"/>
    <w:rsid w:val="1ECE7916"/>
    <w:rsid w:val="1FC80DFE"/>
    <w:rsid w:val="22730353"/>
    <w:rsid w:val="22C81858"/>
    <w:rsid w:val="23786D99"/>
    <w:rsid w:val="23DF6769"/>
    <w:rsid w:val="24B92470"/>
    <w:rsid w:val="24E235AB"/>
    <w:rsid w:val="25902DFB"/>
    <w:rsid w:val="26694122"/>
    <w:rsid w:val="26B26BDA"/>
    <w:rsid w:val="2842269B"/>
    <w:rsid w:val="286F4426"/>
    <w:rsid w:val="299C5E23"/>
    <w:rsid w:val="2A5C0512"/>
    <w:rsid w:val="2B8E04C7"/>
    <w:rsid w:val="2B8E16D2"/>
    <w:rsid w:val="2BB9755D"/>
    <w:rsid w:val="2BD81651"/>
    <w:rsid w:val="2C976449"/>
    <w:rsid w:val="2D774EC0"/>
    <w:rsid w:val="2D77606C"/>
    <w:rsid w:val="2DA110F6"/>
    <w:rsid w:val="2E0738BB"/>
    <w:rsid w:val="2EB53283"/>
    <w:rsid w:val="2F3F475B"/>
    <w:rsid w:val="2FC03528"/>
    <w:rsid w:val="303E1D86"/>
    <w:rsid w:val="314E29EB"/>
    <w:rsid w:val="31A03397"/>
    <w:rsid w:val="31EC2639"/>
    <w:rsid w:val="330C7F9E"/>
    <w:rsid w:val="33480AF8"/>
    <w:rsid w:val="33E22DF9"/>
    <w:rsid w:val="34720452"/>
    <w:rsid w:val="34E512D8"/>
    <w:rsid w:val="360436BB"/>
    <w:rsid w:val="38117F26"/>
    <w:rsid w:val="387E61A7"/>
    <w:rsid w:val="389862DB"/>
    <w:rsid w:val="3946248A"/>
    <w:rsid w:val="3CDF2F7B"/>
    <w:rsid w:val="3D744F8D"/>
    <w:rsid w:val="3DF220F7"/>
    <w:rsid w:val="3F2E639C"/>
    <w:rsid w:val="3F2F4AED"/>
    <w:rsid w:val="3F4D271C"/>
    <w:rsid w:val="40307852"/>
    <w:rsid w:val="40A03B94"/>
    <w:rsid w:val="437D3A4E"/>
    <w:rsid w:val="44544F79"/>
    <w:rsid w:val="44946DB2"/>
    <w:rsid w:val="45AB28B3"/>
    <w:rsid w:val="466D3486"/>
    <w:rsid w:val="46AB781C"/>
    <w:rsid w:val="46CA2279"/>
    <w:rsid w:val="46FF3F8E"/>
    <w:rsid w:val="48070E08"/>
    <w:rsid w:val="480E135B"/>
    <w:rsid w:val="48B078D1"/>
    <w:rsid w:val="48B57BAF"/>
    <w:rsid w:val="48CE3B78"/>
    <w:rsid w:val="494F4E70"/>
    <w:rsid w:val="4AB63D86"/>
    <w:rsid w:val="4B742F1E"/>
    <w:rsid w:val="4EAE69F0"/>
    <w:rsid w:val="4F393F65"/>
    <w:rsid w:val="5032516E"/>
    <w:rsid w:val="51B34180"/>
    <w:rsid w:val="51F90CE1"/>
    <w:rsid w:val="527D7AC1"/>
    <w:rsid w:val="52D3401E"/>
    <w:rsid w:val="53CB7F8F"/>
    <w:rsid w:val="54F7457B"/>
    <w:rsid w:val="55422E9E"/>
    <w:rsid w:val="56B013B0"/>
    <w:rsid w:val="56C41A54"/>
    <w:rsid w:val="57587E54"/>
    <w:rsid w:val="575D1659"/>
    <w:rsid w:val="599A1E30"/>
    <w:rsid w:val="5B2D4599"/>
    <w:rsid w:val="5B3F32BE"/>
    <w:rsid w:val="5BC13B2B"/>
    <w:rsid w:val="5D16392B"/>
    <w:rsid w:val="5D2804D4"/>
    <w:rsid w:val="5FAA3605"/>
    <w:rsid w:val="612C5403"/>
    <w:rsid w:val="629E7FBF"/>
    <w:rsid w:val="647724EB"/>
    <w:rsid w:val="64E342FE"/>
    <w:rsid w:val="65576D67"/>
    <w:rsid w:val="65885382"/>
    <w:rsid w:val="66BB765E"/>
    <w:rsid w:val="67C628C5"/>
    <w:rsid w:val="67CC7A38"/>
    <w:rsid w:val="691F633B"/>
    <w:rsid w:val="6998145E"/>
    <w:rsid w:val="6A3F63EB"/>
    <w:rsid w:val="6B2C1D07"/>
    <w:rsid w:val="6D403160"/>
    <w:rsid w:val="6D5C5FE8"/>
    <w:rsid w:val="6E12788F"/>
    <w:rsid w:val="6E5D40E9"/>
    <w:rsid w:val="6E6475F6"/>
    <w:rsid w:val="6EC11C7A"/>
    <w:rsid w:val="73496024"/>
    <w:rsid w:val="739D7B44"/>
    <w:rsid w:val="741D5649"/>
    <w:rsid w:val="74437F35"/>
    <w:rsid w:val="74D64CCE"/>
    <w:rsid w:val="74DC047C"/>
    <w:rsid w:val="74DD23E5"/>
    <w:rsid w:val="750531FC"/>
    <w:rsid w:val="76530536"/>
    <w:rsid w:val="7689540A"/>
    <w:rsid w:val="7764660A"/>
    <w:rsid w:val="78E03109"/>
    <w:rsid w:val="7B0F215D"/>
    <w:rsid w:val="7BDC4E21"/>
    <w:rsid w:val="7BF81766"/>
    <w:rsid w:val="7C2A55B4"/>
    <w:rsid w:val="7D864352"/>
    <w:rsid w:val="7DCF1457"/>
    <w:rsid w:val="7DF40565"/>
    <w:rsid w:val="7E1A341C"/>
    <w:rsid w:val="7E23074F"/>
    <w:rsid w:val="7E4A49EA"/>
    <w:rsid w:val="7EC6074E"/>
    <w:rsid w:val="7F1636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00" w:beforeAutospacing="1" w:after="100" w:afterAutospacing="1" w:line="360" w:lineRule="auto"/>
    </w:pPr>
    <w:rPr>
      <w:rFonts w:ascii="Book Antiqua" w:hAnsi="Book Antiqua" w:eastAsia="宋体" w:cs="Times New Roman"/>
      <w:sz w:val="24"/>
      <w:lang w:val="en-US" w:eastAsia="zh-CN" w:bidi="ar-SA"/>
    </w:rPr>
  </w:style>
  <w:style w:type="paragraph" w:styleId="3">
    <w:name w:val="heading 1"/>
    <w:basedOn w:val="1"/>
    <w:next w:val="1"/>
    <w:link w:val="53"/>
    <w:qFormat/>
    <w:uiPriority w:val="9"/>
    <w:pPr>
      <w:keepNext/>
      <w:tabs>
        <w:tab w:val="left" w:pos="720"/>
      </w:tabs>
      <w:adjustRightInd w:val="0"/>
      <w:spacing w:before="120" w:beforeAutospacing="0" w:after="120" w:afterAutospacing="0" w:line="240" w:lineRule="auto"/>
      <w:ind w:left="1200" w:hanging="360"/>
      <w:outlineLvl w:val="0"/>
    </w:pPr>
    <w:rPr>
      <w:rFonts w:ascii="宋体" w:hAnsi="宋体" w:cs="Arial"/>
      <w:b/>
      <w:bCs/>
      <w:color w:val="000000"/>
      <w:kern w:val="44"/>
      <w:szCs w:val="24"/>
    </w:rPr>
  </w:style>
  <w:style w:type="paragraph" w:styleId="4">
    <w:name w:val="heading 2"/>
    <w:basedOn w:val="1"/>
    <w:next w:val="1"/>
    <w:link w:val="54"/>
    <w:qFormat/>
    <w:uiPriority w:val="0"/>
    <w:pPr>
      <w:keepNext/>
      <w:keepLines/>
      <w:adjustRightInd w:val="0"/>
      <w:snapToGrid w:val="0"/>
      <w:spacing w:before="0" w:beforeAutospacing="0" w:after="0" w:afterAutospacing="0"/>
      <w:jc w:val="center"/>
      <w:outlineLvl w:val="1"/>
    </w:pPr>
    <w:rPr>
      <w:rFonts w:ascii="Arial" w:hAnsi="Arial"/>
      <w:b/>
      <w:bCs/>
      <w:sz w:val="28"/>
      <w:szCs w:val="32"/>
    </w:rPr>
  </w:style>
  <w:style w:type="paragraph" w:styleId="5">
    <w:name w:val="heading 3"/>
    <w:basedOn w:val="1"/>
    <w:next w:val="1"/>
    <w:link w:val="55"/>
    <w:qFormat/>
    <w:uiPriority w:val="9"/>
    <w:pPr>
      <w:keepNext/>
      <w:tabs>
        <w:tab w:val="left" w:pos="960"/>
      </w:tabs>
      <w:adjustRightInd w:val="0"/>
      <w:spacing w:before="120" w:beforeAutospacing="0" w:after="60" w:afterAutospacing="0"/>
      <w:ind w:left="720" w:hanging="360"/>
      <w:outlineLvl w:val="2"/>
    </w:pPr>
    <w:rPr>
      <w:rFonts w:ascii="Arial" w:hAnsi="Arial"/>
      <w:bCs/>
      <w:szCs w:val="32"/>
    </w:rPr>
  </w:style>
  <w:style w:type="paragraph" w:styleId="6">
    <w:name w:val="heading 4"/>
    <w:basedOn w:val="1"/>
    <w:next w:val="1"/>
    <w:link w:val="56"/>
    <w:qFormat/>
    <w:uiPriority w:val="9"/>
    <w:pPr>
      <w:keepNext/>
      <w:keepLines/>
      <w:spacing w:before="120" w:beforeAutospacing="0" w:after="60" w:afterAutospacing="0"/>
      <w:ind w:left="680" w:hanging="170"/>
      <w:outlineLvl w:val="3"/>
    </w:pPr>
    <w:rPr>
      <w:rFonts w:ascii="Arial" w:hAnsi="Arial"/>
      <w:bCs/>
      <w:szCs w:val="28"/>
    </w:rPr>
  </w:style>
  <w:style w:type="paragraph" w:styleId="7">
    <w:name w:val="heading 5"/>
    <w:basedOn w:val="1"/>
    <w:next w:val="1"/>
    <w:link w:val="57"/>
    <w:qFormat/>
    <w:uiPriority w:val="9"/>
    <w:pPr>
      <w:spacing w:before="240" w:after="60"/>
      <w:outlineLvl w:val="4"/>
    </w:pPr>
    <w:rPr>
      <w:rFonts w:ascii="Calibri" w:hAnsi="Calibri"/>
      <w:b/>
      <w:bCs/>
      <w:i/>
      <w:iCs/>
      <w:sz w:val="26"/>
      <w:szCs w:val="26"/>
    </w:rPr>
  </w:style>
  <w:style w:type="paragraph" w:styleId="8">
    <w:name w:val="heading 6"/>
    <w:basedOn w:val="1"/>
    <w:next w:val="1"/>
    <w:link w:val="58"/>
    <w:qFormat/>
    <w:uiPriority w:val="0"/>
    <w:pPr>
      <w:adjustRightInd w:val="0"/>
      <w:snapToGrid w:val="0"/>
      <w:spacing w:before="0" w:beforeAutospacing="0" w:after="0" w:afterAutospacing="0"/>
      <w:outlineLvl w:val="5"/>
    </w:pPr>
    <w:rPr>
      <w:rFonts w:ascii="Times New Roman" w:hAnsi="Times New Roman"/>
      <w:b/>
      <w:bCs/>
    </w:rPr>
  </w:style>
  <w:style w:type="paragraph" w:styleId="9">
    <w:name w:val="heading 7"/>
    <w:basedOn w:val="1"/>
    <w:next w:val="1"/>
    <w:link w:val="165"/>
    <w:qFormat/>
    <w:uiPriority w:val="0"/>
    <w:pPr>
      <w:keepNext/>
      <w:keepLines/>
      <w:tabs>
        <w:tab w:val="left" w:pos="2520"/>
      </w:tabs>
      <w:spacing w:before="240" w:beforeAutospacing="0" w:after="64" w:afterAutospacing="0" w:line="320" w:lineRule="auto"/>
      <w:ind w:left="1296" w:hanging="1296"/>
      <w:outlineLvl w:val="6"/>
    </w:pPr>
    <w:rPr>
      <w:rFonts w:ascii="Times New Roman" w:hAnsi="Times New Roman"/>
      <w:b/>
      <w:bCs/>
      <w:szCs w:val="24"/>
    </w:rPr>
  </w:style>
  <w:style w:type="paragraph" w:styleId="10">
    <w:name w:val="heading 8"/>
    <w:basedOn w:val="1"/>
    <w:next w:val="1"/>
    <w:link w:val="166"/>
    <w:qFormat/>
    <w:uiPriority w:val="0"/>
    <w:pPr>
      <w:keepNext/>
      <w:keepLines/>
      <w:tabs>
        <w:tab w:val="left" w:pos="1440"/>
      </w:tabs>
      <w:spacing w:before="240" w:beforeAutospacing="0" w:after="64" w:afterAutospacing="0" w:line="320" w:lineRule="auto"/>
      <w:ind w:left="1440" w:hanging="1440"/>
      <w:outlineLvl w:val="7"/>
    </w:pPr>
    <w:rPr>
      <w:rFonts w:ascii="Arial" w:hAnsi="Arial" w:eastAsia="黑体"/>
      <w:szCs w:val="24"/>
    </w:rPr>
  </w:style>
  <w:style w:type="paragraph" w:styleId="11">
    <w:name w:val="heading 9"/>
    <w:basedOn w:val="1"/>
    <w:next w:val="1"/>
    <w:link w:val="167"/>
    <w:qFormat/>
    <w:uiPriority w:val="0"/>
    <w:pPr>
      <w:keepNext/>
      <w:keepLines/>
      <w:tabs>
        <w:tab w:val="left" w:pos="1584"/>
      </w:tabs>
      <w:spacing w:before="240" w:beforeAutospacing="0" w:after="64" w:afterAutospacing="0" w:line="320" w:lineRule="auto"/>
      <w:ind w:left="1584" w:hanging="1584"/>
      <w:outlineLvl w:val="8"/>
    </w:pPr>
    <w:rPr>
      <w:rFonts w:ascii="Arial" w:hAnsi="Arial" w:eastAsia="黑体"/>
      <w:sz w:val="21"/>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spacing w:before="0" w:beforeAutospacing="0" w:after="0" w:afterAutospacing="0" w:line="240" w:lineRule="auto"/>
      <w:ind w:firstLine="420" w:firstLineChars="200"/>
      <w:jc w:val="both"/>
    </w:pPr>
    <w:rPr>
      <w:rFonts w:ascii="Times New Roman" w:hAnsi="Times New Roman"/>
      <w:kern w:val="2"/>
      <w:sz w:val="21"/>
      <w:szCs w:val="24"/>
    </w:rPr>
  </w:style>
  <w:style w:type="paragraph" w:styleId="12">
    <w:name w:val="toc 7"/>
    <w:basedOn w:val="1"/>
    <w:next w:val="1"/>
    <w:qFormat/>
    <w:uiPriority w:val="39"/>
    <w:pPr>
      <w:spacing w:before="0" w:after="0"/>
      <w:ind w:left="1440"/>
    </w:pPr>
    <w:rPr>
      <w:rFonts w:ascii="Times New Roman" w:hAnsi="Times New Roman"/>
      <w:sz w:val="18"/>
      <w:szCs w:val="18"/>
    </w:rPr>
  </w:style>
  <w:style w:type="paragraph" w:styleId="13">
    <w:name w:val="List Bullet 4"/>
    <w:basedOn w:val="1"/>
    <w:semiHidden/>
    <w:unhideWhenUsed/>
    <w:qFormat/>
    <w:uiPriority w:val="99"/>
    <w:pPr>
      <w:numPr>
        <w:ilvl w:val="0"/>
        <w:numId w:val="1"/>
      </w:numPr>
      <w:contextualSpacing/>
    </w:pPr>
  </w:style>
  <w:style w:type="paragraph" w:styleId="14">
    <w:name w:val="List Number"/>
    <w:basedOn w:val="1"/>
    <w:qFormat/>
    <w:uiPriority w:val="0"/>
    <w:pPr>
      <w:tabs>
        <w:tab w:val="left" w:pos="1361"/>
      </w:tabs>
      <w:spacing w:before="60" w:beforeAutospacing="0" w:after="60" w:afterAutospacing="0" w:line="240" w:lineRule="auto"/>
      <w:ind w:left="1361" w:hanging="454"/>
    </w:pPr>
    <w:rPr>
      <w:rFonts w:ascii="Arial" w:hAnsi="Arial"/>
      <w:sz w:val="21"/>
    </w:rPr>
  </w:style>
  <w:style w:type="paragraph" w:styleId="15">
    <w:name w:val="caption"/>
    <w:basedOn w:val="1"/>
    <w:next w:val="1"/>
    <w:qFormat/>
    <w:uiPriority w:val="0"/>
    <w:pPr>
      <w:spacing w:before="0" w:after="200" w:line="240" w:lineRule="auto"/>
    </w:pPr>
    <w:rPr>
      <w:b/>
      <w:bCs/>
      <w:color w:val="4F81BD"/>
      <w:sz w:val="18"/>
      <w:szCs w:val="18"/>
    </w:rPr>
  </w:style>
  <w:style w:type="paragraph" w:styleId="16">
    <w:name w:val="List Bullet"/>
    <w:basedOn w:val="1"/>
    <w:qFormat/>
    <w:uiPriority w:val="0"/>
    <w:pPr>
      <w:ind w:left="1134" w:hanging="227"/>
    </w:pPr>
  </w:style>
  <w:style w:type="paragraph" w:styleId="17">
    <w:name w:val="Document Map"/>
    <w:basedOn w:val="1"/>
    <w:link w:val="173"/>
    <w:semiHidden/>
    <w:qFormat/>
    <w:uiPriority w:val="99"/>
    <w:pPr>
      <w:widowControl w:val="0"/>
      <w:shd w:val="clear" w:color="auto" w:fill="000080"/>
      <w:spacing w:before="0" w:beforeAutospacing="0" w:after="0" w:afterAutospacing="0" w:line="240" w:lineRule="auto"/>
      <w:jc w:val="both"/>
    </w:pPr>
    <w:rPr>
      <w:rFonts w:ascii="Times New Roman" w:hAnsi="Times New Roman"/>
      <w:kern w:val="2"/>
      <w:sz w:val="21"/>
      <w:szCs w:val="24"/>
    </w:rPr>
  </w:style>
  <w:style w:type="paragraph" w:styleId="18">
    <w:name w:val="annotation text"/>
    <w:basedOn w:val="1"/>
    <w:link w:val="80"/>
    <w:qFormat/>
    <w:uiPriority w:val="99"/>
  </w:style>
  <w:style w:type="paragraph" w:styleId="19">
    <w:name w:val="Body Text 3"/>
    <w:basedOn w:val="1"/>
    <w:link w:val="162"/>
    <w:qFormat/>
    <w:uiPriority w:val="0"/>
    <w:pPr>
      <w:widowControl w:val="0"/>
      <w:spacing w:before="0" w:beforeAutospacing="0" w:after="0" w:afterAutospacing="0" w:line="240" w:lineRule="auto"/>
      <w:jc w:val="both"/>
    </w:pPr>
    <w:rPr>
      <w:rFonts w:ascii="宋体" w:hAnsi="Times New Roman"/>
      <w:kern w:val="2"/>
    </w:rPr>
  </w:style>
  <w:style w:type="paragraph" w:styleId="20">
    <w:name w:val="Body Text"/>
    <w:basedOn w:val="1"/>
    <w:link w:val="83"/>
    <w:qFormat/>
    <w:uiPriority w:val="99"/>
    <w:pPr>
      <w:widowControl w:val="0"/>
      <w:spacing w:before="0" w:beforeAutospacing="0" w:after="0" w:afterAutospacing="0" w:line="400" w:lineRule="exact"/>
      <w:jc w:val="center"/>
    </w:pPr>
    <w:rPr>
      <w:rFonts w:ascii="宋体" w:hAnsi="Times New Roman"/>
      <w:sz w:val="20"/>
    </w:rPr>
  </w:style>
  <w:style w:type="paragraph" w:styleId="21">
    <w:name w:val="Body Text Indent"/>
    <w:basedOn w:val="1"/>
    <w:next w:val="1"/>
    <w:link w:val="175"/>
    <w:qFormat/>
    <w:uiPriority w:val="0"/>
    <w:pPr>
      <w:widowControl w:val="0"/>
      <w:spacing w:before="0" w:beforeAutospacing="0" w:after="120" w:afterAutospacing="0" w:line="240" w:lineRule="auto"/>
      <w:ind w:left="420" w:leftChars="200"/>
      <w:jc w:val="both"/>
    </w:pPr>
    <w:rPr>
      <w:rFonts w:ascii="Times New Roman" w:hAnsi="Times New Roman"/>
      <w:kern w:val="2"/>
      <w:sz w:val="21"/>
      <w:szCs w:val="24"/>
    </w:rPr>
  </w:style>
  <w:style w:type="paragraph" w:styleId="22">
    <w:name w:val="toc 5"/>
    <w:basedOn w:val="1"/>
    <w:next w:val="1"/>
    <w:qFormat/>
    <w:uiPriority w:val="39"/>
    <w:pPr>
      <w:spacing w:before="0" w:after="0"/>
      <w:ind w:left="960"/>
    </w:pPr>
    <w:rPr>
      <w:rFonts w:ascii="Times New Roman" w:hAnsi="Times New Roman"/>
      <w:sz w:val="18"/>
      <w:szCs w:val="18"/>
    </w:rPr>
  </w:style>
  <w:style w:type="paragraph" w:styleId="23">
    <w:name w:val="toc 3"/>
    <w:basedOn w:val="1"/>
    <w:next w:val="1"/>
    <w:qFormat/>
    <w:uiPriority w:val="39"/>
    <w:pPr>
      <w:spacing w:before="0" w:after="0"/>
      <w:ind w:left="480"/>
    </w:pPr>
    <w:rPr>
      <w:rFonts w:ascii="Times New Roman" w:hAnsi="Times New Roman"/>
      <w:i/>
      <w:iCs/>
      <w:sz w:val="20"/>
    </w:rPr>
  </w:style>
  <w:style w:type="paragraph" w:styleId="24">
    <w:name w:val="Plain Text"/>
    <w:basedOn w:val="1"/>
    <w:link w:val="91"/>
    <w:qFormat/>
    <w:uiPriority w:val="0"/>
    <w:pPr>
      <w:widowControl w:val="0"/>
      <w:adjustRightInd w:val="0"/>
      <w:snapToGrid w:val="0"/>
      <w:spacing w:before="0" w:beforeAutospacing="0" w:after="0" w:afterAutospacing="0"/>
      <w:jc w:val="both"/>
    </w:pPr>
    <w:rPr>
      <w:rFonts w:ascii="宋体" w:hAnsi="Courier New" w:cs="Courier New"/>
      <w:sz w:val="21"/>
      <w:szCs w:val="21"/>
    </w:rPr>
  </w:style>
  <w:style w:type="paragraph" w:styleId="25">
    <w:name w:val="toc 8"/>
    <w:basedOn w:val="1"/>
    <w:next w:val="1"/>
    <w:qFormat/>
    <w:uiPriority w:val="39"/>
    <w:pPr>
      <w:spacing w:before="0" w:after="0"/>
      <w:ind w:left="1680"/>
    </w:pPr>
    <w:rPr>
      <w:rFonts w:ascii="Times New Roman" w:hAnsi="Times New Roman"/>
      <w:sz w:val="18"/>
      <w:szCs w:val="18"/>
    </w:rPr>
  </w:style>
  <w:style w:type="paragraph" w:styleId="26">
    <w:name w:val="Date"/>
    <w:basedOn w:val="1"/>
    <w:next w:val="1"/>
    <w:link w:val="185"/>
    <w:qFormat/>
    <w:uiPriority w:val="0"/>
    <w:pPr>
      <w:widowControl w:val="0"/>
      <w:spacing w:before="0" w:beforeAutospacing="0" w:after="0" w:afterAutospacing="0" w:line="240" w:lineRule="auto"/>
      <w:jc w:val="both"/>
    </w:pPr>
    <w:rPr>
      <w:rFonts w:ascii="Times New Roman" w:hAnsi="Times New Roman"/>
      <w:kern w:val="2"/>
    </w:rPr>
  </w:style>
  <w:style w:type="paragraph" w:styleId="27">
    <w:name w:val="Body Text Indent 2"/>
    <w:basedOn w:val="1"/>
    <w:link w:val="160"/>
    <w:qFormat/>
    <w:uiPriority w:val="0"/>
    <w:pPr>
      <w:widowControl w:val="0"/>
      <w:spacing w:before="0" w:beforeAutospacing="0" w:after="120" w:afterAutospacing="0" w:line="480" w:lineRule="auto"/>
      <w:ind w:left="420" w:leftChars="200"/>
      <w:jc w:val="both"/>
    </w:pPr>
    <w:rPr>
      <w:rFonts w:ascii="Times New Roman" w:hAnsi="Times New Roman"/>
      <w:kern w:val="2"/>
      <w:sz w:val="21"/>
      <w:szCs w:val="24"/>
    </w:rPr>
  </w:style>
  <w:style w:type="paragraph" w:styleId="28">
    <w:name w:val="Balloon Text"/>
    <w:basedOn w:val="1"/>
    <w:link w:val="86"/>
    <w:qFormat/>
    <w:uiPriority w:val="0"/>
    <w:rPr>
      <w:sz w:val="18"/>
      <w:szCs w:val="18"/>
    </w:rPr>
  </w:style>
  <w:style w:type="paragraph" w:styleId="29">
    <w:name w:val="footer"/>
    <w:basedOn w:val="1"/>
    <w:link w:val="84"/>
    <w:qFormat/>
    <w:uiPriority w:val="99"/>
    <w:pPr>
      <w:tabs>
        <w:tab w:val="center" w:pos="4153"/>
        <w:tab w:val="right" w:pos="8306"/>
      </w:tabs>
      <w:snapToGrid w:val="0"/>
    </w:pPr>
    <w:rPr>
      <w:sz w:val="18"/>
      <w:szCs w:val="18"/>
    </w:rPr>
  </w:style>
  <w:style w:type="paragraph" w:styleId="30">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pPr>
    <w:rPr>
      <w:rFonts w:ascii="Times New Roman" w:hAnsi="Times New Roman"/>
      <w:b/>
      <w:bCs/>
      <w:caps/>
      <w:sz w:val="20"/>
    </w:rPr>
  </w:style>
  <w:style w:type="paragraph" w:styleId="32">
    <w:name w:val="toc 4"/>
    <w:basedOn w:val="1"/>
    <w:next w:val="1"/>
    <w:qFormat/>
    <w:uiPriority w:val="39"/>
    <w:pPr>
      <w:spacing w:before="0" w:after="0"/>
      <w:ind w:left="720"/>
    </w:pPr>
    <w:rPr>
      <w:rFonts w:ascii="Times New Roman" w:hAnsi="Times New Roman"/>
      <w:sz w:val="18"/>
      <w:szCs w:val="18"/>
    </w:rPr>
  </w:style>
  <w:style w:type="paragraph" w:styleId="33">
    <w:name w:val="footnote text"/>
    <w:basedOn w:val="1"/>
    <w:link w:val="75"/>
    <w:qFormat/>
    <w:uiPriority w:val="99"/>
    <w:pPr>
      <w:widowControl w:val="0"/>
      <w:snapToGrid w:val="0"/>
      <w:spacing w:before="0" w:beforeAutospacing="0" w:after="0" w:afterAutospacing="0" w:line="240" w:lineRule="auto"/>
    </w:pPr>
    <w:rPr>
      <w:rFonts w:ascii="Times New Roman" w:hAnsi="Times New Roman"/>
      <w:sz w:val="18"/>
    </w:rPr>
  </w:style>
  <w:style w:type="paragraph" w:styleId="34">
    <w:name w:val="toc 6"/>
    <w:basedOn w:val="1"/>
    <w:next w:val="1"/>
    <w:qFormat/>
    <w:uiPriority w:val="39"/>
    <w:pPr>
      <w:spacing w:before="0" w:after="0"/>
      <w:ind w:left="1200"/>
    </w:pPr>
    <w:rPr>
      <w:rFonts w:ascii="Times New Roman" w:hAnsi="Times New Roman"/>
      <w:sz w:val="18"/>
      <w:szCs w:val="18"/>
    </w:rPr>
  </w:style>
  <w:style w:type="paragraph" w:styleId="35">
    <w:name w:val="Body Text Indent 3"/>
    <w:basedOn w:val="1"/>
    <w:link w:val="188"/>
    <w:qFormat/>
    <w:uiPriority w:val="0"/>
    <w:pPr>
      <w:widowControl w:val="0"/>
      <w:spacing w:before="0" w:beforeAutospacing="0" w:after="120" w:afterAutospacing="0" w:line="240" w:lineRule="auto"/>
      <w:ind w:left="420" w:leftChars="200"/>
      <w:jc w:val="both"/>
    </w:pPr>
    <w:rPr>
      <w:rFonts w:ascii="Times New Roman" w:hAnsi="Times New Roman"/>
      <w:kern w:val="2"/>
      <w:sz w:val="16"/>
      <w:szCs w:val="16"/>
    </w:rPr>
  </w:style>
  <w:style w:type="paragraph" w:styleId="36">
    <w:name w:val="toc 2"/>
    <w:basedOn w:val="1"/>
    <w:next w:val="1"/>
    <w:qFormat/>
    <w:uiPriority w:val="39"/>
    <w:pPr>
      <w:spacing w:before="0" w:after="0"/>
      <w:ind w:left="240"/>
    </w:pPr>
    <w:rPr>
      <w:rFonts w:ascii="Times New Roman" w:hAnsi="Times New Roman"/>
      <w:smallCaps/>
      <w:sz w:val="20"/>
    </w:rPr>
  </w:style>
  <w:style w:type="paragraph" w:styleId="37">
    <w:name w:val="toc 9"/>
    <w:basedOn w:val="1"/>
    <w:next w:val="1"/>
    <w:qFormat/>
    <w:uiPriority w:val="39"/>
    <w:pPr>
      <w:spacing w:before="0" w:after="0"/>
      <w:ind w:left="1920"/>
    </w:pPr>
    <w:rPr>
      <w:rFonts w:ascii="Times New Roman" w:hAnsi="Times New Roman"/>
      <w:sz w:val="18"/>
      <w:szCs w:val="18"/>
    </w:rPr>
  </w:style>
  <w:style w:type="paragraph" w:styleId="38">
    <w:name w:val="Body Text 2"/>
    <w:basedOn w:val="1"/>
    <w:link w:val="187"/>
    <w:qFormat/>
    <w:uiPriority w:val="0"/>
    <w:pPr>
      <w:widowControl w:val="0"/>
      <w:spacing w:before="0" w:beforeAutospacing="0" w:after="120" w:afterAutospacing="0" w:line="480" w:lineRule="auto"/>
      <w:jc w:val="both"/>
    </w:pPr>
    <w:rPr>
      <w:rFonts w:ascii="Times New Roman" w:hAnsi="Times New Roman"/>
      <w:kern w:val="2"/>
      <w:sz w:val="21"/>
      <w:szCs w:val="24"/>
    </w:rPr>
  </w:style>
  <w:style w:type="paragraph" w:styleId="39">
    <w:name w:val="Normal (Web)"/>
    <w:basedOn w:val="1"/>
    <w:qFormat/>
    <w:uiPriority w:val="99"/>
    <w:pPr>
      <w:spacing w:line="240" w:lineRule="auto"/>
    </w:pPr>
    <w:rPr>
      <w:rFonts w:ascii="宋体" w:hAnsi="宋体" w:cs="宋体"/>
      <w:szCs w:val="24"/>
    </w:rPr>
  </w:style>
  <w:style w:type="paragraph" w:styleId="40">
    <w:name w:val="index 1"/>
    <w:basedOn w:val="1"/>
    <w:next w:val="1"/>
    <w:semiHidden/>
    <w:qFormat/>
    <w:uiPriority w:val="0"/>
    <w:pPr>
      <w:widowControl w:val="0"/>
      <w:spacing w:before="0" w:beforeAutospacing="0" w:after="0" w:afterAutospacing="0" w:line="220" w:lineRule="exact"/>
      <w:jc w:val="center"/>
    </w:pPr>
    <w:rPr>
      <w:rFonts w:ascii="仿宋_GB2312" w:hAnsi="Times New Roman" w:eastAsia="仿宋_GB2312"/>
      <w:kern w:val="2"/>
      <w:sz w:val="21"/>
      <w:szCs w:val="21"/>
    </w:rPr>
  </w:style>
  <w:style w:type="paragraph" w:styleId="41">
    <w:name w:val="Title"/>
    <w:basedOn w:val="3"/>
    <w:link w:val="144"/>
    <w:qFormat/>
    <w:uiPriority w:val="0"/>
    <w:pPr>
      <w:keepLines/>
      <w:widowControl w:val="0"/>
      <w:tabs>
        <w:tab w:val="clear" w:pos="720"/>
      </w:tabs>
      <w:snapToGrid w:val="0"/>
      <w:spacing w:before="0" w:after="100" w:afterAutospacing="1"/>
      <w:ind w:left="0" w:firstLine="0"/>
      <w:jc w:val="center"/>
      <w:textAlignment w:val="baseline"/>
    </w:pPr>
    <w:rPr>
      <w:rFonts w:ascii="方正仿宋_GBK" w:hAnsi="方正仿宋_GBK" w:eastAsia="黑体" w:cs="Times New Roman"/>
      <w:b w:val="0"/>
      <w:bCs w:val="0"/>
      <w:color w:val="auto"/>
      <w:sz w:val="32"/>
      <w:szCs w:val="20"/>
    </w:rPr>
  </w:style>
  <w:style w:type="paragraph" w:styleId="42">
    <w:name w:val="annotation subject"/>
    <w:basedOn w:val="18"/>
    <w:next w:val="18"/>
    <w:link w:val="164"/>
    <w:qFormat/>
    <w:uiPriority w:val="0"/>
    <w:pPr>
      <w:widowControl w:val="0"/>
      <w:spacing w:before="0" w:beforeAutospacing="0" w:after="0" w:afterAutospacing="0" w:line="240" w:lineRule="auto"/>
    </w:pPr>
    <w:rPr>
      <w:rFonts w:ascii="Times New Roman" w:hAnsi="Times New Roman"/>
      <w:b/>
      <w:bCs/>
      <w:kern w:val="2"/>
      <w:sz w:val="21"/>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qFormat/>
    <w:uiPriority w:val="99"/>
    <w:rPr>
      <w:rFonts w:ascii="Arial" w:hAnsi="Arial" w:eastAsia="黑体"/>
      <w:kern w:val="2"/>
      <w:sz w:val="21"/>
      <w:szCs w:val="21"/>
      <w:lang w:val="en-US" w:eastAsia="zh-CN" w:bidi="ar-SA"/>
    </w:rPr>
  </w:style>
  <w:style w:type="character" w:styleId="48">
    <w:name w:val="FollowedHyperlink"/>
    <w:basedOn w:val="45"/>
    <w:qFormat/>
    <w:uiPriority w:val="99"/>
    <w:rPr>
      <w:color w:val="333333"/>
      <w:sz w:val="21"/>
      <w:szCs w:val="21"/>
      <w:u w:val="none"/>
    </w:rPr>
  </w:style>
  <w:style w:type="character" w:styleId="49">
    <w:name w:val="Emphasis"/>
    <w:basedOn w:val="45"/>
    <w:qFormat/>
    <w:uiPriority w:val="20"/>
  </w:style>
  <w:style w:type="character" w:styleId="50">
    <w:name w:val="Hyperlink"/>
    <w:basedOn w:val="45"/>
    <w:qFormat/>
    <w:uiPriority w:val="99"/>
    <w:rPr>
      <w:color w:val="333333"/>
      <w:sz w:val="21"/>
      <w:szCs w:val="21"/>
      <w:u w:val="none"/>
    </w:rPr>
  </w:style>
  <w:style w:type="character" w:styleId="51">
    <w:name w:val="annotation reference"/>
    <w:qFormat/>
    <w:uiPriority w:val="0"/>
    <w:rPr>
      <w:sz w:val="21"/>
      <w:szCs w:val="21"/>
    </w:rPr>
  </w:style>
  <w:style w:type="character" w:styleId="52">
    <w:name w:val="footnote reference"/>
    <w:qFormat/>
    <w:uiPriority w:val="99"/>
    <w:rPr>
      <w:vertAlign w:val="superscript"/>
    </w:rPr>
  </w:style>
  <w:style w:type="character" w:customStyle="1" w:styleId="53">
    <w:name w:val="标题 1 Char"/>
    <w:basedOn w:val="45"/>
    <w:link w:val="3"/>
    <w:qFormat/>
    <w:uiPriority w:val="0"/>
    <w:rPr>
      <w:rFonts w:ascii="宋体" w:hAnsi="宋体" w:cs="Arial"/>
      <w:b/>
      <w:bCs/>
      <w:color w:val="000000"/>
      <w:kern w:val="44"/>
      <w:sz w:val="24"/>
      <w:szCs w:val="24"/>
    </w:rPr>
  </w:style>
  <w:style w:type="character" w:customStyle="1" w:styleId="54">
    <w:name w:val="标题 2 Char"/>
    <w:basedOn w:val="45"/>
    <w:link w:val="4"/>
    <w:qFormat/>
    <w:uiPriority w:val="0"/>
    <w:rPr>
      <w:rFonts w:ascii="Arial" w:hAnsi="Arial"/>
      <w:b/>
      <w:bCs/>
      <w:sz w:val="28"/>
      <w:szCs w:val="32"/>
    </w:rPr>
  </w:style>
  <w:style w:type="character" w:customStyle="1" w:styleId="55">
    <w:name w:val="标题 3 Char"/>
    <w:basedOn w:val="45"/>
    <w:link w:val="5"/>
    <w:qFormat/>
    <w:uiPriority w:val="0"/>
    <w:rPr>
      <w:rFonts w:ascii="Arial" w:hAnsi="Arial"/>
      <w:bCs/>
      <w:sz w:val="24"/>
      <w:szCs w:val="32"/>
    </w:rPr>
  </w:style>
  <w:style w:type="character" w:customStyle="1" w:styleId="56">
    <w:name w:val="标题 4 Char"/>
    <w:basedOn w:val="45"/>
    <w:link w:val="6"/>
    <w:qFormat/>
    <w:uiPriority w:val="0"/>
    <w:rPr>
      <w:rFonts w:ascii="Arial" w:hAnsi="Arial"/>
      <w:bCs/>
      <w:sz w:val="24"/>
      <w:szCs w:val="28"/>
    </w:rPr>
  </w:style>
  <w:style w:type="character" w:customStyle="1" w:styleId="57">
    <w:name w:val="标题 5 Char"/>
    <w:basedOn w:val="45"/>
    <w:link w:val="7"/>
    <w:qFormat/>
    <w:uiPriority w:val="0"/>
    <w:rPr>
      <w:rFonts w:ascii="Calibri" w:hAnsi="Calibri" w:eastAsia="宋体" w:cs="Times New Roman"/>
      <w:b/>
      <w:bCs/>
      <w:i/>
      <w:iCs/>
      <w:kern w:val="0"/>
      <w:sz w:val="26"/>
      <w:szCs w:val="26"/>
    </w:rPr>
  </w:style>
  <w:style w:type="character" w:customStyle="1" w:styleId="58">
    <w:name w:val="标题 6 Char"/>
    <w:basedOn w:val="45"/>
    <w:link w:val="8"/>
    <w:qFormat/>
    <w:uiPriority w:val="0"/>
    <w:rPr>
      <w:b/>
      <w:bCs/>
      <w:sz w:val="24"/>
    </w:rPr>
  </w:style>
  <w:style w:type="character" w:customStyle="1" w:styleId="59">
    <w:name w:val="正文 Char"/>
    <w:link w:val="60"/>
    <w:qFormat/>
    <w:uiPriority w:val="0"/>
    <w:rPr>
      <w:rFonts w:ascii="Arial" w:hAnsi="Arial" w:eastAsia="宋体"/>
      <w:szCs w:val="24"/>
    </w:rPr>
  </w:style>
  <w:style w:type="paragraph" w:customStyle="1" w:styleId="60">
    <w:name w:val="正文1"/>
    <w:basedOn w:val="1"/>
    <w:link w:val="59"/>
    <w:qFormat/>
    <w:uiPriority w:val="0"/>
    <w:pPr>
      <w:widowControl w:val="0"/>
      <w:spacing w:before="0" w:beforeAutospacing="0" w:after="0" w:afterAutospacing="0" w:line="240" w:lineRule="auto"/>
      <w:ind w:left="480" w:leftChars="200" w:firstLine="420" w:firstLineChars="200"/>
      <w:outlineLvl w:val="3"/>
    </w:pPr>
    <w:rPr>
      <w:rFonts w:ascii="Arial" w:hAnsi="Arial"/>
      <w:sz w:val="20"/>
      <w:szCs w:val="24"/>
    </w:rPr>
  </w:style>
  <w:style w:type="character" w:customStyle="1" w:styleId="61">
    <w:name w:val="纯文本 Char"/>
    <w:link w:val="62"/>
    <w:qFormat/>
    <w:uiPriority w:val="0"/>
    <w:rPr>
      <w:rFonts w:ascii="宋体" w:hAnsi="Courier New" w:cs="Courier New"/>
      <w:szCs w:val="21"/>
    </w:rPr>
  </w:style>
  <w:style w:type="paragraph" w:customStyle="1" w:styleId="62">
    <w:name w:val="纯文本1"/>
    <w:basedOn w:val="1"/>
    <w:link w:val="61"/>
    <w:qFormat/>
    <w:uiPriority w:val="0"/>
    <w:pPr>
      <w:widowControl w:val="0"/>
      <w:spacing w:before="0" w:beforeAutospacing="0" w:after="0" w:afterAutospacing="0" w:line="240" w:lineRule="auto"/>
      <w:jc w:val="both"/>
    </w:pPr>
    <w:rPr>
      <w:rFonts w:ascii="宋体" w:hAnsi="Courier New"/>
      <w:sz w:val="20"/>
      <w:szCs w:val="21"/>
    </w:rPr>
  </w:style>
  <w:style w:type="character" w:customStyle="1" w:styleId="63">
    <w:name w:val="日期 Char"/>
    <w:link w:val="64"/>
    <w:qFormat/>
    <w:uiPriority w:val="0"/>
    <w:rPr>
      <w:rFonts w:eastAsia="隶书"/>
      <w:sz w:val="28"/>
    </w:rPr>
  </w:style>
  <w:style w:type="paragraph" w:customStyle="1" w:styleId="64">
    <w:name w:val="日期1"/>
    <w:basedOn w:val="1"/>
    <w:next w:val="1"/>
    <w:link w:val="63"/>
    <w:qFormat/>
    <w:uiPriority w:val="0"/>
    <w:pPr>
      <w:widowControl w:val="0"/>
      <w:spacing w:before="0" w:beforeAutospacing="0" w:after="0" w:afterAutospacing="0" w:line="240" w:lineRule="auto"/>
      <w:jc w:val="both"/>
    </w:pPr>
    <w:rPr>
      <w:rFonts w:ascii="Times New Roman" w:hAnsi="Times New Roman" w:eastAsia="隶书"/>
      <w:sz w:val="28"/>
    </w:rPr>
  </w:style>
  <w:style w:type="character" w:customStyle="1" w:styleId="65">
    <w:name w:val="Placeholder Text1"/>
    <w:qFormat/>
    <w:uiPriority w:val="0"/>
    <w:rPr>
      <w:color w:val="808080"/>
    </w:rPr>
  </w:style>
  <w:style w:type="character" w:customStyle="1" w:styleId="66">
    <w:name w:val="正文文本缩进 Char1"/>
    <w:basedOn w:val="45"/>
    <w:qFormat/>
    <w:uiPriority w:val="0"/>
    <w:rPr>
      <w:rFonts w:ascii="Book Antiqua" w:hAnsi="Book Antiqua" w:eastAsia="宋体" w:cs="Times New Roman"/>
      <w:kern w:val="0"/>
      <w:sz w:val="24"/>
      <w:szCs w:val="20"/>
    </w:rPr>
  </w:style>
  <w:style w:type="paragraph" w:customStyle="1" w:styleId="67">
    <w:name w:val="正文文本缩进1"/>
    <w:basedOn w:val="1"/>
    <w:link w:val="68"/>
    <w:qFormat/>
    <w:uiPriority w:val="0"/>
    <w:pPr>
      <w:widowControl w:val="0"/>
      <w:spacing w:before="0" w:beforeAutospacing="0" w:after="0" w:afterAutospacing="0" w:line="240" w:lineRule="auto"/>
      <w:ind w:firstLine="480"/>
      <w:jc w:val="both"/>
    </w:pPr>
  </w:style>
  <w:style w:type="character" w:customStyle="1" w:styleId="68">
    <w:name w:val="正文文本缩进 Char"/>
    <w:link w:val="67"/>
    <w:qFormat/>
    <w:uiPriority w:val="0"/>
  </w:style>
  <w:style w:type="character" w:customStyle="1" w:styleId="69">
    <w:name w:val="样式 标题 1 + (西文) 方正仿宋_GBK Char"/>
    <w:link w:val="70"/>
    <w:qFormat/>
    <w:uiPriority w:val="0"/>
    <w:rPr>
      <w:rFonts w:ascii="方正仿宋_GBK" w:hAnsi="方正仿宋_GBK" w:eastAsia="方正仿宋_GBK"/>
      <w:b/>
      <w:kern w:val="44"/>
      <w:sz w:val="32"/>
    </w:rPr>
  </w:style>
  <w:style w:type="paragraph" w:customStyle="1" w:styleId="70">
    <w:name w:val="样式 标题 1 + (西文) 方正仿宋_GBK"/>
    <w:basedOn w:val="3"/>
    <w:link w:val="69"/>
    <w:qFormat/>
    <w:uiPriority w:val="0"/>
    <w:pPr>
      <w:keepLines/>
      <w:widowControl w:val="0"/>
      <w:tabs>
        <w:tab w:val="clear" w:pos="720"/>
      </w:tabs>
      <w:snapToGrid w:val="0"/>
      <w:spacing w:before="0" w:after="0"/>
      <w:ind w:left="0" w:firstLine="0"/>
      <w:jc w:val="both"/>
      <w:textAlignment w:val="baseline"/>
    </w:pPr>
    <w:rPr>
      <w:rFonts w:ascii="方正仿宋_GBK" w:hAnsi="方正仿宋_GBK" w:eastAsia="方正仿宋_GBK" w:cs="Times New Roman"/>
      <w:bCs w:val="0"/>
      <w:color w:val="auto"/>
      <w:sz w:val="32"/>
      <w:szCs w:val="20"/>
    </w:rPr>
  </w:style>
  <w:style w:type="character" w:customStyle="1" w:styleId="71">
    <w:name w:val="文档结构图 Char1"/>
    <w:basedOn w:val="45"/>
    <w:qFormat/>
    <w:uiPriority w:val="0"/>
    <w:rPr>
      <w:rFonts w:ascii="宋体" w:hAnsi="Book Antiqua" w:eastAsia="宋体" w:cs="Times New Roman"/>
      <w:kern w:val="0"/>
      <w:sz w:val="18"/>
      <w:szCs w:val="18"/>
    </w:rPr>
  </w:style>
  <w:style w:type="paragraph" w:customStyle="1" w:styleId="72">
    <w:name w:val="文档结构图1"/>
    <w:basedOn w:val="1"/>
    <w:link w:val="73"/>
    <w:qFormat/>
    <w:uiPriority w:val="0"/>
    <w:pPr>
      <w:shd w:val="clear" w:color="auto" w:fill="000080"/>
    </w:pPr>
    <w:rPr>
      <w:shd w:val="clear" w:color="auto" w:fill="000080"/>
    </w:rPr>
  </w:style>
  <w:style w:type="character" w:customStyle="1" w:styleId="73">
    <w:name w:val="文档结构图 Char"/>
    <w:link w:val="72"/>
    <w:qFormat/>
    <w:uiPriority w:val="99"/>
    <w:rPr>
      <w:rFonts w:ascii="Book Antiqua" w:hAnsi="Book Antiqua"/>
      <w:sz w:val="24"/>
      <w:shd w:val="clear" w:color="auto" w:fill="000080"/>
    </w:rPr>
  </w:style>
  <w:style w:type="character" w:customStyle="1" w:styleId="74">
    <w:name w:val="脚注文本 Char1"/>
    <w:basedOn w:val="45"/>
    <w:qFormat/>
    <w:uiPriority w:val="0"/>
    <w:rPr>
      <w:rFonts w:ascii="Book Antiqua" w:hAnsi="Book Antiqua" w:eastAsia="宋体" w:cs="Times New Roman"/>
      <w:kern w:val="0"/>
      <w:sz w:val="18"/>
      <w:szCs w:val="18"/>
    </w:rPr>
  </w:style>
  <w:style w:type="character" w:customStyle="1" w:styleId="75">
    <w:name w:val="脚注文本 Char"/>
    <w:link w:val="33"/>
    <w:qFormat/>
    <w:uiPriority w:val="0"/>
    <w:rPr>
      <w:sz w:val="18"/>
    </w:rPr>
  </w:style>
  <w:style w:type="character" w:customStyle="1" w:styleId="76">
    <w:name w:val="占位符文本1"/>
    <w:qFormat/>
    <w:uiPriority w:val="0"/>
    <w:rPr>
      <w:color w:val="808080"/>
    </w:rPr>
  </w:style>
  <w:style w:type="character" w:customStyle="1" w:styleId="77">
    <w:name w:val="页眉 Char"/>
    <w:basedOn w:val="45"/>
    <w:link w:val="30"/>
    <w:qFormat/>
    <w:uiPriority w:val="99"/>
    <w:rPr>
      <w:sz w:val="18"/>
      <w:szCs w:val="18"/>
    </w:rPr>
  </w:style>
  <w:style w:type="character" w:customStyle="1" w:styleId="78">
    <w:name w:val="批注主题 Char1"/>
    <w:basedOn w:val="79"/>
    <w:qFormat/>
    <w:uiPriority w:val="0"/>
    <w:rPr>
      <w:rFonts w:ascii="Book Antiqua" w:hAnsi="Book Antiqua" w:eastAsia="宋体" w:cs="Times New Roman"/>
      <w:b/>
      <w:bCs/>
      <w:kern w:val="0"/>
      <w:sz w:val="24"/>
      <w:szCs w:val="20"/>
    </w:rPr>
  </w:style>
  <w:style w:type="character" w:customStyle="1" w:styleId="79">
    <w:name w:val="批注文字 Char1"/>
    <w:basedOn w:val="45"/>
    <w:qFormat/>
    <w:uiPriority w:val="0"/>
    <w:rPr>
      <w:rFonts w:ascii="Book Antiqua" w:hAnsi="Book Antiqua" w:eastAsia="宋体" w:cs="Times New Roman"/>
      <w:kern w:val="0"/>
      <w:sz w:val="24"/>
      <w:szCs w:val="20"/>
    </w:rPr>
  </w:style>
  <w:style w:type="character" w:customStyle="1" w:styleId="80">
    <w:name w:val="批注文字 Char"/>
    <w:link w:val="18"/>
    <w:qFormat/>
    <w:uiPriority w:val="99"/>
    <w:rPr>
      <w:rFonts w:ascii="Book Antiqua" w:hAnsi="Book Antiqua"/>
      <w:sz w:val="24"/>
    </w:rPr>
  </w:style>
  <w:style w:type="paragraph" w:customStyle="1" w:styleId="81">
    <w:name w:val="批注主题1"/>
    <w:basedOn w:val="18"/>
    <w:next w:val="18"/>
    <w:link w:val="82"/>
    <w:qFormat/>
    <w:uiPriority w:val="0"/>
    <w:rPr>
      <w:b/>
      <w:bCs/>
    </w:rPr>
  </w:style>
  <w:style w:type="character" w:customStyle="1" w:styleId="82">
    <w:name w:val="批注主题 Char"/>
    <w:link w:val="81"/>
    <w:qFormat/>
    <w:uiPriority w:val="0"/>
    <w:rPr>
      <w:rFonts w:ascii="Book Antiqua" w:hAnsi="Book Antiqua"/>
      <w:b/>
      <w:bCs/>
      <w:sz w:val="24"/>
    </w:rPr>
  </w:style>
  <w:style w:type="character" w:customStyle="1" w:styleId="83">
    <w:name w:val="正文文本 Char"/>
    <w:link w:val="20"/>
    <w:qFormat/>
    <w:uiPriority w:val="0"/>
    <w:rPr>
      <w:rFonts w:ascii="宋体"/>
    </w:rPr>
  </w:style>
  <w:style w:type="character" w:customStyle="1" w:styleId="84">
    <w:name w:val="页脚 Char"/>
    <w:basedOn w:val="45"/>
    <w:link w:val="29"/>
    <w:qFormat/>
    <w:uiPriority w:val="99"/>
    <w:rPr>
      <w:sz w:val="18"/>
      <w:szCs w:val="18"/>
    </w:rPr>
  </w:style>
  <w:style w:type="character" w:customStyle="1" w:styleId="85">
    <w:name w:val="批注框文本 Char1"/>
    <w:basedOn w:val="45"/>
    <w:qFormat/>
    <w:uiPriority w:val="0"/>
    <w:rPr>
      <w:rFonts w:ascii="Book Antiqua" w:hAnsi="Book Antiqua" w:eastAsia="宋体" w:cs="Times New Roman"/>
      <w:kern w:val="0"/>
      <w:sz w:val="18"/>
      <w:szCs w:val="18"/>
    </w:rPr>
  </w:style>
  <w:style w:type="character" w:customStyle="1" w:styleId="86">
    <w:name w:val="批注框文本 Char"/>
    <w:link w:val="28"/>
    <w:qFormat/>
    <w:uiPriority w:val="0"/>
    <w:rPr>
      <w:rFonts w:ascii="Book Antiqua" w:hAnsi="Book Antiqua"/>
      <w:sz w:val="18"/>
      <w:szCs w:val="18"/>
    </w:rPr>
  </w:style>
  <w:style w:type="character" w:customStyle="1" w:styleId="87">
    <w:name w:val="正文文本 3 Char1"/>
    <w:basedOn w:val="45"/>
    <w:qFormat/>
    <w:uiPriority w:val="0"/>
    <w:rPr>
      <w:rFonts w:ascii="Book Antiqua" w:hAnsi="Book Antiqua" w:eastAsia="宋体" w:cs="Times New Roman"/>
      <w:kern w:val="0"/>
      <w:sz w:val="16"/>
      <w:szCs w:val="16"/>
    </w:rPr>
  </w:style>
  <w:style w:type="paragraph" w:customStyle="1" w:styleId="88">
    <w:name w:val="正文文本 31"/>
    <w:basedOn w:val="1"/>
    <w:link w:val="89"/>
    <w:qFormat/>
    <w:uiPriority w:val="0"/>
    <w:pPr>
      <w:widowControl w:val="0"/>
      <w:spacing w:before="0" w:beforeAutospacing="0" w:after="120" w:afterAutospacing="0" w:line="240" w:lineRule="auto"/>
      <w:jc w:val="both"/>
    </w:pPr>
    <w:rPr>
      <w:rFonts w:ascii="Times New Roman" w:hAnsi="Times New Roman"/>
      <w:sz w:val="16"/>
    </w:rPr>
  </w:style>
  <w:style w:type="character" w:customStyle="1" w:styleId="89">
    <w:name w:val="正文文本 3 Char"/>
    <w:link w:val="88"/>
    <w:qFormat/>
    <w:uiPriority w:val="0"/>
    <w:rPr>
      <w:sz w:val="16"/>
    </w:rPr>
  </w:style>
  <w:style w:type="character" w:customStyle="1" w:styleId="90">
    <w:name w:val="正文文本 Char1"/>
    <w:basedOn w:val="45"/>
    <w:qFormat/>
    <w:uiPriority w:val="0"/>
    <w:rPr>
      <w:rFonts w:ascii="Book Antiqua" w:hAnsi="Book Antiqua" w:eastAsia="宋体" w:cs="Times New Roman"/>
      <w:kern w:val="0"/>
      <w:sz w:val="24"/>
      <w:szCs w:val="20"/>
    </w:rPr>
  </w:style>
  <w:style w:type="character" w:customStyle="1" w:styleId="91">
    <w:name w:val="纯文本 Char1"/>
    <w:basedOn w:val="45"/>
    <w:link w:val="24"/>
    <w:qFormat/>
    <w:uiPriority w:val="0"/>
    <w:rPr>
      <w:rFonts w:ascii="宋体" w:hAnsi="Courier New" w:cs="Courier New"/>
      <w:sz w:val="21"/>
      <w:szCs w:val="21"/>
    </w:rPr>
  </w:style>
  <w:style w:type="character" w:customStyle="1" w:styleId="92">
    <w:name w:val="f141"/>
    <w:qFormat/>
    <w:uiPriority w:val="0"/>
    <w:rPr>
      <w:sz w:val="23"/>
    </w:rPr>
  </w:style>
  <w:style w:type="character" w:customStyle="1" w:styleId="93">
    <w:name w:val="正文文本缩进 3 Char"/>
    <w:link w:val="94"/>
    <w:qFormat/>
    <w:uiPriority w:val="0"/>
    <w:rPr>
      <w:rFonts w:ascii="宋体"/>
    </w:rPr>
  </w:style>
  <w:style w:type="paragraph" w:customStyle="1" w:styleId="94">
    <w:name w:val="正文文本缩进 31"/>
    <w:basedOn w:val="1"/>
    <w:link w:val="93"/>
    <w:qFormat/>
    <w:uiPriority w:val="0"/>
    <w:pPr>
      <w:widowControl w:val="0"/>
      <w:spacing w:before="0" w:beforeAutospacing="0" w:after="0" w:afterAutospacing="0" w:line="400" w:lineRule="exact"/>
      <w:ind w:firstLine="360"/>
      <w:jc w:val="both"/>
    </w:pPr>
    <w:rPr>
      <w:rFonts w:ascii="宋体" w:hAnsi="Times New Roman"/>
      <w:sz w:val="20"/>
    </w:rPr>
  </w:style>
  <w:style w:type="character" w:customStyle="1" w:styleId="95">
    <w:name w:val="批注引用1"/>
    <w:qFormat/>
    <w:uiPriority w:val="0"/>
    <w:rPr>
      <w:sz w:val="21"/>
      <w:szCs w:val="21"/>
    </w:rPr>
  </w:style>
  <w:style w:type="character" w:customStyle="1" w:styleId="96">
    <w:name w:val="页码1"/>
    <w:basedOn w:val="45"/>
    <w:qFormat/>
    <w:uiPriority w:val="0"/>
  </w:style>
  <w:style w:type="character" w:customStyle="1" w:styleId="97">
    <w:name w:val="正文文本缩进 2 Char"/>
    <w:link w:val="98"/>
    <w:qFormat/>
    <w:uiPriority w:val="0"/>
    <w:rPr>
      <w:rFonts w:ascii="宋体"/>
    </w:rPr>
  </w:style>
  <w:style w:type="paragraph" w:customStyle="1" w:styleId="98">
    <w:name w:val="正文文本缩进 21"/>
    <w:basedOn w:val="1"/>
    <w:link w:val="97"/>
    <w:qFormat/>
    <w:uiPriority w:val="0"/>
    <w:pPr>
      <w:widowControl w:val="0"/>
      <w:spacing w:beforeLines="50" w:beforeAutospacing="0" w:after="0" w:afterAutospacing="0" w:line="240" w:lineRule="auto"/>
      <w:ind w:left="357"/>
      <w:jc w:val="both"/>
    </w:pPr>
    <w:rPr>
      <w:rFonts w:ascii="宋体" w:hAnsi="Times New Roman"/>
      <w:sz w:val="20"/>
    </w:rPr>
  </w:style>
  <w:style w:type="character" w:customStyle="1" w:styleId="99">
    <w:name w:val="正文文本缩进 3 Char1"/>
    <w:basedOn w:val="45"/>
    <w:qFormat/>
    <w:uiPriority w:val="0"/>
    <w:rPr>
      <w:rFonts w:ascii="Book Antiqua" w:hAnsi="Book Antiqua" w:eastAsia="宋体" w:cs="Times New Roman"/>
      <w:kern w:val="0"/>
      <w:sz w:val="16"/>
      <w:szCs w:val="16"/>
    </w:rPr>
  </w:style>
  <w:style w:type="character" w:customStyle="1" w:styleId="100">
    <w:name w:val="正文文本缩进 2 Char1"/>
    <w:basedOn w:val="45"/>
    <w:qFormat/>
    <w:uiPriority w:val="0"/>
    <w:rPr>
      <w:rFonts w:ascii="Book Antiqua" w:hAnsi="Book Antiqua" w:eastAsia="宋体" w:cs="Times New Roman"/>
      <w:kern w:val="0"/>
      <w:sz w:val="24"/>
      <w:szCs w:val="20"/>
    </w:rPr>
  </w:style>
  <w:style w:type="character" w:customStyle="1" w:styleId="101">
    <w:name w:val="日期 Char1"/>
    <w:basedOn w:val="45"/>
    <w:qFormat/>
    <w:uiPriority w:val="0"/>
    <w:rPr>
      <w:rFonts w:ascii="Book Antiqua" w:hAnsi="Book Antiqua" w:eastAsia="宋体" w:cs="Times New Roman"/>
      <w:kern w:val="0"/>
      <w:sz w:val="24"/>
      <w:szCs w:val="20"/>
    </w:rPr>
  </w:style>
  <w:style w:type="paragraph" w:customStyle="1" w:styleId="102">
    <w:name w:val="引文目录标题1"/>
    <w:basedOn w:val="1"/>
    <w:next w:val="1"/>
    <w:qFormat/>
    <w:uiPriority w:val="0"/>
    <w:pPr>
      <w:widowControl w:val="0"/>
      <w:spacing w:before="120" w:beforeAutospacing="0" w:after="0" w:afterAutospacing="0" w:line="240" w:lineRule="auto"/>
      <w:jc w:val="both"/>
    </w:pPr>
    <w:rPr>
      <w:rFonts w:ascii="Arial" w:hAnsi="Arial"/>
      <w:kern w:val="2"/>
    </w:rPr>
  </w:style>
  <w:style w:type="paragraph" w:customStyle="1" w:styleId="103">
    <w:name w:val="xl66"/>
    <w:basedOn w:val="1"/>
    <w:qFormat/>
    <w:uiPriority w:val="0"/>
    <w:pPr>
      <w:pBdr>
        <w:bottom w:val="dotted" w:color="auto" w:sz="4" w:space="0"/>
        <w:right w:val="dotted" w:color="auto" w:sz="4" w:space="0"/>
      </w:pBdr>
      <w:spacing w:line="240" w:lineRule="auto"/>
      <w:jc w:val="both"/>
    </w:pPr>
    <w:rPr>
      <w:rFonts w:ascii="宋体" w:hAnsi="宋体"/>
      <w:sz w:val="20"/>
    </w:rPr>
  </w:style>
  <w:style w:type="paragraph" w:customStyle="1" w:styleId="104">
    <w:name w:val="TOC 标题1"/>
    <w:basedOn w:val="3"/>
    <w:next w:val="1"/>
    <w:qFormat/>
    <w:uiPriority w:val="0"/>
    <w:pPr>
      <w:keepLines/>
      <w:adjustRightInd/>
      <w:spacing w:before="480" w:after="0" w:line="276" w:lineRule="auto"/>
      <w:ind w:left="0" w:firstLine="0"/>
      <w:outlineLvl w:val="9"/>
    </w:pPr>
    <w:rPr>
      <w:rFonts w:ascii="Cambria" w:hAnsi="Cambria" w:cs="Times New Roman"/>
      <w:color w:val="365F91"/>
      <w:kern w:val="0"/>
      <w:sz w:val="28"/>
      <w:szCs w:val="28"/>
      <w:lang w:eastAsia="en-US"/>
    </w:rPr>
  </w:style>
  <w:style w:type="paragraph" w:customStyle="1" w:styleId="105">
    <w:name w:val="2"/>
    <w:basedOn w:val="106"/>
    <w:next w:val="88"/>
    <w:qFormat/>
    <w:uiPriority w:val="0"/>
    <w:pPr>
      <w:widowControl w:val="0"/>
      <w:autoSpaceDE w:val="0"/>
      <w:autoSpaceDN w:val="0"/>
      <w:adjustRightInd w:val="0"/>
      <w:spacing w:before="0" w:beforeAutospacing="0" w:after="120" w:afterAutospacing="0" w:line="240" w:lineRule="auto"/>
      <w:ind w:left="420"/>
      <w:textAlignment w:val="baseline"/>
    </w:pPr>
    <w:rPr>
      <w:rFonts w:ascii="宋体" w:hAnsi="Tms Rmn"/>
      <w:sz w:val="21"/>
    </w:rPr>
  </w:style>
  <w:style w:type="paragraph" w:customStyle="1" w:styleId="106">
    <w:name w:val="正文缩进1"/>
    <w:basedOn w:val="1"/>
    <w:qFormat/>
    <w:uiPriority w:val="0"/>
    <w:pPr>
      <w:ind w:left="720"/>
    </w:pPr>
  </w:style>
  <w:style w:type="paragraph" w:customStyle="1" w:styleId="107">
    <w:name w:val="xl50"/>
    <w:basedOn w:val="1"/>
    <w:qFormat/>
    <w:uiPriority w:val="0"/>
    <w:pPr>
      <w:spacing w:line="240" w:lineRule="auto"/>
      <w:jc w:val="center"/>
    </w:pPr>
    <w:rPr>
      <w:rFonts w:ascii="宋体" w:hAnsi="宋体"/>
      <w:szCs w:val="24"/>
    </w:rPr>
  </w:style>
  <w:style w:type="paragraph" w:customStyle="1" w:styleId="108">
    <w:name w:val="样式 宋体 小四 段前: 3 磅 行距: 1.5 倍行距"/>
    <w:basedOn w:val="1"/>
    <w:qFormat/>
    <w:uiPriority w:val="0"/>
    <w:pPr>
      <w:widowControl w:val="0"/>
      <w:spacing w:after="0" w:afterAutospacing="0"/>
      <w:jc w:val="both"/>
    </w:pPr>
    <w:rPr>
      <w:rFonts w:ascii="宋体" w:hAnsi="宋体" w:cs="宋体"/>
      <w:kern w:val="2"/>
    </w:rPr>
  </w:style>
  <w:style w:type="paragraph" w:customStyle="1" w:styleId="109">
    <w:name w:val="xl67"/>
    <w:basedOn w:val="1"/>
    <w:qFormat/>
    <w:uiPriority w:val="0"/>
    <w:pPr>
      <w:pBdr>
        <w:bottom w:val="dotted" w:color="auto" w:sz="4" w:space="0"/>
      </w:pBdr>
      <w:spacing w:line="240" w:lineRule="auto"/>
      <w:jc w:val="both"/>
    </w:pPr>
    <w:rPr>
      <w:rFonts w:ascii="宋体" w:hAnsi="宋体"/>
      <w:sz w:val="20"/>
    </w:rPr>
  </w:style>
  <w:style w:type="paragraph" w:customStyle="1" w:styleId="110">
    <w:name w:val="Char Char Char"/>
    <w:basedOn w:val="1"/>
    <w:qFormat/>
    <w:uiPriority w:val="0"/>
    <w:pPr>
      <w:widowControl w:val="0"/>
      <w:spacing w:before="0" w:beforeAutospacing="0" w:after="0" w:afterAutospacing="0" w:line="240" w:lineRule="auto"/>
      <w:jc w:val="both"/>
    </w:pPr>
    <w:rPr>
      <w:rFonts w:ascii="Times New Roman" w:hAnsi="Times New Roman"/>
      <w:kern w:val="2"/>
      <w:sz w:val="21"/>
      <w:szCs w:val="24"/>
    </w:rPr>
  </w:style>
  <w:style w:type="paragraph" w:customStyle="1" w:styleId="111">
    <w:name w:val="Char"/>
    <w:basedOn w:val="1"/>
    <w:qFormat/>
    <w:uiPriority w:val="0"/>
    <w:rPr>
      <w:rFonts w:ascii="Arial" w:hAnsi="Arial"/>
      <w:kern w:val="2"/>
      <w:sz w:val="21"/>
    </w:rPr>
  </w:style>
  <w:style w:type="paragraph" w:customStyle="1" w:styleId="112">
    <w:name w:val="xl68"/>
    <w:basedOn w:val="1"/>
    <w:qFormat/>
    <w:uiPriority w:val="0"/>
    <w:pPr>
      <w:pBdr>
        <w:bottom w:val="dotted" w:color="auto" w:sz="4" w:space="0"/>
        <w:right w:val="dotted" w:color="auto" w:sz="4" w:space="0"/>
      </w:pBdr>
      <w:spacing w:line="240" w:lineRule="auto"/>
      <w:jc w:val="both"/>
    </w:pPr>
    <w:rPr>
      <w:rFonts w:ascii="宋体" w:hAnsi="宋体"/>
      <w:b/>
      <w:bCs/>
      <w:sz w:val="20"/>
    </w:rPr>
  </w:style>
  <w:style w:type="paragraph" w:customStyle="1" w:styleId="113">
    <w:name w:val="Char Char Char Char"/>
    <w:basedOn w:val="1"/>
    <w:qFormat/>
    <w:uiPriority w:val="0"/>
    <w:pPr>
      <w:widowControl w:val="0"/>
      <w:spacing w:before="0" w:beforeAutospacing="0" w:after="0" w:afterAutospacing="0" w:line="240" w:lineRule="auto"/>
      <w:jc w:val="both"/>
    </w:pPr>
    <w:rPr>
      <w:rFonts w:ascii="Times New Roman" w:hAnsi="Times New Roman"/>
      <w:kern w:val="2"/>
      <w:sz w:val="21"/>
      <w:szCs w:val="24"/>
    </w:rPr>
  </w:style>
  <w:style w:type="paragraph" w:customStyle="1" w:styleId="114">
    <w:name w:val="Char Char Char1 Char"/>
    <w:basedOn w:val="1"/>
    <w:qFormat/>
    <w:uiPriority w:val="0"/>
    <w:pPr>
      <w:widowControl w:val="0"/>
      <w:spacing w:before="0" w:beforeAutospacing="0" w:after="0" w:afterAutospacing="0" w:line="240" w:lineRule="auto"/>
      <w:jc w:val="both"/>
    </w:pPr>
    <w:rPr>
      <w:rFonts w:ascii="Times New Roman" w:hAnsi="Times New Roman"/>
      <w:kern w:val="2"/>
      <w:sz w:val="21"/>
      <w:szCs w:val="24"/>
    </w:rPr>
  </w:style>
  <w:style w:type="paragraph" w:customStyle="1" w:styleId="115">
    <w:name w:val="普通(网站)1"/>
    <w:basedOn w:val="1"/>
    <w:qFormat/>
    <w:uiPriority w:val="0"/>
    <w:pPr>
      <w:spacing w:line="240" w:lineRule="auto"/>
    </w:pPr>
    <w:rPr>
      <w:rFonts w:ascii="Times New Roman" w:hAnsi="Times New Roman" w:eastAsia="Times New Roman"/>
      <w:szCs w:val="24"/>
    </w:rPr>
  </w:style>
  <w:style w:type="paragraph" w:customStyle="1" w:styleId="116">
    <w:name w:val="样式 标题 2 + 段前: 24 磅 段后: 6 磅 行距: 单倍行距"/>
    <w:basedOn w:val="4"/>
    <w:qFormat/>
    <w:uiPriority w:val="0"/>
    <w:pPr>
      <w:spacing w:before="100" w:after="100"/>
    </w:pPr>
    <w:rPr>
      <w:rFonts w:cs="宋体"/>
      <w:szCs w:val="20"/>
    </w:rPr>
  </w:style>
  <w:style w:type="paragraph" w:customStyle="1" w:styleId="117">
    <w:name w:val="修订1"/>
    <w:qFormat/>
    <w:uiPriority w:val="0"/>
    <w:rPr>
      <w:rFonts w:ascii="Book Antiqua" w:hAnsi="Book Antiqua" w:eastAsia="宋体" w:cs="Times New Roman"/>
      <w:sz w:val="24"/>
      <w:lang w:val="en-US" w:eastAsia="zh-CN" w:bidi="ar-SA"/>
    </w:rPr>
  </w:style>
  <w:style w:type="paragraph" w:customStyle="1" w:styleId="118">
    <w:name w:val="List Paragraph1"/>
    <w:basedOn w:val="1"/>
    <w:qFormat/>
    <w:uiPriority w:val="0"/>
    <w:pPr>
      <w:ind w:left="720"/>
    </w:pPr>
  </w:style>
  <w:style w:type="paragraph" w:customStyle="1" w:styleId="119">
    <w:name w:val="列出段落1"/>
    <w:basedOn w:val="1"/>
    <w:qFormat/>
    <w:uiPriority w:val="0"/>
    <w:pPr>
      <w:widowControl w:val="0"/>
      <w:spacing w:before="0" w:beforeAutospacing="0" w:after="0" w:afterAutospacing="0" w:line="240" w:lineRule="auto"/>
      <w:ind w:firstLine="420" w:firstLineChars="200"/>
      <w:jc w:val="both"/>
    </w:pPr>
    <w:rPr>
      <w:rFonts w:ascii="Calibri" w:hAnsi="Calibri"/>
      <w:kern w:val="2"/>
      <w:sz w:val="21"/>
      <w:szCs w:val="22"/>
    </w:rPr>
  </w:style>
  <w:style w:type="paragraph" w:customStyle="1" w:styleId="120">
    <w:name w:val="xl70"/>
    <w:basedOn w:val="1"/>
    <w:qFormat/>
    <w:uiPriority w:val="0"/>
    <w:pPr>
      <w:pBdr>
        <w:bottom w:val="dotted" w:color="auto" w:sz="4" w:space="0"/>
      </w:pBdr>
      <w:spacing w:line="240" w:lineRule="auto"/>
      <w:jc w:val="both"/>
    </w:pPr>
    <w:rPr>
      <w:rFonts w:ascii="宋体" w:hAnsi="宋体"/>
      <w:b/>
      <w:bCs/>
      <w:color w:val="000000"/>
      <w:sz w:val="20"/>
    </w:rPr>
  </w:style>
  <w:style w:type="paragraph" w:customStyle="1" w:styleId="121">
    <w:name w:val="p82"/>
    <w:basedOn w:val="1"/>
    <w:qFormat/>
    <w:uiPriority w:val="0"/>
    <w:pPr>
      <w:tabs>
        <w:tab w:val="left" w:pos="460"/>
      </w:tabs>
      <w:overflowPunct w:val="0"/>
      <w:autoSpaceDE w:val="0"/>
      <w:autoSpaceDN w:val="0"/>
      <w:adjustRightInd w:val="0"/>
      <w:spacing w:before="0" w:beforeAutospacing="0" w:after="0" w:afterAutospacing="0" w:line="320" w:lineRule="atLeast"/>
      <w:jc w:val="both"/>
      <w:textAlignment w:val="baseline"/>
    </w:pPr>
    <w:rPr>
      <w:rFonts w:ascii="Times New Roman" w:hAnsi="Times New Roman"/>
    </w:rPr>
  </w:style>
  <w:style w:type="paragraph" w:customStyle="1" w:styleId="122">
    <w:name w:val="列出段落2"/>
    <w:basedOn w:val="1"/>
    <w:qFormat/>
    <w:uiPriority w:val="0"/>
    <w:pPr>
      <w:ind w:left="720"/>
    </w:pPr>
  </w:style>
  <w:style w:type="paragraph" w:customStyle="1" w:styleId="123">
    <w:name w:val="xl71"/>
    <w:basedOn w:val="1"/>
    <w:qFormat/>
    <w:uiPriority w:val="0"/>
    <w:pPr>
      <w:pBdr>
        <w:bottom w:val="dotted" w:color="auto" w:sz="4" w:space="0"/>
        <w:right w:val="dotted" w:color="auto" w:sz="4" w:space="0"/>
      </w:pBdr>
      <w:spacing w:line="240" w:lineRule="auto"/>
      <w:jc w:val="both"/>
      <w:textAlignment w:val="top"/>
    </w:pPr>
    <w:rPr>
      <w:rFonts w:ascii="宋体" w:hAnsi="宋体"/>
      <w:sz w:val="20"/>
    </w:rPr>
  </w:style>
  <w:style w:type="paragraph" w:customStyle="1" w:styleId="124">
    <w:name w:val="xl69"/>
    <w:basedOn w:val="1"/>
    <w:qFormat/>
    <w:uiPriority w:val="0"/>
    <w:pPr>
      <w:pBdr>
        <w:bottom w:val="dotted" w:color="auto" w:sz="4" w:space="0"/>
        <w:right w:val="dotted" w:color="auto" w:sz="4" w:space="0"/>
      </w:pBdr>
      <w:spacing w:line="240" w:lineRule="auto"/>
      <w:jc w:val="both"/>
    </w:pPr>
    <w:rPr>
      <w:rFonts w:ascii="宋体" w:hAnsi="宋体"/>
      <w:b/>
      <w:bCs/>
      <w:color w:val="000000"/>
      <w:sz w:val="20"/>
    </w:rPr>
  </w:style>
  <w:style w:type="paragraph" w:customStyle="1" w:styleId="125">
    <w:name w:val="普通"/>
    <w:next w:val="1"/>
    <w:qFormat/>
    <w:uiPriority w:val="0"/>
    <w:pPr>
      <w:ind w:firstLine="2160"/>
    </w:pPr>
    <w:rPr>
      <w:rFonts w:ascii="Times New Roman" w:hAnsi="Times New Roman" w:eastAsia="宋体" w:cs="Times New Roman"/>
      <w:b/>
      <w:kern w:val="2"/>
      <w:sz w:val="21"/>
      <w:szCs w:val="21"/>
      <w:lang w:val="en-US" w:eastAsia="zh-CN" w:bidi="ar-SA"/>
    </w:rPr>
  </w:style>
  <w:style w:type="paragraph" w:customStyle="1" w:styleId="126">
    <w:name w:val="1"/>
    <w:basedOn w:val="1"/>
    <w:next w:val="62"/>
    <w:qFormat/>
    <w:uiPriority w:val="0"/>
    <w:pPr>
      <w:widowControl w:val="0"/>
      <w:spacing w:before="0" w:beforeAutospacing="0" w:after="0" w:afterAutospacing="0" w:line="240" w:lineRule="auto"/>
      <w:jc w:val="both"/>
    </w:pPr>
    <w:rPr>
      <w:rFonts w:ascii="宋体" w:hAnsi="Courier New"/>
      <w:kern w:val="2"/>
      <w:sz w:val="21"/>
    </w:rPr>
  </w:style>
  <w:style w:type="paragraph" w:customStyle="1" w:styleId="127">
    <w:name w:val="xl63"/>
    <w:basedOn w:val="1"/>
    <w:qFormat/>
    <w:uiPriority w:val="0"/>
    <w:pPr>
      <w:pBdr>
        <w:top w:val="double" w:color="auto" w:sz="6" w:space="0"/>
        <w:bottom w:val="dotted" w:color="auto" w:sz="4" w:space="0"/>
        <w:right w:val="dotted" w:color="auto" w:sz="4" w:space="0"/>
      </w:pBdr>
      <w:spacing w:line="240" w:lineRule="auto"/>
      <w:jc w:val="center"/>
    </w:pPr>
    <w:rPr>
      <w:rFonts w:ascii="宋体" w:hAnsi="宋体"/>
      <w:b/>
      <w:bCs/>
      <w:sz w:val="20"/>
    </w:rPr>
  </w:style>
  <w:style w:type="paragraph" w:customStyle="1" w:styleId="128">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129">
    <w:name w:val="p15"/>
    <w:basedOn w:val="1"/>
    <w:qFormat/>
    <w:uiPriority w:val="0"/>
    <w:pPr>
      <w:ind w:left="720"/>
    </w:pPr>
    <w:rPr>
      <w:rFonts w:cs="Book Antiqua"/>
      <w:szCs w:val="24"/>
    </w:rPr>
  </w:style>
  <w:style w:type="paragraph" w:customStyle="1" w:styleId="130">
    <w:name w:val="居中正文"/>
    <w:basedOn w:val="1"/>
    <w:qFormat/>
    <w:uiPriority w:val="0"/>
    <w:pPr>
      <w:widowControl w:val="0"/>
      <w:autoSpaceDE w:val="0"/>
      <w:autoSpaceDN w:val="0"/>
      <w:adjustRightInd w:val="0"/>
      <w:spacing w:before="0" w:beforeAutospacing="0" w:after="0" w:afterAutospacing="0" w:line="480" w:lineRule="exact"/>
      <w:jc w:val="center"/>
    </w:pPr>
    <w:rPr>
      <w:rFonts w:ascii="宋体" w:hAnsi="宋体" w:cs="黑体"/>
      <w:b/>
      <w:sz w:val="28"/>
      <w:szCs w:val="28"/>
    </w:rPr>
  </w:style>
  <w:style w:type="paragraph" w:customStyle="1" w:styleId="131">
    <w:name w:val="xl64"/>
    <w:basedOn w:val="1"/>
    <w:qFormat/>
    <w:uiPriority w:val="0"/>
    <w:pPr>
      <w:pBdr>
        <w:top w:val="double" w:color="auto" w:sz="6" w:space="0"/>
        <w:bottom w:val="dotted" w:color="auto" w:sz="4" w:space="0"/>
      </w:pBdr>
      <w:spacing w:line="240" w:lineRule="auto"/>
      <w:jc w:val="center"/>
    </w:pPr>
    <w:rPr>
      <w:rFonts w:ascii="宋体" w:hAnsi="宋体"/>
      <w:b/>
      <w:bCs/>
      <w:sz w:val="20"/>
    </w:rPr>
  </w:style>
  <w:style w:type="paragraph" w:customStyle="1" w:styleId="132">
    <w:name w:val="xl72"/>
    <w:basedOn w:val="1"/>
    <w:qFormat/>
    <w:uiPriority w:val="0"/>
    <w:pPr>
      <w:pBdr>
        <w:top w:val="dotted" w:color="auto" w:sz="4" w:space="0"/>
        <w:bottom w:val="dotted" w:color="auto" w:sz="4" w:space="0"/>
      </w:pBdr>
      <w:spacing w:line="240" w:lineRule="auto"/>
      <w:jc w:val="both"/>
    </w:pPr>
    <w:rPr>
      <w:rFonts w:ascii="宋体" w:hAnsi="宋体"/>
      <w:b/>
      <w:bCs/>
      <w:sz w:val="20"/>
    </w:rPr>
  </w:style>
  <w:style w:type="paragraph" w:customStyle="1" w:styleId="133">
    <w:name w:val="样式 标题 1 + 14 磅 行距: 1.5 倍行距"/>
    <w:basedOn w:val="3"/>
    <w:qFormat/>
    <w:uiPriority w:val="0"/>
    <w:pPr>
      <w:spacing w:before="100" w:after="100"/>
    </w:pPr>
    <w:rPr>
      <w:rFonts w:cs="宋体"/>
      <w:kern w:val="2"/>
      <w:sz w:val="28"/>
      <w:szCs w:val="20"/>
    </w:rPr>
  </w:style>
  <w:style w:type="paragraph" w:customStyle="1" w:styleId="134">
    <w:name w:val="xl65"/>
    <w:basedOn w:val="1"/>
    <w:qFormat/>
    <w:uiPriority w:val="0"/>
    <w:pPr>
      <w:pBdr>
        <w:bottom w:val="dotted" w:color="auto" w:sz="4" w:space="0"/>
      </w:pBdr>
      <w:spacing w:line="240" w:lineRule="auto"/>
      <w:jc w:val="both"/>
    </w:pPr>
    <w:rPr>
      <w:rFonts w:ascii="宋体" w:hAnsi="宋体"/>
      <w:b/>
      <w:bCs/>
      <w:sz w:val="20"/>
    </w:rPr>
  </w:style>
  <w:style w:type="paragraph" w:customStyle="1" w:styleId="135">
    <w:name w:val="列表编号 21"/>
    <w:basedOn w:val="1"/>
    <w:qFormat/>
    <w:uiPriority w:val="0"/>
    <w:pPr>
      <w:tabs>
        <w:tab w:val="left" w:pos="1531"/>
      </w:tabs>
      <w:spacing w:before="0" w:beforeAutospacing="0" w:after="0" w:afterAutospacing="0" w:line="240" w:lineRule="auto"/>
      <w:ind w:left="1531" w:hanging="397"/>
    </w:pPr>
    <w:rPr>
      <w:sz w:val="21"/>
    </w:rPr>
  </w:style>
  <w:style w:type="paragraph" w:customStyle="1" w:styleId="136">
    <w:name w:val="列表 31"/>
    <w:basedOn w:val="1"/>
    <w:qFormat/>
    <w:uiPriority w:val="0"/>
    <w:pPr>
      <w:tabs>
        <w:tab w:val="left" w:pos="1928"/>
      </w:tabs>
      <w:ind w:left="1928" w:hanging="567"/>
    </w:pPr>
  </w:style>
  <w:style w:type="paragraph" w:customStyle="1" w:styleId="137">
    <w:name w:val="文本块1"/>
    <w:basedOn w:val="1"/>
    <w:qFormat/>
    <w:uiPriority w:val="0"/>
    <w:pPr>
      <w:widowControl w:val="0"/>
      <w:tabs>
        <w:tab w:val="left" w:pos="720"/>
        <w:tab w:val="left" w:pos="2552"/>
        <w:tab w:val="left" w:pos="3261"/>
      </w:tabs>
      <w:spacing w:before="0" w:beforeAutospacing="0" w:after="0" w:afterAutospacing="0" w:line="240" w:lineRule="auto"/>
      <w:ind w:left="720" w:right="-52"/>
      <w:jc w:val="both"/>
    </w:pPr>
    <w:rPr>
      <w:rFonts w:ascii="宋体" w:hAnsi="Times New Roman"/>
      <w:kern w:val="2"/>
      <w:sz w:val="21"/>
    </w:rPr>
  </w:style>
  <w:style w:type="paragraph" w:customStyle="1" w:styleId="138">
    <w:name w:val="普通(网站) New New New New New New New New New New New New New New New New New New New New New"/>
    <w:basedOn w:val="1"/>
    <w:qFormat/>
    <w:uiPriority w:val="0"/>
    <w:pPr>
      <w:topLinePunct/>
      <w:spacing w:line="240" w:lineRule="auto"/>
    </w:pPr>
    <w:rPr>
      <w:rFonts w:ascii="宋体" w:hAnsi="宋体" w:eastAsia="方正仿宋_GBK"/>
    </w:rPr>
  </w:style>
  <w:style w:type="paragraph" w:customStyle="1" w:styleId="139">
    <w:name w:val="正文 New New New New New New New New New New New New New New New New New New New New New New New New New New New New New New New New New New New New New New New New New New New New New New New New New New New New New New New New New New New New New New N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suppressAutoHyphens/>
      <w:jc w:val="both"/>
    </w:pPr>
    <w:rPr>
      <w:rFonts w:ascii="Calibri" w:hAnsi="Calibri" w:eastAsia="宋体" w:cs="Times New Roman"/>
      <w:kern w:val="1"/>
      <w:sz w:val="21"/>
      <w:lang w:val="en-US" w:eastAsia="ar-SA" w:bidi="ar-SA"/>
    </w:rPr>
  </w:style>
  <w:style w:type="paragraph" w:styleId="141">
    <w:name w:val="List Paragraph"/>
    <w:basedOn w:val="1"/>
    <w:link w:val="196"/>
    <w:qFormat/>
    <w:uiPriority w:val="34"/>
    <w:pPr>
      <w:ind w:firstLine="420" w:firstLineChars="200"/>
    </w:pPr>
  </w:style>
  <w:style w:type="paragraph" w:customStyle="1" w:styleId="14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1"/>
    <w:qFormat/>
    <w:uiPriority w:val="0"/>
    <w:pPr>
      <w:widowControl w:val="0"/>
      <w:pBdr>
        <w:bottom w:val="single" w:color="auto" w:sz="6" w:space="1"/>
      </w:pBdr>
      <w:tabs>
        <w:tab w:val="center" w:pos="4153"/>
        <w:tab w:val="right" w:pos="8306"/>
      </w:tabs>
      <w:snapToGrid w:val="0"/>
      <w:spacing w:before="0" w:beforeAutospacing="0" w:after="0" w:afterAutospacing="0" w:line="240" w:lineRule="auto"/>
      <w:jc w:val="center"/>
    </w:pPr>
    <w:rPr>
      <w:rFonts w:ascii="Calibri" w:hAnsi="Calibri"/>
      <w:kern w:val="2"/>
      <w:sz w:val="18"/>
      <w:szCs w:val="24"/>
    </w:rPr>
  </w:style>
  <w:style w:type="paragraph" w:customStyle="1" w:styleId="143">
    <w:name w:val="p0"/>
    <w:basedOn w:val="1"/>
    <w:qFormat/>
    <w:uiPriority w:val="0"/>
    <w:pPr>
      <w:spacing w:before="0" w:beforeAutospacing="0" w:after="0" w:afterAutospacing="0" w:line="240" w:lineRule="auto"/>
      <w:jc w:val="both"/>
    </w:pPr>
    <w:rPr>
      <w:rFonts w:ascii="Calibri" w:hAnsi="Calibri" w:eastAsia="方正仿宋_GBK"/>
      <w:sz w:val="21"/>
      <w:szCs w:val="32"/>
    </w:rPr>
  </w:style>
  <w:style w:type="character" w:customStyle="1" w:styleId="144">
    <w:name w:val="标题 Char"/>
    <w:basedOn w:val="45"/>
    <w:link w:val="41"/>
    <w:qFormat/>
    <w:uiPriority w:val="0"/>
    <w:rPr>
      <w:rFonts w:ascii="方正仿宋_GBK" w:hAnsi="方正仿宋_GBK" w:eastAsia="黑体"/>
      <w:kern w:val="44"/>
      <w:sz w:val="32"/>
    </w:rPr>
  </w:style>
  <w:style w:type="paragraph" w:customStyle="1" w:styleId="145">
    <w:name w:val="页脚1"/>
    <w:basedOn w:val="1"/>
    <w:link w:val="146"/>
    <w:qFormat/>
    <w:uiPriority w:val="0"/>
    <w:pPr>
      <w:widowControl w:val="0"/>
      <w:tabs>
        <w:tab w:val="center" w:pos="4153"/>
        <w:tab w:val="right" w:pos="8306"/>
      </w:tabs>
      <w:snapToGrid w:val="0"/>
      <w:spacing w:before="0" w:beforeAutospacing="0" w:after="0" w:afterAutospacing="0" w:line="240" w:lineRule="auto"/>
    </w:pPr>
    <w:rPr>
      <w:rFonts w:ascii="Calibri" w:hAnsi="Calibri" w:cs="黑体"/>
      <w:kern w:val="2"/>
      <w:sz w:val="18"/>
    </w:rPr>
  </w:style>
  <w:style w:type="character" w:customStyle="1" w:styleId="146">
    <w:name w:val="页脚 Char Char"/>
    <w:link w:val="145"/>
    <w:qFormat/>
    <w:uiPriority w:val="0"/>
    <w:rPr>
      <w:rFonts w:ascii="Calibri" w:hAnsi="Calibri" w:cs="黑体"/>
      <w:kern w:val="2"/>
      <w:sz w:val="18"/>
    </w:rPr>
  </w:style>
  <w:style w:type="paragraph" w:styleId="147">
    <w:name w:val="No Spacing"/>
    <w:qFormat/>
    <w:uiPriority w:val="1"/>
    <w:pPr>
      <w:widowControl w:val="0"/>
      <w:ind w:firstLine="641"/>
      <w:jc w:val="both"/>
    </w:pPr>
    <w:rPr>
      <w:rFonts w:asciiTheme="minorHAnsi" w:hAnsiTheme="minorHAnsi" w:eastAsiaTheme="minorEastAsia" w:cstheme="minorBidi"/>
      <w:kern w:val="2"/>
      <w:sz w:val="21"/>
      <w:szCs w:val="22"/>
      <w:lang w:val="en-US" w:eastAsia="zh-CN" w:bidi="ar-SA"/>
    </w:rPr>
  </w:style>
  <w:style w:type="paragraph" w:customStyle="1" w:styleId="14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正文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51">
    <w:name w:val="正文 New New"/>
    <w:qFormat/>
    <w:uiPriority w:val="0"/>
    <w:pPr>
      <w:widowControl w:val="0"/>
      <w:topLinePunct/>
      <w:jc w:val="both"/>
    </w:pPr>
    <w:rPr>
      <w:rFonts w:ascii="Calibri" w:hAnsi="Calibri" w:eastAsia="宋体" w:cs="Times New Roman"/>
      <w:kern w:val="2"/>
      <w:sz w:val="21"/>
      <w:szCs w:val="24"/>
      <w:lang w:val="en-US" w:eastAsia="zh-CN" w:bidi="ar-SA"/>
    </w:rPr>
  </w:style>
  <w:style w:type="paragraph" w:customStyle="1" w:styleId="152">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页脚2"/>
    <w:basedOn w:val="1"/>
    <w:qFormat/>
    <w:uiPriority w:val="0"/>
    <w:pPr>
      <w:widowControl w:val="0"/>
      <w:tabs>
        <w:tab w:val="center" w:pos="4153"/>
        <w:tab w:val="right" w:pos="8306"/>
      </w:tabs>
      <w:snapToGrid w:val="0"/>
      <w:spacing w:before="0" w:beforeAutospacing="0" w:after="0" w:afterAutospacing="0" w:line="240" w:lineRule="auto"/>
    </w:pPr>
    <w:rPr>
      <w:rFonts w:ascii="Calibri" w:hAnsi="Calibri" w:cs="黑体"/>
      <w:kern w:val="2"/>
      <w:sz w:val="18"/>
    </w:rPr>
  </w:style>
  <w:style w:type="paragraph" w:customStyle="1" w:styleId="154">
    <w:name w:val="普通(网站) New"/>
    <w:basedOn w:val="1"/>
    <w:qFormat/>
    <w:uiPriority w:val="0"/>
    <w:pPr>
      <w:topLinePunct/>
      <w:spacing w:line="240" w:lineRule="auto"/>
    </w:pPr>
    <w:rPr>
      <w:rFonts w:ascii="宋体" w:hAnsi="宋体" w:eastAsia="方正仿宋_GBK"/>
    </w:rPr>
  </w:style>
  <w:style w:type="paragraph" w:customStyle="1" w:styleId="15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6">
    <w:name w:val="普通(网站) New New New New New New New New New New New New New New New New New New New New New New"/>
    <w:basedOn w:val="1"/>
    <w:qFormat/>
    <w:uiPriority w:val="0"/>
    <w:pPr>
      <w:topLinePunct/>
      <w:spacing w:line="240" w:lineRule="auto"/>
    </w:pPr>
    <w:rPr>
      <w:rFonts w:hint="eastAsia" w:ascii="宋体" w:hAnsi="宋体"/>
    </w:rPr>
  </w:style>
  <w:style w:type="paragraph" w:customStyle="1" w:styleId="157">
    <w:name w:val="普通(网站) New New New New New New New New New New New New New New New New New New New New New New New New"/>
    <w:basedOn w:val="1"/>
    <w:qFormat/>
    <w:uiPriority w:val="0"/>
    <w:pPr>
      <w:topLinePunct/>
      <w:spacing w:line="240" w:lineRule="auto"/>
    </w:pPr>
    <w:rPr>
      <w:rFonts w:hint="eastAsia" w:ascii="宋体" w:hAnsi="宋体"/>
    </w:rPr>
  </w:style>
  <w:style w:type="paragraph" w:customStyle="1" w:styleId="158">
    <w:name w:val="普通(网站) New New New New New New New New New New New New New New New New New New New New New New New New New New New New New"/>
    <w:basedOn w:val="1"/>
    <w:qFormat/>
    <w:uiPriority w:val="0"/>
    <w:pPr>
      <w:topLinePunct/>
      <w:spacing w:line="240" w:lineRule="auto"/>
    </w:pPr>
    <w:rPr>
      <w:rFonts w:hint="eastAsia" w:ascii="宋体" w:hAnsi="宋体"/>
    </w:rPr>
  </w:style>
  <w:style w:type="character" w:customStyle="1" w:styleId="159">
    <w:name w:val="纯文本 Char2"/>
    <w:basedOn w:val="45"/>
    <w:semiHidden/>
    <w:qFormat/>
    <w:uiPriority w:val="99"/>
    <w:rPr>
      <w:rFonts w:ascii="宋体" w:hAnsi="Courier New" w:cs="Courier New"/>
      <w:sz w:val="21"/>
      <w:szCs w:val="21"/>
    </w:rPr>
  </w:style>
  <w:style w:type="character" w:customStyle="1" w:styleId="160">
    <w:name w:val="正文文本缩进 2 Char2"/>
    <w:basedOn w:val="45"/>
    <w:link w:val="27"/>
    <w:qFormat/>
    <w:uiPriority w:val="0"/>
    <w:rPr>
      <w:kern w:val="2"/>
      <w:sz w:val="21"/>
      <w:szCs w:val="24"/>
    </w:rPr>
  </w:style>
  <w:style w:type="paragraph" w:customStyle="1" w:styleId="161">
    <w:name w:val="样式 标题 2 + Times New Roman 四号 非加粗 段前: 5 磅 段后: 0 磅 行距: 固定值 20..."/>
    <w:basedOn w:val="4"/>
    <w:qFormat/>
    <w:uiPriority w:val="0"/>
    <w:pPr>
      <w:widowControl w:val="0"/>
      <w:spacing w:before="100" w:line="400" w:lineRule="exact"/>
      <w:jc w:val="both"/>
    </w:pPr>
    <w:rPr>
      <w:rFonts w:ascii="Times New Roman" w:hAnsi="Times New Roman" w:eastAsia="黑体" w:cs="宋体"/>
      <w:bCs w:val="0"/>
      <w:kern w:val="2"/>
      <w:szCs w:val="20"/>
    </w:rPr>
  </w:style>
  <w:style w:type="character" w:customStyle="1" w:styleId="162">
    <w:name w:val="正文文本 3 Char2"/>
    <w:basedOn w:val="45"/>
    <w:link w:val="19"/>
    <w:qFormat/>
    <w:uiPriority w:val="0"/>
    <w:rPr>
      <w:rFonts w:ascii="宋体"/>
      <w:kern w:val="2"/>
      <w:sz w:val="24"/>
    </w:rPr>
  </w:style>
  <w:style w:type="paragraph" w:customStyle="1" w:styleId="163">
    <w:name w:val="样式 标题 3 + (中文) 黑体 小四 非加粗 段前: 7.8 磅 段后: 0 磅 行距: 固定值 20 磅"/>
    <w:basedOn w:val="5"/>
    <w:qFormat/>
    <w:uiPriority w:val="0"/>
    <w:pPr>
      <w:keepLines/>
      <w:widowControl w:val="0"/>
      <w:tabs>
        <w:tab w:val="clear" w:pos="960"/>
      </w:tabs>
      <w:adjustRightInd/>
      <w:spacing w:before="0" w:after="0" w:line="400" w:lineRule="exact"/>
      <w:ind w:left="0" w:firstLine="0"/>
      <w:jc w:val="both"/>
    </w:pPr>
    <w:rPr>
      <w:rFonts w:ascii="宋体" w:hAnsi="Times New Roman" w:eastAsia="黑体" w:cs="宋体"/>
      <w:bCs w:val="0"/>
      <w:kern w:val="2"/>
      <w:szCs w:val="20"/>
    </w:rPr>
  </w:style>
  <w:style w:type="character" w:customStyle="1" w:styleId="164">
    <w:name w:val="批注主题 Char2"/>
    <w:basedOn w:val="80"/>
    <w:link w:val="42"/>
    <w:semiHidden/>
    <w:qFormat/>
    <w:uiPriority w:val="99"/>
    <w:rPr>
      <w:rFonts w:ascii="Book Antiqua" w:hAnsi="Book Antiqua"/>
      <w:b/>
      <w:bCs/>
      <w:sz w:val="24"/>
    </w:rPr>
  </w:style>
  <w:style w:type="character" w:customStyle="1" w:styleId="165">
    <w:name w:val="标题 7 Char"/>
    <w:basedOn w:val="45"/>
    <w:link w:val="9"/>
    <w:qFormat/>
    <w:uiPriority w:val="0"/>
    <w:rPr>
      <w:b/>
      <w:bCs/>
      <w:sz w:val="24"/>
      <w:szCs w:val="24"/>
    </w:rPr>
  </w:style>
  <w:style w:type="character" w:customStyle="1" w:styleId="166">
    <w:name w:val="标题 8 Char"/>
    <w:basedOn w:val="45"/>
    <w:link w:val="10"/>
    <w:qFormat/>
    <w:uiPriority w:val="0"/>
    <w:rPr>
      <w:rFonts w:ascii="Arial" w:hAnsi="Arial" w:eastAsia="黑体"/>
      <w:sz w:val="24"/>
      <w:szCs w:val="24"/>
    </w:rPr>
  </w:style>
  <w:style w:type="character" w:customStyle="1" w:styleId="167">
    <w:name w:val="标题 9 Char"/>
    <w:basedOn w:val="45"/>
    <w:link w:val="11"/>
    <w:qFormat/>
    <w:uiPriority w:val="0"/>
    <w:rPr>
      <w:rFonts w:ascii="Arial" w:hAnsi="Arial" w:eastAsia="黑体"/>
      <w:sz w:val="21"/>
      <w:szCs w:val="21"/>
    </w:rPr>
  </w:style>
  <w:style w:type="paragraph" w:customStyle="1" w:styleId="168">
    <w:name w:val="3"/>
    <w:qFormat/>
    <w:uiPriority w:val="0"/>
    <w:pPr>
      <w:spacing w:before="100" w:beforeAutospacing="1" w:after="100" w:afterAutospacing="1" w:line="360" w:lineRule="auto"/>
    </w:pPr>
    <w:rPr>
      <w:rFonts w:ascii="Book Antiqua" w:hAnsi="Book Antiqua" w:eastAsia="宋体" w:cs="Times New Roman"/>
      <w:sz w:val="24"/>
      <w:lang w:val="en-US" w:eastAsia="zh-CN" w:bidi="ar-SA"/>
    </w:rPr>
  </w:style>
  <w:style w:type="character" w:customStyle="1" w:styleId="169">
    <w:name w:val="font5 Char"/>
    <w:link w:val="170"/>
    <w:qFormat/>
    <w:uiPriority w:val="0"/>
    <w:rPr>
      <w:rFonts w:ascii="宋体" w:hAnsi="宋体"/>
      <w:sz w:val="24"/>
      <w:szCs w:val="24"/>
    </w:rPr>
  </w:style>
  <w:style w:type="paragraph" w:customStyle="1" w:styleId="170">
    <w:name w:val="font5"/>
    <w:basedOn w:val="1"/>
    <w:link w:val="169"/>
    <w:qFormat/>
    <w:uiPriority w:val="0"/>
    <w:pPr>
      <w:spacing w:line="240" w:lineRule="auto"/>
    </w:pPr>
    <w:rPr>
      <w:rFonts w:ascii="宋体" w:hAnsi="宋体"/>
      <w:szCs w:val="24"/>
    </w:rPr>
  </w:style>
  <w:style w:type="character" w:customStyle="1" w:styleId="171">
    <w:name w:val="font161"/>
    <w:qFormat/>
    <w:uiPriority w:val="0"/>
    <w:rPr>
      <w:rFonts w:ascii="Arial" w:hAnsi="Arial" w:eastAsia="黑体"/>
      <w:b/>
      <w:bCs/>
      <w:kern w:val="2"/>
      <w:sz w:val="32"/>
      <w:szCs w:val="32"/>
      <w:lang w:val="en-US" w:eastAsia="zh-CN" w:bidi="ar-SA"/>
    </w:rPr>
  </w:style>
  <w:style w:type="paragraph" w:customStyle="1" w:styleId="172">
    <w:name w:val="标题2"/>
    <w:basedOn w:val="4"/>
    <w:next w:val="1"/>
    <w:qFormat/>
    <w:uiPriority w:val="0"/>
    <w:pPr>
      <w:widowControl w:val="0"/>
      <w:spacing w:after="120" w:line="240" w:lineRule="auto"/>
    </w:pPr>
    <w:rPr>
      <w:rFonts w:eastAsia="黑体"/>
      <w:bCs w:val="0"/>
      <w:kern w:val="2"/>
      <w:sz w:val="21"/>
      <w:szCs w:val="21"/>
    </w:rPr>
  </w:style>
  <w:style w:type="character" w:customStyle="1" w:styleId="173">
    <w:name w:val="文档结构图 Char2"/>
    <w:basedOn w:val="45"/>
    <w:link w:val="17"/>
    <w:semiHidden/>
    <w:qFormat/>
    <w:uiPriority w:val="0"/>
    <w:rPr>
      <w:kern w:val="2"/>
      <w:sz w:val="21"/>
      <w:szCs w:val="24"/>
      <w:shd w:val="clear" w:color="auto" w:fill="000080"/>
    </w:rPr>
  </w:style>
  <w:style w:type="paragraph" w:customStyle="1" w:styleId="174">
    <w:name w:val="xl47"/>
    <w:basedOn w:val="1"/>
    <w:qFormat/>
    <w:uiPriority w:val="0"/>
    <w:pPr>
      <w:spacing w:line="240" w:lineRule="auto"/>
      <w:jc w:val="center"/>
    </w:pPr>
    <w:rPr>
      <w:rFonts w:ascii="宋体" w:hAnsi="宋体"/>
      <w:sz w:val="28"/>
      <w:szCs w:val="28"/>
    </w:rPr>
  </w:style>
  <w:style w:type="character" w:customStyle="1" w:styleId="175">
    <w:name w:val="正文文本缩进 Char2"/>
    <w:basedOn w:val="45"/>
    <w:link w:val="21"/>
    <w:qFormat/>
    <w:uiPriority w:val="0"/>
    <w:rPr>
      <w:kern w:val="2"/>
      <w:sz w:val="21"/>
      <w:szCs w:val="24"/>
    </w:rPr>
  </w:style>
  <w:style w:type="paragraph" w:customStyle="1" w:styleId="176">
    <w:name w:val="默认段落字体 Para Char Char Char Char Char Char Char"/>
    <w:basedOn w:val="1"/>
    <w:qFormat/>
    <w:uiPriority w:val="0"/>
    <w:pPr>
      <w:widowControl w:val="0"/>
      <w:adjustRightInd w:val="0"/>
      <w:spacing w:before="0" w:beforeAutospacing="0" w:after="0" w:afterAutospacing="0"/>
      <w:ind w:left="200" w:hanging="200" w:hangingChars="200"/>
      <w:jc w:val="both"/>
    </w:pPr>
    <w:rPr>
      <w:rFonts w:ascii="Times New Roman" w:hAnsi="Times New Roman"/>
    </w:rPr>
  </w:style>
  <w:style w:type="paragraph" w:customStyle="1" w:styleId="177">
    <w:name w:val="xl31"/>
    <w:basedOn w:val="1"/>
    <w:qFormat/>
    <w:uiPriority w:val="0"/>
    <w:pPr>
      <w:spacing w:line="240" w:lineRule="auto"/>
      <w:jc w:val="center"/>
    </w:pPr>
    <w:rPr>
      <w:rFonts w:ascii="宋体" w:hAnsi="宋体"/>
      <w:szCs w:val="24"/>
    </w:rPr>
  </w:style>
  <w:style w:type="paragraph" w:customStyle="1" w:styleId="178">
    <w:name w:val="TOC 标题2"/>
    <w:basedOn w:val="3"/>
    <w:next w:val="1"/>
    <w:qFormat/>
    <w:uiPriority w:val="0"/>
    <w:pPr>
      <w:keepLines/>
      <w:tabs>
        <w:tab w:val="clear" w:pos="720"/>
      </w:tabs>
      <w:adjustRightInd/>
      <w:spacing w:before="480" w:after="0" w:line="276" w:lineRule="auto"/>
      <w:ind w:left="0" w:firstLine="0"/>
      <w:outlineLvl w:val="9"/>
    </w:pPr>
    <w:rPr>
      <w:rFonts w:ascii="Cambria" w:hAnsi="Cambria" w:cs="Times New Roman"/>
      <w:color w:val="365F91"/>
      <w:kern w:val="0"/>
      <w:sz w:val="28"/>
      <w:szCs w:val="28"/>
    </w:rPr>
  </w:style>
  <w:style w:type="paragraph" w:customStyle="1" w:styleId="179">
    <w:name w:val="Char1"/>
    <w:basedOn w:val="1"/>
    <w:qFormat/>
    <w:uiPriority w:val="0"/>
    <w:pPr>
      <w:widowControl w:val="0"/>
      <w:snapToGrid w:val="0"/>
      <w:spacing w:before="0" w:beforeAutospacing="0" w:after="0" w:afterAutospacing="0"/>
      <w:ind w:firstLine="200" w:firstLineChars="200"/>
      <w:jc w:val="both"/>
    </w:pPr>
    <w:rPr>
      <w:rFonts w:ascii="Arial" w:hAnsi="Arial" w:eastAsia="黑体"/>
      <w:kern w:val="2"/>
      <w:sz w:val="21"/>
      <w:szCs w:val="21"/>
    </w:rPr>
  </w:style>
  <w:style w:type="paragraph" w:customStyle="1" w:styleId="180">
    <w:name w:val="xl27"/>
    <w:basedOn w:val="1"/>
    <w:qFormat/>
    <w:uiPriority w:val="0"/>
    <w:pPr>
      <w:pBdr>
        <w:bottom w:val="single" w:color="auto" w:sz="4" w:space="0"/>
        <w:right w:val="single" w:color="auto" w:sz="4" w:space="0"/>
      </w:pBdr>
      <w:spacing w:line="240" w:lineRule="auto"/>
      <w:jc w:val="center"/>
    </w:pPr>
    <w:rPr>
      <w:rFonts w:ascii="Times New Roman" w:hAnsi="Times New Roman"/>
      <w:szCs w:val="24"/>
    </w:rPr>
  </w:style>
  <w:style w:type="paragraph" w:customStyle="1" w:styleId="181">
    <w:name w:val="样式 标题 1 + 黑体 三号 非加粗 居中 段前: 6 磅 段后: 6 磅 行距: 固定值 20 磅"/>
    <w:basedOn w:val="3"/>
    <w:qFormat/>
    <w:uiPriority w:val="0"/>
    <w:pPr>
      <w:keepLines/>
      <w:widowControl w:val="0"/>
      <w:tabs>
        <w:tab w:val="clear" w:pos="720"/>
      </w:tabs>
      <w:adjustRightInd/>
      <w:spacing w:line="400" w:lineRule="exact"/>
      <w:ind w:left="0" w:firstLine="0"/>
      <w:jc w:val="center"/>
    </w:pPr>
    <w:rPr>
      <w:rFonts w:ascii="黑体" w:hAnsi="黑体" w:eastAsia="黑体" w:cs="宋体"/>
      <w:b w:val="0"/>
      <w:bCs w:val="0"/>
      <w:color w:val="auto"/>
      <w:sz w:val="32"/>
      <w:szCs w:val="20"/>
    </w:rPr>
  </w:style>
  <w:style w:type="paragraph" w:customStyle="1" w:styleId="182">
    <w:name w:val="表格2"/>
    <w:basedOn w:val="1"/>
    <w:qFormat/>
    <w:uiPriority w:val="0"/>
    <w:pPr>
      <w:widowControl w:val="0"/>
      <w:adjustRightInd w:val="0"/>
      <w:spacing w:before="60" w:beforeAutospacing="0" w:after="60" w:afterAutospacing="0" w:line="240" w:lineRule="auto"/>
      <w:jc w:val="center"/>
    </w:pPr>
    <w:rPr>
      <w:rFonts w:ascii="宋体" w:hAnsi="Times New Roman"/>
      <w:color w:val="000000"/>
    </w:rPr>
  </w:style>
  <w:style w:type="paragraph" w:customStyle="1" w:styleId="183">
    <w:name w:val="表格文字"/>
    <w:basedOn w:val="1"/>
    <w:qFormat/>
    <w:uiPriority w:val="0"/>
    <w:pPr>
      <w:widowControl w:val="0"/>
      <w:adjustRightInd w:val="0"/>
      <w:spacing w:before="0" w:beforeAutospacing="0" w:after="0" w:afterAutospacing="0" w:line="420" w:lineRule="atLeast"/>
      <w:textAlignment w:val="baseline"/>
    </w:pPr>
    <w:rPr>
      <w:rFonts w:ascii="Times New Roman" w:hAnsi="Times New Roman"/>
      <w:sz w:val="21"/>
    </w:rPr>
  </w:style>
  <w:style w:type="paragraph" w:customStyle="1" w:styleId="184">
    <w:name w:val="表格"/>
    <w:basedOn w:val="1"/>
    <w:qFormat/>
    <w:uiPriority w:val="0"/>
    <w:pPr>
      <w:widowControl w:val="0"/>
      <w:spacing w:before="0" w:beforeAutospacing="0" w:after="0" w:afterAutospacing="0" w:line="240" w:lineRule="auto"/>
      <w:jc w:val="center"/>
      <w:textAlignment w:val="center"/>
    </w:pPr>
    <w:rPr>
      <w:rFonts w:ascii="华文细黑" w:hAnsi="华文细黑"/>
      <w:sz w:val="21"/>
    </w:rPr>
  </w:style>
  <w:style w:type="character" w:customStyle="1" w:styleId="185">
    <w:name w:val="日期 Char2"/>
    <w:basedOn w:val="45"/>
    <w:link w:val="26"/>
    <w:qFormat/>
    <w:uiPriority w:val="0"/>
    <w:rPr>
      <w:kern w:val="2"/>
      <w:sz w:val="24"/>
    </w:rPr>
  </w:style>
  <w:style w:type="paragraph" w:customStyle="1" w:styleId="186">
    <w:name w:val="6'"/>
    <w:basedOn w:val="1"/>
    <w:qFormat/>
    <w:uiPriority w:val="0"/>
    <w:pPr>
      <w:widowControl w:val="0"/>
      <w:autoSpaceDE w:val="0"/>
      <w:autoSpaceDN w:val="0"/>
      <w:adjustRightInd w:val="0"/>
      <w:snapToGrid w:val="0"/>
      <w:spacing w:before="0" w:beforeAutospacing="0" w:after="0" w:afterAutospacing="0" w:line="320" w:lineRule="exact"/>
      <w:jc w:val="center"/>
      <w:textAlignment w:val="baseline"/>
    </w:pPr>
    <w:rPr>
      <w:rFonts w:ascii="Times New Roman" w:hAnsi="Times New Roman"/>
      <w:spacing w:val="20"/>
      <w:kern w:val="28"/>
      <w:sz w:val="21"/>
    </w:rPr>
  </w:style>
  <w:style w:type="character" w:customStyle="1" w:styleId="187">
    <w:name w:val="正文文本 2 Char"/>
    <w:basedOn w:val="45"/>
    <w:link w:val="38"/>
    <w:qFormat/>
    <w:uiPriority w:val="0"/>
    <w:rPr>
      <w:kern w:val="2"/>
      <w:sz w:val="21"/>
      <w:szCs w:val="24"/>
    </w:rPr>
  </w:style>
  <w:style w:type="character" w:customStyle="1" w:styleId="188">
    <w:name w:val="正文文本缩进 3 Char2"/>
    <w:basedOn w:val="45"/>
    <w:link w:val="35"/>
    <w:qFormat/>
    <w:uiPriority w:val="0"/>
    <w:rPr>
      <w:kern w:val="2"/>
      <w:sz w:val="16"/>
      <w:szCs w:val="16"/>
    </w:rPr>
  </w:style>
  <w:style w:type="paragraph" w:customStyle="1" w:styleId="189">
    <w:name w:val="font7"/>
    <w:basedOn w:val="1"/>
    <w:qFormat/>
    <w:uiPriority w:val="0"/>
    <w:pPr>
      <w:spacing w:line="240" w:lineRule="auto"/>
    </w:pPr>
    <w:rPr>
      <w:rFonts w:hint="eastAsia" w:ascii="宋体" w:hAnsi="宋体"/>
      <w:sz w:val="28"/>
      <w:szCs w:val="28"/>
    </w:rPr>
  </w:style>
  <w:style w:type="paragraph" w:customStyle="1" w:styleId="190">
    <w:name w:val="文本内容"/>
    <w:basedOn w:val="1"/>
    <w:qFormat/>
    <w:uiPriority w:val="0"/>
    <w:pPr>
      <w:widowControl w:val="0"/>
      <w:spacing w:before="72" w:beforeAutospacing="0" w:after="0" w:afterAutospacing="0"/>
      <w:ind w:firstLine="480" w:firstLineChars="200"/>
      <w:jc w:val="both"/>
    </w:pPr>
    <w:rPr>
      <w:rFonts w:ascii="宋体" w:hAnsi="宋体"/>
      <w:kern w:val="2"/>
      <w:szCs w:val="24"/>
    </w:rPr>
  </w:style>
  <w:style w:type="paragraph" w:customStyle="1" w:styleId="191">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标书6-正文"/>
    <w:basedOn w:val="191"/>
    <w:qFormat/>
    <w:uiPriority w:val="0"/>
    <w:pPr>
      <w:tabs>
        <w:tab w:val="left" w:pos="420"/>
      </w:tabs>
      <w:spacing w:line="360" w:lineRule="auto"/>
      <w:ind w:firstLine="482"/>
    </w:pPr>
    <w:rPr>
      <w:kern w:val="0"/>
      <w:sz w:val="24"/>
    </w:rPr>
  </w:style>
  <w:style w:type="paragraph" w:customStyle="1" w:styleId="193">
    <w:name w:val="批注文字 New"/>
    <w:basedOn w:val="191"/>
    <w:qFormat/>
    <w:uiPriority w:val="0"/>
    <w:pPr>
      <w:jc w:val="left"/>
    </w:pPr>
  </w:style>
  <w:style w:type="paragraph" w:customStyle="1" w:styleId="194">
    <w:name w:val="标题 1 New New New New"/>
    <w:basedOn w:val="191"/>
    <w:next w:val="191"/>
    <w:qFormat/>
    <w:uiPriority w:val="0"/>
    <w:pPr>
      <w:keepNext/>
      <w:jc w:val="center"/>
      <w:outlineLvl w:val="0"/>
    </w:pPr>
    <w:rPr>
      <w:rFonts w:ascii="仿宋_GB2312" w:eastAsia="仿宋_GB2312"/>
      <w:sz w:val="28"/>
    </w:rPr>
  </w:style>
  <w:style w:type="paragraph" w:customStyle="1" w:styleId="195">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character" w:customStyle="1" w:styleId="196">
    <w:name w:val="列出段落 Char"/>
    <w:link w:val="141"/>
    <w:qFormat/>
    <w:locked/>
    <w:uiPriority w:val="34"/>
    <w:rPr>
      <w:rFonts w:ascii="Book Antiqua" w:hAnsi="Book Antiqua"/>
      <w:sz w:val="24"/>
    </w:rPr>
  </w:style>
  <w:style w:type="paragraph" w:customStyle="1" w:styleId="197">
    <w:name w:val="正文_2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98">
    <w:name w:val="Blockquote"/>
    <w:basedOn w:val="1"/>
    <w:qFormat/>
    <w:uiPriority w:val="0"/>
    <w:pPr>
      <w:widowControl w:val="0"/>
      <w:autoSpaceDE w:val="0"/>
      <w:autoSpaceDN w:val="0"/>
      <w:adjustRightInd w:val="0"/>
      <w:spacing w:beforeAutospacing="0" w:afterAutospacing="0" w:line="240" w:lineRule="auto"/>
      <w:ind w:left="360" w:right="360"/>
    </w:pPr>
    <w:rPr>
      <w:rFonts w:ascii="Times New Roman" w:hAnsi="Times New Roman"/>
    </w:rPr>
  </w:style>
  <w:style w:type="paragraph" w:customStyle="1" w:styleId="199">
    <w:name w:val="样式 (西文) 宋体 小四 左 行距: 1.5 倍行距"/>
    <w:basedOn w:val="1"/>
    <w:qFormat/>
    <w:uiPriority w:val="0"/>
    <w:pPr>
      <w:widowControl w:val="0"/>
      <w:spacing w:before="0" w:beforeAutospacing="0" w:after="0" w:afterAutospacing="0"/>
      <w:ind w:firstLine="2880" w:firstLineChars="1200"/>
    </w:pPr>
    <w:rPr>
      <w:rFonts w:ascii="宋体" w:hAnsi="宋体" w:eastAsia="黑体" w:cs="宋体"/>
    </w:rPr>
  </w:style>
  <w:style w:type="paragraph" w:customStyle="1" w:styleId="200">
    <w:name w:val="纯文本11"/>
    <w:basedOn w:val="1"/>
    <w:qFormat/>
    <w:uiPriority w:val="0"/>
    <w:pPr>
      <w:widowControl w:val="0"/>
      <w:spacing w:before="0" w:beforeAutospacing="0" w:after="0" w:afterAutospacing="0" w:line="240" w:lineRule="auto"/>
      <w:jc w:val="both"/>
    </w:pPr>
    <w:rPr>
      <w:rFonts w:hint="eastAsia" w:ascii="Calibri" w:hAnsi="Courier New"/>
      <w:kern w:val="2"/>
      <w:sz w:val="21"/>
      <w:szCs w:val="24"/>
    </w:rPr>
  </w:style>
  <w:style w:type="character" w:customStyle="1" w:styleId="201">
    <w:name w:val="fontstyle01"/>
    <w:basedOn w:val="45"/>
    <w:qFormat/>
    <w:uiPriority w:val="0"/>
    <w:rPr>
      <w:rFonts w:hint="eastAsia" w:ascii="宋体" w:hAnsi="宋体" w:eastAsia="宋体" w:cs="宋体"/>
      <w:color w:val="000000"/>
      <w:sz w:val="24"/>
      <w:szCs w:val="24"/>
    </w:rPr>
  </w:style>
  <w:style w:type="paragraph" w:customStyle="1" w:styleId="202">
    <w:name w:val="msono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_Style 2"/>
    <w:qFormat/>
    <w:uiPriority w:val="1"/>
    <w:pPr>
      <w:widowControl w:val="0"/>
      <w:jc w:val="both"/>
    </w:pPr>
    <w:rPr>
      <w:rFonts w:ascii="Calibri" w:hAnsi="Calibri" w:eastAsia="宋体" w:cs="Times New Roman"/>
      <w:kern w:val="2"/>
      <w:sz w:val="21"/>
      <w:szCs w:val="22"/>
      <w:lang w:val="en-US" w:eastAsia="zh-CN" w:bidi="ar-SA"/>
    </w:rPr>
  </w:style>
  <w:style w:type="character" w:customStyle="1" w:styleId="204">
    <w:name w:val="english"/>
    <w:basedOn w:val="45"/>
    <w:qFormat/>
    <w:uiPriority w:val="0"/>
    <w:rPr>
      <w:rFonts w:ascii="微软雅黑" w:hAnsi="微软雅黑" w:eastAsia="微软雅黑" w:cs="微软雅黑"/>
      <w:i/>
      <w:caps/>
      <w:color w:val="9E9E9E"/>
      <w:sz w:val="21"/>
      <w:szCs w:val="21"/>
    </w:rPr>
  </w:style>
  <w:style w:type="character" w:customStyle="1" w:styleId="205">
    <w:name w:val="english1"/>
    <w:basedOn w:val="45"/>
    <w:qFormat/>
    <w:uiPriority w:val="0"/>
    <w:rPr>
      <w:rFonts w:hint="eastAsia" w:ascii="微软雅黑" w:hAnsi="微软雅黑" w:eastAsia="微软雅黑" w:cs="微软雅黑"/>
      <w:color w:val="000000"/>
      <w:sz w:val="12"/>
      <w:szCs w:val="12"/>
    </w:rPr>
  </w:style>
  <w:style w:type="character" w:customStyle="1" w:styleId="206">
    <w:name w:val="english2"/>
    <w:basedOn w:val="45"/>
    <w:qFormat/>
    <w:uiPriority w:val="0"/>
    <w:rPr>
      <w:rFonts w:hint="eastAsia" w:ascii="微软雅黑" w:hAnsi="微软雅黑" w:eastAsia="微软雅黑" w:cs="微软雅黑"/>
      <w:i/>
      <w:caps/>
      <w:color w:val="9E9E9E"/>
      <w:sz w:val="21"/>
      <w:szCs w:val="21"/>
    </w:rPr>
  </w:style>
  <w:style w:type="character" w:customStyle="1" w:styleId="207">
    <w:name w:val="time"/>
    <w:basedOn w:val="45"/>
    <w:qFormat/>
    <w:uiPriority w:val="0"/>
  </w:style>
  <w:style w:type="character" w:customStyle="1" w:styleId="208">
    <w:name w:val="time1"/>
    <w:basedOn w:val="45"/>
    <w:qFormat/>
    <w:uiPriority w:val="0"/>
  </w:style>
  <w:style w:type="character" w:customStyle="1" w:styleId="209">
    <w:name w:val="time2"/>
    <w:basedOn w:val="4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E7FF9-EA1E-47D4-8F16-FCB1457934A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6570</Words>
  <Characters>37452</Characters>
  <Lines>312</Lines>
  <Paragraphs>87</Paragraphs>
  <TotalTime>28</TotalTime>
  <ScaleCrop>false</ScaleCrop>
  <LinksUpToDate>false</LinksUpToDate>
  <CharactersWithSpaces>43935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2019-01-17T08:34:00Z</dcterms:created>
  <dc:creator>Administrator</dc:creator>
  <cp:lastModifiedBy>政辉</cp:lastModifiedBy>
  <cp:lastPrinted>2020-08-20T09:30:00Z</cp:lastPrinted>
  <dcterms:modified xsi:type="dcterms:W3CDTF">2020-10-20T08:33:35Z</dcterms:modified>
  <dc:title>微软用户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