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44"/>
          <w:szCs w:val="44"/>
        </w:rPr>
      </w:pPr>
      <w:bookmarkStart w:id="16" w:name="_GoBack"/>
      <w:bookmarkEnd w:id="16"/>
      <w:r>
        <w:rPr>
          <w:rFonts w:hint="eastAsia" w:ascii="宋体" w:hAnsi="宋体"/>
          <w:b/>
          <w:color w:val="auto"/>
          <w:sz w:val="44"/>
          <w:szCs w:val="44"/>
        </w:rPr>
        <w:t>用 户 需 求 书</w:t>
      </w:r>
    </w:p>
    <w:p>
      <w:pPr>
        <w:spacing w:line="360" w:lineRule="auto"/>
        <w:rPr>
          <w:rFonts w:hint="eastAsia" w:ascii="宋体" w:hAnsi="宋体"/>
          <w:b/>
          <w:color w:val="auto"/>
          <w:sz w:val="30"/>
          <w:szCs w:val="30"/>
        </w:rPr>
      </w:pPr>
      <w:r>
        <w:rPr>
          <w:rFonts w:hint="eastAsia" w:ascii="宋体" w:hAnsi="宋体"/>
          <w:b/>
          <w:color w:val="auto"/>
          <w:sz w:val="30"/>
          <w:szCs w:val="30"/>
        </w:rPr>
        <w:t>一、商务要求</w:t>
      </w:r>
    </w:p>
    <w:p>
      <w:p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1、交付时间：合同签订后60日历天内。</w:t>
      </w:r>
    </w:p>
    <w:p>
      <w:p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2、交付地点：用户指定地点。</w:t>
      </w:r>
    </w:p>
    <w:p>
      <w:p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3、交付方式：免费送至用户指定地点。</w:t>
      </w:r>
    </w:p>
    <w:p>
      <w:pPr>
        <w:spacing w:line="360" w:lineRule="auto"/>
        <w:rPr>
          <w:rFonts w:hint="eastAsia" w:ascii="宋体" w:hAnsi="宋体"/>
          <w:color w:val="auto"/>
          <w:sz w:val="28"/>
          <w:szCs w:val="28"/>
        </w:rPr>
      </w:pPr>
      <w:r>
        <w:rPr>
          <w:rFonts w:hint="eastAsia" w:ascii="宋体" w:hAnsi="宋体"/>
          <w:color w:val="auto"/>
          <w:sz w:val="28"/>
          <w:szCs w:val="28"/>
        </w:rPr>
        <w:t>4、采购资金的支付方式、时间、条件：</w:t>
      </w:r>
    </w:p>
    <w:p>
      <w:pPr>
        <w:spacing w:line="360" w:lineRule="auto"/>
        <w:rPr>
          <w:rFonts w:hint="eastAsia" w:ascii="宋体" w:hAnsi="宋体"/>
          <w:color w:val="auto"/>
          <w:sz w:val="28"/>
          <w:szCs w:val="28"/>
        </w:rPr>
      </w:pPr>
      <w:r>
        <w:rPr>
          <w:rFonts w:hint="eastAsia" w:ascii="宋体" w:hAnsi="宋体"/>
          <w:color w:val="auto"/>
          <w:sz w:val="28"/>
          <w:szCs w:val="28"/>
        </w:rPr>
        <w:t>5、投标人资格要求：见招标公告</w:t>
      </w:r>
    </w:p>
    <w:p>
      <w:pPr>
        <w:spacing w:line="360" w:lineRule="auto"/>
        <w:rPr>
          <w:rFonts w:hint="eastAsia" w:ascii="宋体" w:hAnsi="宋体"/>
          <w:color w:val="auto"/>
          <w:sz w:val="28"/>
          <w:szCs w:val="28"/>
        </w:rPr>
      </w:pPr>
      <w:r>
        <w:rPr>
          <w:rFonts w:hint="eastAsia" w:ascii="宋体" w:hAnsi="宋体"/>
          <w:color w:val="auto"/>
          <w:sz w:val="28"/>
          <w:szCs w:val="28"/>
        </w:rPr>
        <w:t>6、验收要求：</w:t>
      </w:r>
    </w:p>
    <w:p>
      <w:pPr>
        <w:spacing w:line="360" w:lineRule="auto"/>
        <w:rPr>
          <w:rFonts w:hint="eastAsia" w:ascii="宋体" w:hAnsi="宋体"/>
          <w:color w:val="auto"/>
          <w:sz w:val="28"/>
          <w:szCs w:val="28"/>
        </w:rPr>
      </w:pPr>
      <w:r>
        <w:rPr>
          <w:rFonts w:hint="eastAsia" w:ascii="宋体" w:hAnsi="宋体"/>
          <w:color w:val="auto"/>
          <w:sz w:val="28"/>
          <w:szCs w:val="28"/>
        </w:rPr>
        <w:t>6.1 到货验收：中标单位将货物运到采购人指定安装现场后，中标单位应提供一切验货手续。采购人组织有关人员在验货现场与中标单位共同对包装箱等密封完好状态进行验收。中标单位在开箱验货时必须提供完整的货物清单，任何单位或个人不得擅自开箱。开箱时双方代表必须在场，并按货物清单进行清点，并作验收记录。</w:t>
      </w:r>
    </w:p>
    <w:p>
      <w:pPr>
        <w:spacing w:line="360" w:lineRule="auto"/>
        <w:rPr>
          <w:rFonts w:hint="eastAsia" w:ascii="宋体" w:hAnsi="宋体"/>
          <w:color w:val="auto"/>
          <w:sz w:val="28"/>
          <w:szCs w:val="28"/>
        </w:rPr>
      </w:pPr>
      <w:r>
        <w:rPr>
          <w:rFonts w:hint="eastAsia" w:ascii="宋体" w:hAnsi="宋体"/>
          <w:color w:val="auto"/>
          <w:sz w:val="28"/>
          <w:szCs w:val="28"/>
        </w:rPr>
        <w:t>6.2 初步验收：中标单位完成项目功能开发和水站管理系统安装部署，实现本省所有水站自动监测数据的系统联网。采购人组织有关人员按照招投标文件和合同要求对项目进行比对验收等初步验收。</w:t>
      </w:r>
    </w:p>
    <w:p>
      <w:pPr>
        <w:spacing w:line="360" w:lineRule="auto"/>
        <w:rPr>
          <w:rFonts w:hint="eastAsia" w:ascii="宋体" w:hAnsi="宋体"/>
          <w:color w:val="auto"/>
          <w:sz w:val="28"/>
          <w:szCs w:val="28"/>
        </w:rPr>
      </w:pPr>
      <w:r>
        <w:rPr>
          <w:rFonts w:hint="eastAsia" w:ascii="宋体" w:hAnsi="宋体"/>
          <w:color w:val="auto"/>
          <w:sz w:val="28"/>
          <w:szCs w:val="28"/>
        </w:rPr>
        <w:t>6.3 最终验收：项目通过初步验收后并经1个月试运行，采购人组织专家，依据招投标文件、采购合同、初步验收意见、项目监理和安全测评意见等进行最终验收。项目终验合格后中标单位应提供完备系统维护文档材料（包括安装使用手册、产品手册、操作文档、数据库字典和数据接口等）。</w:t>
      </w:r>
    </w:p>
    <w:p>
      <w:pPr>
        <w:spacing w:line="360" w:lineRule="auto"/>
        <w:rPr>
          <w:rFonts w:hint="eastAsia" w:ascii="宋体" w:hAnsi="宋体"/>
          <w:color w:val="auto"/>
          <w:sz w:val="28"/>
          <w:szCs w:val="28"/>
        </w:rPr>
      </w:pPr>
      <w:r>
        <w:rPr>
          <w:rFonts w:hint="eastAsia" w:ascii="宋体" w:hAnsi="宋体"/>
          <w:color w:val="auto"/>
          <w:sz w:val="28"/>
          <w:szCs w:val="28"/>
        </w:rPr>
        <w:t>7、技术培训：项目实施过程或验收后，中标单位应至少免费安排2场技术培训，每场培训人数不少于 4 人。采购人可以指定培训时间、地点、方式等，中标单位应遵照执行。</w:t>
      </w:r>
    </w:p>
    <w:p>
      <w:pPr>
        <w:spacing w:line="360" w:lineRule="auto"/>
        <w:rPr>
          <w:rFonts w:hint="eastAsia" w:ascii="宋体" w:hAnsi="宋体"/>
          <w:color w:val="auto"/>
          <w:sz w:val="28"/>
          <w:szCs w:val="28"/>
        </w:rPr>
      </w:pPr>
      <w:r>
        <w:rPr>
          <w:rFonts w:hint="eastAsia" w:ascii="宋体" w:hAnsi="宋体"/>
          <w:color w:val="auto"/>
          <w:sz w:val="28"/>
          <w:szCs w:val="28"/>
        </w:rPr>
        <w:t>8、质量保证和售后服务</w:t>
      </w:r>
    </w:p>
    <w:p>
      <w:pPr>
        <w:spacing w:line="360" w:lineRule="auto"/>
        <w:rPr>
          <w:rFonts w:hint="eastAsia" w:ascii="宋体" w:hAnsi="宋体"/>
          <w:color w:val="auto"/>
          <w:sz w:val="28"/>
          <w:szCs w:val="28"/>
        </w:rPr>
      </w:pPr>
      <w:r>
        <w:rPr>
          <w:rFonts w:hint="eastAsia" w:ascii="宋体" w:hAnsi="宋体"/>
          <w:color w:val="auto"/>
          <w:sz w:val="28"/>
          <w:szCs w:val="28"/>
        </w:rPr>
        <w:t>8.1 质量保证期：免费质量保证期自项目验收合格之日起算，中标单位提供至少 1年的原厂免费硬件设备保修和至少 3 年的免费系统软件升级维护（包括但不限于系统业务和功能优化、统计分析报表更新等）。</w:t>
      </w:r>
    </w:p>
    <w:p>
      <w:pPr>
        <w:spacing w:line="360" w:lineRule="auto"/>
        <w:rPr>
          <w:rFonts w:hint="eastAsia" w:ascii="宋体" w:hAnsi="宋体"/>
          <w:color w:val="auto"/>
          <w:sz w:val="28"/>
          <w:szCs w:val="28"/>
        </w:rPr>
      </w:pPr>
      <w:r>
        <w:rPr>
          <w:rFonts w:hint="eastAsia" w:ascii="宋体" w:hAnsi="宋体"/>
          <w:color w:val="auto"/>
          <w:sz w:val="28"/>
          <w:szCs w:val="28"/>
        </w:rPr>
        <w:t>8.2 质保期内中标单位应当自费承担本项目的调试、保修、维护等工作，免费升级所提供的软件，及时快速提供响应服务，一般性故障应在得到通知后2 小时内作出实质性响应， 对重大问题提供现场技术支持，48 小时内赶到现场并及时排除故障，若到现场后 2 个工作日内不能解决问题，则须更换备品备件，使系统能正常运行。在质量保证期结束后，中标人也必须提供 24 小时内对仪器故障做出响应和 48 小时解决出现问题的技术服务。</w:t>
      </w:r>
    </w:p>
    <w:p>
      <w:pPr>
        <w:spacing w:line="360" w:lineRule="auto"/>
        <w:rPr>
          <w:rFonts w:hint="eastAsia" w:ascii="宋体" w:hAnsi="宋体"/>
          <w:color w:val="auto"/>
          <w:sz w:val="28"/>
          <w:szCs w:val="28"/>
        </w:rPr>
      </w:pPr>
      <w:r>
        <w:rPr>
          <w:rFonts w:hint="eastAsia" w:ascii="宋体" w:hAnsi="宋体"/>
          <w:color w:val="auto"/>
          <w:sz w:val="28"/>
          <w:szCs w:val="28"/>
        </w:rPr>
        <w:t>8.3质保期内中标单位应免费对所交付水站数据综合应用技术服务系统进行优化，并对系统运行状况进行监控和必要维护，有义务对软件进行优化完善；如对软件功能进行改进，应免费为甲方提供包含改进功能的最新版本软件，并保证升级后的系统能够稳定运行。如系统业务需求发生变更，中标单位应积极响应，满足用户需求变化，并为本省不同部门和国家提供数据共享对接服务。</w:t>
      </w:r>
    </w:p>
    <w:p>
      <w:pPr>
        <w:spacing w:line="360" w:lineRule="auto"/>
        <w:rPr>
          <w:rFonts w:hint="eastAsia" w:ascii="宋体" w:hAnsi="宋体"/>
          <w:color w:val="auto"/>
          <w:sz w:val="28"/>
          <w:szCs w:val="28"/>
        </w:rPr>
      </w:pPr>
      <w:r>
        <w:rPr>
          <w:rFonts w:hint="eastAsia" w:ascii="宋体" w:hAnsi="宋体"/>
          <w:color w:val="auto"/>
          <w:sz w:val="28"/>
          <w:szCs w:val="28"/>
        </w:rPr>
        <w:t>8.4质保期内中标单位应免费提供新增水站数据联网和用户安装部署管理工作，需在本省境内有固定工作场所，并安排至少 2 名本科及以上学历且有相关工作经验的专职技术人员驻项目现场服务，人员一旦确认，未经采购人同意不得随意更换。</w:t>
      </w:r>
    </w:p>
    <w:p>
      <w:pPr>
        <w:spacing w:line="360" w:lineRule="auto"/>
        <w:rPr>
          <w:rFonts w:hint="eastAsia" w:ascii="宋体" w:hAnsi="宋体"/>
          <w:color w:val="auto"/>
          <w:sz w:val="28"/>
          <w:szCs w:val="28"/>
        </w:rPr>
      </w:pPr>
      <w:r>
        <w:rPr>
          <w:rFonts w:hint="eastAsia" w:ascii="宋体" w:hAnsi="宋体"/>
          <w:color w:val="auto"/>
          <w:sz w:val="28"/>
          <w:szCs w:val="28"/>
        </w:rPr>
        <w:t>9、知识产权和保密</w:t>
      </w:r>
    </w:p>
    <w:p>
      <w:pPr>
        <w:spacing w:line="360" w:lineRule="auto"/>
        <w:rPr>
          <w:rFonts w:hint="eastAsia" w:ascii="宋体" w:hAnsi="宋体"/>
          <w:color w:val="auto"/>
          <w:sz w:val="28"/>
          <w:szCs w:val="28"/>
        </w:rPr>
      </w:pPr>
      <w:r>
        <w:rPr>
          <w:rFonts w:hint="eastAsia" w:ascii="宋体" w:hAnsi="宋体"/>
          <w:color w:val="auto"/>
          <w:sz w:val="28"/>
          <w:szCs w:val="28"/>
        </w:rPr>
        <w:t>9.1 项目系统及所产生数据资料版权属于采购人所有，投标单位中标后应向采购人提供项目软件开发全部源代码及数据字典（含保证期内的后续升级版本）。项目的专利申请权、专利权、技术秘密的所有权、使用权、转让权等知识产权归采购人所有。投标单位应保证对投标中全部软件均享有知识产权或者得到软件所有人授权能够再次授权采购人使用，并保证授予采购人和最终用户上述全部软件非独占的长期许可使用权。采购人或最终用户在使用过程中不应受到第三方关于侵犯知识产权的指控。如有任何上述指控，投标单位应独自承担可能发生的一切法律责任和费用。</w:t>
      </w:r>
    </w:p>
    <w:p>
      <w:pPr>
        <w:spacing w:line="360" w:lineRule="auto"/>
        <w:rPr>
          <w:rFonts w:hint="eastAsia" w:ascii="宋体" w:hAnsi="宋体"/>
          <w:color w:val="auto"/>
          <w:sz w:val="28"/>
          <w:szCs w:val="28"/>
        </w:rPr>
      </w:pPr>
      <w:r>
        <w:rPr>
          <w:rFonts w:hint="eastAsia" w:ascii="宋体" w:hAnsi="宋体"/>
          <w:color w:val="auto"/>
          <w:sz w:val="28"/>
          <w:szCs w:val="28"/>
        </w:rPr>
        <w:t>9.2 系统收集、产生、存储的数据属采购人所有，投标单位中标后未经采购人授权，不得访问、修改、获取、利用这些数据，并对获取的所有数据资料保密，如泄密，应承担相应法律责任。</w:t>
      </w:r>
    </w:p>
    <w:p>
      <w:pPr>
        <w:spacing w:line="360" w:lineRule="auto"/>
        <w:rPr>
          <w:rFonts w:hint="eastAsia" w:ascii="宋体" w:hAnsi="宋体"/>
          <w:color w:val="auto"/>
          <w:sz w:val="28"/>
          <w:szCs w:val="28"/>
        </w:rPr>
      </w:pPr>
      <w:r>
        <w:rPr>
          <w:rFonts w:hint="eastAsia" w:ascii="宋体" w:hAnsi="宋体"/>
          <w:color w:val="auto"/>
          <w:sz w:val="28"/>
          <w:szCs w:val="28"/>
        </w:rPr>
        <w:t>9.3 投标单位所提供的操作系统及数据库软件均应是合法正版的。</w:t>
      </w:r>
    </w:p>
    <w:p>
      <w:pPr>
        <w:spacing w:line="360" w:lineRule="auto"/>
        <w:rPr>
          <w:rFonts w:hint="eastAsia" w:ascii="宋体" w:hAnsi="宋体"/>
          <w:color w:val="auto"/>
          <w:sz w:val="28"/>
          <w:szCs w:val="28"/>
        </w:rPr>
      </w:pPr>
      <w:r>
        <w:rPr>
          <w:rFonts w:hint="eastAsia" w:ascii="宋体" w:hAnsi="宋体"/>
          <w:color w:val="auto"/>
          <w:sz w:val="28"/>
          <w:szCs w:val="28"/>
        </w:rPr>
        <w:t>10、履约保证金和质量保证金：履约保证金为合同金额的 10%，中标单位应在收到中标通知书 10 天内向采购单位支付履约保证金。项目验收合格后履约保证金自动转为质量保证金，合同履行期间，按照采购人对中标单位的考核情况按季度予以返还（具体以合同约定为准）。</w:t>
      </w:r>
    </w:p>
    <w:p>
      <w:pPr>
        <w:spacing w:line="360" w:lineRule="auto"/>
        <w:rPr>
          <w:rFonts w:hint="eastAsia" w:ascii="宋体" w:hAnsi="宋体"/>
          <w:color w:val="auto"/>
          <w:sz w:val="28"/>
          <w:szCs w:val="28"/>
        </w:rPr>
      </w:pPr>
      <w:r>
        <w:rPr>
          <w:rFonts w:hint="eastAsia" w:ascii="宋体" w:hAnsi="宋体"/>
          <w:color w:val="auto"/>
          <w:sz w:val="28"/>
          <w:szCs w:val="28"/>
        </w:rPr>
        <w:t>11、其他要求：</w:t>
      </w:r>
    </w:p>
    <w:p>
      <w:pPr>
        <w:spacing w:line="360" w:lineRule="auto"/>
        <w:rPr>
          <w:rFonts w:hint="eastAsia" w:ascii="宋体" w:hAnsi="宋体"/>
          <w:color w:val="auto"/>
          <w:sz w:val="28"/>
          <w:szCs w:val="28"/>
        </w:rPr>
      </w:pPr>
      <w:r>
        <w:rPr>
          <w:rFonts w:hint="eastAsia" w:ascii="宋体" w:hAnsi="宋体"/>
          <w:color w:val="auto"/>
          <w:sz w:val="28"/>
          <w:szCs w:val="28"/>
        </w:rPr>
        <w:t>11.1 安装、调试：由中标供应商负责在用户现场进行整机安装、调试及试运行。</w:t>
      </w:r>
    </w:p>
    <w:p>
      <w:pPr>
        <w:spacing w:line="360" w:lineRule="auto"/>
        <w:rPr>
          <w:rFonts w:hint="eastAsia" w:ascii="宋体" w:hAnsi="宋体"/>
          <w:color w:val="auto"/>
          <w:sz w:val="28"/>
          <w:szCs w:val="28"/>
        </w:rPr>
      </w:pPr>
      <w:r>
        <w:rPr>
          <w:rFonts w:hint="eastAsia" w:ascii="宋体" w:hAnsi="宋体"/>
          <w:color w:val="auto"/>
          <w:sz w:val="28"/>
          <w:szCs w:val="28"/>
        </w:rPr>
        <w:t>11.2 提供的物品必须是全新的，表面无划伤、无碰撞并且是符合中国人民共和国国家行业标准。需随设备装箱提供制造厂商的相关证明文件。</w:t>
      </w:r>
    </w:p>
    <w:p>
      <w:pPr>
        <w:spacing w:line="360" w:lineRule="auto"/>
        <w:rPr>
          <w:rFonts w:hint="eastAsia" w:ascii="宋体" w:hAnsi="宋体"/>
          <w:color w:val="auto"/>
          <w:sz w:val="28"/>
          <w:szCs w:val="28"/>
        </w:rPr>
      </w:pPr>
      <w:r>
        <w:rPr>
          <w:rFonts w:hint="eastAsia" w:ascii="宋体" w:hAnsi="宋体"/>
          <w:color w:val="auto"/>
          <w:sz w:val="28"/>
          <w:szCs w:val="28"/>
        </w:rPr>
        <w:t>11.3 投标人必须确保设备及所有配套件的完整性和可靠性。对于招标文件没有列出 ，而对于该设备的正常运行和维护必不可少的部件、配件等，投标人有责任给予补充。</w:t>
      </w:r>
    </w:p>
    <w:p>
      <w:pPr>
        <w:spacing w:line="360" w:lineRule="auto"/>
        <w:rPr>
          <w:rFonts w:hint="eastAsia" w:ascii="宋体" w:hAnsi="宋体"/>
          <w:color w:val="auto"/>
          <w:sz w:val="28"/>
          <w:szCs w:val="28"/>
        </w:rPr>
      </w:pPr>
      <w:r>
        <w:rPr>
          <w:rFonts w:hint="eastAsia" w:ascii="宋体" w:hAnsi="宋体"/>
          <w:color w:val="auto"/>
          <w:sz w:val="28"/>
          <w:szCs w:val="28"/>
        </w:rPr>
        <w:t>11.4 设备材料的包装应有良好的防湿、防锈、防潮、防雨及防碰撞的措施，凡由于包装不良造成的损失和由此产生的费用均由投标人承担。</w:t>
      </w:r>
    </w:p>
    <w:p>
      <w:pPr>
        <w:spacing w:line="360" w:lineRule="auto"/>
        <w:rPr>
          <w:rFonts w:hint="eastAsia" w:ascii="宋体" w:hAnsi="宋体"/>
          <w:color w:val="auto"/>
          <w:sz w:val="28"/>
          <w:szCs w:val="28"/>
        </w:rPr>
      </w:pPr>
      <w:r>
        <w:rPr>
          <w:rFonts w:hint="eastAsia" w:ascii="宋体" w:hAnsi="宋体"/>
          <w:color w:val="auto"/>
          <w:sz w:val="28"/>
          <w:szCs w:val="28"/>
        </w:rPr>
        <w:t>注：以上所有条款为实质性响应条款必须满足（或优于），否则视为无效投标。</w:t>
      </w:r>
    </w:p>
    <w:p>
      <w:pPr>
        <w:spacing w:line="360" w:lineRule="auto"/>
        <w:rPr>
          <w:rFonts w:hint="eastAsia" w:ascii="宋体" w:hAnsi="宋体"/>
          <w:b/>
          <w:color w:val="auto"/>
          <w:sz w:val="30"/>
          <w:szCs w:val="30"/>
        </w:rPr>
      </w:pPr>
      <w:r>
        <w:rPr>
          <w:rFonts w:hint="eastAsia" w:ascii="宋体" w:hAnsi="宋体"/>
          <w:b/>
          <w:color w:val="auto"/>
          <w:sz w:val="30"/>
          <w:szCs w:val="30"/>
        </w:rPr>
        <w:t>二、</w:t>
      </w:r>
      <w:r>
        <w:rPr>
          <w:rFonts w:hint="eastAsia"/>
          <w:b/>
          <w:color w:val="auto"/>
          <w:sz w:val="32"/>
          <w:szCs w:val="32"/>
        </w:rPr>
        <w:t>技术要求</w:t>
      </w:r>
      <w:r>
        <w:rPr>
          <w:rFonts w:hint="eastAsia" w:ascii="宋体" w:hAnsi="宋体"/>
          <w:b/>
          <w:color w:val="auto"/>
          <w:sz w:val="30"/>
          <w:szCs w:val="30"/>
        </w:rPr>
        <w:t>：</w:t>
      </w:r>
    </w:p>
    <w:p>
      <w:pPr>
        <w:spacing w:line="360" w:lineRule="auto"/>
        <w:jc w:val="center"/>
        <w:rPr>
          <w:rFonts w:hint="eastAsia"/>
          <w:b/>
          <w:bCs/>
          <w:color w:val="auto"/>
          <w:sz w:val="32"/>
          <w:szCs w:val="32"/>
        </w:rPr>
      </w:pPr>
      <w:r>
        <w:rPr>
          <w:rFonts w:hint="eastAsia"/>
          <w:b/>
          <w:bCs/>
          <w:color w:val="auto"/>
          <w:sz w:val="32"/>
          <w:szCs w:val="32"/>
        </w:rPr>
        <w:t>采购清单表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790"/>
        <w:gridCol w:w="689"/>
        <w:gridCol w:w="716"/>
        <w:gridCol w:w="1580"/>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noWrap w:val="0"/>
            <w:vAlign w:val="center"/>
          </w:tcPr>
          <w:p>
            <w:pPr>
              <w:widowControl/>
              <w:jc w:val="center"/>
              <w:textAlignment w:val="center"/>
              <w:rPr>
                <w:rFonts w:ascii="宋体"/>
                <w:color w:val="auto"/>
              </w:rPr>
            </w:pPr>
            <w:r>
              <w:rPr>
                <w:rFonts w:hint="eastAsia" w:ascii="宋体" w:hAnsi="宋体" w:cs="宋体"/>
                <w:color w:val="auto"/>
                <w:kern w:val="0"/>
              </w:rPr>
              <w:t>序号</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货物名称</w:t>
            </w:r>
          </w:p>
        </w:tc>
        <w:tc>
          <w:tcPr>
            <w:tcW w:w="689" w:type="dxa"/>
            <w:noWrap w:val="0"/>
            <w:vAlign w:val="center"/>
          </w:tcPr>
          <w:p>
            <w:pPr>
              <w:jc w:val="center"/>
              <w:rPr>
                <w:color w:val="auto"/>
              </w:rPr>
            </w:pPr>
            <w:r>
              <w:rPr>
                <w:rFonts w:hint="eastAsia" w:cs="宋体"/>
                <w:color w:val="auto"/>
              </w:rPr>
              <w:t>数量</w:t>
            </w:r>
          </w:p>
        </w:tc>
        <w:tc>
          <w:tcPr>
            <w:tcW w:w="716" w:type="dxa"/>
            <w:noWrap w:val="0"/>
            <w:vAlign w:val="center"/>
          </w:tcPr>
          <w:p>
            <w:pPr>
              <w:jc w:val="center"/>
              <w:rPr>
                <w:color w:val="auto"/>
              </w:rPr>
            </w:pPr>
            <w:r>
              <w:rPr>
                <w:rFonts w:hint="eastAsia" w:cs="宋体"/>
                <w:color w:val="auto"/>
              </w:rPr>
              <w:t>单位</w:t>
            </w:r>
          </w:p>
        </w:tc>
        <w:tc>
          <w:tcPr>
            <w:tcW w:w="1580" w:type="dxa"/>
            <w:noWrap w:val="0"/>
            <w:vAlign w:val="center"/>
          </w:tcPr>
          <w:p>
            <w:pPr>
              <w:jc w:val="center"/>
              <w:rPr>
                <w:rFonts w:hint="eastAsia" w:cs="宋体"/>
                <w:color w:val="auto"/>
              </w:rPr>
            </w:pPr>
            <w:r>
              <w:rPr>
                <w:rFonts w:hint="eastAsia" w:cs="宋体"/>
                <w:color w:val="auto"/>
              </w:rPr>
              <w:t>制造商授权</w:t>
            </w:r>
          </w:p>
        </w:tc>
        <w:tc>
          <w:tcPr>
            <w:tcW w:w="2045" w:type="dxa"/>
            <w:noWrap w:val="0"/>
            <w:vAlign w:val="center"/>
          </w:tcPr>
          <w:p>
            <w:pPr>
              <w:jc w:val="center"/>
              <w:rPr>
                <w:color w:val="auto"/>
              </w:rPr>
            </w:pPr>
            <w:r>
              <w:rPr>
                <w:rFonts w:hint="eastAsia" w:cs="宋体"/>
                <w:color w:val="auto"/>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1</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水质五参数自动分析仪（浊度、</w:t>
            </w:r>
            <w:r>
              <w:rPr>
                <w:rFonts w:ascii="宋体" w:hAnsi="宋体" w:cs="宋体"/>
                <w:color w:val="auto"/>
                <w:kern w:val="0"/>
              </w:rPr>
              <w:t>PH</w:t>
            </w:r>
            <w:r>
              <w:rPr>
                <w:rFonts w:hint="eastAsia" w:ascii="宋体" w:hAnsi="宋体" w:cs="宋体"/>
                <w:color w:val="auto"/>
                <w:kern w:val="0"/>
              </w:rPr>
              <w:t>、</w:t>
            </w:r>
            <w:r>
              <w:rPr>
                <w:rFonts w:ascii="宋体" w:hAnsi="宋体" w:cs="宋体"/>
                <w:color w:val="auto"/>
                <w:kern w:val="0"/>
              </w:rPr>
              <w:t>DO</w:t>
            </w:r>
            <w:r>
              <w:rPr>
                <w:rFonts w:hint="eastAsia" w:ascii="宋体" w:hAnsi="宋体" w:cs="宋体"/>
                <w:color w:val="auto"/>
                <w:kern w:val="0"/>
              </w:rPr>
              <w:t>、电导率、水温）</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2</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高锰酸盐指数自动分析仪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3</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氨氮水质自动分析仪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4</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总磷水质自动分析仪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5</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总氮水质自动分析仪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6</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生物毒性水质自动分析仪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7</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叶绿素</w:t>
            </w:r>
            <w:r>
              <w:rPr>
                <w:rFonts w:ascii="宋体" w:hAnsi="宋体" w:cs="宋体"/>
                <w:color w:val="auto"/>
                <w:kern w:val="0"/>
              </w:rPr>
              <w:t xml:space="preserve"> a </w:t>
            </w:r>
            <w:r>
              <w:rPr>
                <w:rFonts w:hint="eastAsia" w:ascii="宋体" w:hAnsi="宋体" w:cs="宋体"/>
                <w:color w:val="auto"/>
                <w:kern w:val="0"/>
              </w:rPr>
              <w:t>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8</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蓝绿藻自动分析仪</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99" w:type="dxa"/>
            <w:noWrap w:val="0"/>
            <w:vAlign w:val="center"/>
          </w:tcPr>
          <w:p>
            <w:pPr>
              <w:widowControl/>
              <w:jc w:val="center"/>
              <w:textAlignment w:val="center"/>
              <w:rPr>
                <w:rFonts w:ascii="宋体"/>
                <w:color w:val="auto"/>
                <w:kern w:val="0"/>
              </w:rPr>
            </w:pPr>
            <w:r>
              <w:rPr>
                <w:rFonts w:ascii="宋体" w:hAnsi="宋体" w:cs="宋体"/>
                <w:color w:val="auto"/>
                <w:kern w:val="0"/>
              </w:rPr>
              <w:t>9</w:t>
            </w:r>
          </w:p>
        </w:tc>
        <w:tc>
          <w:tcPr>
            <w:tcW w:w="2790" w:type="dxa"/>
            <w:noWrap w:val="0"/>
            <w:vAlign w:val="center"/>
          </w:tcPr>
          <w:p>
            <w:pPr>
              <w:widowControl/>
              <w:jc w:val="center"/>
              <w:textAlignment w:val="center"/>
              <w:rPr>
                <w:rFonts w:ascii="宋体"/>
                <w:color w:val="auto"/>
                <w:kern w:val="0"/>
              </w:rPr>
            </w:pPr>
            <w:r>
              <w:rPr>
                <w:rFonts w:hint="eastAsia" w:ascii="宋体" w:hAnsi="宋体" w:cs="宋体"/>
                <w:color w:val="auto"/>
                <w:kern w:val="0"/>
              </w:rPr>
              <w:t>水位计</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10</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全自动水质留样器</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11</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预处理及配水系统</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9" w:type="dxa"/>
            <w:noWrap w:val="0"/>
            <w:vAlign w:val="center"/>
          </w:tcPr>
          <w:p>
            <w:pPr>
              <w:widowControl/>
              <w:jc w:val="center"/>
              <w:textAlignment w:val="center"/>
              <w:rPr>
                <w:rFonts w:ascii="宋体"/>
                <w:color w:val="auto"/>
              </w:rPr>
            </w:pPr>
            <w:r>
              <w:rPr>
                <w:rFonts w:ascii="宋体" w:hAnsi="宋体" w:cs="宋体"/>
                <w:color w:val="auto"/>
                <w:kern w:val="0"/>
              </w:rPr>
              <w:t>12</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数据采集与传输系统</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9" w:type="dxa"/>
            <w:noWrap w:val="0"/>
            <w:vAlign w:val="center"/>
          </w:tcPr>
          <w:p>
            <w:pPr>
              <w:jc w:val="center"/>
              <w:textAlignment w:val="center"/>
              <w:rPr>
                <w:rFonts w:ascii="宋体"/>
                <w:color w:val="auto"/>
                <w:kern w:val="0"/>
              </w:rPr>
            </w:pPr>
            <w:r>
              <w:rPr>
                <w:rFonts w:ascii="宋体" w:hAnsi="宋体" w:cs="宋体"/>
                <w:color w:val="auto"/>
                <w:kern w:val="0"/>
              </w:rPr>
              <w:t>13</w:t>
            </w:r>
          </w:p>
        </w:tc>
        <w:tc>
          <w:tcPr>
            <w:tcW w:w="2790" w:type="dxa"/>
            <w:noWrap w:val="0"/>
            <w:vAlign w:val="center"/>
          </w:tcPr>
          <w:p>
            <w:pPr>
              <w:widowControl/>
              <w:jc w:val="center"/>
              <w:textAlignment w:val="center"/>
              <w:rPr>
                <w:rFonts w:ascii="宋体" w:hAnsi="宋体" w:cs="宋体"/>
                <w:color w:val="auto"/>
                <w:kern w:val="0"/>
              </w:rPr>
            </w:pPr>
            <w:r>
              <w:rPr>
                <w:rFonts w:hint="eastAsia" w:ascii="宋体" w:hAnsi="宋体" w:cs="宋体"/>
                <w:color w:val="auto"/>
                <w:kern w:val="0"/>
              </w:rPr>
              <w:t>水站数据传输</w:t>
            </w:r>
            <w:r>
              <w:rPr>
                <w:rFonts w:ascii="宋体" w:hAnsi="宋体" w:cs="宋体"/>
                <w:color w:val="auto"/>
                <w:kern w:val="0"/>
              </w:rPr>
              <w:t>VPN</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noWrap w:val="0"/>
            <w:vAlign w:val="center"/>
          </w:tcPr>
          <w:p>
            <w:pPr>
              <w:widowControl/>
              <w:jc w:val="center"/>
              <w:textAlignment w:val="center"/>
              <w:rPr>
                <w:rFonts w:ascii="宋体"/>
                <w:color w:val="auto"/>
              </w:rPr>
            </w:pPr>
            <w:r>
              <w:rPr>
                <w:rFonts w:ascii="宋体" w:cs="宋体"/>
                <w:color w:val="auto"/>
              </w:rPr>
              <w:t>14</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空压机、纯水机及辅助系统</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99" w:type="dxa"/>
            <w:noWrap w:val="0"/>
            <w:vAlign w:val="center"/>
          </w:tcPr>
          <w:p>
            <w:pPr>
              <w:widowControl/>
              <w:jc w:val="center"/>
              <w:textAlignment w:val="center"/>
              <w:rPr>
                <w:rFonts w:ascii="宋体"/>
                <w:color w:val="auto"/>
              </w:rPr>
            </w:pPr>
            <w:r>
              <w:rPr>
                <w:rFonts w:ascii="宋体" w:cs="宋体"/>
                <w:color w:val="auto"/>
              </w:rPr>
              <w:t>15</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废液处理系统</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99" w:type="dxa"/>
            <w:noWrap w:val="0"/>
            <w:vAlign w:val="center"/>
          </w:tcPr>
          <w:p>
            <w:pPr>
              <w:widowControl/>
              <w:jc w:val="center"/>
              <w:textAlignment w:val="center"/>
              <w:rPr>
                <w:rFonts w:ascii="宋体"/>
                <w:color w:val="auto"/>
              </w:rPr>
            </w:pPr>
            <w:r>
              <w:rPr>
                <w:rFonts w:ascii="宋体" w:cs="宋体"/>
                <w:color w:val="auto"/>
              </w:rPr>
              <w:t>16</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数据质量控制系统</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9" w:type="dxa"/>
            <w:noWrap w:val="0"/>
            <w:vAlign w:val="center"/>
          </w:tcPr>
          <w:p>
            <w:pPr>
              <w:widowControl/>
              <w:jc w:val="center"/>
              <w:textAlignment w:val="center"/>
              <w:rPr>
                <w:rFonts w:ascii="宋体"/>
                <w:color w:val="auto"/>
              </w:rPr>
            </w:pPr>
            <w:r>
              <w:rPr>
                <w:rFonts w:ascii="宋体" w:cs="宋体"/>
                <w:color w:val="auto"/>
              </w:rPr>
              <w:t>17</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试剂保质装置</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99" w:type="dxa"/>
            <w:noWrap w:val="0"/>
            <w:vAlign w:val="center"/>
          </w:tcPr>
          <w:p>
            <w:pPr>
              <w:widowControl/>
              <w:jc w:val="center"/>
              <w:textAlignment w:val="center"/>
              <w:rPr>
                <w:rFonts w:ascii="宋体"/>
                <w:color w:val="auto"/>
              </w:rPr>
            </w:pPr>
            <w:r>
              <w:rPr>
                <w:rFonts w:ascii="宋体" w:cs="宋体"/>
                <w:color w:val="auto"/>
              </w:rPr>
              <w:t>18</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视频监控系统</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9" w:type="dxa"/>
            <w:noWrap w:val="0"/>
            <w:vAlign w:val="center"/>
          </w:tcPr>
          <w:p>
            <w:pPr>
              <w:widowControl/>
              <w:jc w:val="center"/>
              <w:textAlignment w:val="center"/>
              <w:rPr>
                <w:rFonts w:ascii="宋体"/>
                <w:color w:val="auto"/>
              </w:rPr>
            </w:pPr>
            <w:r>
              <w:rPr>
                <w:rFonts w:ascii="宋体" w:cs="宋体"/>
                <w:color w:val="auto"/>
              </w:rPr>
              <w:t>19</w:t>
            </w:r>
          </w:p>
        </w:tc>
        <w:tc>
          <w:tcPr>
            <w:tcW w:w="2790" w:type="dxa"/>
            <w:noWrap w:val="0"/>
            <w:vAlign w:val="center"/>
          </w:tcPr>
          <w:p>
            <w:pPr>
              <w:widowControl/>
              <w:jc w:val="center"/>
              <w:textAlignment w:val="center"/>
              <w:rPr>
                <w:rFonts w:ascii="宋体"/>
                <w:color w:val="auto"/>
              </w:rPr>
            </w:pPr>
            <w:r>
              <w:rPr>
                <w:rFonts w:hint="eastAsia" w:ascii="宋体" w:hAnsi="宋体" w:cs="宋体"/>
                <w:color w:val="auto"/>
                <w:kern w:val="0"/>
              </w:rPr>
              <w:t>系统一体化总集</w:t>
            </w:r>
          </w:p>
        </w:tc>
        <w:tc>
          <w:tcPr>
            <w:tcW w:w="689" w:type="dxa"/>
            <w:noWrap w:val="0"/>
            <w:vAlign w:val="center"/>
          </w:tcPr>
          <w:p>
            <w:pPr>
              <w:jc w:val="center"/>
              <w:rPr>
                <w:color w:val="auto"/>
              </w:rPr>
            </w:pPr>
            <w:r>
              <w:rPr>
                <w:color w:val="auto"/>
              </w:rPr>
              <w:t>1</w:t>
            </w:r>
          </w:p>
        </w:tc>
        <w:tc>
          <w:tcPr>
            <w:tcW w:w="716" w:type="dxa"/>
            <w:noWrap w:val="0"/>
            <w:vAlign w:val="center"/>
          </w:tcPr>
          <w:p>
            <w:pPr>
              <w:jc w:val="center"/>
              <w:rPr>
                <w:color w:val="auto"/>
              </w:rPr>
            </w:pPr>
            <w:r>
              <w:rPr>
                <w:rFonts w:hint="eastAsia" w:cs="宋体"/>
                <w:color w:val="auto"/>
              </w:rPr>
              <w:t>套</w:t>
            </w:r>
          </w:p>
        </w:tc>
        <w:tc>
          <w:tcPr>
            <w:tcW w:w="1580" w:type="dxa"/>
            <w:noWrap w:val="0"/>
            <w:vAlign w:val="center"/>
          </w:tcPr>
          <w:p>
            <w:pPr>
              <w:jc w:val="center"/>
              <w:rPr>
                <w:rFonts w:hint="eastAsia" w:cs="宋体"/>
                <w:color w:val="auto"/>
              </w:rPr>
            </w:pPr>
            <w:r>
              <w:rPr>
                <w:rFonts w:hint="eastAsia" w:cs="宋体"/>
                <w:color w:val="auto"/>
                <w:lang w:eastAsia="zh-CN"/>
              </w:rPr>
              <w:t>不</w:t>
            </w:r>
            <w:r>
              <w:rPr>
                <w:rFonts w:hint="eastAsia" w:cs="宋体"/>
                <w:color w:val="auto"/>
              </w:rPr>
              <w:t>需要授权</w:t>
            </w:r>
          </w:p>
        </w:tc>
        <w:tc>
          <w:tcPr>
            <w:tcW w:w="2045" w:type="dxa"/>
            <w:noWrap w:val="0"/>
            <w:vAlign w:val="center"/>
          </w:tcPr>
          <w:p>
            <w:pPr>
              <w:jc w:val="center"/>
              <w:rPr>
                <w:color w:val="auto"/>
              </w:rPr>
            </w:pPr>
            <w:r>
              <w:rPr>
                <w:rFonts w:hint="eastAsia" w:cs="宋体"/>
                <w:color w:val="auto"/>
              </w:rPr>
              <w:t>不接受</w:t>
            </w:r>
          </w:p>
        </w:tc>
      </w:tr>
    </w:tbl>
    <w:p>
      <w:pPr>
        <w:spacing w:line="360" w:lineRule="auto"/>
        <w:jc w:val="center"/>
        <w:rPr>
          <w:rFonts w:hint="eastAsia"/>
          <w:b/>
          <w:color w:val="auto"/>
          <w:sz w:val="32"/>
          <w:szCs w:val="32"/>
        </w:rPr>
      </w:pPr>
    </w:p>
    <w:p>
      <w:pPr>
        <w:spacing w:line="360" w:lineRule="auto"/>
        <w:jc w:val="center"/>
        <w:rPr>
          <w:rFonts w:hint="eastAsia"/>
          <w:b/>
          <w:color w:val="auto"/>
          <w:sz w:val="32"/>
          <w:szCs w:val="32"/>
        </w:rPr>
      </w:pPr>
      <w:r>
        <w:rPr>
          <w:rFonts w:hint="eastAsia"/>
          <w:b/>
          <w:color w:val="auto"/>
          <w:sz w:val="32"/>
          <w:szCs w:val="32"/>
        </w:rPr>
        <w:t>参考配置及技术要求</w:t>
      </w:r>
    </w:p>
    <w:p>
      <w:pPr>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（一）水质五参数自动分析仪</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▲1、本次采购的主要（核心）设备包含常规五参数水质分析仪（水温、 pH 、电导率、溶解氧、浊度）、高锰酸盐指数水质自动分析仪 、 氨氮水质自动分析仪 、 总磷水质自动分析仪 、 总氮水质自动分析仪须具有生态环境部环境监测仪器质量监督检验中心出具的在有效期内的适用性检测合格报告。（提供适用性检测合格报告的原件扫描件）</w:t>
      </w:r>
    </w:p>
    <w:p>
      <w:pPr>
        <w:pStyle w:val="2"/>
        <w:spacing w:line="360" w:lineRule="auto"/>
        <w:ind w:firstLine="482"/>
        <w:rPr>
          <w:rFonts w:hint="eastAsia" w:ascii="宋体" w:hAnsi="宋体" w:cs="宋体"/>
          <w:b/>
          <w:bCs/>
          <w:color w:val="auto"/>
          <w:sz w:val="24"/>
        </w:rPr>
      </w:pPr>
      <w:r>
        <w:rPr>
          <w:rFonts w:hint="eastAsia" w:ascii="宋体" w:hAnsi="宋体" w:cs="宋体"/>
          <w:b/>
          <w:bCs/>
          <w:color w:val="auto"/>
          <w:sz w:val="24"/>
        </w:rPr>
        <w:t>2、通用技术要求</w:t>
      </w:r>
    </w:p>
    <w:p>
      <w:pPr>
        <w:pStyle w:val="2"/>
        <w:spacing w:line="360" w:lineRule="auto"/>
        <w:ind w:firstLine="482"/>
        <w:rPr>
          <w:rFonts w:hint="eastAsia" w:ascii="宋体" w:hAnsi="宋体" w:cs="宋体"/>
          <w:color w:val="auto"/>
          <w:sz w:val="24"/>
        </w:rPr>
      </w:pPr>
      <w:r>
        <w:rPr>
          <w:rFonts w:hint="eastAsia" w:ascii="宋体" w:hAnsi="宋体" w:cs="宋体"/>
          <w:b/>
          <w:bCs/>
          <w:color w:val="auto"/>
          <w:sz w:val="24"/>
        </w:rPr>
        <w:t>2.1</w:t>
      </w:r>
      <w:r>
        <w:rPr>
          <w:rFonts w:hint="eastAsia" w:ascii="宋体" w:hAnsi="宋体" w:cs="宋体"/>
          <w:color w:val="auto"/>
          <w:sz w:val="24"/>
        </w:rPr>
        <w:t>操作语言</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所有水质自动分析仪器和控制单元显示必须为中文，符合《信息交换用汉字编码字符集》（GB2312－1980）国际标准中文字符集。</w:t>
      </w:r>
    </w:p>
    <w:p>
      <w:pPr>
        <w:pStyle w:val="2"/>
        <w:spacing w:line="360" w:lineRule="auto"/>
        <w:ind w:firstLine="482"/>
        <w:rPr>
          <w:rFonts w:hint="eastAsia" w:ascii="宋体" w:hAnsi="宋体" w:cs="宋体"/>
          <w:color w:val="auto"/>
          <w:sz w:val="24"/>
        </w:rPr>
      </w:pPr>
      <w:r>
        <w:rPr>
          <w:rFonts w:hint="eastAsia" w:ascii="宋体" w:hAnsi="宋体" w:cs="宋体"/>
          <w:b/>
          <w:bCs/>
          <w:color w:val="auto"/>
          <w:sz w:val="24"/>
        </w:rPr>
        <w:t>2.2</w:t>
      </w:r>
      <w:r>
        <w:rPr>
          <w:rFonts w:hint="eastAsia" w:ascii="宋体" w:hAnsi="宋体" w:cs="宋体"/>
          <w:color w:val="auto"/>
          <w:sz w:val="24"/>
        </w:rPr>
        <w:t>试剂供应</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（1）需提供仪器试剂配制方法，并提供试剂成分及纯度；</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（2）仪器所需试剂贮存于专用试剂瓶中，试剂保质期不低于2周；</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（3）仪器使用的实验用水、试剂、标准溶液均须达到《国家地表水环境质量监测网监测任务作业指导书》（试行）（中国环境出版社，2017）中质量保证要求。</w:t>
      </w:r>
    </w:p>
    <w:p>
      <w:pPr>
        <w:pStyle w:val="2"/>
        <w:spacing w:line="360" w:lineRule="auto"/>
        <w:ind w:firstLine="482"/>
        <w:rPr>
          <w:rFonts w:hint="eastAsia" w:ascii="宋体" w:hAnsi="宋体" w:cs="宋体"/>
          <w:color w:val="auto"/>
          <w:sz w:val="24"/>
        </w:rPr>
      </w:pPr>
      <w:r>
        <w:rPr>
          <w:rFonts w:hint="eastAsia" w:ascii="宋体" w:hAnsi="宋体" w:cs="宋体"/>
          <w:b/>
          <w:bCs/>
          <w:color w:val="auto"/>
          <w:sz w:val="24"/>
        </w:rPr>
        <w:t>2.3</w:t>
      </w:r>
      <w:r>
        <w:rPr>
          <w:rFonts w:hint="eastAsia" w:ascii="宋体" w:hAnsi="宋体" w:cs="宋体"/>
          <w:color w:val="auto"/>
          <w:sz w:val="24"/>
        </w:rPr>
        <w:t>通讯协议要求</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投标人承诺中标后按照《国家地表水自动监测系统通信协议技术要求》等采购人指定的传输协议要求，在此基础上根据本项目实际建设内容进行修订扩充。将所有监测数据传输至指定的管理系统，包括仪器的实时状态、关键参数和监测数据等，向采购人提供所有仪器的通信协议，配合采购人编制满足本项目所有监测参数的通讯协议。</w:t>
      </w:r>
    </w:p>
    <w:p>
      <w:pPr>
        <w:pStyle w:val="2"/>
        <w:spacing w:line="360" w:lineRule="auto"/>
        <w:ind w:firstLine="482"/>
        <w:rPr>
          <w:rFonts w:hint="eastAsia" w:ascii="宋体" w:hAnsi="宋体" w:cs="宋体"/>
          <w:b/>
          <w:bCs/>
          <w:color w:val="auto"/>
          <w:sz w:val="24"/>
        </w:rPr>
      </w:pPr>
      <w:r>
        <w:rPr>
          <w:rFonts w:hint="eastAsia" w:ascii="宋体" w:hAnsi="宋体" w:cs="宋体"/>
          <w:b/>
          <w:bCs/>
          <w:color w:val="auto"/>
          <w:sz w:val="24"/>
        </w:rPr>
        <w:t>3、水站自动分析仪器及辅助设备技术参数</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本项目所涉及自动分析仪器的参数众多，为保证本项目的质量，项目所采用的仪器必须符合国家、地方、行业标准，并做到技术先进、应用成熟、维护便利。</w:t>
      </w:r>
    </w:p>
    <w:p>
      <w:pPr>
        <w:pStyle w:val="2"/>
        <w:spacing w:line="360" w:lineRule="auto"/>
        <w:ind w:firstLine="482"/>
        <w:rPr>
          <w:rFonts w:hint="eastAsia" w:ascii="宋体" w:hAnsi="宋体" w:cs="宋体"/>
          <w:b/>
          <w:bCs/>
          <w:color w:val="auto"/>
          <w:sz w:val="24"/>
        </w:rPr>
      </w:pPr>
      <w:r>
        <w:rPr>
          <w:rFonts w:hint="eastAsia" w:ascii="宋体" w:hAnsi="宋体" w:cs="宋体"/>
          <w:b/>
          <w:bCs/>
          <w:color w:val="auto"/>
          <w:sz w:val="24"/>
        </w:rPr>
        <w:t>3.1 基本功能（水质五参数自动分析仪、生物毒性水质自动分析仪除外）</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（1）具有仪器基本参数贮存、显示、断电保护与自动恢复功能。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（2）具有时间设置功能，可根据需要任意设定监测频次。</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（3）▲具有仪器故障自动报警、异常值自动报警及试剂液位报警功能。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（4）具有自动清洗功能。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（5）具有定期自动校准功能。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（6）具有密封防护箱体及防潮功能。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（7）▲仪器状态远程显示功能。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（8）具有双向数据传输功能。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（9）输出信号采用 4-20mA 和 RS-485/232 或 MODBUS 标准接口，并提供标准协议。</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（10）具有密封防护箱体及防潮功能。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（11）▲具有标样核查，自动校准功能。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（12）▲仪器配备加标回收模块，可通过系统实现自动加标回收测试功能。</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（13）▲仪器采用模块化设计，根据水质实际情况可切换监测参数，达到水站扩项监测的功能。</w:t>
      </w:r>
    </w:p>
    <w:p>
      <w:pPr>
        <w:pStyle w:val="2"/>
        <w:spacing w:line="360" w:lineRule="auto"/>
        <w:ind w:firstLine="482"/>
        <w:rPr>
          <w:rFonts w:hint="eastAsia" w:ascii="宋体" w:hAnsi="宋体" w:cs="宋体"/>
          <w:b/>
          <w:bCs/>
          <w:color w:val="auto"/>
          <w:sz w:val="24"/>
        </w:rPr>
      </w:pPr>
      <w:r>
        <w:rPr>
          <w:rFonts w:hint="eastAsia" w:ascii="宋体" w:hAnsi="宋体" w:cs="宋体"/>
          <w:b/>
          <w:bCs/>
          <w:color w:val="auto"/>
          <w:sz w:val="24"/>
        </w:rPr>
        <w:t>3.2 技术指标要求</w:t>
      </w:r>
    </w:p>
    <w:p>
      <w:pPr>
        <w:pStyle w:val="2"/>
        <w:spacing w:line="360" w:lineRule="auto"/>
        <w:ind w:firstLine="482"/>
        <w:rPr>
          <w:rFonts w:hint="eastAsia" w:ascii="宋体" w:hAnsi="宋体" w:cs="宋体"/>
          <w:color w:val="auto"/>
          <w:sz w:val="24"/>
        </w:rPr>
      </w:pPr>
      <w:r>
        <w:rPr>
          <w:rFonts w:hint="eastAsia" w:ascii="宋体" w:hAnsi="宋体" w:cs="宋体"/>
          <w:b/>
          <w:bCs/>
          <w:color w:val="auto"/>
          <w:sz w:val="24"/>
        </w:rPr>
        <w:t xml:space="preserve">3.2.1 </w:t>
      </w:r>
      <w:r>
        <w:rPr>
          <w:rFonts w:hint="eastAsia" w:ascii="宋体" w:hAnsi="宋体" w:cs="宋体"/>
          <w:color w:val="auto"/>
          <w:sz w:val="24"/>
        </w:rPr>
        <w:t>常规五参数水质自动分析仪</w:t>
      </w:r>
    </w:p>
    <w:p>
      <w:pPr>
        <w:pStyle w:val="2"/>
        <w:spacing w:line="360" w:lineRule="auto"/>
        <w:ind w:firstLine="482"/>
        <w:rPr>
          <w:rFonts w:hint="eastAsia" w:ascii="宋体" w:hAnsi="宋体" w:cs="宋体"/>
          <w:b/>
          <w:bCs/>
          <w:color w:val="auto"/>
          <w:sz w:val="24"/>
        </w:rPr>
      </w:pPr>
      <w:r>
        <w:rPr>
          <w:rFonts w:hint="eastAsia" w:ascii="宋体" w:hAnsi="宋体" w:cs="宋体"/>
          <w:b/>
          <w:bCs/>
          <w:color w:val="auto"/>
          <w:sz w:val="24"/>
        </w:rPr>
        <w:t>（1）控制器</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1）支持大部分数字化水质分析探头，拥有对外接口，实现传感器探头组网、远程控制、故障诊断等工作。</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2）支持数字传感探头的自动识别，即插即用；</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3）多通道设计，最多可以支持 8 个探头；</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4）同时支持 RS485 和 RS232 接口，可实现网络化监控；</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5）采用独特的防雷设计，确保设备工作的可靠性；</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6）支持软件在线升级，方便维护；</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7）工作温度：（-10～60）℃。</w:t>
      </w:r>
    </w:p>
    <w:p>
      <w:pPr>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（2）水温自动分析仪</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406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2" w:beforeAutospacing="0" w:after="0" w:afterAutospacing="0" w:line="360" w:lineRule="auto"/>
              <w:ind w:left="379" w:right="369"/>
              <w:jc w:val="center"/>
              <w:rPr>
                <w:rFonts w:hint="eastAsia"/>
                <w:color w:val="auto"/>
                <w:kern w:val="2"/>
              </w:rPr>
            </w:pPr>
            <w:r>
              <w:rPr>
                <w:rFonts w:hint="eastAsia"/>
                <w:color w:val="auto"/>
                <w:kern w:val="2"/>
                <w:lang w:bidi="ar"/>
              </w:rPr>
              <w:t>序号</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项  目</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1</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分析方法</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温度传感器法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2</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测量范围</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11"/>
              <w:jc w:val="center"/>
              <w:rPr>
                <w:rFonts w:hint="eastAsia"/>
                <w:color w:val="auto"/>
                <w:kern w:val="2"/>
              </w:rPr>
            </w:pPr>
            <w:r>
              <w:rPr>
                <w:rFonts w:hint="eastAsia"/>
                <w:color w:val="auto"/>
                <w:kern w:val="2"/>
                <w:lang w:bidi="ar"/>
              </w:rPr>
              <w:t>3</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准确度</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11"/>
              <w:jc w:val="center"/>
              <w:rPr>
                <w:rFonts w:hint="eastAsia"/>
                <w:color w:val="auto"/>
                <w:kern w:val="2"/>
              </w:rPr>
            </w:pPr>
            <w:r>
              <w:rPr>
                <w:rFonts w:hint="eastAsia"/>
                <w:color w:val="auto"/>
                <w:kern w:val="2"/>
                <w:lang w:bidi="ar"/>
              </w:rPr>
              <w:t>4</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响应时间（T</w:t>
            </w:r>
            <w:r>
              <w:rPr>
                <w:rFonts w:hint="eastAsia"/>
                <w:color w:val="auto"/>
                <w:kern w:val="2"/>
                <w:vertAlign w:val="subscript"/>
                <w:lang w:bidi="ar"/>
              </w:rPr>
              <w:t>90</w:t>
            </w:r>
            <w:r>
              <w:rPr>
                <w:rFonts w:hint="eastAsia"/>
                <w:color w:val="auto"/>
                <w:kern w:val="2"/>
                <w:lang w:bidi="ar"/>
              </w:rPr>
              <w:t>）</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11"/>
              <w:jc w:val="center"/>
              <w:rPr>
                <w:rFonts w:hint="eastAsia"/>
                <w:color w:val="auto"/>
                <w:kern w:val="2"/>
              </w:rPr>
            </w:pPr>
            <w:r>
              <w:rPr>
                <w:rFonts w:hint="eastAsia"/>
                <w:color w:val="auto"/>
                <w:kern w:val="2"/>
                <w:lang w:bidi="ar"/>
              </w:rPr>
              <w:t>5</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平均无故障连续运行时间</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6</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重复性</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7</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分辨率</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8</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量程漂移</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9</w:t>
            </w:r>
          </w:p>
        </w:tc>
        <w:tc>
          <w:tcPr>
            <w:tcW w:w="4066"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实际水样比对</w:t>
            </w:r>
          </w:p>
        </w:tc>
        <w:tc>
          <w:tcPr>
            <w:tcW w:w="2150"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±0.2℃</w:t>
            </w:r>
          </w:p>
        </w:tc>
      </w:tr>
    </w:tbl>
    <w:p>
      <w:pPr>
        <w:spacing w:line="360" w:lineRule="auto"/>
        <w:ind w:firstLine="240" w:firstLineChars="100"/>
        <w:rPr>
          <w:rFonts w:hint="eastAsia" w:ascii="宋体" w:hAnsi="宋体" w:cs="宋体"/>
          <w:color w:val="auto"/>
          <w:sz w:val="24"/>
        </w:rPr>
      </w:pPr>
    </w:p>
    <w:p>
      <w:pPr>
        <w:spacing w:line="360" w:lineRule="auto"/>
        <w:ind w:firstLine="241" w:firstLineChars="100"/>
        <w:rPr>
          <w:rFonts w:hint="eastAsia" w:ascii="宋体" w:hAnsi="宋体" w:cs="宋体"/>
          <w:b/>
          <w:bCs/>
          <w:color w:val="auto"/>
          <w:sz w:val="24"/>
        </w:rPr>
      </w:pPr>
      <w:r>
        <w:rPr>
          <w:rFonts w:hint="eastAsia" w:ascii="宋体" w:hAnsi="宋体" w:cs="宋体"/>
          <w:b/>
          <w:bCs/>
          <w:color w:val="auto"/>
          <w:sz w:val="24"/>
        </w:rPr>
        <w:t>（3）pH自动分析仪</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729"/>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380" w:right="370"/>
              <w:jc w:val="center"/>
              <w:rPr>
                <w:rFonts w:hint="eastAsia"/>
                <w:color w:val="auto"/>
                <w:kern w:val="2"/>
              </w:rPr>
            </w:pPr>
            <w:r>
              <w:rPr>
                <w:rFonts w:hint="eastAsia"/>
                <w:color w:val="auto"/>
                <w:kern w:val="2"/>
                <w:lang w:bidi="ar"/>
              </w:rPr>
              <w:t>序号</w:t>
            </w:r>
          </w:p>
        </w:tc>
        <w:tc>
          <w:tcPr>
            <w:tcW w:w="3729" w:type="dxa"/>
            <w:tcBorders>
              <w:top w:val="single" w:color="auto" w:sz="4" w:space="0"/>
              <w:left w:val="nil"/>
              <w:bottom w:val="single" w:color="auto" w:sz="4" w:space="0"/>
              <w:right w:val="single" w:color="auto" w:sz="4" w:space="0"/>
            </w:tcBorders>
            <w:noWrap w:val="0"/>
            <w:vAlign w:val="top"/>
          </w:tcPr>
          <w:p>
            <w:pPr>
              <w:pStyle w:val="5"/>
              <w:widowControl w:val="0"/>
              <w:spacing w:before="87" w:beforeAutospacing="0" w:after="0" w:afterAutospacing="0" w:line="360" w:lineRule="auto"/>
              <w:ind w:left="106"/>
              <w:jc w:val="both"/>
              <w:rPr>
                <w:rFonts w:hint="eastAsia"/>
                <w:color w:val="auto"/>
                <w:kern w:val="2"/>
              </w:rPr>
            </w:pPr>
            <w:r>
              <w:rPr>
                <w:rFonts w:hint="eastAsia"/>
                <w:color w:val="auto"/>
                <w:kern w:val="2"/>
                <w:lang w:bidi="ar"/>
              </w:rPr>
              <w:t>项  目</w:t>
            </w:r>
          </w:p>
        </w:tc>
        <w:tc>
          <w:tcPr>
            <w:tcW w:w="2675" w:type="dxa"/>
            <w:tcBorders>
              <w:top w:val="single" w:color="auto" w:sz="4" w:space="0"/>
              <w:left w:val="nil"/>
              <w:bottom w:val="single" w:color="auto" w:sz="4" w:space="0"/>
              <w:right w:val="single" w:color="auto" w:sz="4" w:space="0"/>
            </w:tcBorders>
            <w:noWrap w:val="0"/>
            <w:vAlign w:val="top"/>
          </w:tcPr>
          <w:p>
            <w:pPr>
              <w:pStyle w:val="5"/>
              <w:widowControl w:val="0"/>
              <w:spacing w:before="87" w:beforeAutospacing="0" w:after="0" w:afterAutospacing="0" w:line="360" w:lineRule="auto"/>
              <w:ind w:left="107"/>
              <w:jc w:val="both"/>
              <w:rPr>
                <w:rFonts w:hint="eastAsia"/>
                <w:color w:val="auto"/>
                <w:kern w:val="2"/>
              </w:rPr>
            </w:pPr>
            <w:r>
              <w:rPr>
                <w:rFonts w:hint="eastAsia"/>
                <w:color w:val="auto"/>
                <w:kern w:val="2"/>
                <w:lang w:bidi="ar"/>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1</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分析方法</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2</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测量范围</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0～14pH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3</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分辨率</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4</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重复性</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5</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准确度</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6</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漂移（pH=4、7、9）</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7</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实际水样比对试验</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8</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响应时间（T</w:t>
            </w:r>
            <w:r>
              <w:rPr>
                <w:rFonts w:hint="eastAsia"/>
                <w:color w:val="auto"/>
                <w:kern w:val="2"/>
                <w:vertAlign w:val="subscript"/>
                <w:lang w:bidi="ar"/>
              </w:rPr>
              <w:t>90</w:t>
            </w:r>
            <w:r>
              <w:rPr>
                <w:rFonts w:hint="eastAsia"/>
                <w:color w:val="auto"/>
                <w:kern w:val="2"/>
                <w:lang w:bidi="ar"/>
              </w:rPr>
              <w:t>）</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9</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温度补偿</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自动温度补偿功能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10</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平均无故障连续运行时间</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≥1440h</w:t>
            </w:r>
          </w:p>
        </w:tc>
      </w:tr>
    </w:tbl>
    <w:p>
      <w:pPr>
        <w:spacing w:line="360" w:lineRule="auto"/>
        <w:ind w:firstLine="241" w:firstLineChars="100"/>
        <w:rPr>
          <w:rFonts w:hint="eastAsia" w:ascii="宋体" w:hAnsi="宋体" w:cs="宋体"/>
          <w:b/>
          <w:bCs/>
          <w:color w:val="auto"/>
          <w:sz w:val="24"/>
        </w:rPr>
      </w:pPr>
    </w:p>
    <w:p>
      <w:pPr>
        <w:spacing w:line="360" w:lineRule="auto"/>
        <w:ind w:firstLine="241" w:firstLineChars="100"/>
        <w:rPr>
          <w:rFonts w:hint="eastAsia" w:ascii="宋体" w:hAnsi="宋体" w:cs="宋体"/>
          <w:b/>
          <w:bCs/>
          <w:color w:val="auto"/>
          <w:sz w:val="24"/>
        </w:rPr>
      </w:pPr>
      <w:r>
        <w:rPr>
          <w:rFonts w:hint="eastAsia" w:ascii="宋体" w:hAnsi="宋体" w:cs="宋体"/>
          <w:b/>
          <w:bCs/>
          <w:color w:val="auto"/>
          <w:sz w:val="24"/>
        </w:rPr>
        <w:t>（4）溶解氧自动分析仪</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3730"/>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2" w:beforeAutospacing="0" w:after="0" w:afterAutospacing="0" w:line="360" w:lineRule="auto"/>
              <w:ind w:left="379" w:right="369"/>
              <w:jc w:val="center"/>
              <w:rPr>
                <w:rFonts w:hint="eastAsia"/>
                <w:color w:val="auto"/>
                <w:kern w:val="2"/>
              </w:rPr>
            </w:pPr>
            <w:r>
              <w:rPr>
                <w:rFonts w:hint="eastAsia"/>
                <w:color w:val="auto"/>
                <w:kern w:val="2"/>
                <w:lang w:bidi="ar"/>
              </w:rPr>
              <w:t>序号</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项  目</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1</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分析方法</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2</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测量范围</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0～60mg/L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3</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分辨率</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4</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重复性</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5</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准确度</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11"/>
              <w:jc w:val="center"/>
              <w:rPr>
                <w:rFonts w:hint="eastAsia"/>
                <w:color w:val="auto"/>
                <w:kern w:val="2"/>
              </w:rPr>
            </w:pPr>
            <w:r>
              <w:rPr>
                <w:rFonts w:hint="eastAsia"/>
                <w:color w:val="auto"/>
                <w:kern w:val="2"/>
                <w:lang w:bidi="ar"/>
              </w:rPr>
              <w:t>6</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零点漂移</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11"/>
              <w:jc w:val="center"/>
              <w:rPr>
                <w:rFonts w:hint="eastAsia"/>
                <w:color w:val="auto"/>
                <w:kern w:val="2"/>
              </w:rPr>
            </w:pPr>
            <w:r>
              <w:rPr>
                <w:rFonts w:hint="eastAsia"/>
                <w:color w:val="auto"/>
                <w:kern w:val="2"/>
                <w:lang w:bidi="ar"/>
              </w:rPr>
              <w:t>7</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量程漂移</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11"/>
              <w:jc w:val="center"/>
              <w:rPr>
                <w:rFonts w:hint="eastAsia"/>
                <w:color w:val="auto"/>
                <w:kern w:val="2"/>
              </w:rPr>
            </w:pPr>
            <w:r>
              <w:rPr>
                <w:rFonts w:hint="eastAsia"/>
                <w:color w:val="auto"/>
                <w:kern w:val="2"/>
                <w:lang w:bidi="ar"/>
              </w:rPr>
              <w:t>8</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实际水样比对试验</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11"/>
              <w:jc w:val="center"/>
              <w:rPr>
                <w:rFonts w:hint="eastAsia"/>
                <w:color w:val="auto"/>
                <w:kern w:val="2"/>
              </w:rPr>
            </w:pPr>
            <w:r>
              <w:rPr>
                <w:rFonts w:hint="eastAsia"/>
                <w:color w:val="auto"/>
                <w:kern w:val="2"/>
                <w:lang w:bidi="ar"/>
              </w:rPr>
              <w:t>9</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响应时间（T90）</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0.5min（25℃）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lang w:bidi="ar"/>
              </w:rPr>
              <w:t>10</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温度补偿</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自动温度补偿功能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lang w:bidi="ar"/>
              </w:rPr>
              <w:t>11</w:t>
            </w:r>
          </w:p>
        </w:tc>
        <w:tc>
          <w:tcPr>
            <w:tcW w:w="3730"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平均无故障连续运行时间</w:t>
            </w:r>
          </w:p>
        </w:tc>
        <w:tc>
          <w:tcPr>
            <w:tcW w:w="2676"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≥1440h/次</w:t>
            </w:r>
          </w:p>
        </w:tc>
      </w:tr>
    </w:tbl>
    <w:p>
      <w:pPr>
        <w:spacing w:line="360" w:lineRule="auto"/>
        <w:ind w:firstLine="241" w:firstLineChars="100"/>
        <w:rPr>
          <w:rFonts w:hint="eastAsia" w:ascii="宋体" w:hAnsi="宋体" w:cs="宋体"/>
          <w:b/>
          <w:bCs/>
          <w:color w:val="auto"/>
          <w:sz w:val="24"/>
        </w:rPr>
      </w:pPr>
    </w:p>
    <w:p>
      <w:pPr>
        <w:spacing w:line="360" w:lineRule="auto"/>
        <w:ind w:firstLine="241" w:firstLineChars="100"/>
        <w:rPr>
          <w:rFonts w:hint="eastAsia" w:ascii="宋体" w:hAnsi="宋体" w:cs="宋体"/>
          <w:b/>
          <w:bCs/>
          <w:color w:val="auto"/>
          <w:sz w:val="24"/>
        </w:rPr>
      </w:pPr>
      <w:r>
        <w:rPr>
          <w:rFonts w:hint="eastAsia" w:ascii="宋体" w:hAnsi="宋体" w:cs="宋体"/>
          <w:b/>
          <w:bCs/>
          <w:color w:val="auto"/>
          <w:sz w:val="24"/>
        </w:rPr>
        <w:t>（5）电导率自动分析仪</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204"/>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380" w:right="370"/>
              <w:jc w:val="center"/>
              <w:rPr>
                <w:rFonts w:hint="eastAsia"/>
                <w:color w:val="auto"/>
                <w:kern w:val="2"/>
              </w:rPr>
            </w:pPr>
            <w:r>
              <w:rPr>
                <w:rFonts w:hint="eastAsia"/>
                <w:color w:val="auto"/>
                <w:kern w:val="2"/>
                <w:lang w:bidi="ar"/>
              </w:rPr>
              <w:t>序号</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项  目</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1</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分析方法</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2</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测量范围</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0～500mS/cm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3</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重复性</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4</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零点漂移</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5</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量程漂移</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6</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准确度</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7</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平均无故障连续运行时间</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8</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实际水样比对试验</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9</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分辨率</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0.1μS/cm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10</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响应时间（T</w:t>
            </w:r>
            <w:r>
              <w:rPr>
                <w:rFonts w:hint="eastAsia"/>
                <w:color w:val="auto"/>
                <w:kern w:val="2"/>
                <w:vertAlign w:val="subscript"/>
                <w:lang w:bidi="ar"/>
              </w:rPr>
              <w:t>90</w:t>
            </w:r>
            <w:r>
              <w:rPr>
                <w:rFonts w:hint="eastAsia"/>
                <w:color w:val="auto"/>
                <w:kern w:val="2"/>
                <w:lang w:bidi="ar"/>
              </w:rPr>
              <w:t>）</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11</w:t>
            </w:r>
          </w:p>
        </w:tc>
        <w:tc>
          <w:tcPr>
            <w:tcW w:w="3204"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温度补偿</w:t>
            </w:r>
          </w:p>
        </w:tc>
        <w:tc>
          <w:tcPr>
            <w:tcW w:w="3539" w:type="dxa"/>
            <w:tcBorders>
              <w:top w:val="single" w:color="auto" w:sz="4" w:space="0"/>
              <w:left w:val="nil"/>
              <w:bottom w:val="single" w:color="auto" w:sz="4" w:space="0"/>
              <w:right w:val="single" w:color="auto" w:sz="4" w:space="0"/>
            </w:tcBorders>
            <w:noWrap w:val="0"/>
            <w:vAlign w:val="center"/>
          </w:tcPr>
          <w:p>
            <w:pPr>
              <w:pStyle w:val="5"/>
              <w:widowControl w:val="0"/>
              <w:ind w:right="-309" w:rightChars="-147"/>
              <w:jc w:val="both"/>
              <w:rPr>
                <w:rFonts w:hint="eastAsia"/>
                <w:color w:val="auto"/>
                <w:kern w:val="2"/>
              </w:rPr>
            </w:pPr>
            <w:r>
              <w:rPr>
                <w:rFonts w:hint="eastAsia"/>
                <w:color w:val="auto"/>
                <w:kern w:val="2"/>
                <w:lang w:bidi="ar"/>
              </w:rPr>
              <w:t>自动温度补偿功能</w:t>
            </w:r>
          </w:p>
        </w:tc>
      </w:tr>
    </w:tbl>
    <w:p>
      <w:pPr>
        <w:pStyle w:val="2"/>
        <w:spacing w:line="360" w:lineRule="auto"/>
        <w:ind w:firstLine="482"/>
        <w:rPr>
          <w:rFonts w:hint="eastAsia" w:ascii="宋体" w:hAnsi="宋体" w:cs="宋体"/>
          <w:b/>
          <w:bCs/>
          <w:color w:val="auto"/>
          <w:sz w:val="24"/>
        </w:rPr>
      </w:pPr>
    </w:p>
    <w:p>
      <w:pPr>
        <w:pStyle w:val="2"/>
        <w:spacing w:line="360" w:lineRule="auto"/>
        <w:ind w:firstLine="482"/>
        <w:rPr>
          <w:rFonts w:hint="eastAsia" w:ascii="宋体" w:hAnsi="宋体" w:cs="宋体"/>
          <w:b/>
          <w:bCs/>
          <w:color w:val="auto"/>
          <w:sz w:val="24"/>
        </w:rPr>
      </w:pPr>
      <w:r>
        <w:rPr>
          <w:rFonts w:hint="eastAsia" w:ascii="宋体" w:hAnsi="宋体" w:cs="宋体"/>
          <w:b/>
          <w:bCs/>
          <w:color w:val="auto"/>
          <w:sz w:val="24"/>
        </w:rPr>
        <w:t>（6）浊度自动分析仪</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729"/>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80" w:right="370"/>
              <w:jc w:val="center"/>
              <w:rPr>
                <w:rFonts w:hint="eastAsia"/>
                <w:color w:val="auto"/>
                <w:kern w:val="2"/>
              </w:rPr>
            </w:pPr>
            <w:bookmarkStart w:id="0" w:name="_Toc26931"/>
            <w:r>
              <w:rPr>
                <w:rFonts w:hint="eastAsia"/>
                <w:color w:val="auto"/>
                <w:kern w:val="2"/>
                <w:lang w:bidi="ar"/>
              </w:rPr>
              <w:t>序号</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1</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分析方法</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散射光法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2</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测量范围</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0～1000 NTU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3</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重复性</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4</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零点漂移</w:t>
            </w:r>
          </w:p>
        </w:tc>
        <w:tc>
          <w:tcPr>
            <w:tcW w:w="2675" w:type="dxa"/>
            <w:tcBorders>
              <w:top w:val="single" w:color="auto" w:sz="4" w:space="0"/>
              <w:left w:val="nil"/>
              <w:bottom w:val="single" w:color="auto" w:sz="4" w:space="0"/>
              <w:right w:val="single" w:color="auto" w:sz="4" w:space="0"/>
            </w:tcBorders>
            <w:noWrap w:val="0"/>
            <w:vAlign w:val="top"/>
          </w:tcPr>
          <w:p>
            <w:pPr>
              <w:pStyle w:val="5"/>
              <w:widowControl w:val="0"/>
              <w:spacing w:line="360" w:lineRule="auto"/>
              <w:ind w:right="-309" w:rightChars="-147"/>
              <w:rPr>
                <w:rFonts w:hint="eastAsia"/>
                <w:color w:val="auto"/>
                <w:kern w:val="2"/>
              </w:rPr>
            </w:pPr>
            <w:r>
              <w:rPr>
                <w:rFonts w:hint="eastAsia"/>
                <w:color w:val="auto"/>
                <w:kern w:val="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5</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量程漂移</w:t>
            </w:r>
          </w:p>
        </w:tc>
        <w:tc>
          <w:tcPr>
            <w:tcW w:w="2675" w:type="dxa"/>
            <w:tcBorders>
              <w:top w:val="single" w:color="auto" w:sz="4" w:space="0"/>
              <w:left w:val="nil"/>
              <w:bottom w:val="single" w:color="auto" w:sz="4" w:space="0"/>
              <w:right w:val="single" w:color="auto" w:sz="4" w:space="0"/>
            </w:tcBorders>
            <w:noWrap w:val="0"/>
            <w:vAlign w:val="top"/>
          </w:tcPr>
          <w:p>
            <w:pPr>
              <w:pStyle w:val="5"/>
              <w:widowControl w:val="0"/>
              <w:spacing w:line="360" w:lineRule="auto"/>
              <w:ind w:right="-309" w:rightChars="-147"/>
              <w:rPr>
                <w:rFonts w:hint="eastAsia"/>
                <w:color w:val="auto"/>
                <w:kern w:val="2"/>
              </w:rPr>
            </w:pPr>
            <w:r>
              <w:rPr>
                <w:rFonts w:hint="eastAsia"/>
                <w:color w:val="auto"/>
                <w:kern w:val="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6</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准确度</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7</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平均无故障连续运行时间</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8</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实际水样比对试验</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9</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响应时间（T</w:t>
            </w:r>
            <w:r>
              <w:rPr>
                <w:rFonts w:hint="eastAsia"/>
                <w:color w:val="auto"/>
                <w:kern w:val="2"/>
                <w:vertAlign w:val="subscript"/>
                <w:lang w:bidi="ar"/>
              </w:rPr>
              <w:t>90</w:t>
            </w:r>
            <w:r>
              <w:rPr>
                <w:rFonts w:hint="eastAsia"/>
                <w:color w:val="auto"/>
                <w:kern w:val="2"/>
                <w:lang w:bidi="ar"/>
              </w:rPr>
              <w:t>）</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0.5min（25℃）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10</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温度补偿</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自动温度补偿功能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rPr>
            </w:pPr>
            <w:r>
              <w:rPr>
                <w:rFonts w:hint="eastAsia" w:ascii="宋体" w:hAnsi="宋体" w:cs="宋体"/>
                <w:color w:val="auto"/>
                <w:sz w:val="24"/>
                <w:lang w:bidi="ar"/>
              </w:rPr>
              <w:t>11</w:t>
            </w:r>
          </w:p>
        </w:tc>
        <w:tc>
          <w:tcPr>
            <w:tcW w:w="3729"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分辨率</w:t>
            </w:r>
          </w:p>
        </w:tc>
        <w:tc>
          <w:tcPr>
            <w:tcW w:w="2675" w:type="dxa"/>
            <w:tcBorders>
              <w:top w:val="single" w:color="auto" w:sz="4" w:space="0"/>
              <w:left w:val="nil"/>
              <w:bottom w:val="single" w:color="auto" w:sz="4" w:space="0"/>
              <w:right w:val="single" w:color="auto" w:sz="4" w:space="0"/>
            </w:tcBorders>
            <w:noWrap w:val="0"/>
            <w:vAlign w:val="center"/>
          </w:tcPr>
          <w:p>
            <w:pPr>
              <w:pStyle w:val="5"/>
              <w:widowControl w:val="0"/>
              <w:spacing w:line="360" w:lineRule="auto"/>
              <w:ind w:right="-309" w:rightChars="-147"/>
              <w:rPr>
                <w:rFonts w:hint="eastAsia"/>
                <w:color w:val="auto"/>
                <w:kern w:val="2"/>
              </w:rPr>
            </w:pPr>
            <w:r>
              <w:rPr>
                <w:rFonts w:hint="eastAsia"/>
                <w:color w:val="auto"/>
                <w:kern w:val="2"/>
                <w:lang w:bidi="ar"/>
              </w:rPr>
              <w:t>0.01NTU</w:t>
            </w:r>
          </w:p>
        </w:tc>
      </w:tr>
    </w:tbl>
    <w:p>
      <w:pPr>
        <w:spacing w:line="360" w:lineRule="auto"/>
        <w:ind w:firstLine="240" w:firstLineChars="100"/>
        <w:rPr>
          <w:rFonts w:hint="eastAsia" w:ascii="宋体" w:hAnsi="宋体" w:cs="宋体"/>
          <w:color w:val="auto"/>
          <w:sz w:val="24"/>
        </w:rPr>
      </w:pPr>
      <w:r>
        <w:rPr>
          <w:rFonts w:hint="eastAsia" w:ascii="宋体" w:hAnsi="宋体" w:cs="宋体"/>
          <w:color w:val="auto"/>
          <w:sz w:val="24"/>
        </w:rPr>
        <w:t>▲要求提供水质五参数自动分析仪制造商针对本项目的授权书原件。</w:t>
      </w: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3"/>
        <w:spacing w:line="360" w:lineRule="auto"/>
        <w:ind w:firstLine="236" w:firstLineChars="98"/>
        <w:rPr>
          <w:rFonts w:hint="eastAsia" w:ascii="宋体" w:hAnsi="宋体" w:cs="宋体"/>
          <w:color w:val="auto"/>
          <w:sz w:val="24"/>
          <w:szCs w:val="24"/>
        </w:rPr>
      </w:pPr>
      <w:bookmarkStart w:id="1" w:name="_Toc13881"/>
      <w:r>
        <w:rPr>
          <w:rFonts w:hint="eastAsia" w:ascii="宋体" w:hAnsi="宋体" w:cs="宋体"/>
          <w:color w:val="auto"/>
          <w:sz w:val="24"/>
          <w:szCs w:val="24"/>
        </w:rPr>
        <w:t>（二）高锰酸盐指数自动分析仪</w:t>
      </w:r>
      <w:bookmarkEnd w:id="0"/>
      <w:bookmarkEnd w:id="1"/>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3"/>
        <w:gridCol w:w="3589"/>
        <w:gridCol w:w="3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63" w:type="dxa"/>
            <w:tcBorders>
              <w:top w:val="single" w:color="auto" w:sz="8" w:space="0"/>
              <w:bottom w:val="single" w:color="auto" w:sz="8" w:space="0"/>
            </w:tcBorders>
            <w:noWrap w:val="0"/>
            <w:vAlign w:val="top"/>
          </w:tcPr>
          <w:p>
            <w:pPr>
              <w:spacing w:line="360" w:lineRule="auto"/>
              <w:jc w:val="center"/>
              <w:rPr>
                <w:rFonts w:hint="eastAsia" w:ascii="宋体" w:hAnsi="宋体" w:cs="宋体"/>
                <w:color w:val="auto"/>
                <w:sz w:val="24"/>
              </w:rPr>
            </w:pPr>
            <w:r>
              <w:rPr>
                <w:rFonts w:hint="eastAsia" w:ascii="宋体" w:hAnsi="宋体" w:cs="宋体"/>
                <w:color w:val="auto"/>
                <w:sz w:val="24"/>
              </w:rPr>
              <w:t>序号</w:t>
            </w:r>
          </w:p>
        </w:tc>
        <w:tc>
          <w:tcPr>
            <w:tcW w:w="3589" w:type="dxa"/>
            <w:tcBorders>
              <w:top w:val="single" w:color="auto" w:sz="8" w:space="0"/>
              <w:bottom w:val="single" w:color="auto" w:sz="8" w:space="0"/>
            </w:tcBorders>
            <w:noWrap w:val="0"/>
            <w:vAlign w:val="top"/>
          </w:tcPr>
          <w:p>
            <w:pPr>
              <w:spacing w:line="360" w:lineRule="auto"/>
              <w:rPr>
                <w:rFonts w:hint="eastAsia" w:ascii="宋体" w:hAnsi="宋体" w:cs="宋体"/>
                <w:color w:val="auto"/>
                <w:sz w:val="24"/>
              </w:rPr>
            </w:pPr>
            <w:r>
              <w:rPr>
                <w:rFonts w:hint="eastAsia" w:ascii="宋体" w:hAnsi="宋体" w:cs="宋体"/>
                <w:color w:val="auto"/>
                <w:sz w:val="24"/>
              </w:rPr>
              <w:t>项   目</w:t>
            </w:r>
          </w:p>
        </w:tc>
        <w:tc>
          <w:tcPr>
            <w:tcW w:w="3589" w:type="dxa"/>
            <w:tcBorders>
              <w:top w:val="single" w:color="auto" w:sz="8" w:space="0"/>
              <w:bottom w:val="single" w:color="auto" w:sz="8" w:space="0"/>
            </w:tcBorders>
            <w:noWrap w:val="0"/>
            <w:vAlign w:val="top"/>
          </w:tcPr>
          <w:p>
            <w:pPr>
              <w:spacing w:line="360" w:lineRule="auto"/>
              <w:rPr>
                <w:rFonts w:hint="eastAsia" w:ascii="宋体" w:hAnsi="宋体" w:cs="宋体"/>
                <w:color w:val="auto"/>
                <w:sz w:val="24"/>
              </w:rPr>
            </w:pPr>
            <w:r>
              <w:rPr>
                <w:rFonts w:hint="eastAsia" w:ascii="宋体" w:hAnsi="宋体" w:cs="宋体"/>
                <w:color w:val="auto"/>
                <w:sz w:val="24"/>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tcBorders>
              <w:top w:val="single" w:color="auto" w:sz="8" w:space="0"/>
              <w:bottom w:val="single" w:color="auto" w:sz="8" w:space="0"/>
            </w:tcBorders>
            <w:noWrap w:val="0"/>
            <w:vAlign w:val="top"/>
          </w:tcPr>
          <w:p>
            <w:pPr>
              <w:pStyle w:val="8"/>
              <w:spacing w:line="360" w:lineRule="auto"/>
              <w:ind w:left="7"/>
              <w:jc w:val="center"/>
              <w:rPr>
                <w:rFonts w:hint="eastAsia"/>
                <w:color w:val="auto"/>
                <w:sz w:val="24"/>
              </w:rPr>
            </w:pPr>
            <w:r>
              <w:rPr>
                <w:rFonts w:hint="eastAsia"/>
                <w:color w:val="auto"/>
                <w:sz w:val="24"/>
              </w:rPr>
              <w:t>1</w:t>
            </w:r>
          </w:p>
        </w:tc>
        <w:tc>
          <w:tcPr>
            <w:tcW w:w="3589" w:type="dxa"/>
            <w:tcBorders>
              <w:top w:val="single" w:color="auto" w:sz="8" w:space="0"/>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分析方法</w:t>
            </w:r>
          </w:p>
        </w:tc>
        <w:tc>
          <w:tcPr>
            <w:tcW w:w="3589" w:type="dxa"/>
            <w:tcBorders>
              <w:top w:val="single" w:color="auto" w:sz="8" w:space="0"/>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高锰酸钾氧化滴定法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tcBorders>
              <w:top w:val="single" w:color="auto" w:sz="8" w:space="0"/>
            </w:tcBorders>
            <w:noWrap w:val="0"/>
            <w:vAlign w:val="top"/>
          </w:tcPr>
          <w:p>
            <w:pPr>
              <w:pStyle w:val="8"/>
              <w:spacing w:before="87" w:line="360" w:lineRule="auto"/>
              <w:ind w:left="7"/>
              <w:jc w:val="center"/>
              <w:rPr>
                <w:rFonts w:hint="eastAsia"/>
                <w:color w:val="auto"/>
                <w:sz w:val="24"/>
              </w:rPr>
            </w:pPr>
            <w:r>
              <w:rPr>
                <w:rFonts w:hint="eastAsia"/>
                <w:color w:val="auto"/>
                <w:sz w:val="24"/>
              </w:rPr>
              <w:t>2</w:t>
            </w:r>
          </w:p>
        </w:tc>
        <w:tc>
          <w:tcPr>
            <w:tcW w:w="3589" w:type="dxa"/>
            <w:tcBorders>
              <w:top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测定范围</w:t>
            </w:r>
          </w:p>
        </w:tc>
        <w:tc>
          <w:tcPr>
            <w:tcW w:w="3589" w:type="dxa"/>
            <w:tcBorders>
              <w:top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0~20mg/L（可扩展）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noWrap w:val="0"/>
            <w:vAlign w:val="top"/>
          </w:tcPr>
          <w:p>
            <w:pPr>
              <w:pStyle w:val="8"/>
              <w:spacing w:before="89" w:line="360" w:lineRule="auto"/>
              <w:ind w:left="7"/>
              <w:jc w:val="center"/>
              <w:rPr>
                <w:rFonts w:hint="eastAsia"/>
                <w:color w:val="auto"/>
                <w:sz w:val="24"/>
              </w:rPr>
            </w:pPr>
            <w:r>
              <w:rPr>
                <w:rFonts w:hint="eastAsia"/>
                <w:color w:val="auto"/>
                <w:sz w:val="24"/>
              </w:rPr>
              <w:t>3</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准确度</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 w:type="dxa"/>
            <w:noWrap w:val="0"/>
            <w:vAlign w:val="top"/>
          </w:tcPr>
          <w:p>
            <w:pPr>
              <w:pStyle w:val="8"/>
              <w:spacing w:before="89" w:line="360" w:lineRule="auto"/>
              <w:ind w:left="7"/>
              <w:jc w:val="center"/>
              <w:rPr>
                <w:rFonts w:hint="eastAsia"/>
                <w:color w:val="auto"/>
                <w:sz w:val="24"/>
              </w:rPr>
            </w:pPr>
            <w:r>
              <w:rPr>
                <w:rFonts w:hint="eastAsia"/>
                <w:color w:val="auto"/>
                <w:sz w:val="24"/>
              </w:rPr>
              <w:t>4</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重复性</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noWrap w:val="0"/>
            <w:vAlign w:val="top"/>
          </w:tcPr>
          <w:p>
            <w:pPr>
              <w:pStyle w:val="8"/>
              <w:spacing w:before="88" w:line="360" w:lineRule="auto"/>
              <w:ind w:left="7"/>
              <w:jc w:val="center"/>
              <w:rPr>
                <w:rFonts w:hint="eastAsia"/>
                <w:color w:val="auto"/>
                <w:sz w:val="24"/>
              </w:rPr>
            </w:pPr>
            <w:r>
              <w:rPr>
                <w:rFonts w:hint="eastAsia"/>
                <w:color w:val="auto"/>
                <w:sz w:val="24"/>
              </w:rPr>
              <w:t>5</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零点漂移</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±5%FS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 w:type="dxa"/>
            <w:tcBorders>
              <w:bottom w:val="single" w:color="auto" w:sz="8" w:space="0"/>
            </w:tcBorders>
            <w:noWrap w:val="0"/>
            <w:vAlign w:val="top"/>
          </w:tcPr>
          <w:p>
            <w:pPr>
              <w:pStyle w:val="8"/>
              <w:spacing w:before="88" w:line="360" w:lineRule="auto"/>
              <w:ind w:left="7"/>
              <w:jc w:val="center"/>
              <w:rPr>
                <w:rFonts w:hint="eastAsia"/>
                <w:color w:val="auto"/>
                <w:sz w:val="24"/>
              </w:rPr>
            </w:pPr>
            <w:r>
              <w:rPr>
                <w:rFonts w:hint="eastAsia"/>
                <w:color w:val="auto"/>
                <w:sz w:val="24"/>
              </w:rPr>
              <w:t>6</w:t>
            </w:r>
          </w:p>
        </w:tc>
        <w:tc>
          <w:tcPr>
            <w:tcW w:w="3589" w:type="dxa"/>
            <w:tcBorders>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量程漂移</w:t>
            </w:r>
          </w:p>
        </w:tc>
        <w:tc>
          <w:tcPr>
            <w:tcW w:w="3589" w:type="dxa"/>
            <w:tcBorders>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±5%FS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tcBorders>
              <w:top w:val="single" w:color="auto" w:sz="8" w:space="0"/>
              <w:bottom w:val="single" w:color="auto" w:sz="8" w:space="0"/>
            </w:tcBorders>
            <w:noWrap w:val="0"/>
            <w:vAlign w:val="top"/>
          </w:tcPr>
          <w:p>
            <w:pPr>
              <w:pStyle w:val="8"/>
              <w:spacing w:before="88" w:line="360" w:lineRule="auto"/>
              <w:ind w:left="7"/>
              <w:jc w:val="center"/>
              <w:rPr>
                <w:rFonts w:hint="eastAsia"/>
                <w:color w:val="auto"/>
                <w:sz w:val="24"/>
              </w:rPr>
            </w:pPr>
            <w:r>
              <w:rPr>
                <w:rFonts w:hint="eastAsia"/>
                <w:color w:val="auto"/>
                <w:sz w:val="24"/>
              </w:rPr>
              <w:t>7</w:t>
            </w:r>
          </w:p>
        </w:tc>
        <w:tc>
          <w:tcPr>
            <w:tcW w:w="3589" w:type="dxa"/>
            <w:tcBorders>
              <w:top w:val="single" w:color="auto" w:sz="8" w:space="0"/>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检出限</w:t>
            </w:r>
          </w:p>
        </w:tc>
        <w:tc>
          <w:tcPr>
            <w:tcW w:w="3589" w:type="dxa"/>
            <w:tcBorders>
              <w:top w:val="single" w:color="auto" w:sz="8" w:space="0"/>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≤0.1mg/L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tcBorders>
              <w:top w:val="single" w:color="auto" w:sz="8" w:space="0"/>
            </w:tcBorders>
            <w:noWrap w:val="0"/>
            <w:vAlign w:val="top"/>
          </w:tcPr>
          <w:p>
            <w:pPr>
              <w:pStyle w:val="8"/>
              <w:spacing w:before="88" w:line="360" w:lineRule="auto"/>
              <w:ind w:left="7"/>
              <w:jc w:val="center"/>
              <w:rPr>
                <w:rFonts w:hint="eastAsia"/>
                <w:color w:val="auto"/>
                <w:sz w:val="24"/>
              </w:rPr>
            </w:pPr>
            <w:r>
              <w:rPr>
                <w:rFonts w:hint="eastAsia"/>
                <w:color w:val="auto"/>
                <w:sz w:val="24"/>
              </w:rPr>
              <w:t>8</w:t>
            </w:r>
          </w:p>
        </w:tc>
        <w:tc>
          <w:tcPr>
            <w:tcW w:w="3589" w:type="dxa"/>
            <w:tcBorders>
              <w:top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实际水样比对试验</w:t>
            </w:r>
          </w:p>
        </w:tc>
        <w:tc>
          <w:tcPr>
            <w:tcW w:w="3589" w:type="dxa"/>
            <w:tcBorders>
              <w:top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noWrap w:val="0"/>
            <w:vAlign w:val="top"/>
          </w:tcPr>
          <w:p>
            <w:pPr>
              <w:pStyle w:val="8"/>
              <w:spacing w:before="88" w:line="360" w:lineRule="auto"/>
              <w:ind w:left="7"/>
              <w:jc w:val="center"/>
              <w:rPr>
                <w:rFonts w:hint="eastAsia"/>
                <w:color w:val="auto"/>
                <w:sz w:val="24"/>
              </w:rPr>
            </w:pPr>
            <w:r>
              <w:rPr>
                <w:rFonts w:hint="eastAsia"/>
                <w:color w:val="auto"/>
                <w:sz w:val="24"/>
              </w:rPr>
              <w:t>9</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分辨率</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0.01mg/L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3" w:type="dxa"/>
            <w:noWrap w:val="0"/>
            <w:vAlign w:val="top"/>
          </w:tcPr>
          <w:p>
            <w:pPr>
              <w:pStyle w:val="8"/>
              <w:spacing w:before="88" w:line="360" w:lineRule="auto"/>
              <w:ind w:left="7"/>
              <w:jc w:val="center"/>
              <w:rPr>
                <w:rFonts w:hint="eastAsia"/>
                <w:color w:val="auto"/>
                <w:sz w:val="24"/>
              </w:rPr>
            </w:pPr>
            <w:r>
              <w:rPr>
                <w:rFonts w:hint="eastAsia"/>
                <w:color w:val="auto"/>
                <w:sz w:val="24"/>
              </w:rPr>
              <w:t>10</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测量时间</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≤40min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 w:type="dxa"/>
            <w:noWrap w:val="0"/>
            <w:vAlign w:val="top"/>
          </w:tcPr>
          <w:p>
            <w:pPr>
              <w:pStyle w:val="8"/>
              <w:spacing w:before="88" w:line="360" w:lineRule="auto"/>
              <w:ind w:left="7"/>
              <w:jc w:val="center"/>
              <w:rPr>
                <w:rFonts w:hint="eastAsia"/>
                <w:color w:val="auto"/>
                <w:sz w:val="24"/>
              </w:rPr>
            </w:pPr>
            <w:r>
              <w:rPr>
                <w:rFonts w:hint="eastAsia"/>
                <w:color w:val="auto"/>
                <w:sz w:val="24"/>
              </w:rPr>
              <w:t>11</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平均无故障运行时间</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≥1440h/次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 w:type="dxa"/>
            <w:noWrap w:val="0"/>
            <w:vAlign w:val="top"/>
          </w:tcPr>
          <w:p>
            <w:pPr>
              <w:pStyle w:val="8"/>
              <w:spacing w:before="88" w:line="360" w:lineRule="auto"/>
              <w:ind w:left="7"/>
              <w:jc w:val="center"/>
              <w:rPr>
                <w:rFonts w:hint="eastAsia"/>
                <w:color w:val="auto"/>
                <w:sz w:val="24"/>
              </w:rPr>
            </w:pPr>
            <w:r>
              <w:rPr>
                <w:rFonts w:hint="eastAsia"/>
                <w:color w:val="auto"/>
                <w:sz w:val="24"/>
              </w:rPr>
              <w:t>12</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电压稳定性</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 w:type="dxa"/>
            <w:noWrap w:val="0"/>
            <w:vAlign w:val="top"/>
          </w:tcPr>
          <w:p>
            <w:pPr>
              <w:pStyle w:val="8"/>
              <w:spacing w:before="88" w:line="360" w:lineRule="auto"/>
              <w:ind w:left="7"/>
              <w:jc w:val="center"/>
              <w:rPr>
                <w:rFonts w:hint="eastAsia"/>
                <w:color w:val="auto"/>
                <w:sz w:val="24"/>
              </w:rPr>
            </w:pPr>
            <w:r>
              <w:rPr>
                <w:rFonts w:hint="eastAsia"/>
                <w:color w:val="auto"/>
                <w:sz w:val="24"/>
              </w:rPr>
              <w:t>13</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环境温度稳定性</w:t>
            </w:r>
          </w:p>
        </w:tc>
        <w:tc>
          <w:tcPr>
            <w:tcW w:w="3589"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 w:type="dxa"/>
            <w:tcBorders>
              <w:bottom w:val="single" w:color="auto" w:sz="8" w:space="0"/>
            </w:tcBorders>
            <w:noWrap w:val="0"/>
            <w:vAlign w:val="top"/>
          </w:tcPr>
          <w:p>
            <w:pPr>
              <w:pStyle w:val="8"/>
              <w:spacing w:before="88" w:line="360" w:lineRule="auto"/>
              <w:ind w:left="7"/>
              <w:jc w:val="center"/>
              <w:rPr>
                <w:rFonts w:hint="eastAsia"/>
                <w:color w:val="auto"/>
                <w:sz w:val="24"/>
              </w:rPr>
            </w:pPr>
            <w:r>
              <w:rPr>
                <w:rFonts w:hint="eastAsia"/>
                <w:color w:val="auto"/>
                <w:sz w:val="24"/>
              </w:rPr>
              <w:t>14</w:t>
            </w:r>
          </w:p>
        </w:tc>
        <w:tc>
          <w:tcPr>
            <w:tcW w:w="7178" w:type="dxa"/>
            <w:gridSpan w:val="2"/>
            <w:tcBorders>
              <w:bottom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▲提供高锰酸盐指数自动分析仪制造商针对本项目的授权书原件。</w:t>
            </w:r>
          </w:p>
        </w:tc>
      </w:tr>
    </w:tbl>
    <w:p>
      <w:pPr>
        <w:spacing w:line="360" w:lineRule="auto"/>
        <w:rPr>
          <w:rFonts w:hint="eastAsia" w:ascii="宋体" w:hAnsi="宋体" w:cs="宋体"/>
          <w:color w:val="auto"/>
          <w:sz w:val="24"/>
        </w:rPr>
      </w:pPr>
      <w:bookmarkStart w:id="2" w:name="_Toc13919"/>
      <w:bookmarkStart w:id="3" w:name="_Toc2555"/>
    </w:p>
    <w:bookmarkEnd w:id="2"/>
    <w:bookmarkEnd w:id="3"/>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（三）氨氮水质自动分析仪</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2694"/>
        <w:gridCol w:w="4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43" w:type="dxa"/>
            <w:tcBorders>
              <w:top w:val="single" w:color="auto" w:sz="8" w:space="0"/>
              <w:left w:val="single" w:color="auto" w:sz="8" w:space="0"/>
              <w:bottom w:val="single" w:color="auto" w:sz="8"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lang w:bidi="ar"/>
              </w:rPr>
              <w:t>序号</w:t>
            </w:r>
          </w:p>
        </w:tc>
        <w:tc>
          <w:tcPr>
            <w:tcW w:w="2694"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4162"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详细参数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0" w:beforeAutospacing="0" w:after="0" w:afterAutospacing="0" w:line="360" w:lineRule="auto"/>
              <w:ind w:left="7"/>
              <w:jc w:val="center"/>
              <w:rPr>
                <w:rFonts w:hint="eastAsia"/>
                <w:color w:val="auto"/>
                <w:kern w:val="2"/>
              </w:rPr>
            </w:pPr>
            <w:r>
              <w:rPr>
                <w:rFonts w:hint="eastAsia"/>
                <w:color w:val="auto"/>
                <w:kern w:val="2"/>
                <w:lang w:bidi="ar"/>
              </w:rPr>
              <w:t>1</w:t>
            </w:r>
          </w:p>
        </w:tc>
        <w:tc>
          <w:tcPr>
            <w:tcW w:w="2694"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分析方法</w:t>
            </w:r>
          </w:p>
        </w:tc>
        <w:tc>
          <w:tcPr>
            <w:tcW w:w="4162"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水杨酸分光光度法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2</w:t>
            </w:r>
          </w:p>
        </w:tc>
        <w:tc>
          <w:tcPr>
            <w:tcW w:w="2694"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测定范围</w:t>
            </w:r>
          </w:p>
        </w:tc>
        <w:tc>
          <w:tcPr>
            <w:tcW w:w="4162"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0~200 mg/L（可扩展）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3</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准确度</w:t>
            </w:r>
          </w:p>
        </w:tc>
        <w:tc>
          <w:tcPr>
            <w:tcW w:w="4162"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±3%（±2%FS）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4</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重复性</w:t>
            </w:r>
          </w:p>
        </w:tc>
        <w:tc>
          <w:tcPr>
            <w:tcW w:w="4162"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≤±3%（±2%FS）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5</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零点漂移</w:t>
            </w:r>
          </w:p>
        </w:tc>
        <w:tc>
          <w:tcPr>
            <w:tcW w:w="4162"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±2%(±2%FS)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43"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6</w:t>
            </w:r>
          </w:p>
        </w:tc>
        <w:tc>
          <w:tcPr>
            <w:tcW w:w="2694" w:type="dxa"/>
            <w:tcBorders>
              <w:top w:val="single" w:color="auto" w:sz="4"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量程漂移</w:t>
            </w:r>
          </w:p>
        </w:tc>
        <w:tc>
          <w:tcPr>
            <w:tcW w:w="4162" w:type="dxa"/>
            <w:tcBorders>
              <w:top w:val="single" w:color="auto" w:sz="4" w:space="0"/>
              <w:left w:val="single" w:color="auto" w:sz="4" w:space="0"/>
              <w:bottom w:val="single" w:color="auto" w:sz="8"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±1%（±1%FS）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7</w:t>
            </w:r>
          </w:p>
        </w:tc>
        <w:tc>
          <w:tcPr>
            <w:tcW w:w="2694"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▲检出限</w:t>
            </w:r>
          </w:p>
        </w:tc>
        <w:tc>
          <w:tcPr>
            <w:tcW w:w="4162"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≤0.02mg/L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8</w:t>
            </w:r>
          </w:p>
        </w:tc>
        <w:tc>
          <w:tcPr>
            <w:tcW w:w="2694"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实际水样比对试验</w:t>
            </w:r>
          </w:p>
        </w:tc>
        <w:tc>
          <w:tcPr>
            <w:tcW w:w="4162" w:type="dxa"/>
            <w:tcBorders>
              <w:top w:val="single" w:color="auto" w:sz="8"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9</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分辨率</w:t>
            </w:r>
          </w:p>
        </w:tc>
        <w:tc>
          <w:tcPr>
            <w:tcW w:w="4162"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0.001mg/L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10</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测量时间</w:t>
            </w:r>
          </w:p>
        </w:tc>
        <w:tc>
          <w:tcPr>
            <w:tcW w:w="4162"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≤30min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rPr>
            </w:pPr>
            <w:r>
              <w:rPr>
                <w:rFonts w:hint="eastAsia"/>
                <w:color w:val="auto"/>
                <w:kern w:val="2"/>
                <w:lang w:bidi="ar"/>
              </w:rPr>
              <w:t>11</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平均无故障运行时间</w:t>
            </w:r>
          </w:p>
        </w:tc>
        <w:tc>
          <w:tcPr>
            <w:tcW w:w="4162"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≥1440h/次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43"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rPr>
            </w:pPr>
            <w:r>
              <w:rPr>
                <w:rFonts w:hint="eastAsia"/>
                <w:color w:val="auto"/>
                <w:kern w:val="2"/>
                <w:lang w:bidi="ar"/>
              </w:rPr>
              <w:t>12</w:t>
            </w:r>
          </w:p>
        </w:tc>
        <w:tc>
          <w:tcPr>
            <w:tcW w:w="2694" w:type="dxa"/>
            <w:tcBorders>
              <w:top w:val="single" w:color="auto" w:sz="4"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电压稳定性</w:t>
            </w:r>
          </w:p>
        </w:tc>
        <w:tc>
          <w:tcPr>
            <w:tcW w:w="4162" w:type="dxa"/>
            <w:tcBorders>
              <w:top w:val="single" w:color="auto" w:sz="4"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43"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379" w:right="370"/>
              <w:jc w:val="center"/>
              <w:rPr>
                <w:rFonts w:hint="eastAsia"/>
                <w:color w:val="auto"/>
                <w:kern w:val="2"/>
              </w:rPr>
            </w:pPr>
            <w:r>
              <w:rPr>
                <w:rFonts w:hint="eastAsia"/>
                <w:color w:val="auto"/>
                <w:kern w:val="2"/>
                <w:lang w:bidi="ar"/>
              </w:rPr>
              <w:t>13</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环境温度稳定性</w:t>
            </w:r>
          </w:p>
        </w:tc>
        <w:tc>
          <w:tcPr>
            <w:tcW w:w="4162"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43"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14</w:t>
            </w:r>
          </w:p>
        </w:tc>
        <w:tc>
          <w:tcPr>
            <w:tcW w:w="6856" w:type="dxa"/>
            <w:gridSpan w:val="2"/>
            <w:tcBorders>
              <w:top w:val="single" w:color="auto" w:sz="4" w:space="0"/>
              <w:left w:val="single" w:color="auto" w:sz="4" w:space="0"/>
              <w:bottom w:val="single" w:color="auto" w:sz="8" w:space="0"/>
              <w:right w:val="single" w:color="auto" w:sz="8" w:space="0"/>
            </w:tcBorders>
            <w:noWrap w:val="0"/>
            <w:vAlign w:val="top"/>
          </w:tcPr>
          <w:p>
            <w:pPr>
              <w:spacing w:line="360" w:lineRule="auto"/>
              <w:rPr>
                <w:rFonts w:hint="eastAsia" w:ascii="宋体" w:hAnsi="宋体" w:cs="宋体"/>
                <w:color w:val="auto"/>
                <w:sz w:val="24"/>
              </w:rPr>
            </w:pPr>
            <w:r>
              <w:rPr>
                <w:rFonts w:hint="eastAsia" w:ascii="宋体" w:hAnsi="宋体" w:cs="宋体"/>
                <w:color w:val="auto"/>
                <w:sz w:val="24"/>
                <w:lang w:bidi="ar"/>
              </w:rPr>
              <w:t>▲提供氨氮水质自动分析仪制造商针对本项目的授权书原件。</w:t>
            </w:r>
          </w:p>
        </w:tc>
      </w:tr>
    </w:tbl>
    <w:p>
      <w:pPr>
        <w:pStyle w:val="3"/>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rPr>
      </w:pPr>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 xml:space="preserve">（四）总磷水质自动分析仪 </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3045"/>
        <w:gridCol w:w="38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64"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80" w:right="370"/>
              <w:jc w:val="center"/>
              <w:rPr>
                <w:rFonts w:hint="eastAsia"/>
                <w:color w:val="auto"/>
                <w:kern w:val="2"/>
              </w:rPr>
            </w:pPr>
            <w:r>
              <w:rPr>
                <w:rFonts w:hint="eastAsia"/>
                <w:color w:val="auto"/>
                <w:kern w:val="2"/>
                <w:lang w:bidi="ar"/>
              </w:rPr>
              <w:t>序号</w:t>
            </w:r>
          </w:p>
        </w:tc>
        <w:tc>
          <w:tcPr>
            <w:tcW w:w="3045"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3811"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1</w:t>
            </w:r>
          </w:p>
        </w:tc>
        <w:tc>
          <w:tcPr>
            <w:tcW w:w="3045"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分析方法</w:t>
            </w:r>
          </w:p>
        </w:tc>
        <w:tc>
          <w:tcPr>
            <w:tcW w:w="3811"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磷钼蓝分光光度法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2</w:t>
            </w:r>
          </w:p>
        </w:tc>
        <w:tc>
          <w:tcPr>
            <w:tcW w:w="3045"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测定范围</w:t>
            </w:r>
          </w:p>
        </w:tc>
        <w:tc>
          <w:tcPr>
            <w:tcW w:w="3811" w:type="dxa"/>
            <w:tcBorders>
              <w:top w:val="single" w:color="auto" w:sz="8"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0~50mg/L（可扩展）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3</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准确度</w:t>
            </w:r>
          </w:p>
        </w:tc>
        <w:tc>
          <w:tcPr>
            <w:tcW w:w="3811"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4</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重复性</w:t>
            </w:r>
          </w:p>
        </w:tc>
        <w:tc>
          <w:tcPr>
            <w:tcW w:w="3811"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5</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▲零点漂移</w:t>
            </w:r>
          </w:p>
        </w:tc>
        <w:tc>
          <w:tcPr>
            <w:tcW w:w="3811"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64"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6</w:t>
            </w:r>
          </w:p>
        </w:tc>
        <w:tc>
          <w:tcPr>
            <w:tcW w:w="3045" w:type="dxa"/>
            <w:tcBorders>
              <w:top w:val="single" w:color="auto" w:sz="4"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▲量程漂移</w:t>
            </w:r>
          </w:p>
        </w:tc>
        <w:tc>
          <w:tcPr>
            <w:tcW w:w="3811" w:type="dxa"/>
            <w:tcBorders>
              <w:top w:val="single" w:color="auto" w:sz="4" w:space="0"/>
              <w:left w:val="single" w:color="auto" w:sz="4" w:space="0"/>
              <w:bottom w:val="single" w:color="auto" w:sz="8"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7</w:t>
            </w:r>
          </w:p>
        </w:tc>
        <w:tc>
          <w:tcPr>
            <w:tcW w:w="3045"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▲检出限</w:t>
            </w:r>
          </w:p>
        </w:tc>
        <w:tc>
          <w:tcPr>
            <w:tcW w:w="3811"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0.005mg/L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8</w:t>
            </w:r>
          </w:p>
        </w:tc>
        <w:tc>
          <w:tcPr>
            <w:tcW w:w="3045"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实际水样比对试验</w:t>
            </w:r>
          </w:p>
        </w:tc>
        <w:tc>
          <w:tcPr>
            <w:tcW w:w="3811" w:type="dxa"/>
            <w:tcBorders>
              <w:top w:val="single" w:color="auto" w:sz="8"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9</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分辨率</w:t>
            </w:r>
          </w:p>
        </w:tc>
        <w:tc>
          <w:tcPr>
            <w:tcW w:w="3811"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0.001mg/L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rPr>
            </w:pPr>
            <w:r>
              <w:rPr>
                <w:rFonts w:hint="eastAsia"/>
                <w:color w:val="auto"/>
                <w:kern w:val="2"/>
                <w:lang w:bidi="ar"/>
              </w:rPr>
              <w:t>10</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测量时间</w:t>
            </w:r>
          </w:p>
        </w:tc>
        <w:tc>
          <w:tcPr>
            <w:tcW w:w="3811"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≤30min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rPr>
            </w:pPr>
            <w:r>
              <w:rPr>
                <w:rFonts w:hint="eastAsia"/>
                <w:color w:val="auto"/>
                <w:kern w:val="2"/>
                <w:lang w:bidi="ar"/>
              </w:rPr>
              <w:t>11</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平均无故障运行时间</w:t>
            </w:r>
          </w:p>
        </w:tc>
        <w:tc>
          <w:tcPr>
            <w:tcW w:w="3811"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≥1440h/次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379" w:right="370"/>
              <w:jc w:val="center"/>
              <w:rPr>
                <w:rFonts w:hint="eastAsia"/>
                <w:color w:val="auto"/>
                <w:kern w:val="2"/>
              </w:rPr>
            </w:pPr>
            <w:r>
              <w:rPr>
                <w:rFonts w:hint="eastAsia"/>
                <w:color w:val="auto"/>
                <w:kern w:val="2"/>
                <w:lang w:bidi="ar"/>
              </w:rPr>
              <w:t>12</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电压稳定性</w:t>
            </w:r>
          </w:p>
        </w:tc>
        <w:tc>
          <w:tcPr>
            <w:tcW w:w="3811"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64"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13</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环境温度稳定性</w:t>
            </w:r>
          </w:p>
        </w:tc>
        <w:tc>
          <w:tcPr>
            <w:tcW w:w="3811"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64"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14</w:t>
            </w:r>
          </w:p>
        </w:tc>
        <w:tc>
          <w:tcPr>
            <w:tcW w:w="6856" w:type="dxa"/>
            <w:gridSpan w:val="2"/>
            <w:tcBorders>
              <w:top w:val="single" w:color="auto" w:sz="4"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lang w:bidi="ar"/>
              </w:rPr>
              <w:t>▲提供总磷水质自动分析仪制造商针对本项目的授权书原件</w:t>
            </w:r>
          </w:p>
        </w:tc>
      </w:tr>
    </w:tbl>
    <w:p>
      <w:pPr>
        <w:pStyle w:val="3"/>
        <w:spacing w:line="360" w:lineRule="auto"/>
        <w:rPr>
          <w:rFonts w:hint="eastAsia" w:ascii="宋体" w:hAnsi="宋体" w:cs="宋体"/>
          <w:color w:val="auto"/>
          <w:sz w:val="24"/>
          <w:szCs w:val="24"/>
        </w:rPr>
      </w:pPr>
    </w:p>
    <w:p>
      <w:pPr>
        <w:pStyle w:val="2"/>
        <w:spacing w:line="360" w:lineRule="auto"/>
        <w:ind w:firstLine="480"/>
        <w:rPr>
          <w:rFonts w:hint="eastAsia" w:ascii="宋体" w:hAnsi="宋体" w:cs="宋体"/>
          <w:color w:val="auto"/>
          <w:sz w:val="24"/>
        </w:rPr>
      </w:pPr>
    </w:p>
    <w:p>
      <w:pPr>
        <w:pStyle w:val="2"/>
        <w:spacing w:line="360" w:lineRule="auto"/>
        <w:ind w:firstLine="480"/>
        <w:rPr>
          <w:rFonts w:hint="eastAsia" w:ascii="宋体" w:hAnsi="宋体" w:cs="宋体"/>
          <w:color w:val="auto"/>
          <w:sz w:val="24"/>
        </w:rPr>
      </w:pPr>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（五）总氮水质自动分析仪</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022"/>
        <w:gridCol w:w="3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7" w:beforeAutospacing="0" w:after="0" w:afterAutospacing="0" w:line="360" w:lineRule="auto"/>
              <w:ind w:left="380" w:right="370"/>
              <w:jc w:val="center"/>
              <w:rPr>
                <w:rFonts w:hint="eastAsia"/>
                <w:color w:val="auto"/>
                <w:kern w:val="2"/>
              </w:rPr>
            </w:pPr>
            <w:r>
              <w:rPr>
                <w:rFonts w:hint="eastAsia"/>
                <w:color w:val="auto"/>
                <w:kern w:val="2"/>
                <w:lang w:bidi="ar"/>
              </w:rPr>
              <w:t>序号</w:t>
            </w:r>
          </w:p>
        </w:tc>
        <w:tc>
          <w:tcPr>
            <w:tcW w:w="3022"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3834"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1</w:t>
            </w:r>
          </w:p>
        </w:tc>
        <w:tc>
          <w:tcPr>
            <w:tcW w:w="3022"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分析方法</w:t>
            </w:r>
          </w:p>
        </w:tc>
        <w:tc>
          <w:tcPr>
            <w:tcW w:w="3834"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碱性过硫酸钾消解紫外分光光度法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2</w:t>
            </w:r>
          </w:p>
        </w:tc>
        <w:tc>
          <w:tcPr>
            <w:tcW w:w="3022"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测定范围</w:t>
            </w:r>
          </w:p>
        </w:tc>
        <w:tc>
          <w:tcPr>
            <w:tcW w:w="3834" w:type="dxa"/>
            <w:tcBorders>
              <w:top w:val="single" w:color="auto" w:sz="8"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0~50mg/L（可扩展）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3</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准确度</w:t>
            </w:r>
          </w:p>
        </w:tc>
        <w:tc>
          <w:tcPr>
            <w:tcW w:w="3834"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4</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重复性</w:t>
            </w:r>
          </w:p>
        </w:tc>
        <w:tc>
          <w:tcPr>
            <w:tcW w:w="3834"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5</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零点漂移</w:t>
            </w:r>
          </w:p>
        </w:tc>
        <w:tc>
          <w:tcPr>
            <w:tcW w:w="3834"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31"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6</w:t>
            </w:r>
          </w:p>
        </w:tc>
        <w:tc>
          <w:tcPr>
            <w:tcW w:w="3022" w:type="dxa"/>
            <w:tcBorders>
              <w:top w:val="single" w:color="auto" w:sz="4"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量程漂移</w:t>
            </w:r>
          </w:p>
        </w:tc>
        <w:tc>
          <w:tcPr>
            <w:tcW w:w="3834" w:type="dxa"/>
            <w:tcBorders>
              <w:top w:val="single" w:color="auto" w:sz="4" w:space="0"/>
              <w:left w:val="single" w:color="auto" w:sz="4" w:space="0"/>
              <w:bottom w:val="single" w:color="auto" w:sz="8" w:space="0"/>
              <w:right w:val="single" w:color="auto" w:sz="8" w:space="0"/>
            </w:tcBorders>
            <w:noWrap w:val="0"/>
            <w:vAlign w:val="top"/>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7</w:t>
            </w:r>
          </w:p>
        </w:tc>
        <w:tc>
          <w:tcPr>
            <w:tcW w:w="3022"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▲检出限</w:t>
            </w:r>
          </w:p>
        </w:tc>
        <w:tc>
          <w:tcPr>
            <w:tcW w:w="3834"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≤0.05mg/L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lang w:bidi="ar"/>
              </w:rPr>
              <w:t>8</w:t>
            </w:r>
          </w:p>
        </w:tc>
        <w:tc>
          <w:tcPr>
            <w:tcW w:w="3022"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实际水样比对试验</w:t>
            </w:r>
          </w:p>
        </w:tc>
        <w:tc>
          <w:tcPr>
            <w:tcW w:w="3834" w:type="dxa"/>
            <w:tcBorders>
              <w:top w:val="single" w:color="auto" w:sz="8"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right="568"/>
              <w:jc w:val="right"/>
              <w:rPr>
                <w:rFonts w:hint="eastAsia"/>
                <w:color w:val="auto"/>
                <w:kern w:val="2"/>
              </w:rPr>
            </w:pPr>
            <w:r>
              <w:rPr>
                <w:rFonts w:hint="eastAsia"/>
                <w:color w:val="auto"/>
                <w:kern w:val="2"/>
                <w:lang w:bidi="ar"/>
              </w:rPr>
              <w:t>9</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分辨率</w:t>
            </w:r>
          </w:p>
        </w:tc>
        <w:tc>
          <w:tcPr>
            <w:tcW w:w="3834"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0.01mg/L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right="505"/>
              <w:jc w:val="right"/>
              <w:rPr>
                <w:rFonts w:hint="eastAsia"/>
                <w:color w:val="auto"/>
                <w:kern w:val="2"/>
              </w:rPr>
            </w:pPr>
            <w:r>
              <w:rPr>
                <w:rFonts w:hint="eastAsia"/>
                <w:color w:val="auto"/>
                <w:kern w:val="2"/>
                <w:lang w:bidi="ar"/>
              </w:rPr>
              <w:t>10</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测量时间</w:t>
            </w:r>
          </w:p>
        </w:tc>
        <w:tc>
          <w:tcPr>
            <w:tcW w:w="3834"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≤25min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right="505"/>
              <w:jc w:val="right"/>
              <w:rPr>
                <w:rFonts w:hint="eastAsia"/>
                <w:color w:val="auto"/>
                <w:kern w:val="2"/>
              </w:rPr>
            </w:pPr>
            <w:r>
              <w:rPr>
                <w:rFonts w:hint="eastAsia"/>
                <w:color w:val="auto"/>
                <w:kern w:val="2"/>
                <w:lang w:bidi="ar"/>
              </w:rPr>
              <w:t>11</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平均无故障运行时间</w:t>
            </w:r>
          </w:p>
        </w:tc>
        <w:tc>
          <w:tcPr>
            <w:tcW w:w="3834"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≥1440h/次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31"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right="505"/>
              <w:jc w:val="right"/>
              <w:rPr>
                <w:rFonts w:hint="eastAsia"/>
                <w:color w:val="auto"/>
                <w:kern w:val="2"/>
              </w:rPr>
            </w:pPr>
            <w:r>
              <w:rPr>
                <w:rFonts w:hint="eastAsia"/>
                <w:color w:val="auto"/>
                <w:kern w:val="2"/>
                <w:lang w:bidi="ar"/>
              </w:rPr>
              <w:t>12</w:t>
            </w:r>
          </w:p>
        </w:tc>
        <w:tc>
          <w:tcPr>
            <w:tcW w:w="3022" w:type="dxa"/>
            <w:tcBorders>
              <w:top w:val="single" w:color="auto" w:sz="4"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电压稳定性</w:t>
            </w:r>
          </w:p>
        </w:tc>
        <w:tc>
          <w:tcPr>
            <w:tcW w:w="3834" w:type="dxa"/>
            <w:tcBorders>
              <w:top w:val="single" w:color="auto" w:sz="4"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31"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7" w:beforeAutospacing="0" w:after="0" w:afterAutospacing="0" w:line="360" w:lineRule="auto"/>
              <w:ind w:right="505"/>
              <w:jc w:val="right"/>
              <w:rPr>
                <w:rFonts w:hint="eastAsia"/>
                <w:color w:val="auto"/>
                <w:kern w:val="2"/>
              </w:rPr>
            </w:pPr>
            <w:r>
              <w:rPr>
                <w:rFonts w:hint="eastAsia"/>
                <w:color w:val="auto"/>
                <w:kern w:val="2"/>
                <w:lang w:bidi="ar"/>
              </w:rPr>
              <w:t>13</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环境温度稳定性</w:t>
            </w:r>
          </w:p>
        </w:tc>
        <w:tc>
          <w:tcPr>
            <w:tcW w:w="3834" w:type="dxa"/>
            <w:tcBorders>
              <w:top w:val="single" w:color="auto" w:sz="4" w:space="0"/>
              <w:left w:val="single" w:color="auto" w:sz="4" w:space="0"/>
              <w:bottom w:val="single" w:color="auto" w:sz="4"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31"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7" w:beforeAutospacing="0" w:after="0" w:afterAutospacing="0" w:line="360" w:lineRule="auto"/>
              <w:ind w:right="505"/>
              <w:jc w:val="right"/>
              <w:rPr>
                <w:rFonts w:hint="eastAsia"/>
                <w:color w:val="auto"/>
                <w:kern w:val="2"/>
              </w:rPr>
            </w:pPr>
            <w:r>
              <w:rPr>
                <w:rFonts w:hint="eastAsia"/>
                <w:color w:val="auto"/>
                <w:kern w:val="2"/>
                <w:lang w:bidi="ar"/>
              </w:rPr>
              <w:t>14</w:t>
            </w:r>
          </w:p>
        </w:tc>
        <w:tc>
          <w:tcPr>
            <w:tcW w:w="6856" w:type="dxa"/>
            <w:gridSpan w:val="2"/>
            <w:tcBorders>
              <w:top w:val="single" w:color="auto" w:sz="4"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lang w:bidi="ar"/>
              </w:rPr>
              <w:t>▲提供总氮水质自动分析仪制造商针对本项目的授权书原件。</w:t>
            </w:r>
          </w:p>
        </w:tc>
      </w:tr>
    </w:tbl>
    <w:p>
      <w:pPr>
        <w:pStyle w:val="3"/>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rPr>
      </w:pPr>
    </w:p>
    <w:p>
      <w:pPr>
        <w:pStyle w:val="3"/>
        <w:spacing w:line="360" w:lineRule="auto"/>
        <w:rPr>
          <w:rFonts w:hint="eastAsia" w:ascii="宋体" w:hAnsi="宋体" w:cs="宋体"/>
          <w:color w:val="auto"/>
          <w:sz w:val="24"/>
          <w:szCs w:val="24"/>
        </w:rPr>
      </w:pPr>
      <w:bookmarkStart w:id="4" w:name="_Toc27640"/>
      <w:r>
        <w:rPr>
          <w:rFonts w:hint="eastAsia" w:ascii="宋体" w:hAnsi="宋体" w:cs="宋体"/>
          <w:color w:val="auto"/>
          <w:sz w:val="24"/>
          <w:szCs w:val="24"/>
        </w:rPr>
        <w:t>（六）生物毒性水质自动分析仪</w:t>
      </w:r>
      <w:bookmarkEnd w:id="4"/>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3077"/>
        <w:gridCol w:w="38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626"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7" w:beforeAutospacing="0" w:after="0" w:afterAutospacing="0" w:line="360" w:lineRule="auto"/>
              <w:ind w:left="380" w:right="370"/>
              <w:jc w:val="center"/>
              <w:rPr>
                <w:rFonts w:hint="eastAsia"/>
                <w:color w:val="auto"/>
                <w:kern w:val="2"/>
              </w:rPr>
            </w:pPr>
            <w:r>
              <w:rPr>
                <w:rFonts w:hint="eastAsia"/>
                <w:color w:val="auto"/>
                <w:kern w:val="2"/>
                <w:lang w:bidi="ar"/>
              </w:rPr>
              <w:t>序号</w:t>
            </w:r>
          </w:p>
        </w:tc>
        <w:tc>
          <w:tcPr>
            <w:tcW w:w="3077"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3819"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1</w:t>
            </w:r>
          </w:p>
        </w:tc>
        <w:tc>
          <w:tcPr>
            <w:tcW w:w="3077" w:type="dxa"/>
            <w:tcBorders>
              <w:top w:val="single" w:color="auto" w:sz="8" w:space="0"/>
              <w:left w:val="single" w:color="auto" w:sz="4" w:space="0"/>
              <w:bottom w:val="single" w:color="auto" w:sz="8" w:space="0"/>
              <w:right w:val="single" w:color="auto" w:sz="4" w:space="0"/>
            </w:tcBorders>
            <w:noWrap w:val="0"/>
            <w:vAlign w:val="top"/>
          </w:tcPr>
          <w:p>
            <w:pPr>
              <w:pStyle w:val="5"/>
              <w:widowControl w:val="0"/>
              <w:spacing w:before="82" w:beforeAutospacing="0" w:after="0" w:afterAutospacing="0" w:line="360" w:lineRule="auto"/>
              <w:ind w:left="106"/>
              <w:jc w:val="both"/>
              <w:rPr>
                <w:rFonts w:hint="eastAsia"/>
                <w:color w:val="auto"/>
                <w:kern w:val="2"/>
              </w:rPr>
            </w:pPr>
            <w:r>
              <w:rPr>
                <w:rFonts w:hint="eastAsia"/>
                <w:color w:val="auto"/>
                <w:kern w:val="2"/>
                <w:lang w:bidi="ar"/>
              </w:rPr>
              <w:t>分析方法</w:t>
            </w:r>
          </w:p>
        </w:tc>
        <w:tc>
          <w:tcPr>
            <w:tcW w:w="3819"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before="82" w:beforeAutospacing="0" w:after="0" w:afterAutospacing="0" w:line="360" w:lineRule="auto"/>
              <w:ind w:left="107"/>
              <w:jc w:val="both"/>
              <w:rPr>
                <w:rFonts w:hint="eastAsia"/>
                <w:color w:val="auto"/>
                <w:kern w:val="2"/>
              </w:rPr>
            </w:pPr>
            <w:r>
              <w:rPr>
                <w:rFonts w:hint="eastAsia"/>
                <w:color w:val="auto"/>
                <w:kern w:val="2"/>
                <w:lang w:bidi="ar"/>
              </w:rPr>
              <w:t>发光菌法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8" w:space="0"/>
              <w:left w:val="single" w:color="auto" w:sz="8" w:space="0"/>
              <w:bottom w:val="single" w:color="auto" w:sz="4" w:space="0"/>
              <w:right w:val="single" w:color="auto" w:sz="4" w:space="0"/>
            </w:tcBorders>
            <w:noWrap w:val="0"/>
            <w:vAlign w:val="center"/>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2</w:t>
            </w:r>
          </w:p>
        </w:tc>
        <w:tc>
          <w:tcPr>
            <w:tcW w:w="3077" w:type="dxa"/>
            <w:tcBorders>
              <w:top w:val="single" w:color="auto" w:sz="8" w:space="0"/>
              <w:left w:val="single" w:color="auto" w:sz="4" w:space="0"/>
              <w:bottom w:val="single" w:color="auto" w:sz="4" w:space="0"/>
              <w:right w:val="single" w:color="auto" w:sz="4" w:space="0"/>
            </w:tcBorders>
            <w:noWrap w:val="0"/>
            <w:vAlign w:val="center"/>
          </w:tcPr>
          <w:p>
            <w:pPr>
              <w:pStyle w:val="5"/>
              <w:widowControl w:val="0"/>
              <w:spacing w:before="81" w:beforeAutospacing="0" w:after="0" w:afterAutospacing="0" w:line="360" w:lineRule="auto"/>
              <w:ind w:left="106"/>
              <w:rPr>
                <w:rFonts w:hint="eastAsia"/>
                <w:color w:val="auto"/>
                <w:kern w:val="2"/>
              </w:rPr>
            </w:pPr>
            <w:r>
              <w:rPr>
                <w:rFonts w:hint="eastAsia"/>
                <w:color w:val="auto"/>
                <w:kern w:val="2"/>
                <w:lang w:bidi="ar"/>
              </w:rPr>
              <w:t>▲菌种</w:t>
            </w:r>
          </w:p>
        </w:tc>
        <w:tc>
          <w:tcPr>
            <w:tcW w:w="3819"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before="81" w:beforeAutospacing="0" w:after="0" w:afterAutospacing="0" w:line="360" w:lineRule="auto"/>
              <w:ind w:left="107"/>
              <w:jc w:val="both"/>
              <w:rPr>
                <w:rFonts w:hint="eastAsia"/>
                <w:color w:val="auto"/>
                <w:kern w:val="2"/>
              </w:rPr>
            </w:pPr>
            <w:r>
              <w:rPr>
                <w:rFonts w:hint="eastAsia"/>
                <w:color w:val="auto"/>
                <w:kern w:val="2"/>
                <w:lang w:bidi="ar"/>
              </w:rPr>
              <w:t>费氏弧菌或明亮发光杆菌冻干粉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3</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细菌工作温度</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1" w:beforeAutospacing="0" w:after="0" w:afterAutospacing="0" w:line="360" w:lineRule="auto"/>
              <w:ind w:left="107"/>
              <w:jc w:val="both"/>
              <w:rPr>
                <w:rFonts w:hint="eastAsia"/>
                <w:color w:val="auto"/>
                <w:kern w:val="2"/>
              </w:rPr>
            </w:pPr>
            <w:r>
              <w:rPr>
                <w:rFonts w:hint="eastAsia"/>
                <w:color w:val="auto"/>
                <w:kern w:val="2"/>
                <w:lang w:bidi="ar"/>
              </w:rPr>
              <w:t>15-20℃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4</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毒性物检测谱</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0" w:beforeAutospacing="0" w:after="0" w:afterAutospacing="0" w:line="360" w:lineRule="auto"/>
              <w:ind w:left="107"/>
              <w:jc w:val="both"/>
              <w:rPr>
                <w:rFonts w:hint="eastAsia"/>
                <w:color w:val="auto"/>
                <w:kern w:val="2"/>
              </w:rPr>
            </w:pPr>
            <w:r>
              <w:rPr>
                <w:rFonts w:hint="eastAsia"/>
                <w:color w:val="auto"/>
                <w:kern w:val="2"/>
                <w:lang w:bidi="ar"/>
              </w:rPr>
              <w:t>5000 多种化合物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5</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纯水检测光损失</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26" w:type="dxa"/>
            <w:vMerge w:val="restart"/>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0" w:beforeAutospacing="0" w:after="0" w:afterAutospacing="0" w:line="360" w:lineRule="auto"/>
              <w:jc w:val="both"/>
              <w:rPr>
                <w:rFonts w:hint="eastAsia"/>
                <w:b/>
                <w:color w:val="auto"/>
                <w:kern w:val="2"/>
              </w:rPr>
            </w:pPr>
          </w:p>
          <w:p>
            <w:pPr>
              <w:pStyle w:val="5"/>
              <w:widowControl w:val="0"/>
              <w:spacing w:before="0" w:beforeAutospacing="0" w:after="0" w:afterAutospacing="0" w:line="360" w:lineRule="auto"/>
              <w:ind w:left="7"/>
              <w:jc w:val="center"/>
              <w:rPr>
                <w:rFonts w:hint="eastAsia"/>
                <w:color w:val="auto"/>
                <w:kern w:val="2"/>
              </w:rPr>
            </w:pPr>
            <w:r>
              <w:rPr>
                <w:rFonts w:hint="eastAsia"/>
                <w:color w:val="auto"/>
                <w:kern w:val="2"/>
                <w:lang w:bidi="ar"/>
              </w:rPr>
              <w:t>6</w:t>
            </w:r>
          </w:p>
        </w:tc>
        <w:tc>
          <w:tcPr>
            <w:tcW w:w="3077" w:type="dxa"/>
            <w:vMerge w:val="restart"/>
            <w:tcBorders>
              <w:top w:val="single" w:color="auto" w:sz="4" w:space="0"/>
              <w:left w:val="single" w:color="auto" w:sz="4" w:space="0"/>
              <w:bottom w:val="single" w:color="auto" w:sz="8" w:space="0"/>
              <w:right w:val="single" w:color="auto" w:sz="4" w:space="0"/>
            </w:tcBorders>
            <w:noWrap w:val="0"/>
            <w:vAlign w:val="top"/>
          </w:tcPr>
          <w:p>
            <w:pPr>
              <w:pStyle w:val="5"/>
              <w:widowControl w:val="0"/>
              <w:spacing w:before="0" w:beforeAutospacing="0" w:after="0" w:afterAutospacing="0" w:line="360" w:lineRule="auto"/>
              <w:jc w:val="both"/>
              <w:rPr>
                <w:rFonts w:hint="eastAsia"/>
                <w:b/>
                <w:color w:val="auto"/>
                <w:kern w:val="2"/>
              </w:rPr>
            </w:pPr>
          </w:p>
          <w:p>
            <w:pPr>
              <w:pStyle w:val="5"/>
              <w:widowControl w:val="0"/>
              <w:spacing w:before="0" w:beforeAutospacing="0" w:after="0" w:afterAutospacing="0" w:line="360" w:lineRule="auto"/>
              <w:ind w:left="106"/>
              <w:jc w:val="both"/>
              <w:rPr>
                <w:rFonts w:hint="eastAsia"/>
                <w:color w:val="auto"/>
                <w:kern w:val="2"/>
              </w:rPr>
            </w:pPr>
            <w:r>
              <w:rPr>
                <w:rFonts w:hint="eastAsia"/>
                <w:color w:val="auto"/>
                <w:kern w:val="2"/>
                <w:lang w:bidi="ar"/>
              </w:rPr>
              <w:t>检测精度</w:t>
            </w:r>
          </w:p>
        </w:tc>
        <w:tc>
          <w:tcPr>
            <w:tcW w:w="3819" w:type="dxa"/>
            <w:tcBorders>
              <w:top w:val="single" w:color="auto" w:sz="4" w:space="0"/>
              <w:left w:val="single" w:color="auto" w:sz="4" w:space="0"/>
              <w:bottom w:val="single" w:color="auto" w:sz="8" w:space="0"/>
              <w:right w:val="single" w:color="auto" w:sz="8" w:space="0"/>
            </w:tcBorders>
            <w:noWrap w:val="0"/>
            <w:vAlign w:val="top"/>
          </w:tcPr>
          <w:p>
            <w:pPr>
              <w:pStyle w:val="5"/>
              <w:widowControl w:val="0"/>
              <w:spacing w:before="82" w:beforeAutospacing="0" w:after="0" w:afterAutospacing="0" w:line="360" w:lineRule="auto"/>
              <w:ind w:left="107"/>
              <w:jc w:val="both"/>
              <w:rPr>
                <w:rFonts w:hint="eastAsia"/>
                <w:color w:val="auto"/>
                <w:kern w:val="2"/>
              </w:rPr>
            </w:pPr>
            <w:r>
              <w:rPr>
                <w:rFonts w:hint="eastAsia"/>
                <w:color w:val="auto"/>
                <w:kern w:val="2"/>
                <w:lang w:bidi="ar"/>
              </w:rPr>
              <w:t>EC50Zn2+≤5.0mg/L（ZnSO4 为标准样）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vMerge w:val="continue"/>
            <w:tcBorders>
              <w:top w:val="single" w:color="auto" w:sz="4" w:space="0"/>
              <w:left w:val="single" w:color="auto" w:sz="8" w:space="0"/>
              <w:bottom w:val="single" w:color="auto" w:sz="4" w:space="0"/>
              <w:right w:val="single" w:color="auto" w:sz="4" w:space="0"/>
            </w:tcBorders>
            <w:noWrap w:val="0"/>
            <w:vAlign w:val="top"/>
          </w:tcPr>
          <w:p>
            <w:pPr>
              <w:rPr>
                <w:rFonts w:hint="eastAsia" w:ascii="宋体" w:hAnsi="宋体" w:cs="宋体"/>
                <w:color w:val="auto"/>
                <w:sz w:val="20"/>
                <w:szCs w:val="20"/>
              </w:rPr>
            </w:pPr>
          </w:p>
        </w:tc>
        <w:tc>
          <w:tcPr>
            <w:tcW w:w="3077" w:type="dxa"/>
            <w:vMerge w:val="continue"/>
            <w:tcBorders>
              <w:top w:val="single" w:color="auto" w:sz="4" w:space="0"/>
              <w:left w:val="single" w:color="auto" w:sz="4" w:space="0"/>
              <w:bottom w:val="single" w:color="auto" w:sz="8" w:space="0"/>
              <w:right w:val="single" w:color="auto" w:sz="4" w:space="0"/>
            </w:tcBorders>
            <w:noWrap w:val="0"/>
            <w:vAlign w:val="top"/>
          </w:tcPr>
          <w:p>
            <w:pPr>
              <w:rPr>
                <w:rFonts w:hint="eastAsia" w:ascii="宋体" w:hAnsi="宋体" w:cs="宋体"/>
                <w:color w:val="auto"/>
                <w:sz w:val="20"/>
                <w:szCs w:val="20"/>
              </w:rPr>
            </w:pPr>
          </w:p>
        </w:tc>
        <w:tc>
          <w:tcPr>
            <w:tcW w:w="3819"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before="88" w:beforeAutospacing="0" w:after="0" w:afterAutospacing="0" w:line="360" w:lineRule="auto"/>
              <w:ind w:left="107"/>
              <w:jc w:val="both"/>
              <w:rPr>
                <w:rFonts w:hint="eastAsia"/>
                <w:color w:val="auto"/>
                <w:kern w:val="2"/>
              </w:rPr>
            </w:pPr>
            <w:r>
              <w:rPr>
                <w:rFonts w:hint="eastAsia"/>
                <w:color w:val="auto"/>
                <w:kern w:val="2"/>
                <w:lang w:bidi="ar"/>
              </w:rPr>
              <w:t>RSD&lt;10%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7</w:t>
            </w:r>
          </w:p>
        </w:tc>
        <w:tc>
          <w:tcPr>
            <w:tcW w:w="3077" w:type="dxa"/>
            <w:tcBorders>
              <w:top w:val="single" w:color="auto" w:sz="8"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响应时间</w:t>
            </w:r>
          </w:p>
        </w:tc>
        <w:tc>
          <w:tcPr>
            <w:tcW w:w="3819"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before="88" w:beforeAutospacing="0" w:after="0" w:afterAutospacing="0" w:line="360" w:lineRule="auto"/>
              <w:ind w:left="107"/>
              <w:jc w:val="both"/>
              <w:rPr>
                <w:rFonts w:hint="eastAsia"/>
                <w:color w:val="auto"/>
                <w:kern w:val="2"/>
              </w:rPr>
            </w:pPr>
            <w:r>
              <w:rPr>
                <w:rFonts w:hint="eastAsia"/>
                <w:color w:val="auto"/>
                <w:kern w:val="2"/>
                <w:lang w:bidi="ar"/>
              </w:rPr>
              <w:t>5-30min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8</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平均无故障运行时间</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7" w:beforeAutospacing="0" w:after="0" w:afterAutospacing="0" w:line="360" w:lineRule="auto"/>
              <w:ind w:left="107"/>
              <w:jc w:val="both"/>
              <w:rPr>
                <w:rFonts w:hint="eastAsia"/>
                <w:color w:val="auto"/>
                <w:kern w:val="2"/>
              </w:rPr>
            </w:pPr>
            <w:r>
              <w:rPr>
                <w:rFonts w:hint="eastAsia"/>
                <w:color w:val="auto"/>
                <w:kern w:val="2"/>
                <w:lang w:bidi="ar"/>
              </w:rPr>
              <w:t>≥1440h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9</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尺寸</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1448 × 600 × 537mm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10</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信号输出</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RS232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26"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11</w:t>
            </w:r>
          </w:p>
        </w:tc>
        <w:tc>
          <w:tcPr>
            <w:tcW w:w="3077"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2" w:beforeAutospacing="0" w:after="0" w:afterAutospacing="0" w:line="360" w:lineRule="auto"/>
              <w:ind w:left="106"/>
              <w:jc w:val="both"/>
              <w:rPr>
                <w:rFonts w:hint="eastAsia"/>
                <w:color w:val="auto"/>
                <w:kern w:val="2"/>
              </w:rPr>
            </w:pPr>
            <w:r>
              <w:rPr>
                <w:rFonts w:hint="eastAsia"/>
                <w:color w:val="auto"/>
                <w:kern w:val="2"/>
                <w:lang w:bidi="ar"/>
              </w:rPr>
              <w:t>重量</w:t>
            </w:r>
          </w:p>
        </w:tc>
        <w:tc>
          <w:tcPr>
            <w:tcW w:w="3819"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70Kg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26"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rPr>
            </w:pPr>
            <w:r>
              <w:rPr>
                <w:rFonts w:hint="eastAsia"/>
                <w:color w:val="auto"/>
                <w:kern w:val="2"/>
                <w:lang w:bidi="ar"/>
              </w:rPr>
              <w:t>12</w:t>
            </w:r>
          </w:p>
        </w:tc>
        <w:tc>
          <w:tcPr>
            <w:tcW w:w="6896" w:type="dxa"/>
            <w:gridSpan w:val="2"/>
            <w:tcBorders>
              <w:top w:val="single" w:color="auto" w:sz="4" w:space="0"/>
              <w:left w:val="single" w:color="auto" w:sz="4" w:space="0"/>
              <w:bottom w:val="single" w:color="auto" w:sz="8"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▲提供生物毒性水质自动分析仪制造商针对本项目的授权书原件。</w:t>
            </w:r>
          </w:p>
        </w:tc>
      </w:tr>
    </w:tbl>
    <w:p>
      <w:pPr>
        <w:pStyle w:val="3"/>
        <w:spacing w:line="360" w:lineRule="auto"/>
        <w:rPr>
          <w:rFonts w:hint="eastAsia" w:ascii="宋体" w:hAnsi="宋体" w:cs="宋体"/>
          <w:color w:val="auto"/>
          <w:sz w:val="24"/>
          <w:szCs w:val="24"/>
        </w:rPr>
      </w:pPr>
      <w:bookmarkStart w:id="5" w:name="_Toc3768"/>
      <w:r>
        <w:rPr>
          <w:rFonts w:hint="eastAsia" w:ascii="宋体" w:hAnsi="宋体" w:cs="宋体"/>
          <w:color w:val="auto"/>
          <w:sz w:val="24"/>
          <w:szCs w:val="24"/>
        </w:rPr>
        <w:t>（七）叶绿素 a 自动分析仪</w:t>
      </w:r>
      <w:bookmarkEnd w:id="5"/>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3629"/>
        <w:gridCol w:w="30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07" w:type="dxa"/>
            <w:tcBorders>
              <w:top w:val="single" w:color="auto" w:sz="8" w:space="0"/>
              <w:left w:val="single" w:color="auto" w:sz="8"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序号</w:t>
            </w:r>
          </w:p>
        </w:tc>
        <w:tc>
          <w:tcPr>
            <w:tcW w:w="3629"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3055"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1</w:t>
            </w:r>
          </w:p>
        </w:tc>
        <w:tc>
          <w:tcPr>
            <w:tcW w:w="3629" w:type="dxa"/>
            <w:tcBorders>
              <w:top w:val="single" w:color="auto" w:sz="8" w:space="0"/>
              <w:left w:val="single" w:color="auto" w:sz="4" w:space="0"/>
              <w:bottom w:val="single" w:color="auto" w:sz="8" w:space="0"/>
              <w:right w:val="single" w:color="auto" w:sz="4" w:space="0"/>
            </w:tcBorders>
            <w:noWrap w:val="0"/>
            <w:vAlign w:val="top"/>
          </w:tcPr>
          <w:p>
            <w:pPr>
              <w:pStyle w:val="5"/>
              <w:widowControl w:val="0"/>
              <w:spacing w:before="87" w:beforeAutospacing="0" w:after="0" w:afterAutospacing="0" w:line="360" w:lineRule="auto"/>
              <w:ind w:left="106"/>
              <w:jc w:val="both"/>
              <w:rPr>
                <w:rFonts w:hint="eastAsia"/>
                <w:color w:val="auto"/>
                <w:kern w:val="2"/>
              </w:rPr>
            </w:pPr>
            <w:r>
              <w:rPr>
                <w:rFonts w:hint="eastAsia"/>
                <w:color w:val="auto"/>
                <w:kern w:val="2"/>
                <w:lang w:bidi="ar"/>
              </w:rPr>
              <w:t>分析方法</w:t>
            </w:r>
          </w:p>
        </w:tc>
        <w:tc>
          <w:tcPr>
            <w:tcW w:w="3055"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before="87" w:beforeAutospacing="0" w:after="0" w:afterAutospacing="0" w:line="360" w:lineRule="auto"/>
              <w:ind w:left="107"/>
              <w:jc w:val="both"/>
              <w:rPr>
                <w:rFonts w:hint="eastAsia"/>
                <w:color w:val="auto"/>
                <w:kern w:val="2"/>
              </w:rPr>
            </w:pPr>
            <w:r>
              <w:rPr>
                <w:rFonts w:hint="eastAsia"/>
                <w:color w:val="auto"/>
                <w:kern w:val="2"/>
                <w:lang w:bidi="ar"/>
              </w:rPr>
              <w:t>荧光法/分光光度法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2</w:t>
            </w:r>
          </w:p>
        </w:tc>
        <w:tc>
          <w:tcPr>
            <w:tcW w:w="3629" w:type="dxa"/>
            <w:tcBorders>
              <w:top w:val="single" w:color="auto" w:sz="8"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测量范围</w:t>
            </w:r>
          </w:p>
        </w:tc>
        <w:tc>
          <w:tcPr>
            <w:tcW w:w="3055"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before="81" w:beforeAutospacing="0" w:after="0" w:afterAutospacing="0" w:line="360" w:lineRule="auto"/>
              <w:ind w:left="107"/>
              <w:jc w:val="both"/>
              <w:rPr>
                <w:rFonts w:hint="eastAsia"/>
                <w:color w:val="auto"/>
                <w:kern w:val="2"/>
              </w:rPr>
            </w:pPr>
            <w:r>
              <w:rPr>
                <w:rFonts w:hint="eastAsia"/>
                <w:color w:val="auto"/>
                <w:kern w:val="2"/>
                <w:lang w:bidi="ar"/>
              </w:rPr>
              <w:t>0～500ug/L，可扩展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3</w:t>
            </w:r>
          </w:p>
        </w:tc>
        <w:tc>
          <w:tcPr>
            <w:tcW w:w="362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准确度</w:t>
            </w:r>
          </w:p>
        </w:tc>
        <w:tc>
          <w:tcPr>
            <w:tcW w:w="3055"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7" w:beforeAutospacing="0" w:after="0" w:afterAutospacing="0" w:line="360" w:lineRule="auto"/>
              <w:ind w:left="107"/>
              <w:jc w:val="both"/>
              <w:rPr>
                <w:rFonts w:hint="eastAsia"/>
                <w:color w:val="auto"/>
                <w:kern w:val="2"/>
              </w:rPr>
            </w:pPr>
            <w:r>
              <w:rPr>
                <w:rFonts w:hint="eastAsia"/>
                <w:color w:val="auto"/>
                <w:kern w:val="2"/>
                <w:lang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07"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4</w:t>
            </w:r>
          </w:p>
        </w:tc>
        <w:tc>
          <w:tcPr>
            <w:tcW w:w="362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重复性</w:t>
            </w:r>
          </w:p>
        </w:tc>
        <w:tc>
          <w:tcPr>
            <w:tcW w:w="3055"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5</w:t>
            </w:r>
          </w:p>
        </w:tc>
        <w:tc>
          <w:tcPr>
            <w:tcW w:w="362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零点漂移</w:t>
            </w:r>
          </w:p>
        </w:tc>
        <w:tc>
          <w:tcPr>
            <w:tcW w:w="3055"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≤±1%F.S.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07"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6</w:t>
            </w:r>
          </w:p>
        </w:tc>
        <w:tc>
          <w:tcPr>
            <w:tcW w:w="3629" w:type="dxa"/>
            <w:tcBorders>
              <w:top w:val="single" w:color="auto" w:sz="4" w:space="0"/>
              <w:left w:val="single" w:color="auto" w:sz="4" w:space="0"/>
              <w:bottom w:val="single" w:color="auto" w:sz="8" w:space="0"/>
              <w:right w:val="single" w:color="auto" w:sz="4" w:space="0"/>
            </w:tcBorders>
            <w:noWrap w:val="0"/>
            <w:vAlign w:val="top"/>
          </w:tcPr>
          <w:p>
            <w:pPr>
              <w:pStyle w:val="5"/>
              <w:widowControl w:val="0"/>
              <w:spacing w:before="82" w:beforeAutospacing="0" w:after="0" w:afterAutospacing="0" w:line="360" w:lineRule="auto"/>
              <w:ind w:left="106"/>
              <w:jc w:val="both"/>
              <w:rPr>
                <w:rFonts w:hint="eastAsia"/>
                <w:color w:val="auto"/>
                <w:kern w:val="2"/>
              </w:rPr>
            </w:pPr>
            <w:r>
              <w:rPr>
                <w:rFonts w:hint="eastAsia"/>
                <w:color w:val="auto"/>
                <w:kern w:val="2"/>
                <w:lang w:bidi="ar"/>
              </w:rPr>
              <w:t>量程漂移</w:t>
            </w:r>
          </w:p>
        </w:tc>
        <w:tc>
          <w:tcPr>
            <w:tcW w:w="3055" w:type="dxa"/>
            <w:tcBorders>
              <w:top w:val="single" w:color="auto" w:sz="4" w:space="0"/>
              <w:left w:val="single" w:color="auto" w:sz="4" w:space="0"/>
              <w:bottom w:val="single" w:color="auto" w:sz="8"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≤±1%F.S.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8"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7</w:t>
            </w:r>
          </w:p>
        </w:tc>
        <w:tc>
          <w:tcPr>
            <w:tcW w:w="3629" w:type="dxa"/>
            <w:tcBorders>
              <w:top w:val="single" w:color="auto" w:sz="8" w:space="0"/>
              <w:left w:val="single" w:color="auto" w:sz="4" w:space="0"/>
              <w:bottom w:val="single" w:color="auto" w:sz="8" w:space="0"/>
              <w:right w:val="single" w:color="auto" w:sz="4" w:space="0"/>
            </w:tcBorders>
            <w:noWrap w:val="0"/>
            <w:vAlign w:val="top"/>
          </w:tcPr>
          <w:p>
            <w:pPr>
              <w:pStyle w:val="5"/>
              <w:widowControl w:val="0"/>
              <w:spacing w:before="82" w:beforeAutospacing="0" w:after="0" w:afterAutospacing="0" w:line="360" w:lineRule="auto"/>
              <w:ind w:left="106"/>
              <w:jc w:val="both"/>
              <w:rPr>
                <w:rFonts w:hint="eastAsia"/>
                <w:color w:val="auto"/>
                <w:kern w:val="2"/>
              </w:rPr>
            </w:pPr>
            <w:r>
              <w:rPr>
                <w:rFonts w:hint="eastAsia"/>
                <w:color w:val="auto"/>
                <w:kern w:val="2"/>
                <w:lang w:bidi="ar"/>
              </w:rPr>
              <w:t>检出限</w:t>
            </w:r>
          </w:p>
        </w:tc>
        <w:tc>
          <w:tcPr>
            <w:tcW w:w="3055"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before="88" w:beforeAutospacing="0" w:after="0" w:afterAutospacing="0" w:line="360" w:lineRule="auto"/>
              <w:ind w:left="107"/>
              <w:jc w:val="both"/>
              <w:rPr>
                <w:rFonts w:hint="eastAsia"/>
                <w:color w:val="auto"/>
                <w:kern w:val="2"/>
              </w:rPr>
            </w:pPr>
            <w:r>
              <w:rPr>
                <w:rFonts w:hint="eastAsia"/>
                <w:color w:val="auto"/>
                <w:kern w:val="2"/>
                <w:lang w:bidi="ar"/>
              </w:rPr>
              <w:t>0.05ug/L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8"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8</w:t>
            </w:r>
          </w:p>
        </w:tc>
        <w:tc>
          <w:tcPr>
            <w:tcW w:w="3629" w:type="dxa"/>
            <w:tcBorders>
              <w:top w:val="single" w:color="auto" w:sz="8"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平均无故障连续运行时间</w:t>
            </w:r>
          </w:p>
        </w:tc>
        <w:tc>
          <w:tcPr>
            <w:tcW w:w="3055"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before="81" w:beforeAutospacing="0" w:after="0" w:afterAutospacing="0" w:line="360" w:lineRule="auto"/>
              <w:ind w:left="107"/>
              <w:jc w:val="both"/>
              <w:rPr>
                <w:rFonts w:hint="eastAsia"/>
                <w:color w:val="auto"/>
                <w:kern w:val="2"/>
              </w:rPr>
            </w:pPr>
            <w:r>
              <w:rPr>
                <w:rFonts w:hint="eastAsia"/>
                <w:color w:val="auto"/>
                <w:kern w:val="2"/>
                <w:lang w:bidi="ar"/>
              </w:rPr>
              <w:t>≥1440h/次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4" w:space="0"/>
              <w:left w:val="single" w:color="auto" w:sz="8" w:space="0"/>
              <w:bottom w:val="single" w:color="auto" w:sz="4"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9</w:t>
            </w:r>
          </w:p>
        </w:tc>
        <w:tc>
          <w:tcPr>
            <w:tcW w:w="3629"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分辨率</w:t>
            </w:r>
          </w:p>
        </w:tc>
        <w:tc>
          <w:tcPr>
            <w:tcW w:w="3055"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7" w:beforeAutospacing="0" w:after="0" w:afterAutospacing="0" w:line="360" w:lineRule="auto"/>
              <w:ind w:left="107"/>
              <w:jc w:val="both"/>
              <w:rPr>
                <w:rFonts w:hint="eastAsia"/>
                <w:color w:val="auto"/>
                <w:kern w:val="2"/>
              </w:rPr>
            </w:pPr>
            <w:r>
              <w:rPr>
                <w:rFonts w:hint="eastAsia"/>
                <w:color w:val="auto"/>
                <w:kern w:val="2"/>
                <w:lang w:bidi="ar"/>
              </w:rPr>
              <w:t>0.01ug/L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7" w:type="dxa"/>
            <w:tcBorders>
              <w:top w:val="single" w:color="auto" w:sz="4" w:space="0"/>
              <w:left w:val="single" w:color="auto" w:sz="8" w:space="0"/>
              <w:bottom w:val="single" w:color="auto" w:sz="8" w:space="0"/>
              <w:right w:val="single" w:color="auto" w:sz="4" w:space="0"/>
            </w:tcBorders>
            <w:noWrap w:val="0"/>
            <w:vAlign w:val="top"/>
          </w:tcPr>
          <w:p>
            <w:pPr>
              <w:pStyle w:val="5"/>
              <w:widowControl w:val="0"/>
              <w:spacing w:before="88" w:beforeAutospacing="0" w:after="0" w:afterAutospacing="0" w:line="360" w:lineRule="auto"/>
              <w:ind w:left="379" w:right="370"/>
              <w:jc w:val="center"/>
              <w:rPr>
                <w:rFonts w:hint="eastAsia"/>
                <w:color w:val="auto"/>
                <w:kern w:val="2"/>
                <w:lang w:bidi="ar"/>
              </w:rPr>
            </w:pPr>
            <w:r>
              <w:rPr>
                <w:rFonts w:hint="eastAsia"/>
                <w:color w:val="auto"/>
                <w:kern w:val="2"/>
                <w:lang w:bidi="ar"/>
              </w:rPr>
              <w:t>10</w:t>
            </w:r>
          </w:p>
        </w:tc>
        <w:tc>
          <w:tcPr>
            <w:tcW w:w="6684" w:type="dxa"/>
            <w:gridSpan w:val="2"/>
            <w:tcBorders>
              <w:top w:val="single" w:color="auto" w:sz="4" w:space="0"/>
              <w:left w:val="single" w:color="auto" w:sz="4" w:space="0"/>
              <w:bottom w:val="single" w:color="auto" w:sz="8" w:space="0"/>
              <w:right w:val="single" w:color="auto" w:sz="8" w:space="0"/>
            </w:tcBorders>
            <w:noWrap w:val="0"/>
            <w:vAlign w:val="top"/>
          </w:tcPr>
          <w:p>
            <w:pPr>
              <w:pStyle w:val="5"/>
              <w:widowControl w:val="0"/>
              <w:spacing w:before="87" w:beforeAutospacing="0" w:after="0" w:afterAutospacing="0" w:line="360" w:lineRule="auto"/>
              <w:ind w:left="107"/>
              <w:jc w:val="both"/>
              <w:rPr>
                <w:rFonts w:hint="eastAsia"/>
                <w:color w:val="auto"/>
                <w:kern w:val="2"/>
              </w:rPr>
            </w:pPr>
            <w:r>
              <w:rPr>
                <w:rFonts w:hint="eastAsia"/>
                <w:color w:val="auto"/>
                <w:kern w:val="2"/>
                <w:lang w:bidi="ar"/>
              </w:rPr>
              <w:t>▲提供叶绿素 a 自动分析仪制造商针对本项目的授权书原件。</w:t>
            </w:r>
          </w:p>
        </w:tc>
      </w:tr>
    </w:tbl>
    <w:p>
      <w:pPr>
        <w:pStyle w:val="2"/>
        <w:spacing w:line="360" w:lineRule="auto"/>
        <w:ind w:firstLine="480"/>
        <w:rPr>
          <w:rFonts w:hint="eastAsia" w:ascii="宋体" w:hAnsi="宋体" w:cs="宋体"/>
          <w:color w:val="auto"/>
          <w:sz w:val="24"/>
        </w:rPr>
      </w:pPr>
    </w:p>
    <w:p>
      <w:pPr>
        <w:pStyle w:val="3"/>
        <w:spacing w:line="360" w:lineRule="auto"/>
        <w:rPr>
          <w:rFonts w:hint="eastAsia" w:ascii="宋体" w:hAnsi="宋体" w:cs="宋体"/>
          <w:color w:val="auto"/>
          <w:sz w:val="24"/>
          <w:szCs w:val="24"/>
        </w:rPr>
      </w:pPr>
      <w:bookmarkStart w:id="6" w:name="_Toc28718"/>
      <w:r>
        <w:rPr>
          <w:rFonts w:hint="eastAsia" w:ascii="宋体" w:hAnsi="宋体" w:cs="宋体"/>
          <w:color w:val="auto"/>
          <w:sz w:val="24"/>
          <w:szCs w:val="24"/>
        </w:rPr>
        <w:t>（八）蓝绿藻自动分析仪</w:t>
      </w:r>
      <w:bookmarkEnd w:id="6"/>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045"/>
        <w:gridCol w:w="37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664" w:type="dxa"/>
            <w:tcBorders>
              <w:top w:val="single" w:color="auto" w:sz="8" w:space="0"/>
              <w:left w:val="single" w:color="auto" w:sz="8" w:space="0"/>
              <w:bottom w:val="single" w:color="auto" w:sz="8" w:space="0"/>
              <w:right w:val="single" w:color="auto" w:sz="4" w:space="0"/>
            </w:tcBorders>
            <w:noWrap w:val="0"/>
            <w:vAlign w:val="center"/>
          </w:tcPr>
          <w:p>
            <w:pPr>
              <w:pStyle w:val="5"/>
              <w:widowControl w:val="0"/>
              <w:spacing w:before="87" w:beforeAutospacing="0" w:after="0" w:afterAutospacing="0" w:line="360" w:lineRule="auto"/>
              <w:ind w:left="380" w:right="370"/>
              <w:jc w:val="center"/>
              <w:rPr>
                <w:rFonts w:hint="eastAsia"/>
                <w:color w:val="auto"/>
                <w:kern w:val="2"/>
              </w:rPr>
            </w:pPr>
            <w:r>
              <w:rPr>
                <w:rFonts w:hint="eastAsia"/>
                <w:color w:val="auto"/>
                <w:kern w:val="2"/>
                <w:lang w:bidi="ar"/>
              </w:rPr>
              <w:t>序号</w:t>
            </w:r>
          </w:p>
        </w:tc>
        <w:tc>
          <w:tcPr>
            <w:tcW w:w="3045" w:type="dxa"/>
            <w:tcBorders>
              <w:top w:val="single" w:color="auto" w:sz="8" w:space="0"/>
              <w:left w:val="single" w:color="auto" w:sz="4" w:space="0"/>
              <w:bottom w:val="single" w:color="auto" w:sz="8" w:space="0"/>
              <w:right w:val="single" w:color="auto" w:sz="4"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项    目</w:t>
            </w:r>
          </w:p>
        </w:tc>
        <w:tc>
          <w:tcPr>
            <w:tcW w:w="3796" w:type="dxa"/>
            <w:tcBorders>
              <w:top w:val="single" w:color="auto" w:sz="8" w:space="0"/>
              <w:left w:val="single" w:color="auto" w:sz="4" w:space="0"/>
              <w:bottom w:val="single" w:color="auto" w:sz="8" w:space="0"/>
              <w:right w:val="single" w:color="auto" w:sz="8" w:space="0"/>
            </w:tcBorders>
            <w:noWrap w:val="0"/>
            <w:vAlign w:val="center"/>
          </w:tcPr>
          <w:p>
            <w:pPr>
              <w:pStyle w:val="5"/>
              <w:widowControl w:val="0"/>
              <w:spacing w:line="360" w:lineRule="auto"/>
              <w:ind w:right="-309" w:rightChars="-147"/>
              <w:jc w:val="both"/>
              <w:rPr>
                <w:rFonts w:hint="eastAsia"/>
                <w:color w:val="auto"/>
                <w:kern w:val="2"/>
              </w:rPr>
            </w:pPr>
            <w:r>
              <w:rPr>
                <w:rFonts w:hint="eastAsia"/>
                <w:color w:val="auto"/>
                <w:kern w:val="2"/>
                <w:lang w:bidi="ar"/>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8" w:space="0"/>
              <w:left w:val="single" w:color="auto" w:sz="8" w:space="0"/>
              <w:bottom w:val="single" w:color="auto" w:sz="8" w:space="0"/>
              <w:right w:val="single" w:color="auto" w:sz="4" w:space="0"/>
            </w:tcBorders>
            <w:noWrap w:val="0"/>
            <w:vAlign w:val="center"/>
          </w:tcPr>
          <w:p>
            <w:pPr>
              <w:pStyle w:val="5"/>
              <w:widowControl w:val="0"/>
              <w:spacing w:before="96" w:beforeAutospacing="0" w:after="0" w:afterAutospacing="0" w:line="360" w:lineRule="auto"/>
              <w:ind w:left="7"/>
              <w:jc w:val="center"/>
              <w:rPr>
                <w:rFonts w:hint="eastAsia"/>
                <w:color w:val="auto"/>
                <w:kern w:val="2"/>
              </w:rPr>
            </w:pPr>
            <w:r>
              <w:rPr>
                <w:rFonts w:hint="eastAsia"/>
                <w:color w:val="auto"/>
                <w:kern w:val="2"/>
                <w:lang w:bidi="ar"/>
              </w:rPr>
              <w:t>1</w:t>
            </w:r>
          </w:p>
        </w:tc>
        <w:tc>
          <w:tcPr>
            <w:tcW w:w="3045" w:type="dxa"/>
            <w:tcBorders>
              <w:top w:val="single" w:color="auto" w:sz="8" w:space="0"/>
              <w:left w:val="single" w:color="auto" w:sz="4" w:space="0"/>
              <w:bottom w:val="single" w:color="auto" w:sz="8" w:space="0"/>
              <w:right w:val="single" w:color="auto" w:sz="4" w:space="0"/>
            </w:tcBorders>
            <w:noWrap w:val="0"/>
            <w:vAlign w:val="top"/>
          </w:tcPr>
          <w:p>
            <w:pPr>
              <w:pStyle w:val="5"/>
              <w:widowControl w:val="0"/>
              <w:spacing w:before="89" w:beforeAutospacing="0" w:after="0" w:afterAutospacing="0" w:line="360" w:lineRule="auto"/>
              <w:ind w:left="106"/>
              <w:jc w:val="both"/>
              <w:rPr>
                <w:rFonts w:hint="eastAsia"/>
                <w:color w:val="auto"/>
                <w:kern w:val="2"/>
              </w:rPr>
            </w:pPr>
            <w:r>
              <w:rPr>
                <w:rFonts w:hint="eastAsia"/>
                <w:color w:val="auto"/>
                <w:kern w:val="2"/>
                <w:lang w:bidi="ar"/>
              </w:rPr>
              <w:t>分析方法</w:t>
            </w:r>
          </w:p>
        </w:tc>
        <w:tc>
          <w:tcPr>
            <w:tcW w:w="3796"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荧光法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8" w:space="0"/>
              <w:left w:val="single" w:color="auto" w:sz="8" w:space="0"/>
              <w:bottom w:val="single" w:color="auto" w:sz="4" w:space="0"/>
              <w:right w:val="single" w:color="auto" w:sz="4" w:space="0"/>
            </w:tcBorders>
            <w:noWrap w:val="0"/>
            <w:vAlign w:val="center"/>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2</w:t>
            </w:r>
          </w:p>
        </w:tc>
        <w:tc>
          <w:tcPr>
            <w:tcW w:w="3045" w:type="dxa"/>
            <w:tcBorders>
              <w:top w:val="single" w:color="auto" w:sz="8"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测量范围</w:t>
            </w:r>
          </w:p>
        </w:tc>
        <w:tc>
          <w:tcPr>
            <w:tcW w:w="3796"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before="81" w:beforeAutospacing="0" w:after="0" w:afterAutospacing="0" w:line="360" w:lineRule="auto"/>
              <w:ind w:left="107"/>
              <w:jc w:val="both"/>
              <w:rPr>
                <w:rFonts w:hint="eastAsia"/>
                <w:color w:val="auto"/>
                <w:kern w:val="2"/>
              </w:rPr>
            </w:pPr>
            <w:r>
              <w:rPr>
                <w:rFonts w:hint="eastAsia"/>
                <w:color w:val="auto"/>
                <w:kern w:val="2"/>
                <w:lang w:bidi="ar"/>
              </w:rPr>
              <w:t>0～2000C/ul，可扩展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3</w:t>
            </w:r>
          </w:p>
        </w:tc>
        <w:tc>
          <w:tcPr>
            <w:tcW w:w="3045"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准确度</w:t>
            </w:r>
          </w:p>
        </w:tc>
        <w:tc>
          <w:tcPr>
            <w:tcW w:w="3796"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4</w:t>
            </w:r>
          </w:p>
        </w:tc>
        <w:tc>
          <w:tcPr>
            <w:tcW w:w="3045"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重复性</w:t>
            </w:r>
          </w:p>
        </w:tc>
        <w:tc>
          <w:tcPr>
            <w:tcW w:w="3796"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5</w:t>
            </w:r>
          </w:p>
        </w:tc>
        <w:tc>
          <w:tcPr>
            <w:tcW w:w="3045"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2" w:beforeAutospacing="0" w:after="0" w:afterAutospacing="0" w:line="360" w:lineRule="auto"/>
              <w:ind w:left="106"/>
              <w:jc w:val="both"/>
              <w:rPr>
                <w:rFonts w:hint="eastAsia"/>
                <w:color w:val="auto"/>
                <w:kern w:val="2"/>
              </w:rPr>
            </w:pPr>
            <w:r>
              <w:rPr>
                <w:rFonts w:hint="eastAsia"/>
                <w:color w:val="auto"/>
                <w:kern w:val="2"/>
                <w:lang w:bidi="ar"/>
              </w:rPr>
              <w:t>零点漂移</w:t>
            </w:r>
          </w:p>
        </w:tc>
        <w:tc>
          <w:tcPr>
            <w:tcW w:w="3796"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≤±2%F.S.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64" w:type="dxa"/>
            <w:tcBorders>
              <w:top w:val="single" w:color="auto" w:sz="4" w:space="0"/>
              <w:left w:val="single" w:color="auto" w:sz="8" w:space="0"/>
              <w:bottom w:val="single" w:color="auto" w:sz="8" w:space="0"/>
              <w:right w:val="single" w:color="auto" w:sz="4" w:space="0"/>
            </w:tcBorders>
            <w:noWrap w:val="0"/>
            <w:vAlign w:val="center"/>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6</w:t>
            </w:r>
          </w:p>
        </w:tc>
        <w:tc>
          <w:tcPr>
            <w:tcW w:w="3045" w:type="dxa"/>
            <w:tcBorders>
              <w:top w:val="single" w:color="auto" w:sz="4" w:space="0"/>
              <w:left w:val="single" w:color="auto" w:sz="4" w:space="0"/>
              <w:bottom w:val="single" w:color="auto" w:sz="8"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量程漂移</w:t>
            </w:r>
          </w:p>
        </w:tc>
        <w:tc>
          <w:tcPr>
            <w:tcW w:w="3796" w:type="dxa"/>
            <w:tcBorders>
              <w:top w:val="single" w:color="auto" w:sz="4" w:space="0"/>
              <w:left w:val="single" w:color="auto" w:sz="4" w:space="0"/>
              <w:bottom w:val="single" w:color="auto" w:sz="8" w:space="0"/>
              <w:right w:val="single" w:color="auto" w:sz="8" w:space="0"/>
            </w:tcBorders>
            <w:noWrap w:val="0"/>
            <w:vAlign w:val="top"/>
          </w:tcPr>
          <w:p>
            <w:pPr>
              <w:pStyle w:val="5"/>
              <w:widowControl w:val="0"/>
              <w:spacing w:before="88" w:beforeAutospacing="0" w:after="0" w:afterAutospacing="0" w:line="360" w:lineRule="auto"/>
              <w:ind w:left="107"/>
              <w:jc w:val="both"/>
              <w:rPr>
                <w:rFonts w:hint="eastAsia"/>
                <w:color w:val="auto"/>
                <w:kern w:val="2"/>
              </w:rPr>
            </w:pPr>
            <w:r>
              <w:rPr>
                <w:rFonts w:hint="eastAsia"/>
                <w:color w:val="auto"/>
                <w:kern w:val="2"/>
                <w:lang w:bidi="ar"/>
              </w:rPr>
              <w:t>≤±2%F.S.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8" w:space="0"/>
              <w:left w:val="single" w:color="auto" w:sz="8" w:space="0"/>
              <w:bottom w:val="single" w:color="auto" w:sz="8" w:space="0"/>
              <w:right w:val="single" w:color="auto" w:sz="4" w:space="0"/>
            </w:tcBorders>
            <w:noWrap w:val="0"/>
            <w:vAlign w:val="center"/>
          </w:tcPr>
          <w:p>
            <w:pPr>
              <w:pStyle w:val="5"/>
              <w:widowControl w:val="0"/>
              <w:spacing w:before="88" w:beforeAutospacing="0" w:after="0" w:afterAutospacing="0" w:line="360" w:lineRule="auto"/>
              <w:ind w:left="7"/>
              <w:jc w:val="center"/>
              <w:rPr>
                <w:rFonts w:hint="eastAsia"/>
                <w:color w:val="auto"/>
                <w:kern w:val="2"/>
              </w:rPr>
            </w:pPr>
            <w:r>
              <w:rPr>
                <w:rFonts w:hint="eastAsia"/>
                <w:color w:val="auto"/>
                <w:kern w:val="2"/>
                <w:lang w:bidi="ar"/>
              </w:rPr>
              <w:t>7</w:t>
            </w:r>
          </w:p>
        </w:tc>
        <w:tc>
          <w:tcPr>
            <w:tcW w:w="3045" w:type="dxa"/>
            <w:tcBorders>
              <w:top w:val="single" w:color="auto" w:sz="8" w:space="0"/>
              <w:left w:val="single" w:color="auto" w:sz="4" w:space="0"/>
              <w:bottom w:val="single" w:color="auto" w:sz="8"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检出限</w:t>
            </w:r>
          </w:p>
        </w:tc>
        <w:tc>
          <w:tcPr>
            <w:tcW w:w="3796" w:type="dxa"/>
            <w:tcBorders>
              <w:top w:val="single" w:color="auto" w:sz="8" w:space="0"/>
              <w:left w:val="single" w:color="auto" w:sz="4" w:space="0"/>
              <w:bottom w:val="single" w:color="auto" w:sz="8" w:space="0"/>
              <w:right w:val="single" w:color="auto" w:sz="8" w:space="0"/>
            </w:tcBorders>
            <w:noWrap w:val="0"/>
            <w:vAlign w:val="top"/>
          </w:tcPr>
          <w:p>
            <w:pPr>
              <w:pStyle w:val="5"/>
              <w:widowControl w:val="0"/>
              <w:spacing w:before="88" w:beforeAutospacing="0" w:after="0" w:afterAutospacing="0" w:line="360" w:lineRule="auto"/>
              <w:ind w:left="107"/>
              <w:jc w:val="both"/>
              <w:rPr>
                <w:rFonts w:hint="eastAsia"/>
                <w:color w:val="auto"/>
                <w:kern w:val="2"/>
              </w:rPr>
            </w:pPr>
            <w:r>
              <w:rPr>
                <w:rFonts w:hint="eastAsia"/>
                <w:color w:val="auto"/>
                <w:kern w:val="2"/>
                <w:lang w:bidi="ar"/>
              </w:rPr>
              <w:t>0.1C/ul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8" w:space="0"/>
              <w:left w:val="single" w:color="auto" w:sz="8" w:space="0"/>
              <w:bottom w:val="single" w:color="auto" w:sz="4" w:space="0"/>
              <w:right w:val="single" w:color="auto" w:sz="4" w:space="0"/>
            </w:tcBorders>
            <w:noWrap w:val="0"/>
            <w:vAlign w:val="center"/>
          </w:tcPr>
          <w:p>
            <w:pPr>
              <w:pStyle w:val="5"/>
              <w:widowControl w:val="0"/>
              <w:spacing w:before="87" w:beforeAutospacing="0" w:after="0" w:afterAutospacing="0" w:line="360" w:lineRule="auto"/>
              <w:ind w:left="7"/>
              <w:jc w:val="center"/>
              <w:rPr>
                <w:rFonts w:hint="eastAsia"/>
                <w:color w:val="auto"/>
                <w:kern w:val="2"/>
              </w:rPr>
            </w:pPr>
            <w:r>
              <w:rPr>
                <w:rFonts w:hint="eastAsia"/>
                <w:color w:val="auto"/>
                <w:kern w:val="2"/>
                <w:lang w:bidi="ar"/>
              </w:rPr>
              <w:t>8</w:t>
            </w:r>
          </w:p>
        </w:tc>
        <w:tc>
          <w:tcPr>
            <w:tcW w:w="3045" w:type="dxa"/>
            <w:tcBorders>
              <w:top w:val="single" w:color="auto" w:sz="8" w:space="0"/>
              <w:left w:val="single" w:color="auto" w:sz="4" w:space="0"/>
              <w:bottom w:val="single" w:color="auto" w:sz="4" w:space="0"/>
              <w:right w:val="single" w:color="auto" w:sz="4" w:space="0"/>
            </w:tcBorders>
            <w:noWrap w:val="0"/>
            <w:vAlign w:val="top"/>
          </w:tcPr>
          <w:p>
            <w:pPr>
              <w:pStyle w:val="5"/>
              <w:widowControl w:val="0"/>
              <w:spacing w:before="81" w:beforeAutospacing="0" w:after="0" w:afterAutospacing="0" w:line="360" w:lineRule="auto"/>
              <w:ind w:left="106"/>
              <w:jc w:val="both"/>
              <w:rPr>
                <w:rFonts w:hint="eastAsia"/>
                <w:color w:val="auto"/>
                <w:kern w:val="2"/>
              </w:rPr>
            </w:pPr>
            <w:r>
              <w:rPr>
                <w:rFonts w:hint="eastAsia"/>
                <w:color w:val="auto"/>
                <w:kern w:val="2"/>
                <w:lang w:bidi="ar"/>
              </w:rPr>
              <w:t>平均无故障连续运行时间</w:t>
            </w:r>
          </w:p>
        </w:tc>
        <w:tc>
          <w:tcPr>
            <w:tcW w:w="3796" w:type="dxa"/>
            <w:tcBorders>
              <w:top w:val="single" w:color="auto" w:sz="8" w:space="0"/>
              <w:left w:val="single" w:color="auto" w:sz="4" w:space="0"/>
              <w:bottom w:val="single" w:color="auto" w:sz="4" w:space="0"/>
              <w:right w:val="single" w:color="auto" w:sz="8" w:space="0"/>
            </w:tcBorders>
            <w:noWrap w:val="0"/>
            <w:vAlign w:val="top"/>
          </w:tcPr>
          <w:p>
            <w:pPr>
              <w:pStyle w:val="5"/>
              <w:widowControl w:val="0"/>
              <w:spacing w:before="81" w:beforeAutospacing="0" w:after="0" w:afterAutospacing="0" w:line="360" w:lineRule="auto"/>
              <w:ind w:left="107"/>
              <w:jc w:val="both"/>
              <w:rPr>
                <w:rFonts w:hint="eastAsia"/>
                <w:color w:val="auto"/>
                <w:kern w:val="2"/>
              </w:rPr>
            </w:pPr>
            <w:r>
              <w:rPr>
                <w:rFonts w:hint="eastAsia"/>
                <w:color w:val="auto"/>
                <w:kern w:val="2"/>
                <w:lang w:bidi="ar"/>
              </w:rPr>
              <w:t>≥1440h/次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4" w:space="0"/>
              <w:left w:val="single" w:color="auto" w:sz="8" w:space="0"/>
              <w:bottom w:val="single" w:color="auto" w:sz="4" w:space="0"/>
              <w:right w:val="single" w:color="auto" w:sz="4" w:space="0"/>
            </w:tcBorders>
            <w:noWrap w:val="0"/>
            <w:vAlign w:val="center"/>
          </w:tcPr>
          <w:p>
            <w:pPr>
              <w:pStyle w:val="5"/>
              <w:widowControl w:val="0"/>
              <w:spacing w:before="89" w:beforeAutospacing="0" w:after="0" w:afterAutospacing="0" w:line="360" w:lineRule="auto"/>
              <w:ind w:left="7"/>
              <w:jc w:val="center"/>
              <w:rPr>
                <w:rFonts w:hint="eastAsia"/>
                <w:color w:val="auto"/>
                <w:kern w:val="2"/>
              </w:rPr>
            </w:pPr>
            <w:r>
              <w:rPr>
                <w:rFonts w:hint="eastAsia"/>
                <w:color w:val="auto"/>
                <w:kern w:val="2"/>
                <w:lang w:bidi="ar"/>
              </w:rPr>
              <w:t>9</w:t>
            </w:r>
          </w:p>
        </w:tc>
        <w:tc>
          <w:tcPr>
            <w:tcW w:w="3045" w:type="dxa"/>
            <w:tcBorders>
              <w:top w:val="single" w:color="auto" w:sz="4" w:space="0"/>
              <w:left w:val="single" w:color="auto" w:sz="4" w:space="0"/>
              <w:bottom w:val="single" w:color="auto" w:sz="4" w:space="0"/>
              <w:right w:val="single" w:color="auto" w:sz="4" w:space="0"/>
            </w:tcBorders>
            <w:noWrap w:val="0"/>
            <w:vAlign w:val="top"/>
          </w:tcPr>
          <w:p>
            <w:pPr>
              <w:pStyle w:val="5"/>
              <w:widowControl w:val="0"/>
              <w:spacing w:before="80" w:beforeAutospacing="0" w:after="0" w:afterAutospacing="0" w:line="360" w:lineRule="auto"/>
              <w:ind w:left="106"/>
              <w:jc w:val="both"/>
              <w:rPr>
                <w:rFonts w:hint="eastAsia"/>
                <w:color w:val="auto"/>
                <w:kern w:val="2"/>
              </w:rPr>
            </w:pPr>
            <w:r>
              <w:rPr>
                <w:rFonts w:hint="eastAsia"/>
                <w:color w:val="auto"/>
                <w:kern w:val="2"/>
                <w:lang w:bidi="ar"/>
              </w:rPr>
              <w:t>分辨率</w:t>
            </w:r>
          </w:p>
        </w:tc>
        <w:tc>
          <w:tcPr>
            <w:tcW w:w="3796" w:type="dxa"/>
            <w:tcBorders>
              <w:top w:val="single" w:color="auto" w:sz="4" w:space="0"/>
              <w:left w:val="single" w:color="auto" w:sz="4" w:space="0"/>
              <w:bottom w:val="single" w:color="auto" w:sz="4"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0.001C/ul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664" w:type="dxa"/>
            <w:tcBorders>
              <w:top w:val="single" w:color="auto" w:sz="4" w:space="0"/>
              <w:left w:val="single" w:color="auto" w:sz="8" w:space="0"/>
              <w:bottom w:val="single" w:color="auto" w:sz="8" w:space="0"/>
              <w:right w:val="single" w:color="auto" w:sz="4" w:space="0"/>
            </w:tcBorders>
            <w:noWrap w:val="0"/>
            <w:vAlign w:val="center"/>
          </w:tcPr>
          <w:p>
            <w:pPr>
              <w:pStyle w:val="5"/>
              <w:widowControl w:val="0"/>
              <w:spacing w:before="89" w:beforeAutospacing="0" w:after="0" w:afterAutospacing="0" w:line="360" w:lineRule="auto"/>
              <w:ind w:left="379" w:right="370"/>
              <w:jc w:val="center"/>
              <w:rPr>
                <w:rFonts w:hint="eastAsia"/>
                <w:color w:val="auto"/>
                <w:kern w:val="2"/>
              </w:rPr>
            </w:pPr>
            <w:r>
              <w:rPr>
                <w:rFonts w:hint="eastAsia"/>
                <w:color w:val="auto"/>
                <w:kern w:val="2"/>
                <w:lang w:bidi="ar"/>
              </w:rPr>
              <w:t>10</w:t>
            </w:r>
          </w:p>
        </w:tc>
        <w:tc>
          <w:tcPr>
            <w:tcW w:w="6841" w:type="dxa"/>
            <w:gridSpan w:val="2"/>
            <w:tcBorders>
              <w:top w:val="single" w:color="auto" w:sz="4" w:space="0"/>
              <w:left w:val="single" w:color="auto" w:sz="4" w:space="0"/>
              <w:bottom w:val="single" w:color="auto" w:sz="8" w:space="0"/>
              <w:right w:val="single" w:color="auto" w:sz="8" w:space="0"/>
            </w:tcBorders>
            <w:noWrap w:val="0"/>
            <w:vAlign w:val="top"/>
          </w:tcPr>
          <w:p>
            <w:pPr>
              <w:pStyle w:val="5"/>
              <w:widowControl w:val="0"/>
              <w:spacing w:before="89" w:beforeAutospacing="0" w:after="0" w:afterAutospacing="0" w:line="360" w:lineRule="auto"/>
              <w:ind w:left="107"/>
              <w:jc w:val="both"/>
              <w:rPr>
                <w:rFonts w:hint="eastAsia"/>
                <w:color w:val="auto"/>
                <w:kern w:val="2"/>
              </w:rPr>
            </w:pPr>
            <w:r>
              <w:rPr>
                <w:rFonts w:hint="eastAsia"/>
                <w:color w:val="auto"/>
                <w:kern w:val="2"/>
                <w:lang w:bidi="ar"/>
              </w:rPr>
              <w:t>▲提供蓝绿藻自动分析仪制造商针对本项目的授权书原件。</w:t>
            </w:r>
          </w:p>
        </w:tc>
      </w:tr>
    </w:tbl>
    <w:p>
      <w:pPr>
        <w:pStyle w:val="4"/>
        <w:spacing w:line="360" w:lineRule="auto"/>
        <w:rPr>
          <w:rFonts w:hint="eastAsia" w:ascii="宋体" w:hAnsi="宋体" w:cs="宋体"/>
          <w:color w:val="auto"/>
          <w:sz w:val="24"/>
        </w:rPr>
      </w:pPr>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（九）水位计</w:t>
      </w:r>
    </w:p>
    <w:p>
      <w:pPr>
        <w:pStyle w:val="4"/>
        <w:spacing w:line="360" w:lineRule="auto"/>
        <w:rPr>
          <w:rFonts w:hint="eastAsia" w:ascii="宋体" w:hAnsi="宋体" w:cs="宋体"/>
          <w:color w:val="auto"/>
          <w:sz w:val="24"/>
        </w:rPr>
      </w:pPr>
      <w:r>
        <w:rPr>
          <w:rFonts w:hint="eastAsia" w:ascii="宋体" w:hAnsi="宋体" w:cs="宋体"/>
          <w:color w:val="auto"/>
          <w:sz w:val="24"/>
        </w:rPr>
        <w:t xml:space="preserve">1. 量程：0~10m,0~20m,0~40m,0~80m(量程可选) </w:t>
      </w:r>
    </w:p>
    <w:p>
      <w:pPr>
        <w:pStyle w:val="4"/>
        <w:spacing w:line="360" w:lineRule="auto"/>
        <w:rPr>
          <w:rFonts w:hint="eastAsia" w:ascii="宋体" w:hAnsi="宋体" w:cs="宋体"/>
          <w:color w:val="auto"/>
          <w:sz w:val="24"/>
        </w:rPr>
      </w:pPr>
      <w:r>
        <w:rPr>
          <w:rFonts w:hint="eastAsia" w:ascii="宋体" w:hAnsi="宋体" w:cs="宋体"/>
          <w:color w:val="auto"/>
          <w:sz w:val="24"/>
        </w:rPr>
        <w:t>2. 精度：±0.05%（0~10m量程）  </w:t>
      </w:r>
    </w:p>
    <w:p>
      <w:pPr>
        <w:pStyle w:val="4"/>
        <w:spacing w:line="360" w:lineRule="auto"/>
        <w:rPr>
          <w:rFonts w:hint="eastAsia" w:ascii="宋体" w:hAnsi="宋体" w:cs="宋体"/>
          <w:color w:val="auto"/>
          <w:sz w:val="24"/>
        </w:rPr>
      </w:pPr>
      <w:r>
        <w:rPr>
          <w:rFonts w:hint="eastAsia" w:ascii="宋体" w:hAnsi="宋体" w:cs="宋体"/>
          <w:color w:val="auto"/>
          <w:sz w:val="24"/>
        </w:rPr>
        <w:t>3. 分辨率：1mm/0.1mBar  </w:t>
      </w:r>
    </w:p>
    <w:p>
      <w:pPr>
        <w:pStyle w:val="4"/>
        <w:spacing w:line="360" w:lineRule="auto"/>
        <w:rPr>
          <w:rFonts w:hint="eastAsia" w:ascii="宋体" w:hAnsi="宋体" w:cs="宋体"/>
          <w:color w:val="auto"/>
          <w:sz w:val="24"/>
        </w:rPr>
      </w:pPr>
      <w:r>
        <w:rPr>
          <w:rFonts w:hint="eastAsia" w:ascii="宋体" w:hAnsi="宋体" w:cs="宋体"/>
          <w:color w:val="auto"/>
          <w:sz w:val="24"/>
        </w:rPr>
        <w:t>4. 测量间隔：5min-24h </w:t>
      </w:r>
    </w:p>
    <w:p>
      <w:pPr>
        <w:pStyle w:val="4"/>
        <w:spacing w:line="360" w:lineRule="auto"/>
        <w:rPr>
          <w:rFonts w:hint="eastAsia" w:ascii="宋体" w:hAnsi="宋体" w:cs="宋体"/>
          <w:color w:val="auto"/>
          <w:sz w:val="24"/>
        </w:rPr>
      </w:pPr>
      <w:r>
        <w:rPr>
          <w:rFonts w:hint="eastAsia" w:ascii="宋体" w:hAnsi="宋体" w:cs="宋体"/>
          <w:color w:val="auto"/>
          <w:sz w:val="24"/>
        </w:rPr>
        <w:t>5. 输出：RS485(MODBUS-RTU)、4~20mA  </w:t>
      </w:r>
    </w:p>
    <w:p>
      <w:pPr>
        <w:pStyle w:val="4"/>
        <w:spacing w:line="360" w:lineRule="auto"/>
        <w:rPr>
          <w:rFonts w:hint="eastAsia" w:ascii="宋体" w:hAnsi="宋体" w:cs="宋体"/>
          <w:color w:val="auto"/>
          <w:sz w:val="24"/>
        </w:rPr>
      </w:pPr>
      <w:r>
        <w:rPr>
          <w:rFonts w:hint="eastAsia" w:ascii="宋体" w:hAnsi="宋体" w:cs="宋体"/>
          <w:color w:val="auto"/>
          <w:sz w:val="24"/>
        </w:rPr>
        <w:t>6. 供电：12VDC  </w:t>
      </w:r>
    </w:p>
    <w:p>
      <w:pPr>
        <w:pStyle w:val="4"/>
        <w:spacing w:line="360" w:lineRule="auto"/>
        <w:rPr>
          <w:rFonts w:hint="eastAsia" w:ascii="宋体" w:hAnsi="宋体" w:cs="宋体"/>
          <w:color w:val="auto"/>
          <w:sz w:val="24"/>
        </w:rPr>
      </w:pPr>
      <w:r>
        <w:rPr>
          <w:rFonts w:hint="eastAsia" w:ascii="宋体" w:hAnsi="宋体" w:cs="宋体"/>
          <w:color w:val="auto"/>
          <w:sz w:val="24"/>
        </w:rPr>
        <w:t>7. 测管直径：φ8  </w:t>
      </w:r>
    </w:p>
    <w:p>
      <w:pPr>
        <w:pStyle w:val="4"/>
        <w:spacing w:line="360" w:lineRule="auto"/>
        <w:rPr>
          <w:rFonts w:hint="eastAsia" w:ascii="宋体" w:hAnsi="宋体" w:cs="宋体"/>
          <w:color w:val="auto"/>
          <w:sz w:val="24"/>
        </w:rPr>
      </w:pPr>
      <w:r>
        <w:rPr>
          <w:rFonts w:hint="eastAsia" w:ascii="宋体" w:hAnsi="宋体" w:cs="宋体"/>
          <w:color w:val="auto"/>
          <w:sz w:val="24"/>
        </w:rPr>
        <w:t>8. 具有集成净化功能 </w:t>
      </w:r>
    </w:p>
    <w:p>
      <w:pPr>
        <w:pStyle w:val="4"/>
        <w:spacing w:line="360" w:lineRule="auto"/>
        <w:rPr>
          <w:rFonts w:hint="eastAsia" w:ascii="宋体" w:hAnsi="宋体" w:cs="宋体"/>
          <w:color w:val="auto"/>
          <w:sz w:val="24"/>
        </w:rPr>
      </w:pPr>
      <w:r>
        <w:rPr>
          <w:rFonts w:hint="eastAsia" w:ascii="宋体" w:hAnsi="宋体" w:cs="宋体"/>
          <w:color w:val="auto"/>
          <w:sz w:val="24"/>
        </w:rPr>
        <w:t>9. 可过载保护  </w:t>
      </w:r>
    </w:p>
    <w:p>
      <w:pPr>
        <w:pStyle w:val="4"/>
        <w:spacing w:line="360" w:lineRule="auto"/>
        <w:rPr>
          <w:rFonts w:hint="eastAsia" w:ascii="宋体" w:hAnsi="宋体" w:cs="宋体"/>
          <w:color w:val="auto"/>
          <w:sz w:val="24"/>
        </w:rPr>
      </w:pPr>
      <w:r>
        <w:rPr>
          <w:rFonts w:hint="eastAsia" w:ascii="宋体" w:hAnsi="宋体" w:cs="宋体"/>
          <w:color w:val="auto"/>
          <w:sz w:val="24"/>
        </w:rPr>
        <w:t>10. 存储容量：15万条（循环记录） </w:t>
      </w:r>
    </w:p>
    <w:p>
      <w:pPr>
        <w:pStyle w:val="4"/>
        <w:spacing w:line="360" w:lineRule="auto"/>
        <w:rPr>
          <w:rFonts w:hint="eastAsia" w:ascii="宋体" w:hAnsi="宋体" w:cs="宋体"/>
          <w:color w:val="auto"/>
          <w:sz w:val="24"/>
        </w:rPr>
      </w:pPr>
      <w:r>
        <w:rPr>
          <w:rFonts w:hint="eastAsia" w:ascii="宋体" w:hAnsi="宋体" w:cs="宋体"/>
          <w:color w:val="auto"/>
          <w:sz w:val="24"/>
        </w:rPr>
        <w:t>11. 存储时间：≥10年  </w:t>
      </w:r>
    </w:p>
    <w:p>
      <w:pPr>
        <w:pStyle w:val="4"/>
        <w:spacing w:line="360" w:lineRule="auto"/>
        <w:rPr>
          <w:rFonts w:hint="eastAsia" w:ascii="宋体" w:hAnsi="宋体" w:cs="宋体"/>
          <w:color w:val="auto"/>
          <w:sz w:val="24"/>
        </w:rPr>
      </w:pPr>
      <w:r>
        <w:rPr>
          <w:rFonts w:hint="eastAsia" w:ascii="宋体" w:hAnsi="宋体" w:cs="宋体"/>
          <w:color w:val="auto"/>
          <w:sz w:val="24"/>
        </w:rPr>
        <w:t>12. 温度范围：操作温度：-20 - 60°C  </w:t>
      </w:r>
    </w:p>
    <w:p>
      <w:pPr>
        <w:pStyle w:val="4"/>
        <w:spacing w:line="360" w:lineRule="auto"/>
        <w:ind w:firstLine="1680" w:firstLineChars="700"/>
        <w:rPr>
          <w:rFonts w:hint="eastAsia" w:ascii="宋体" w:hAnsi="宋体" w:cs="宋体"/>
          <w:color w:val="auto"/>
          <w:sz w:val="24"/>
        </w:rPr>
      </w:pPr>
      <w:r>
        <w:rPr>
          <w:rFonts w:hint="eastAsia" w:ascii="宋体" w:hAnsi="宋体" w:cs="宋体"/>
          <w:color w:val="auto"/>
          <w:sz w:val="24"/>
        </w:rPr>
        <w:t>存储温度：-35 - 85°C </w:t>
      </w:r>
    </w:p>
    <w:p>
      <w:pPr>
        <w:pStyle w:val="4"/>
        <w:numPr>
          <w:ilvl w:val="0"/>
          <w:numId w:val="1"/>
        </w:numPr>
        <w:spacing w:line="360" w:lineRule="auto"/>
        <w:rPr>
          <w:rFonts w:hint="eastAsia" w:ascii="宋体" w:hAnsi="宋体" w:cs="宋体"/>
          <w:color w:val="auto"/>
          <w:sz w:val="24"/>
        </w:rPr>
      </w:pPr>
      <w:r>
        <w:rPr>
          <w:rFonts w:hint="eastAsia" w:ascii="宋体" w:hAnsi="宋体" w:cs="宋体"/>
          <w:color w:val="auto"/>
          <w:sz w:val="24"/>
        </w:rPr>
        <w:t>相对湿度：10 - 95%  </w:t>
      </w:r>
    </w:p>
    <w:p>
      <w:pPr>
        <w:pStyle w:val="4"/>
        <w:numPr>
          <w:ilvl w:val="0"/>
          <w:numId w:val="1"/>
        </w:numPr>
        <w:spacing w:line="360" w:lineRule="auto"/>
        <w:rPr>
          <w:rFonts w:hint="eastAsia" w:ascii="宋体" w:hAnsi="宋体" w:cs="宋体"/>
          <w:color w:val="auto"/>
          <w:sz w:val="24"/>
        </w:rPr>
      </w:pPr>
      <w:r>
        <w:rPr>
          <w:rFonts w:hint="eastAsia" w:ascii="宋体" w:hAnsi="宋体" w:cs="宋体"/>
          <w:color w:val="auto"/>
          <w:sz w:val="24"/>
        </w:rPr>
        <w:t xml:space="preserve">保护等级：IP65 </w:t>
      </w:r>
    </w:p>
    <w:p>
      <w:pPr>
        <w:pStyle w:val="4"/>
        <w:spacing w:line="360" w:lineRule="auto"/>
        <w:rPr>
          <w:rFonts w:hint="eastAsia" w:ascii="宋体" w:hAnsi="宋体" w:cs="宋体"/>
          <w:color w:val="auto"/>
          <w:sz w:val="24"/>
        </w:rPr>
      </w:pPr>
    </w:p>
    <w:p>
      <w:pPr>
        <w:pStyle w:val="3"/>
        <w:spacing w:line="360" w:lineRule="auto"/>
        <w:rPr>
          <w:rFonts w:hint="eastAsia" w:ascii="宋体" w:hAnsi="宋体" w:cs="宋体"/>
          <w:color w:val="auto"/>
          <w:sz w:val="24"/>
          <w:szCs w:val="24"/>
        </w:rPr>
      </w:pPr>
      <w:bookmarkStart w:id="7" w:name="_Toc17434"/>
      <w:r>
        <w:rPr>
          <w:rFonts w:hint="eastAsia" w:ascii="宋体" w:hAnsi="宋体" w:cs="宋体"/>
          <w:color w:val="auto"/>
          <w:sz w:val="24"/>
          <w:szCs w:val="24"/>
        </w:rPr>
        <w:t>（十）全自动水质留样器</w:t>
      </w:r>
      <w:bookmarkEnd w:id="7"/>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水质自动留样器采用冷藏式真空（蠕动）泵采样。内置不少于 12 个 1 升采样聚乙烯储水瓶，采样体积可设定，具备低温冷藏（控温要求：4℃±1℃）功能。仪器还应具有设置、显示、控制信号输出、信号采集和数据存储功能；具有设定、校对、时间显示功能。能够远程展示采样器当前状态和接受执行远程命令，具有远程启动、远程设置和手动控制功能。具有保存采样记录、故障信息和样品保存温度超标报警信息等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采样模式：有时间、等比例和异常采样、等时、等量、等比例、混合、预约瞬时采样模式等采样模式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1.时间控制采样：相同时间间隔(1 分钟-9999 分钟任意设定，增量 1 分钟)。流量计控制采样：专用流量计控制采样。</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2.水样分装方式：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采标准样：一瓶采 1 个水样（N=1）</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采混合样：一瓶装 N 个水样（1≤N≤10）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3.采样量误差：&lt;±3%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4.流量测量误差：≤±5%；</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5.管路系统气密性： ≤-0.05MPa；</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6.采样间隔：连续可调；</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7.排空和清洗：程序设定，每个采样瓶具有自动排空、自动清洗；</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8.系统时钟时间控制误差：内置实时时钟，△1≤0.1%及△12≤30S；</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9.存储器：可存储至少 10 个采样程序和或不少于 100 个样品采集的时间和数据记录，采用循环更新的方式；数字信号输出：RS232；</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10.平均无故障连续运行时间(MTBF)： ≥2880h；</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11.全部中文菜单，人机对话方式；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12.软件密码锁，可以保护仪器内设置的程序不被修改；</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13.支持同步留样功能；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14. 工作环境温度：0℃至 +50℃；</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15.绝缘阻抗：&gt;20MΩ；防护等级 IP 65。</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16.显示：5.7 英寸 TFT 液晶显示屏（320×240）</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17.键盘：4×4 轻触式塑封键盘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18.自动排空，自动清洗，独立组网。</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19.恒温冷藏箱 4—20 度温度可调，让水样低温下恒温冷藏。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20.可实现远程控制采样。</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21、通讯方式：有线、无线均可。</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22、采用保温型壳体，节能低耗。</w:t>
      </w:r>
    </w:p>
    <w:p>
      <w:pPr>
        <w:pStyle w:val="2"/>
        <w:rPr>
          <w:rFonts w:hint="eastAsia"/>
          <w:color w:val="auto"/>
        </w:rPr>
      </w:pPr>
    </w:p>
    <w:p>
      <w:pPr>
        <w:pStyle w:val="3"/>
        <w:spacing w:line="360" w:lineRule="auto"/>
        <w:rPr>
          <w:rFonts w:hint="eastAsia" w:ascii="宋体" w:hAnsi="宋体" w:cs="宋体"/>
          <w:color w:val="auto"/>
          <w:sz w:val="24"/>
          <w:szCs w:val="24"/>
        </w:rPr>
      </w:pPr>
      <w:bookmarkStart w:id="8" w:name="_Toc2712"/>
      <w:r>
        <w:rPr>
          <w:rFonts w:hint="eastAsia" w:ascii="宋体" w:hAnsi="宋体" w:cs="宋体"/>
          <w:color w:val="auto"/>
          <w:sz w:val="24"/>
          <w:szCs w:val="24"/>
        </w:rPr>
        <w:t>（十一）预处理及配水系统</w:t>
      </w:r>
      <w:bookmarkEnd w:id="8"/>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配水单元包括水样预处理装置、自动清洗装置及辅助部分。投标人必须提供配水单元设计方案，方案应包括泥沙去除、在线过滤，反冲洗及除藻设计，必须排除比色法仪器受浊度干扰等问题。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（1）各参数根据需要可采用预处理装置，要求水样采集后停留时间为 30min供仪器检测。</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（2）配水单元向自动监测仪器供水，其水质、水压和水量必须满足自动监测仪器的需要。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预处理和过滤系统：对管路布置、液流速度、仪器取水方面有独特设计制作，减少沙砾对系统的影响。具有在线过滤装置及管道反冲洗装置，过滤装置可根据不同仪器对水样的要求进行调整；对系统能现场或远程进行自动或手动控制清洗，不使用化学清洗方法，减少对环境二次污染；维护周期≥20 天。</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（1）水质五参数的测量，不需预处理，直接检测。</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其它参数采用超声波匀化预处理装置，利用超声波清洗技术，分别起到匀化水样和清洗过滤器的作用。中、低频换能器高低交错分布，对水样预处理时开启中频（低能量）换能器，粉碎大颗粒，匀化水样；对过滤网清洗时，开启低频（高能量）换能器，剥离过滤网上的粘附物，达到清洗目的。</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2、管路要求：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（1）管道的设计应具备压力、流量控制功能，通过 PLC 控制单元可以实时监控取水配水单元的运行状态，并且具有断电保护和来电自动启动的功能。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（2）提供的配水总量保证至少高于各仪表所需水量的 150%。</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（3）采用所有主管路串连的方式；整套管路为串联结构，管路干路中无阻拦式过滤装置，每台仪器都从各自的过滤装置中取水，任何仪器出现故障都不会影响其它仪器的工作。</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为方便系统进行维护，在主管路上，每台仪器都应设有旁路系统，通过手动球阀来进行调节。当某台仪器、过滤器损坏或者需要维护时，可以打开旁路，关闭主路，既不影响其他仪器的正常工作，又达到了维护维修的目的。</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（5）管道的铺设、预埋均要求方便拆装维护。</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3、辅助配件：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含仪表安装屏架等；配套一套涵盖仪器和系统的维护工具。</w:t>
      </w:r>
    </w:p>
    <w:p>
      <w:pPr>
        <w:pStyle w:val="2"/>
        <w:rPr>
          <w:rFonts w:hint="eastAsia"/>
          <w:color w:val="auto"/>
        </w:rPr>
      </w:pPr>
    </w:p>
    <w:p>
      <w:pPr>
        <w:pStyle w:val="3"/>
        <w:spacing w:line="360" w:lineRule="auto"/>
        <w:rPr>
          <w:rFonts w:hint="eastAsia" w:ascii="宋体" w:hAnsi="宋体" w:cs="宋体"/>
          <w:color w:val="auto"/>
          <w:sz w:val="24"/>
          <w:szCs w:val="24"/>
        </w:rPr>
      </w:pPr>
      <w:bookmarkStart w:id="9" w:name="_Toc4029"/>
      <w:r>
        <w:rPr>
          <w:rFonts w:hint="eastAsia" w:ascii="宋体" w:hAnsi="宋体" w:cs="宋体"/>
          <w:color w:val="auto"/>
          <w:sz w:val="24"/>
          <w:szCs w:val="24"/>
        </w:rPr>
        <w:t>（十二）数据采集与传输系统</w:t>
      </w:r>
      <w:bookmarkEnd w:id="9"/>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1、数据采集与存储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（1）采集自动分析仪器的监测数据，并分类保存；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（2）采集自动分析仪器和集成系统各单元的工作状态量，并以运行日志的形式记录保存；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（3）能够实时采集视频信息并传输至中心平台；</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（4）断电后能自动保存历史数据和参数设置；</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（5）数据储存量：≥400 组；</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（6）数据采集精度：≥32 bit，采集频率：≥10Hz。</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（7）数据采集正确率：≥99%。</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（8）自动记录并分类数据采集异常信息，便于用户全面管理数据；不同监测点可以灵活设置不同监测项目。</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（9）数据采集器有时间调节和控制窗口，以保证数据采集器、PLC 控制系统、仪器时钟行走时间一致，保证全系统步调一致。</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2、数据传输与通讯</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（1）功能概述</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具备自动采集数据功能，包括监测设备数据、传感器数据、集成控制数据等信息，采集的数据应自动加数据有效性标识，异常监测数据能自动识别，并按设定频次定时主动上传至中心平台；</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具备接收中心平台的远程访问功能，实现包括：校时、复位、测试、下次测试时间、测试周期（频率）、紧急监测、留样方式控制等功能，并对命令进行响应、记录反控日志信息。</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（2）参数指标要求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系统应稳定可靠，具备自检及死机自动恢复功能，平均无故障运行时间≥3000小时；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远程通信支持有线、无线、专用网络（VPN）通讯方式；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数据传输至少支持一点多传，断点续传；</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采用具有校验功能的通讯协议，能够及时纠正传输错误的数据包，能按要求接受、处理和反馈远程控制命令；</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为保证水质自动监测站与中心站之间数据传输的安全，在有条件的前提下，应尽量采用专网传输数据。如需在公网上传输，则应采用相应的加密手段，以保证数据的安全。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具备对通信链路的自动诊断功能，具备超时补发功能。</w:t>
      </w:r>
    </w:p>
    <w:p>
      <w:pPr>
        <w:pStyle w:val="2"/>
        <w:spacing w:line="360" w:lineRule="auto"/>
        <w:ind w:firstLine="482"/>
        <w:rPr>
          <w:rFonts w:hint="eastAsia" w:ascii="宋体" w:hAnsi="宋体" w:cs="宋体"/>
          <w:b/>
          <w:bCs/>
          <w:color w:val="auto"/>
          <w:sz w:val="24"/>
        </w:rPr>
      </w:pPr>
    </w:p>
    <w:p>
      <w:pPr>
        <w:pStyle w:val="2"/>
        <w:spacing w:line="360" w:lineRule="auto"/>
        <w:ind w:firstLine="0" w:firstLineChars="0"/>
        <w:rPr>
          <w:rFonts w:hint="eastAsia" w:ascii="宋体" w:hAnsi="宋体" w:cs="宋体"/>
          <w:b/>
          <w:bCs/>
          <w:color w:val="auto"/>
          <w:sz w:val="24"/>
        </w:rPr>
      </w:pPr>
      <w:r>
        <w:rPr>
          <w:rFonts w:hint="eastAsia" w:ascii="宋体" w:hAnsi="宋体" w:cs="宋体"/>
          <w:b/>
          <w:bCs/>
          <w:color w:val="auto"/>
          <w:sz w:val="24"/>
        </w:rPr>
        <w:t>（十三）水站数据传输VPN</w:t>
      </w:r>
    </w:p>
    <w:p>
      <w:pPr>
        <w:pStyle w:val="2"/>
        <w:spacing w:line="360" w:lineRule="auto"/>
        <w:ind w:firstLine="480"/>
        <w:rPr>
          <w:rFonts w:hint="eastAsia" w:ascii="宋体" w:hAnsi="宋体" w:cs="宋体"/>
          <w:color w:val="auto"/>
          <w:sz w:val="24"/>
        </w:rPr>
      </w:pPr>
      <w:r>
        <w:rPr>
          <w:rFonts w:hint="eastAsia" w:ascii="宋体" w:hAnsi="宋体" w:cs="宋体"/>
          <w:color w:val="auto"/>
          <w:sz w:val="24"/>
        </w:rPr>
        <w:t>SSL最大加密流量:100Mbps;SSL理论并发用户数:300;IPSec最大加密流量:50Mbps;理论吞吐量:150Mbps;理论并发会话数:350000;电源:单电源;尺寸:1U;接口:4电;三年服务。</w:t>
      </w:r>
    </w:p>
    <w:p>
      <w:pPr>
        <w:pStyle w:val="3"/>
        <w:spacing w:line="360" w:lineRule="auto"/>
        <w:rPr>
          <w:rFonts w:hint="eastAsia" w:ascii="宋体" w:hAnsi="宋体" w:cs="宋体"/>
          <w:color w:val="auto"/>
          <w:sz w:val="24"/>
          <w:szCs w:val="24"/>
        </w:rPr>
      </w:pPr>
      <w:bookmarkStart w:id="10" w:name="_Toc12840"/>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（十四）空压机、纯水机及辅助系统</w:t>
      </w:r>
      <w:bookmarkEnd w:id="10"/>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1、空压机：含附属设备，电机功率≥0.56KW，排气量≥ 60L/min，转速≥</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1450R.P.M，气缸数 1 个，使用压力≥7Kg/cm2，最大压力≥8Kg/cm2，气路有除水装置。</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2、纯水机：满足实验室和仪器用水需要，水质级别达到试验室用水要求， 自动补充仪器清洗用水。出水量：≥8L/h；电阻率：大于 10 兆欧。基本配置： 过滤器－反渗透膜－两级核级混床柱－电阻率仪－终端超滤－高低压控制器－ 专用纯水泵。</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3、辅助系统</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3.1、UPS不间断电源</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 功率：6KVA</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 输入电压：220±25% 输出电压：220±1.5%</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（3）额定输出电压：220Vac</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（4）负载效应：输入在电压允许范围内，从空载到满载输出电压变化±2%。</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（5）输出波形：正弦波形。</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（6）过载能力：输入电压为 220V 时，允许短时间工作于额定输出功率的150%。</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（7）短路特性：当输入短路时，输入电流小于等于额定电流的 1.5 倍，当短路解除后，自动恢复正常输出。</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（8）绝缘等级：B 级，极限工作温度为 130℃。</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（9）可靠性：MTBF≥3000 小时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（10）工作环境温度：040℃</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（11）工作环境湿度：40-90% RH</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（12）断电情况下可保持控制系统 4 小时供电3.2、稳压电源</w:t>
      </w:r>
    </w:p>
    <w:p>
      <w:pPr>
        <w:pStyle w:val="4"/>
        <w:spacing w:line="360" w:lineRule="auto"/>
        <w:rPr>
          <w:rFonts w:hint="eastAsia" w:ascii="宋体" w:hAnsi="宋体" w:cs="宋体"/>
          <w:color w:val="auto"/>
          <w:sz w:val="24"/>
        </w:rPr>
      </w:pPr>
      <w:r>
        <w:rPr>
          <w:rFonts w:hint="eastAsia" w:ascii="宋体" w:hAnsi="宋体" w:cs="宋体"/>
          <w:color w:val="auto"/>
          <w:sz w:val="24"/>
        </w:rPr>
        <w:t>为保障站房用电设备安全，将户外 AC380V 低压交流输入分配水质监测站房内的各交流负载前，需要先通过稳压电源；稳压电源额定容量不小于 10KVA。</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3.2、稳压电源</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为保障站房用电设备安全，将户外 AC380V 低压交流输入分配水质监测站房内的各交流负载前，需要先通过稳压电源；稳压电源额定容量不小于 10KVA。</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3.3、空调</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为保障站房的温度，需提供2台3P立式空调，2台1.5P壁挂式空调，所有空调均带有来电自启动功能。</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3.4、除湿机</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（1）最大日除湿量：1.08L/h；</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（4）额定功率：＜500W；</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（5）额定电压及频率：220V~50Hz；</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（6）制冷剂/充注量：R134a/160g；</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（7）风量：190m³/h；</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（8）水箱容量：≤3.5L。</w:t>
      </w:r>
    </w:p>
    <w:p>
      <w:pPr>
        <w:pStyle w:val="4"/>
        <w:spacing w:line="360" w:lineRule="auto"/>
        <w:ind w:firstLine="480" w:firstLineChars="200"/>
        <w:rPr>
          <w:rFonts w:hint="eastAsia" w:ascii="宋体" w:hAnsi="宋体" w:cs="宋体"/>
          <w:color w:val="auto"/>
          <w:sz w:val="24"/>
        </w:rPr>
      </w:pPr>
    </w:p>
    <w:p>
      <w:pPr>
        <w:pStyle w:val="3"/>
        <w:spacing w:line="360" w:lineRule="auto"/>
        <w:rPr>
          <w:rFonts w:hint="eastAsia" w:ascii="宋体" w:hAnsi="宋体" w:cs="宋体"/>
          <w:color w:val="auto"/>
          <w:sz w:val="24"/>
          <w:szCs w:val="24"/>
        </w:rPr>
      </w:pPr>
      <w:bookmarkStart w:id="11" w:name="_Toc23561"/>
      <w:r>
        <w:rPr>
          <w:rFonts w:hint="eastAsia" w:ascii="宋体" w:hAnsi="宋体" w:cs="宋体"/>
          <w:color w:val="auto"/>
          <w:sz w:val="24"/>
          <w:szCs w:val="24"/>
        </w:rPr>
        <w:t>（十五）废液处理系统</w:t>
      </w:r>
      <w:bookmarkEnd w:id="11"/>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（1）废液处理能力：≥50L/h。</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（2）平均无故障连续运行时间：≥720h/次</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（3）安全性能要求：绝缘电阻：≥150MΩ</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耐电压强度：施加 1000V，50Hz 交流电压，历时 1 min，不得出现报警、击穿、飞弧等现象。</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耐水压强度：当水压 0.25MPa 时，保压 30min，设备应无渗漏和异常变形。</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（4）出水标准：地表水Ⅲ类标准（GB3838-2002）。</w:t>
      </w:r>
    </w:p>
    <w:p>
      <w:pPr>
        <w:pStyle w:val="3"/>
        <w:spacing w:line="360" w:lineRule="auto"/>
        <w:rPr>
          <w:rFonts w:hint="eastAsia" w:ascii="宋体" w:hAnsi="宋体" w:cs="宋体"/>
          <w:color w:val="auto"/>
          <w:sz w:val="24"/>
          <w:szCs w:val="24"/>
        </w:rPr>
      </w:pPr>
      <w:bookmarkStart w:id="12" w:name="_Toc30447"/>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（十六）数据质量控制系统</w:t>
      </w:r>
      <w:bookmarkEnd w:id="12"/>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水质自动在线监测站需具有完善的质量控制手段，包括平行样分析、标样核查、质控样分析等，保证了自动分析数据的准确性、可靠性。</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自动分析仪能够将流程日志、工作状态传输给控制系统及中心管理系统，实现自动分析数据的“真实性”、“溯源性”；自动化质控手段贯穿整个检测过程。</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在整个检测过程可根据需要在样瓶配置中穿插质控样，须配备质控配样模块， 系统可全自动的实现质控。</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质控配样模块功能要求：</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具备自动测试平行样品、加标回收样品、标样和密码样品，实现重复性、准确性的自动核查功能。</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▲校准：具备自动实现加标量和加标混样体积校准的功能。扩展：具备 I/0 扩展功能。</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保存：具备加标量和加标混样体积信息功能。自动报警：具备故障自动报警功能。</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加标量、加标定容误差：误差在±5%以内。主要自动质控要求：</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远程控制：具备根据远程中心管理平台和水质监测基站的控制命令切换标样管和水样管路的功能。</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平行样：可根据需要通过一个样瓶检测次数或关联同一样品的样瓶号来实现检测过程中的平行样检测；</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标样核查：在整个检测过程可根据需要穿插添加标样的样瓶来实现自动标样核查；</w:t>
      </w:r>
    </w:p>
    <w:p>
      <w:pPr>
        <w:pStyle w:val="4"/>
        <w:spacing w:line="360" w:lineRule="auto"/>
        <w:ind w:firstLine="480" w:firstLineChars="200"/>
        <w:rPr>
          <w:rFonts w:hint="eastAsia" w:ascii="宋体" w:hAnsi="宋体" w:cs="宋体"/>
          <w:color w:val="auto"/>
          <w:sz w:val="24"/>
        </w:rPr>
      </w:pPr>
      <w:r>
        <w:rPr>
          <w:rFonts w:hint="eastAsia" w:ascii="宋体" w:hAnsi="宋体" w:cs="宋体"/>
          <w:color w:val="auto"/>
          <w:sz w:val="24"/>
        </w:rPr>
        <w:t>加标回收：在样瓶中添加定容定量的已知浓度样品，再滴定一定体积的已知浓度的标样即可，系统自动根据加标后的检测结果计算出加标回收率。加标量和加标定容误差在±5%以内。</w:t>
      </w:r>
    </w:p>
    <w:p>
      <w:pPr>
        <w:pStyle w:val="3"/>
        <w:spacing w:line="360" w:lineRule="auto"/>
        <w:rPr>
          <w:rFonts w:hint="eastAsia" w:ascii="宋体" w:hAnsi="宋体" w:cs="宋体"/>
          <w:color w:val="auto"/>
          <w:sz w:val="24"/>
          <w:szCs w:val="24"/>
        </w:rPr>
      </w:pPr>
      <w:bookmarkStart w:id="13" w:name="_Toc14545"/>
      <w:r>
        <w:rPr>
          <w:rFonts w:hint="eastAsia" w:ascii="宋体" w:hAnsi="宋体" w:cs="宋体"/>
          <w:color w:val="auto"/>
          <w:sz w:val="24"/>
          <w:szCs w:val="24"/>
        </w:rPr>
        <w:t>（十七）试剂保质装置</w:t>
      </w:r>
      <w:bookmarkEnd w:id="13"/>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单台体积≥30 升；温度：0-20℃可调；制冷方式：压缩机制冷</w:t>
      </w:r>
    </w:p>
    <w:p>
      <w:pPr>
        <w:pStyle w:val="3"/>
        <w:spacing w:line="360" w:lineRule="auto"/>
        <w:rPr>
          <w:rFonts w:hint="eastAsia" w:ascii="宋体" w:hAnsi="宋体" w:cs="宋体"/>
          <w:color w:val="auto"/>
          <w:sz w:val="24"/>
          <w:szCs w:val="24"/>
        </w:rPr>
      </w:pPr>
      <w:bookmarkStart w:id="14" w:name="_Toc26334"/>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（十八）视频监控系统</w:t>
      </w:r>
      <w:bookmarkEnd w:id="14"/>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1、视频监控系统需实现对监视监测仪器的工作状态、人员的进出情况、取水口/水面和站房周边情况的监控功能。</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2、每组视频监视设施包括：1 套室内球机、1 套室外取水点球机、1 套站房周边球机、1 套硬盘录像机、防护设备和工程配套附材。</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3、防护设备包括：电源防雷器和网络防雷器。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4、工程配套附材包括：配套线缆、摄像机安装支架、安装箱，以及管道等保证系统能够正常连接使用的其它附件。</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（1）监控球机技术需求：</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①支持区域入侵侦测、越界侦测、音域异常侦测、移动侦测、视频遮挡侦测</w:t>
      </w:r>
    </w:p>
    <w:p>
      <w:pPr>
        <w:tabs>
          <w:tab w:val="left" w:pos="851"/>
        </w:tabs>
        <w:spacing w:line="360" w:lineRule="auto"/>
        <w:rPr>
          <w:rFonts w:hint="eastAsia" w:ascii="宋体" w:hAnsi="宋体" w:cs="宋体"/>
          <w:color w:val="auto"/>
          <w:sz w:val="24"/>
        </w:rPr>
      </w:pPr>
      <w:r>
        <w:rPr>
          <w:rFonts w:hint="eastAsia" w:ascii="宋体" w:hAnsi="宋体" w:cs="宋体"/>
          <w:color w:val="auto"/>
          <w:sz w:val="24"/>
        </w:rPr>
        <w:t>功能；</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②云台水平方向 360°连续旋转，垂直方向-15°~90°，无监视盲区；</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 xml:space="preserve">③ </w:t>
      </w:r>
      <w:r>
        <w:rPr>
          <w:rFonts w:hint="eastAsia" w:ascii="宋体" w:hAnsi="宋体" w:cs="宋体"/>
          <w:b/>
          <w:bCs/>
          <w:color w:val="auto"/>
          <w:sz w:val="24"/>
        </w:rPr>
        <w:t>▲</w:t>
      </w:r>
      <w:r>
        <w:rPr>
          <w:rFonts w:hint="eastAsia" w:ascii="宋体" w:hAnsi="宋体" w:cs="宋体"/>
          <w:color w:val="auto"/>
          <w:sz w:val="24"/>
        </w:rPr>
        <w:t>20 倍光学变倍，16 倍数字变倍；</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④支持网线断、IP 地址冲突、存储器满、存储器错、非法访问异常检测并联动报警；</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⑤</w:t>
      </w:r>
      <w:r>
        <w:rPr>
          <w:rFonts w:hint="eastAsia" w:ascii="宋体" w:hAnsi="宋体" w:cs="宋体"/>
          <w:b/>
          <w:bCs/>
          <w:color w:val="auto"/>
          <w:sz w:val="24"/>
        </w:rPr>
        <w:t>▲</w:t>
      </w:r>
      <w:r>
        <w:rPr>
          <w:rFonts w:hint="eastAsia" w:ascii="宋体" w:hAnsi="宋体" w:cs="宋体"/>
          <w:color w:val="auto"/>
          <w:sz w:val="24"/>
        </w:rPr>
        <w:t>200 万像素网络球机支持 H.265 高效压缩编码，分辨率达 1920*108；</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⑥</w:t>
      </w:r>
      <w:r>
        <w:rPr>
          <w:rFonts w:hint="eastAsia" w:ascii="宋体" w:hAnsi="宋体" w:cs="宋体"/>
          <w:b/>
          <w:bCs/>
          <w:color w:val="auto"/>
          <w:sz w:val="24"/>
        </w:rPr>
        <w:t>▲</w:t>
      </w:r>
      <w:r>
        <w:rPr>
          <w:rFonts w:hint="eastAsia" w:ascii="宋体" w:hAnsi="宋体" w:cs="宋体"/>
          <w:color w:val="auto"/>
          <w:sz w:val="24"/>
        </w:rPr>
        <w:t>低功耗，红外照射距离达 100 米；</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⑦</w:t>
      </w:r>
      <w:r>
        <w:rPr>
          <w:rFonts w:hint="eastAsia" w:ascii="宋体" w:hAnsi="宋体" w:cs="宋体"/>
          <w:b/>
          <w:bCs/>
          <w:color w:val="auto"/>
          <w:sz w:val="24"/>
        </w:rPr>
        <w:t>▲</w:t>
      </w:r>
      <w:r>
        <w:rPr>
          <w:rFonts w:hint="eastAsia" w:ascii="宋体" w:hAnsi="宋体" w:cs="宋体"/>
          <w:color w:val="auto"/>
          <w:sz w:val="24"/>
        </w:rPr>
        <w:t>支持热处理及除雾系统；</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⑧精密电机驱动，精度偏差少于 0.1 度，在任何速度下图像无抖动；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⑨支持三维只能定位功能，配合 NVR/客户端软件/IE 可实现点击跟踪和放大；</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⑩支持系统双备份功能，确保数据断电不丢失；</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（2）硬盘录像机技术配置要求：</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①网络视频输入≥8 路；</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②支持 8 路及以上同步回放；</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③支持不小于 2 个 SATA 接口；</w:t>
      </w:r>
    </w:p>
    <w:p>
      <w:pPr>
        <w:tabs>
          <w:tab w:val="left" w:pos="851"/>
        </w:tabs>
        <w:spacing w:line="360" w:lineRule="auto"/>
        <w:ind w:left="480"/>
        <w:rPr>
          <w:rFonts w:hint="eastAsia" w:ascii="宋体" w:hAnsi="宋体" w:cs="宋体"/>
          <w:color w:val="auto"/>
          <w:sz w:val="24"/>
        </w:rPr>
      </w:pPr>
      <w:r>
        <w:rPr>
          <w:rFonts w:hint="eastAsia" w:ascii="宋体" w:hAnsi="宋体" w:cs="宋体"/>
          <w:color w:val="auto"/>
          <w:sz w:val="24"/>
        </w:rPr>
        <w:t>④本地保存 60 天及以上视频录像。</w:t>
      </w:r>
    </w:p>
    <w:p>
      <w:pPr>
        <w:pStyle w:val="4"/>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▲注：考虑使用的兼容性及维护的便利性，门禁系统、球机、硬盘录像机必须为同一品牌。</w:t>
      </w:r>
    </w:p>
    <w:p>
      <w:pPr>
        <w:pStyle w:val="3"/>
        <w:spacing w:line="360" w:lineRule="auto"/>
        <w:rPr>
          <w:rFonts w:hint="eastAsia" w:ascii="宋体" w:hAnsi="宋体" w:cs="宋体"/>
          <w:color w:val="auto"/>
          <w:sz w:val="24"/>
          <w:szCs w:val="24"/>
        </w:rPr>
      </w:pPr>
      <w:bookmarkStart w:id="15" w:name="_Toc5429"/>
    </w:p>
    <w:p>
      <w:pPr>
        <w:pStyle w:val="3"/>
        <w:spacing w:line="360" w:lineRule="auto"/>
        <w:rPr>
          <w:rFonts w:hint="eastAsia" w:ascii="宋体" w:hAnsi="宋体" w:cs="宋体"/>
          <w:color w:val="auto"/>
          <w:sz w:val="24"/>
          <w:szCs w:val="24"/>
        </w:rPr>
      </w:pPr>
      <w:r>
        <w:rPr>
          <w:rFonts w:hint="eastAsia" w:ascii="宋体" w:hAnsi="宋体" w:cs="宋体"/>
          <w:color w:val="auto"/>
          <w:sz w:val="24"/>
          <w:szCs w:val="24"/>
        </w:rPr>
        <w:t>（十九）系统一体化总集</w:t>
      </w:r>
      <w:bookmarkEnd w:id="15"/>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1、通过结构化的综合布线系统和计算机网络技术，将各个分离的设备、功能和信息等集成到相互关联的、统一和协调的系统之中，使资源达到充分共享， 实现集中、高效、便利的管理。系统集成应采用功能集成、综合布线、网络集成、软件界面集成等多种集成技术。系统集成解决系统之间的互连和互操作性问题， 它是一个多厂商、多协议和面向各种应用的体系结构。解决各类设备、子系统间的接口、协议、系统平台、应用软件等与子系统、建筑环境、施工配合、组织管理和人员配备相关的一切面向集成的问题。</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参照国家行业标准规范，中标人需提供水站的系统成套设计、工程施工和设备安装、分析仪表调试、控制系统及辅助设备的单机调试、水站各组成部分之间的系统联调、现场与中心站之间的通讯联调、试运行期间的技术支持和系统维护，实现整套系统高度一体化。</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3、系统集成功能要求</w:t>
      </w:r>
    </w:p>
    <w:p>
      <w:pPr>
        <w:spacing w:line="360" w:lineRule="auto"/>
        <w:rPr>
          <w:rFonts w:hint="eastAsia" w:ascii="宋体" w:hAnsi="宋体" w:cs="宋体"/>
          <w:color w:val="auto"/>
          <w:sz w:val="24"/>
        </w:rPr>
      </w:pPr>
      <w:r>
        <w:rPr>
          <w:rFonts w:hint="eastAsia" w:ascii="宋体" w:hAnsi="宋体" w:cs="宋体"/>
          <w:color w:val="auto"/>
          <w:sz w:val="24"/>
        </w:rPr>
        <w:t>（1）具有仪器及系统运行周期（连续或间歇）设置功能，至少具备常规、 应急 、质控等多种运行模式；</w:t>
      </w:r>
    </w:p>
    <w:p>
      <w:pPr>
        <w:spacing w:line="360" w:lineRule="auto"/>
        <w:rPr>
          <w:rFonts w:hint="eastAsia" w:ascii="宋体" w:hAnsi="宋体" w:cs="宋体"/>
          <w:color w:val="auto"/>
          <w:sz w:val="24"/>
        </w:rPr>
      </w:pPr>
      <w:r>
        <w:rPr>
          <w:rFonts w:hint="eastAsia" w:ascii="宋体" w:hAnsi="宋体" w:cs="宋体"/>
          <w:color w:val="auto"/>
          <w:sz w:val="24"/>
        </w:rPr>
        <w:t>（2）具有异常信息记录、上传功能，如采水故障、部件故障、超量程报警 、超标报警、缺试剂报警等信息；</w:t>
      </w:r>
    </w:p>
    <w:p>
      <w:pPr>
        <w:spacing w:line="360" w:lineRule="auto"/>
        <w:rPr>
          <w:rFonts w:hint="eastAsia" w:ascii="宋体" w:hAnsi="宋体" w:cs="宋体"/>
          <w:color w:val="auto"/>
          <w:sz w:val="24"/>
        </w:rPr>
      </w:pPr>
      <w:r>
        <w:rPr>
          <w:rFonts w:hint="eastAsia" w:ascii="宋体" w:hAnsi="宋体" w:cs="宋体"/>
          <w:color w:val="auto"/>
          <w:sz w:val="24"/>
        </w:rPr>
        <w:t>（3）具有仪器关键参数上传 、远程设置功能，能接受远程控制指令；</w:t>
      </w:r>
    </w:p>
    <w:p>
      <w:pPr>
        <w:spacing w:line="360" w:lineRule="auto"/>
        <w:rPr>
          <w:rFonts w:hint="eastAsia" w:ascii="宋体" w:hAnsi="宋体" w:cs="宋体"/>
          <w:color w:val="auto"/>
          <w:sz w:val="24"/>
        </w:rPr>
      </w:pPr>
      <w:r>
        <w:rPr>
          <w:rFonts w:hint="eastAsia" w:ascii="宋体" w:hAnsi="宋体" w:cs="宋体"/>
          <w:color w:val="auto"/>
          <w:sz w:val="24"/>
        </w:rPr>
        <w:t>（4）▲能够实现对高锰酸盐指数、氨氮、总磷和总氮水质自动分析仪器进行自动标样核查、自动加标回收率测试等质控功能，并具备自动留样功能 ；</w:t>
      </w:r>
    </w:p>
    <w:p>
      <w:pPr>
        <w:spacing w:line="360" w:lineRule="auto"/>
        <w:rPr>
          <w:rFonts w:hint="eastAsia" w:ascii="宋体" w:hAnsi="宋体" w:cs="宋体"/>
          <w:color w:val="auto"/>
          <w:sz w:val="24"/>
        </w:rPr>
      </w:pPr>
      <w:r>
        <w:rPr>
          <w:rFonts w:hint="eastAsia" w:ascii="宋体" w:hAnsi="宋体" w:cs="宋体"/>
          <w:color w:val="auto"/>
          <w:sz w:val="24"/>
        </w:rPr>
        <w:t>（5）确保仪器、系统运行的监测数据和状态信息等稳定传输；</w:t>
      </w:r>
    </w:p>
    <w:p>
      <w:pPr>
        <w:spacing w:line="360" w:lineRule="auto"/>
        <w:rPr>
          <w:rFonts w:hint="eastAsia" w:ascii="宋体" w:hAnsi="宋体" w:cs="宋体"/>
          <w:color w:val="auto"/>
          <w:sz w:val="24"/>
        </w:rPr>
      </w:pPr>
      <w:r>
        <w:rPr>
          <w:rFonts w:hint="eastAsia" w:ascii="宋体" w:hAnsi="宋体" w:cs="宋体"/>
          <w:color w:val="auto"/>
          <w:sz w:val="24"/>
        </w:rPr>
        <w:t>（6）具备断电再度通后自动排空水样和试剂、清洗管路、自动复位到待机状态的功能；</w:t>
      </w:r>
    </w:p>
    <w:p>
      <w:pPr>
        <w:spacing w:line="360" w:lineRule="auto"/>
        <w:rPr>
          <w:rFonts w:hint="eastAsia" w:ascii="宋体" w:hAnsi="宋体" w:cs="宋体"/>
          <w:color w:val="auto"/>
          <w:sz w:val="24"/>
        </w:rPr>
      </w:pPr>
      <w:r>
        <w:rPr>
          <w:rFonts w:hint="eastAsia" w:ascii="宋体" w:hAnsi="宋体" w:cs="宋体"/>
          <w:color w:val="auto"/>
          <w:sz w:val="24"/>
        </w:rPr>
        <w:t>（7）具有分析仪器及系统过程日志记录和环境参数记录功能，并能够上传至中心平台；</w:t>
      </w:r>
    </w:p>
    <w:p>
      <w:pPr>
        <w:spacing w:line="360" w:lineRule="auto"/>
        <w:rPr>
          <w:rFonts w:hint="eastAsia" w:ascii="宋体" w:hAnsi="宋体" w:cs="宋体"/>
          <w:color w:val="auto"/>
          <w:sz w:val="24"/>
        </w:rPr>
      </w:pPr>
      <w:r>
        <w:rPr>
          <w:rFonts w:hint="eastAsia" w:ascii="宋体" w:hAnsi="宋体" w:cs="宋体"/>
          <w:color w:val="auto"/>
          <w:sz w:val="24"/>
        </w:rPr>
        <w:t>（8）存储不少于 1 年的原始数据和运行日志；</w:t>
      </w:r>
    </w:p>
    <w:p>
      <w:pPr>
        <w:spacing w:line="360" w:lineRule="auto"/>
        <w:rPr>
          <w:rFonts w:hint="eastAsia" w:ascii="宋体" w:hAnsi="宋体" w:cs="宋体"/>
          <w:color w:val="auto"/>
          <w:sz w:val="24"/>
        </w:rPr>
      </w:pPr>
      <w:r>
        <w:rPr>
          <w:rFonts w:hint="eastAsia" w:ascii="宋体" w:hAnsi="宋体" w:cs="宋体"/>
          <w:color w:val="auto"/>
          <w:sz w:val="24"/>
        </w:rPr>
        <w:t>（9）水质自动分析仪（常规五参数除外）及控制单元须具有三级管理权限级；</w:t>
      </w:r>
    </w:p>
    <w:p>
      <w:pPr>
        <w:spacing w:line="360" w:lineRule="auto"/>
        <w:rPr>
          <w:rFonts w:hint="eastAsia" w:ascii="宋体" w:hAnsi="宋体"/>
          <w:b/>
          <w:color w:val="auto"/>
          <w:sz w:val="24"/>
        </w:rPr>
      </w:pPr>
      <w:r>
        <w:rPr>
          <w:rFonts w:hint="eastAsia" w:ascii="宋体" w:hAnsi="宋体" w:cs="宋体"/>
          <w:color w:val="auto"/>
          <w:sz w:val="24"/>
        </w:rPr>
        <w:t>（10）系统应具有良好的扩展性和兼容性，根据实际应用需要可增加新的监测参数，并方便仪器安装与接入。</w:t>
      </w:r>
    </w:p>
    <w:p>
      <w:pPr>
        <w:spacing w:line="360" w:lineRule="auto"/>
        <w:rPr>
          <w:rFonts w:hint="eastAsia" w:ascii="宋体" w:hAnsi="宋体"/>
          <w:b/>
          <w:color w:val="auto"/>
          <w:sz w:val="24"/>
        </w:rPr>
      </w:pPr>
      <w:r>
        <w:rPr>
          <w:rFonts w:hint="eastAsia" w:ascii="宋体" w:hAnsi="宋体"/>
          <w:b/>
          <w:color w:val="auto"/>
          <w:sz w:val="24"/>
        </w:rPr>
        <w:t>（二十）其他要求</w:t>
      </w:r>
    </w:p>
    <w:p>
      <w:pPr>
        <w:numPr>
          <w:ilvl w:val="0"/>
          <w:numId w:val="2"/>
        </w:numPr>
        <w:spacing w:line="360" w:lineRule="auto"/>
        <w:rPr>
          <w:rFonts w:hint="eastAsia" w:ascii="宋体" w:hAnsi="宋体" w:cs="宋体"/>
          <w:color w:val="auto"/>
          <w:sz w:val="24"/>
        </w:rPr>
      </w:pPr>
      <w:r>
        <w:rPr>
          <w:rFonts w:hint="eastAsia" w:ascii="宋体" w:hAnsi="宋体" w:cs="宋体"/>
          <w:color w:val="auto"/>
          <w:sz w:val="24"/>
        </w:rPr>
        <w:t>招标文件中带“▲”的条款为本次采购的较重要要求，分为功能性指标和技术指标。其中技术指标响应情况的判断，提供省级及以上计量部门或第三方检验检测机构出具的检定（校准、检测）报告为准。相关的证明资料可为复印件加盖投标人公章，但必须清晰且中标后提供原件备查。如提供虚假资料或虚假响应，将按政府采购相关规定报有关管理部门处理。</w:t>
      </w:r>
    </w:p>
    <w:p>
      <w:pPr>
        <w:spacing w:line="360" w:lineRule="auto"/>
        <w:rPr>
          <w:rFonts w:hint="eastAsia" w:ascii="宋体" w:hAnsi="宋体"/>
          <w:b/>
          <w:color w:val="auto"/>
          <w:sz w:val="24"/>
        </w:rPr>
      </w:pPr>
      <w:r>
        <w:rPr>
          <w:rFonts w:hint="eastAsia" w:ascii="宋体" w:hAnsi="宋体" w:cs="宋体"/>
          <w:color w:val="auto"/>
          <w:sz w:val="24"/>
        </w:rPr>
        <w:t>2.投标单位中标后提供与非本项目数据系统的对接调试服务，确保与其它系统的对接和数据共享。（提供承诺函）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B3A5"/>
    <w:multiLevelType w:val="singleLevel"/>
    <w:tmpl w:val="1392B3A5"/>
    <w:lvl w:ilvl="0" w:tentative="0">
      <w:start w:val="1"/>
      <w:numFmt w:val="decimal"/>
      <w:lvlText w:val="%1."/>
      <w:lvlJc w:val="left"/>
      <w:pPr>
        <w:tabs>
          <w:tab w:val="left" w:pos="312"/>
        </w:tabs>
      </w:pPr>
    </w:lvl>
  </w:abstractNum>
  <w:abstractNum w:abstractNumId="1">
    <w:nsid w:val="4CB9955B"/>
    <w:multiLevelType w:val="singleLevel"/>
    <w:tmpl w:val="4CB9955B"/>
    <w:lvl w:ilvl="0" w:tentative="0">
      <w:start w:val="1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768CE"/>
    <w:rsid w:val="30A7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iPriority w:val="0"/>
    <w:pPr>
      <w:spacing w:before="60" w:beforeLines="0"/>
      <w:ind w:firstLine="420" w:firstLineChars="200"/>
    </w:pPr>
  </w:style>
  <w:style w:type="paragraph" w:styleId="4">
    <w:name w:val="Body Text"/>
    <w:basedOn w:val="1"/>
    <w:qFormat/>
    <w:uiPriority w:val="0"/>
    <w:pPr>
      <w:spacing w:after="120" w:afterLines="0"/>
    </w:p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
    <w:name w:val="Table Paragraph"/>
    <w:basedOn w:val="1"/>
    <w:qFormat/>
    <w:uiPriority w:val="99"/>
    <w:rPr>
      <w:rFonts w:ascii="宋体" w:hAnsi="宋体" w:cs="宋体"/>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2020-10-16T09:30:00Z</dcterms:created>
  <dc:creator>Administrator</dc:creator>
  <cp:lastModifiedBy>Administrator</cp:lastModifiedBy>
  <dcterms:modified xsi:type="dcterms:W3CDTF">2020-10-16T09:31:14Z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