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56"/>
          <w:szCs w:val="56"/>
        </w:rPr>
      </w:pPr>
      <w:r>
        <w:rPr>
          <w:rFonts w:ascii="仿宋" w:hAnsi="仿宋" w:eastAsia="仿宋"/>
          <w:b/>
          <w:color w:val="auto"/>
          <w:sz w:val="56"/>
          <w:szCs w:val="56"/>
        </w:rPr>
        <w:drawing>
          <wp:inline distT="0" distB="0" distL="0" distR="0">
            <wp:extent cx="5334000" cy="819150"/>
            <wp:effectExtent l="0" t="0" r="0" b="0"/>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34000" cy="819150"/>
                    </a:xfrm>
                    <a:prstGeom prst="rect">
                      <a:avLst/>
                    </a:prstGeom>
                    <a:noFill/>
                    <a:ln>
                      <a:noFill/>
                    </a:ln>
                  </pic:spPr>
                </pic:pic>
              </a:graphicData>
            </a:graphic>
          </wp:inline>
        </w:drawing>
      </w:r>
    </w:p>
    <w:p>
      <w:pPr>
        <w:jc w:val="center"/>
        <w:rPr>
          <w:rFonts w:ascii="仿宋" w:hAnsi="仿宋" w:eastAsia="仿宋"/>
          <w:b/>
          <w:bCs/>
          <w:color w:val="auto"/>
          <w:sz w:val="84"/>
          <w:szCs w:val="84"/>
        </w:rPr>
      </w:pPr>
    </w:p>
    <w:p>
      <w:pPr>
        <w:jc w:val="center"/>
        <w:rPr>
          <w:rFonts w:ascii="仿宋" w:hAnsi="仿宋" w:eastAsia="仿宋"/>
          <w:b/>
          <w:bCs/>
          <w:color w:val="auto"/>
          <w:sz w:val="84"/>
          <w:szCs w:val="84"/>
        </w:rPr>
      </w:pPr>
    </w:p>
    <w:p>
      <w:pPr>
        <w:jc w:val="center"/>
        <w:rPr>
          <w:rFonts w:ascii="仿宋" w:hAnsi="仿宋" w:eastAsia="仿宋"/>
          <w:b/>
          <w:bCs/>
          <w:color w:val="auto"/>
          <w:sz w:val="84"/>
          <w:szCs w:val="84"/>
        </w:rPr>
      </w:pPr>
      <w:r>
        <w:rPr>
          <w:rFonts w:hint="eastAsia" w:ascii="仿宋" w:hAnsi="仿宋" w:eastAsia="仿宋"/>
          <w:b/>
          <w:bCs/>
          <w:color w:val="auto"/>
          <w:sz w:val="84"/>
          <w:szCs w:val="84"/>
        </w:rPr>
        <w:t>竞争性谈判文件</w:t>
      </w:r>
    </w:p>
    <w:p>
      <w:pPr>
        <w:rPr>
          <w:rFonts w:ascii="仿宋" w:hAnsi="仿宋" w:eastAsia="仿宋"/>
          <w:color w:val="auto"/>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r>
        <w:rPr>
          <w:rFonts w:hint="eastAsia" w:ascii="仿宋" w:hAnsi="仿宋" w:eastAsia="仿宋"/>
          <w:b/>
          <w:color w:val="auto"/>
          <w:sz w:val="32"/>
          <w:szCs w:val="32"/>
        </w:rPr>
        <w:t>采 购 人：中共白沙黎族自治县委宣传部</w:t>
      </w:r>
    </w:p>
    <w:p>
      <w:pPr>
        <w:spacing w:line="360" w:lineRule="auto"/>
        <w:ind w:left="2428" w:leftChars="399" w:hanging="1590" w:hangingChars="495"/>
        <w:rPr>
          <w:rFonts w:ascii="仿宋" w:hAnsi="仿宋" w:eastAsia="仿宋"/>
          <w:b/>
          <w:color w:val="auto"/>
          <w:sz w:val="32"/>
          <w:szCs w:val="32"/>
        </w:rPr>
      </w:pPr>
      <w:r>
        <w:rPr>
          <w:rFonts w:hint="eastAsia" w:ascii="仿宋" w:hAnsi="仿宋" w:eastAsia="仿宋"/>
          <w:b/>
          <w:color w:val="auto"/>
          <w:sz w:val="32"/>
          <w:szCs w:val="32"/>
        </w:rPr>
        <w:t>项目名称：社会主义核心价值观公益宣传</w:t>
      </w:r>
    </w:p>
    <w:p>
      <w:pPr>
        <w:spacing w:line="360" w:lineRule="auto"/>
        <w:ind w:left="210" w:leftChars="100" w:firstLine="630" w:firstLineChars="196"/>
        <w:rPr>
          <w:rFonts w:ascii="仿宋" w:hAnsi="仿宋" w:eastAsia="仿宋"/>
          <w:b/>
          <w:color w:val="auto"/>
          <w:sz w:val="32"/>
          <w:szCs w:val="32"/>
        </w:rPr>
      </w:pPr>
      <w:r>
        <w:rPr>
          <w:rFonts w:hint="eastAsia" w:ascii="仿宋" w:hAnsi="仿宋" w:eastAsia="仿宋"/>
          <w:b/>
          <w:color w:val="auto"/>
          <w:sz w:val="32"/>
          <w:szCs w:val="32"/>
        </w:rPr>
        <w:t>项目编号：HNZH-2020-300</w:t>
      </w:r>
    </w:p>
    <w:p>
      <w:pPr>
        <w:spacing w:line="360" w:lineRule="auto"/>
        <w:ind w:left="210" w:leftChars="100" w:firstLine="630" w:firstLineChars="196"/>
        <w:rPr>
          <w:rFonts w:ascii="仿宋" w:hAnsi="仿宋" w:eastAsia="仿宋"/>
          <w:b/>
          <w:color w:val="auto"/>
          <w:sz w:val="32"/>
          <w:szCs w:val="32"/>
        </w:rPr>
      </w:pPr>
      <w:r>
        <w:rPr>
          <w:rFonts w:hint="eastAsia" w:ascii="仿宋" w:hAnsi="仿宋" w:eastAsia="仿宋"/>
          <w:b/>
          <w:color w:val="auto"/>
          <w:sz w:val="32"/>
          <w:szCs w:val="32"/>
        </w:rPr>
        <w:t>代理机构：海南政辉招投标代理有限公司</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ascii="仿宋" w:hAnsi="仿宋" w:eastAsia="仿宋"/>
          <w:b/>
          <w:color w:val="auto"/>
          <w:sz w:val="32"/>
          <w:szCs w:val="32"/>
        </w:rPr>
        <w:t>2020</w:t>
      </w:r>
      <w:r>
        <w:rPr>
          <w:rFonts w:hint="eastAsia" w:ascii="仿宋" w:hAnsi="仿宋" w:eastAsia="仿宋"/>
          <w:b/>
          <w:color w:val="auto"/>
          <w:sz w:val="32"/>
          <w:szCs w:val="32"/>
        </w:rPr>
        <w:t>年</w:t>
      </w:r>
      <w:r>
        <w:rPr>
          <w:rFonts w:ascii="仿宋" w:hAnsi="仿宋" w:eastAsia="仿宋"/>
          <w:b/>
          <w:color w:val="auto"/>
          <w:sz w:val="32"/>
          <w:szCs w:val="32"/>
        </w:rPr>
        <w:t>0</w:t>
      </w:r>
      <w:r>
        <w:rPr>
          <w:rFonts w:hint="eastAsia" w:ascii="仿宋" w:hAnsi="仿宋" w:eastAsia="仿宋"/>
          <w:b/>
          <w:color w:val="auto"/>
          <w:sz w:val="32"/>
          <w:szCs w:val="32"/>
        </w:rPr>
        <w:t>9月</w:t>
      </w:r>
    </w:p>
    <w:p>
      <w:pPr>
        <w:jc w:val="center"/>
        <w:rPr>
          <w:rFonts w:ascii="仿宋" w:hAnsi="仿宋" w:eastAsia="仿宋"/>
          <w:b/>
          <w:color w:val="auto"/>
          <w:sz w:val="28"/>
          <w:szCs w:val="28"/>
        </w:rPr>
      </w:pPr>
      <w:r>
        <w:rPr>
          <w:rFonts w:hint="eastAsia" w:ascii="仿宋" w:hAnsi="仿宋" w:eastAsia="仿宋"/>
          <w:b/>
          <w:color w:val="auto"/>
          <w:sz w:val="28"/>
          <w:szCs w:val="28"/>
        </w:rPr>
        <w:t>海南政辉招投标代理有限公司编制</w:t>
      </w:r>
    </w:p>
    <w:p>
      <w:pPr>
        <w:jc w:val="center"/>
        <w:rPr>
          <w:rFonts w:ascii="仿宋" w:hAnsi="仿宋" w:eastAsia="仿宋"/>
          <w:color w:val="auto"/>
          <w:sz w:val="36"/>
          <w:szCs w:val="36"/>
        </w:rPr>
      </w:pPr>
    </w:p>
    <w:p>
      <w:pPr>
        <w:jc w:val="center"/>
        <w:rPr>
          <w:rFonts w:ascii="仿宋" w:hAnsi="仿宋" w:eastAsia="仿宋"/>
          <w:color w:val="auto"/>
          <w:sz w:val="36"/>
          <w:szCs w:val="36"/>
        </w:rPr>
      </w:pPr>
      <w:r>
        <w:rPr>
          <w:rFonts w:hint="eastAsia" w:ascii="仿宋" w:hAnsi="仿宋" w:eastAsia="仿宋"/>
          <w:color w:val="auto"/>
          <w:sz w:val="36"/>
          <w:szCs w:val="36"/>
        </w:rPr>
        <w:t>目   录</w:t>
      </w:r>
    </w:p>
    <w:p>
      <w:pPr>
        <w:pStyle w:val="16"/>
        <w:rPr>
          <w:rStyle w:val="32"/>
          <w:rFonts w:ascii="仿宋" w:hAnsi="仿宋" w:eastAsia="仿宋" w:cs="黑体"/>
          <w:b w:val="0"/>
          <w:bCs w:val="0"/>
          <w:color w:val="auto"/>
          <w:sz w:val="32"/>
          <w:szCs w:val="32"/>
        </w:rPr>
      </w:pPr>
      <w:r>
        <w:rPr>
          <w:rFonts w:hint="eastAsia" w:ascii="仿宋" w:hAnsi="仿宋" w:eastAsia="仿宋"/>
          <w:color w:val="auto"/>
        </w:rPr>
        <w:fldChar w:fldCharType="begin"/>
      </w:r>
      <w:r>
        <w:rPr>
          <w:rFonts w:hint="eastAsia" w:ascii="仿宋" w:hAnsi="仿宋" w:eastAsia="仿宋"/>
          <w:color w:val="auto"/>
        </w:rPr>
        <w:instrText xml:space="preserve"> TOC \o "1-3" \h \z \u </w:instrText>
      </w:r>
      <w:r>
        <w:rPr>
          <w:rFonts w:hint="eastAsia" w:ascii="仿宋" w:hAnsi="仿宋" w:eastAsia="仿宋"/>
          <w:color w:val="auto"/>
        </w:rPr>
        <w:fldChar w:fldCharType="separate"/>
      </w:r>
      <w:r>
        <w:rPr>
          <w:color w:val="auto"/>
        </w:rPr>
        <w:fldChar w:fldCharType="begin"/>
      </w:r>
      <w:r>
        <w:rPr>
          <w:color w:val="auto"/>
        </w:rPr>
        <w:instrText xml:space="preserve"> HYPERLINK \l "_Toc1660483" </w:instrText>
      </w:r>
      <w:r>
        <w:rPr>
          <w:color w:val="auto"/>
        </w:rPr>
        <w:fldChar w:fldCharType="separate"/>
      </w:r>
      <w:r>
        <w:rPr>
          <w:rStyle w:val="32"/>
          <w:rFonts w:hint="eastAsia" w:ascii="仿宋" w:hAnsi="仿宋" w:eastAsia="仿宋" w:cs="黑体"/>
          <w:b w:val="0"/>
          <w:bCs w:val="0"/>
          <w:color w:val="auto"/>
          <w:sz w:val="32"/>
          <w:szCs w:val="32"/>
        </w:rPr>
        <w:t>第一章、谈 判 邀 请 函</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fldChar w:fldCharType="begin"/>
      </w:r>
      <w:r>
        <w:rPr>
          <w:rStyle w:val="32"/>
          <w:rFonts w:hint="eastAsia" w:ascii="仿宋" w:hAnsi="仿宋" w:eastAsia="仿宋" w:cs="黑体"/>
          <w:b w:val="0"/>
          <w:bCs w:val="0"/>
          <w:color w:val="auto"/>
          <w:sz w:val="32"/>
          <w:szCs w:val="32"/>
        </w:rPr>
        <w:instrText xml:space="preserve"> PAGEREF _Toc1660483 \h </w:instrText>
      </w:r>
      <w:r>
        <w:rPr>
          <w:rStyle w:val="32"/>
          <w:rFonts w:hint="eastAsia" w:ascii="仿宋" w:hAnsi="仿宋" w:eastAsia="仿宋" w:cs="黑体"/>
          <w:b w:val="0"/>
          <w:bCs w:val="0"/>
          <w:color w:val="auto"/>
          <w:sz w:val="32"/>
          <w:szCs w:val="32"/>
        </w:rPr>
        <w:fldChar w:fldCharType="separate"/>
      </w:r>
      <w:r>
        <w:rPr>
          <w:rStyle w:val="32"/>
          <w:rFonts w:hint="eastAsia" w:ascii="仿宋" w:hAnsi="仿宋" w:eastAsia="仿宋" w:cs="黑体"/>
          <w:b w:val="0"/>
          <w:bCs w:val="0"/>
          <w:color w:val="auto"/>
          <w:sz w:val="32"/>
          <w:szCs w:val="32"/>
        </w:rPr>
        <w:t>3</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fldChar w:fldCharType="end"/>
      </w:r>
    </w:p>
    <w:p>
      <w:pPr>
        <w:pStyle w:val="17"/>
        <w:ind w:left="0" w:leftChars="0"/>
        <w:jc w:val="both"/>
        <w:rPr>
          <w:rStyle w:val="32"/>
          <w:rFonts w:ascii="仿宋" w:hAnsi="仿宋" w:eastAsia="仿宋" w:cs="黑体"/>
          <w:color w:val="auto"/>
        </w:rPr>
      </w:pPr>
      <w:r>
        <w:rPr>
          <w:color w:val="auto"/>
        </w:rPr>
        <w:fldChar w:fldCharType="begin"/>
      </w:r>
      <w:r>
        <w:rPr>
          <w:color w:val="auto"/>
        </w:rPr>
        <w:instrText xml:space="preserve"> HYPERLINK \l "_Toc1660484" </w:instrText>
      </w:r>
      <w:r>
        <w:rPr>
          <w:color w:val="auto"/>
        </w:rPr>
        <w:fldChar w:fldCharType="separate"/>
      </w:r>
      <w:r>
        <w:rPr>
          <w:rStyle w:val="32"/>
          <w:rFonts w:hint="eastAsia" w:ascii="仿宋" w:hAnsi="仿宋" w:eastAsia="仿宋" w:cs="黑体"/>
          <w:color w:val="auto"/>
        </w:rPr>
        <w:t>第二章、谈判须知</w:t>
      </w:r>
      <w:r>
        <w:rPr>
          <w:rStyle w:val="32"/>
          <w:rFonts w:hint="eastAsia" w:ascii="仿宋" w:hAnsi="仿宋" w:eastAsia="仿宋" w:cs="黑体"/>
          <w:color w:val="auto"/>
        </w:rPr>
        <w:tab/>
      </w:r>
      <w:r>
        <w:rPr>
          <w:rStyle w:val="32"/>
          <w:rFonts w:hint="eastAsia" w:ascii="仿宋" w:hAnsi="仿宋" w:eastAsia="仿宋" w:cs="黑体"/>
          <w:color w:val="auto"/>
        </w:rPr>
        <w:fldChar w:fldCharType="begin"/>
      </w:r>
      <w:r>
        <w:rPr>
          <w:rStyle w:val="32"/>
          <w:rFonts w:hint="eastAsia" w:ascii="仿宋" w:hAnsi="仿宋" w:eastAsia="仿宋" w:cs="黑体"/>
          <w:color w:val="auto"/>
        </w:rPr>
        <w:instrText xml:space="preserve"> PAGEREF _Toc1660484 \h </w:instrText>
      </w:r>
      <w:r>
        <w:rPr>
          <w:rStyle w:val="32"/>
          <w:rFonts w:hint="eastAsia" w:ascii="仿宋" w:hAnsi="仿宋" w:eastAsia="仿宋" w:cs="黑体"/>
          <w:color w:val="auto"/>
        </w:rPr>
        <w:fldChar w:fldCharType="separate"/>
      </w:r>
      <w:r>
        <w:rPr>
          <w:rStyle w:val="32"/>
          <w:rFonts w:hint="eastAsia" w:ascii="仿宋" w:hAnsi="仿宋" w:eastAsia="仿宋" w:cs="黑体"/>
          <w:color w:val="auto"/>
        </w:rPr>
        <w:t>5</w:t>
      </w:r>
      <w:r>
        <w:rPr>
          <w:rStyle w:val="32"/>
          <w:rFonts w:hint="eastAsia" w:ascii="仿宋" w:hAnsi="仿宋" w:eastAsia="仿宋" w:cs="黑体"/>
          <w:color w:val="auto"/>
        </w:rPr>
        <w:fldChar w:fldCharType="end"/>
      </w:r>
      <w:r>
        <w:rPr>
          <w:rStyle w:val="32"/>
          <w:rFonts w:hint="eastAsia" w:ascii="仿宋" w:hAnsi="仿宋" w:eastAsia="仿宋" w:cs="黑体"/>
          <w:color w:val="auto"/>
        </w:rPr>
        <w:fldChar w:fldCharType="end"/>
      </w:r>
    </w:p>
    <w:p>
      <w:pPr>
        <w:pStyle w:val="16"/>
        <w:rPr>
          <w:rStyle w:val="32"/>
          <w:rFonts w:ascii="仿宋" w:hAnsi="仿宋" w:eastAsia="仿宋" w:cs="黑体"/>
          <w:b w:val="0"/>
          <w:color w:val="auto"/>
          <w:sz w:val="32"/>
          <w:szCs w:val="32"/>
        </w:rPr>
      </w:pPr>
      <w:r>
        <w:rPr>
          <w:color w:val="auto"/>
        </w:rPr>
        <w:fldChar w:fldCharType="begin"/>
      </w:r>
      <w:r>
        <w:rPr>
          <w:color w:val="auto"/>
        </w:rPr>
        <w:instrText xml:space="preserve"> HYPERLINK \l "_Toc1660547" </w:instrText>
      </w:r>
      <w:r>
        <w:rPr>
          <w:color w:val="auto"/>
        </w:rPr>
        <w:fldChar w:fldCharType="separate"/>
      </w:r>
      <w:r>
        <w:rPr>
          <w:rStyle w:val="32"/>
          <w:rFonts w:hint="eastAsia" w:ascii="仿宋" w:hAnsi="仿宋" w:eastAsia="仿宋" w:cs="黑体"/>
          <w:b w:val="0"/>
          <w:bCs w:val="0"/>
          <w:color w:val="auto"/>
          <w:sz w:val="32"/>
          <w:szCs w:val="32"/>
        </w:rPr>
        <w:t>第三章、用户需求书</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fldChar w:fldCharType="begin"/>
      </w:r>
      <w:r>
        <w:rPr>
          <w:rStyle w:val="32"/>
          <w:rFonts w:hint="eastAsia" w:ascii="仿宋" w:hAnsi="仿宋" w:eastAsia="仿宋" w:cs="黑体"/>
          <w:b w:val="0"/>
          <w:bCs w:val="0"/>
          <w:color w:val="auto"/>
          <w:sz w:val="32"/>
          <w:szCs w:val="32"/>
        </w:rPr>
        <w:instrText xml:space="preserve"> PAGEREF _Toc1660547 \h </w:instrText>
      </w:r>
      <w:r>
        <w:rPr>
          <w:rStyle w:val="32"/>
          <w:rFonts w:hint="eastAsia" w:ascii="仿宋" w:hAnsi="仿宋" w:eastAsia="仿宋" w:cs="黑体"/>
          <w:b w:val="0"/>
          <w:bCs w:val="0"/>
          <w:color w:val="auto"/>
          <w:sz w:val="32"/>
          <w:szCs w:val="32"/>
        </w:rPr>
        <w:fldChar w:fldCharType="separate"/>
      </w:r>
      <w:r>
        <w:rPr>
          <w:rStyle w:val="32"/>
          <w:rFonts w:hint="eastAsia" w:ascii="仿宋" w:hAnsi="仿宋" w:eastAsia="仿宋" w:cs="黑体"/>
          <w:b w:val="0"/>
          <w:bCs w:val="0"/>
          <w:color w:val="auto"/>
          <w:sz w:val="32"/>
          <w:szCs w:val="32"/>
        </w:rPr>
        <w:t>29</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fldChar w:fldCharType="end"/>
      </w:r>
    </w:p>
    <w:p>
      <w:pPr>
        <w:pStyle w:val="16"/>
        <w:rPr>
          <w:rStyle w:val="32"/>
          <w:rFonts w:ascii="仿宋" w:hAnsi="仿宋" w:eastAsia="仿宋" w:cs="黑体"/>
          <w:b w:val="0"/>
          <w:color w:val="auto"/>
          <w:sz w:val="32"/>
          <w:szCs w:val="32"/>
        </w:rPr>
      </w:pPr>
      <w:r>
        <w:rPr>
          <w:color w:val="auto"/>
        </w:rPr>
        <w:fldChar w:fldCharType="begin"/>
      </w:r>
      <w:r>
        <w:rPr>
          <w:color w:val="auto"/>
        </w:rPr>
        <w:instrText xml:space="preserve"> HYPERLINK \l "_Toc1660548" </w:instrText>
      </w:r>
      <w:r>
        <w:rPr>
          <w:color w:val="auto"/>
        </w:rPr>
        <w:fldChar w:fldCharType="separate"/>
      </w:r>
      <w:r>
        <w:rPr>
          <w:rStyle w:val="32"/>
          <w:rFonts w:hint="eastAsia" w:ascii="仿宋" w:hAnsi="仿宋" w:eastAsia="仿宋" w:cs="黑体"/>
          <w:b w:val="0"/>
          <w:bCs w:val="0"/>
          <w:color w:val="auto"/>
          <w:sz w:val="32"/>
          <w:szCs w:val="32"/>
        </w:rPr>
        <w:t>第四章、合同文本（参考文本）</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fldChar w:fldCharType="begin"/>
      </w:r>
      <w:r>
        <w:rPr>
          <w:rStyle w:val="32"/>
          <w:rFonts w:hint="eastAsia" w:ascii="仿宋" w:hAnsi="仿宋" w:eastAsia="仿宋" w:cs="黑体"/>
          <w:b w:val="0"/>
          <w:bCs w:val="0"/>
          <w:color w:val="auto"/>
          <w:sz w:val="32"/>
          <w:szCs w:val="32"/>
        </w:rPr>
        <w:instrText xml:space="preserve"> PAGEREF _Toc1660548 \h </w:instrText>
      </w:r>
      <w:r>
        <w:rPr>
          <w:rStyle w:val="32"/>
          <w:rFonts w:hint="eastAsia" w:ascii="仿宋" w:hAnsi="仿宋" w:eastAsia="仿宋" w:cs="黑体"/>
          <w:b w:val="0"/>
          <w:bCs w:val="0"/>
          <w:color w:val="auto"/>
          <w:sz w:val="32"/>
          <w:szCs w:val="32"/>
        </w:rPr>
        <w:fldChar w:fldCharType="separate"/>
      </w:r>
      <w:r>
        <w:rPr>
          <w:rStyle w:val="32"/>
          <w:rFonts w:hint="eastAsia" w:ascii="仿宋" w:hAnsi="仿宋" w:eastAsia="仿宋" w:cs="黑体"/>
          <w:b w:val="0"/>
          <w:bCs w:val="0"/>
          <w:color w:val="auto"/>
          <w:sz w:val="32"/>
          <w:szCs w:val="32"/>
        </w:rPr>
        <w:t>29</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fldChar w:fldCharType="end"/>
      </w:r>
    </w:p>
    <w:p>
      <w:pPr>
        <w:pStyle w:val="16"/>
        <w:rPr>
          <w:rStyle w:val="32"/>
          <w:rFonts w:ascii="仿宋" w:hAnsi="仿宋" w:eastAsia="仿宋" w:cs="黑体"/>
          <w:b w:val="0"/>
          <w:color w:val="auto"/>
          <w:sz w:val="32"/>
          <w:szCs w:val="32"/>
        </w:rPr>
      </w:pPr>
      <w:r>
        <w:rPr>
          <w:color w:val="auto"/>
        </w:rPr>
        <w:fldChar w:fldCharType="begin"/>
      </w:r>
      <w:r>
        <w:rPr>
          <w:color w:val="auto"/>
        </w:rPr>
        <w:instrText xml:space="preserve"> HYPERLINK \l "_Toc1660549" </w:instrText>
      </w:r>
      <w:r>
        <w:rPr>
          <w:color w:val="auto"/>
        </w:rPr>
        <w:fldChar w:fldCharType="separate"/>
      </w:r>
      <w:r>
        <w:rPr>
          <w:rStyle w:val="32"/>
          <w:rFonts w:hint="eastAsia" w:ascii="仿宋" w:hAnsi="仿宋" w:eastAsia="仿宋" w:cs="黑体"/>
          <w:b w:val="0"/>
          <w:bCs w:val="0"/>
          <w:color w:val="auto"/>
          <w:sz w:val="32"/>
          <w:szCs w:val="32"/>
        </w:rPr>
        <w:t>第五章、报价内容和格式</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t>5</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t>4</w:t>
      </w:r>
    </w:p>
    <w:p>
      <w:pPr>
        <w:pStyle w:val="16"/>
        <w:rPr>
          <w:rStyle w:val="32"/>
          <w:rFonts w:ascii="仿宋" w:hAnsi="仿宋" w:eastAsia="仿宋" w:cs="黑体"/>
          <w:b w:val="0"/>
          <w:color w:val="auto"/>
          <w:sz w:val="32"/>
          <w:szCs w:val="32"/>
        </w:rPr>
      </w:pPr>
      <w:r>
        <w:rPr>
          <w:color w:val="auto"/>
        </w:rPr>
        <w:fldChar w:fldCharType="begin"/>
      </w:r>
      <w:r>
        <w:rPr>
          <w:color w:val="auto"/>
        </w:rPr>
        <w:instrText xml:space="preserve"> HYPERLINK \l "_Toc1660556" </w:instrText>
      </w:r>
      <w:r>
        <w:rPr>
          <w:color w:val="auto"/>
        </w:rPr>
        <w:fldChar w:fldCharType="separate"/>
      </w:r>
      <w:r>
        <w:rPr>
          <w:rStyle w:val="32"/>
          <w:rFonts w:hint="eastAsia" w:ascii="仿宋" w:hAnsi="仿宋" w:eastAsia="仿宋" w:cs="黑体"/>
          <w:b w:val="0"/>
          <w:bCs w:val="0"/>
          <w:color w:val="auto"/>
          <w:sz w:val="32"/>
          <w:szCs w:val="32"/>
        </w:rPr>
        <w:t>第六章、评审办法</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fldChar w:fldCharType="begin"/>
      </w:r>
      <w:r>
        <w:rPr>
          <w:rStyle w:val="32"/>
          <w:rFonts w:hint="eastAsia" w:ascii="仿宋" w:hAnsi="仿宋" w:eastAsia="仿宋" w:cs="黑体"/>
          <w:b w:val="0"/>
          <w:bCs w:val="0"/>
          <w:color w:val="auto"/>
          <w:sz w:val="32"/>
          <w:szCs w:val="32"/>
        </w:rPr>
        <w:instrText xml:space="preserve"> PAGEREF _Toc1660556 \h </w:instrText>
      </w:r>
      <w:r>
        <w:rPr>
          <w:rStyle w:val="32"/>
          <w:rFonts w:hint="eastAsia" w:ascii="仿宋" w:hAnsi="仿宋" w:eastAsia="仿宋" w:cs="黑体"/>
          <w:b w:val="0"/>
          <w:bCs w:val="0"/>
          <w:color w:val="auto"/>
          <w:sz w:val="32"/>
          <w:szCs w:val="32"/>
        </w:rPr>
        <w:fldChar w:fldCharType="separate"/>
      </w:r>
      <w:r>
        <w:rPr>
          <w:rStyle w:val="32"/>
          <w:rFonts w:hint="eastAsia" w:ascii="仿宋" w:hAnsi="仿宋" w:eastAsia="仿宋" w:cs="黑体"/>
          <w:b w:val="0"/>
          <w:bCs w:val="0"/>
          <w:color w:val="auto"/>
          <w:sz w:val="32"/>
          <w:szCs w:val="32"/>
        </w:rPr>
        <w:t>48</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fldChar w:fldCharType="end"/>
      </w:r>
    </w:p>
    <w:p>
      <w:pPr>
        <w:pStyle w:val="17"/>
        <w:rPr>
          <w:rFonts w:ascii="仿宋" w:hAnsi="仿宋" w:eastAsia="仿宋"/>
          <w:color w:val="auto"/>
          <w:sz w:val="21"/>
          <w:szCs w:val="22"/>
        </w:rPr>
      </w:pPr>
      <w:r>
        <w:rPr>
          <w:color w:val="auto"/>
        </w:rPr>
        <w:fldChar w:fldCharType="begin"/>
      </w:r>
      <w:r>
        <w:rPr>
          <w:color w:val="auto"/>
        </w:rPr>
        <w:instrText xml:space="preserve"> HYPERLINK \l "_Toc1660557" </w:instrText>
      </w:r>
      <w:r>
        <w:rPr>
          <w:color w:val="auto"/>
        </w:rPr>
        <w:fldChar w:fldCharType="separate"/>
      </w:r>
      <w:r>
        <w:rPr>
          <w:rStyle w:val="32"/>
          <w:rFonts w:hint="eastAsia" w:ascii="仿宋" w:hAnsi="仿宋" w:eastAsia="仿宋" w:cs="黑体"/>
          <w:color w:val="auto"/>
        </w:rPr>
        <w:t>附表1、初步审查表</w:t>
      </w:r>
      <w:r>
        <w:rPr>
          <w:rStyle w:val="32"/>
          <w:rFonts w:hint="eastAsia" w:ascii="仿宋" w:hAnsi="仿宋" w:eastAsia="仿宋" w:cs="黑体"/>
          <w:color w:val="auto"/>
        </w:rPr>
        <w:tab/>
      </w:r>
      <w:r>
        <w:rPr>
          <w:rStyle w:val="32"/>
          <w:rFonts w:hint="eastAsia" w:ascii="仿宋" w:hAnsi="仿宋" w:eastAsia="仿宋" w:cs="黑体"/>
          <w:color w:val="auto"/>
        </w:rPr>
        <w:fldChar w:fldCharType="begin"/>
      </w:r>
      <w:r>
        <w:rPr>
          <w:rStyle w:val="32"/>
          <w:rFonts w:hint="eastAsia" w:ascii="仿宋" w:hAnsi="仿宋" w:eastAsia="仿宋" w:cs="黑体"/>
          <w:color w:val="auto"/>
        </w:rPr>
        <w:instrText xml:space="preserve"> PAGEREF _Toc1660557 \h </w:instrText>
      </w:r>
      <w:r>
        <w:rPr>
          <w:rStyle w:val="32"/>
          <w:rFonts w:hint="eastAsia" w:ascii="仿宋" w:hAnsi="仿宋" w:eastAsia="仿宋" w:cs="黑体"/>
          <w:color w:val="auto"/>
        </w:rPr>
        <w:fldChar w:fldCharType="separate"/>
      </w:r>
      <w:r>
        <w:rPr>
          <w:rStyle w:val="32"/>
          <w:rFonts w:hint="eastAsia" w:ascii="仿宋" w:hAnsi="仿宋" w:eastAsia="仿宋" w:cs="黑体"/>
          <w:color w:val="auto"/>
        </w:rPr>
        <w:t>51</w:t>
      </w:r>
      <w:r>
        <w:rPr>
          <w:rStyle w:val="32"/>
          <w:rFonts w:hint="eastAsia" w:ascii="仿宋" w:hAnsi="仿宋" w:eastAsia="仿宋" w:cs="黑体"/>
          <w:color w:val="auto"/>
        </w:rPr>
        <w:fldChar w:fldCharType="end"/>
      </w:r>
      <w:r>
        <w:rPr>
          <w:rStyle w:val="32"/>
          <w:rFonts w:hint="eastAsia" w:ascii="仿宋" w:hAnsi="仿宋" w:eastAsia="仿宋" w:cs="黑体"/>
          <w:color w:val="auto"/>
        </w:rPr>
        <w:fldChar w:fldCharType="end"/>
      </w:r>
    </w:p>
    <w:p>
      <w:pPr>
        <w:rPr>
          <w:rFonts w:ascii="仿宋" w:hAnsi="仿宋" w:eastAsia="仿宋"/>
          <w:color w:val="auto"/>
        </w:rPr>
      </w:pPr>
      <w:r>
        <w:rPr>
          <w:rFonts w:hint="eastAsia" w:ascii="仿宋" w:hAnsi="仿宋" w:eastAsia="仿宋"/>
          <w:color w:val="auto"/>
        </w:rPr>
        <w:fldChar w:fldCharType="end"/>
      </w:r>
    </w:p>
    <w:p>
      <w:pPr>
        <w:pStyle w:val="4"/>
        <w:jc w:val="center"/>
        <w:rPr>
          <w:rFonts w:ascii="仿宋" w:hAnsi="仿宋" w:eastAsia="仿宋" w:cs="黑体"/>
          <w:color w:val="auto"/>
        </w:rPr>
      </w:pPr>
      <w:r>
        <w:rPr>
          <w:rFonts w:hint="eastAsia" w:ascii="仿宋" w:hAnsi="仿宋" w:eastAsia="仿宋"/>
          <w:color w:val="auto"/>
        </w:rPr>
        <w:br w:type="page"/>
      </w:r>
      <w:bookmarkStart w:id="0" w:name="_Toc1660483"/>
      <w:bookmarkStart w:id="1" w:name="_Toc481157511"/>
      <w:r>
        <w:rPr>
          <w:rFonts w:hint="eastAsia" w:ascii="仿宋" w:hAnsi="仿宋" w:eastAsia="仿宋" w:cs="黑体"/>
          <w:color w:val="auto"/>
        </w:rPr>
        <w:t>第一章、谈 判 邀 请 函</w:t>
      </w:r>
      <w:bookmarkEnd w:id="0"/>
      <w:bookmarkEnd w:id="1"/>
    </w:p>
    <w:p>
      <w:pPr>
        <w:pStyle w:val="9"/>
        <w:ind w:left="0" w:firstLine="540" w:firstLineChars="225"/>
        <w:rPr>
          <w:rFonts w:ascii="仿宋" w:hAnsi="仿宋" w:eastAsia="仿宋"/>
          <w:color w:val="auto"/>
          <w:kern w:val="28"/>
        </w:rPr>
      </w:pPr>
      <w:r>
        <w:rPr>
          <w:rFonts w:hint="eastAsia" w:ascii="仿宋" w:hAnsi="仿宋" w:eastAsia="仿宋"/>
          <w:color w:val="auto"/>
        </w:rPr>
        <w:t>受中共白沙黎族自治县委宣传部（“采购人”）的委托，海南政辉招投标代理有限公司（“招标人”或“招标代理机构”）就</w:t>
      </w:r>
      <w:r>
        <w:rPr>
          <w:rFonts w:hint="eastAsia" w:ascii="仿宋" w:hAnsi="仿宋" w:eastAsia="仿宋"/>
          <w:color w:val="auto"/>
          <w:kern w:val="28"/>
        </w:rPr>
        <w:t>社会主义核心价值观公益宣传</w:t>
      </w:r>
      <w:r>
        <w:rPr>
          <w:rFonts w:hint="eastAsia" w:ascii="仿宋" w:hAnsi="仿宋" w:eastAsia="仿宋"/>
          <w:color w:val="auto"/>
        </w:rPr>
        <w:t xml:space="preserve">（项目编号：HNZH-2020-300）组织竞争性谈判，欢迎合格的国内报价人提交密封报价。有关事项如下： </w:t>
      </w:r>
    </w:p>
    <w:p>
      <w:pPr>
        <w:spacing w:line="360" w:lineRule="auto"/>
        <w:rPr>
          <w:rFonts w:ascii="仿宋" w:hAnsi="仿宋" w:eastAsia="仿宋"/>
          <w:b/>
          <w:color w:val="auto"/>
          <w:sz w:val="24"/>
          <w:szCs w:val="24"/>
        </w:rPr>
      </w:pPr>
      <w:r>
        <w:rPr>
          <w:rFonts w:hint="eastAsia" w:ascii="仿宋" w:hAnsi="仿宋" w:eastAsia="仿宋"/>
          <w:b/>
          <w:color w:val="auto"/>
          <w:sz w:val="24"/>
          <w:szCs w:val="24"/>
        </w:rPr>
        <w:t>一、报价项目</w:t>
      </w:r>
    </w:p>
    <w:p>
      <w:pPr>
        <w:spacing w:line="360" w:lineRule="auto"/>
        <w:ind w:firstLine="480" w:firstLineChars="200"/>
        <w:rPr>
          <w:rFonts w:ascii="仿宋" w:hAnsi="仿宋" w:eastAsia="仿宋"/>
          <w:color w:val="auto"/>
          <w:kern w:val="28"/>
        </w:rPr>
      </w:pPr>
      <w:r>
        <w:rPr>
          <w:rFonts w:hint="eastAsia" w:ascii="仿宋" w:hAnsi="仿宋" w:eastAsia="仿宋"/>
          <w:color w:val="auto"/>
          <w:kern w:val="28"/>
          <w:sz w:val="24"/>
        </w:rPr>
        <w:t>1、项目名称：社会主义核心价值观公益宣传</w:t>
      </w:r>
    </w:p>
    <w:p>
      <w:pPr>
        <w:spacing w:line="360" w:lineRule="auto"/>
        <w:ind w:firstLine="480" w:firstLineChars="200"/>
        <w:rPr>
          <w:rFonts w:ascii="仿宋" w:hAnsi="仿宋" w:eastAsia="仿宋"/>
          <w:color w:val="auto"/>
          <w:kern w:val="28"/>
          <w:sz w:val="24"/>
        </w:rPr>
      </w:pPr>
      <w:r>
        <w:rPr>
          <w:rFonts w:hint="eastAsia" w:ascii="仿宋" w:hAnsi="仿宋" w:eastAsia="仿宋"/>
          <w:color w:val="auto"/>
          <w:kern w:val="28"/>
          <w:sz w:val="24"/>
        </w:rPr>
        <w:t>2、项目编号：HNZH-2020-300</w:t>
      </w:r>
    </w:p>
    <w:p>
      <w:pPr>
        <w:spacing w:line="360" w:lineRule="auto"/>
        <w:ind w:firstLine="480" w:firstLineChars="200"/>
        <w:rPr>
          <w:rFonts w:ascii="仿宋" w:hAnsi="仿宋" w:eastAsia="仿宋"/>
          <w:color w:val="auto"/>
          <w:kern w:val="28"/>
          <w:sz w:val="24"/>
        </w:rPr>
      </w:pPr>
      <w:r>
        <w:rPr>
          <w:rFonts w:hint="eastAsia" w:ascii="仿宋" w:hAnsi="仿宋" w:eastAsia="仿宋"/>
          <w:color w:val="auto"/>
          <w:kern w:val="28"/>
          <w:sz w:val="24"/>
        </w:rPr>
        <w:t>3、采购内容：见“用户需求书 ”</w:t>
      </w:r>
    </w:p>
    <w:p>
      <w:pPr>
        <w:spacing w:line="360" w:lineRule="auto"/>
        <w:ind w:firstLine="480" w:firstLineChars="200"/>
        <w:rPr>
          <w:rFonts w:ascii="仿宋" w:hAnsi="仿宋" w:eastAsia="仿宋"/>
          <w:color w:val="auto"/>
          <w:kern w:val="28"/>
          <w:sz w:val="24"/>
        </w:rPr>
      </w:pPr>
      <w:r>
        <w:rPr>
          <w:rFonts w:hint="eastAsia" w:ascii="仿宋" w:hAnsi="仿宋" w:eastAsia="仿宋"/>
          <w:color w:val="auto"/>
          <w:kern w:val="28"/>
          <w:sz w:val="24"/>
        </w:rPr>
        <w:t>4、技术参数：见“用户需求书”</w:t>
      </w:r>
    </w:p>
    <w:p>
      <w:pPr>
        <w:spacing w:line="360" w:lineRule="auto"/>
        <w:ind w:firstLine="480" w:firstLineChars="200"/>
        <w:rPr>
          <w:rFonts w:ascii="仿宋" w:hAnsi="仿宋" w:eastAsia="仿宋"/>
          <w:color w:val="auto"/>
          <w:kern w:val="28"/>
          <w:sz w:val="24"/>
        </w:rPr>
      </w:pPr>
      <w:r>
        <w:rPr>
          <w:rFonts w:hint="eastAsia" w:ascii="仿宋" w:hAnsi="仿宋" w:eastAsia="仿宋"/>
          <w:color w:val="auto"/>
          <w:kern w:val="28"/>
          <w:sz w:val="24"/>
        </w:rPr>
        <w:t>5、预算金额：819610元（投标报价超过采购预算按无效投标处理）</w:t>
      </w:r>
    </w:p>
    <w:p>
      <w:pPr>
        <w:spacing w:line="360" w:lineRule="auto"/>
        <w:ind w:firstLine="480" w:firstLineChars="200"/>
        <w:rPr>
          <w:rFonts w:ascii="仿宋" w:hAnsi="仿宋" w:eastAsia="仿宋"/>
          <w:color w:val="auto"/>
        </w:rPr>
      </w:pPr>
      <w:r>
        <w:rPr>
          <w:rFonts w:hint="eastAsia" w:ascii="仿宋" w:hAnsi="仿宋" w:eastAsia="仿宋"/>
          <w:color w:val="auto"/>
          <w:kern w:val="28"/>
          <w:sz w:val="24"/>
        </w:rPr>
        <w:t>6、分包情况：项目本身</w:t>
      </w:r>
    </w:p>
    <w:p>
      <w:pPr>
        <w:snapToGrid w:val="0"/>
        <w:spacing w:line="360" w:lineRule="auto"/>
        <w:rPr>
          <w:rFonts w:ascii="仿宋" w:hAnsi="仿宋" w:eastAsia="仿宋"/>
          <w:b/>
          <w:color w:val="auto"/>
          <w:sz w:val="24"/>
          <w:szCs w:val="24"/>
        </w:rPr>
      </w:pPr>
      <w:r>
        <w:rPr>
          <w:rFonts w:hint="eastAsia" w:ascii="仿宋" w:hAnsi="仿宋" w:eastAsia="仿宋"/>
          <w:b/>
          <w:color w:val="auto"/>
          <w:sz w:val="28"/>
        </w:rPr>
        <w:t>二、</w:t>
      </w:r>
      <w:r>
        <w:rPr>
          <w:rFonts w:hint="eastAsia" w:ascii="仿宋" w:hAnsi="仿宋" w:eastAsia="仿宋"/>
          <w:b/>
          <w:color w:val="auto"/>
          <w:sz w:val="24"/>
          <w:szCs w:val="24"/>
        </w:rPr>
        <w:t>报价人资格要求：（报价人必须具备以下条件并提供相关资格证明材料）</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kern w:val="28"/>
          <w:sz w:val="24"/>
        </w:rPr>
        <w:t>在中华人民共和国注册，能够承担民事责任能力的法人（需提供营业执照副本、税务登记证副本、组织机构代码证副本，三证合一的只须提供营业执照副本）；</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lang w:val="zh-CN"/>
        </w:rPr>
        <w:t>具有良好的商业信誉和健全的财务会计制度（提供</w:t>
      </w:r>
      <w:r>
        <w:rPr>
          <w:rFonts w:hint="eastAsia" w:ascii="仿宋" w:hAnsi="仿宋" w:eastAsia="仿宋"/>
          <w:color w:val="auto"/>
          <w:sz w:val="24"/>
        </w:rPr>
        <w:t>2020</w:t>
      </w:r>
      <w:r>
        <w:rPr>
          <w:rFonts w:hint="eastAsia" w:ascii="仿宋" w:hAnsi="仿宋" w:eastAsia="仿宋"/>
          <w:color w:val="auto"/>
          <w:sz w:val="24"/>
          <w:lang w:val="zh-CN"/>
        </w:rPr>
        <w:t>年度</w:t>
      </w:r>
      <w:r>
        <w:rPr>
          <w:rFonts w:hint="eastAsia" w:ascii="仿宋" w:hAnsi="仿宋" w:eastAsia="仿宋"/>
          <w:b/>
          <w:color w:val="auto"/>
          <w:sz w:val="24"/>
        </w:rPr>
        <w:t>连续六</w:t>
      </w:r>
      <w:r>
        <w:rPr>
          <w:rFonts w:hint="eastAsia" w:ascii="仿宋" w:hAnsi="仿宋" w:eastAsia="仿宋"/>
          <w:color w:val="auto"/>
          <w:sz w:val="24"/>
        </w:rPr>
        <w:t>个月</w:t>
      </w:r>
      <w:r>
        <w:rPr>
          <w:rFonts w:hint="eastAsia" w:ascii="仿宋" w:hAnsi="仿宋" w:eastAsia="仿宋"/>
          <w:color w:val="auto"/>
          <w:sz w:val="24"/>
          <w:lang w:val="zh-CN"/>
        </w:rPr>
        <w:t>的纳税证明或201</w:t>
      </w:r>
      <w:r>
        <w:rPr>
          <w:rFonts w:hint="eastAsia" w:ascii="仿宋" w:hAnsi="仿宋" w:eastAsia="仿宋"/>
          <w:color w:val="auto"/>
          <w:sz w:val="24"/>
        </w:rPr>
        <w:t>9</w:t>
      </w:r>
      <w:r>
        <w:rPr>
          <w:rFonts w:hint="eastAsia" w:ascii="仿宋" w:hAnsi="仿宋" w:eastAsia="仿宋"/>
          <w:color w:val="auto"/>
          <w:sz w:val="24"/>
          <w:lang w:val="zh-CN"/>
        </w:rPr>
        <w:t>年</w:t>
      </w:r>
      <w:r>
        <w:rPr>
          <w:rFonts w:ascii="仿宋" w:hAnsi="仿宋" w:eastAsia="仿宋"/>
          <w:color w:val="auto"/>
          <w:sz w:val="24"/>
          <w:lang w:val="zh-CN"/>
        </w:rPr>
        <w:t>经审计的财务报告</w:t>
      </w:r>
      <w:r>
        <w:rPr>
          <w:rFonts w:hint="eastAsia" w:ascii="仿宋" w:hAnsi="仿宋" w:eastAsia="仿宋"/>
          <w:color w:val="auto"/>
          <w:sz w:val="24"/>
        </w:rPr>
        <w:t>)；</w:t>
      </w:r>
    </w:p>
    <w:p>
      <w:pPr>
        <w:spacing w:line="360" w:lineRule="auto"/>
        <w:ind w:firstLine="540" w:firstLineChars="225"/>
        <w:rPr>
          <w:rFonts w:ascii="仿宋" w:hAnsi="仿宋" w:eastAsia="仿宋"/>
          <w:color w:val="auto"/>
          <w:sz w:val="24"/>
          <w:lang w:val="zh-CN"/>
        </w:rPr>
      </w:pPr>
      <w:r>
        <w:rPr>
          <w:rFonts w:hint="eastAsia" w:ascii="仿宋" w:hAnsi="仿宋" w:eastAsia="仿宋"/>
          <w:color w:val="auto"/>
          <w:sz w:val="24"/>
        </w:rPr>
        <w:t>3、</w:t>
      </w:r>
      <w:r>
        <w:rPr>
          <w:rFonts w:hint="eastAsia" w:ascii="仿宋" w:hAnsi="仿宋" w:eastAsia="仿宋"/>
          <w:color w:val="auto"/>
          <w:sz w:val="24"/>
          <w:lang w:val="zh-CN"/>
        </w:rPr>
        <w:t>具有依法缴纳社会保障资金的良好记录（提供</w:t>
      </w:r>
      <w:r>
        <w:rPr>
          <w:rFonts w:hint="eastAsia" w:ascii="仿宋" w:hAnsi="仿宋" w:eastAsia="仿宋"/>
          <w:color w:val="auto"/>
          <w:sz w:val="24"/>
        </w:rPr>
        <w:t>2020</w:t>
      </w:r>
      <w:r>
        <w:rPr>
          <w:rFonts w:hint="eastAsia" w:ascii="仿宋" w:hAnsi="仿宋" w:eastAsia="仿宋"/>
          <w:color w:val="auto"/>
          <w:sz w:val="24"/>
          <w:lang w:val="zh-CN"/>
        </w:rPr>
        <w:t>年度</w:t>
      </w:r>
      <w:r>
        <w:rPr>
          <w:rFonts w:hint="eastAsia" w:ascii="仿宋" w:hAnsi="仿宋" w:eastAsia="仿宋"/>
          <w:b/>
          <w:color w:val="auto"/>
          <w:sz w:val="24"/>
        </w:rPr>
        <w:t>连续六</w:t>
      </w:r>
      <w:r>
        <w:rPr>
          <w:rFonts w:hint="eastAsia" w:ascii="仿宋" w:hAnsi="仿宋" w:eastAsia="仿宋"/>
          <w:color w:val="auto"/>
          <w:sz w:val="24"/>
        </w:rPr>
        <w:t>个月</w:t>
      </w:r>
      <w:r>
        <w:rPr>
          <w:rFonts w:hint="eastAsia" w:ascii="仿宋" w:hAnsi="仿宋" w:eastAsia="仿宋"/>
          <w:color w:val="auto"/>
          <w:sz w:val="24"/>
          <w:lang w:val="zh-CN"/>
        </w:rPr>
        <w:t>社会保障缴费记录）；</w:t>
      </w:r>
    </w:p>
    <w:p>
      <w:pPr>
        <w:spacing w:line="360" w:lineRule="auto"/>
        <w:ind w:firstLine="540" w:firstLineChars="225"/>
        <w:rPr>
          <w:rFonts w:ascii="仿宋" w:hAnsi="仿宋" w:eastAsia="仿宋"/>
          <w:color w:val="auto"/>
          <w:kern w:val="28"/>
          <w:sz w:val="24"/>
          <w:szCs w:val="22"/>
        </w:rPr>
      </w:pPr>
      <w:r>
        <w:rPr>
          <w:rFonts w:hint="eastAsia" w:ascii="仿宋" w:hAnsi="仿宋" w:eastAsia="仿宋"/>
          <w:color w:val="auto"/>
          <w:kern w:val="28"/>
          <w:sz w:val="24"/>
          <w:szCs w:val="22"/>
        </w:rPr>
        <w:t>4、投标人需提供参加政府采购活动前三年内，在经营活动中没有重大违法记录的声明函（投标人声明）；</w:t>
      </w:r>
    </w:p>
    <w:p>
      <w:pPr>
        <w:spacing w:line="360" w:lineRule="auto"/>
        <w:ind w:firstLine="540" w:firstLineChars="225"/>
        <w:rPr>
          <w:rFonts w:ascii="仿宋" w:hAnsi="仿宋" w:eastAsia="仿宋"/>
          <w:color w:val="auto"/>
          <w:kern w:val="28"/>
          <w:sz w:val="24"/>
          <w:szCs w:val="22"/>
        </w:rPr>
      </w:pPr>
      <w:r>
        <w:rPr>
          <w:rFonts w:hint="eastAsia" w:ascii="仿宋" w:hAnsi="仿宋" w:eastAsia="仿宋"/>
          <w:color w:val="auto"/>
          <w:kern w:val="28"/>
          <w:sz w:val="24"/>
          <w:szCs w:val="22"/>
        </w:rPr>
        <w:t>5、购买本项目招标文件并按时提交保证金；</w:t>
      </w:r>
    </w:p>
    <w:p>
      <w:pPr>
        <w:spacing w:line="360" w:lineRule="auto"/>
        <w:ind w:firstLine="540" w:firstLineChars="225"/>
        <w:rPr>
          <w:rFonts w:ascii="仿宋" w:hAnsi="仿宋" w:eastAsia="仿宋"/>
          <w:color w:val="auto"/>
          <w:kern w:val="28"/>
          <w:sz w:val="24"/>
          <w:szCs w:val="22"/>
        </w:rPr>
      </w:pPr>
      <w:r>
        <w:rPr>
          <w:rFonts w:hint="eastAsia" w:ascii="仿宋" w:hAnsi="仿宋" w:eastAsia="仿宋"/>
          <w:color w:val="auto"/>
          <w:kern w:val="28"/>
          <w:sz w:val="24"/>
          <w:szCs w:val="22"/>
        </w:rPr>
        <w:t>6、本项目不接受联合体；</w:t>
      </w:r>
    </w:p>
    <w:p>
      <w:pPr>
        <w:spacing w:line="360" w:lineRule="auto"/>
        <w:ind w:firstLine="480" w:firstLineChars="200"/>
        <w:rPr>
          <w:color w:val="auto"/>
        </w:rPr>
      </w:pPr>
      <w:r>
        <w:rPr>
          <w:rFonts w:hint="eastAsia" w:ascii="宋体" w:hAnsi="宋体" w:eastAsia="仿宋" w:cs="宋体"/>
          <w:bCs/>
          <w:color w:val="auto"/>
          <w:kern w:val="0"/>
          <w:sz w:val="24"/>
        </w:rPr>
        <w:t>7</w:t>
      </w:r>
      <w:r>
        <w:rPr>
          <w:rFonts w:hint="eastAsia" w:ascii="仿宋" w:hAnsi="仿宋" w:eastAsia="仿宋"/>
          <w:color w:val="auto"/>
          <w:sz w:val="24"/>
          <w:lang w:val="zh-CN"/>
        </w:rPr>
        <w:t>、在</w:t>
      </w:r>
      <w:r>
        <w:rPr>
          <w:rFonts w:hint="eastAsia" w:ascii="仿宋" w:hAnsi="仿宋" w:eastAsia="仿宋"/>
          <w:color w:val="auto"/>
          <w:sz w:val="24"/>
        </w:rPr>
        <w:t>“</w:t>
      </w:r>
      <w:r>
        <w:rPr>
          <w:rFonts w:hint="eastAsia" w:ascii="仿宋" w:hAnsi="仿宋" w:eastAsia="仿宋"/>
          <w:color w:val="auto"/>
          <w:sz w:val="24"/>
          <w:lang w:val="zh-CN"/>
        </w:rPr>
        <w:t>信用中国</w:t>
      </w:r>
      <w:r>
        <w:rPr>
          <w:rFonts w:hint="eastAsia" w:ascii="仿宋" w:hAnsi="仿宋" w:eastAsia="仿宋"/>
          <w:color w:val="auto"/>
          <w:sz w:val="24"/>
        </w:rPr>
        <w:t>”</w:t>
      </w:r>
      <w:r>
        <w:rPr>
          <w:rFonts w:hint="eastAsia" w:ascii="仿宋" w:hAnsi="仿宋" w:eastAsia="仿宋"/>
          <w:color w:val="auto"/>
          <w:sz w:val="24"/>
          <w:lang w:val="zh-CN"/>
        </w:rPr>
        <w:t>网站</w:t>
      </w:r>
      <w:r>
        <w:rPr>
          <w:rFonts w:hint="eastAsia" w:ascii="仿宋" w:hAnsi="仿宋" w:eastAsia="仿宋"/>
          <w:color w:val="auto"/>
          <w:sz w:val="24"/>
        </w:rPr>
        <w:t>（www.creditchina.gov.cn）</w:t>
      </w:r>
      <w:r>
        <w:rPr>
          <w:rFonts w:hint="eastAsia" w:ascii="仿宋" w:hAnsi="仿宋" w:eastAsia="仿宋"/>
          <w:color w:val="auto"/>
          <w:sz w:val="24"/>
          <w:lang w:val="zh-CN"/>
        </w:rPr>
        <w:t>、中国政府采购网</w:t>
      </w:r>
      <w:r>
        <w:rPr>
          <w:rFonts w:hint="eastAsia" w:ascii="仿宋" w:hAnsi="仿宋" w:eastAsia="仿宋"/>
          <w:color w:val="auto"/>
          <w:sz w:val="24"/>
        </w:rPr>
        <w:t>（www.ccgp.gov.cn）</w:t>
      </w:r>
      <w:r>
        <w:rPr>
          <w:rFonts w:hint="eastAsia" w:ascii="仿宋" w:hAnsi="仿宋" w:eastAsia="仿宋"/>
          <w:color w:val="auto"/>
          <w:sz w:val="24"/>
          <w:lang w:val="zh-CN"/>
        </w:rPr>
        <w:t>没有列入失信被执行人、重大税收违法案件当事人名单、政府采购严重违法失信行为记录名单</w:t>
      </w:r>
      <w:r>
        <w:rPr>
          <w:rFonts w:hint="eastAsia" w:ascii="仿宋" w:hAnsi="仿宋" w:eastAsia="仿宋"/>
          <w:color w:val="auto"/>
          <w:kern w:val="28"/>
          <w:sz w:val="24"/>
          <w:szCs w:val="22"/>
          <w:lang w:val="zh-CN"/>
        </w:rPr>
        <w:t>的供应商</w:t>
      </w:r>
      <w:r>
        <w:rPr>
          <w:rFonts w:hint="eastAsia" w:ascii="仿宋" w:hAnsi="仿宋" w:eastAsia="仿宋"/>
          <w:color w:val="auto"/>
          <w:kern w:val="28"/>
          <w:sz w:val="24"/>
          <w:szCs w:val="22"/>
        </w:rPr>
        <w:t>；(提供</w:t>
      </w:r>
      <w:r>
        <w:rPr>
          <w:rFonts w:hint="eastAsia" w:ascii="仿宋" w:hAnsi="仿宋" w:eastAsia="仿宋"/>
          <w:color w:val="auto"/>
          <w:kern w:val="28"/>
          <w:sz w:val="24"/>
          <w:szCs w:val="22"/>
          <w:lang w:val="en-GB"/>
        </w:rPr>
        <w:t>网页查询截图</w:t>
      </w:r>
      <w:r>
        <w:rPr>
          <w:rFonts w:hint="eastAsia" w:ascii="仿宋" w:hAnsi="仿宋" w:eastAsia="仿宋"/>
          <w:color w:val="auto"/>
          <w:kern w:val="28"/>
          <w:sz w:val="24"/>
          <w:szCs w:val="22"/>
        </w:rPr>
        <w:t>）；</w:t>
      </w:r>
    </w:p>
    <w:p>
      <w:pPr>
        <w:widowControl/>
        <w:spacing w:line="360" w:lineRule="auto"/>
        <w:jc w:val="left"/>
        <w:rPr>
          <w:rFonts w:ascii="仿宋" w:hAnsi="仿宋" w:eastAsia="仿宋"/>
          <w:color w:val="auto"/>
          <w:sz w:val="24"/>
          <w:szCs w:val="24"/>
        </w:rPr>
      </w:pPr>
      <w:r>
        <w:rPr>
          <w:rFonts w:hint="eastAsia" w:ascii="仿宋" w:hAnsi="仿宋" w:eastAsia="仿宋"/>
          <w:b/>
          <w:color w:val="auto"/>
          <w:sz w:val="28"/>
        </w:rPr>
        <w:t>四、谈判文件的获取</w:t>
      </w:r>
    </w:p>
    <w:p>
      <w:pPr>
        <w:numPr>
          <w:ilvl w:val="0"/>
          <w:numId w:val="1"/>
        </w:numPr>
        <w:tabs>
          <w:tab w:val="left" w:pos="4680"/>
        </w:tabs>
        <w:snapToGrid w:val="0"/>
        <w:spacing w:line="360" w:lineRule="auto"/>
        <w:rPr>
          <w:rFonts w:ascii="仿宋" w:hAnsi="仿宋" w:eastAsia="仿宋" w:cs="Tahoma"/>
          <w:color w:val="auto"/>
          <w:sz w:val="24"/>
        </w:rPr>
      </w:pPr>
      <w:r>
        <w:rPr>
          <w:rFonts w:hint="eastAsia" w:ascii="仿宋" w:hAnsi="仿宋" w:eastAsia="仿宋" w:cs="Tahoma"/>
          <w:color w:val="auto"/>
          <w:sz w:val="24"/>
        </w:rPr>
        <w:t>时间：</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15</w:t>
      </w:r>
      <w:r>
        <w:rPr>
          <w:rFonts w:hint="eastAsia" w:ascii="仿宋" w:hAnsi="仿宋" w:eastAsia="仿宋" w:cs="Tahoma"/>
          <w:color w:val="auto"/>
          <w:sz w:val="24"/>
        </w:rPr>
        <w:t>日至</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17</w:t>
      </w:r>
      <w:r>
        <w:rPr>
          <w:rFonts w:hint="eastAsia" w:ascii="仿宋" w:hAnsi="仿宋" w:eastAsia="仿宋" w:cs="Tahoma"/>
          <w:color w:val="auto"/>
          <w:sz w:val="24"/>
        </w:rPr>
        <w:t>日工作时间（早上</w:t>
      </w:r>
      <w:r>
        <w:rPr>
          <w:rFonts w:ascii="仿宋" w:hAnsi="仿宋" w:eastAsia="仿宋" w:cs="Tahoma"/>
          <w:color w:val="auto"/>
          <w:sz w:val="24"/>
        </w:rPr>
        <w:t>08</w:t>
      </w:r>
      <w:r>
        <w:rPr>
          <w:rFonts w:hint="eastAsia" w:ascii="仿宋" w:hAnsi="仿宋" w:eastAsia="仿宋" w:cs="Tahoma"/>
          <w:color w:val="auto"/>
          <w:sz w:val="24"/>
        </w:rPr>
        <w:t>:</w:t>
      </w:r>
      <w:r>
        <w:rPr>
          <w:rFonts w:ascii="仿宋" w:hAnsi="仿宋" w:eastAsia="仿宋" w:cs="Tahoma"/>
          <w:color w:val="auto"/>
          <w:sz w:val="24"/>
        </w:rPr>
        <w:t>3</w:t>
      </w:r>
      <w:r>
        <w:rPr>
          <w:rFonts w:hint="eastAsia" w:ascii="仿宋" w:hAnsi="仿宋" w:eastAsia="仿宋" w:cs="Tahoma"/>
          <w:color w:val="auto"/>
          <w:sz w:val="24"/>
        </w:rPr>
        <w:t>0~1</w:t>
      </w:r>
      <w:r>
        <w:rPr>
          <w:rFonts w:ascii="仿宋" w:hAnsi="仿宋" w:eastAsia="仿宋" w:cs="Tahoma"/>
          <w:color w:val="auto"/>
          <w:sz w:val="24"/>
        </w:rPr>
        <w:t>2</w:t>
      </w:r>
      <w:r>
        <w:rPr>
          <w:rFonts w:hint="eastAsia" w:ascii="仿宋" w:hAnsi="仿宋" w:eastAsia="仿宋" w:cs="Tahoma"/>
          <w:color w:val="auto"/>
          <w:sz w:val="24"/>
        </w:rPr>
        <w:t>:00；下午1</w:t>
      </w:r>
      <w:r>
        <w:rPr>
          <w:rFonts w:ascii="仿宋" w:hAnsi="仿宋" w:eastAsia="仿宋" w:cs="Tahoma"/>
          <w:color w:val="auto"/>
          <w:sz w:val="24"/>
        </w:rPr>
        <w:t>4</w:t>
      </w:r>
      <w:r>
        <w:rPr>
          <w:rFonts w:hint="eastAsia" w:ascii="仿宋" w:hAnsi="仿宋" w:eastAsia="仿宋" w:cs="Tahoma"/>
          <w:color w:val="auto"/>
          <w:sz w:val="24"/>
        </w:rPr>
        <w:t>:</w:t>
      </w:r>
      <w:r>
        <w:rPr>
          <w:rFonts w:ascii="仿宋" w:hAnsi="仿宋" w:eastAsia="仿宋" w:cs="Tahoma"/>
          <w:color w:val="auto"/>
          <w:sz w:val="24"/>
        </w:rPr>
        <w:t>3</w:t>
      </w:r>
      <w:r>
        <w:rPr>
          <w:rFonts w:hint="eastAsia" w:ascii="仿宋" w:hAnsi="仿宋" w:eastAsia="仿宋" w:cs="Tahoma"/>
          <w:color w:val="auto"/>
          <w:sz w:val="24"/>
        </w:rPr>
        <w:t>0~17:</w:t>
      </w:r>
      <w:r>
        <w:rPr>
          <w:rFonts w:ascii="仿宋" w:hAnsi="仿宋" w:eastAsia="仿宋" w:cs="Tahoma"/>
          <w:color w:val="auto"/>
          <w:sz w:val="24"/>
        </w:rPr>
        <w:t>3</w:t>
      </w:r>
      <w:r>
        <w:rPr>
          <w:rFonts w:hint="eastAsia" w:ascii="仿宋" w:hAnsi="仿宋" w:eastAsia="仿宋" w:cs="Tahoma"/>
          <w:color w:val="auto"/>
          <w:sz w:val="24"/>
        </w:rPr>
        <w:t>0）；</w:t>
      </w:r>
    </w:p>
    <w:p>
      <w:pPr>
        <w:numPr>
          <w:ilvl w:val="0"/>
          <w:numId w:val="1"/>
        </w:numPr>
        <w:tabs>
          <w:tab w:val="left" w:pos="4680"/>
        </w:tabs>
        <w:snapToGrid w:val="0"/>
        <w:spacing w:line="360" w:lineRule="auto"/>
        <w:rPr>
          <w:rFonts w:ascii="仿宋" w:hAnsi="仿宋" w:eastAsia="仿宋"/>
          <w:color w:val="auto"/>
          <w:sz w:val="24"/>
        </w:rPr>
      </w:pPr>
      <w:r>
        <w:rPr>
          <w:rFonts w:hint="eastAsia" w:ascii="仿宋" w:hAnsi="仿宋" w:eastAsia="仿宋"/>
          <w:color w:val="auto"/>
          <w:sz w:val="24"/>
        </w:rPr>
        <w:t>地点：</w:t>
      </w:r>
      <w:r>
        <w:rPr>
          <w:rFonts w:hint="eastAsia" w:ascii="仿宋" w:hAnsi="仿宋" w:eastAsia="仿宋"/>
          <w:bCs/>
          <w:color w:val="auto"/>
          <w:sz w:val="24"/>
        </w:rPr>
        <w:t>海口市美兰区五指山路16-3号康业花园西湖苑G栋2A</w:t>
      </w:r>
      <w:r>
        <w:rPr>
          <w:rFonts w:hint="eastAsia" w:ascii="仿宋" w:hAnsi="仿宋" w:eastAsia="仿宋" w:cs="Arial"/>
          <w:color w:val="auto"/>
          <w:sz w:val="24"/>
          <w:szCs w:val="24"/>
        </w:rPr>
        <w:t>；</w:t>
      </w:r>
    </w:p>
    <w:p>
      <w:pPr>
        <w:pStyle w:val="109"/>
        <w:numPr>
          <w:ilvl w:val="0"/>
          <w:numId w:val="0"/>
        </w:numPr>
        <w:spacing w:line="360" w:lineRule="auto"/>
        <w:ind w:left="420"/>
        <w:rPr>
          <w:rFonts w:ascii="仿宋" w:hAnsi="仿宋" w:eastAsia="仿宋"/>
          <w:color w:val="auto"/>
          <w:kern w:val="0"/>
          <w:sz w:val="24"/>
          <w:szCs w:val="20"/>
        </w:rPr>
      </w:pPr>
      <w:r>
        <w:rPr>
          <w:rFonts w:hint="eastAsia" w:ascii="仿宋" w:hAnsi="仿宋" w:eastAsia="仿宋"/>
          <w:color w:val="auto"/>
          <w:kern w:val="0"/>
          <w:sz w:val="24"/>
          <w:szCs w:val="20"/>
        </w:rPr>
        <w:t>3、方式：现场报名。报名时提交的材料（现场核查原件，收加盖公章复印件）：营业执照副本、组织代码证副本、税务登记证副本或三证合一证原件、2020年近六个月纳税和社保缴纳证明、法定代表人授权委托书（原件）、法定代表人身份证和经办人身份证复印件。</w:t>
      </w:r>
    </w:p>
    <w:p>
      <w:pPr>
        <w:tabs>
          <w:tab w:val="left" w:pos="4680"/>
        </w:tabs>
        <w:snapToGrid w:val="0"/>
        <w:spacing w:line="360" w:lineRule="auto"/>
        <w:ind w:left="426"/>
        <w:rPr>
          <w:rFonts w:ascii="仿宋" w:hAnsi="仿宋" w:eastAsia="仿宋"/>
          <w:color w:val="auto"/>
          <w:kern w:val="0"/>
          <w:sz w:val="24"/>
        </w:rPr>
      </w:pPr>
      <w:r>
        <w:rPr>
          <w:rFonts w:hint="eastAsia" w:ascii="仿宋" w:hAnsi="仿宋" w:eastAsia="仿宋"/>
          <w:color w:val="auto"/>
          <w:kern w:val="0"/>
          <w:sz w:val="24"/>
        </w:rPr>
        <w:t>4、售价：人民币300元/套（售后不退）</w:t>
      </w:r>
    </w:p>
    <w:p>
      <w:pPr>
        <w:spacing w:line="360" w:lineRule="auto"/>
        <w:ind w:firstLine="840" w:firstLineChars="350"/>
        <w:rPr>
          <w:rFonts w:ascii="仿宋" w:hAnsi="仿宋" w:eastAsia="仿宋" w:cs="Arial"/>
          <w:color w:val="auto"/>
          <w:sz w:val="24"/>
          <w:szCs w:val="24"/>
        </w:rPr>
      </w:pPr>
      <w:r>
        <w:rPr>
          <w:rFonts w:hint="eastAsia" w:ascii="仿宋" w:hAnsi="仿宋" w:eastAsia="仿宋" w:cs="Arial"/>
          <w:color w:val="auto"/>
          <w:sz w:val="24"/>
          <w:szCs w:val="24"/>
        </w:rPr>
        <w:t>户  名：海南政辉招投标代理有限公司</w:t>
      </w:r>
    </w:p>
    <w:p>
      <w:pPr>
        <w:spacing w:line="360" w:lineRule="auto"/>
        <w:ind w:firstLine="840" w:firstLineChars="350"/>
        <w:rPr>
          <w:rFonts w:ascii="仿宋" w:hAnsi="仿宋" w:eastAsia="仿宋" w:cs="Arial"/>
          <w:color w:val="auto"/>
          <w:sz w:val="24"/>
          <w:szCs w:val="24"/>
        </w:rPr>
      </w:pPr>
      <w:r>
        <w:rPr>
          <w:rFonts w:hint="eastAsia" w:ascii="仿宋" w:hAnsi="仿宋" w:eastAsia="仿宋" w:cs="Arial"/>
          <w:color w:val="auto"/>
          <w:sz w:val="24"/>
          <w:szCs w:val="24"/>
        </w:rPr>
        <w:t>开户行：中国工商银行股份有限公司海口新华支行</w:t>
      </w:r>
    </w:p>
    <w:p>
      <w:pPr>
        <w:spacing w:line="360" w:lineRule="auto"/>
        <w:ind w:firstLine="840" w:firstLineChars="350"/>
        <w:rPr>
          <w:rFonts w:ascii="仿宋" w:hAnsi="仿宋" w:eastAsia="仿宋" w:cs="宋体"/>
          <w:color w:val="auto"/>
          <w:sz w:val="24"/>
          <w:szCs w:val="24"/>
        </w:rPr>
      </w:pPr>
      <w:r>
        <w:rPr>
          <w:rFonts w:hint="eastAsia" w:ascii="仿宋" w:hAnsi="仿宋" w:eastAsia="仿宋" w:cs="Arial"/>
          <w:color w:val="auto"/>
          <w:sz w:val="24"/>
          <w:szCs w:val="24"/>
        </w:rPr>
        <w:t>账  户：2201023809200980178</w:t>
      </w:r>
    </w:p>
    <w:p>
      <w:pPr>
        <w:tabs>
          <w:tab w:val="left" w:pos="4680"/>
        </w:tabs>
        <w:snapToGrid w:val="0"/>
        <w:spacing w:line="360" w:lineRule="auto"/>
        <w:rPr>
          <w:rFonts w:ascii="仿宋" w:hAnsi="仿宋" w:eastAsia="仿宋"/>
          <w:b/>
          <w:color w:val="auto"/>
          <w:sz w:val="28"/>
        </w:rPr>
      </w:pPr>
      <w:r>
        <w:rPr>
          <w:rFonts w:hint="eastAsia" w:ascii="仿宋" w:hAnsi="仿宋" w:eastAsia="仿宋"/>
          <w:b/>
          <w:color w:val="auto"/>
          <w:sz w:val="28"/>
        </w:rPr>
        <w:t>五、报价截止时间、谈判时间及地点</w:t>
      </w:r>
    </w:p>
    <w:p>
      <w:pPr>
        <w:tabs>
          <w:tab w:val="left" w:pos="4680"/>
        </w:tabs>
        <w:snapToGrid w:val="0"/>
        <w:spacing w:line="360" w:lineRule="auto"/>
        <w:ind w:firstLine="480" w:firstLineChars="200"/>
        <w:rPr>
          <w:rFonts w:ascii="仿宋" w:hAnsi="仿宋" w:eastAsia="仿宋" w:cs="Tahoma"/>
          <w:color w:val="auto"/>
          <w:sz w:val="24"/>
        </w:rPr>
      </w:pPr>
      <w:r>
        <w:rPr>
          <w:rFonts w:hint="eastAsia" w:ascii="仿宋" w:hAnsi="仿宋" w:eastAsia="仿宋" w:cs="Tahoma"/>
          <w:color w:val="auto"/>
          <w:sz w:val="24"/>
        </w:rPr>
        <w:t>1、递交报价文件时间：</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18</w:t>
      </w:r>
      <w:r>
        <w:rPr>
          <w:rFonts w:hint="eastAsia" w:ascii="仿宋" w:hAnsi="仿宋" w:eastAsia="仿宋" w:cs="Tahoma"/>
          <w:color w:val="auto"/>
          <w:sz w:val="24"/>
        </w:rPr>
        <w:t>日</w:t>
      </w:r>
      <w:r>
        <w:rPr>
          <w:rFonts w:hint="eastAsia" w:ascii="仿宋" w:hAnsi="仿宋" w:eastAsia="仿宋" w:cs="Tahoma"/>
          <w:color w:val="auto"/>
          <w:sz w:val="24"/>
          <w:lang w:val="en-US" w:eastAsia="zh-CN"/>
        </w:rPr>
        <w:t>08:30</w:t>
      </w:r>
      <w:r>
        <w:rPr>
          <w:rFonts w:hint="eastAsia" w:ascii="仿宋" w:hAnsi="仿宋" w:eastAsia="仿宋" w:cs="Tahoma"/>
          <w:color w:val="auto"/>
          <w:sz w:val="24"/>
        </w:rPr>
        <w:t>；</w:t>
      </w:r>
    </w:p>
    <w:p>
      <w:pPr>
        <w:tabs>
          <w:tab w:val="left" w:pos="4680"/>
        </w:tabs>
        <w:snapToGrid w:val="0"/>
        <w:spacing w:line="360" w:lineRule="auto"/>
        <w:ind w:firstLine="480" w:firstLineChars="200"/>
        <w:rPr>
          <w:rFonts w:ascii="仿宋" w:hAnsi="仿宋" w:eastAsia="仿宋" w:cs="Tahoma"/>
          <w:color w:val="auto"/>
          <w:sz w:val="24"/>
        </w:rPr>
      </w:pPr>
      <w:r>
        <w:rPr>
          <w:rFonts w:hint="eastAsia" w:ascii="仿宋" w:hAnsi="仿宋" w:eastAsia="仿宋" w:cs="Tahoma"/>
          <w:color w:val="auto"/>
          <w:sz w:val="24"/>
        </w:rPr>
        <w:t>2、谈判时间：</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18</w:t>
      </w:r>
      <w:r>
        <w:rPr>
          <w:rFonts w:hint="eastAsia" w:ascii="仿宋" w:hAnsi="仿宋" w:eastAsia="仿宋" w:cs="Tahoma"/>
          <w:color w:val="auto"/>
          <w:sz w:val="24"/>
        </w:rPr>
        <w:t>日</w:t>
      </w:r>
      <w:r>
        <w:rPr>
          <w:rFonts w:hint="eastAsia" w:ascii="仿宋" w:hAnsi="仿宋" w:eastAsia="仿宋" w:cs="Tahoma"/>
          <w:color w:val="auto"/>
          <w:sz w:val="24"/>
          <w:lang w:val="en-US" w:eastAsia="zh-CN"/>
        </w:rPr>
        <w:t>08:30</w:t>
      </w:r>
      <w:r>
        <w:rPr>
          <w:rFonts w:hint="eastAsia" w:ascii="仿宋" w:hAnsi="仿宋" w:eastAsia="仿宋" w:cs="Tahoma"/>
          <w:color w:val="auto"/>
          <w:sz w:val="24"/>
        </w:rPr>
        <w:t>；</w:t>
      </w:r>
    </w:p>
    <w:p>
      <w:pPr>
        <w:spacing w:line="360" w:lineRule="auto"/>
        <w:ind w:firstLine="480"/>
        <w:rPr>
          <w:rFonts w:ascii="仿宋" w:hAnsi="仿宋" w:eastAsia="仿宋"/>
          <w:color w:val="auto"/>
          <w:sz w:val="24"/>
        </w:rPr>
      </w:pPr>
      <w:r>
        <w:rPr>
          <w:rFonts w:hint="eastAsia" w:ascii="仿宋" w:hAnsi="仿宋" w:eastAsia="仿宋"/>
          <w:color w:val="auto"/>
          <w:sz w:val="24"/>
        </w:rPr>
        <w:t>3、谈判地点：</w:t>
      </w:r>
      <w:r>
        <w:rPr>
          <w:rFonts w:hint="eastAsia" w:ascii="仿宋" w:hAnsi="仿宋" w:eastAsia="仿宋"/>
          <w:bCs/>
          <w:color w:val="auto"/>
          <w:sz w:val="24"/>
        </w:rPr>
        <w:t>海口市美兰区五指山路16-3号康业花园西湖苑G栋2A</w:t>
      </w:r>
      <w:r>
        <w:rPr>
          <w:rFonts w:hint="eastAsia" w:ascii="仿宋" w:hAnsi="仿宋" w:eastAsia="仿宋"/>
          <w:color w:val="auto"/>
          <w:sz w:val="24"/>
        </w:rPr>
        <w:t>；</w:t>
      </w:r>
    </w:p>
    <w:p>
      <w:pPr>
        <w:snapToGrid w:val="0"/>
        <w:spacing w:line="360" w:lineRule="auto"/>
        <w:ind w:left="839" w:leftChars="228" w:hanging="360" w:hangingChars="150"/>
        <w:rPr>
          <w:rFonts w:ascii="仿宋" w:hAnsi="仿宋" w:eastAsia="仿宋"/>
          <w:bCs/>
          <w:color w:val="auto"/>
          <w:sz w:val="24"/>
          <w:u w:val="single"/>
        </w:rPr>
      </w:pPr>
      <w:r>
        <w:rPr>
          <w:rFonts w:hint="eastAsia" w:ascii="仿宋" w:hAnsi="仿宋" w:eastAsia="仿宋"/>
          <w:color w:val="auto"/>
          <w:kern w:val="0"/>
          <w:sz w:val="24"/>
        </w:rPr>
        <w:t>4、</w:t>
      </w:r>
      <w:r>
        <w:rPr>
          <w:rFonts w:hint="eastAsia" w:ascii="仿宋" w:hAnsi="仿宋" w:eastAsia="仿宋"/>
          <w:color w:val="auto"/>
          <w:sz w:val="24"/>
        </w:rPr>
        <w:t>采购信息发布媒介</w:t>
      </w:r>
      <w:r>
        <w:rPr>
          <w:rFonts w:hint="eastAsia" w:ascii="仿宋" w:hAnsi="仿宋" w:eastAsia="仿宋"/>
          <w:color w:val="auto"/>
          <w:kern w:val="0"/>
          <w:sz w:val="24"/>
        </w:rPr>
        <w:t>：</w:t>
      </w:r>
      <w:r>
        <w:rPr>
          <w:rFonts w:hint="eastAsia" w:ascii="仿宋" w:hAnsi="仿宋" w:eastAsia="仿宋"/>
          <w:color w:val="auto"/>
          <w:sz w:val="24"/>
        </w:rPr>
        <w:t>中国海南政府采购网。</w:t>
      </w:r>
    </w:p>
    <w:p>
      <w:pPr>
        <w:snapToGrid w:val="0"/>
        <w:spacing w:line="360" w:lineRule="auto"/>
        <w:rPr>
          <w:rFonts w:ascii="仿宋" w:hAnsi="仿宋" w:eastAsia="仿宋"/>
          <w:b/>
          <w:color w:val="auto"/>
          <w:sz w:val="28"/>
        </w:rPr>
      </w:pPr>
      <w:r>
        <w:rPr>
          <w:rFonts w:hint="eastAsia" w:ascii="仿宋" w:hAnsi="仿宋" w:eastAsia="仿宋"/>
          <w:b/>
          <w:color w:val="auto"/>
          <w:sz w:val="28"/>
        </w:rPr>
        <w:t>六、招标代理机构联系方式</w:t>
      </w:r>
    </w:p>
    <w:p>
      <w:pPr>
        <w:spacing w:line="360" w:lineRule="auto"/>
        <w:ind w:firstLine="480"/>
        <w:rPr>
          <w:rFonts w:ascii="仿宋" w:hAnsi="仿宋" w:eastAsia="仿宋"/>
          <w:bCs/>
          <w:color w:val="auto"/>
          <w:sz w:val="24"/>
        </w:rPr>
      </w:pPr>
      <w:r>
        <w:rPr>
          <w:rFonts w:hint="eastAsia" w:ascii="仿宋" w:hAnsi="仿宋" w:eastAsia="仿宋"/>
          <w:bCs/>
          <w:color w:val="auto"/>
          <w:sz w:val="24"/>
        </w:rPr>
        <w:t>名称：海南政辉招投标代理有限公司</w:t>
      </w:r>
    </w:p>
    <w:p>
      <w:pPr>
        <w:spacing w:line="360" w:lineRule="auto"/>
        <w:ind w:firstLine="480"/>
        <w:rPr>
          <w:rFonts w:ascii="仿宋" w:hAnsi="仿宋" w:eastAsia="仿宋"/>
          <w:bCs/>
          <w:color w:val="auto"/>
          <w:sz w:val="24"/>
        </w:rPr>
      </w:pPr>
      <w:r>
        <w:rPr>
          <w:rFonts w:hint="eastAsia" w:ascii="仿宋" w:hAnsi="仿宋" w:eastAsia="仿宋"/>
          <w:bCs/>
          <w:color w:val="auto"/>
          <w:sz w:val="24"/>
        </w:rPr>
        <w:t>地址：海口市美兰区五指山路16-3号康业花园西湖苑G栋2A</w:t>
      </w:r>
    </w:p>
    <w:p>
      <w:pPr>
        <w:spacing w:line="360" w:lineRule="auto"/>
        <w:ind w:firstLine="480"/>
        <w:rPr>
          <w:rFonts w:ascii="仿宋" w:hAnsi="仿宋" w:eastAsia="仿宋"/>
          <w:bCs/>
          <w:color w:val="auto"/>
          <w:sz w:val="24"/>
        </w:rPr>
      </w:pPr>
      <w:r>
        <w:rPr>
          <w:rFonts w:hint="eastAsia" w:ascii="仿宋" w:hAnsi="仿宋" w:eastAsia="仿宋"/>
          <w:bCs/>
          <w:color w:val="auto"/>
          <w:sz w:val="24"/>
        </w:rPr>
        <w:t xml:space="preserve">电话：0898-66557609           </w:t>
      </w:r>
    </w:p>
    <w:p>
      <w:pPr>
        <w:spacing w:line="360" w:lineRule="auto"/>
        <w:ind w:firstLine="480"/>
        <w:rPr>
          <w:rFonts w:ascii="仿宋" w:hAnsi="仿宋" w:eastAsia="仿宋"/>
          <w:bCs/>
          <w:color w:val="auto"/>
          <w:sz w:val="24"/>
        </w:rPr>
      </w:pPr>
      <w:r>
        <w:rPr>
          <w:rFonts w:hint="eastAsia" w:ascii="仿宋" w:hAnsi="仿宋" w:eastAsia="仿宋"/>
          <w:bCs/>
          <w:color w:val="auto"/>
          <w:sz w:val="24"/>
        </w:rPr>
        <w:t>联系人:陈工</w:t>
      </w:r>
    </w:p>
    <w:p>
      <w:pPr>
        <w:spacing w:line="360" w:lineRule="auto"/>
        <w:ind w:right="240"/>
        <w:jc w:val="right"/>
        <w:rPr>
          <w:rFonts w:ascii="仿宋" w:hAnsi="仿宋" w:eastAsia="仿宋"/>
          <w:bCs/>
          <w:color w:val="auto"/>
          <w:sz w:val="24"/>
        </w:rPr>
      </w:pPr>
    </w:p>
    <w:p>
      <w:pPr>
        <w:spacing w:line="360" w:lineRule="auto"/>
        <w:ind w:right="240"/>
        <w:jc w:val="right"/>
        <w:rPr>
          <w:rFonts w:ascii="仿宋" w:hAnsi="仿宋" w:eastAsia="仿宋"/>
          <w:bCs/>
          <w:color w:val="auto"/>
          <w:sz w:val="24"/>
        </w:rPr>
      </w:pPr>
    </w:p>
    <w:p>
      <w:pPr>
        <w:spacing w:line="360" w:lineRule="auto"/>
        <w:ind w:right="240"/>
        <w:jc w:val="right"/>
        <w:rPr>
          <w:rFonts w:ascii="仿宋" w:hAnsi="仿宋" w:eastAsia="仿宋"/>
          <w:bCs/>
          <w:color w:val="auto"/>
          <w:sz w:val="24"/>
        </w:rPr>
      </w:pPr>
      <w:r>
        <w:rPr>
          <w:rFonts w:hint="eastAsia" w:ascii="仿宋" w:hAnsi="仿宋" w:eastAsia="仿宋"/>
          <w:bCs/>
          <w:color w:val="auto"/>
          <w:sz w:val="24"/>
        </w:rPr>
        <w:t>海南政辉招投标代理有限公司</w:t>
      </w:r>
    </w:p>
    <w:p>
      <w:pPr>
        <w:jc w:val="right"/>
        <w:rPr>
          <w:rFonts w:ascii="仿宋" w:hAnsi="仿宋" w:eastAsia="仿宋"/>
          <w:color w:val="auto"/>
        </w:rPr>
      </w:pPr>
      <w:bookmarkStart w:id="2" w:name="_Toc1660484"/>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14</w:t>
      </w:r>
      <w:r>
        <w:rPr>
          <w:rFonts w:hint="eastAsia" w:ascii="仿宋" w:hAnsi="仿宋" w:eastAsia="仿宋" w:cs="Tahoma"/>
          <w:color w:val="auto"/>
          <w:sz w:val="24"/>
        </w:rPr>
        <w:t>日</w:t>
      </w: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r>
        <w:rPr>
          <w:rFonts w:hint="eastAsia" w:ascii="仿宋" w:hAnsi="仿宋" w:eastAsia="仿宋"/>
          <w:b/>
          <w:color w:val="auto"/>
          <w:sz w:val="28"/>
          <w:szCs w:val="28"/>
        </w:rPr>
        <w:t>第二章、谈判须知</w:t>
      </w:r>
      <w:bookmarkEnd w:id="2"/>
    </w:p>
    <w:p>
      <w:pPr>
        <w:spacing w:before="120" w:after="240" w:line="500" w:lineRule="exact"/>
        <w:jc w:val="center"/>
        <w:rPr>
          <w:rFonts w:ascii="仿宋" w:hAnsi="仿宋" w:eastAsia="仿宋" w:cs="黑体"/>
          <w:b/>
          <w:color w:val="auto"/>
          <w:sz w:val="24"/>
        </w:rPr>
      </w:pPr>
      <w:r>
        <w:rPr>
          <w:rFonts w:hint="eastAsia" w:ascii="仿宋" w:hAnsi="仿宋" w:eastAsia="仿宋" w:cs="黑体"/>
          <w:b/>
          <w:color w:val="auto"/>
          <w:sz w:val="24"/>
        </w:rPr>
        <w:t>谈判须知前附表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“谈判须知前附表”用于进一步明确正文中的未尽事宜，由采购人根据项目的具体特点和实际需要编制和填写，如有与本章正文内容不一致的，以本表的内容为准。</w:t>
      </w:r>
    </w:p>
    <w:tbl>
      <w:tblPr>
        <w:tblStyle w:val="23"/>
        <w:tblW w:w="89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3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663" w:type="dxa"/>
            <w:vAlign w:val="center"/>
          </w:tcPr>
          <w:p>
            <w:pPr>
              <w:pStyle w:val="93"/>
              <w:spacing w:line="360" w:lineRule="auto"/>
              <w:ind w:left="9"/>
              <w:jc w:val="center"/>
              <w:rPr>
                <w:rFonts w:ascii="仿宋" w:hAnsi="仿宋" w:eastAsia="仿宋" w:cs="仿宋"/>
                <w:b/>
                <w:color w:val="auto"/>
                <w:lang w:val="zh-CN"/>
              </w:rPr>
            </w:pPr>
            <w:r>
              <w:rPr>
                <w:rFonts w:hint="eastAsia" w:ascii="仿宋" w:hAnsi="仿宋" w:eastAsia="仿宋" w:cs="仿宋"/>
                <w:b/>
                <w:color w:val="auto"/>
                <w:lang w:val="zh-CN"/>
              </w:rPr>
              <w:t xml:space="preserve">序号 </w:t>
            </w:r>
          </w:p>
        </w:tc>
        <w:tc>
          <w:tcPr>
            <w:tcW w:w="2360" w:type="dxa"/>
            <w:vAlign w:val="center"/>
          </w:tcPr>
          <w:p>
            <w:pPr>
              <w:pStyle w:val="93"/>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内容</w:t>
            </w:r>
          </w:p>
        </w:tc>
        <w:tc>
          <w:tcPr>
            <w:tcW w:w="5954" w:type="dxa"/>
            <w:vAlign w:val="center"/>
          </w:tcPr>
          <w:p>
            <w:pPr>
              <w:pStyle w:val="93"/>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3" w:type="dxa"/>
            <w:vAlign w:val="center"/>
          </w:tcPr>
          <w:p>
            <w:pPr>
              <w:pStyle w:val="93"/>
              <w:spacing w:line="360" w:lineRule="auto"/>
              <w:ind w:left="9" w:firstLine="240" w:firstLineChars="100"/>
              <w:jc w:val="both"/>
              <w:rPr>
                <w:rFonts w:ascii="仿宋" w:hAnsi="仿宋" w:eastAsia="仿宋" w:cs="仿宋"/>
                <w:color w:val="auto"/>
              </w:rPr>
            </w:pPr>
            <w:r>
              <w:rPr>
                <w:rFonts w:hint="eastAsia" w:ascii="仿宋" w:hAnsi="仿宋" w:eastAsia="仿宋" w:cs="仿宋"/>
                <w:color w:val="auto"/>
              </w:rPr>
              <w:t>1</w:t>
            </w:r>
          </w:p>
        </w:tc>
        <w:tc>
          <w:tcPr>
            <w:tcW w:w="2360" w:type="dxa"/>
            <w:vAlign w:val="center"/>
          </w:tcPr>
          <w:p>
            <w:pPr>
              <w:spacing w:line="360" w:lineRule="auto"/>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采购人名称</w:t>
            </w:r>
          </w:p>
        </w:tc>
        <w:tc>
          <w:tcPr>
            <w:tcW w:w="5954" w:type="dxa"/>
            <w:vAlign w:val="center"/>
          </w:tcPr>
          <w:p>
            <w:pPr>
              <w:spacing w:line="360" w:lineRule="auto"/>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中共白沙黎族自治县委宣传部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2</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项目预算</w:t>
            </w:r>
          </w:p>
        </w:tc>
        <w:tc>
          <w:tcPr>
            <w:tcW w:w="5954" w:type="dxa"/>
            <w:vAlign w:val="center"/>
          </w:tcPr>
          <w:p>
            <w:pPr>
              <w:pStyle w:val="97"/>
              <w:spacing w:beforeLines="50" w:afterLines="50"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1、本项目预算为人民币</w:t>
            </w:r>
            <w:r>
              <w:rPr>
                <w:rFonts w:hint="eastAsia" w:ascii="仿宋" w:hAnsi="仿宋" w:eastAsia="仿宋"/>
                <w:color w:val="auto"/>
                <w:kern w:val="28"/>
                <w:sz w:val="24"/>
              </w:rPr>
              <w:t>819610</w:t>
            </w:r>
            <w:r>
              <w:rPr>
                <w:rFonts w:hint="eastAsia" w:ascii="仿宋" w:hAnsi="仿宋" w:eastAsia="仿宋" w:cs="仿宋"/>
                <w:color w:val="auto"/>
                <w:sz w:val="24"/>
                <w:szCs w:val="24"/>
              </w:rPr>
              <w:t>元</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olor w:val="auto"/>
                <w:kern w:val="28"/>
                <w:sz w:val="24"/>
              </w:rPr>
              <w:t>分包情况：</w:t>
            </w:r>
            <w:r>
              <w:rPr>
                <w:rFonts w:hint="eastAsia" w:ascii="仿宋" w:hAnsi="仿宋" w:eastAsia="仿宋" w:cs="仿宋"/>
                <w:color w:val="auto"/>
                <w:sz w:val="24"/>
                <w:szCs w:val="24"/>
              </w:rPr>
              <w:t>项目本身</w:t>
            </w:r>
          </w:p>
          <w:p>
            <w:pPr>
              <w:rPr>
                <w:rFonts w:ascii="仿宋" w:hAnsi="仿宋" w:eastAsia="仿宋" w:cs="仿宋"/>
                <w:color w:val="auto"/>
                <w:kern w:val="0"/>
                <w:sz w:val="24"/>
                <w:szCs w:val="24"/>
                <w:lang w:val="zh-CN"/>
              </w:rPr>
            </w:pPr>
            <w:r>
              <w:rPr>
                <w:rFonts w:hint="eastAsia" w:ascii="仿宋" w:hAnsi="仿宋" w:eastAsia="仿宋" w:cs="仿宋"/>
                <w:color w:val="auto"/>
                <w:sz w:val="24"/>
                <w:szCs w:val="24"/>
              </w:rPr>
              <w:t>3、供应商应有明确报价，超过项目预算或者无报价响应的，响应无效。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3</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递交响应文件时应出示和单独递交的身份证明材料</w:t>
            </w:r>
          </w:p>
        </w:tc>
        <w:tc>
          <w:tcPr>
            <w:tcW w:w="5954" w:type="dxa"/>
            <w:vAlign w:val="center"/>
          </w:tcPr>
          <w:p>
            <w:pPr>
              <w:pStyle w:val="97"/>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1、出示供应商代表身份证原件；</w:t>
            </w:r>
          </w:p>
          <w:p>
            <w:pPr>
              <w:pStyle w:val="97"/>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2、单独递交供应商代表身份证复印件；</w:t>
            </w:r>
          </w:p>
          <w:p>
            <w:pPr>
              <w:spacing w:line="360" w:lineRule="auto"/>
              <w:rPr>
                <w:rFonts w:ascii="仿宋" w:hAnsi="仿宋" w:eastAsia="仿宋" w:cs="仿宋"/>
                <w:color w:val="auto"/>
                <w:kern w:val="0"/>
                <w:sz w:val="24"/>
                <w:szCs w:val="24"/>
                <w:lang w:val="zh-CN"/>
              </w:rPr>
            </w:pPr>
            <w:r>
              <w:rPr>
                <w:rFonts w:hint="eastAsia" w:ascii="仿宋" w:hAnsi="仿宋" w:eastAsia="仿宋" w:cs="仿宋"/>
                <w:color w:val="auto"/>
                <w:sz w:val="24"/>
                <w:szCs w:val="24"/>
              </w:rPr>
              <w:t>3、如供应商代表不是法定代表人/主要负责人本人，还需单独递交法定代表人/主要负责人授权委托书原件或复印件。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4</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kern w:val="0"/>
                <w:sz w:val="24"/>
                <w:szCs w:val="24"/>
                <w:lang w:val="zh-CN"/>
              </w:rPr>
              <w:t>是否接受联合体响应</w:t>
            </w:r>
          </w:p>
        </w:tc>
        <w:tc>
          <w:tcPr>
            <w:tcW w:w="5954" w:type="dxa"/>
            <w:vAlign w:val="center"/>
          </w:tcPr>
          <w:p>
            <w:pPr>
              <w:spacing w:line="360" w:lineRule="auto"/>
              <w:jc w:val="center"/>
              <w:rPr>
                <w:rFonts w:ascii="仿宋" w:hAnsi="仿宋" w:eastAsia="仿宋" w:cs="仿宋"/>
                <w:color w:val="auto"/>
                <w:kern w:val="0"/>
                <w:sz w:val="24"/>
                <w:szCs w:val="24"/>
                <w:lang w:val="zh-CN"/>
              </w:rPr>
            </w:pPr>
            <w:r>
              <w:rPr>
                <w:rFonts w:hint="eastAsia" w:ascii="仿宋" w:hAnsi="仿宋" w:eastAsia="仿宋" w:cs="仿宋"/>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5</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标前踏勘现场或/和标前答疑会</w:t>
            </w:r>
          </w:p>
        </w:tc>
        <w:tc>
          <w:tcPr>
            <w:tcW w:w="5954" w:type="dxa"/>
            <w:vAlign w:val="center"/>
          </w:tcPr>
          <w:p>
            <w:pPr>
              <w:spacing w:line="360" w:lineRule="auto"/>
              <w:jc w:val="center"/>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6</w:t>
            </w:r>
          </w:p>
        </w:tc>
        <w:tc>
          <w:tcPr>
            <w:tcW w:w="2360" w:type="dxa"/>
            <w:vAlign w:val="center"/>
          </w:tcPr>
          <w:p>
            <w:pPr>
              <w:pStyle w:val="93"/>
              <w:spacing w:line="360" w:lineRule="auto"/>
              <w:jc w:val="both"/>
              <w:rPr>
                <w:rFonts w:ascii="仿宋" w:hAnsi="仿宋" w:eastAsia="仿宋" w:cs="仿宋"/>
                <w:color w:val="auto"/>
              </w:rPr>
            </w:pPr>
            <w:r>
              <w:rPr>
                <w:rFonts w:hint="eastAsia" w:ascii="仿宋" w:hAnsi="仿宋" w:eastAsia="仿宋" w:cs="仿宋"/>
                <w:color w:val="auto"/>
                <w:lang w:val="zh-CN"/>
              </w:rPr>
              <w:t>述标和/或产（样）品演（展）示</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7</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是否接受备选响应方案和报价</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8</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szCs w:val="24"/>
              </w:rPr>
              <w:t>是否允许供应商将项目非主体、非关键性工作交由他人完成</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9</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szCs w:val="24"/>
              </w:rPr>
              <w:t>是否收取履约保证金</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10</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rPr>
              <w:t>供应商家数计算</w:t>
            </w:r>
          </w:p>
        </w:tc>
        <w:tc>
          <w:tcPr>
            <w:tcW w:w="5954"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rPr>
              <w:t>提供核心产品为相同品牌的不同供应商参加本项目报价的，以其中通过资格审查、符合性审查且报价最低的参加评审，其他报价无效。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11</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本项目要求供应商</w:t>
            </w:r>
            <w:r>
              <w:rPr>
                <w:rFonts w:hint="eastAsia" w:ascii="仿宋" w:hAnsi="仿宋" w:eastAsia="仿宋" w:cs="仿宋"/>
                <w:color w:val="auto"/>
                <w:kern w:val="0"/>
                <w:sz w:val="24"/>
                <w:szCs w:val="24"/>
                <w:lang w:val="zh-CN"/>
              </w:rPr>
              <w:t>提供的技术说明</w:t>
            </w:r>
            <w:r>
              <w:rPr>
                <w:rFonts w:hint="eastAsia" w:ascii="仿宋" w:hAnsi="仿宋" w:eastAsia="仿宋" w:cs="仿宋"/>
                <w:color w:val="auto"/>
                <w:sz w:val="24"/>
                <w:szCs w:val="24"/>
                <w:lang w:val="zh-CN"/>
              </w:rPr>
              <w:t>文件</w:t>
            </w:r>
          </w:p>
        </w:tc>
        <w:tc>
          <w:tcPr>
            <w:tcW w:w="5954" w:type="dxa"/>
            <w:vAlign w:val="center"/>
          </w:tcPr>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开标一览表；</w:t>
            </w:r>
          </w:p>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2、报价明细表</w:t>
            </w:r>
            <w:r>
              <w:rPr>
                <w:rFonts w:hint="eastAsia" w:ascii="仿宋" w:hAnsi="仿宋" w:eastAsia="仿宋" w:cs="仿宋"/>
                <w:color w:val="auto"/>
                <w:sz w:val="24"/>
                <w:szCs w:val="24"/>
                <w:lang w:val="zh-CN"/>
              </w:rPr>
              <w:t>；</w:t>
            </w:r>
          </w:p>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3、技术需求响应表</w:t>
            </w:r>
            <w:r>
              <w:rPr>
                <w:rFonts w:hint="eastAsia" w:ascii="仿宋" w:hAnsi="仿宋" w:eastAsia="仿宋" w:cs="仿宋"/>
                <w:color w:val="auto"/>
                <w:kern w:val="0"/>
                <w:sz w:val="24"/>
                <w:szCs w:val="24"/>
              </w:rPr>
              <w:t>（如有）</w:t>
            </w: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kern w:val="0"/>
                <w:sz w:val="24"/>
                <w:szCs w:val="24"/>
              </w:rPr>
              <w:t>其他技术证明材料（如有）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12</w:t>
            </w:r>
          </w:p>
        </w:tc>
        <w:tc>
          <w:tcPr>
            <w:tcW w:w="2360" w:type="dxa"/>
            <w:vAlign w:val="center"/>
          </w:tcPr>
          <w:p>
            <w:pPr>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开标一览表</w:t>
            </w:r>
          </w:p>
        </w:tc>
        <w:tc>
          <w:tcPr>
            <w:tcW w:w="5954" w:type="dxa"/>
            <w:vAlign w:val="center"/>
          </w:tcPr>
          <w:p>
            <w:pPr>
              <w:pStyle w:val="93"/>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要求：</w:t>
            </w:r>
          </w:p>
          <w:p>
            <w:pPr>
              <w:pStyle w:val="93"/>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① “开标一览表”当中的响应总价必须与“响应报价明细表”当中的“总价”保持一致；</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13</w:t>
            </w:r>
          </w:p>
        </w:tc>
        <w:tc>
          <w:tcPr>
            <w:tcW w:w="2360" w:type="dxa"/>
            <w:vAlign w:val="center"/>
          </w:tcPr>
          <w:p>
            <w:pPr>
              <w:pStyle w:val="93"/>
              <w:spacing w:line="360" w:lineRule="auto"/>
              <w:rPr>
                <w:rFonts w:ascii="仿宋" w:hAnsi="仿宋" w:eastAsia="仿宋" w:cs="仿宋"/>
                <w:color w:val="auto"/>
                <w:lang w:val="zh-CN"/>
              </w:rPr>
            </w:pPr>
            <w:r>
              <w:rPr>
                <w:rFonts w:hint="eastAsia" w:ascii="仿宋" w:hAnsi="仿宋" w:eastAsia="仿宋" w:cs="仿宋"/>
                <w:color w:val="auto"/>
                <w:lang w:val="zh-CN"/>
              </w:rPr>
              <w:t>响应有效期</w:t>
            </w:r>
          </w:p>
        </w:tc>
        <w:tc>
          <w:tcPr>
            <w:tcW w:w="5954" w:type="dxa"/>
            <w:vAlign w:val="center"/>
          </w:tcPr>
          <w:p>
            <w:pPr>
              <w:pStyle w:val="93"/>
              <w:spacing w:line="360" w:lineRule="auto"/>
              <w:ind w:firstLine="240" w:firstLineChars="100"/>
              <w:rPr>
                <w:rFonts w:ascii="仿宋" w:hAnsi="仿宋" w:eastAsia="仿宋" w:cs="仿宋"/>
                <w:color w:val="auto"/>
                <w:lang w:val="zh-CN"/>
              </w:rPr>
            </w:pPr>
            <w:r>
              <w:rPr>
                <w:rFonts w:hint="eastAsia" w:ascii="仿宋" w:hAnsi="仿宋" w:eastAsia="仿宋" w:cs="仿宋"/>
                <w:color w:val="auto"/>
                <w:u w:val="single"/>
              </w:rPr>
              <w:t xml:space="preserve">60 </w:t>
            </w:r>
            <w:r>
              <w:rPr>
                <w:rFonts w:hint="eastAsia" w:ascii="仿宋" w:hAnsi="仿宋" w:eastAsia="仿宋" w:cs="仿宋"/>
                <w:color w:val="auto"/>
              </w:rPr>
              <w:t>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14</w:t>
            </w:r>
          </w:p>
        </w:tc>
        <w:tc>
          <w:tcPr>
            <w:tcW w:w="2360" w:type="dxa"/>
            <w:vAlign w:val="center"/>
          </w:tcPr>
          <w:p>
            <w:pPr>
              <w:pStyle w:val="93"/>
              <w:spacing w:line="360" w:lineRule="auto"/>
              <w:rPr>
                <w:rFonts w:ascii="仿宋" w:hAnsi="仿宋" w:eastAsia="仿宋" w:cs="仿宋"/>
                <w:color w:val="auto"/>
              </w:rPr>
            </w:pPr>
            <w:r>
              <w:rPr>
                <w:rFonts w:hint="eastAsia" w:ascii="仿宋" w:hAnsi="仿宋" w:eastAsia="仿宋" w:cs="仿宋"/>
                <w:color w:val="auto"/>
              </w:rPr>
              <w:t>谈判保证金金额</w:t>
            </w:r>
          </w:p>
        </w:tc>
        <w:tc>
          <w:tcPr>
            <w:tcW w:w="5954" w:type="dxa"/>
            <w:vAlign w:val="center"/>
          </w:tcPr>
          <w:p>
            <w:pPr>
              <w:pStyle w:val="8"/>
              <w:spacing w:line="360" w:lineRule="auto"/>
              <w:rPr>
                <w:rFonts w:ascii="仿宋" w:hAnsi="仿宋" w:eastAsia="仿宋" w:cs="仿宋_GB2312"/>
                <w:color w:val="auto"/>
                <w:sz w:val="24"/>
                <w:lang w:val="zh-CN"/>
              </w:rPr>
            </w:pPr>
            <w:r>
              <w:rPr>
                <w:rFonts w:hint="eastAsia" w:ascii="仿宋" w:hAnsi="仿宋" w:eastAsia="仿宋" w:cs="仿宋_GB2312"/>
                <w:color w:val="auto"/>
                <w:sz w:val="24"/>
                <w:lang w:val="zh-CN"/>
              </w:rPr>
              <w:t>金额（大小写）：捌仟壹佰玖拾陆元整（</w:t>
            </w:r>
            <w:r>
              <w:rPr>
                <w:rFonts w:hint="eastAsia" w:ascii="仿宋" w:hAnsi="仿宋" w:eastAsia="仿宋" w:cs="仿宋_GB2312"/>
                <w:color w:val="auto"/>
                <w:sz w:val="24"/>
              </w:rPr>
              <w:t>8196.00</w:t>
            </w:r>
            <w:r>
              <w:rPr>
                <w:rFonts w:hint="eastAsia" w:ascii="仿宋" w:hAnsi="仿宋" w:eastAsia="仿宋" w:cs="仿宋_GB2312"/>
                <w:color w:val="auto"/>
                <w:sz w:val="24"/>
                <w:lang w:val="zh-CN"/>
              </w:rPr>
              <w:t>元）</w:t>
            </w:r>
          </w:p>
          <w:p>
            <w:pPr>
              <w:ind w:right="420"/>
              <w:rPr>
                <w:rFonts w:ascii="仿宋" w:hAnsi="仿宋" w:eastAsia="仿宋" w:cs="仿宋_GB2312"/>
                <w:color w:val="auto"/>
                <w:sz w:val="24"/>
                <w:lang w:val="zh-CN"/>
              </w:rPr>
            </w:pPr>
            <w:r>
              <w:rPr>
                <w:rFonts w:hint="eastAsia" w:ascii="仿宋" w:hAnsi="仿宋" w:eastAsia="仿宋" w:cs="仿宋_GB2312"/>
                <w:color w:val="auto"/>
                <w:sz w:val="24"/>
                <w:lang w:val="zh-CN"/>
              </w:rPr>
              <w:t>交纳谈判保证金截止时间：</w:t>
            </w:r>
            <w:r>
              <w:rPr>
                <w:rFonts w:hint="eastAsia" w:ascii="仿宋" w:hAnsi="仿宋" w:eastAsia="仿宋" w:cs="仿宋_GB2312"/>
                <w:color w:val="auto"/>
                <w:sz w:val="24"/>
              </w:rPr>
              <w:t>2020</w:t>
            </w:r>
            <w:r>
              <w:rPr>
                <w:rFonts w:hint="eastAsia" w:ascii="仿宋" w:hAnsi="仿宋" w:eastAsia="仿宋" w:cs="仿宋_GB2312"/>
                <w:color w:val="auto"/>
                <w:sz w:val="24"/>
                <w:lang w:val="zh-CN"/>
              </w:rPr>
              <w:t>年</w:t>
            </w:r>
            <w:r>
              <w:rPr>
                <w:rFonts w:hint="eastAsia" w:ascii="仿宋" w:hAnsi="仿宋" w:eastAsia="仿宋" w:cs="仿宋_GB2312"/>
                <w:color w:val="auto"/>
                <w:sz w:val="24"/>
                <w:lang w:val="en-US" w:eastAsia="zh-CN"/>
              </w:rPr>
              <w:t>09</w:t>
            </w:r>
            <w:r>
              <w:rPr>
                <w:rFonts w:hint="eastAsia" w:ascii="仿宋" w:hAnsi="仿宋" w:eastAsia="仿宋" w:cs="仿宋_GB2312"/>
                <w:color w:val="auto"/>
                <w:sz w:val="24"/>
                <w:lang w:val="zh-CN"/>
              </w:rPr>
              <w:t>月</w:t>
            </w:r>
            <w:r>
              <w:rPr>
                <w:rFonts w:hint="eastAsia" w:ascii="仿宋" w:hAnsi="仿宋" w:eastAsia="仿宋" w:cs="仿宋_GB2312"/>
                <w:color w:val="auto"/>
                <w:sz w:val="24"/>
                <w:lang w:val="en-US" w:eastAsia="zh-CN"/>
              </w:rPr>
              <w:t>18</w:t>
            </w:r>
            <w:r>
              <w:rPr>
                <w:rFonts w:hint="eastAsia" w:ascii="仿宋" w:hAnsi="仿宋" w:eastAsia="仿宋" w:cs="仿宋_GB2312"/>
                <w:color w:val="auto"/>
                <w:sz w:val="24"/>
                <w:lang w:val="zh-CN"/>
              </w:rPr>
              <w:t>日</w:t>
            </w:r>
            <w:r>
              <w:rPr>
                <w:rFonts w:hint="eastAsia" w:ascii="仿宋" w:hAnsi="仿宋" w:eastAsia="仿宋" w:cs="仿宋_GB2312"/>
                <w:color w:val="auto"/>
                <w:lang w:val="en-US" w:eastAsia="zh-CN"/>
              </w:rPr>
              <w:t>08</w:t>
            </w:r>
            <w:r>
              <w:rPr>
                <w:rFonts w:hint="eastAsia" w:ascii="仿宋" w:hAnsi="仿宋" w:eastAsia="仿宋" w:cs="仿宋_GB2312"/>
                <w:color w:val="auto"/>
                <w:lang w:val="zh-CN"/>
              </w:rPr>
              <w:t>:30（北京时间）</w:t>
            </w:r>
          </w:p>
          <w:p>
            <w:pPr>
              <w:spacing w:line="360" w:lineRule="auto"/>
              <w:rPr>
                <w:rFonts w:ascii="仿宋" w:hAnsi="仿宋" w:eastAsia="仿宋" w:cs="仿宋_GB2312"/>
                <w:color w:val="auto"/>
                <w:sz w:val="24"/>
                <w:lang w:val="zh-CN"/>
              </w:rPr>
            </w:pPr>
            <w:r>
              <w:rPr>
                <w:rFonts w:hint="eastAsia" w:ascii="仿宋" w:hAnsi="仿宋" w:eastAsia="仿宋" w:cs="仿宋_GB2312"/>
                <w:color w:val="auto"/>
                <w:sz w:val="24"/>
                <w:lang w:val="zh-CN"/>
              </w:rPr>
              <w:t>账户名称：海南政辉招投标代理有限公司</w:t>
            </w:r>
          </w:p>
          <w:p>
            <w:pPr>
              <w:spacing w:line="360" w:lineRule="auto"/>
              <w:rPr>
                <w:rFonts w:ascii="仿宋" w:hAnsi="仿宋" w:eastAsia="仿宋" w:cs="Arial"/>
                <w:color w:val="auto"/>
                <w:sz w:val="24"/>
                <w:szCs w:val="24"/>
              </w:rPr>
            </w:pPr>
            <w:r>
              <w:rPr>
                <w:rFonts w:hint="eastAsia" w:ascii="仿宋" w:hAnsi="仿宋" w:eastAsia="仿宋" w:cs="Arial"/>
                <w:color w:val="auto"/>
                <w:sz w:val="24"/>
                <w:szCs w:val="24"/>
              </w:rPr>
              <w:t>开户行：中国工商银行股份有限公司海口新华支行</w:t>
            </w:r>
          </w:p>
          <w:p>
            <w:pPr>
              <w:spacing w:line="360" w:lineRule="auto"/>
              <w:rPr>
                <w:rFonts w:ascii="仿宋" w:hAnsi="仿宋" w:eastAsia="仿宋" w:cs="宋体"/>
                <w:color w:val="auto"/>
                <w:sz w:val="24"/>
                <w:szCs w:val="24"/>
              </w:rPr>
            </w:pPr>
            <w:r>
              <w:rPr>
                <w:rFonts w:hint="eastAsia" w:ascii="仿宋" w:hAnsi="仿宋" w:eastAsia="仿宋" w:cs="Arial"/>
                <w:color w:val="auto"/>
                <w:sz w:val="24"/>
                <w:szCs w:val="24"/>
              </w:rPr>
              <w:t>账  户：2201023809200980178</w:t>
            </w:r>
          </w:p>
          <w:p>
            <w:pPr>
              <w:pStyle w:val="93"/>
              <w:spacing w:line="360" w:lineRule="auto"/>
              <w:rPr>
                <w:rFonts w:ascii="仿宋" w:hAnsi="仿宋" w:eastAsia="仿宋" w:cs="仿宋"/>
                <w:color w:val="auto"/>
              </w:rPr>
            </w:pPr>
            <w:r>
              <w:rPr>
                <w:rFonts w:hint="eastAsia" w:ascii="仿宋" w:hAnsi="仿宋" w:eastAsia="仿宋" w:cs="仿宋"/>
                <w:color w:val="auto"/>
              </w:rPr>
              <w:t>要求：谈判保证金以一次性转帐形式提交的，谈判保证金交纳截止时间以保证金到帐时间为准。</w:t>
            </w:r>
          </w:p>
          <w:p>
            <w:pPr>
              <w:pStyle w:val="19"/>
              <w:tabs>
                <w:tab w:val="left" w:pos="8360"/>
              </w:tabs>
              <w:spacing w:before="0" w:beforeAutospacing="0" w:after="0" w:afterAutospacing="0" w:line="360" w:lineRule="auto"/>
              <w:rPr>
                <w:rFonts w:ascii="仿宋" w:hAnsi="仿宋" w:eastAsia="仿宋" w:cs="仿宋"/>
                <w:color w:val="auto"/>
                <w:szCs w:val="24"/>
              </w:rPr>
            </w:pPr>
            <w:r>
              <w:rPr>
                <w:rFonts w:hint="eastAsia" w:ascii="仿宋" w:hAnsi="仿宋" w:eastAsia="仿宋" w:cs="仿宋"/>
                <w:color w:val="auto"/>
                <w:szCs w:val="24"/>
              </w:rPr>
              <w:t>提交保证金的付款人名称、供应商的公司名称须一致，否则响应无效。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15</w:t>
            </w:r>
          </w:p>
        </w:tc>
        <w:tc>
          <w:tcPr>
            <w:tcW w:w="2360" w:type="dxa"/>
            <w:vAlign w:val="center"/>
          </w:tcPr>
          <w:p>
            <w:pPr>
              <w:pStyle w:val="93"/>
              <w:spacing w:line="360" w:lineRule="auto"/>
              <w:ind w:left="33"/>
              <w:jc w:val="both"/>
              <w:rPr>
                <w:rFonts w:ascii="仿宋" w:hAnsi="仿宋" w:eastAsia="仿宋" w:cs="仿宋"/>
                <w:color w:val="auto"/>
                <w:lang w:val="zh-CN"/>
              </w:rPr>
            </w:pPr>
            <w:r>
              <w:rPr>
                <w:rFonts w:hint="eastAsia" w:ascii="仿宋" w:hAnsi="仿宋" w:eastAsia="仿宋" w:cs="仿宋"/>
                <w:color w:val="auto"/>
                <w:lang w:val="zh-CN"/>
              </w:rPr>
              <w:t>响应文件份数</w:t>
            </w:r>
          </w:p>
        </w:tc>
        <w:tc>
          <w:tcPr>
            <w:tcW w:w="5954" w:type="dxa"/>
            <w:vAlign w:val="center"/>
          </w:tcPr>
          <w:p>
            <w:pPr>
              <w:pStyle w:val="93"/>
              <w:spacing w:line="360" w:lineRule="auto"/>
              <w:rPr>
                <w:rFonts w:ascii="仿宋" w:hAnsi="仿宋" w:eastAsia="仿宋" w:cs="仿宋"/>
                <w:color w:val="auto"/>
                <w:lang w:val="zh-CN"/>
              </w:rPr>
            </w:pPr>
            <w:r>
              <w:rPr>
                <w:rFonts w:hint="eastAsia" w:ascii="仿宋" w:hAnsi="仿宋" w:eastAsia="仿宋" w:cs="仿宋"/>
                <w:color w:val="auto"/>
                <w:lang w:val="zh-CN"/>
              </w:rPr>
              <w:t>正本一份；副本二份；唱标信封一份（内含开标一览表）；电子版光碟或</w:t>
            </w:r>
            <w:r>
              <w:rPr>
                <w:rFonts w:hint="eastAsia" w:ascii="仿宋" w:hAnsi="仿宋" w:eastAsia="仿宋" w:cs="仿宋"/>
                <w:color w:val="auto"/>
              </w:rPr>
              <w:t>U盘</w:t>
            </w:r>
            <w:r>
              <w:rPr>
                <w:rFonts w:hint="eastAsia" w:ascii="仿宋" w:hAnsi="仿宋" w:eastAsia="仿宋" w:cs="仿宋"/>
                <w:color w:val="auto"/>
                <w:lang w:val="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63" w:type="dxa"/>
            <w:vAlign w:val="center"/>
          </w:tcPr>
          <w:p>
            <w:pPr>
              <w:pStyle w:val="6"/>
              <w:spacing w:line="360" w:lineRule="auto"/>
              <w:ind w:left="9"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rPr>
              <w:t>16</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响应文件封套上标示</w:t>
            </w:r>
          </w:p>
        </w:tc>
        <w:tc>
          <w:tcPr>
            <w:tcW w:w="5954"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响应文件：正本/副本/唱标信封/电子版响应文件</w:t>
            </w:r>
          </w:p>
          <w:p>
            <w:pPr>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项目名称:</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项目编号：</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供应商的名称（加盖公章）：</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供应商联系人姓名、联系电话：</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kern w:val="0"/>
                <w:sz w:val="24"/>
                <w:szCs w:val="24"/>
                <w:lang w:val="en-US" w:eastAsia="zh-CN"/>
              </w:rPr>
              <w:t>2020</w:t>
            </w:r>
            <w:bookmarkStart w:id="108" w:name="_GoBack"/>
            <w:bookmarkEnd w:id="108"/>
            <w:r>
              <w:rPr>
                <w:rFonts w:hint="eastAsia" w:ascii="仿宋" w:hAnsi="仿宋" w:eastAsia="仿宋" w:cs="仿宋"/>
                <w:color w:val="auto"/>
                <w:kern w:val="0"/>
                <w:sz w:val="24"/>
                <w:szCs w:val="24"/>
                <w:lang w:val="zh-CN"/>
              </w:rPr>
              <w:t>年月日时分前</w:t>
            </w:r>
            <w:r>
              <w:rPr>
                <w:rFonts w:hint="eastAsia" w:ascii="仿宋" w:hAnsi="仿宋" w:eastAsia="仿宋" w:cs="仿宋"/>
                <w:color w:val="auto"/>
                <w:sz w:val="24"/>
                <w:szCs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trPr>
        <w:tc>
          <w:tcPr>
            <w:tcW w:w="663" w:type="dxa"/>
            <w:vAlign w:val="center"/>
          </w:tcPr>
          <w:p>
            <w:pPr>
              <w:pStyle w:val="6"/>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代理服务费</w:t>
            </w:r>
          </w:p>
        </w:tc>
        <w:tc>
          <w:tcPr>
            <w:tcW w:w="5954" w:type="dxa"/>
            <w:vAlign w:val="center"/>
          </w:tcPr>
          <w:p>
            <w:pPr>
              <w:spacing w:line="360" w:lineRule="auto"/>
              <w:ind w:firstLine="480" w:firstLineChars="200"/>
              <w:outlineLvl w:val="1"/>
              <w:rPr>
                <w:rFonts w:ascii="仿宋" w:hAnsi="仿宋" w:eastAsia="仿宋" w:cs="仿宋"/>
                <w:color w:val="auto"/>
                <w:sz w:val="24"/>
                <w:szCs w:val="24"/>
              </w:rPr>
            </w:pPr>
            <w:bookmarkStart w:id="3" w:name="_Toc1660485"/>
            <w:r>
              <w:rPr>
                <w:rFonts w:hint="eastAsia" w:ascii="仿宋" w:hAnsi="仿宋" w:eastAsia="仿宋" w:cs="仿宋"/>
                <w:color w:val="auto"/>
                <w:sz w:val="24"/>
                <w:szCs w:val="24"/>
              </w:rPr>
              <w:t>以成交金额作为计算基数,参照按琼价费管【2011】225号收取通知规定,由成交供应商在领取成交通知书前，向采购代理机构交纳代理服务费。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663" w:type="dxa"/>
            <w:vAlign w:val="center"/>
          </w:tcPr>
          <w:p>
            <w:pPr>
              <w:pStyle w:val="6"/>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采购合同</w:t>
            </w:r>
          </w:p>
        </w:tc>
        <w:tc>
          <w:tcPr>
            <w:tcW w:w="5954" w:type="dxa"/>
            <w:vAlign w:val="center"/>
          </w:tcPr>
          <w:p>
            <w:pPr>
              <w:pStyle w:val="19"/>
              <w:spacing w:before="0" w:beforeAutospacing="0" w:after="0" w:afterAutospacing="0" w:line="555" w:lineRule="atLeast"/>
              <w:ind w:firstLine="480" w:firstLineChars="200"/>
              <w:rPr>
                <w:rFonts w:ascii="仿宋" w:hAnsi="仿宋" w:eastAsia="仿宋" w:cs="Arial"/>
                <w:color w:val="auto"/>
                <w:sz w:val="21"/>
                <w:szCs w:val="21"/>
              </w:rPr>
            </w:pPr>
            <w:r>
              <w:rPr>
                <w:rFonts w:hint="eastAsia" w:ascii="仿宋" w:hAnsi="仿宋" w:eastAsia="仿宋" w:cs="仿宋"/>
                <w:color w:val="auto"/>
                <w:kern w:val="2"/>
                <w:szCs w:val="24"/>
              </w:rPr>
              <w:t>中标供应商在领取到通知书后需在一个月内与采购人签订合同，并在签订合同后2个工作日内将合同送回我司，我司将根据法律法规依法公告；法律依据：《中华人民共和国政府采购法实施条例》</w:t>
            </w:r>
            <w:r>
              <w:rPr>
                <w:rFonts w:hint="eastAsia" w:ascii="仿宋" w:hAnsi="仿宋" w:eastAsia="仿宋" w:cs="仿宋"/>
                <w:b/>
                <w:bCs/>
                <w:color w:val="auto"/>
                <w:kern w:val="2"/>
                <w:szCs w:val="24"/>
              </w:rPr>
              <w:t>第五十</w:t>
            </w:r>
            <w:r>
              <w:rPr>
                <w:rFonts w:hint="eastAsia" w:ascii="仿宋" w:hAnsi="仿宋" w:eastAsia="仿宋" w:cs="仿宋"/>
                <w:color w:val="auto"/>
                <w:kern w:val="2"/>
                <w:szCs w:val="24"/>
              </w:rPr>
              <w:t>条款“采购人应当自政府采购合同签订之日起2个工作日内，将政府采购合同在省级以上人民政府财政部门指定的媒体上公告，但政府采购合同中涉及国家秘密、商业秘密的内容除外。”</w:t>
            </w:r>
          </w:p>
        </w:tc>
      </w:tr>
    </w:tbl>
    <w:p>
      <w:pPr>
        <w:spacing w:line="460" w:lineRule="exact"/>
        <w:ind w:firstLine="560"/>
        <w:jc w:val="center"/>
        <w:outlineLvl w:val="1"/>
        <w:rPr>
          <w:rFonts w:ascii="仿宋" w:hAnsi="仿宋" w:eastAsia="仿宋" w:cs="黑体"/>
          <w:b/>
          <w:color w:val="auto"/>
          <w:kern w:val="0"/>
          <w:sz w:val="24"/>
        </w:rPr>
      </w:pPr>
      <w:bookmarkStart w:id="4" w:name="_Toc1660486"/>
      <w:r>
        <w:rPr>
          <w:rFonts w:hint="eastAsia" w:ascii="仿宋" w:hAnsi="仿宋" w:eastAsia="仿宋" w:cs="黑体"/>
          <w:b/>
          <w:color w:val="auto"/>
          <w:kern w:val="0"/>
          <w:sz w:val="24"/>
        </w:rPr>
        <w:t>一、总则</w:t>
      </w:r>
      <w:bookmarkEnd w:id="4"/>
    </w:p>
    <w:p>
      <w:pPr>
        <w:spacing w:line="460" w:lineRule="exact"/>
        <w:ind w:firstLine="561"/>
        <w:rPr>
          <w:rFonts w:ascii="仿宋" w:hAnsi="仿宋" w:eastAsia="仿宋" w:cs="宋体"/>
          <w:b/>
          <w:bCs/>
          <w:color w:val="auto"/>
          <w:kern w:val="0"/>
          <w:sz w:val="24"/>
        </w:rPr>
      </w:pPr>
    </w:p>
    <w:p>
      <w:pPr>
        <w:spacing w:line="360" w:lineRule="auto"/>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1.基本要求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 xml:space="preserve">1.1 </w:t>
      </w:r>
      <w:r>
        <w:rPr>
          <w:rFonts w:hint="eastAsia" w:ascii="仿宋" w:hAnsi="仿宋" w:eastAsia="仿宋" w:cs="仿宋"/>
          <w:color w:val="auto"/>
          <w:sz w:val="24"/>
          <w:szCs w:val="24"/>
        </w:rPr>
        <w:t>本竞争性谈判文件适用于本文件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中所述货物及相关服务的谈判响应。</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1.2 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2.定义</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2.1“采购人”系指本项目的采购人，含采购需求者和使用者，在履行合同阶段称为甲方或买方，名称详见供应商须知前附表第1条。</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2.2“采购代理机构”系指组织本次采购活动的海南政辉招投标代理有限公司。</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2.3“供应商”系指</w:t>
      </w:r>
      <w:r>
        <w:rPr>
          <w:rFonts w:hint="eastAsia" w:ascii="仿宋" w:hAnsi="仿宋" w:eastAsia="仿宋" w:cs="仿宋"/>
          <w:color w:val="auto"/>
          <w:sz w:val="24"/>
          <w:szCs w:val="24"/>
          <w:lang w:val="zh-CN"/>
        </w:rPr>
        <w:t>响应并且符合竞争性谈判文件规定资格条件和参加谈判的法人、其他组织或者自然人。</w:t>
      </w:r>
      <w:r>
        <w:rPr>
          <w:rFonts w:hint="eastAsia" w:ascii="仿宋" w:hAnsi="仿宋" w:eastAsia="仿宋" w:cs="仿宋"/>
          <w:color w:val="auto"/>
          <w:sz w:val="24"/>
          <w:szCs w:val="24"/>
        </w:rPr>
        <w:t>在谈判阶段称为供应商、供应商在签订和履行合同阶段称为乙方、卖方或成交供应商。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2.4“潜在供应商”指符合本竞争性谈判文件各项规定的合格供应商。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 “服务”指本竞争性谈判文件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所述供应商应该履行的承诺和义务。</w:t>
      </w:r>
      <w:bookmarkStart w:id="5" w:name="_Toc267320062"/>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 本竞争性谈判文件规定按日计算期间的，开始当天不计入，从次日开始计算。期限的最后一日是国家法定节假日的，顺延到节假日后的次日为期限的最后一日。</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3.合格的</w:t>
      </w:r>
      <w:bookmarkEnd w:id="5"/>
      <w:r>
        <w:rPr>
          <w:rFonts w:hint="eastAsia" w:ascii="仿宋" w:hAnsi="仿宋" w:eastAsia="仿宋" w:cs="仿宋"/>
          <w:b/>
          <w:bCs/>
          <w:color w:val="auto"/>
          <w:sz w:val="24"/>
          <w:szCs w:val="24"/>
        </w:rPr>
        <w:t>供应商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3.1合格供应商条件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3.1.1具有本项目实施能力，符合、承认并承诺履行本竞争性谈判文件各项规定的国内供应商均可参加谈判。</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3.1.2 供应商应符合《中华人民共和国政府采购法》规定的条件：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（5）参加此项采购活动前三年内，在经营活动中没有重大违法记录；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3.1.3在“信用中国”网站（www.creditchina.gov.cn）、中国政府采购网（www.ccgp.gov.cn）没有列入失信被执行人、重大税收违法案件当事人名单、政府采购严重违法失信行为记录名单的供应商；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3.2 关系供应商限制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3.3 联合体响应</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本项目不接受联合体响应。</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3.4供应商的风险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3.4.1如供应商代表不是法定代表人/主要负责人，在递交响应文件时须出示身份证原件，并递交身份证复印件和法定代表人/主要负责人授权委托书原件或复印件（按竞争性谈判文件格式填写），否则响应文件将被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；如供应商代表是法定代表人/主要负责人，在递交响应文件时须出示身份证原件，并递交身份证复印件，否则响应文件将被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3.4.2供应商没有按照竞争性谈判文件的要求编制、签署、密封、标记、递交及修正响应文件的，自行承担响应无效的风险。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3.4.3响应文件没有对竞争性谈判文件在各方面都做出实质性响应的，视为不合格供应商。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3.4.4供应商提交的响应文件内容有下列情形之一的，一经发现，采购代理机构或采购人在任何时候都有权依法追究供应商的责任：</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（1）提供虚假的资料。</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（2）在实质性方面失实。</w:t>
      </w:r>
    </w:p>
    <w:p>
      <w:pPr>
        <w:spacing w:line="360" w:lineRule="auto"/>
        <w:ind w:firstLine="482" w:firstLineChars="200"/>
        <w:rPr>
          <w:rFonts w:ascii="仿宋" w:hAnsi="仿宋" w:eastAsia="仿宋" w:cs="仿宋_GB2312"/>
          <w:b/>
          <w:bCs/>
          <w:color w:val="auto"/>
          <w:sz w:val="24"/>
        </w:rPr>
      </w:pPr>
      <w:r>
        <w:rPr>
          <w:rFonts w:hint="eastAsia" w:ascii="仿宋" w:hAnsi="仿宋" w:eastAsia="仿宋" w:cs="仿宋_GB2312"/>
          <w:b/>
          <w:bCs/>
          <w:color w:val="auto"/>
          <w:sz w:val="24"/>
        </w:rPr>
        <w:t>3.5供应商家数的计算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用最低评标价法的采购项目，提供相同品牌产品的不同供应商参加同一合同项下报价的，以其中通过资格审查、符合性审查且报价最低的参加评审；报价相同的，由采购人或者采购人委托评标委员会按照竞争性谈判文件规定的方式确定一个参加评标的供应商，竞争性谈判文件未规定的采取随机抽取方式确定，其他报价无效。</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非单一产品采购项目，采购人应当根据采购项目技术构成、产品价格比重等合理确定核心产品，并在会议纪要中载明。多家供应商提供的核心产品品牌相同的，按前款规定处理。</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4.响应费用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4.1无论谈判过程中的做法和结果如何，供应商自行承担所有与参加谈判活动有关的全部费用，采购代理机构和采购人在任何情况下均无义务和责任承担这些费用；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4.2本次采购活动，代理服务费的交纳详见供应商须知前附表要求。</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5.中小企业政策及节能环保、信息安全要求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政策优惠条件及要求:根据财政部、工业和信息化部关于《政府采购促进中小企业发展暂行办法》（财库【2011】181号）的要求，政府采购项目的政策优惠条件及要求如下：</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5.1根据财政部、工业和信息化部关于《政府采购促进中小企业发展暂行办法》（财库【2011】181号）的要求，对于非专门面对中小企业的项目，对小型和微型企业的价格给予6%的扣除，用扣除后的价格参与评审。</w:t>
      </w:r>
    </w:p>
    <w:p>
      <w:pPr>
        <w:pStyle w:val="93"/>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享受政策优惠的小型、微型投标人须提供合法有效的“中小企业声明函”原件及中华人民共和国工商行政管理总局官网上“小微企业名录”查询截图（ </w:t>
      </w:r>
      <w:r>
        <w:rPr>
          <w:color w:val="auto"/>
        </w:rPr>
        <w:fldChar w:fldCharType="begin"/>
      </w:r>
      <w:r>
        <w:rPr>
          <w:color w:val="auto"/>
        </w:rPr>
        <w:instrText xml:space="preserve"> HYPERLINK "http://xwqy.gsxt.gov.cn/））或残疾人福利性单位声明函。如不满足以上三项要求，采购代理机构一律不给予价格评审优惠政策。" </w:instrText>
      </w:r>
      <w:r>
        <w:rPr>
          <w:color w:val="auto"/>
        </w:rPr>
        <w:fldChar w:fldCharType="separate"/>
      </w:r>
      <w:r>
        <w:rPr>
          <w:rStyle w:val="32"/>
          <w:rFonts w:hint="eastAsia" w:ascii="仿宋" w:hAnsi="仿宋" w:eastAsia="仿宋" w:cs="仿宋"/>
          <w:color w:val="auto"/>
          <w:kern w:val="2"/>
        </w:rPr>
        <w:t>http://xwqy.gsxt.gov.cn/）</w:t>
      </w:r>
      <w:r>
        <w:rPr>
          <w:rStyle w:val="32"/>
          <w:rFonts w:hint="eastAsia" w:ascii="仿宋" w:hAnsi="仿宋" w:eastAsia="仿宋" w:cs="仿宋"/>
          <w:color w:val="auto"/>
          <w:kern w:val="2"/>
          <w:lang w:val="zh-CN"/>
        </w:rPr>
        <w:t>）；</w:t>
      </w:r>
      <w:r>
        <w:rPr>
          <w:rStyle w:val="32"/>
          <w:rFonts w:hint="eastAsia" w:ascii="仿宋" w:hAnsi="仿宋" w:eastAsia="仿宋" w:cs="仿宋"/>
          <w:color w:val="auto"/>
          <w:kern w:val="2"/>
          <w:lang w:val="zh-CN"/>
        </w:rPr>
        <w:fldChar w:fldCharType="end"/>
      </w:r>
      <w:r>
        <w:rPr>
          <w:rFonts w:hint="eastAsia" w:ascii="仿宋" w:hAnsi="仿宋" w:eastAsia="仿宋" w:cs="仿宋"/>
          <w:color w:val="auto"/>
          <w:kern w:val="2"/>
        </w:rPr>
        <w:t>未按要求提供的，视为放弃享受小微企业价格扣除优惠政策。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5.2 参加政府采购活动的残疾人福利性单位应当提供《残疾人福利性单位声明函》原件，未提供的，视为放弃享受小微企业价格扣除优惠政策。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5.3 根据《司法部关于政府采购支持监狱企业发展有关问题的通知》（财库[2014]68号）及《海南省财政厅、海南省司法厅关于政府采购支持监狱企业发展的实施意见》（琼财采[2018]611号）的规定，在政府采购活动中，监狱企业视同小型、微型企业。（提供由省级以上监狱管理局、戒毒管理局（含新疆生产建设兵团）出具的属于监狱企业的证明文件复印件，提交原件核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5.4本次招标优先选购中华人民共和国财政部公布的《节能环保产品目录》的标的物。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 关于强制采购节能产品和优先采购环境标志产品的要求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5.5.1 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的产品为准。</w:t>
      </w:r>
      <w:r>
        <w:rPr>
          <w:rFonts w:hint="eastAsia" w:ascii="仿宋" w:hAnsi="仿宋" w:eastAsia="仿宋" w:cs="仿宋"/>
          <w:color w:val="auto"/>
          <w:sz w:val="24"/>
        </w:rPr>
        <w:br w:type="textWrapping"/>
      </w:r>
      <w:r>
        <w:rPr>
          <w:rFonts w:hint="eastAsia" w:ascii="仿宋" w:hAnsi="仿宋" w:eastAsia="仿宋" w:cs="仿宋"/>
          <w:color w:val="auto"/>
          <w:sz w:val="24"/>
        </w:rPr>
        <w:t xml:space="preserve">    5.5.2 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6、注意事项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pPr>
        <w:spacing w:line="360" w:lineRule="auto"/>
        <w:ind w:firstLine="590" w:firstLineChars="245"/>
        <w:jc w:val="center"/>
        <w:rPr>
          <w:rFonts w:ascii="仿宋" w:hAnsi="仿宋" w:eastAsia="仿宋" w:cs="宋体"/>
          <w:b/>
          <w:color w:val="auto"/>
          <w:sz w:val="24"/>
        </w:rPr>
      </w:pPr>
      <w:bookmarkStart w:id="6" w:name="_Toc246826107"/>
      <w:r>
        <w:rPr>
          <w:rFonts w:hint="eastAsia" w:ascii="仿宋" w:hAnsi="仿宋" w:eastAsia="仿宋" w:cs="黑体"/>
          <w:b/>
          <w:color w:val="auto"/>
          <w:sz w:val="24"/>
        </w:rPr>
        <w:t>二、</w:t>
      </w:r>
      <w:bookmarkEnd w:id="6"/>
      <w:r>
        <w:rPr>
          <w:rFonts w:hint="eastAsia" w:ascii="仿宋" w:hAnsi="仿宋" w:eastAsia="仿宋" w:cs="黑体"/>
          <w:b/>
          <w:color w:val="auto"/>
          <w:sz w:val="24"/>
        </w:rPr>
        <w:t>竞争性谈判文件</w:t>
      </w:r>
    </w:p>
    <w:p>
      <w:pPr>
        <w:spacing w:line="360" w:lineRule="auto"/>
        <w:ind w:firstLine="561"/>
        <w:outlineLvl w:val="1"/>
        <w:rPr>
          <w:rFonts w:ascii="仿宋" w:hAnsi="仿宋" w:eastAsia="仿宋" w:cs="宋体"/>
          <w:color w:val="auto"/>
          <w:sz w:val="24"/>
        </w:rPr>
      </w:pP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7.竞争性谈判文件的组成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7.1竞争性谈判文件用以阐明供应商准备响应文件所必须的信息，以及谈判、开标、评审和签订合同等有关规定。竞争性谈判文件由下述部分组成：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（1）谈判邀请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（2）谈判须知</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（3）采购需求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（4）合同文本</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（5）报价内容和格式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（6）评审办法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 谈判供应商应详细阅读竞争性谈判文件的全部内容。如果谈判供应商没有按照竞争性谈判文件要求提交全部资料或者没有对竞争性谈判文件在各方面的要求都做出实质性响应，可能导致其谈判被拒绝。</w:t>
      </w:r>
    </w:p>
    <w:p>
      <w:pPr>
        <w:spacing w:line="360" w:lineRule="auto"/>
        <w:rPr>
          <w:rFonts w:ascii="仿宋" w:hAnsi="仿宋" w:eastAsia="仿宋" w:cs="仿宋"/>
          <w:b/>
          <w:bCs/>
          <w:color w:val="auto"/>
          <w:sz w:val="24"/>
          <w:szCs w:val="24"/>
        </w:rPr>
      </w:pPr>
      <w:bookmarkStart w:id="7" w:name="_Toc183682348"/>
      <w:bookmarkStart w:id="8" w:name="_Toc183582211"/>
      <w:bookmarkStart w:id="9" w:name="_Toc217446040"/>
      <w:r>
        <w:rPr>
          <w:rFonts w:hint="eastAsia" w:ascii="仿宋" w:hAnsi="仿宋" w:eastAsia="仿宋" w:cs="仿宋"/>
          <w:b/>
          <w:bCs/>
          <w:color w:val="auto"/>
          <w:sz w:val="24"/>
          <w:szCs w:val="24"/>
        </w:rPr>
        <w:t>8.竞争性谈判文件的澄清</w:t>
      </w:r>
      <w:bookmarkEnd w:id="7"/>
      <w:bookmarkEnd w:id="8"/>
      <w:r>
        <w:rPr>
          <w:rFonts w:hint="eastAsia" w:ascii="仿宋" w:hAnsi="仿宋" w:eastAsia="仿宋" w:cs="仿宋"/>
          <w:b/>
          <w:bCs/>
          <w:color w:val="auto"/>
          <w:sz w:val="24"/>
          <w:szCs w:val="24"/>
        </w:rPr>
        <w:t>和修改</w:t>
      </w:r>
      <w:bookmarkEnd w:id="9"/>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8.1 在谈判截止时间前，采购代理机构无论出于何种原因，可以对竞争性谈判文件进行必要的补遗、澄清或修改。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8.2</w:t>
      </w:r>
      <w:bookmarkStart w:id="10" w:name="_Toc430490613"/>
      <w:bookmarkStart w:id="11" w:name="_Toc430489120"/>
      <w:bookmarkStart w:id="12" w:name="_Toc430488852"/>
      <w:bookmarkStart w:id="13" w:name="_Toc415567498"/>
      <w:bookmarkStart w:id="14" w:name="_Toc430492127"/>
      <w:bookmarkStart w:id="15" w:name="_Toc430488645"/>
      <w:bookmarkStart w:id="16" w:name="_Toc430422414"/>
      <w:r>
        <w:rPr>
          <w:rFonts w:hint="eastAsia" w:ascii="仿宋" w:hAnsi="仿宋" w:eastAsia="仿宋" w:cs="仿宋"/>
          <w:color w:val="auto"/>
          <w:sz w:val="24"/>
          <w:szCs w:val="24"/>
        </w:rPr>
        <w:t xml:space="preserve"> 竞争性谈判文件的</w:t>
      </w:r>
      <w:bookmarkEnd w:id="10"/>
      <w:bookmarkEnd w:id="11"/>
      <w:bookmarkEnd w:id="12"/>
      <w:bookmarkEnd w:id="13"/>
      <w:bookmarkEnd w:id="14"/>
      <w:bookmarkEnd w:id="15"/>
      <w:bookmarkEnd w:id="16"/>
      <w:r>
        <w:rPr>
          <w:rFonts w:hint="eastAsia" w:ascii="仿宋" w:hAnsi="仿宋" w:eastAsia="仿宋" w:cs="仿宋"/>
          <w:color w:val="auto"/>
          <w:sz w:val="24"/>
          <w:szCs w:val="24"/>
        </w:rPr>
        <w:t>补遗、澄清或修改</w:t>
      </w:r>
    </w:p>
    <w:p>
      <w:pPr>
        <w:spacing w:line="360" w:lineRule="auto"/>
        <w:ind w:firstLine="480" w:firstLineChars="200"/>
        <w:rPr>
          <w:rFonts w:ascii="仿宋" w:hAnsi="仿宋" w:eastAsia="仿宋" w:cs="仿宋"/>
          <w:color w:val="auto"/>
          <w:sz w:val="24"/>
          <w:szCs w:val="24"/>
        </w:rPr>
      </w:pPr>
      <w:bookmarkStart w:id="17" w:name="OLE_LINK5"/>
      <w:bookmarkStart w:id="18" w:name="_Toc208848971"/>
      <w:bookmarkStart w:id="19" w:name="_Toc217446041"/>
      <w:r>
        <w:rPr>
          <w:rFonts w:hint="eastAsia" w:ascii="仿宋" w:hAnsi="仿宋" w:eastAsia="仿宋" w:cs="仿宋"/>
          <w:color w:val="auto"/>
          <w:sz w:val="24"/>
          <w:szCs w:val="24"/>
        </w:rPr>
        <w:t>（</w:t>
      </w:r>
      <w:bookmarkStart w:id="20" w:name="OLE_LINK4"/>
      <w:r>
        <w:rPr>
          <w:rFonts w:hint="eastAsia" w:ascii="仿宋" w:hAnsi="仿宋" w:eastAsia="仿宋" w:cs="仿宋"/>
          <w:color w:val="auto"/>
          <w:sz w:val="24"/>
          <w:szCs w:val="24"/>
        </w:rPr>
        <w:t>1）在提交首次响应文件截止之日前，采购人、采购代理机构无论出于何种原因，可以对竞争性谈判文件进行必要的补遗、澄清或修改；补遗、澄清或修改内容可能影响响应文件编制的，</w:t>
      </w:r>
      <w:bookmarkStart w:id="21" w:name="OLE_LINK3"/>
      <w:r>
        <w:rPr>
          <w:rFonts w:hint="eastAsia" w:ascii="仿宋" w:hAnsi="仿宋" w:eastAsia="仿宋" w:cs="仿宋"/>
          <w:color w:val="auto"/>
          <w:sz w:val="24"/>
          <w:szCs w:val="24"/>
        </w:rPr>
        <w:t>采购代理机构</w:t>
      </w:r>
      <w:bookmarkEnd w:id="21"/>
      <w:r>
        <w:rPr>
          <w:rFonts w:hint="eastAsia" w:ascii="仿宋" w:hAnsi="仿宋" w:eastAsia="仿宋" w:cs="仿宋"/>
          <w:color w:val="auto"/>
          <w:sz w:val="24"/>
          <w:szCs w:val="24"/>
        </w:rPr>
        <w:t>须在首次递交响应文件截止之日3个工作日前，发布公告或以书面形式通知所有获取竞争性谈判文件的潜在供应商；不足3个工作日的，采购代理机构应当顺延首次递交响应文件和谈判时间，在此情况下，采购当事人受首次递交响应文件截止期制约的所有权利和义务均应延长至新的截止日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17"/>
      <w:bookmarkEnd w:id="20"/>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9.其他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9.1标前答疑会和现场</w:t>
      </w:r>
      <w:bookmarkEnd w:id="18"/>
      <w:bookmarkEnd w:id="19"/>
      <w:r>
        <w:rPr>
          <w:rFonts w:hint="eastAsia" w:ascii="仿宋" w:hAnsi="仿宋" w:eastAsia="仿宋" w:cs="仿宋"/>
          <w:color w:val="auto"/>
          <w:sz w:val="24"/>
          <w:szCs w:val="24"/>
        </w:rPr>
        <w:t>踏勘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9.1.2答疑会上，采购代理机构或/和采购人将解答供应商的疑问。</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9.1.3采购代理机构或/和采购人在踏勘现场中口头介绍的情况（如有），供供应商在编制响应文件时参考，采购代理机构或/和采购人不对供应商据此作出的判断和决策负责。</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9.1.4采购代理机构不单独或者分别组织只有1个供应商参加的现场考察。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9.1.5供应商自行承担参加答疑或现场考察所发生的一切费用。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9.2述标和/或产（样）品演（展）示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具体要求详见第三章“采购需求”和/或“供应商须知前附表”有关规定。</w:t>
      </w:r>
    </w:p>
    <w:p>
      <w:pPr>
        <w:spacing w:line="360" w:lineRule="auto"/>
        <w:ind w:firstLine="480" w:firstLineChars="200"/>
        <w:rPr>
          <w:rFonts w:ascii="仿宋" w:hAnsi="仿宋" w:eastAsia="仿宋" w:cs="仿宋"/>
          <w:color w:val="auto"/>
          <w:sz w:val="24"/>
          <w:szCs w:val="24"/>
        </w:rPr>
      </w:pPr>
    </w:p>
    <w:p>
      <w:pPr>
        <w:numPr>
          <w:ilvl w:val="0"/>
          <w:numId w:val="2"/>
        </w:numPr>
        <w:spacing w:line="360" w:lineRule="auto"/>
        <w:ind w:firstLine="561"/>
        <w:jc w:val="center"/>
        <w:outlineLvl w:val="1"/>
        <w:rPr>
          <w:rFonts w:ascii="仿宋" w:hAnsi="仿宋" w:eastAsia="仿宋" w:cs="黑体"/>
          <w:b/>
          <w:color w:val="auto"/>
          <w:sz w:val="24"/>
        </w:rPr>
      </w:pPr>
      <w:bookmarkStart w:id="22" w:name="_Toc1660487"/>
      <w:bookmarkStart w:id="23" w:name="_Toc246826110"/>
      <w:r>
        <w:rPr>
          <w:rFonts w:hint="eastAsia" w:ascii="仿宋" w:hAnsi="仿宋" w:eastAsia="仿宋" w:cs="黑体"/>
          <w:b/>
          <w:color w:val="auto"/>
          <w:sz w:val="24"/>
        </w:rPr>
        <w:t>响应文件</w:t>
      </w:r>
      <w:bookmarkEnd w:id="22"/>
      <w:bookmarkEnd w:id="23"/>
    </w:p>
    <w:p>
      <w:pPr>
        <w:spacing w:line="360" w:lineRule="auto"/>
        <w:outlineLvl w:val="1"/>
        <w:rPr>
          <w:rFonts w:ascii="仿宋" w:hAnsi="仿宋" w:eastAsia="仿宋" w:cs="仿宋"/>
          <w:b/>
          <w:color w:val="auto"/>
          <w:sz w:val="24"/>
          <w:szCs w:val="24"/>
        </w:rPr>
      </w:pP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10.响应文件的语言和计量单位</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10.2计量单位：除技术规格及要求中另有规定外，本采购项下的响应均采用国家法定的计量单位。</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10.3货币单位：本次采购项目的响应均以人民币报价。</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11.知识产权</w:t>
      </w:r>
    </w:p>
    <w:p>
      <w:pPr>
        <w:pStyle w:val="9"/>
        <w:ind w:left="0" w:firstLine="480" w:firstLineChars="200"/>
        <w:rPr>
          <w:rFonts w:ascii="仿宋" w:hAnsi="仿宋" w:eastAsia="仿宋" w:cs="仿宋"/>
          <w:color w:val="auto"/>
          <w:szCs w:val="24"/>
        </w:rPr>
      </w:pPr>
      <w:r>
        <w:rPr>
          <w:rFonts w:hint="eastAsia" w:ascii="仿宋" w:hAnsi="仿宋" w:eastAsia="仿宋" w:cs="仿宋"/>
          <w:color w:val="auto"/>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9"/>
        <w:ind w:left="0" w:firstLine="480" w:firstLineChars="200"/>
        <w:rPr>
          <w:rFonts w:ascii="仿宋" w:hAnsi="仿宋" w:eastAsia="仿宋" w:cs="仿宋"/>
          <w:color w:val="auto"/>
          <w:szCs w:val="24"/>
        </w:rPr>
      </w:pPr>
      <w:r>
        <w:rPr>
          <w:rFonts w:hint="eastAsia" w:ascii="仿宋" w:hAnsi="仿宋" w:eastAsia="仿宋" w:cs="仿宋"/>
          <w:color w:val="auto"/>
          <w:szCs w:val="24"/>
        </w:rPr>
        <w:t>11.2 采购人享有本项目实施过程中产生的知识成果及知识产权。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11.4 如采用供应商所不拥有的知识产权，则在报价中必须包括合法获取该知识产权的相关费用。 </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12.响应文件要求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12.1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12.2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13.响应文件编写</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13.1按照竞争性谈判文件中</w:t>
      </w:r>
      <w:r>
        <w:rPr>
          <w:rFonts w:hint="eastAsia" w:ascii="仿宋" w:hAnsi="仿宋" w:eastAsia="仿宋" w:cs="仿宋"/>
          <w:bCs/>
          <w:color w:val="auto"/>
          <w:sz w:val="24"/>
          <w:szCs w:val="24"/>
        </w:rPr>
        <w:t>第五章</w:t>
      </w:r>
      <w:r>
        <w:rPr>
          <w:rFonts w:hint="eastAsia" w:ascii="仿宋" w:hAnsi="仿宋" w:eastAsia="仿宋" w:cs="仿宋"/>
          <w:color w:val="auto"/>
          <w:sz w:val="24"/>
          <w:szCs w:val="24"/>
        </w:rPr>
        <w:t>对响应材料格式部分规定的顺序，统一编目编码并编制目录，响应文件应装订牢固不可拆卸（如：胶订）。由于编排混乱导致响应文件被误读或查找不到，责任应当由供应商承担。</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13.2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pPr>
        <w:spacing w:line="360" w:lineRule="auto"/>
        <w:ind w:firstLine="480" w:firstLineChars="200"/>
        <w:outlineLvl w:val="1"/>
        <w:rPr>
          <w:rFonts w:ascii="仿宋" w:hAnsi="仿宋" w:eastAsia="仿宋" w:cs="仿宋"/>
          <w:color w:val="auto"/>
          <w:sz w:val="24"/>
          <w:szCs w:val="24"/>
        </w:rPr>
      </w:pPr>
      <w:bookmarkStart w:id="24" w:name="_Toc1660488"/>
      <w:r>
        <w:rPr>
          <w:rFonts w:hint="eastAsia" w:ascii="仿宋" w:hAnsi="仿宋" w:eastAsia="仿宋" w:cs="仿宋"/>
          <w:color w:val="auto"/>
          <w:sz w:val="24"/>
          <w:szCs w:val="24"/>
        </w:rPr>
        <w:t>13.3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24"/>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14.响应报价</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 响应报价要求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14.1.1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14.1.2供应商投报多包的，应对每包分别报价并分别填报开标一览表。</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14.1.3供应商应按第五章分项报价明细表的内容填写服务内容、总价及其他事项。开标一览表中价格填报处不应有空白，如无费用可填报“/”。</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14.1.4供应商对响应报价若有说明应在开标一览表显著处注明，只有开标时唱出的报价和优惠才会在评标时予以考虑。</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14.1.5响应的报价优惠应对应开标一览表、响应报价明细表等提供相应的明细清单。除报价优惠外，任何超出竞争性谈判文件要求而额外赠送的货物、免费培训等其他形式的优惠，在评审时将不具有竞争优势。</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14.1.6对于有分项及特殊需求的服务内容，应由供应商自行设计相关格式。供应商按照上述要求分类报价，其目的是便于评标，但在任何情况下并不限制采购代理机构或采购人以其他条款签订合同的权利。</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14.2最低报价不能作为成交的保证。</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14.3 响应文件报价出现前后不一致的，按照下列规定修正：</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 xml:space="preserve">（1）响应文件中开标一览表内容与竞争性谈判文件中相应内容不一致的，以开标一览表为准； </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（2）大写金额和小写金额不一致的，以大写金额为准；</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（3）单价金额小数点或者百分比有明显错位的，以开标一览表的总价为准，并修改单价；</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（4）总价金额与按单价汇总金额不一致的，以单价金额计算结果为准。</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同时出现两种以上不一致的，按照前款规定的顺序修正。修正后的报价按照24.8条的规定经供应商确认后产生约束力，供应商不确认的，其响应无效。</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15.谈判保证金</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15.1 谈判保证金为响应文件的组成部分之一，谈判保证金用于保护本次采购活动免受供应商的行为而引起的风险。</w:t>
      </w:r>
    </w:p>
    <w:p>
      <w:pPr>
        <w:pStyle w:val="8"/>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15.2采购人或采购代理机构应当自成交通知书发出之日起5个工作日内退还未成交供应商的谈判保证金，自签订合同之日起5个工作日内退还成交供应商的谈判保证金或者转化为成交供应商的履约保证金。由于供应商的自身原因未及时办理谈判保证金退还的，其责任和由此造成的后果由供应商自行承担。</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15.3谈判保证金的有效期与响应有效期一致，否则视为无效响应。</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15.4供应商办理谈判保证金手续时，请务必注明采购项目名称、编号，在“付款人”一栏中填写响应单位名称（须与购买竞争性谈判文件的单位名称一致，否则自行承担由此产生的风险）。</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15.5供应商在谈判截止时间前撤回已提交的响应文件的，采购代理机构应当自收到供应商书面撤回通知之日起5个工作日内，退还已收取的谈判保证金，但因供应商自身原因导致无法退还的除外。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15.6发生以下情况之一的，谈判保证金可以不予退还：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（1）在提交响应文件截止时间后撤回响应文件的；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（2）在响应文件中提供虚假材料的；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（3）除因不可抗力或竞争性谈判文件认可的情形以外，成交供应商不与采购人签订合同的；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（4）供应商与采购人、其他供应商或者采购代理机构恶意串通的；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（5）成交后不领取或者不接收成交通知书的；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（6）由于成交供应商的原因未能按照竞争性谈判文件的规定交纳履约保证金的；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（7）响应有效期内，供应商在政府采购活动中有违法、违规、违纪行为。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（8）响应有效期内，供应商撤销响应文件的。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上述不予退还谈判保证金的情况给采购代理机构造成损失的，还要承担赔偿责任。</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16.响应文件的有效期</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16.1本项目响应文件的有效期详见供应商须知前附表第14条。有效期不足将导致其响应无效。响应截止时间后，供应商在响应有效期内不得撤销响应文件。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17.响应文件的签署及其他规定</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17.1组成响应文件的各项文件均应遵守本条规定。</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17.2响应文件签署要求如下：</w:t>
      </w:r>
    </w:p>
    <w:p>
      <w:pPr>
        <w:pStyle w:val="97"/>
        <w:numPr>
          <w:ilvl w:val="0"/>
          <w:numId w:val="3"/>
        </w:num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响应文件所使用的印章必须为单位公章，且与供应商单位名称完全一致，不能以其它业务章或附属机构印章代替，否则视为无效响应文件；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（2）响应文件如有改动，必须在改动之处加盖单位公章或响应代表签字（或盖名章）摁手印；</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17.3供应商应按照竞争性谈判文件第六章中提供的“响应文件格式”编制响应文件，如自有格式并按其格式编制的响应文件，其内容必须包含“响应文件格式”中所有的实质性内容并受其约束。</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17.4正本、副本必须打印装订，响应文件的正本须经法人代表/负责人或授权代表在规定处签字，并在规定处加盖公章，副本可以用正本的完整复印件，并在封面标明“正本”、“副本”字样。正本与副本如有不一致，则以正本为准。响应文件正本所加盖的供应商公章必须为鲜章，否则投标无效。</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17.5因响应文件字迹潦草或表达不清所引起的不利后果由供应商承担。</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18.响应文件的密封和递交</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bCs/>
          <w:color w:val="auto"/>
          <w:sz w:val="24"/>
          <w:szCs w:val="24"/>
        </w:rPr>
        <w:t>18.1响应文件的密封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szCs w:val="24"/>
        </w:rPr>
        <w:t>供应商须提供密封的响应文件正本及全部副本、单独密封的电子版响应文件、单独密封的唱标信封。</w:t>
      </w:r>
      <w:r>
        <w:rPr>
          <w:rFonts w:hint="eastAsia" w:ascii="仿宋" w:hAnsi="仿宋" w:eastAsia="仿宋" w:cs="仿宋"/>
          <w:color w:val="auto"/>
          <w:sz w:val="24"/>
        </w:rPr>
        <w:t>响应文件须密封并在封套的封口处加盖供应商单位公章。</w:t>
      </w:r>
      <w:r>
        <w:rPr>
          <w:rFonts w:hint="eastAsia" w:ascii="仿宋" w:hAnsi="仿宋" w:eastAsia="仿宋" w:cs="仿宋"/>
          <w:color w:val="auto"/>
          <w:sz w:val="24"/>
          <w:szCs w:val="24"/>
        </w:rPr>
        <w:t>响应文件封套上标示“供应商须知前附表”所规定的内容，</w:t>
      </w:r>
      <w:r>
        <w:rPr>
          <w:rFonts w:hint="eastAsia" w:ascii="仿宋" w:hAnsi="仿宋" w:eastAsia="仿宋" w:cs="仿宋"/>
          <w:color w:val="auto"/>
          <w:sz w:val="24"/>
        </w:rPr>
        <w:t>封套上应清楚地标记“正本”、“副本”、“</w:t>
      </w:r>
      <w:r>
        <w:rPr>
          <w:rFonts w:hint="eastAsia" w:ascii="仿宋" w:hAnsi="仿宋" w:eastAsia="仿宋" w:cs="仿宋"/>
          <w:color w:val="auto"/>
          <w:sz w:val="24"/>
          <w:szCs w:val="24"/>
        </w:rPr>
        <w:t>电子版响应文件</w:t>
      </w:r>
      <w:r>
        <w:rPr>
          <w:rFonts w:hint="eastAsia" w:ascii="仿宋" w:hAnsi="仿宋" w:eastAsia="仿宋" w:cs="仿宋"/>
          <w:color w:val="auto"/>
          <w:sz w:val="24"/>
        </w:rPr>
        <w:t>”或“</w:t>
      </w:r>
      <w:r>
        <w:rPr>
          <w:rFonts w:hint="eastAsia" w:ascii="仿宋" w:hAnsi="仿宋" w:eastAsia="仿宋" w:cs="仿宋"/>
          <w:color w:val="auto"/>
          <w:sz w:val="24"/>
          <w:szCs w:val="24"/>
        </w:rPr>
        <w:t>唱标信封</w:t>
      </w:r>
      <w:r>
        <w:rPr>
          <w:rFonts w:hint="eastAsia" w:ascii="仿宋" w:hAnsi="仿宋" w:eastAsia="仿宋" w:cs="仿宋"/>
          <w:color w:val="auto"/>
          <w:sz w:val="24"/>
        </w:rPr>
        <w:t>”字样。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18.2响应文件的递交方式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18.2.1供应商应将响应文件按照本须知正文第18.1条的规定进行密封和标记后，按第一章/采购邀请注明的递交响应文件地址送至采购代理机构，不接受邮寄或传真的响应文件。如果未按上述规定进行密封和标记，或者在第一章/响应邀请中所规定的响应截止时间后送达，采购人、采购代理机构不予接收其任何文件。</w:t>
      </w:r>
    </w:p>
    <w:p>
      <w:pPr>
        <w:spacing w:line="360" w:lineRule="auto"/>
        <w:ind w:firstLine="480" w:firstLineChars="200"/>
        <w:outlineLvl w:val="1"/>
        <w:rPr>
          <w:rFonts w:ascii="仿宋" w:hAnsi="仿宋" w:eastAsia="仿宋" w:cs="仿宋"/>
          <w:color w:val="auto"/>
          <w:sz w:val="24"/>
          <w:szCs w:val="24"/>
        </w:rPr>
      </w:pPr>
      <w:bookmarkStart w:id="25" w:name="_Toc1660489"/>
      <w:r>
        <w:rPr>
          <w:rFonts w:hint="eastAsia" w:ascii="仿宋" w:hAnsi="仿宋" w:eastAsia="仿宋" w:cs="仿宋"/>
          <w:color w:val="auto"/>
          <w:sz w:val="24"/>
          <w:szCs w:val="24"/>
        </w:rPr>
        <w:t>18.2.2 截至谈判截止时间，参加谈判的供应商（以递交响应文件家数为准）不足法定家数的，予以采购失败，响应文件原封退还给供应商；</w:t>
      </w:r>
      <w:bookmarkEnd w:id="25"/>
    </w:p>
    <w:p>
      <w:pPr>
        <w:spacing w:line="360" w:lineRule="auto"/>
        <w:ind w:firstLine="480" w:firstLineChars="200"/>
        <w:outlineLvl w:val="1"/>
        <w:rPr>
          <w:rFonts w:ascii="仿宋" w:hAnsi="仿宋" w:eastAsia="仿宋" w:cs="仿宋"/>
          <w:color w:val="auto"/>
          <w:sz w:val="24"/>
          <w:szCs w:val="24"/>
        </w:rPr>
      </w:pPr>
      <w:bookmarkStart w:id="26" w:name="_Toc1660490"/>
      <w:r>
        <w:rPr>
          <w:rFonts w:hint="eastAsia" w:ascii="仿宋" w:hAnsi="仿宋" w:eastAsia="仿宋" w:cs="仿宋"/>
          <w:color w:val="auto"/>
          <w:sz w:val="24"/>
          <w:szCs w:val="24"/>
        </w:rPr>
        <w:t>18.2.3参加响应供应商数量满足法定家数的，同一时间予以开标，开标后，响应文件一律不予退还。</w:t>
      </w:r>
      <w:bookmarkEnd w:id="26"/>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19.响应文件补充、修改和撤回</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19.l 供应商在响应截止时间前，可以对所递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19.2 响应文件的修改文件应按第18条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19.3 供应商不得在响应截止时间以后修改或/和撤回响应文件。</w:t>
      </w:r>
    </w:p>
    <w:p>
      <w:pPr>
        <w:spacing w:line="360" w:lineRule="auto"/>
        <w:rPr>
          <w:rFonts w:ascii="仿宋" w:hAnsi="仿宋" w:eastAsia="仿宋" w:cs="仿宋"/>
          <w:bCs/>
          <w:color w:val="auto"/>
          <w:sz w:val="24"/>
          <w:szCs w:val="24"/>
        </w:rPr>
      </w:pPr>
      <w:r>
        <w:rPr>
          <w:rFonts w:hint="eastAsia" w:ascii="仿宋" w:hAnsi="仿宋" w:eastAsia="仿宋" w:cs="仿宋"/>
          <w:b/>
          <w:bCs/>
          <w:color w:val="auto"/>
          <w:sz w:val="24"/>
          <w:szCs w:val="24"/>
        </w:rPr>
        <w:t>20.供应商注意事项</w:t>
      </w:r>
    </w:p>
    <w:p>
      <w:pPr>
        <w:pStyle w:val="97"/>
        <w:spacing w:line="360" w:lineRule="auto"/>
        <w:ind w:firstLine="482"/>
        <w:rPr>
          <w:rFonts w:ascii="仿宋" w:hAnsi="仿宋" w:eastAsia="仿宋" w:cs="仿宋"/>
          <w:b/>
          <w:bCs/>
          <w:color w:val="auto"/>
          <w:sz w:val="24"/>
          <w:szCs w:val="24"/>
        </w:rPr>
      </w:pPr>
      <w:r>
        <w:rPr>
          <w:rFonts w:hint="eastAsia" w:ascii="仿宋" w:hAnsi="仿宋" w:eastAsia="仿宋" w:cs="仿宋"/>
          <w:b/>
          <w:bCs/>
          <w:color w:val="auto"/>
          <w:sz w:val="24"/>
          <w:szCs w:val="24"/>
        </w:rPr>
        <w:t>20.1供应商有下列情形之一的,评标委员会认定为供应商串通响应，其响应无效，书面报告财政部门：</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（1）不同供应商的响应文件由同一单位或者个人编制；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（2）不同供应商委托同一单位或者个人办理响应事宜；</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（3）不同供应商的响应文件载明的项目管理成员或者联系人员为同一人；</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（4）不同供应商的响应文件异常一致或者响应报价呈规律性差异；</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（6）不同供应商的响应保证金从同一个单位或者个人账户转出。</w:t>
      </w:r>
    </w:p>
    <w:p>
      <w:pPr>
        <w:pStyle w:val="97"/>
        <w:spacing w:line="360" w:lineRule="auto"/>
        <w:ind w:left="-708" w:leftChars="-337" w:firstLine="1205" w:firstLineChars="500"/>
        <w:rPr>
          <w:rFonts w:ascii="仿宋" w:hAnsi="仿宋" w:eastAsia="仿宋" w:cs="仿宋"/>
          <w:b/>
          <w:bCs/>
          <w:color w:val="auto"/>
          <w:sz w:val="24"/>
        </w:rPr>
      </w:pPr>
      <w:r>
        <w:rPr>
          <w:rFonts w:hint="eastAsia" w:ascii="仿宋" w:hAnsi="仿宋" w:eastAsia="仿宋" w:cs="仿宋"/>
          <w:b/>
          <w:bCs/>
          <w:color w:val="auto"/>
          <w:sz w:val="24"/>
        </w:rPr>
        <w:t>20.2 供应商存在下列情形之一的，响应无效：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（1）未按照竞争性谈判文件的规定提交谈判保证金的；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（2）响应文件未按照竞争性谈判文件要求签署、盖章的；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（3）不具备竞争性谈判文件规定的资格要求的；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（4）报价超过竞争性谈判文件规定的预算金额或者最高限价的；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（5）响应文件含有采购人不能接受的附加条件的；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（6）法律、法规和竞争性谈判文件规定的其他无效情形。</w:t>
      </w:r>
    </w:p>
    <w:p>
      <w:pPr>
        <w:pStyle w:val="97"/>
        <w:spacing w:line="360" w:lineRule="auto"/>
        <w:ind w:firstLine="480"/>
        <w:rPr>
          <w:rFonts w:ascii="仿宋" w:hAnsi="仿宋" w:eastAsia="仿宋" w:cs="仿宋"/>
          <w:b/>
          <w:bCs/>
          <w:color w:val="auto"/>
          <w:sz w:val="24"/>
          <w:szCs w:val="24"/>
        </w:rPr>
      </w:pPr>
      <w:r>
        <w:rPr>
          <w:rFonts w:hint="eastAsia" w:ascii="仿宋" w:hAnsi="仿宋" w:eastAsia="仿宋" w:cs="仿宋"/>
          <w:color w:val="auto"/>
          <w:sz w:val="24"/>
          <w:szCs w:val="24"/>
        </w:rPr>
        <w:t>20.3在评标期间，供应商企图影响采购人、采购代理机构或评标委员会评审公正性的任何活动，将导致响应无效，并由其承担相应的法律责任。</w:t>
      </w:r>
    </w:p>
    <w:p>
      <w:pPr>
        <w:spacing w:line="360" w:lineRule="auto"/>
        <w:ind w:firstLine="561"/>
        <w:jc w:val="center"/>
        <w:rPr>
          <w:rFonts w:ascii="仿宋" w:hAnsi="仿宋" w:eastAsia="仿宋" w:cs="宋体"/>
          <w:b/>
          <w:color w:val="auto"/>
          <w:sz w:val="24"/>
        </w:rPr>
      </w:pPr>
      <w:bookmarkStart w:id="27" w:name="_Toc246826112"/>
    </w:p>
    <w:p>
      <w:pPr>
        <w:numPr>
          <w:ilvl w:val="0"/>
          <w:numId w:val="2"/>
        </w:numPr>
        <w:spacing w:line="360" w:lineRule="auto"/>
        <w:ind w:firstLine="561"/>
        <w:jc w:val="center"/>
        <w:rPr>
          <w:rFonts w:ascii="仿宋" w:hAnsi="仿宋" w:eastAsia="仿宋" w:cs="黑体"/>
          <w:b/>
          <w:color w:val="auto"/>
          <w:sz w:val="24"/>
        </w:rPr>
      </w:pPr>
      <w:r>
        <w:rPr>
          <w:rFonts w:hint="eastAsia" w:ascii="仿宋" w:hAnsi="仿宋" w:eastAsia="仿宋" w:cs="黑体"/>
          <w:b/>
          <w:color w:val="auto"/>
          <w:sz w:val="24"/>
        </w:rPr>
        <w:t>开标与评</w:t>
      </w:r>
      <w:bookmarkEnd w:id="27"/>
      <w:r>
        <w:rPr>
          <w:rFonts w:hint="eastAsia" w:ascii="仿宋" w:hAnsi="仿宋" w:eastAsia="仿宋" w:cs="黑体"/>
          <w:b/>
          <w:color w:val="auto"/>
          <w:sz w:val="24"/>
        </w:rPr>
        <w:t>审</w:t>
      </w:r>
    </w:p>
    <w:p>
      <w:pPr>
        <w:spacing w:line="360" w:lineRule="auto"/>
        <w:ind w:left="561"/>
        <w:rPr>
          <w:rFonts w:ascii="仿宋" w:hAnsi="仿宋" w:eastAsia="仿宋" w:cs="黑体"/>
          <w:b/>
          <w:color w:val="auto"/>
          <w:sz w:val="24"/>
        </w:rPr>
      </w:pP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21.开标</w:t>
      </w:r>
    </w:p>
    <w:p>
      <w:pPr>
        <w:spacing w:line="360" w:lineRule="auto"/>
        <w:ind w:firstLine="480" w:firstLineChars="200"/>
        <w:outlineLvl w:val="1"/>
        <w:rPr>
          <w:rFonts w:ascii="仿宋" w:hAnsi="仿宋" w:eastAsia="仿宋" w:cs="仿宋"/>
          <w:bCs/>
          <w:color w:val="auto"/>
          <w:sz w:val="24"/>
          <w:szCs w:val="24"/>
        </w:rPr>
      </w:pPr>
      <w:bookmarkStart w:id="28" w:name="_Toc1660491"/>
      <w:r>
        <w:rPr>
          <w:rFonts w:hint="eastAsia" w:ascii="仿宋" w:hAnsi="仿宋" w:eastAsia="仿宋" w:cs="仿宋"/>
          <w:bCs/>
          <w:color w:val="auto"/>
          <w:sz w:val="24"/>
          <w:szCs w:val="24"/>
        </w:rPr>
        <w:t>21.1采购代理机构按照相关规定，在竞争性谈判文件确定的时间、地点主持开标，并邀请供应商代表参加,</w:t>
      </w:r>
      <w:r>
        <w:rPr>
          <w:rFonts w:hint="eastAsia" w:ascii="仿宋" w:hAnsi="仿宋" w:eastAsia="仿宋" w:cs="仿宋_GB2312"/>
          <w:color w:val="auto"/>
          <w:sz w:val="24"/>
        </w:rPr>
        <w:t>供应商响应代表须携带个人身份证（或其他有效证件）复印件和授权委托书亲自出席开标会并确认开标情况</w:t>
      </w:r>
      <w:r>
        <w:rPr>
          <w:rFonts w:hint="eastAsia" w:ascii="仿宋" w:hAnsi="仿宋" w:eastAsia="仿宋" w:cs="仿宋"/>
          <w:bCs/>
          <w:color w:val="auto"/>
          <w:sz w:val="24"/>
          <w:szCs w:val="24"/>
        </w:rPr>
        <w:t>。如果不参加开标的，则视同该供应商承认开标记录，且不得事后对开标记录提出任何异议，否则，其响应将作无效响应论处。</w:t>
      </w:r>
      <w:bookmarkEnd w:id="28"/>
    </w:p>
    <w:p>
      <w:pPr>
        <w:spacing w:line="360" w:lineRule="auto"/>
        <w:ind w:firstLine="480" w:firstLineChars="200"/>
        <w:outlineLvl w:val="1"/>
        <w:rPr>
          <w:rFonts w:ascii="仿宋" w:hAnsi="仿宋" w:eastAsia="仿宋" w:cs="仿宋"/>
          <w:bCs/>
          <w:color w:val="auto"/>
          <w:sz w:val="24"/>
          <w:szCs w:val="24"/>
        </w:rPr>
      </w:pPr>
      <w:bookmarkStart w:id="29" w:name="_Toc1660492"/>
      <w:r>
        <w:rPr>
          <w:rFonts w:hint="eastAsia" w:ascii="仿宋" w:hAnsi="仿宋" w:eastAsia="仿宋" w:cs="仿宋"/>
          <w:bCs/>
          <w:color w:val="auto"/>
          <w:sz w:val="24"/>
          <w:szCs w:val="24"/>
        </w:rPr>
        <w:t>21.2开标时按规定查验纸质响应文件密封情况。对密封等情形确认后响应文件当众拆封。</w:t>
      </w:r>
      <w:bookmarkEnd w:id="29"/>
    </w:p>
    <w:p>
      <w:pPr>
        <w:spacing w:line="360" w:lineRule="auto"/>
        <w:ind w:firstLine="480" w:firstLineChars="200"/>
        <w:outlineLvl w:val="1"/>
        <w:rPr>
          <w:rFonts w:ascii="仿宋" w:hAnsi="仿宋" w:eastAsia="仿宋" w:cs="仿宋"/>
          <w:bCs/>
          <w:color w:val="auto"/>
          <w:sz w:val="24"/>
          <w:szCs w:val="24"/>
        </w:rPr>
      </w:pPr>
      <w:bookmarkStart w:id="30" w:name="_Toc1660493"/>
      <w:r>
        <w:rPr>
          <w:rFonts w:hint="eastAsia" w:ascii="仿宋" w:hAnsi="仿宋" w:eastAsia="仿宋" w:cs="仿宋"/>
          <w:bCs/>
          <w:color w:val="auto"/>
          <w:sz w:val="24"/>
          <w:szCs w:val="24"/>
        </w:rPr>
        <w:t>21.3 评审小组按照竞争性谈判文件的要求，</w:t>
      </w:r>
      <w:r>
        <w:rPr>
          <w:rFonts w:hint="eastAsia" w:ascii="仿宋" w:hAnsi="仿宋" w:eastAsia="仿宋" w:cs="仿宋"/>
          <w:color w:val="auto"/>
          <w:kern w:val="44"/>
          <w:sz w:val="24"/>
          <w:szCs w:val="24"/>
        </w:rPr>
        <w:t>对供应商提供的资格审查文件</w:t>
      </w:r>
      <w:r>
        <w:rPr>
          <w:rFonts w:hint="eastAsia" w:ascii="仿宋" w:hAnsi="仿宋" w:eastAsia="仿宋" w:cs="仿宋"/>
          <w:bCs/>
          <w:color w:val="auto"/>
          <w:sz w:val="24"/>
          <w:szCs w:val="24"/>
        </w:rPr>
        <w:t>进行审查。</w:t>
      </w:r>
      <w:r>
        <w:rPr>
          <w:rFonts w:hint="eastAsia" w:ascii="仿宋" w:hAnsi="仿宋" w:eastAsia="仿宋" w:cs="仿宋"/>
          <w:color w:val="auto"/>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30"/>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21.4</w:t>
      </w:r>
      <w:r>
        <w:rPr>
          <w:rFonts w:hint="eastAsia" w:ascii="仿宋" w:hAnsi="仿宋" w:eastAsia="仿宋" w:cs="仿宋"/>
          <w:color w:val="auto"/>
          <w:kern w:val="44"/>
          <w:sz w:val="24"/>
          <w:szCs w:val="24"/>
        </w:rPr>
        <w:t xml:space="preserve"> 审查合格供应商进行谈判提交最终报价。</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21.5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21.6评审工作人员做开标记录，并在开标后要求供应商响应代表签字确认。供应商未参加开标的，视同认可开标结果。</w:t>
      </w:r>
    </w:p>
    <w:p>
      <w:pPr>
        <w:pStyle w:val="4"/>
        <w:spacing w:before="0" w:after="0" w:line="360" w:lineRule="auto"/>
        <w:rPr>
          <w:rFonts w:ascii="仿宋" w:hAnsi="仿宋" w:eastAsia="仿宋" w:cs="仿宋"/>
          <w:b w:val="0"/>
          <w:color w:val="auto"/>
          <w:sz w:val="24"/>
          <w:szCs w:val="24"/>
        </w:rPr>
      </w:pPr>
      <w:bookmarkStart w:id="31" w:name="_Toc1660494"/>
      <w:bookmarkStart w:id="32" w:name="_Toc328815997"/>
      <w:r>
        <w:rPr>
          <w:rFonts w:hint="eastAsia" w:ascii="仿宋" w:hAnsi="仿宋" w:eastAsia="仿宋" w:cs="仿宋"/>
          <w:bCs w:val="0"/>
          <w:color w:val="auto"/>
          <w:sz w:val="24"/>
          <w:szCs w:val="24"/>
        </w:rPr>
        <w:t>22.评审</w:t>
      </w:r>
      <w:bookmarkEnd w:id="31"/>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 评审步骤与要求</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 组建谈判小组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22.1.1.1代理机构根据有关法律法规和本竞争性谈判文件的规定，结合本谈判项目的特点组建谈判小组，对具备实质性响应的响应文件进行评估和比较。谈判小组由三人以上单数组成，其中评审专家人数不少于谈判小组成员总数的三分之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22.1.1.2采购人或代理机构就竞争性谈判文件征询过意见的专家,不作为评审专家参加评审，采购人代表不能以专家身份参与评审，代理机构工作人员不得参加评审。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22.1.1.3评审专家应当从政府采购评审专家库内相关专业的专家名单中随机抽取。技术复杂、专业性强的采购项目，经主管预算单位同意，可以自行选定评审专家。技术复杂、专业性强的采购项目，评审专家中应当包含1名法律专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 谈判准备与初步评审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22.2.1 响应截止时间后，谈判小组将审查响应文件是否符合竞争性谈判文件的基本要求：内容是否完整、资格证明文件是否齐全、有无计算错误、文件签署是否齐全。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22.2.2谈判小组对下列情况进行审查，以判断参与谈判供应商是否实质响应了谈判文件：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 谈判供应商资质条件是否响应谈判文件的要求；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 谈判供应商在响应文件中提交的商务和技术文件是否响应谈判文件的要求；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 谈判供应商自行编写的技术文件是否合理可行；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 谈判供应商是否具备良好的财务状况和偿付能力；</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 所报价格是否合理。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22.2.3 实质上响应的响应是指与竞争性谈判文件的主要条款、条件和规格相符，没有重大偏离或保留。</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1）应当交纳响应保证金的供应商未提交响应保证金或金额不足的；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2）资格证明文件不全或无效的；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3）响应文件未按竞争性谈判文件的规定签署、盖章的；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4）响应有效期不足的；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5）未按照竞争性谈判文件规定报价的；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6）不符合竞争性谈判文件有关分包、转包规定的；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7）响应文件附有采购人不能接受的条件；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8）不符合竞争性谈判文件中规定的其他实质性要求。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（2）重大偏离不允许在响应截止时间后修正，但谈判小组将允许修正响应中不构成重大偏离的地方，这些修正不会对其他实质上响应竞争性谈判文件要求的供应商的竞争地位产生不公正的影响。</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（3）如果响应文件实质上没有响应竞争性谈判文件的要求，谈判小组将予以拒绝，供应商不得再对响应文件进行任何修正从而使其响应成为实质上响应的响应。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22.2.4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22.3响应的澄清</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主要负责人的，应当附法定代表人/主要负责人授权书。供应商为自然人的，应当由本人签字并附身份证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22.3.2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22.3.3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22.4对响应文件的详细评审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22.4.1谈判小组所有成员应当集中与单一供应商分别进行谈判，并给予所有参加谈判的供应商平等的谈判机会。</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22.4.2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主要负责人的，应当附法定代表人/主要负责人授权书。供应商为自然人的，应当由本人签字并附身份证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22.4.4如果谈判中谈判小组确认需要谈判供应商就谈判中的相关问题提交澄清或补正材料，供应商应当在现场说明是否具备该材料并在谈判纪要上作出承诺。谈判供应商</w:t>
      </w:r>
      <w:bookmarkStart w:id="33" w:name="OLE_LINK15"/>
      <w:r>
        <w:rPr>
          <w:rFonts w:hint="eastAsia" w:ascii="仿宋" w:hAnsi="仿宋" w:eastAsia="仿宋" w:cs="仿宋"/>
          <w:bCs/>
          <w:color w:val="auto"/>
          <w:sz w:val="24"/>
          <w:szCs w:val="24"/>
        </w:rPr>
        <w:t>须应按照谈判小组的时限及其它相关要求送达澄清或补正材料，并由其响应代表签字或者加盖公章。若谈判供应商未按要求提交澄清或补正材料，视为谈判供应商放弃成交。</w:t>
      </w:r>
      <w:bookmarkEnd w:id="33"/>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22.4.5已提交响应文件的供应商，在提交最后报价之前，可以根据谈判情况退出谈判。采购代理机构应当退还退出谈判的供应商的谈判保证金。</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22.5报价</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（1）谈判小组根据谈判情况、各谈判供应商的承诺及其提交的谈判补正澄清材料的情况，要求所有实质响应谈判文件的供应商进行二次报价。</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（2）谈判报价经供应商谈判代表签字确认后生效。</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（3）如果最低二次报价有两家（含）以上相同，谈判小组可要求所有参加谈判的供应商进行三次报价，依此类推。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22.6确定成交供应商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22.6.1谈判小组根据谈判情况确定实质性响应谈判文件要求的供应商中，按照最后报价由低到高的顺序提出3名以上成交候选人，并编写评审报告。</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22.6.2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22.6.3 采购人将确定排名第一的成交候选人为成交供应商并向其授予合同。排名第一的成交候选人因不可抗力或者自身原因不能履行合同，或者本文件规定应当提交响应保证金而在规定期限未能提交的，采购人可以按照财政部关于《政府采购非招标采购方式管理办法》的通知(第74号令)第二十二条第二款规定的原则确定其他供应商作为成交供应商并签订政府采购合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22.6.4 </w:t>
      </w:r>
      <w:r>
        <w:rPr>
          <w:rFonts w:hint="eastAsia" w:ascii="仿宋" w:hAnsi="仿宋" w:eastAsia="仿宋" w:cs="仿宋"/>
          <w:color w:val="auto"/>
          <w:kern w:val="44"/>
          <w:sz w:val="24"/>
          <w:szCs w:val="24"/>
        </w:rPr>
        <w:t>采购代理机构</w:t>
      </w:r>
      <w:r>
        <w:rPr>
          <w:rFonts w:hint="eastAsia" w:ascii="仿宋" w:hAnsi="仿宋" w:eastAsia="仿宋" w:cs="仿宋"/>
          <w:bCs/>
          <w:color w:val="auto"/>
          <w:sz w:val="24"/>
          <w:szCs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22.6.5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22.6.6采购人或者采购代理机构不得通过对样品进行检测、对供应商进行考察等方式改变评审结果。</w:t>
      </w:r>
    </w:p>
    <w:bookmarkEnd w:id="32"/>
    <w:p>
      <w:pPr>
        <w:spacing w:line="360" w:lineRule="auto"/>
        <w:ind w:firstLine="561"/>
        <w:jc w:val="center"/>
        <w:outlineLvl w:val="1"/>
        <w:rPr>
          <w:rFonts w:ascii="仿宋" w:hAnsi="仿宋" w:eastAsia="仿宋" w:cs="黑体"/>
          <w:b/>
          <w:color w:val="auto"/>
          <w:sz w:val="24"/>
        </w:rPr>
      </w:pPr>
      <w:bookmarkStart w:id="34" w:name="_Toc246826113"/>
      <w:bookmarkStart w:id="35" w:name="_Toc1660495"/>
      <w:r>
        <w:rPr>
          <w:rFonts w:hint="eastAsia" w:ascii="仿宋" w:hAnsi="仿宋" w:eastAsia="仿宋" w:cs="黑体"/>
          <w:b/>
          <w:color w:val="auto"/>
          <w:sz w:val="24"/>
        </w:rPr>
        <w:t>五、定标、合同</w:t>
      </w:r>
      <w:bookmarkEnd w:id="34"/>
      <w:r>
        <w:rPr>
          <w:rFonts w:hint="eastAsia" w:ascii="仿宋" w:hAnsi="仿宋" w:eastAsia="仿宋" w:cs="黑体"/>
          <w:b/>
          <w:color w:val="auto"/>
          <w:sz w:val="24"/>
        </w:rPr>
        <w:t>与验收</w:t>
      </w:r>
      <w:bookmarkEnd w:id="35"/>
    </w:p>
    <w:p>
      <w:pPr>
        <w:spacing w:line="360" w:lineRule="auto"/>
        <w:ind w:firstLine="561"/>
        <w:jc w:val="center"/>
        <w:outlineLvl w:val="1"/>
        <w:rPr>
          <w:rFonts w:ascii="仿宋" w:hAnsi="仿宋" w:eastAsia="仿宋" w:cs="宋体"/>
          <w:b/>
          <w:color w:val="auto"/>
          <w:sz w:val="24"/>
        </w:rPr>
      </w:pPr>
    </w:p>
    <w:p>
      <w:pPr>
        <w:spacing w:line="360" w:lineRule="auto"/>
        <w:jc w:val="left"/>
        <w:rPr>
          <w:rFonts w:ascii="仿宋" w:hAnsi="仿宋" w:eastAsia="仿宋" w:cs="仿宋"/>
          <w:b/>
          <w:color w:val="auto"/>
          <w:sz w:val="24"/>
          <w:szCs w:val="24"/>
        </w:rPr>
      </w:pPr>
      <w:r>
        <w:rPr>
          <w:rFonts w:hint="eastAsia" w:ascii="仿宋" w:hAnsi="仿宋" w:eastAsia="仿宋" w:cs="仿宋"/>
          <w:b/>
          <w:color w:val="auto"/>
          <w:sz w:val="24"/>
          <w:szCs w:val="24"/>
        </w:rPr>
        <w:t>23.定标准则</w:t>
      </w:r>
    </w:p>
    <w:p>
      <w:pPr>
        <w:spacing w:line="360" w:lineRule="auto"/>
        <w:ind w:firstLine="561"/>
        <w:rPr>
          <w:rFonts w:ascii="仿宋" w:hAnsi="仿宋" w:eastAsia="仿宋" w:cs="仿宋"/>
          <w:bCs/>
          <w:color w:val="auto"/>
          <w:sz w:val="24"/>
          <w:szCs w:val="24"/>
        </w:rPr>
      </w:pPr>
      <w:r>
        <w:rPr>
          <w:rFonts w:hint="eastAsia" w:ascii="仿宋" w:hAnsi="仿宋" w:eastAsia="仿宋" w:cs="仿宋"/>
          <w:bCs/>
          <w:color w:val="auto"/>
          <w:sz w:val="24"/>
          <w:szCs w:val="24"/>
        </w:rPr>
        <w:t>评审委员会推荐排名第一且经采购人确认的或经采购人授权评审委员会直接确定的供应商即为成交供应商。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24.成交通知</w:t>
      </w:r>
    </w:p>
    <w:p>
      <w:pPr>
        <w:spacing w:line="360" w:lineRule="auto"/>
        <w:ind w:firstLine="561"/>
        <w:rPr>
          <w:rFonts w:ascii="仿宋" w:hAnsi="仿宋" w:eastAsia="仿宋" w:cs="仿宋"/>
          <w:bCs/>
          <w:color w:val="auto"/>
          <w:sz w:val="24"/>
          <w:szCs w:val="24"/>
        </w:rPr>
      </w:pPr>
      <w:r>
        <w:rPr>
          <w:rFonts w:hint="eastAsia" w:ascii="仿宋" w:hAnsi="仿宋" w:eastAsia="仿宋" w:cs="仿宋"/>
          <w:bCs/>
          <w:color w:val="auto"/>
          <w:sz w:val="24"/>
          <w:szCs w:val="24"/>
        </w:rPr>
        <w:t>24.1由采购代理机构在省级及以上财政部门指定媒体上公布成交结果，向成交供应商发送《成交通知书》，但该成交结果的有效性不依赖于未成交的供应商是否已经收到该通知；</w:t>
      </w:r>
    </w:p>
    <w:p>
      <w:pPr>
        <w:spacing w:line="360" w:lineRule="auto"/>
        <w:ind w:firstLine="480" w:firstLineChars="200"/>
        <w:outlineLvl w:val="1"/>
        <w:rPr>
          <w:rFonts w:ascii="仿宋" w:hAnsi="仿宋" w:eastAsia="仿宋" w:cs="仿宋"/>
          <w:bCs/>
          <w:color w:val="auto"/>
          <w:sz w:val="24"/>
          <w:szCs w:val="24"/>
        </w:rPr>
      </w:pPr>
      <w:bookmarkStart w:id="36" w:name="_Toc1660496"/>
      <w:r>
        <w:rPr>
          <w:rFonts w:hint="eastAsia" w:ascii="仿宋" w:hAnsi="仿宋" w:eastAsia="仿宋" w:cs="仿宋"/>
          <w:bCs/>
          <w:color w:val="auto"/>
          <w:sz w:val="24"/>
          <w:szCs w:val="24"/>
        </w:rPr>
        <w:t>24.2成交通知书是合同的有效组成部分；</w:t>
      </w:r>
      <w:bookmarkEnd w:id="36"/>
    </w:p>
    <w:p>
      <w:pPr>
        <w:spacing w:line="360" w:lineRule="auto"/>
        <w:ind w:firstLine="480" w:firstLineChars="200"/>
        <w:outlineLvl w:val="1"/>
        <w:rPr>
          <w:rFonts w:ascii="仿宋" w:hAnsi="仿宋" w:eastAsia="仿宋" w:cs="仿宋"/>
          <w:bCs/>
          <w:color w:val="auto"/>
          <w:sz w:val="24"/>
          <w:szCs w:val="24"/>
        </w:rPr>
      </w:pPr>
      <w:bookmarkStart w:id="37" w:name="_Toc1660497"/>
      <w:r>
        <w:rPr>
          <w:rFonts w:hint="eastAsia" w:ascii="仿宋" w:hAnsi="仿宋" w:eastAsia="仿宋" w:cs="仿宋"/>
          <w:bCs/>
          <w:color w:val="auto"/>
          <w:sz w:val="24"/>
          <w:szCs w:val="24"/>
        </w:rPr>
        <w:t>24.3成交通知书对采购人和成交供应商均具有法律效力。成交通知书发出后，采购人改变成交结果，或者成交供应商无正当理由放弃成交的，应当承担相应的法律责任；出现争议的，报财政部门处理。</w:t>
      </w:r>
      <w:bookmarkEnd w:id="37"/>
    </w:p>
    <w:p>
      <w:pPr>
        <w:spacing w:line="360" w:lineRule="auto"/>
        <w:ind w:firstLine="480"/>
        <w:outlineLvl w:val="1"/>
        <w:rPr>
          <w:rFonts w:ascii="仿宋" w:hAnsi="仿宋" w:eastAsia="仿宋" w:cs="仿宋"/>
          <w:bCs/>
          <w:color w:val="auto"/>
          <w:sz w:val="24"/>
          <w:szCs w:val="24"/>
        </w:rPr>
      </w:pPr>
      <w:bookmarkStart w:id="38" w:name="_Toc1660498"/>
      <w:r>
        <w:rPr>
          <w:rFonts w:hint="eastAsia" w:ascii="仿宋" w:hAnsi="仿宋" w:eastAsia="仿宋" w:cs="仿宋"/>
          <w:bCs/>
          <w:color w:val="auto"/>
          <w:sz w:val="24"/>
          <w:szCs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38"/>
    </w:p>
    <w:p>
      <w:pPr>
        <w:spacing w:line="360" w:lineRule="auto"/>
        <w:outlineLvl w:val="1"/>
        <w:rPr>
          <w:rFonts w:ascii="仿宋" w:hAnsi="仿宋" w:eastAsia="仿宋" w:cs="仿宋"/>
          <w:b/>
          <w:color w:val="auto"/>
          <w:sz w:val="24"/>
          <w:szCs w:val="24"/>
        </w:rPr>
      </w:pPr>
      <w:bookmarkStart w:id="39" w:name="_Toc1660499"/>
      <w:r>
        <w:rPr>
          <w:rFonts w:hint="eastAsia" w:ascii="仿宋" w:hAnsi="仿宋" w:eastAsia="仿宋" w:cs="仿宋"/>
          <w:b/>
          <w:color w:val="auto"/>
          <w:sz w:val="24"/>
          <w:szCs w:val="24"/>
        </w:rPr>
        <w:t>25.合同签订</w:t>
      </w:r>
      <w:bookmarkEnd w:id="39"/>
    </w:p>
    <w:p>
      <w:pPr>
        <w:spacing w:line="360" w:lineRule="auto"/>
        <w:ind w:firstLine="480"/>
        <w:outlineLvl w:val="1"/>
        <w:rPr>
          <w:rFonts w:ascii="仿宋" w:hAnsi="仿宋" w:eastAsia="仿宋" w:cs="仿宋"/>
          <w:bCs/>
          <w:color w:val="auto"/>
          <w:sz w:val="24"/>
          <w:szCs w:val="24"/>
        </w:rPr>
      </w:pPr>
      <w:bookmarkStart w:id="40" w:name="_Toc1660500"/>
      <w:r>
        <w:rPr>
          <w:rFonts w:hint="eastAsia" w:ascii="仿宋" w:hAnsi="仿宋" w:eastAsia="仿宋" w:cs="仿宋"/>
          <w:bCs/>
          <w:color w:val="auto"/>
          <w:sz w:val="24"/>
          <w:szCs w:val="24"/>
        </w:rPr>
        <w:t>25.1成交供应商在收到《成交通知书》后，应在规定的时间内与采购人签订采购合同。由于成交供应商的原因逾期未与采购人签订采购合同的，将视为放弃成交，取消其成交资格并将按相关规定进行处理。</w:t>
      </w:r>
      <w:bookmarkEnd w:id="40"/>
    </w:p>
    <w:p>
      <w:pPr>
        <w:spacing w:line="360" w:lineRule="auto"/>
        <w:ind w:firstLine="480"/>
        <w:outlineLvl w:val="1"/>
        <w:rPr>
          <w:rFonts w:ascii="仿宋" w:hAnsi="仿宋" w:eastAsia="仿宋" w:cs="仿宋"/>
          <w:bCs/>
          <w:color w:val="auto"/>
          <w:sz w:val="24"/>
          <w:szCs w:val="24"/>
        </w:rPr>
      </w:pPr>
      <w:bookmarkStart w:id="41" w:name="_Toc1660501"/>
      <w:r>
        <w:rPr>
          <w:rFonts w:hint="eastAsia" w:ascii="仿宋" w:hAnsi="仿宋" w:eastAsia="仿宋" w:cs="仿宋"/>
          <w:bCs/>
          <w:color w:val="auto"/>
          <w:sz w:val="24"/>
          <w:szCs w:val="24"/>
        </w:rPr>
        <w:t>25.2采购人不得向成交供应商提出任何不合理的要求作为签订合同的条件，不得与成交供应商私下订立背离合同实质性内容的任何协议，所签订的合同不得对竞争性谈判文件和成交供应商响应文件作实质性修改。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41"/>
    </w:p>
    <w:p>
      <w:pPr>
        <w:spacing w:line="360" w:lineRule="auto"/>
        <w:ind w:firstLine="480"/>
        <w:outlineLvl w:val="1"/>
        <w:rPr>
          <w:rFonts w:ascii="仿宋" w:hAnsi="仿宋" w:eastAsia="仿宋" w:cs="仿宋"/>
          <w:bCs/>
          <w:color w:val="auto"/>
          <w:sz w:val="24"/>
          <w:szCs w:val="24"/>
        </w:rPr>
      </w:pPr>
      <w:bookmarkStart w:id="42" w:name="_Toc1660502"/>
      <w:r>
        <w:rPr>
          <w:rFonts w:hint="eastAsia" w:ascii="仿宋" w:hAnsi="仿宋" w:eastAsia="仿宋" w:cs="仿宋"/>
          <w:bCs/>
          <w:color w:val="auto"/>
          <w:sz w:val="24"/>
          <w:szCs w:val="24"/>
        </w:rPr>
        <w:t>25.3采购人如需追加与合同标的相同的货物，在不改变合同其他条款的前提下，成交供应商可与采购人协商签订补充合同，但所有补充合同的采购金额不得超过原合同金额的10%。</w:t>
      </w:r>
      <w:bookmarkEnd w:id="42"/>
    </w:p>
    <w:p>
      <w:pPr>
        <w:spacing w:line="360" w:lineRule="auto"/>
        <w:ind w:firstLine="480"/>
        <w:outlineLvl w:val="1"/>
        <w:rPr>
          <w:rFonts w:ascii="仿宋" w:hAnsi="仿宋" w:eastAsia="仿宋" w:cs="仿宋"/>
          <w:bCs/>
          <w:color w:val="auto"/>
          <w:sz w:val="24"/>
          <w:szCs w:val="24"/>
        </w:rPr>
      </w:pPr>
      <w:bookmarkStart w:id="43" w:name="_Toc1660503"/>
      <w:r>
        <w:rPr>
          <w:rFonts w:hint="eastAsia" w:ascii="仿宋" w:hAnsi="仿宋" w:eastAsia="仿宋" w:cs="仿宋"/>
          <w:bCs/>
          <w:color w:val="auto"/>
          <w:sz w:val="24"/>
          <w:szCs w:val="24"/>
        </w:rPr>
        <w:t>25.4供应商成交及签订合同后，不得擅自转包。</w:t>
      </w:r>
      <w:bookmarkEnd w:id="43"/>
    </w:p>
    <w:p>
      <w:pPr>
        <w:spacing w:line="360" w:lineRule="auto"/>
        <w:outlineLvl w:val="1"/>
        <w:rPr>
          <w:rFonts w:ascii="仿宋" w:hAnsi="仿宋" w:eastAsia="仿宋" w:cs="仿宋"/>
          <w:b/>
          <w:color w:val="auto"/>
          <w:sz w:val="24"/>
          <w:szCs w:val="24"/>
        </w:rPr>
      </w:pPr>
      <w:bookmarkStart w:id="44" w:name="_Toc217446069"/>
      <w:bookmarkStart w:id="45" w:name="_Toc1660504"/>
      <w:r>
        <w:rPr>
          <w:rFonts w:hint="eastAsia" w:ascii="仿宋" w:hAnsi="仿宋" w:eastAsia="仿宋" w:cs="仿宋"/>
          <w:b/>
          <w:color w:val="auto"/>
          <w:sz w:val="24"/>
          <w:szCs w:val="24"/>
        </w:rPr>
        <w:t>26.合同</w:t>
      </w:r>
      <w:bookmarkEnd w:id="44"/>
      <w:r>
        <w:rPr>
          <w:rFonts w:hint="eastAsia" w:ascii="仿宋" w:hAnsi="仿宋" w:eastAsia="仿宋" w:cs="仿宋"/>
          <w:b/>
          <w:color w:val="auto"/>
          <w:sz w:val="24"/>
          <w:szCs w:val="24"/>
        </w:rPr>
        <w:t>履行</w:t>
      </w:r>
      <w:bookmarkEnd w:id="45"/>
    </w:p>
    <w:p>
      <w:pPr>
        <w:spacing w:line="360" w:lineRule="auto"/>
        <w:ind w:firstLine="480"/>
        <w:outlineLvl w:val="1"/>
        <w:rPr>
          <w:rFonts w:ascii="仿宋" w:hAnsi="仿宋" w:eastAsia="仿宋" w:cs="仿宋"/>
          <w:bCs/>
          <w:color w:val="auto"/>
          <w:sz w:val="24"/>
          <w:szCs w:val="24"/>
        </w:rPr>
      </w:pPr>
      <w:bookmarkStart w:id="46" w:name="_Toc1660505"/>
      <w:r>
        <w:rPr>
          <w:rFonts w:hint="eastAsia" w:ascii="仿宋" w:hAnsi="仿宋" w:eastAsia="仿宋" w:cs="仿宋"/>
          <w:bCs/>
          <w:color w:val="auto"/>
          <w:sz w:val="24"/>
          <w:szCs w:val="24"/>
        </w:rPr>
        <w:t>26.1成交供应商与采购人签订合同后，合同双方应严格执行合同条款，履行合同规定的义务，保证合同的顺利完成。</w:t>
      </w:r>
      <w:bookmarkEnd w:id="46"/>
    </w:p>
    <w:p>
      <w:pPr>
        <w:spacing w:line="360" w:lineRule="auto"/>
        <w:ind w:firstLine="480"/>
        <w:outlineLvl w:val="1"/>
        <w:rPr>
          <w:rFonts w:ascii="仿宋" w:hAnsi="仿宋" w:eastAsia="仿宋" w:cs="仿宋"/>
          <w:bCs/>
          <w:color w:val="auto"/>
          <w:sz w:val="24"/>
          <w:szCs w:val="24"/>
        </w:rPr>
      </w:pPr>
      <w:bookmarkStart w:id="47" w:name="_Toc1660506"/>
      <w:r>
        <w:rPr>
          <w:rFonts w:hint="eastAsia" w:ascii="仿宋" w:hAnsi="仿宋" w:eastAsia="仿宋" w:cs="仿宋"/>
          <w:bCs/>
          <w:color w:val="auto"/>
          <w:sz w:val="24"/>
          <w:szCs w:val="24"/>
        </w:rPr>
        <w:t>26.2在合同履行过程中，如发生合同纠纷，合同双方应按照《合同法》的有关规定进行处理。</w:t>
      </w:r>
      <w:bookmarkEnd w:id="47"/>
    </w:p>
    <w:p>
      <w:pPr>
        <w:spacing w:line="360" w:lineRule="auto"/>
        <w:outlineLvl w:val="1"/>
        <w:rPr>
          <w:rFonts w:ascii="仿宋" w:hAnsi="仿宋" w:eastAsia="仿宋" w:cs="仿宋"/>
          <w:bCs/>
          <w:color w:val="auto"/>
          <w:sz w:val="24"/>
          <w:szCs w:val="24"/>
        </w:rPr>
      </w:pPr>
      <w:bookmarkStart w:id="48" w:name="_Toc217446070"/>
      <w:bookmarkStart w:id="49" w:name="_Toc1660507"/>
      <w:r>
        <w:rPr>
          <w:rFonts w:hint="eastAsia" w:ascii="仿宋" w:hAnsi="仿宋" w:eastAsia="仿宋" w:cs="仿宋"/>
          <w:b/>
          <w:color w:val="auto"/>
          <w:sz w:val="24"/>
          <w:szCs w:val="24"/>
        </w:rPr>
        <w:t>27.验收</w:t>
      </w:r>
      <w:bookmarkEnd w:id="48"/>
      <w:r>
        <w:rPr>
          <w:rFonts w:hint="eastAsia" w:ascii="仿宋" w:hAnsi="仿宋" w:eastAsia="仿宋" w:cs="仿宋"/>
          <w:bCs/>
          <w:color w:val="auto"/>
          <w:sz w:val="24"/>
          <w:szCs w:val="24"/>
        </w:rPr>
        <w:t>：</w:t>
      </w:r>
      <w:bookmarkEnd w:id="49"/>
    </w:p>
    <w:p>
      <w:pPr>
        <w:spacing w:line="360" w:lineRule="auto"/>
        <w:ind w:firstLine="480" w:firstLineChars="200"/>
        <w:outlineLvl w:val="1"/>
        <w:rPr>
          <w:rFonts w:ascii="仿宋" w:hAnsi="仿宋" w:eastAsia="仿宋" w:cs="仿宋"/>
          <w:bCs/>
          <w:color w:val="auto"/>
          <w:sz w:val="24"/>
          <w:szCs w:val="24"/>
        </w:rPr>
      </w:pPr>
      <w:bookmarkStart w:id="50" w:name="_Toc1660508"/>
      <w:r>
        <w:rPr>
          <w:rFonts w:hint="eastAsia" w:ascii="仿宋" w:hAnsi="仿宋" w:eastAsia="仿宋" w:cs="仿宋"/>
          <w:bCs/>
          <w:color w:val="auto"/>
          <w:sz w:val="24"/>
          <w:szCs w:val="24"/>
        </w:rPr>
        <w:t>成交供应商与采购人应严格按照要求进行验收。</w:t>
      </w:r>
      <w:bookmarkEnd w:id="50"/>
    </w:p>
    <w:p>
      <w:pPr>
        <w:spacing w:line="360" w:lineRule="auto"/>
        <w:outlineLvl w:val="1"/>
        <w:rPr>
          <w:rFonts w:ascii="仿宋" w:hAnsi="仿宋" w:eastAsia="仿宋" w:cs="仿宋"/>
          <w:bCs/>
          <w:color w:val="auto"/>
          <w:sz w:val="24"/>
          <w:szCs w:val="24"/>
        </w:rPr>
      </w:pPr>
    </w:p>
    <w:p>
      <w:pPr>
        <w:spacing w:line="360" w:lineRule="auto"/>
        <w:ind w:firstLine="561"/>
        <w:jc w:val="center"/>
        <w:outlineLvl w:val="1"/>
        <w:rPr>
          <w:rFonts w:ascii="仿宋" w:hAnsi="仿宋" w:eastAsia="仿宋" w:cs="黑体"/>
          <w:b/>
          <w:color w:val="auto"/>
          <w:sz w:val="24"/>
        </w:rPr>
      </w:pPr>
      <w:bookmarkStart w:id="51" w:name="_Toc1660509"/>
      <w:r>
        <w:rPr>
          <w:rFonts w:hint="eastAsia" w:ascii="仿宋" w:hAnsi="仿宋" w:eastAsia="仿宋" w:cs="黑体"/>
          <w:b/>
          <w:color w:val="auto"/>
          <w:sz w:val="24"/>
        </w:rPr>
        <w:t>六、质疑</w:t>
      </w:r>
      <w:bookmarkEnd w:id="51"/>
    </w:p>
    <w:p>
      <w:pPr>
        <w:spacing w:line="360" w:lineRule="auto"/>
        <w:outlineLvl w:val="1"/>
        <w:rPr>
          <w:rFonts w:ascii="仿宋" w:hAnsi="仿宋" w:eastAsia="仿宋" w:cs="仿宋"/>
          <w:bCs/>
          <w:color w:val="auto"/>
          <w:sz w:val="24"/>
          <w:szCs w:val="24"/>
        </w:rPr>
      </w:pPr>
      <w:bookmarkStart w:id="52" w:name="_Toc1660510"/>
      <w:r>
        <w:rPr>
          <w:rFonts w:hint="eastAsia" w:ascii="仿宋" w:hAnsi="仿宋" w:eastAsia="仿宋" w:cs="仿宋"/>
          <w:b/>
          <w:color w:val="auto"/>
          <w:sz w:val="24"/>
          <w:szCs w:val="24"/>
        </w:rPr>
        <w:t>28.质疑提出</w:t>
      </w:r>
      <w:bookmarkEnd w:id="52"/>
    </w:p>
    <w:p>
      <w:pPr>
        <w:spacing w:line="360" w:lineRule="auto"/>
        <w:ind w:firstLine="480" w:firstLineChars="200"/>
        <w:outlineLvl w:val="1"/>
        <w:rPr>
          <w:rFonts w:ascii="仿宋" w:hAnsi="仿宋" w:eastAsia="仿宋" w:cs="仿宋"/>
          <w:bCs/>
          <w:color w:val="auto"/>
          <w:sz w:val="24"/>
          <w:szCs w:val="24"/>
        </w:rPr>
      </w:pPr>
      <w:bookmarkStart w:id="53" w:name="_Toc1660511"/>
      <w:r>
        <w:rPr>
          <w:rFonts w:hint="eastAsia" w:ascii="仿宋" w:hAnsi="仿宋" w:eastAsia="仿宋" w:cs="仿宋"/>
          <w:bCs/>
          <w:color w:val="auto"/>
          <w:sz w:val="24"/>
          <w:szCs w:val="24"/>
        </w:rPr>
        <w:t>28.1供应商认为竞争性谈判文件、采购过程和中标结果使自己的合法权益受到损害的，可以在知道或者应知其权益受到损害之日起七个工作日内，以书面形式向采购人、采购代理机构提出质疑。</w:t>
      </w:r>
      <w:bookmarkEnd w:id="53"/>
    </w:p>
    <w:p>
      <w:pPr>
        <w:spacing w:line="360" w:lineRule="auto"/>
        <w:ind w:firstLine="480" w:firstLineChars="200"/>
        <w:outlineLvl w:val="1"/>
        <w:rPr>
          <w:rFonts w:ascii="仿宋" w:hAnsi="仿宋" w:eastAsia="仿宋" w:cs="仿宋"/>
          <w:bCs/>
          <w:color w:val="auto"/>
          <w:sz w:val="24"/>
          <w:szCs w:val="24"/>
        </w:rPr>
      </w:pPr>
      <w:bookmarkStart w:id="54" w:name="_Toc1660512"/>
      <w:r>
        <w:rPr>
          <w:rFonts w:hint="eastAsia" w:ascii="仿宋" w:hAnsi="仿宋" w:eastAsia="仿宋" w:cs="仿宋"/>
          <w:bCs/>
          <w:color w:val="auto"/>
          <w:sz w:val="24"/>
          <w:szCs w:val="24"/>
        </w:rPr>
        <w:t>28.2供应商在法定质疑期内须一次性提出针对同一采购程序环节的质疑，采购人、采购代理机构在任何情况下有权拒绝接受供应商在法定质疑期多次性提出针对同一采购程序环节的质疑。</w:t>
      </w:r>
      <w:bookmarkEnd w:id="54"/>
    </w:p>
    <w:p>
      <w:pPr>
        <w:spacing w:line="360" w:lineRule="auto"/>
        <w:ind w:firstLine="480" w:firstLineChars="200"/>
        <w:outlineLvl w:val="1"/>
        <w:rPr>
          <w:rFonts w:ascii="仿宋" w:hAnsi="仿宋" w:eastAsia="仿宋" w:cs="仿宋"/>
          <w:bCs/>
          <w:color w:val="auto"/>
          <w:sz w:val="24"/>
          <w:szCs w:val="24"/>
        </w:rPr>
      </w:pPr>
      <w:bookmarkStart w:id="55" w:name="_Toc1660513"/>
      <w:r>
        <w:rPr>
          <w:rFonts w:hint="eastAsia" w:ascii="仿宋" w:hAnsi="仿宋" w:eastAsia="仿宋" w:cs="仿宋"/>
          <w:bCs/>
          <w:color w:val="auto"/>
          <w:sz w:val="24"/>
          <w:szCs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55"/>
    </w:p>
    <w:p>
      <w:pPr>
        <w:spacing w:line="360" w:lineRule="auto"/>
        <w:ind w:firstLine="480" w:firstLineChars="200"/>
        <w:outlineLvl w:val="1"/>
        <w:rPr>
          <w:rFonts w:ascii="仿宋" w:hAnsi="仿宋" w:eastAsia="仿宋" w:cs="仿宋"/>
          <w:bCs/>
          <w:color w:val="auto"/>
          <w:sz w:val="24"/>
          <w:szCs w:val="24"/>
        </w:rPr>
      </w:pPr>
      <w:bookmarkStart w:id="56" w:name="_Toc1660514"/>
      <w:r>
        <w:rPr>
          <w:rFonts w:hint="eastAsia" w:ascii="仿宋" w:hAnsi="仿宋" w:eastAsia="仿宋" w:cs="仿宋"/>
          <w:bCs/>
          <w:color w:val="auto"/>
          <w:sz w:val="24"/>
          <w:szCs w:val="24"/>
        </w:rPr>
        <w:t>代理人提出质疑和投诉，应当提交供应商签署的授权委托书。</w:t>
      </w:r>
      <w:bookmarkEnd w:id="56"/>
    </w:p>
    <w:p>
      <w:pPr>
        <w:spacing w:line="360" w:lineRule="auto"/>
        <w:outlineLvl w:val="1"/>
        <w:rPr>
          <w:rFonts w:ascii="仿宋" w:hAnsi="仿宋" w:eastAsia="仿宋" w:cs="仿宋"/>
          <w:bCs/>
          <w:color w:val="auto"/>
          <w:sz w:val="24"/>
          <w:szCs w:val="24"/>
        </w:rPr>
      </w:pPr>
      <w:bookmarkStart w:id="57" w:name="_Toc1660515"/>
      <w:r>
        <w:rPr>
          <w:rFonts w:hint="eastAsia" w:ascii="仿宋" w:hAnsi="仿宋" w:eastAsia="仿宋" w:cs="仿宋"/>
          <w:b/>
          <w:color w:val="auto"/>
          <w:sz w:val="24"/>
          <w:szCs w:val="24"/>
        </w:rPr>
        <w:t>29.质疑函</w:t>
      </w:r>
      <w:bookmarkEnd w:id="57"/>
    </w:p>
    <w:p>
      <w:pPr>
        <w:spacing w:line="360" w:lineRule="auto"/>
        <w:ind w:firstLine="480" w:firstLineChars="200"/>
        <w:outlineLvl w:val="1"/>
        <w:rPr>
          <w:rFonts w:ascii="仿宋" w:hAnsi="仿宋" w:eastAsia="仿宋" w:cs="仿宋"/>
          <w:bCs/>
          <w:color w:val="auto"/>
          <w:sz w:val="24"/>
          <w:szCs w:val="24"/>
        </w:rPr>
      </w:pPr>
      <w:bookmarkStart w:id="58" w:name="_Toc1660516"/>
      <w:r>
        <w:rPr>
          <w:rFonts w:hint="eastAsia" w:ascii="仿宋" w:hAnsi="仿宋" w:eastAsia="仿宋" w:cs="仿宋"/>
          <w:bCs/>
          <w:color w:val="auto"/>
          <w:sz w:val="24"/>
          <w:szCs w:val="24"/>
        </w:rPr>
        <w:t>29.1 质疑函须使用财政部制定的政府采购供应商质疑函范本进行编写。</w:t>
      </w:r>
      <w:bookmarkEnd w:id="58"/>
    </w:p>
    <w:p>
      <w:pPr>
        <w:spacing w:line="360" w:lineRule="auto"/>
        <w:ind w:firstLine="480" w:firstLineChars="200"/>
        <w:outlineLvl w:val="1"/>
        <w:rPr>
          <w:rFonts w:ascii="仿宋" w:hAnsi="仿宋" w:eastAsia="仿宋" w:cs="仿宋"/>
          <w:bCs/>
          <w:color w:val="auto"/>
          <w:sz w:val="24"/>
          <w:szCs w:val="24"/>
        </w:rPr>
      </w:pPr>
      <w:bookmarkStart w:id="59" w:name="_Toc1660517"/>
      <w:r>
        <w:rPr>
          <w:rFonts w:hint="eastAsia" w:ascii="仿宋" w:hAnsi="仿宋" w:eastAsia="仿宋" w:cs="仿宋"/>
          <w:bCs/>
          <w:color w:val="auto"/>
          <w:sz w:val="24"/>
          <w:szCs w:val="24"/>
        </w:rPr>
        <w:t>29.2质疑函包括下列内容：</w:t>
      </w:r>
      <w:bookmarkEnd w:id="59"/>
    </w:p>
    <w:p>
      <w:pPr>
        <w:spacing w:line="360" w:lineRule="auto"/>
        <w:ind w:firstLine="480" w:firstLineChars="200"/>
        <w:outlineLvl w:val="1"/>
        <w:rPr>
          <w:rFonts w:ascii="仿宋" w:hAnsi="仿宋" w:eastAsia="仿宋" w:cs="仿宋"/>
          <w:bCs/>
          <w:color w:val="auto"/>
          <w:sz w:val="24"/>
          <w:szCs w:val="24"/>
        </w:rPr>
      </w:pPr>
      <w:bookmarkStart w:id="60" w:name="_Toc1660518"/>
      <w:r>
        <w:rPr>
          <w:rFonts w:hint="eastAsia" w:ascii="仿宋" w:hAnsi="仿宋" w:eastAsia="仿宋" w:cs="仿宋"/>
          <w:bCs/>
          <w:color w:val="auto"/>
          <w:sz w:val="24"/>
          <w:szCs w:val="24"/>
        </w:rPr>
        <w:t>（1）供应商的姓名或者名称、地址、邮编、联系人及联系电话；</w:t>
      </w:r>
      <w:bookmarkEnd w:id="60"/>
    </w:p>
    <w:p>
      <w:pPr>
        <w:spacing w:line="360" w:lineRule="auto"/>
        <w:ind w:firstLine="480" w:firstLineChars="200"/>
        <w:outlineLvl w:val="1"/>
        <w:rPr>
          <w:rFonts w:ascii="仿宋" w:hAnsi="仿宋" w:eastAsia="仿宋" w:cs="仿宋"/>
          <w:bCs/>
          <w:color w:val="auto"/>
          <w:sz w:val="24"/>
          <w:szCs w:val="24"/>
        </w:rPr>
      </w:pPr>
      <w:bookmarkStart w:id="61" w:name="_Toc1660519"/>
      <w:r>
        <w:rPr>
          <w:rFonts w:hint="eastAsia" w:ascii="仿宋" w:hAnsi="仿宋" w:eastAsia="仿宋" w:cs="仿宋"/>
          <w:bCs/>
          <w:color w:val="auto"/>
          <w:sz w:val="24"/>
          <w:szCs w:val="24"/>
        </w:rPr>
        <w:t>（2）质疑项目的名称、编号；</w:t>
      </w:r>
      <w:bookmarkEnd w:id="61"/>
    </w:p>
    <w:p>
      <w:pPr>
        <w:spacing w:line="360" w:lineRule="auto"/>
        <w:ind w:firstLine="480" w:firstLineChars="200"/>
        <w:outlineLvl w:val="1"/>
        <w:rPr>
          <w:rFonts w:ascii="仿宋" w:hAnsi="仿宋" w:eastAsia="仿宋" w:cs="仿宋"/>
          <w:bCs/>
          <w:color w:val="auto"/>
          <w:sz w:val="24"/>
          <w:szCs w:val="24"/>
        </w:rPr>
      </w:pPr>
      <w:bookmarkStart w:id="62" w:name="_Toc1660520"/>
      <w:r>
        <w:rPr>
          <w:rFonts w:hint="eastAsia" w:ascii="仿宋" w:hAnsi="仿宋" w:eastAsia="仿宋" w:cs="仿宋"/>
          <w:bCs/>
          <w:color w:val="auto"/>
          <w:sz w:val="24"/>
          <w:szCs w:val="24"/>
        </w:rPr>
        <w:t>（3）具体、明确的质疑事项和与质疑事项相关的请求；</w:t>
      </w:r>
      <w:bookmarkEnd w:id="62"/>
    </w:p>
    <w:p>
      <w:pPr>
        <w:spacing w:line="360" w:lineRule="auto"/>
        <w:ind w:firstLine="480" w:firstLineChars="200"/>
        <w:outlineLvl w:val="1"/>
        <w:rPr>
          <w:rFonts w:ascii="仿宋" w:hAnsi="仿宋" w:eastAsia="仿宋" w:cs="仿宋"/>
          <w:bCs/>
          <w:color w:val="auto"/>
          <w:sz w:val="24"/>
          <w:szCs w:val="24"/>
        </w:rPr>
      </w:pPr>
      <w:bookmarkStart w:id="63" w:name="_Toc1660521"/>
      <w:r>
        <w:rPr>
          <w:rFonts w:hint="eastAsia" w:ascii="仿宋" w:hAnsi="仿宋" w:eastAsia="仿宋" w:cs="仿宋"/>
          <w:bCs/>
          <w:color w:val="auto"/>
          <w:sz w:val="24"/>
          <w:szCs w:val="24"/>
        </w:rPr>
        <w:t>（4）事实依据；</w:t>
      </w:r>
      <w:bookmarkEnd w:id="63"/>
    </w:p>
    <w:p>
      <w:pPr>
        <w:spacing w:line="360" w:lineRule="auto"/>
        <w:ind w:firstLine="480" w:firstLineChars="200"/>
        <w:outlineLvl w:val="1"/>
        <w:rPr>
          <w:rFonts w:ascii="仿宋" w:hAnsi="仿宋" w:eastAsia="仿宋" w:cs="仿宋"/>
          <w:bCs/>
          <w:color w:val="auto"/>
          <w:sz w:val="24"/>
          <w:szCs w:val="24"/>
        </w:rPr>
      </w:pPr>
      <w:bookmarkStart w:id="64" w:name="_Toc1660522"/>
      <w:r>
        <w:rPr>
          <w:rFonts w:hint="eastAsia" w:ascii="仿宋" w:hAnsi="仿宋" w:eastAsia="仿宋" w:cs="仿宋"/>
          <w:bCs/>
          <w:color w:val="auto"/>
          <w:sz w:val="24"/>
          <w:szCs w:val="24"/>
        </w:rPr>
        <w:t>（5）必要的法律依据；</w:t>
      </w:r>
      <w:bookmarkEnd w:id="64"/>
    </w:p>
    <w:p>
      <w:pPr>
        <w:spacing w:line="360" w:lineRule="auto"/>
        <w:ind w:firstLine="480" w:firstLineChars="200"/>
        <w:outlineLvl w:val="1"/>
        <w:rPr>
          <w:rFonts w:ascii="仿宋" w:hAnsi="仿宋" w:eastAsia="仿宋" w:cs="仿宋"/>
          <w:bCs/>
          <w:color w:val="auto"/>
          <w:sz w:val="24"/>
          <w:szCs w:val="24"/>
        </w:rPr>
      </w:pPr>
      <w:bookmarkStart w:id="65" w:name="_Toc1660523"/>
      <w:r>
        <w:rPr>
          <w:rFonts w:hint="eastAsia" w:ascii="仿宋" w:hAnsi="仿宋" w:eastAsia="仿宋" w:cs="仿宋"/>
          <w:bCs/>
          <w:color w:val="auto"/>
          <w:sz w:val="24"/>
          <w:szCs w:val="24"/>
        </w:rPr>
        <w:t>（6）提出质疑的日期。</w:t>
      </w:r>
      <w:bookmarkEnd w:id="65"/>
    </w:p>
    <w:p>
      <w:pPr>
        <w:spacing w:line="360" w:lineRule="auto"/>
        <w:ind w:firstLine="480" w:firstLineChars="200"/>
        <w:outlineLvl w:val="1"/>
        <w:rPr>
          <w:rFonts w:ascii="仿宋" w:hAnsi="仿宋" w:eastAsia="仿宋" w:cs="仿宋"/>
          <w:bCs/>
          <w:color w:val="auto"/>
          <w:sz w:val="24"/>
          <w:szCs w:val="24"/>
        </w:rPr>
      </w:pPr>
      <w:bookmarkStart w:id="66" w:name="_Toc1660524"/>
      <w:r>
        <w:rPr>
          <w:rFonts w:hint="eastAsia" w:ascii="仿宋" w:hAnsi="仿宋" w:eastAsia="仿宋" w:cs="仿宋"/>
          <w:bCs/>
          <w:color w:val="auto"/>
          <w:sz w:val="24"/>
          <w:szCs w:val="24"/>
        </w:rPr>
        <w:t>按照“谁主张、谁举证”的原则，质疑书应当附上相关证明材料，否则质疑将视为无有效证据支持，将被予以驳回。</w:t>
      </w:r>
      <w:bookmarkEnd w:id="66"/>
    </w:p>
    <w:p>
      <w:pPr>
        <w:spacing w:line="360" w:lineRule="auto"/>
        <w:ind w:firstLine="480" w:firstLineChars="200"/>
        <w:outlineLvl w:val="1"/>
        <w:rPr>
          <w:rFonts w:ascii="仿宋" w:hAnsi="仿宋" w:eastAsia="仿宋" w:cs="仿宋"/>
          <w:bCs/>
          <w:color w:val="auto"/>
          <w:sz w:val="24"/>
          <w:szCs w:val="24"/>
        </w:rPr>
      </w:pPr>
      <w:bookmarkStart w:id="67" w:name="_Toc1660525"/>
      <w:r>
        <w:rPr>
          <w:rFonts w:hint="eastAsia" w:ascii="仿宋" w:hAnsi="仿宋" w:eastAsia="仿宋" w:cs="仿宋"/>
          <w:bCs/>
          <w:color w:val="auto"/>
          <w:sz w:val="24"/>
          <w:szCs w:val="24"/>
        </w:rPr>
        <w:t>29.3供应商为自然人的，应当由本人签字；供应商为法人或者其他组织的，应当由法定代表人、主要负责人，或者其响应代表签字或者盖章，并加盖单位公章，不得加盖合同专用章、投标专用章等各种形式的专用章。</w:t>
      </w:r>
      <w:bookmarkEnd w:id="67"/>
    </w:p>
    <w:p>
      <w:pPr>
        <w:spacing w:line="360" w:lineRule="auto"/>
        <w:outlineLvl w:val="1"/>
        <w:rPr>
          <w:rFonts w:ascii="仿宋" w:hAnsi="仿宋" w:eastAsia="仿宋" w:cs="仿宋"/>
          <w:bCs/>
          <w:color w:val="auto"/>
          <w:sz w:val="24"/>
          <w:szCs w:val="24"/>
        </w:rPr>
      </w:pPr>
      <w:bookmarkStart w:id="68" w:name="_Toc1660526"/>
      <w:r>
        <w:rPr>
          <w:rFonts w:hint="eastAsia" w:ascii="仿宋" w:hAnsi="仿宋" w:eastAsia="仿宋" w:cs="仿宋"/>
          <w:b/>
          <w:color w:val="auto"/>
          <w:sz w:val="24"/>
          <w:szCs w:val="24"/>
        </w:rPr>
        <w:t>30.质疑受理</w:t>
      </w:r>
      <w:bookmarkEnd w:id="68"/>
    </w:p>
    <w:p>
      <w:pPr>
        <w:spacing w:line="360" w:lineRule="auto"/>
        <w:ind w:firstLine="480" w:firstLineChars="200"/>
        <w:outlineLvl w:val="1"/>
        <w:rPr>
          <w:rFonts w:ascii="仿宋" w:hAnsi="仿宋" w:eastAsia="仿宋" w:cs="仿宋"/>
          <w:bCs/>
          <w:color w:val="auto"/>
          <w:sz w:val="24"/>
          <w:szCs w:val="24"/>
        </w:rPr>
      </w:pPr>
      <w:bookmarkStart w:id="69" w:name="_Toc1660527"/>
      <w:r>
        <w:rPr>
          <w:rFonts w:hint="eastAsia" w:ascii="仿宋" w:hAnsi="仿宋" w:eastAsia="仿宋" w:cs="仿宋"/>
          <w:bCs/>
          <w:color w:val="auto"/>
          <w:sz w:val="24"/>
          <w:szCs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69"/>
    </w:p>
    <w:p>
      <w:pPr>
        <w:spacing w:line="360" w:lineRule="auto"/>
        <w:ind w:firstLine="480" w:firstLineChars="200"/>
        <w:outlineLvl w:val="1"/>
        <w:rPr>
          <w:rFonts w:ascii="仿宋" w:hAnsi="仿宋" w:eastAsia="仿宋" w:cs="仿宋"/>
          <w:bCs/>
          <w:color w:val="auto"/>
          <w:sz w:val="24"/>
          <w:szCs w:val="24"/>
        </w:rPr>
      </w:pPr>
      <w:bookmarkStart w:id="70" w:name="_Toc1660528"/>
      <w:r>
        <w:rPr>
          <w:rFonts w:hint="eastAsia" w:ascii="仿宋" w:hAnsi="仿宋" w:eastAsia="仿宋" w:cs="仿宋"/>
          <w:bCs/>
          <w:color w:val="auto"/>
          <w:sz w:val="24"/>
          <w:szCs w:val="24"/>
        </w:rPr>
        <w:t>以邮寄、快递方式递交质疑函的，质疑人可以在质疑有效期内以清晰扫描及时将质疑事项告知代理机构，并提供邮寄件、快递件的有效查询方式。</w:t>
      </w:r>
      <w:bookmarkEnd w:id="70"/>
    </w:p>
    <w:p>
      <w:pPr>
        <w:spacing w:line="360" w:lineRule="auto"/>
        <w:ind w:firstLine="480" w:firstLineChars="200"/>
        <w:outlineLvl w:val="1"/>
        <w:rPr>
          <w:rFonts w:ascii="仿宋" w:hAnsi="仿宋" w:eastAsia="仿宋" w:cs="仿宋"/>
          <w:bCs/>
          <w:color w:val="auto"/>
          <w:sz w:val="24"/>
          <w:szCs w:val="24"/>
        </w:rPr>
      </w:pPr>
      <w:bookmarkStart w:id="71" w:name="_Toc1660529"/>
      <w:r>
        <w:rPr>
          <w:rFonts w:hint="eastAsia" w:ascii="仿宋" w:hAnsi="仿宋" w:eastAsia="仿宋" w:cs="仿宋"/>
          <w:bCs/>
          <w:color w:val="auto"/>
          <w:sz w:val="24"/>
          <w:szCs w:val="24"/>
        </w:rPr>
        <w:t>30.2 质疑函接收信息</w:t>
      </w:r>
      <w:bookmarkEnd w:id="71"/>
    </w:p>
    <w:p>
      <w:pPr>
        <w:spacing w:line="360" w:lineRule="auto"/>
        <w:ind w:firstLine="480" w:firstLineChars="200"/>
        <w:outlineLvl w:val="1"/>
        <w:rPr>
          <w:rFonts w:ascii="仿宋" w:hAnsi="仿宋" w:eastAsia="仿宋" w:cs="仿宋"/>
          <w:bCs/>
          <w:color w:val="auto"/>
          <w:sz w:val="24"/>
          <w:szCs w:val="24"/>
        </w:rPr>
      </w:pPr>
      <w:bookmarkStart w:id="72" w:name="_Toc1660530"/>
      <w:r>
        <w:rPr>
          <w:rFonts w:hint="eastAsia" w:ascii="仿宋" w:hAnsi="仿宋" w:eastAsia="仿宋" w:cs="仿宋"/>
          <w:bCs/>
          <w:color w:val="auto"/>
          <w:sz w:val="24"/>
          <w:szCs w:val="24"/>
        </w:rPr>
        <w:t>联系部门：海南政辉招投标代理有限公司—项目部</w:t>
      </w:r>
      <w:bookmarkEnd w:id="72"/>
    </w:p>
    <w:p>
      <w:pPr>
        <w:spacing w:line="360" w:lineRule="auto"/>
        <w:ind w:firstLine="480" w:firstLineChars="200"/>
        <w:outlineLvl w:val="1"/>
        <w:rPr>
          <w:rFonts w:hint="eastAsia" w:ascii="仿宋" w:hAnsi="仿宋" w:eastAsia="仿宋" w:cs="仿宋"/>
          <w:bCs/>
          <w:color w:val="auto"/>
          <w:sz w:val="24"/>
          <w:szCs w:val="24"/>
          <w:lang w:eastAsia="zh-CN"/>
        </w:rPr>
      </w:pPr>
      <w:bookmarkStart w:id="73" w:name="_Toc1660531"/>
      <w:r>
        <w:rPr>
          <w:rFonts w:hint="eastAsia" w:ascii="仿宋" w:hAnsi="仿宋" w:eastAsia="仿宋" w:cs="仿宋"/>
          <w:bCs/>
          <w:color w:val="auto"/>
          <w:sz w:val="24"/>
          <w:szCs w:val="24"/>
        </w:rPr>
        <w:t>联系电话及联系人：0898-66557609</w:t>
      </w:r>
      <w:bookmarkEnd w:id="73"/>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陈工</w:t>
      </w:r>
    </w:p>
    <w:p>
      <w:pPr>
        <w:spacing w:line="360" w:lineRule="auto"/>
        <w:ind w:firstLine="480" w:firstLineChars="200"/>
        <w:outlineLvl w:val="1"/>
        <w:rPr>
          <w:rFonts w:ascii="仿宋" w:hAnsi="仿宋" w:eastAsia="仿宋" w:cs="仿宋"/>
          <w:bCs/>
          <w:color w:val="auto"/>
          <w:sz w:val="24"/>
          <w:szCs w:val="24"/>
        </w:rPr>
      </w:pPr>
      <w:bookmarkStart w:id="74" w:name="_Toc1660532"/>
      <w:r>
        <w:rPr>
          <w:rFonts w:hint="eastAsia" w:ascii="仿宋" w:hAnsi="仿宋" w:eastAsia="仿宋" w:cs="仿宋"/>
          <w:bCs/>
          <w:color w:val="auto"/>
          <w:sz w:val="24"/>
          <w:szCs w:val="24"/>
        </w:rPr>
        <w:t>通讯地址：海南省海口市五指山路康业花园西湖苑G栋2A</w:t>
      </w:r>
      <w:bookmarkEnd w:id="74"/>
    </w:p>
    <w:p>
      <w:pPr>
        <w:spacing w:line="360" w:lineRule="auto"/>
        <w:ind w:firstLine="480" w:firstLineChars="200"/>
        <w:outlineLvl w:val="1"/>
        <w:rPr>
          <w:rFonts w:ascii="仿宋" w:hAnsi="仿宋" w:eastAsia="仿宋" w:cs="仿宋"/>
          <w:bCs/>
          <w:color w:val="auto"/>
          <w:sz w:val="24"/>
          <w:szCs w:val="24"/>
        </w:rPr>
      </w:pPr>
      <w:bookmarkStart w:id="75" w:name="_Toc1660533"/>
      <w:r>
        <w:rPr>
          <w:rFonts w:hint="eastAsia" w:ascii="仿宋" w:hAnsi="仿宋" w:eastAsia="仿宋" w:cs="仿宋"/>
          <w:bCs/>
          <w:color w:val="auto"/>
          <w:sz w:val="24"/>
          <w:szCs w:val="24"/>
        </w:rPr>
        <w:t>30.3有下列情形之一的，属于无效质疑，采购人或采购代理机构可不予受理：</w:t>
      </w:r>
      <w:bookmarkEnd w:id="75"/>
    </w:p>
    <w:p>
      <w:pPr>
        <w:spacing w:line="360" w:lineRule="auto"/>
        <w:ind w:firstLine="480" w:firstLineChars="200"/>
        <w:outlineLvl w:val="1"/>
        <w:rPr>
          <w:rFonts w:ascii="仿宋" w:hAnsi="仿宋" w:eastAsia="仿宋" w:cs="仿宋"/>
          <w:bCs/>
          <w:color w:val="auto"/>
          <w:sz w:val="24"/>
          <w:szCs w:val="24"/>
        </w:rPr>
      </w:pPr>
      <w:bookmarkStart w:id="76" w:name="_Toc1660534"/>
      <w:r>
        <w:rPr>
          <w:rFonts w:hint="eastAsia" w:ascii="仿宋" w:hAnsi="仿宋" w:eastAsia="仿宋" w:cs="仿宋"/>
          <w:bCs/>
          <w:color w:val="auto"/>
          <w:sz w:val="24"/>
          <w:szCs w:val="24"/>
        </w:rPr>
        <w:t>（1）未在有效期限内提出质疑的；</w:t>
      </w:r>
      <w:bookmarkEnd w:id="76"/>
    </w:p>
    <w:p>
      <w:pPr>
        <w:spacing w:line="360" w:lineRule="auto"/>
        <w:ind w:firstLine="480" w:firstLineChars="200"/>
        <w:outlineLvl w:val="1"/>
        <w:rPr>
          <w:rFonts w:ascii="仿宋" w:hAnsi="仿宋" w:eastAsia="仿宋" w:cs="仿宋"/>
          <w:bCs/>
          <w:color w:val="auto"/>
          <w:sz w:val="24"/>
          <w:szCs w:val="24"/>
        </w:rPr>
      </w:pPr>
      <w:bookmarkStart w:id="77" w:name="_Toc1660535"/>
      <w:r>
        <w:rPr>
          <w:rFonts w:hint="eastAsia" w:ascii="仿宋" w:hAnsi="仿宋" w:eastAsia="仿宋" w:cs="仿宋"/>
          <w:bCs/>
          <w:color w:val="auto"/>
          <w:sz w:val="24"/>
          <w:szCs w:val="24"/>
        </w:rPr>
        <w:t>（2）质疑未以书面形式提出的；</w:t>
      </w:r>
      <w:bookmarkEnd w:id="77"/>
    </w:p>
    <w:p>
      <w:pPr>
        <w:spacing w:line="360" w:lineRule="auto"/>
        <w:ind w:firstLine="480" w:firstLineChars="200"/>
        <w:outlineLvl w:val="1"/>
        <w:rPr>
          <w:rFonts w:ascii="仿宋" w:hAnsi="仿宋" w:eastAsia="仿宋" w:cs="仿宋"/>
          <w:bCs/>
          <w:color w:val="auto"/>
          <w:sz w:val="24"/>
          <w:szCs w:val="24"/>
        </w:rPr>
      </w:pPr>
      <w:bookmarkStart w:id="78" w:name="_Toc1660536"/>
      <w:r>
        <w:rPr>
          <w:rFonts w:hint="eastAsia" w:ascii="仿宋" w:hAnsi="仿宋" w:eastAsia="仿宋" w:cs="仿宋"/>
          <w:bCs/>
          <w:color w:val="auto"/>
          <w:sz w:val="24"/>
          <w:szCs w:val="24"/>
        </w:rPr>
        <w:t>（3）所提交材料未明示属于质疑材料的；</w:t>
      </w:r>
      <w:bookmarkEnd w:id="78"/>
    </w:p>
    <w:p>
      <w:pPr>
        <w:spacing w:line="360" w:lineRule="auto"/>
        <w:ind w:firstLine="480" w:firstLineChars="200"/>
        <w:outlineLvl w:val="1"/>
        <w:rPr>
          <w:rFonts w:ascii="仿宋" w:hAnsi="仿宋" w:eastAsia="仿宋" w:cs="仿宋"/>
          <w:bCs/>
          <w:color w:val="auto"/>
          <w:sz w:val="24"/>
          <w:szCs w:val="24"/>
        </w:rPr>
      </w:pPr>
      <w:bookmarkStart w:id="79" w:name="_Toc1660537"/>
      <w:r>
        <w:rPr>
          <w:rFonts w:hint="eastAsia" w:ascii="仿宋" w:hAnsi="仿宋" w:eastAsia="仿宋" w:cs="仿宋"/>
          <w:bCs/>
          <w:color w:val="auto"/>
          <w:sz w:val="24"/>
          <w:szCs w:val="24"/>
        </w:rPr>
        <w:t>（4）质疑事项已经进入投诉或者诉讼程序的；</w:t>
      </w:r>
      <w:bookmarkEnd w:id="79"/>
    </w:p>
    <w:p>
      <w:pPr>
        <w:spacing w:line="360" w:lineRule="auto"/>
        <w:ind w:firstLine="480" w:firstLineChars="200"/>
        <w:outlineLvl w:val="1"/>
        <w:rPr>
          <w:rFonts w:ascii="仿宋" w:hAnsi="仿宋" w:eastAsia="仿宋" w:cs="仿宋"/>
          <w:bCs/>
          <w:color w:val="auto"/>
          <w:sz w:val="24"/>
          <w:szCs w:val="24"/>
        </w:rPr>
      </w:pPr>
      <w:bookmarkStart w:id="80" w:name="_Toc1660538"/>
      <w:r>
        <w:rPr>
          <w:rFonts w:hint="eastAsia" w:ascii="仿宋" w:hAnsi="仿宋" w:eastAsia="仿宋" w:cs="仿宋"/>
          <w:bCs/>
          <w:color w:val="auto"/>
          <w:sz w:val="24"/>
          <w:szCs w:val="24"/>
        </w:rPr>
        <w:t>（5）其它不符合受理条件的情形。</w:t>
      </w:r>
      <w:bookmarkEnd w:id="80"/>
    </w:p>
    <w:p>
      <w:pPr>
        <w:spacing w:line="360" w:lineRule="auto"/>
        <w:ind w:firstLine="480" w:firstLineChars="200"/>
        <w:outlineLvl w:val="1"/>
        <w:rPr>
          <w:rFonts w:ascii="仿宋" w:hAnsi="仿宋" w:eastAsia="仿宋" w:cs="仿宋"/>
          <w:bCs/>
          <w:color w:val="auto"/>
          <w:sz w:val="24"/>
          <w:szCs w:val="24"/>
        </w:rPr>
      </w:pPr>
      <w:bookmarkStart w:id="81" w:name="_Toc1660539"/>
      <w:r>
        <w:rPr>
          <w:rFonts w:hint="eastAsia" w:ascii="仿宋" w:hAnsi="仿宋" w:eastAsia="仿宋" w:cs="仿宋"/>
          <w:bCs/>
          <w:color w:val="auto"/>
          <w:sz w:val="24"/>
          <w:szCs w:val="24"/>
        </w:rPr>
        <w:t>30.4质疑函的形式有下列情形之一的，采购人或采购代理机构应当一次性告知质疑人在法定质疑期内修改后重新提交。法定质疑期内质疑人未重新提交，或者重新提交的质疑仍不符合形式规定的，由此产生的风险由投标人自行承担：</w:t>
      </w:r>
      <w:bookmarkEnd w:id="81"/>
    </w:p>
    <w:p>
      <w:pPr>
        <w:spacing w:line="360" w:lineRule="auto"/>
        <w:ind w:firstLine="480" w:firstLineChars="200"/>
        <w:outlineLvl w:val="1"/>
        <w:rPr>
          <w:rFonts w:ascii="仿宋" w:hAnsi="仿宋" w:eastAsia="仿宋" w:cs="仿宋"/>
          <w:bCs/>
          <w:color w:val="auto"/>
          <w:sz w:val="24"/>
          <w:szCs w:val="24"/>
        </w:rPr>
      </w:pPr>
      <w:bookmarkStart w:id="82" w:name="_Toc1660540"/>
      <w:r>
        <w:rPr>
          <w:rFonts w:hint="eastAsia" w:ascii="仿宋" w:hAnsi="仿宋" w:eastAsia="仿宋" w:cs="仿宋"/>
          <w:bCs/>
          <w:color w:val="auto"/>
          <w:sz w:val="24"/>
          <w:szCs w:val="24"/>
        </w:rPr>
        <w:t>（1）质疑函未按照谈判须知正文28.3条要求提供的；</w:t>
      </w:r>
      <w:bookmarkEnd w:id="82"/>
    </w:p>
    <w:p>
      <w:pPr>
        <w:spacing w:line="360" w:lineRule="auto"/>
        <w:ind w:firstLine="480" w:firstLineChars="200"/>
        <w:outlineLvl w:val="1"/>
        <w:rPr>
          <w:rFonts w:ascii="仿宋" w:hAnsi="仿宋" w:eastAsia="仿宋" w:cs="仿宋"/>
          <w:bCs/>
          <w:color w:val="auto"/>
          <w:sz w:val="24"/>
          <w:szCs w:val="24"/>
        </w:rPr>
      </w:pPr>
      <w:bookmarkStart w:id="83" w:name="_Toc1660541"/>
      <w:r>
        <w:rPr>
          <w:rFonts w:hint="eastAsia" w:ascii="仿宋" w:hAnsi="仿宋" w:eastAsia="仿宋" w:cs="仿宋"/>
          <w:bCs/>
          <w:color w:val="auto"/>
          <w:sz w:val="24"/>
          <w:szCs w:val="24"/>
        </w:rPr>
        <w:t>（2）质疑函未按照谈判须知正文29.3条要求签署和盖章的；</w:t>
      </w:r>
      <w:bookmarkEnd w:id="83"/>
    </w:p>
    <w:p>
      <w:pPr>
        <w:spacing w:line="360" w:lineRule="auto"/>
        <w:ind w:firstLine="480" w:firstLineChars="200"/>
        <w:outlineLvl w:val="1"/>
        <w:rPr>
          <w:rFonts w:ascii="仿宋" w:hAnsi="仿宋" w:eastAsia="仿宋" w:cs="仿宋"/>
          <w:bCs/>
          <w:color w:val="auto"/>
          <w:sz w:val="24"/>
          <w:szCs w:val="24"/>
        </w:rPr>
      </w:pPr>
      <w:bookmarkStart w:id="84" w:name="_Toc1660542"/>
      <w:r>
        <w:rPr>
          <w:rFonts w:hint="eastAsia" w:ascii="仿宋" w:hAnsi="仿宋" w:eastAsia="仿宋" w:cs="仿宋"/>
          <w:bCs/>
          <w:color w:val="auto"/>
          <w:sz w:val="24"/>
          <w:szCs w:val="24"/>
        </w:rPr>
        <w:t>（3）质疑函未使用财政部制定的政府采购供应商质疑函范本进行编写的；</w:t>
      </w:r>
      <w:bookmarkEnd w:id="84"/>
    </w:p>
    <w:p>
      <w:pPr>
        <w:spacing w:line="360" w:lineRule="auto"/>
        <w:ind w:firstLine="480" w:firstLineChars="200"/>
        <w:outlineLvl w:val="1"/>
        <w:rPr>
          <w:rFonts w:ascii="仿宋" w:hAnsi="仿宋" w:eastAsia="仿宋" w:cs="仿宋"/>
          <w:bCs/>
          <w:color w:val="auto"/>
          <w:sz w:val="24"/>
          <w:szCs w:val="24"/>
        </w:rPr>
      </w:pPr>
      <w:bookmarkStart w:id="85" w:name="_Toc1660543"/>
      <w:r>
        <w:rPr>
          <w:rFonts w:hint="eastAsia" w:ascii="仿宋" w:hAnsi="仿宋" w:eastAsia="仿宋" w:cs="仿宋"/>
          <w:bCs/>
          <w:color w:val="auto"/>
          <w:sz w:val="24"/>
          <w:szCs w:val="24"/>
        </w:rPr>
        <w:t>（4）质疑函内容不全的。</w:t>
      </w:r>
      <w:bookmarkEnd w:id="85"/>
    </w:p>
    <w:p>
      <w:pPr>
        <w:spacing w:line="360" w:lineRule="auto"/>
        <w:ind w:firstLine="480" w:firstLineChars="200"/>
        <w:outlineLvl w:val="1"/>
        <w:rPr>
          <w:rFonts w:ascii="仿宋" w:hAnsi="仿宋" w:eastAsia="仿宋" w:cs="仿宋"/>
          <w:bCs/>
          <w:color w:val="auto"/>
          <w:sz w:val="24"/>
          <w:szCs w:val="24"/>
        </w:rPr>
      </w:pPr>
      <w:bookmarkStart w:id="86" w:name="_Toc1660544"/>
      <w:r>
        <w:rPr>
          <w:rFonts w:hint="eastAsia" w:ascii="仿宋" w:hAnsi="仿宋" w:eastAsia="仿宋" w:cs="仿宋"/>
          <w:bCs/>
          <w:color w:val="auto"/>
          <w:sz w:val="24"/>
          <w:szCs w:val="24"/>
        </w:rPr>
        <w:t>30.5代理机构应于收到质疑函后一个工作日内对质疑函的形式进行审查，符合条件的质疑，应当受理并向质疑人发出质疑签收单。收到质疑函原件并向质疑人发出质疑签收单之日，为质疑正式受理之日。</w:t>
      </w:r>
      <w:bookmarkEnd w:id="86"/>
    </w:p>
    <w:p>
      <w:pPr>
        <w:spacing w:line="360" w:lineRule="auto"/>
        <w:ind w:firstLine="480" w:firstLineChars="200"/>
        <w:outlineLvl w:val="1"/>
        <w:rPr>
          <w:rFonts w:ascii="仿宋" w:hAnsi="仿宋" w:eastAsia="仿宋" w:cs="仿宋"/>
          <w:bCs/>
          <w:color w:val="auto"/>
          <w:sz w:val="24"/>
          <w:szCs w:val="24"/>
        </w:rPr>
      </w:pPr>
      <w:bookmarkStart w:id="87" w:name="_Toc1660545"/>
      <w:r>
        <w:rPr>
          <w:rFonts w:hint="eastAsia" w:ascii="仿宋" w:hAnsi="仿宋" w:eastAsia="仿宋" w:cs="仿宋"/>
          <w:bCs/>
          <w:color w:val="auto"/>
          <w:sz w:val="24"/>
          <w:szCs w:val="24"/>
        </w:rPr>
        <w:t>质疑函在质疑有效期内需要修改、补充的，以提交修改或补充的质疑函原件并发出质疑签收单之日作为质疑正式受理之日。</w:t>
      </w:r>
      <w:bookmarkEnd w:id="87"/>
    </w:p>
    <w:p>
      <w:pPr>
        <w:numPr>
          <w:ilvl w:val="0"/>
          <w:numId w:val="4"/>
        </w:numPr>
        <w:spacing w:line="360" w:lineRule="auto"/>
        <w:ind w:firstLine="561"/>
        <w:jc w:val="center"/>
        <w:outlineLvl w:val="1"/>
        <w:rPr>
          <w:rFonts w:ascii="仿宋" w:hAnsi="仿宋" w:eastAsia="仿宋" w:cs="黑体"/>
          <w:b/>
          <w:color w:val="auto"/>
          <w:sz w:val="24"/>
        </w:rPr>
      </w:pPr>
      <w:bookmarkStart w:id="88" w:name="_Toc1660546"/>
      <w:r>
        <w:rPr>
          <w:rFonts w:hint="eastAsia" w:ascii="仿宋" w:hAnsi="仿宋" w:eastAsia="仿宋" w:cs="黑体"/>
          <w:b/>
          <w:color w:val="auto"/>
          <w:sz w:val="24"/>
        </w:rPr>
        <w:t>其他</w:t>
      </w:r>
      <w:bookmarkEnd w:id="88"/>
    </w:p>
    <w:p>
      <w:pPr>
        <w:pStyle w:val="97"/>
        <w:spacing w:line="360" w:lineRule="auto"/>
        <w:ind w:firstLine="0" w:firstLineChars="0"/>
        <w:jc w:val="left"/>
        <w:rPr>
          <w:rFonts w:ascii="仿宋" w:hAnsi="仿宋" w:eastAsia="仿宋" w:cs="仿宋"/>
          <w:b/>
          <w:color w:val="auto"/>
          <w:sz w:val="24"/>
          <w:szCs w:val="24"/>
        </w:rPr>
      </w:pPr>
      <w:r>
        <w:rPr>
          <w:rFonts w:hint="eastAsia" w:ascii="仿宋" w:hAnsi="仿宋" w:eastAsia="仿宋" w:cs="仿宋"/>
          <w:b/>
          <w:color w:val="auto"/>
          <w:sz w:val="24"/>
          <w:szCs w:val="24"/>
        </w:rPr>
        <w:t>31.采购项目终止</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31.1在谈判过程中，谈判小组发现有下列情形之一的，应当终止竞争性谈判采购活动,发布项目终止公告并说明原因，重新开展采购活动：</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（1）因情况变化，不再符合规定的竞争性谈判采购方式适用情形的；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（2）出现影响采购公正的违法、违规行为的；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（3）除《政府采购非招标采购方式管理办法》第二十一条第三款规定的情形外，在采购过程中符合要求的供应商或者报价未超过采购预算的供应商不足3家的。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 竞争性谈判采购活动终止后，谈判小组应作出书面报告。</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31.2在采购活动中因重大变故，采购任务取消的，采购人或者采购代理机构应当终止采购活动，通知所有参加采购活动的供应商，并将项目实施情况和采购任务取消原因报送本级财政部门。</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31.3.终止采购活动后，采购代理机构应当将终止采购活动原因通知所有供应商。</w:t>
      </w:r>
    </w:p>
    <w:p>
      <w:pPr>
        <w:pStyle w:val="97"/>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32.保密和披露</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32.1 供应商自领取竞争性谈判文件之日起，须履行本采购项目下保密义务，不得将因本次采购获得的信息向第三人外传。</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32.2采购人或采购代理机构有权将供应商提供的所有资料向有关政府部门或评审委员会披露。</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7"/>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33.法律及相关政策</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采购人、政府采购代理机构及供应商的一切采购响应活动均适用《政府采购法》、《政府采购法实施条例》、《政府采购质疑和投诉办法》及其配套的法规、规章、政策。</w:t>
      </w:r>
    </w:p>
    <w:p>
      <w:pPr>
        <w:pStyle w:val="4"/>
        <w:jc w:val="center"/>
        <w:rPr>
          <w:rFonts w:ascii="仿宋" w:hAnsi="仿宋" w:eastAsia="仿宋" w:cs="黑体"/>
          <w:color w:val="auto"/>
        </w:rPr>
      </w:pPr>
      <w:r>
        <w:rPr>
          <w:rFonts w:hint="eastAsia" w:ascii="仿宋" w:hAnsi="仿宋" w:eastAsia="仿宋"/>
          <w:color w:val="auto"/>
        </w:rPr>
        <w:br w:type="page"/>
      </w:r>
      <w:bookmarkStart w:id="89" w:name="_Toc1660547"/>
      <w:r>
        <w:rPr>
          <w:rFonts w:hint="eastAsia" w:ascii="仿宋" w:hAnsi="仿宋" w:eastAsia="仿宋" w:cs="黑体"/>
          <w:color w:val="auto"/>
        </w:rPr>
        <w:t>第三章、用户需求书</w:t>
      </w:r>
      <w:bookmarkEnd w:id="89"/>
    </w:p>
    <w:p>
      <w:pPr>
        <w:widowControl/>
        <w:numPr>
          <w:ilvl w:val="0"/>
          <w:numId w:val="5"/>
        </w:numPr>
        <w:shd w:val="solid" w:color="FFFFFF" w:fill="auto"/>
        <w:autoSpaceDN w:val="0"/>
        <w:spacing w:line="360" w:lineRule="auto"/>
        <w:ind w:left="284" w:hanging="284" w:hangingChars="118"/>
        <w:rPr>
          <w:rFonts w:ascii="仿宋" w:hAnsi="仿宋" w:eastAsia="仿宋"/>
          <w:b/>
          <w:color w:val="auto"/>
          <w:sz w:val="24"/>
          <w:szCs w:val="24"/>
        </w:rPr>
      </w:pPr>
      <w:bookmarkStart w:id="90" w:name="_Toc390176023"/>
      <w:bookmarkStart w:id="91" w:name="_Toc371949173"/>
      <w:bookmarkStart w:id="92" w:name="_Toc365559596"/>
      <w:bookmarkStart w:id="93" w:name="_Toc1660548"/>
      <w:r>
        <w:rPr>
          <w:rFonts w:hint="eastAsia" w:ascii="仿宋" w:hAnsi="仿宋" w:eastAsia="仿宋"/>
          <w:b/>
          <w:color w:val="auto"/>
          <w:sz w:val="24"/>
          <w:szCs w:val="24"/>
        </w:rPr>
        <w:t>项目基本情况</w:t>
      </w:r>
      <w:bookmarkEnd w:id="90"/>
      <w:bookmarkEnd w:id="91"/>
      <w:bookmarkEnd w:id="92"/>
    </w:p>
    <w:p>
      <w:pPr>
        <w:widowControl/>
        <w:shd w:val="solid" w:color="FFFFFF" w:fill="auto"/>
        <w:autoSpaceDN w:val="0"/>
        <w:spacing w:line="360" w:lineRule="auto"/>
        <w:ind w:left="-248" w:leftChars="-118" w:firstLine="240" w:firstLineChars="100"/>
        <w:rPr>
          <w:rFonts w:ascii="仿宋" w:hAnsi="仿宋" w:eastAsia="仿宋"/>
          <w:color w:val="auto"/>
          <w:sz w:val="24"/>
        </w:rPr>
      </w:pPr>
      <w:r>
        <w:rPr>
          <w:rFonts w:hint="eastAsia" w:ascii="仿宋" w:hAnsi="仿宋" w:eastAsia="仿宋"/>
          <w:color w:val="auto"/>
          <w:sz w:val="24"/>
        </w:rPr>
        <w:t>1、项目名称：社会主义核心价值观公益宣传</w:t>
      </w:r>
    </w:p>
    <w:p>
      <w:pPr>
        <w:widowControl/>
        <w:shd w:val="solid" w:color="FFFFFF" w:fill="auto"/>
        <w:autoSpaceDN w:val="0"/>
        <w:spacing w:line="360" w:lineRule="auto"/>
        <w:ind w:left="-248" w:leftChars="-118" w:firstLine="240" w:firstLineChars="100"/>
        <w:rPr>
          <w:rFonts w:ascii="仿宋" w:hAnsi="仿宋" w:eastAsia="仿宋" w:cs="宋体"/>
          <w:color w:val="auto"/>
          <w:sz w:val="24"/>
        </w:rPr>
      </w:pPr>
      <w:r>
        <w:rPr>
          <w:rFonts w:hint="eastAsia" w:ascii="仿宋" w:hAnsi="仿宋" w:eastAsia="仿宋"/>
          <w:color w:val="auto"/>
          <w:sz w:val="24"/>
        </w:rPr>
        <w:t>2、项目</w:t>
      </w:r>
      <w:r>
        <w:rPr>
          <w:rFonts w:hint="eastAsia" w:ascii="仿宋" w:hAnsi="仿宋" w:eastAsia="仿宋" w:cs="宋体"/>
          <w:color w:val="auto"/>
          <w:sz w:val="24"/>
        </w:rPr>
        <w:t>编号：HNZH-2020-300</w:t>
      </w:r>
    </w:p>
    <w:p>
      <w:pPr>
        <w:spacing w:line="360" w:lineRule="auto"/>
        <w:ind w:right="-178" w:rightChars="-85"/>
        <w:rPr>
          <w:rFonts w:ascii="仿宋" w:hAnsi="仿宋" w:eastAsia="仿宋"/>
          <w:color w:val="auto"/>
          <w:sz w:val="24"/>
        </w:rPr>
      </w:pPr>
      <w:r>
        <w:rPr>
          <w:rFonts w:hint="eastAsia" w:ascii="仿宋" w:hAnsi="仿宋" w:eastAsia="仿宋"/>
          <w:color w:val="auto"/>
          <w:sz w:val="24"/>
        </w:rPr>
        <w:t>3、采购预算：819610元，超出采购预算的为无效报价</w:t>
      </w:r>
    </w:p>
    <w:p>
      <w:pPr>
        <w:widowControl/>
        <w:shd w:val="solid" w:color="FFFFFF" w:fill="auto"/>
        <w:autoSpaceDN w:val="0"/>
        <w:spacing w:line="360" w:lineRule="auto"/>
        <w:jc w:val="left"/>
        <w:rPr>
          <w:rFonts w:ascii="仿宋" w:hAnsi="仿宋" w:eastAsia="仿宋"/>
          <w:color w:val="auto"/>
          <w:sz w:val="24"/>
        </w:rPr>
      </w:pPr>
      <w:r>
        <w:rPr>
          <w:rFonts w:hint="eastAsia" w:ascii="仿宋" w:hAnsi="仿宋" w:eastAsia="仿宋"/>
          <w:color w:val="auto"/>
          <w:sz w:val="24"/>
        </w:rPr>
        <w:t>4、交货期：签订合同之日起</w:t>
      </w:r>
      <w:r>
        <w:rPr>
          <w:rFonts w:hint="eastAsia" w:ascii="仿宋" w:hAnsi="仿宋" w:eastAsia="仿宋"/>
          <w:color w:val="auto"/>
          <w:sz w:val="24"/>
          <w:u w:val="single"/>
        </w:rPr>
        <w:t>20</w:t>
      </w:r>
      <w:r>
        <w:rPr>
          <w:rFonts w:hint="eastAsia" w:ascii="仿宋" w:hAnsi="仿宋" w:eastAsia="仿宋"/>
          <w:color w:val="auto"/>
          <w:sz w:val="24"/>
        </w:rPr>
        <w:t>天内</w:t>
      </w:r>
    </w:p>
    <w:p>
      <w:pPr>
        <w:widowControl/>
        <w:shd w:val="solid" w:color="FFFFFF" w:fill="auto"/>
        <w:autoSpaceDN w:val="0"/>
        <w:spacing w:line="360" w:lineRule="auto"/>
        <w:jc w:val="left"/>
        <w:rPr>
          <w:rFonts w:ascii="仿宋" w:hAnsi="仿宋" w:eastAsia="仿宋" w:cs="宋体"/>
          <w:color w:val="auto"/>
          <w:sz w:val="24"/>
        </w:rPr>
      </w:pPr>
      <w:r>
        <w:rPr>
          <w:rFonts w:hint="eastAsia" w:ascii="仿宋" w:hAnsi="仿宋" w:eastAsia="仿宋" w:cs="宋体"/>
          <w:color w:val="auto"/>
          <w:sz w:val="24"/>
        </w:rPr>
        <w:t>5、实施地点：采购人指定</w:t>
      </w:r>
    </w:p>
    <w:p>
      <w:pPr>
        <w:shd w:val="clear" w:color="auto" w:fill="FFFFFF"/>
        <w:snapToGrid w:val="0"/>
        <w:spacing w:line="360" w:lineRule="auto"/>
        <w:rPr>
          <w:rFonts w:ascii="仿宋" w:hAnsi="仿宋" w:eastAsia="仿宋"/>
          <w:color w:val="auto"/>
          <w:sz w:val="24"/>
        </w:rPr>
      </w:pPr>
      <w:r>
        <w:rPr>
          <w:rFonts w:hint="eastAsia" w:ascii="仿宋" w:hAnsi="仿宋" w:eastAsia="仿宋"/>
          <w:color w:val="auto"/>
          <w:sz w:val="24"/>
        </w:rPr>
        <w:t>6、验收方式：由采购人组织有关部门按照国家有关标准的规定进行验收。</w:t>
      </w:r>
    </w:p>
    <w:p>
      <w:pPr>
        <w:shd w:val="clear" w:color="auto" w:fill="FFFFFF"/>
        <w:snapToGrid w:val="0"/>
        <w:spacing w:line="360" w:lineRule="auto"/>
        <w:rPr>
          <w:rFonts w:ascii="仿宋" w:hAnsi="仿宋" w:eastAsia="仿宋" w:cs="宋体"/>
          <w:color w:val="auto"/>
          <w:sz w:val="24"/>
        </w:rPr>
      </w:pPr>
      <w:r>
        <w:rPr>
          <w:rFonts w:hint="eastAsia" w:ascii="仿宋" w:hAnsi="仿宋" w:eastAsia="仿宋"/>
          <w:color w:val="auto"/>
          <w:sz w:val="24"/>
        </w:rPr>
        <w:t>7、付款方式：</w:t>
      </w:r>
      <w:r>
        <w:rPr>
          <w:rFonts w:hint="eastAsia" w:ascii="仿宋" w:hAnsi="仿宋" w:eastAsia="仿宋" w:cs="宋体"/>
          <w:color w:val="auto"/>
          <w:sz w:val="24"/>
        </w:rPr>
        <w:t xml:space="preserve"> 签订合同后按合同约定内容付款</w:t>
      </w:r>
    </w:p>
    <w:p>
      <w:pPr>
        <w:widowControl/>
        <w:tabs>
          <w:tab w:val="left" w:pos="630"/>
        </w:tabs>
        <w:spacing w:line="360" w:lineRule="auto"/>
        <w:jc w:val="left"/>
        <w:textAlignment w:val="bottom"/>
        <w:rPr>
          <w:rFonts w:ascii="仿宋" w:hAnsi="仿宋" w:eastAsia="仿宋"/>
          <w:color w:val="auto"/>
          <w:kern w:val="28"/>
          <w:sz w:val="24"/>
        </w:rPr>
      </w:pPr>
      <w:r>
        <w:rPr>
          <w:rFonts w:hint="eastAsia" w:ascii="仿宋" w:hAnsi="仿宋" w:eastAsia="仿宋" w:cs="宋体"/>
          <w:color w:val="auto"/>
          <w:sz w:val="24"/>
        </w:rPr>
        <w:t>8、</w:t>
      </w:r>
      <w:r>
        <w:rPr>
          <w:rFonts w:hint="eastAsia" w:ascii="仿宋" w:hAnsi="仿宋" w:eastAsia="仿宋"/>
          <w:color w:val="auto"/>
          <w:kern w:val="28"/>
          <w:sz w:val="24"/>
        </w:rPr>
        <w:t>根据国务院办公厅关于建立政府强制采购节能产品制度的通知，在同等条件下优先采购节能产品</w:t>
      </w:r>
    </w:p>
    <w:p>
      <w:pPr>
        <w:widowControl/>
        <w:snapToGrid w:val="0"/>
        <w:spacing w:line="360" w:lineRule="auto"/>
        <w:jc w:val="left"/>
        <w:rPr>
          <w:rFonts w:ascii="仿宋" w:hAnsi="仿宋" w:eastAsia="仿宋"/>
          <w:color w:val="auto"/>
          <w:sz w:val="24"/>
        </w:rPr>
      </w:pPr>
      <w:r>
        <w:rPr>
          <w:rFonts w:hint="eastAsia" w:ascii="仿宋" w:hAnsi="仿宋" w:eastAsia="仿宋"/>
          <w:color w:val="auto"/>
          <w:sz w:val="24"/>
        </w:rPr>
        <w:t>9、小微企业投标价格依据《关于印发中小企业划型标准规定的通知》（工信部联企业[2011]300号）文件及《政府采购促进中小企业发展暂行办法》（财库[2011]181号）文件规定，按6%的优惠折算后计算投标报价</w:t>
      </w:r>
    </w:p>
    <w:p>
      <w:pPr>
        <w:widowControl/>
        <w:numPr>
          <w:ilvl w:val="0"/>
          <w:numId w:val="5"/>
        </w:numPr>
        <w:shd w:val="solid" w:color="FFFFFF" w:fill="auto"/>
        <w:autoSpaceDN w:val="0"/>
        <w:spacing w:line="360" w:lineRule="auto"/>
        <w:ind w:left="284" w:hanging="284" w:hangingChars="118"/>
        <w:rPr>
          <w:rFonts w:ascii="仿宋" w:hAnsi="仿宋" w:eastAsia="仿宋"/>
          <w:b/>
          <w:color w:val="auto"/>
          <w:sz w:val="24"/>
          <w:szCs w:val="24"/>
        </w:rPr>
      </w:pPr>
      <w:r>
        <w:rPr>
          <w:rFonts w:hint="eastAsia" w:ascii="仿宋" w:hAnsi="仿宋" w:eastAsia="仿宋"/>
          <w:b/>
          <w:color w:val="auto"/>
          <w:sz w:val="24"/>
          <w:szCs w:val="24"/>
        </w:rPr>
        <w:t>采购需求</w:t>
      </w:r>
    </w:p>
    <w:tbl>
      <w:tblPr>
        <w:tblStyle w:val="23"/>
        <w:tblW w:w="9675" w:type="dxa"/>
        <w:tblInd w:w="0" w:type="dxa"/>
        <w:tblLayout w:type="fixed"/>
        <w:tblCellMar>
          <w:top w:w="0" w:type="dxa"/>
          <w:left w:w="0" w:type="dxa"/>
          <w:bottom w:w="0" w:type="dxa"/>
          <w:right w:w="0" w:type="dxa"/>
        </w:tblCellMar>
      </w:tblPr>
      <w:tblGrid>
        <w:gridCol w:w="735"/>
        <w:gridCol w:w="4215"/>
        <w:gridCol w:w="690"/>
        <w:gridCol w:w="795"/>
        <w:gridCol w:w="615"/>
        <w:gridCol w:w="660"/>
        <w:gridCol w:w="1965"/>
      </w:tblGrid>
      <w:tr>
        <w:tblPrEx>
          <w:tblCellMar>
            <w:top w:w="0" w:type="dxa"/>
            <w:left w:w="0" w:type="dxa"/>
            <w:bottom w:w="0" w:type="dxa"/>
            <w:right w:w="0" w:type="dxa"/>
          </w:tblCellMar>
        </w:tblPrEx>
        <w:trPr>
          <w:trHeight w:val="4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序号</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内容</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规格(cm)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备注</w:t>
            </w:r>
          </w:p>
        </w:tc>
      </w:tr>
      <w:tr>
        <w:tblPrEx>
          <w:tblCellMar>
            <w:top w:w="0" w:type="dxa"/>
            <w:left w:w="0" w:type="dxa"/>
            <w:bottom w:w="0" w:type="dxa"/>
            <w:right w:w="0"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长</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8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一、宣传牌部分</w:t>
            </w: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牙叉南路菁华保安堂侧面墙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钢板电脑雕刻图案高温烤漆、户外高精度写真画面、内容体现有白沙民族特色</w:t>
            </w: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桥北路收购土特产的侧面墙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桥北路33号的侧面墙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牙叉中路59号的侧面墙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牙叉中路132号的侧面墙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牙叉中路130号的侧面墙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牙叉中路104号的侧面墙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牙叉东路44号的侧面墙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10</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牙叉东路46号的两边巷口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牙叉东路45号 土产小巷口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牙叉东路48号 农业银行小巷口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13</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牙叉东路50号 红花幼儿园旁小巷口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14</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牙叉东路82号 包装厂小区口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16</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牙叉东路75号13幢 技校旁小巷口（左前右后两边）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17</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18</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牙叉东路112号1幢 建筑公司小巷口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19</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20</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牙叉东路136号 综合厂小巷口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牙叉东路166号 热作场小巷口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22</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牙叉东路178号审计局小巷口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23</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rPr>
              <w:t>牙叉东路95号 雅登旁边安居楼小巷口（右）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钢板电脑雕刻图案高温烤漆、户外高精度写真画面、内容体现有白沙民族特色</w:t>
            </w: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牙叉东路186号 检察院宿舍楼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牙叉东路139号 外贸公司小区口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卫生路111号 雅登大酒店旁</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卫生路 雅钗市场后门</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29</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卫生路47号1幢 冰淇淋批发店旁</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30</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31</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卫生路52号 市场侧门自产自销区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32</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33</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卫生路37号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34</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凤凰城小区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35</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36</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37</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38</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凤凰城文明诚信经营示范街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40</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石油路 交通运输局旁</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41</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石油路87号 老林业局宿舍小巷口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43</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泰和路4号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44</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泰和路2号2幢（后面那一面墙）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45</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泰和路12号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泰和路28号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泰和路 常委楼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泰和路 县委办公大楼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700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PVC电脑雕刻，户外UV打印。</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50</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牙叉中路127号 地方公路站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钢板电脑雕刻图案高温烤漆、户外高精度写真画面、内容体现有白沙民族特色</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51</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52</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53</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牙叉南路81号（烟草公司往金沙园方向）</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烟草公司小巷口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钢板电脑雕刻图案高温烤漆、户外高精度写真画面、内容体现有白沙民族特色</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56</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牙叉中路45号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57</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58</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金沙西路 小漫商店旁路口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60</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金沙西路2号 山西面馆旁路口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61</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62</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63</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滨河北路30号 水岸新世纪小区地下停车场出入口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64</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牙叉中路157号 白沙公路局</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66</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 山水假日小区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67</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140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68</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69</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70</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 馨怡然小区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71</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140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PVC电脑雕刻，户外UV打印</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72</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怡心北路2号 雅居小区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钢板电脑雕刻图案高温烤漆、户外高精度写真画面、内容体现有白沙民族特色</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73</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74</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95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rPr>
              <w:t>牙叉中路 薄沙茶直销店旁（原舒克酒吧附近）</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牙叉中路308号 安顺旅馆路口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金沙西路28（农场A区）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78</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金沙西路 农场医院公厕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79</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80</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金沙西路76（农场C区）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农场B区牙叉实验学校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农场B区牙叉实验学校对面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83</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祥和街44号 农场B区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祥和街46号 农场B区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r>
      <w:tr>
        <w:tblPrEx>
          <w:tblCellMar>
            <w:top w:w="0" w:type="dxa"/>
            <w:left w:w="0" w:type="dxa"/>
            <w:bottom w:w="0" w:type="dxa"/>
            <w:right w:w="0"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财政路口宣传牌</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钢板雕刻高温烤漆、亮灯、内容体现有白沙民族特色</w:t>
            </w:r>
          </w:p>
        </w:tc>
      </w:tr>
      <w:tr>
        <w:tblPrEx>
          <w:tblCellMar>
            <w:top w:w="0" w:type="dxa"/>
            <w:left w:w="0" w:type="dxa"/>
            <w:bottom w:w="0" w:type="dxa"/>
            <w:right w:w="0" w:type="dxa"/>
          </w:tblCellMar>
        </w:tblPrEx>
        <w:trPr>
          <w:trHeight w:val="11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文化公园宣传牌维修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1340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破损部位进行维修、更换，重新喷漆</w:t>
            </w:r>
          </w:p>
        </w:tc>
      </w:tr>
      <w:tr>
        <w:tblPrEx>
          <w:tblCellMar>
            <w:top w:w="0" w:type="dxa"/>
            <w:left w:w="0" w:type="dxa"/>
            <w:bottom w:w="0" w:type="dxa"/>
            <w:right w:w="0"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8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二、画面更换部分</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新政府前河堤宣传牌画面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可移黑胶</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月亮湖公园绿化带宣传牌画面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1.71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月亮湖公园河堤绿化带宣传牌画面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泰和路绿化带宣传牌画面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文化公园宣传牌画面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2.67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文化公园健身处宣传牌画面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0.745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质监局宣传牌画面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档案馆栏杆宣传牌画面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9</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南天路栏杆宣传牌画面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0.44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10</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礼让行人画面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0.802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反光膜</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县委大院球厂墙面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0.916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0.538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可移黑胶</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县委大院宣传牌小品画面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13</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县委大院墙体宣传栏画面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4.85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文化公园大门前宣传牌画面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护栏(消防)宣传牌画面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28</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rPr>
              <w:t>桥南路小区（通恒建材后面）墙体宣传牌画面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党校文化小区墙体宣传牌</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文工团宣传栏画面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桥南路一横巷4号墙体宣传牌画面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20</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桥南一横巷2号墙体宣传牌画面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1.69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桥南路75号墙体宣传牌画面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桥南路45号墙体宣传牌画面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23</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桥南路1号墙体宣传牌画面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水景花都墙体宣传牌画面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2.82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县一小宣传栏画面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牙叉东路112号墙体宣传牌画面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2.63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牙叉东路136号宣传栏画面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卫生路粮库墙体宣传牌画面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29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财政宣传栏画面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30</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和平巷10号宣传栏画面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祥和街5号宣传栏画面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rPr>
              <w:t>祥和街小区(牙叉实验学校对面)宣传栏画面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33</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rPr>
              <w:t>祥和街小区(牙叉实验学校对面)宣传牌画面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祥和街44号墙体宣传牌画面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可移黑胶</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祥和街44号宣传栏画面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牙叉中路188号墙体宣传牌画面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交通局宿舍墙体宣传牌画面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祥和街墙体宣传牌画面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3.79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南湖小区一期绿化带宣传牌(灯笼形)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40</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南湖小区二期绿化带宣传牌(灯笼形)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南湖小区二期绿化带宣传牌(圆形)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42</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县小文化公园宣传牌画面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2"/>
                <w:szCs w:val="22"/>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43</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文明湖宣传牌画面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44</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配电箱宣传牌画面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1.94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1.94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45</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博物馆河堤边宣传牌画面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46</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石油路口宣传牌画面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47</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文化公园长廊宣传牌画面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0.21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0.48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文明湖护栏宣传牌(大)画面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0.63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50</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49</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文明湖护栏宣传牌(小)画面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0.36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32</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auto"/>
                <w:sz w:val="22"/>
                <w:szCs w:val="22"/>
              </w:rPr>
            </w:pP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50</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户外灯箱宣传牌画面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38</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rPr>
              <w:t>户外不干胶</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51</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卫生路87号 粮所小巷口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可移黑胶</w:t>
            </w:r>
          </w:p>
        </w:tc>
      </w:tr>
      <w:tr>
        <w:tblPrEx>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52</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牙叉中路169号 电信小区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广告布</w:t>
            </w:r>
          </w:p>
        </w:tc>
      </w:tr>
    </w:tbl>
    <w:p>
      <w:pPr>
        <w:rPr>
          <w:rFonts w:hint="eastAsia" w:ascii="仿宋" w:hAnsi="仿宋" w:eastAsia="仿宋"/>
          <w:b w:val="0"/>
          <w:bCs/>
          <w:color w:val="auto"/>
          <w:sz w:val="30"/>
          <w:szCs w:val="30"/>
          <w:lang w:val="en-US" w:eastAsia="zh-CN"/>
        </w:rPr>
      </w:pPr>
      <w:r>
        <w:rPr>
          <w:rFonts w:hint="eastAsia" w:ascii="仿宋" w:hAnsi="仿宋" w:eastAsia="仿宋"/>
          <w:b/>
          <w:color w:val="auto"/>
          <w:sz w:val="30"/>
          <w:szCs w:val="30"/>
        </w:rPr>
        <w:t>注：</w:t>
      </w:r>
      <w:r>
        <w:rPr>
          <w:rFonts w:hint="eastAsia" w:ascii="仿宋" w:hAnsi="仿宋" w:eastAsia="仿宋"/>
          <w:b w:val="0"/>
          <w:bCs/>
          <w:color w:val="auto"/>
          <w:sz w:val="30"/>
          <w:szCs w:val="30"/>
        </w:rPr>
        <w:t>为保证项目质量，潜在供应商须提供类似项目业绩一份。</w:t>
      </w:r>
      <w:r>
        <w:rPr>
          <w:rFonts w:hint="eastAsia" w:ascii="仿宋" w:hAnsi="仿宋" w:eastAsia="仿宋"/>
          <w:b w:val="0"/>
          <w:bCs/>
          <w:color w:val="auto"/>
          <w:sz w:val="30"/>
          <w:szCs w:val="30"/>
          <w:lang w:eastAsia="zh-CN"/>
        </w:rPr>
        <w:t>（提供中标通知书和合同复印件）</w:t>
      </w:r>
    </w:p>
    <w:p>
      <w:pPr>
        <w:ind w:firstLine="600" w:firstLineChars="200"/>
        <w:rPr>
          <w:rFonts w:ascii="仿宋" w:hAnsi="仿宋" w:eastAsia="仿宋"/>
          <w:b w:val="0"/>
          <w:bCs/>
          <w:color w:val="auto"/>
          <w:sz w:val="30"/>
          <w:szCs w:val="30"/>
        </w:rPr>
      </w:pPr>
      <w:r>
        <w:rPr>
          <w:rFonts w:hint="eastAsia" w:ascii="仿宋" w:hAnsi="仿宋" w:eastAsia="仿宋"/>
          <w:b w:val="0"/>
          <w:bCs/>
          <w:color w:val="auto"/>
          <w:sz w:val="30"/>
          <w:szCs w:val="30"/>
        </w:rPr>
        <w:t>本项目要求供应商配备贰级建筑专业项目经理一名，以及质量员、安全员、施工员、机械员各一名。要求提供人员注册证或岗位证以及毕业证和身份证。</w:t>
      </w:r>
    </w:p>
    <w:p>
      <w:pPr>
        <w:jc w:val="center"/>
        <w:rPr>
          <w:rFonts w:ascii="仿宋" w:hAnsi="仿宋" w:eastAsia="仿宋"/>
          <w:b/>
          <w:color w:val="auto"/>
          <w:sz w:val="30"/>
          <w:szCs w:val="30"/>
        </w:rPr>
      </w:pPr>
    </w:p>
    <w:p>
      <w:pPr>
        <w:jc w:val="center"/>
        <w:rPr>
          <w:rFonts w:ascii="仿宋" w:hAnsi="仿宋" w:eastAsia="仿宋"/>
          <w:b/>
          <w:color w:val="auto"/>
          <w:sz w:val="30"/>
          <w:szCs w:val="30"/>
        </w:rPr>
      </w:pPr>
      <w:r>
        <w:rPr>
          <w:rFonts w:hint="eastAsia" w:ascii="仿宋" w:hAnsi="仿宋" w:eastAsia="仿宋"/>
          <w:b/>
          <w:color w:val="auto"/>
          <w:sz w:val="30"/>
          <w:szCs w:val="30"/>
        </w:rPr>
        <w:t>第四章、合同文本（参考文本）</w:t>
      </w:r>
      <w:bookmarkEnd w:id="93"/>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合同编号：XXXX。</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签订地点：XXXX。</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签订时间：XXXX年XX月XX日。</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 xml:space="preserve">采购人（甲方）：   </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供应商（乙方）：</w:t>
      </w:r>
    </w:p>
    <w:p>
      <w:pPr>
        <w:pStyle w:val="6"/>
        <w:spacing w:line="360" w:lineRule="auto"/>
        <w:ind w:firstLineChars="175"/>
        <w:rPr>
          <w:rFonts w:ascii="仿宋" w:hAnsi="仿宋" w:eastAsia="仿宋" w:cs="仿宋_GB2312"/>
          <w:color w:val="auto"/>
          <w:sz w:val="24"/>
          <w:szCs w:val="24"/>
        </w:rPr>
      </w:pP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根据《中华人民共和国政府采购法》、《中华人民共和国合同法》及海南政辉招投标代理有限公司（项目编号：</w:t>
      </w:r>
      <w:r>
        <w:rPr>
          <w:rFonts w:hint="eastAsia" w:ascii="仿宋" w:hAnsi="仿宋" w:eastAsia="仿宋" w:cs="宋体"/>
          <w:color w:val="auto"/>
          <w:sz w:val="24"/>
        </w:rPr>
        <w:t>HNZH-2020-300</w:t>
      </w:r>
      <w:r>
        <w:rPr>
          <w:rFonts w:hint="eastAsia" w:ascii="仿宋" w:hAnsi="仿宋" w:eastAsia="仿宋" w:cs="仿宋_GB2312"/>
          <w:color w:val="auto"/>
          <w:sz w:val="24"/>
          <w:szCs w:val="24"/>
        </w:rPr>
        <w:t>）的《竞争性谈判文件》、乙方的《响应文件》及《成交通知书》，甲、乙双方同意签订本合同。详细技术说明及其他有关合同项目的特定信息由合同附件予以说明，合同附件及本项目的竞争性谈判文件、响应文件、《成交通知书》等均为本合同不可分割的部分。双方同意共同遵守如下条款：</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一、合同货物</w:t>
      </w:r>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4"/>
        <w:gridCol w:w="1161"/>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货物品名</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规格型号</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单位</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jc w:val="center"/>
              <w:rPr>
                <w:rFonts w:ascii="仿宋" w:hAnsi="仿宋" w:eastAsia="仿宋" w:cs="仿宋_GB2312"/>
                <w:color w:val="auto"/>
                <w:szCs w:val="21"/>
              </w:rPr>
            </w:pPr>
            <w:r>
              <w:rPr>
                <w:rFonts w:hint="eastAsia" w:ascii="仿宋" w:hAnsi="仿宋" w:eastAsia="仿宋" w:cs="仿宋_GB2312"/>
                <w:color w:val="auto"/>
                <w:szCs w:val="21"/>
              </w:rPr>
              <w:t>单价</w:t>
            </w:r>
          </w:p>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jc w:val="center"/>
              <w:rPr>
                <w:rFonts w:ascii="仿宋" w:hAnsi="仿宋" w:eastAsia="仿宋" w:cs="仿宋_GB2312"/>
                <w:color w:val="auto"/>
                <w:szCs w:val="21"/>
              </w:rPr>
            </w:pPr>
            <w:r>
              <w:rPr>
                <w:rFonts w:hint="eastAsia" w:ascii="仿宋" w:hAnsi="仿宋" w:eastAsia="仿宋" w:cs="仿宋_GB2312"/>
                <w:color w:val="auto"/>
                <w:szCs w:val="21"/>
              </w:rPr>
              <w:t>总价</w:t>
            </w:r>
          </w:p>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随机</w:t>
            </w:r>
          </w:p>
          <w:p>
            <w:pPr>
              <w:pStyle w:val="6"/>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配件</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r>
    </w:tbl>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二、合同总价</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合同总价为人民币大写：元，即RMB￥元；该合同总价已包括货物、材料、制造、包装、运输、验收合格交付使用之前及保修期内保修服务与备用物件等所有其他有关各项的含税费用。本合同执行期间合同总价不变，甲方无须另向乙方支付本合同规定之外的其他任何费用。</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三、货物要求</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1.所有设备必须是厂商原装、全新的正品，符合国家及该产品的出厂标准，并完全符合甲方要求的产品。</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2.附货物具体技术参数。</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四、交货时间及交货地点</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1.交货时间：。</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2.交货地点：采购人指定地点。</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五、付款方式</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w:t>
      </w:r>
    </w:p>
    <w:p>
      <w:pPr>
        <w:pStyle w:val="6"/>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六、质保期及售后服务要求</w:t>
      </w:r>
    </w:p>
    <w:p>
      <w:pPr>
        <w:pStyle w:val="6"/>
        <w:spacing w:line="360" w:lineRule="auto"/>
        <w:ind w:firstLineChars="175"/>
        <w:rPr>
          <w:rFonts w:ascii="仿宋" w:hAnsi="仿宋" w:eastAsia="仿宋" w:cs="仿宋_GB2312"/>
          <w:color w:val="auto"/>
          <w:sz w:val="24"/>
          <w:szCs w:val="24"/>
          <w:u w:val="single"/>
        </w:rPr>
      </w:pP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七、验收：</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由甲方组织，乙方配合，根据对本项目采购需求响应情况及国家行业标准进行验收。</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八、违约责任与赔偿损失</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1.乙方交付的货物不符合竞争性磋商文件、报价文件或本合同规定的，甲方有权拒收，并且乙方须向甲方支付本合同总价5%的违约金。</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 乙方未能按本合同规定的交货时间交付货物，从逾期之日起每日按本合同总价3‰的数额向甲方支付违约金；逾期半个月以上的，甲方有权终止合同，由此造成的甲方经济损失由乙方承担。</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3. 甲方无正当理由拒收货物，到期拒付货物款项的，甲方向乙方偿付本合同总的5%的违约金。甲方人逾期付款，则每日按本合同总价的3‰向乙方偿付违约金。</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4. 其它违约责任按《中华人民共和国合同法》处理。</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九、争议的解决</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1.合同执行过程中发生的任何争议，如双方不能通过友好协商解决，按相关法律法规处理。</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十一、税费：在中国境内、外发生的与本合同执行有关的一切税费均由乙方负担。</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十二、其它</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 本合同所有附件、竞争性谈判文件、响应文件、成交通知书均为合同的有效组成部分，与本合同具有同等法律效力。</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 在执行本合同的过程中，所有经双方签署确认的文件（包括会议纪要、补充协议、往来信函）即成为本合同的有效组成部分。</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 xml:space="preserve">3. 如一方地址、电话、传真号码有变更，应在变更当日内书面通知对方，否则，应承担相应责任。 </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4. 除甲方事先书面同意外，乙方不得部分或全部转让其应履行的合同项下的义务。</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十三、合同生效：</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1.本合同在甲乙双方法人代表或其授权代表签字盖章后生效。</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2.合同一式6份。甲、乙方,采购代理机构各2份。</w:t>
      </w:r>
    </w:p>
    <w:p>
      <w:pPr>
        <w:pStyle w:val="6"/>
        <w:spacing w:line="360" w:lineRule="auto"/>
        <w:ind w:firstLineChars="175"/>
        <w:rPr>
          <w:rFonts w:ascii="仿宋" w:hAnsi="仿宋" w:eastAsia="仿宋" w:cs="仿宋_GB2312"/>
          <w:color w:val="auto"/>
          <w:sz w:val="24"/>
          <w:szCs w:val="24"/>
        </w:rPr>
      </w:pP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甲方：   （盖章）</w:t>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 xml:space="preserve">             乙方：（盖章）</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法定代表人（授权代表）：             法定代表人（授权代表）：</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地址：                               地址：</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开户银行：                           开户银行：</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账号：                               账号：</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电话：                               电话：</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传真：                               传真：</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签约日期：XX年XX月XX日</w:t>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 xml:space="preserve">  签约日期：XX年XX月XX日</w:t>
      </w:r>
    </w:p>
    <w:p>
      <w:pPr>
        <w:jc w:val="center"/>
        <w:outlineLvl w:val="0"/>
        <w:rPr>
          <w:rFonts w:ascii="仿宋" w:hAnsi="仿宋" w:eastAsia="仿宋"/>
          <w:b/>
          <w:color w:val="auto"/>
          <w:sz w:val="44"/>
          <w:szCs w:val="44"/>
        </w:rPr>
      </w:pPr>
    </w:p>
    <w:p>
      <w:pPr>
        <w:snapToGrid w:val="0"/>
        <w:spacing w:before="19" w:line="500" w:lineRule="exact"/>
        <w:ind w:firstLine="281" w:firstLineChars="100"/>
        <w:rPr>
          <w:rFonts w:ascii="仿宋" w:hAnsi="仿宋" w:eastAsia="仿宋"/>
          <w:b/>
          <w:color w:val="auto"/>
          <w:sz w:val="28"/>
          <w:u w:val="single"/>
        </w:rPr>
      </w:pPr>
      <w:r>
        <w:rPr>
          <w:rFonts w:hint="eastAsia" w:ascii="仿宋" w:hAnsi="仿宋" w:eastAsia="仿宋"/>
          <w:b/>
          <w:color w:val="auto"/>
          <w:sz w:val="28"/>
        </w:rPr>
        <w:t>招标代理：</w:t>
      </w:r>
      <w:r>
        <w:rPr>
          <w:rFonts w:hint="eastAsia" w:ascii="仿宋" w:hAnsi="仿宋" w:eastAsia="仿宋"/>
          <w:b/>
          <w:color w:val="auto"/>
          <w:sz w:val="28"/>
          <w:u w:val="single"/>
        </w:rPr>
        <w:t>海南政辉招投标代理有限公司（盖章）</w:t>
      </w:r>
    </w:p>
    <w:p>
      <w:pPr>
        <w:snapToGrid w:val="0"/>
        <w:spacing w:before="19" w:line="500" w:lineRule="exact"/>
        <w:ind w:firstLine="280" w:firstLineChars="100"/>
        <w:rPr>
          <w:rFonts w:ascii="仿宋" w:hAnsi="仿宋" w:eastAsia="仿宋"/>
          <w:color w:val="auto"/>
          <w:sz w:val="28"/>
        </w:rPr>
      </w:pPr>
      <w:r>
        <w:rPr>
          <w:rFonts w:hint="eastAsia" w:ascii="仿宋" w:hAnsi="仿宋" w:eastAsia="仿宋"/>
          <w:color w:val="auto"/>
          <w:sz w:val="28"/>
        </w:rPr>
        <w:t>经办人：</w:t>
      </w:r>
    </w:p>
    <w:p>
      <w:pPr>
        <w:ind w:firstLine="280" w:firstLineChars="100"/>
        <w:rPr>
          <w:rFonts w:ascii="仿宋" w:hAnsi="仿宋" w:eastAsia="仿宋"/>
          <w:color w:val="auto"/>
          <w:sz w:val="28"/>
        </w:rPr>
      </w:pPr>
      <w:r>
        <w:rPr>
          <w:rFonts w:hint="eastAsia" w:ascii="仿宋" w:hAnsi="仿宋" w:eastAsia="仿宋"/>
          <w:color w:val="auto"/>
          <w:sz w:val="28"/>
        </w:rPr>
        <w:t>年月日</w:t>
      </w:r>
    </w:p>
    <w:p>
      <w:pPr>
        <w:rPr>
          <w:rFonts w:ascii="仿宋" w:hAnsi="仿宋" w:eastAsia="仿宋"/>
          <w:color w:val="auto"/>
        </w:rPr>
      </w:pPr>
    </w:p>
    <w:p>
      <w:pPr>
        <w:rPr>
          <w:rFonts w:ascii="仿宋" w:hAnsi="仿宋" w:eastAsia="仿宋"/>
          <w:color w:val="auto"/>
        </w:rPr>
      </w:pPr>
    </w:p>
    <w:p>
      <w:pPr>
        <w:pStyle w:val="4"/>
        <w:jc w:val="center"/>
        <w:rPr>
          <w:rFonts w:ascii="仿宋" w:hAnsi="仿宋" w:eastAsia="仿宋" w:cs="黑体"/>
          <w:color w:val="auto"/>
        </w:rPr>
      </w:pPr>
      <w:r>
        <w:rPr>
          <w:rFonts w:hint="eastAsia" w:ascii="仿宋" w:hAnsi="仿宋" w:eastAsia="仿宋" w:cs="黑体"/>
          <w:color w:val="auto"/>
        </w:rPr>
        <w:t>第五章、报价内容和格式（参考）</w:t>
      </w:r>
    </w:p>
    <w:p>
      <w:pPr>
        <w:numPr>
          <w:ilvl w:val="0"/>
          <w:numId w:val="6"/>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开标一览表；</w:t>
      </w:r>
    </w:p>
    <w:p>
      <w:pPr>
        <w:numPr>
          <w:ilvl w:val="0"/>
          <w:numId w:val="6"/>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报价函；</w:t>
      </w:r>
    </w:p>
    <w:p>
      <w:pPr>
        <w:numPr>
          <w:ilvl w:val="0"/>
          <w:numId w:val="6"/>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报价明细表；</w:t>
      </w:r>
    </w:p>
    <w:p>
      <w:pPr>
        <w:numPr>
          <w:ilvl w:val="0"/>
          <w:numId w:val="6"/>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供应商资格证明文件；</w:t>
      </w:r>
    </w:p>
    <w:p>
      <w:pPr>
        <w:numPr>
          <w:ilvl w:val="0"/>
          <w:numId w:val="6"/>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用户需求响应表；</w:t>
      </w:r>
    </w:p>
    <w:p>
      <w:pPr>
        <w:numPr>
          <w:ilvl w:val="0"/>
          <w:numId w:val="6"/>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其他相关材料。</w:t>
      </w:r>
    </w:p>
    <w:p>
      <w:pPr>
        <w:widowControl/>
        <w:snapToGrid w:val="0"/>
        <w:spacing w:line="600" w:lineRule="auto"/>
        <w:ind w:firstLine="480" w:firstLineChars="200"/>
        <w:jc w:val="left"/>
        <w:rPr>
          <w:rFonts w:ascii="仿宋" w:hAnsi="仿宋" w:eastAsia="仿宋"/>
          <w:color w:val="auto"/>
          <w:sz w:val="24"/>
        </w:rPr>
      </w:pPr>
      <w:r>
        <w:rPr>
          <w:rFonts w:hint="eastAsia" w:ascii="仿宋" w:hAnsi="仿宋" w:eastAsia="仿宋"/>
          <w:color w:val="auto"/>
          <w:sz w:val="24"/>
        </w:rPr>
        <w:t>由供应商根据自身实际情况并结合采购文件相关要求据实编写，格式由投标人自定。</w:t>
      </w: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pStyle w:val="4"/>
        <w:rPr>
          <w:rFonts w:ascii="仿宋" w:hAnsi="仿宋" w:eastAsia="仿宋"/>
          <w:color w:val="auto"/>
        </w:rPr>
      </w:pPr>
    </w:p>
    <w:p>
      <w:pPr>
        <w:rPr>
          <w:rFonts w:ascii="仿宋" w:hAnsi="仿宋" w:eastAsia="仿宋"/>
          <w:color w:val="auto"/>
        </w:rPr>
      </w:pPr>
    </w:p>
    <w:p>
      <w:pPr>
        <w:pStyle w:val="4"/>
        <w:rPr>
          <w:rFonts w:ascii="仿宋" w:hAnsi="仿宋" w:eastAsia="仿宋"/>
          <w:color w:val="auto"/>
        </w:rPr>
      </w:pPr>
    </w:p>
    <w:p>
      <w:pPr>
        <w:spacing w:line="360" w:lineRule="auto"/>
        <w:jc w:val="center"/>
        <w:rPr>
          <w:rFonts w:ascii="仿宋" w:hAnsi="仿宋" w:eastAsia="仿宋"/>
          <w:b/>
          <w:color w:val="auto"/>
          <w:sz w:val="32"/>
        </w:rPr>
      </w:pPr>
    </w:p>
    <w:p>
      <w:pPr>
        <w:spacing w:line="360" w:lineRule="auto"/>
        <w:jc w:val="center"/>
        <w:rPr>
          <w:rFonts w:ascii="仿宋" w:hAnsi="仿宋" w:eastAsia="仿宋"/>
          <w:b/>
          <w:color w:val="auto"/>
          <w:sz w:val="32"/>
        </w:rPr>
      </w:pPr>
      <w:r>
        <w:rPr>
          <w:rFonts w:hint="eastAsia" w:ascii="仿宋" w:hAnsi="仿宋" w:eastAsia="仿宋"/>
          <w:b/>
          <w:color w:val="auto"/>
          <w:sz w:val="32"/>
        </w:rPr>
        <w:t>1、报价一览表</w:t>
      </w:r>
    </w:p>
    <w:p>
      <w:pPr>
        <w:pStyle w:val="6"/>
        <w:spacing w:line="440" w:lineRule="exact"/>
        <w:ind w:firstLine="0"/>
        <w:rPr>
          <w:rFonts w:ascii="仿宋" w:hAnsi="仿宋" w:eastAsia="仿宋"/>
          <w:bCs/>
          <w:color w:val="auto"/>
          <w:sz w:val="24"/>
          <w:szCs w:val="24"/>
        </w:rPr>
      </w:pPr>
      <w:r>
        <w:rPr>
          <w:rFonts w:hint="eastAsia" w:ascii="仿宋" w:hAnsi="仿宋" w:eastAsia="仿宋"/>
          <w:bCs/>
          <w:color w:val="auto"/>
          <w:sz w:val="24"/>
          <w:szCs w:val="24"/>
        </w:rPr>
        <w:t>项目名称：</w:t>
      </w:r>
      <w:r>
        <w:rPr>
          <w:rFonts w:hint="eastAsia" w:ascii="仿宋" w:hAnsi="仿宋" w:eastAsia="仿宋"/>
          <w:bCs/>
          <w:color w:val="auto"/>
          <w:sz w:val="24"/>
        </w:rPr>
        <w:t>社会主义核心价值观公益宣传</w:t>
      </w:r>
    </w:p>
    <w:p>
      <w:pPr>
        <w:rPr>
          <w:rFonts w:ascii="仿宋" w:hAnsi="仿宋" w:eastAsia="仿宋"/>
          <w:color w:val="auto"/>
          <w:sz w:val="24"/>
        </w:rPr>
      </w:pPr>
      <w:r>
        <w:rPr>
          <w:rFonts w:hint="eastAsia" w:ascii="仿宋" w:hAnsi="仿宋" w:eastAsia="仿宋"/>
          <w:color w:val="auto"/>
          <w:sz w:val="24"/>
        </w:rPr>
        <w:t>项目编号：HNZH-2020-300</w:t>
      </w:r>
    </w:p>
    <w:p>
      <w:pPr>
        <w:jc w:val="right"/>
        <w:rPr>
          <w:rFonts w:ascii="仿宋" w:hAnsi="仿宋" w:eastAsia="仿宋" w:cs="宋体"/>
          <w:bCs/>
          <w:color w:val="auto"/>
          <w:sz w:val="24"/>
        </w:rPr>
      </w:pPr>
      <w:r>
        <w:rPr>
          <w:rFonts w:hint="eastAsia" w:ascii="仿宋" w:hAnsi="仿宋" w:eastAsia="仿宋"/>
          <w:color w:val="auto"/>
          <w:sz w:val="24"/>
        </w:rPr>
        <w:t>金额单位：元</w:t>
      </w:r>
    </w:p>
    <w:tbl>
      <w:tblPr>
        <w:tblStyle w:val="23"/>
        <w:tblW w:w="8882" w:type="dxa"/>
        <w:jc w:val="center"/>
        <w:tblLayout w:type="fixed"/>
        <w:tblCellMar>
          <w:top w:w="0" w:type="dxa"/>
          <w:left w:w="30" w:type="dxa"/>
          <w:bottom w:w="0" w:type="dxa"/>
          <w:right w:w="30" w:type="dxa"/>
        </w:tblCellMar>
      </w:tblPr>
      <w:tblGrid>
        <w:gridCol w:w="2331"/>
        <w:gridCol w:w="6551"/>
      </w:tblGrid>
      <w:tr>
        <w:tblPrEx>
          <w:tblCellMar>
            <w:top w:w="0" w:type="dxa"/>
            <w:left w:w="30" w:type="dxa"/>
            <w:bottom w:w="0" w:type="dxa"/>
            <w:right w:w="30" w:type="dxa"/>
          </w:tblCellMar>
        </w:tblPrEx>
        <w:trPr>
          <w:cantSplit/>
          <w:trHeight w:val="807" w:hRule="exact"/>
          <w:jc w:val="center"/>
        </w:trPr>
        <w:tc>
          <w:tcPr>
            <w:tcW w:w="2331" w:type="dxa"/>
            <w:vMerge w:val="restart"/>
            <w:tcBorders>
              <w:top w:val="single" w:color="auto" w:sz="6" w:space="0"/>
              <w:left w:val="single" w:color="auto" w:sz="6"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本项目投标总报价</w:t>
            </w:r>
          </w:p>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（大小写一致）</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（小写）：</w:t>
            </w:r>
          </w:p>
        </w:tc>
      </w:tr>
      <w:tr>
        <w:tblPrEx>
          <w:tblCellMar>
            <w:top w:w="0" w:type="dxa"/>
            <w:left w:w="30" w:type="dxa"/>
            <w:bottom w:w="0" w:type="dxa"/>
            <w:right w:w="30" w:type="dxa"/>
          </w:tblCellMar>
        </w:tblPrEx>
        <w:trPr>
          <w:cantSplit/>
          <w:trHeight w:val="655" w:hRule="exact"/>
          <w:jc w:val="center"/>
        </w:trPr>
        <w:tc>
          <w:tcPr>
            <w:tcW w:w="2331" w:type="dxa"/>
            <w:vMerge w:val="continue"/>
            <w:tcBorders>
              <w:left w:val="single" w:color="auto" w:sz="6" w:space="0"/>
              <w:right w:val="single" w:color="auto" w:sz="6" w:space="0"/>
            </w:tcBorders>
            <w:vAlign w:val="center"/>
          </w:tcPr>
          <w:p>
            <w:pPr>
              <w:spacing w:line="360" w:lineRule="auto"/>
              <w:rPr>
                <w:rFonts w:ascii="仿宋" w:hAnsi="仿宋" w:eastAsia="仿宋" w:cs="宋体"/>
                <w:bCs/>
                <w:color w:val="auto"/>
                <w:sz w:val="24"/>
                <w:szCs w:val="22"/>
              </w:rPr>
            </w:pP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（大写）：</w:t>
            </w:r>
          </w:p>
        </w:tc>
      </w:tr>
      <w:tr>
        <w:tblPrEx>
          <w:tblCellMar>
            <w:top w:w="0" w:type="dxa"/>
            <w:left w:w="30" w:type="dxa"/>
            <w:bottom w:w="0" w:type="dxa"/>
            <w:right w:w="30" w:type="dxa"/>
          </w:tblCellMar>
        </w:tblPrEx>
        <w:trPr>
          <w:cantSplit/>
          <w:trHeight w:val="838"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交货期</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p>
        </w:tc>
      </w:tr>
      <w:tr>
        <w:tblPrEx>
          <w:tblCellMar>
            <w:top w:w="0" w:type="dxa"/>
            <w:left w:w="30" w:type="dxa"/>
            <w:bottom w:w="0" w:type="dxa"/>
            <w:right w:w="30" w:type="dxa"/>
          </w:tblCellMar>
        </w:tblPrEx>
        <w:trPr>
          <w:cantSplit/>
          <w:trHeight w:val="930"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实施地点</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采购人指定</w:t>
            </w:r>
          </w:p>
        </w:tc>
      </w:tr>
      <w:tr>
        <w:tblPrEx>
          <w:tblCellMar>
            <w:top w:w="0" w:type="dxa"/>
            <w:left w:w="30" w:type="dxa"/>
            <w:bottom w:w="0" w:type="dxa"/>
            <w:right w:w="30" w:type="dxa"/>
          </w:tblCellMar>
        </w:tblPrEx>
        <w:trPr>
          <w:cantSplit/>
          <w:trHeight w:val="565"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是否小微型企业产品：是（   ）；否（   ）</w:t>
            </w:r>
          </w:p>
        </w:tc>
      </w:tr>
      <w:tr>
        <w:tblPrEx>
          <w:tblCellMar>
            <w:top w:w="0" w:type="dxa"/>
            <w:left w:w="30" w:type="dxa"/>
            <w:bottom w:w="0" w:type="dxa"/>
            <w:right w:w="30" w:type="dxa"/>
          </w:tblCellMar>
        </w:tblPrEx>
        <w:trPr>
          <w:cantSplit/>
          <w:trHeight w:val="50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是否监狱企业参加采购活动：是（   ）；否（   ）</w:t>
            </w:r>
          </w:p>
        </w:tc>
      </w:tr>
      <w:tr>
        <w:tblPrEx>
          <w:tblCellMar>
            <w:top w:w="0" w:type="dxa"/>
            <w:left w:w="30" w:type="dxa"/>
            <w:bottom w:w="0" w:type="dxa"/>
            <w:right w:w="30" w:type="dxa"/>
          </w:tblCellMar>
        </w:tblPrEx>
        <w:trPr>
          <w:cantSplit/>
          <w:trHeight w:val="73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是否残疾人福利性单位参加采购活动：是（   ）；否（   ）</w:t>
            </w:r>
          </w:p>
        </w:tc>
      </w:tr>
    </w:tbl>
    <w:p>
      <w:pPr>
        <w:spacing w:line="360" w:lineRule="auto"/>
        <w:outlineLvl w:val="1"/>
        <w:rPr>
          <w:rFonts w:ascii="仿宋" w:hAnsi="仿宋" w:eastAsia="仿宋" w:cs="宋体"/>
          <w:bCs/>
          <w:color w:val="auto"/>
          <w:sz w:val="24"/>
        </w:rPr>
      </w:pPr>
      <w:bookmarkStart w:id="94" w:name="_Toc1660550"/>
      <w:r>
        <w:rPr>
          <w:rFonts w:hint="eastAsia" w:ascii="仿宋" w:hAnsi="仿宋" w:eastAsia="仿宋" w:cs="宋体"/>
          <w:bCs/>
          <w:color w:val="auto"/>
          <w:sz w:val="24"/>
        </w:rPr>
        <w:t>注：1. 报价须是最终用户验收合格后的总价，否则视为不合格投标人。</w:t>
      </w:r>
      <w:bookmarkEnd w:id="94"/>
    </w:p>
    <w:p>
      <w:pPr>
        <w:spacing w:line="360" w:lineRule="auto"/>
        <w:outlineLvl w:val="1"/>
        <w:rPr>
          <w:rFonts w:ascii="仿宋" w:hAnsi="仿宋" w:eastAsia="仿宋" w:cs="宋体"/>
          <w:bCs/>
          <w:color w:val="auto"/>
          <w:sz w:val="24"/>
        </w:rPr>
      </w:pPr>
      <w:bookmarkStart w:id="95" w:name="_Toc1660551"/>
      <w:r>
        <w:rPr>
          <w:rFonts w:hint="eastAsia" w:ascii="仿宋" w:hAnsi="仿宋" w:eastAsia="仿宋" w:cs="宋体"/>
          <w:color w:val="auto"/>
          <w:sz w:val="24"/>
        </w:rPr>
        <w:t>2、投标人报价应包含：货物运输、设备安装、售后等服务</w:t>
      </w:r>
      <w:bookmarkEnd w:id="95"/>
    </w:p>
    <w:p>
      <w:pPr>
        <w:spacing w:line="360" w:lineRule="auto"/>
        <w:outlineLvl w:val="1"/>
        <w:rPr>
          <w:rFonts w:ascii="仿宋" w:hAnsi="仿宋" w:eastAsia="仿宋" w:cs="宋体"/>
          <w:bCs/>
          <w:color w:val="auto"/>
          <w:sz w:val="24"/>
        </w:rPr>
      </w:pPr>
      <w:bookmarkStart w:id="96" w:name="_Toc1660552"/>
      <w:r>
        <w:rPr>
          <w:rFonts w:hint="eastAsia" w:ascii="仿宋" w:hAnsi="仿宋" w:eastAsia="仿宋" w:cs="宋体"/>
          <w:bCs/>
          <w:color w:val="auto"/>
          <w:sz w:val="24"/>
        </w:rPr>
        <w:t>3.“报价一览表”为多页的，每页均需由授权代表签字并盖投标人印章。</w:t>
      </w:r>
      <w:bookmarkEnd w:id="96"/>
    </w:p>
    <w:p>
      <w:pPr>
        <w:spacing w:line="360" w:lineRule="auto"/>
        <w:rPr>
          <w:rFonts w:ascii="仿宋" w:hAnsi="仿宋" w:eastAsia="仿宋" w:cs="宋体"/>
          <w:bCs/>
          <w:color w:val="auto"/>
          <w:sz w:val="24"/>
        </w:rPr>
      </w:pPr>
      <w:r>
        <w:rPr>
          <w:rFonts w:hint="eastAsia" w:ascii="仿宋" w:hAnsi="仿宋" w:eastAsia="仿宋" w:cs="宋体"/>
          <w:bCs/>
          <w:color w:val="auto"/>
          <w:sz w:val="24"/>
        </w:rPr>
        <w:t>4、是否小微型企业产品栏，在相应的括弧里打勾（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）,空白则默认为非小微型产品投标。</w:t>
      </w:r>
    </w:p>
    <w:p>
      <w:pPr>
        <w:spacing w:line="360" w:lineRule="auto"/>
        <w:rPr>
          <w:rFonts w:ascii="仿宋" w:hAnsi="仿宋" w:eastAsia="仿宋" w:cs="宋体"/>
          <w:bCs/>
          <w:color w:val="auto"/>
          <w:sz w:val="24"/>
        </w:rPr>
      </w:pPr>
      <w:r>
        <w:rPr>
          <w:rFonts w:hint="eastAsia" w:ascii="仿宋" w:hAnsi="仿宋" w:eastAsia="仿宋" w:cs="宋体"/>
          <w:bCs/>
          <w:color w:val="auto"/>
          <w:sz w:val="24"/>
        </w:rPr>
        <w:t>5、是否监狱企业栏，在相应的括弧里打勾（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）,空白则默认为非监狱企业参与投标。</w:t>
      </w:r>
    </w:p>
    <w:p>
      <w:pPr>
        <w:spacing w:line="360" w:lineRule="auto"/>
        <w:rPr>
          <w:rFonts w:ascii="仿宋" w:hAnsi="仿宋" w:eastAsia="仿宋" w:cs="宋体"/>
          <w:bCs/>
          <w:color w:val="auto"/>
          <w:sz w:val="24"/>
        </w:rPr>
      </w:pPr>
      <w:r>
        <w:rPr>
          <w:rFonts w:hint="eastAsia" w:ascii="仿宋" w:hAnsi="仿宋" w:eastAsia="仿宋" w:cs="宋体"/>
          <w:bCs/>
          <w:color w:val="auto"/>
          <w:sz w:val="24"/>
        </w:rPr>
        <w:t>6、是否残疾人福利性单位栏，在相应的括弧里打勾（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）,空白则默认为非残疾人福利性单位参与投标。</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法定代表人签名或盖名章：</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授权代表签字：</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投标人名称：         （盖章）</w:t>
      </w:r>
    </w:p>
    <w:p>
      <w:pPr>
        <w:spacing w:line="360" w:lineRule="auto"/>
        <w:ind w:firstLine="480" w:firstLineChars="200"/>
        <w:rPr>
          <w:rFonts w:ascii="仿宋" w:hAnsi="仿宋" w:eastAsia="仿宋"/>
          <w:b/>
          <w:color w:val="auto"/>
          <w:sz w:val="44"/>
          <w:szCs w:val="44"/>
        </w:rPr>
      </w:pPr>
      <w:r>
        <w:rPr>
          <w:rFonts w:hint="eastAsia" w:ascii="仿宋" w:hAnsi="仿宋" w:eastAsia="仿宋" w:cs="宋体"/>
          <w:color w:val="auto"/>
          <w:sz w:val="24"/>
        </w:rPr>
        <w:t>日    期：   年   月  日</w:t>
      </w:r>
    </w:p>
    <w:p>
      <w:pPr>
        <w:jc w:val="center"/>
        <w:rPr>
          <w:rFonts w:ascii="仿宋" w:hAnsi="仿宋" w:eastAsia="仿宋"/>
          <w:b/>
          <w:color w:val="auto"/>
          <w:sz w:val="32"/>
        </w:rPr>
      </w:pPr>
      <w:r>
        <w:rPr>
          <w:rFonts w:hint="eastAsia" w:ascii="仿宋" w:hAnsi="仿宋" w:eastAsia="仿宋"/>
          <w:b/>
          <w:color w:val="auto"/>
          <w:sz w:val="32"/>
        </w:rPr>
        <w:br w:type="page"/>
      </w:r>
      <w:r>
        <w:rPr>
          <w:rFonts w:hint="eastAsia" w:ascii="仿宋" w:hAnsi="仿宋" w:eastAsia="仿宋"/>
          <w:b/>
          <w:color w:val="auto"/>
          <w:sz w:val="32"/>
        </w:rPr>
        <w:t>2、报价函</w:t>
      </w:r>
    </w:p>
    <w:p>
      <w:pPr>
        <w:spacing w:line="360" w:lineRule="auto"/>
        <w:rPr>
          <w:rFonts w:ascii="仿宋" w:hAnsi="仿宋" w:eastAsia="仿宋"/>
          <w:color w:val="auto"/>
          <w:sz w:val="24"/>
        </w:rPr>
      </w:pPr>
    </w:p>
    <w:p>
      <w:pPr>
        <w:spacing w:before="19" w:line="360" w:lineRule="auto"/>
        <w:rPr>
          <w:rFonts w:ascii="仿宋" w:hAnsi="仿宋" w:eastAsia="仿宋"/>
          <w:color w:val="auto"/>
          <w:sz w:val="24"/>
        </w:rPr>
      </w:pPr>
      <w:r>
        <w:rPr>
          <w:rFonts w:hint="eastAsia" w:ascii="仿宋" w:hAnsi="仿宋" w:eastAsia="仿宋"/>
          <w:color w:val="auto"/>
          <w:sz w:val="24"/>
        </w:rPr>
        <w:t>致：海南政辉招投标代理有限公司：</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根据贵单位项目编号为的报价邀请函，正式授权下述签字人（姓名和职务）代表报价人（报价单位名称），提交报价书正本一式壹份，副本一式贰份。</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根据此函，我们宣布同意如下：</w:t>
      </w:r>
    </w:p>
    <w:p>
      <w:pPr>
        <w:spacing w:line="360" w:lineRule="auto"/>
        <w:ind w:firstLine="480"/>
        <w:rPr>
          <w:rFonts w:ascii="仿宋" w:hAnsi="仿宋" w:eastAsia="仿宋"/>
          <w:color w:val="auto"/>
          <w:sz w:val="24"/>
        </w:rPr>
      </w:pPr>
      <w:r>
        <w:rPr>
          <w:rFonts w:hint="eastAsia" w:ascii="仿宋" w:hAnsi="仿宋" w:eastAsia="仿宋"/>
          <w:color w:val="auto"/>
          <w:sz w:val="24"/>
        </w:rPr>
        <w:t>1、我方接受谈判文件的所有的条款和规定。</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2、我方同意按照谈判文件第一章“报价人须知”的规定，本报价文件的有效期为从报价截止日期起计算的，在此期间，本报价文件将始终对我方具有约束力，并可随时被接受。</w:t>
      </w:r>
    </w:p>
    <w:p>
      <w:pPr>
        <w:spacing w:line="360" w:lineRule="auto"/>
        <w:ind w:firstLine="480"/>
        <w:rPr>
          <w:rFonts w:ascii="仿宋" w:hAnsi="仿宋" w:eastAsia="仿宋"/>
          <w:color w:val="auto"/>
          <w:sz w:val="24"/>
        </w:rPr>
      </w:pPr>
      <w:r>
        <w:rPr>
          <w:rFonts w:hint="eastAsia" w:ascii="仿宋" w:hAnsi="仿宋" w:eastAsia="仿宋"/>
          <w:color w:val="auto"/>
          <w:sz w:val="24"/>
        </w:rPr>
        <w:t>3、我们同意提供贵单位要求的有关本次报价的所有资料或证据。</w:t>
      </w:r>
    </w:p>
    <w:p>
      <w:pPr>
        <w:spacing w:line="360" w:lineRule="auto"/>
        <w:ind w:firstLine="480"/>
        <w:rPr>
          <w:rFonts w:ascii="仿宋" w:hAnsi="仿宋" w:eastAsia="仿宋"/>
          <w:color w:val="auto"/>
          <w:sz w:val="24"/>
        </w:rPr>
      </w:pPr>
      <w:r>
        <w:rPr>
          <w:rFonts w:hint="eastAsia" w:ascii="仿宋" w:hAnsi="仿宋" w:eastAsia="仿宋"/>
          <w:color w:val="auto"/>
          <w:sz w:val="24"/>
        </w:rPr>
        <w:t>4、我方完全理解贵方不一定要接受最低报价的报价，即最低报价不是成交的保证。</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5、如果我方成交，我们将根据招标文件的规定严格履行自己的责任和义务。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6、如果我方成交，我方将支付本次谈判的服务费。</w:t>
      </w:r>
    </w:p>
    <w:p>
      <w:pPr>
        <w:spacing w:line="360" w:lineRule="auto"/>
        <w:ind w:firstLine="570"/>
        <w:rPr>
          <w:rFonts w:ascii="仿宋" w:hAnsi="仿宋" w:eastAsia="仿宋"/>
          <w:color w:val="auto"/>
          <w:sz w:val="24"/>
        </w:rPr>
      </w:pPr>
    </w:p>
    <w:p>
      <w:pPr>
        <w:spacing w:line="360" w:lineRule="auto"/>
        <w:rPr>
          <w:rFonts w:ascii="仿宋" w:hAnsi="仿宋" w:eastAsia="仿宋"/>
          <w:color w:val="auto"/>
          <w:sz w:val="24"/>
        </w:rPr>
      </w:pPr>
      <w:r>
        <w:rPr>
          <w:rFonts w:hint="eastAsia" w:ascii="仿宋" w:hAnsi="仿宋" w:eastAsia="仿宋"/>
          <w:color w:val="auto"/>
          <w:sz w:val="24"/>
        </w:rPr>
        <w:t xml:space="preserve">        报价人名称：</w:t>
      </w:r>
      <w:r>
        <w:rPr>
          <w:rFonts w:hint="eastAsia" w:ascii="仿宋" w:hAnsi="仿宋" w:eastAsia="仿宋"/>
          <w:color w:val="auto"/>
          <w:sz w:val="24"/>
          <w:u w:val="single"/>
        </w:rPr>
        <w:t xml:space="preserve">              （公章）</w:t>
      </w:r>
    </w:p>
    <w:p>
      <w:pPr>
        <w:spacing w:line="360" w:lineRule="auto"/>
        <w:rPr>
          <w:rFonts w:ascii="仿宋" w:hAnsi="仿宋" w:eastAsia="仿宋"/>
          <w:color w:val="auto"/>
          <w:sz w:val="24"/>
          <w:u w:val="single"/>
        </w:rPr>
      </w:pPr>
      <w:r>
        <w:rPr>
          <w:rFonts w:hint="eastAsia" w:ascii="仿宋" w:hAnsi="仿宋" w:eastAsia="仿宋"/>
          <w:color w:val="auto"/>
          <w:sz w:val="24"/>
        </w:rPr>
        <w:t xml:space="preserve">        地址：邮编：</w:t>
      </w:r>
    </w:p>
    <w:p>
      <w:pPr>
        <w:spacing w:line="360" w:lineRule="auto"/>
        <w:rPr>
          <w:rFonts w:ascii="仿宋" w:hAnsi="仿宋" w:eastAsia="仿宋"/>
          <w:color w:val="auto"/>
          <w:sz w:val="24"/>
          <w:u w:val="single"/>
        </w:rPr>
      </w:pPr>
      <w:r>
        <w:rPr>
          <w:rFonts w:hint="eastAsia" w:ascii="仿宋" w:hAnsi="仿宋" w:eastAsia="仿宋"/>
          <w:color w:val="auto"/>
          <w:sz w:val="24"/>
        </w:rPr>
        <w:t xml:space="preserve">        电话：传真：</w:t>
      </w:r>
    </w:p>
    <w:p>
      <w:pPr>
        <w:spacing w:line="360" w:lineRule="auto"/>
        <w:rPr>
          <w:rFonts w:ascii="仿宋" w:hAnsi="仿宋" w:eastAsia="仿宋"/>
          <w:color w:val="auto"/>
          <w:sz w:val="24"/>
        </w:rPr>
      </w:pPr>
    </w:p>
    <w:p>
      <w:pPr>
        <w:spacing w:line="360" w:lineRule="auto"/>
        <w:rPr>
          <w:rFonts w:ascii="仿宋" w:hAnsi="仿宋" w:eastAsia="仿宋"/>
          <w:color w:val="auto"/>
          <w:sz w:val="24"/>
          <w:u w:val="single"/>
        </w:rPr>
      </w:pPr>
      <w:r>
        <w:rPr>
          <w:rFonts w:hint="eastAsia" w:ascii="仿宋" w:hAnsi="仿宋" w:eastAsia="仿宋"/>
          <w:color w:val="auto"/>
          <w:sz w:val="24"/>
        </w:rPr>
        <w:t xml:space="preserve">        授权代表签字：   职务：</w:t>
      </w:r>
    </w:p>
    <w:p>
      <w:pPr>
        <w:spacing w:line="360" w:lineRule="auto"/>
        <w:rPr>
          <w:rFonts w:ascii="仿宋" w:hAnsi="仿宋" w:eastAsia="仿宋"/>
          <w:color w:val="auto"/>
          <w:sz w:val="24"/>
          <w:u w:val="single"/>
        </w:rPr>
      </w:pPr>
      <w:r>
        <w:rPr>
          <w:rFonts w:hint="eastAsia" w:ascii="仿宋" w:hAnsi="仿宋" w:eastAsia="仿宋"/>
          <w:color w:val="auto"/>
          <w:sz w:val="24"/>
        </w:rPr>
        <w:t xml:space="preserve">        日期：</w:t>
      </w: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pStyle w:val="2"/>
      </w:pPr>
    </w:p>
    <w:p>
      <w:pPr>
        <w:snapToGrid w:val="0"/>
        <w:spacing w:line="360" w:lineRule="auto"/>
        <w:ind w:firstLine="630" w:firstLineChars="196"/>
        <w:jc w:val="center"/>
        <w:rPr>
          <w:rFonts w:ascii="仿宋" w:hAnsi="仿宋" w:eastAsia="仿宋"/>
          <w:b/>
          <w:color w:val="auto"/>
          <w:sz w:val="32"/>
          <w:szCs w:val="32"/>
        </w:rPr>
      </w:pPr>
      <w:r>
        <w:rPr>
          <w:rFonts w:hint="eastAsia" w:ascii="仿宋" w:hAnsi="仿宋" w:eastAsia="仿宋"/>
          <w:b/>
          <w:color w:val="auto"/>
          <w:sz w:val="32"/>
          <w:szCs w:val="32"/>
        </w:rPr>
        <w:t>3、报价明细表</w:t>
      </w:r>
    </w:p>
    <w:p>
      <w:pPr>
        <w:spacing w:line="360" w:lineRule="auto"/>
        <w:rPr>
          <w:rFonts w:ascii="仿宋" w:hAnsi="仿宋" w:eastAsia="仿宋"/>
          <w:b/>
          <w:color w:val="auto"/>
          <w:sz w:val="24"/>
        </w:rPr>
      </w:pPr>
      <w:r>
        <w:rPr>
          <w:rFonts w:hint="eastAsia" w:ascii="仿宋" w:hAnsi="仿宋" w:eastAsia="仿宋"/>
          <w:b/>
          <w:color w:val="auto"/>
          <w:sz w:val="24"/>
        </w:rPr>
        <w:t>项</w:t>
      </w:r>
      <w:r>
        <w:rPr>
          <w:rFonts w:hint="eastAsia" w:ascii="仿宋" w:hAnsi="仿宋" w:eastAsia="仿宋"/>
          <w:b/>
          <w:color w:val="auto"/>
          <w:sz w:val="24"/>
          <w:szCs w:val="24"/>
        </w:rPr>
        <w:t>目名称：</w:t>
      </w:r>
      <w:r>
        <w:rPr>
          <w:rFonts w:hint="eastAsia" w:ascii="仿宋" w:hAnsi="仿宋" w:eastAsia="仿宋"/>
          <w:b/>
          <w:color w:val="auto"/>
          <w:sz w:val="24"/>
        </w:rPr>
        <w:t>社会主义核心价值观公益宣传</w:t>
      </w:r>
    </w:p>
    <w:p>
      <w:pPr>
        <w:spacing w:line="360" w:lineRule="auto"/>
        <w:rPr>
          <w:rFonts w:ascii="仿宋" w:hAnsi="仿宋" w:eastAsia="仿宋" w:cs="宋体"/>
          <w:b/>
          <w:color w:val="auto"/>
          <w:kern w:val="0"/>
          <w:sz w:val="24"/>
        </w:rPr>
      </w:pPr>
      <w:r>
        <w:rPr>
          <w:rFonts w:hint="eastAsia" w:ascii="仿宋" w:hAnsi="仿宋" w:eastAsia="仿宋" w:cs="宋体"/>
          <w:b/>
          <w:bCs/>
          <w:color w:val="auto"/>
          <w:sz w:val="24"/>
        </w:rPr>
        <w:t>项目编号</w:t>
      </w:r>
      <w:r>
        <w:rPr>
          <w:rFonts w:hint="eastAsia" w:ascii="仿宋" w:hAnsi="仿宋" w:eastAsia="仿宋"/>
          <w:b/>
          <w:color w:val="auto"/>
          <w:sz w:val="24"/>
        </w:rPr>
        <w:t>：</w:t>
      </w:r>
      <w:r>
        <w:rPr>
          <w:rFonts w:hint="eastAsia" w:ascii="仿宋" w:hAnsi="仿宋" w:eastAsia="仿宋" w:cs="宋体"/>
          <w:b/>
          <w:color w:val="auto"/>
          <w:kern w:val="0"/>
          <w:sz w:val="24"/>
        </w:rPr>
        <w:t>HNZH-2020-300</w:t>
      </w:r>
    </w:p>
    <w:tbl>
      <w:tblPr>
        <w:tblStyle w:val="23"/>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58"/>
        <w:gridCol w:w="1811"/>
        <w:gridCol w:w="961"/>
        <w:gridCol w:w="945"/>
        <w:gridCol w:w="834"/>
        <w:gridCol w:w="72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5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序号</w:t>
            </w:r>
          </w:p>
        </w:tc>
        <w:tc>
          <w:tcPr>
            <w:tcW w:w="1358" w:type="dxa"/>
            <w:vAlign w:val="center"/>
          </w:tcPr>
          <w:p>
            <w:pPr>
              <w:tabs>
                <w:tab w:val="left" w:pos="360"/>
              </w:tabs>
              <w:spacing w:before="67" w:line="240" w:lineRule="atLeast"/>
              <w:ind w:right="-357" w:firstLine="120"/>
              <w:rPr>
                <w:rFonts w:ascii="仿宋" w:hAnsi="仿宋" w:eastAsia="仿宋"/>
                <w:color w:val="auto"/>
                <w:szCs w:val="21"/>
              </w:rPr>
            </w:pPr>
            <w:r>
              <w:rPr>
                <w:rFonts w:hint="eastAsia" w:ascii="仿宋" w:hAnsi="仿宋" w:eastAsia="仿宋"/>
                <w:color w:val="auto"/>
                <w:szCs w:val="21"/>
              </w:rPr>
              <w:t>名称</w:t>
            </w:r>
          </w:p>
        </w:tc>
        <w:tc>
          <w:tcPr>
            <w:tcW w:w="1811" w:type="dxa"/>
            <w:vAlign w:val="center"/>
          </w:tcPr>
          <w:p>
            <w:pPr>
              <w:tabs>
                <w:tab w:val="left" w:pos="360"/>
              </w:tabs>
              <w:spacing w:before="67" w:line="240" w:lineRule="atLeast"/>
              <w:ind w:right="-357" w:firstLine="200"/>
              <w:rPr>
                <w:rFonts w:ascii="仿宋" w:hAnsi="仿宋" w:eastAsia="仿宋"/>
                <w:color w:val="auto"/>
                <w:szCs w:val="21"/>
              </w:rPr>
            </w:pPr>
            <w:r>
              <w:rPr>
                <w:rFonts w:hint="eastAsia" w:ascii="仿宋" w:hAnsi="仿宋" w:eastAsia="仿宋"/>
                <w:color w:val="auto"/>
                <w:szCs w:val="21"/>
              </w:rPr>
              <w:t xml:space="preserve"> 品牌、型号 </w:t>
            </w:r>
          </w:p>
        </w:tc>
        <w:tc>
          <w:tcPr>
            <w:tcW w:w="96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单位</w:t>
            </w:r>
          </w:p>
        </w:tc>
        <w:tc>
          <w:tcPr>
            <w:tcW w:w="945"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数量</w:t>
            </w:r>
          </w:p>
        </w:tc>
        <w:tc>
          <w:tcPr>
            <w:tcW w:w="834"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单价</w:t>
            </w:r>
          </w:p>
        </w:tc>
        <w:tc>
          <w:tcPr>
            <w:tcW w:w="72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总价</w:t>
            </w:r>
          </w:p>
        </w:tc>
        <w:tc>
          <w:tcPr>
            <w:tcW w:w="1120"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1</w:t>
            </w:r>
          </w:p>
        </w:tc>
        <w:tc>
          <w:tcPr>
            <w:tcW w:w="1358" w:type="dxa"/>
            <w:vAlign w:val="center"/>
          </w:tcPr>
          <w:p>
            <w:pPr>
              <w:jc w:val="center"/>
              <w:rPr>
                <w:rFonts w:ascii="仿宋" w:hAnsi="仿宋" w:eastAsia="仿宋"/>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tabs>
                <w:tab w:val="left" w:pos="360"/>
              </w:tabs>
              <w:spacing w:before="67" w:line="240" w:lineRule="atLeast"/>
              <w:ind w:right="-357"/>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2</w:t>
            </w:r>
          </w:p>
        </w:tc>
        <w:tc>
          <w:tcPr>
            <w:tcW w:w="1358" w:type="dxa"/>
            <w:vAlign w:val="center"/>
          </w:tcPr>
          <w:p>
            <w:pPr>
              <w:jc w:val="center"/>
              <w:rPr>
                <w:rFonts w:ascii="仿宋" w:hAnsi="仿宋" w:eastAsia="仿宋" w:cs="宋体"/>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3</w:t>
            </w:r>
          </w:p>
        </w:tc>
        <w:tc>
          <w:tcPr>
            <w:tcW w:w="1358" w:type="dxa"/>
            <w:vAlign w:val="center"/>
          </w:tcPr>
          <w:p>
            <w:pPr>
              <w:jc w:val="center"/>
              <w:rPr>
                <w:rFonts w:ascii="仿宋" w:hAnsi="仿宋" w:eastAsia="仿宋" w:cs="宋体"/>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s="Arial"/>
                <w:b/>
                <w:bCs/>
                <w:color w:val="auto"/>
                <w:sz w:val="24"/>
              </w:rPr>
              <w:t>…</w:t>
            </w:r>
          </w:p>
        </w:tc>
        <w:tc>
          <w:tcPr>
            <w:tcW w:w="1358" w:type="dxa"/>
            <w:vAlign w:val="center"/>
          </w:tcPr>
          <w:p>
            <w:pPr>
              <w:jc w:val="center"/>
              <w:rPr>
                <w:rFonts w:ascii="仿宋" w:hAnsi="仿宋" w:eastAsia="仿宋" w:cs="宋体"/>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1" w:type="dxa"/>
            <w:vAlign w:val="center"/>
          </w:tcPr>
          <w:p>
            <w:pPr>
              <w:tabs>
                <w:tab w:val="left" w:pos="360"/>
              </w:tabs>
              <w:spacing w:before="67" w:line="240" w:lineRule="atLeast"/>
              <w:ind w:right="-357"/>
              <w:jc w:val="center"/>
              <w:rPr>
                <w:rFonts w:ascii="仿宋" w:hAnsi="仿宋" w:eastAsia="仿宋"/>
                <w:color w:val="auto"/>
                <w:sz w:val="24"/>
              </w:rPr>
            </w:pPr>
          </w:p>
        </w:tc>
        <w:tc>
          <w:tcPr>
            <w:tcW w:w="1358" w:type="dxa"/>
            <w:vAlign w:val="center"/>
          </w:tcPr>
          <w:p>
            <w:pPr>
              <w:jc w:val="center"/>
              <w:rPr>
                <w:rFonts w:ascii="仿宋" w:hAnsi="仿宋" w:eastAsia="仿宋" w:cs="宋体"/>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920" w:type="dxa"/>
            <w:gridSpan w:val="3"/>
            <w:vAlign w:val="center"/>
          </w:tcPr>
          <w:p>
            <w:pPr>
              <w:tabs>
                <w:tab w:val="left" w:pos="360"/>
              </w:tabs>
              <w:spacing w:before="67" w:line="240" w:lineRule="atLeast"/>
              <w:ind w:right="-357" w:firstLine="200"/>
              <w:jc w:val="center"/>
              <w:rPr>
                <w:rFonts w:ascii="仿宋" w:hAnsi="仿宋" w:eastAsia="仿宋"/>
                <w:color w:val="auto"/>
                <w:sz w:val="24"/>
              </w:rPr>
            </w:pPr>
            <w:r>
              <w:rPr>
                <w:rFonts w:hint="eastAsia" w:ascii="仿宋" w:hAnsi="仿宋" w:eastAsia="仿宋" w:cs="宋体"/>
                <w:color w:val="auto"/>
                <w:sz w:val="24"/>
              </w:rPr>
              <w:t>总计</w:t>
            </w:r>
          </w:p>
        </w:tc>
        <w:tc>
          <w:tcPr>
            <w:tcW w:w="4581" w:type="dxa"/>
            <w:gridSpan w:val="5"/>
            <w:vAlign w:val="center"/>
          </w:tcPr>
          <w:p>
            <w:pPr>
              <w:tabs>
                <w:tab w:val="left" w:pos="360"/>
              </w:tabs>
              <w:spacing w:before="67" w:line="0" w:lineRule="atLeast"/>
              <w:ind w:right="-357"/>
              <w:rPr>
                <w:rFonts w:ascii="仿宋" w:hAnsi="仿宋" w:eastAsia="仿宋" w:cs="宋体"/>
                <w:color w:val="auto"/>
                <w:sz w:val="24"/>
              </w:rPr>
            </w:pPr>
            <w:r>
              <w:rPr>
                <w:rFonts w:hint="eastAsia" w:ascii="仿宋" w:hAnsi="仿宋" w:eastAsia="仿宋" w:cs="宋体"/>
                <w:color w:val="auto"/>
                <w:sz w:val="24"/>
              </w:rPr>
              <w:t>大写：</w:t>
            </w:r>
          </w:p>
          <w:p>
            <w:pPr>
              <w:pStyle w:val="2"/>
              <w:ind w:firstLine="0"/>
              <w:rPr>
                <w:rFonts w:ascii="仿宋" w:hAnsi="仿宋" w:eastAsia="仿宋" w:cs="宋体"/>
                <w:color w:val="auto"/>
                <w:sz w:val="24"/>
              </w:rPr>
            </w:pPr>
            <w:r>
              <w:rPr>
                <w:rFonts w:hint="eastAsia" w:ascii="仿宋" w:hAnsi="仿宋" w:eastAsia="仿宋" w:cs="宋体"/>
                <w:color w:val="auto"/>
                <w:sz w:val="24"/>
              </w:rPr>
              <w:t>小写：</w:t>
            </w:r>
          </w:p>
          <w:p>
            <w:pPr>
              <w:tabs>
                <w:tab w:val="left" w:pos="360"/>
              </w:tabs>
              <w:spacing w:before="67" w:line="240" w:lineRule="atLeast"/>
              <w:ind w:right="-357"/>
              <w:rPr>
                <w:rFonts w:ascii="仿宋" w:hAnsi="仿宋" w:eastAsia="仿宋"/>
                <w:color w:val="auto"/>
                <w:sz w:val="24"/>
              </w:rPr>
            </w:pPr>
            <w:r>
              <w:rPr>
                <w:rFonts w:hint="eastAsia" w:ascii="仿宋" w:hAnsi="仿宋" w:eastAsia="仿宋" w:cs="宋体"/>
                <w:color w:val="auto"/>
                <w:sz w:val="24"/>
              </w:rPr>
              <w:t>折扣率：</w:t>
            </w:r>
          </w:p>
        </w:tc>
      </w:tr>
    </w:tbl>
    <w:p>
      <w:pPr>
        <w:snapToGrid w:val="0"/>
        <w:spacing w:line="240" w:lineRule="atLeast"/>
        <w:rPr>
          <w:rFonts w:ascii="仿宋" w:hAnsi="仿宋" w:eastAsia="仿宋"/>
          <w:color w:val="auto"/>
          <w:sz w:val="24"/>
        </w:rPr>
      </w:pPr>
    </w:p>
    <w:p>
      <w:pPr>
        <w:snapToGrid w:val="0"/>
        <w:spacing w:line="240" w:lineRule="atLeast"/>
        <w:rPr>
          <w:rFonts w:ascii="仿宋" w:hAnsi="仿宋" w:eastAsia="仿宋"/>
          <w:color w:val="auto"/>
          <w:sz w:val="24"/>
        </w:rPr>
      </w:pPr>
      <w:r>
        <w:rPr>
          <w:rFonts w:hint="eastAsia" w:ascii="仿宋" w:hAnsi="仿宋" w:eastAsia="仿宋"/>
          <w:color w:val="auto"/>
          <w:sz w:val="24"/>
        </w:rPr>
        <w:t>注：</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ascii="仿宋" w:hAnsi="仿宋" w:eastAsia="仿宋"/>
          <w:bCs/>
          <w:color w:val="auto"/>
          <w:sz w:val="24"/>
        </w:rPr>
        <w:t>此表为表样，行数可自行添加，但表式不变；</w:t>
      </w:r>
    </w:p>
    <w:p>
      <w:pPr>
        <w:snapToGrid w:val="0"/>
        <w:spacing w:line="360" w:lineRule="auto"/>
        <w:ind w:firstLine="420" w:firstLineChars="175"/>
        <w:rPr>
          <w:rFonts w:ascii="仿宋" w:hAnsi="仿宋" w:eastAsia="仿宋"/>
          <w:color w:val="auto"/>
          <w:sz w:val="24"/>
        </w:rPr>
      </w:pPr>
      <w:r>
        <w:rPr>
          <w:rFonts w:hint="eastAsia" w:ascii="仿宋" w:hAnsi="仿宋" w:eastAsia="仿宋"/>
          <w:color w:val="auto"/>
          <w:sz w:val="24"/>
        </w:rPr>
        <w:t xml:space="preserve"> (2)总价=单价*数量，数量由投标人自行计算并填列；</w:t>
      </w:r>
    </w:p>
    <w:p>
      <w:pPr>
        <w:tabs>
          <w:tab w:val="left" w:pos="360"/>
        </w:tabs>
        <w:spacing w:line="360" w:lineRule="auto"/>
        <w:ind w:firstLine="480" w:firstLineChars="200"/>
        <w:rPr>
          <w:rFonts w:ascii="仿宋" w:hAnsi="仿宋" w:eastAsia="仿宋"/>
          <w:color w:val="auto"/>
          <w:sz w:val="24"/>
        </w:rPr>
      </w:pPr>
      <w:r>
        <w:rPr>
          <w:rFonts w:hint="eastAsia" w:ascii="仿宋" w:hAnsi="仿宋" w:eastAsia="仿宋"/>
          <w:color w:val="auto"/>
          <w:sz w:val="24"/>
        </w:rPr>
        <w:t>(3)本表中“报价总计”数应当等于“报价一览表”中“投标总计”数。</w:t>
      </w:r>
    </w:p>
    <w:p>
      <w:pPr>
        <w:spacing w:line="240" w:lineRule="atLeast"/>
        <w:ind w:firstLine="600"/>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报价人全称：（盖章）                授权代表签字</w:t>
      </w:r>
    </w:p>
    <w:p>
      <w:pPr>
        <w:pStyle w:val="109"/>
        <w:numPr>
          <w:ilvl w:val="0"/>
          <w:numId w:val="0"/>
        </w:numPr>
        <w:ind w:left="840"/>
        <w:rPr>
          <w:rFonts w:ascii="仿宋" w:hAnsi="仿宋" w:eastAsia="仿宋"/>
          <w:color w:val="auto"/>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b/>
          <w:color w:val="auto"/>
          <w:sz w:val="32"/>
        </w:rPr>
      </w:pP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4、授权委托书</w:t>
      </w:r>
    </w:p>
    <w:p>
      <w:pPr>
        <w:spacing w:line="360" w:lineRule="auto"/>
        <w:rPr>
          <w:rFonts w:ascii="仿宋" w:hAnsi="仿宋" w:eastAsia="仿宋"/>
          <w:color w:val="auto"/>
          <w:sz w:val="24"/>
          <w:szCs w:val="24"/>
        </w:rPr>
      </w:pPr>
      <w:r>
        <w:rPr>
          <w:rFonts w:hint="eastAsia" w:ascii="仿宋" w:hAnsi="仿宋" w:eastAsia="仿宋"/>
          <w:color w:val="auto"/>
          <w:sz w:val="24"/>
          <w:szCs w:val="24"/>
        </w:rPr>
        <w:t>致：海南政辉招投标代理有限公司：</w:t>
      </w:r>
    </w:p>
    <w:p>
      <w:pPr>
        <w:spacing w:line="360" w:lineRule="auto"/>
        <w:ind w:firstLine="480"/>
        <w:rPr>
          <w:rFonts w:ascii="仿宋" w:hAnsi="仿宋" w:eastAsia="仿宋"/>
          <w:color w:val="auto"/>
          <w:sz w:val="24"/>
          <w:szCs w:val="24"/>
        </w:rPr>
      </w:pPr>
      <w:r>
        <w:rPr>
          <w:rFonts w:hint="eastAsia" w:ascii="仿宋" w:hAnsi="仿宋" w:eastAsia="仿宋"/>
          <w:color w:val="auto"/>
          <w:sz w:val="24"/>
          <w:szCs w:val="24"/>
        </w:rPr>
        <w:t>本授权书声明：</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委托人：</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地  址：法定代表人：</w:t>
      </w:r>
    </w:p>
    <w:p>
      <w:pPr>
        <w:spacing w:line="360" w:lineRule="auto"/>
        <w:rPr>
          <w:rFonts w:ascii="仿宋" w:hAnsi="仿宋" w:eastAsia="仿宋"/>
          <w:color w:val="auto"/>
          <w:sz w:val="24"/>
          <w:szCs w:val="24"/>
        </w:rPr>
      </w:pPr>
      <w:r>
        <w:rPr>
          <w:rFonts w:hint="eastAsia" w:ascii="仿宋" w:hAnsi="仿宋" w:eastAsia="仿宋"/>
          <w:color w:val="auto"/>
          <w:sz w:val="24"/>
          <w:szCs w:val="24"/>
        </w:rPr>
        <w:t>受托人：性别</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出生日期：年月日</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所在单位：职务：</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身 份 证： 联系方式:</w:t>
      </w:r>
    </w:p>
    <w:p>
      <w:pPr>
        <w:spacing w:line="360" w:lineRule="auto"/>
        <w:ind w:firstLine="480" w:firstLineChars="200"/>
        <w:rPr>
          <w:rFonts w:ascii="仿宋" w:hAnsi="仿宋" w:eastAsia="仿宋"/>
          <w:color w:val="auto"/>
          <w:sz w:val="24"/>
          <w:szCs w:val="24"/>
        </w:rPr>
      </w:pPr>
      <w:r>
        <w:rPr>
          <w:rFonts w:hint="eastAsia" w:ascii="仿宋" w:hAnsi="仿宋" w:eastAsia="仿宋" w:cs="宋体"/>
          <w:color w:val="auto"/>
          <w:sz w:val="24"/>
          <w:szCs w:val="24"/>
        </w:rPr>
        <w:t>兹委托代表我方参加海南政辉招投标代理有限公司组织的</w:t>
      </w:r>
      <w:r>
        <w:rPr>
          <w:rFonts w:hint="eastAsia" w:ascii="仿宋" w:hAnsi="仿宋" w:eastAsia="仿宋"/>
          <w:color w:val="auto"/>
          <w:kern w:val="28"/>
          <w:sz w:val="24"/>
          <w:u w:val="single"/>
        </w:rPr>
        <w:t>（项目名称</w:t>
      </w:r>
      <w:r>
        <w:rPr>
          <w:rFonts w:hint="eastAsia" w:ascii="仿宋" w:hAnsi="仿宋" w:eastAsia="仿宋" w:cs="宋体"/>
          <w:color w:val="auto"/>
          <w:sz w:val="24"/>
          <w:szCs w:val="24"/>
        </w:rPr>
        <w:t>（项目编号为：HNZH-2020-300）</w:t>
      </w:r>
      <w:r>
        <w:rPr>
          <w:rFonts w:hint="eastAsia" w:ascii="仿宋" w:hAnsi="仿宋" w:eastAsia="仿宋"/>
          <w:color w:val="auto"/>
          <w:sz w:val="24"/>
          <w:szCs w:val="24"/>
        </w:rPr>
        <w:t>的政府采购活动，并授权其全权办理以下事宜：</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1、参加报价活动；</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2、出席谈判会议；</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3、签订与成交事宜有关的合同；</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4、负责合同的履行、服务以及在合同履行过程中有关事宜的洽谈和处理。</w:t>
      </w:r>
    </w:p>
    <w:p>
      <w:pPr>
        <w:spacing w:line="360" w:lineRule="auto"/>
        <w:ind w:firstLine="480"/>
        <w:rPr>
          <w:rFonts w:ascii="仿宋" w:hAnsi="仿宋" w:eastAsia="仿宋"/>
          <w:color w:val="auto"/>
          <w:sz w:val="24"/>
          <w:szCs w:val="24"/>
        </w:rPr>
      </w:pPr>
      <w:r>
        <w:rPr>
          <w:rFonts w:hint="eastAsia" w:ascii="仿宋" w:hAnsi="仿宋" w:eastAsia="仿宋"/>
          <w:color w:val="auto"/>
          <w:sz w:val="24"/>
          <w:szCs w:val="24"/>
        </w:rPr>
        <w:t>受托人在办理上述事宜过程中以其自己的名义所签署的所有文件我方均予以承认。受托人无转委托权。</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委托期限：至上述事宜处理完毕止。</w:t>
      </w:r>
    </w:p>
    <w:p>
      <w:pPr>
        <w:spacing w:line="360" w:lineRule="auto"/>
        <w:rPr>
          <w:rFonts w:ascii="仿宋" w:hAnsi="仿宋" w:eastAsia="仿宋"/>
          <w:color w:val="auto"/>
          <w:sz w:val="24"/>
          <w:szCs w:val="24"/>
        </w:rPr>
      </w:pPr>
      <w:r>
        <w:rPr>
          <w:rFonts w:hint="eastAsia" w:ascii="仿宋" w:hAnsi="仿宋" w:eastAsia="仿宋"/>
          <w:color w:val="auto"/>
          <w:sz w:val="24"/>
          <w:szCs w:val="24"/>
        </w:rPr>
        <w:t>附：法人和授权人身份证复印件</w:t>
      </w:r>
    </w:p>
    <w:p>
      <w:pPr>
        <w:spacing w:line="360" w:lineRule="auto"/>
        <w:ind w:firstLine="3840" w:firstLineChars="1600"/>
        <w:rPr>
          <w:rFonts w:ascii="仿宋" w:hAnsi="仿宋" w:eastAsia="仿宋"/>
          <w:color w:val="auto"/>
          <w:sz w:val="24"/>
          <w:szCs w:val="24"/>
        </w:rPr>
      </w:pPr>
      <w:r>
        <w:rPr>
          <w:rFonts w:hint="eastAsia" w:ascii="仿宋" w:hAnsi="仿宋" w:eastAsia="仿宋"/>
          <w:color w:val="auto"/>
          <w:sz w:val="24"/>
          <w:szCs w:val="24"/>
        </w:rPr>
        <w:t xml:space="preserve">委托单位    （公章）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法定代表人  （签名或盖名章）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受托人  （签名）          </w:t>
      </w:r>
    </w:p>
    <w:p>
      <w:pPr>
        <w:spacing w:line="360" w:lineRule="auto"/>
        <w:ind w:firstLine="4200" w:firstLineChars="1750"/>
        <w:rPr>
          <w:rFonts w:ascii="仿宋" w:hAnsi="仿宋" w:eastAsia="仿宋"/>
          <w:color w:val="auto"/>
          <w:sz w:val="24"/>
          <w:szCs w:val="24"/>
        </w:rPr>
      </w:pPr>
      <w:r>
        <w:rPr>
          <w:rFonts w:hint="eastAsia" w:ascii="仿宋" w:hAnsi="仿宋" w:eastAsia="仿宋"/>
          <w:color w:val="auto"/>
          <w:sz w:val="24"/>
          <w:szCs w:val="24"/>
        </w:rPr>
        <w:t xml:space="preserve">         年     月     日</w:t>
      </w: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r>
        <w:rPr>
          <w:rFonts w:hint="eastAsia" w:ascii="仿宋" w:hAnsi="仿宋" w:eastAsia="仿宋"/>
          <w:b/>
          <w:color w:val="auto"/>
          <w:sz w:val="32"/>
        </w:rPr>
        <w:t>5、用户需求响应表</w:t>
      </w:r>
    </w:p>
    <w:p>
      <w:pPr>
        <w:spacing w:line="360" w:lineRule="auto"/>
        <w:rPr>
          <w:rFonts w:ascii="仿宋" w:hAnsi="仿宋" w:eastAsia="仿宋"/>
          <w:color w:val="auto"/>
          <w:sz w:val="24"/>
        </w:rPr>
      </w:pPr>
      <w:r>
        <w:rPr>
          <w:rFonts w:hint="eastAsia" w:ascii="仿宋" w:hAnsi="仿宋" w:eastAsia="仿宋"/>
          <w:color w:val="auto"/>
          <w:sz w:val="24"/>
        </w:rPr>
        <w:t>项目名称：社会主义核心价值观公益宣传</w:t>
      </w:r>
    </w:p>
    <w:p>
      <w:pPr>
        <w:spacing w:before="19" w:line="360" w:lineRule="auto"/>
        <w:rPr>
          <w:rFonts w:ascii="仿宋" w:hAnsi="仿宋" w:eastAsia="仿宋"/>
          <w:color w:val="auto"/>
          <w:sz w:val="24"/>
        </w:rPr>
      </w:pPr>
      <w:r>
        <w:rPr>
          <w:rFonts w:hint="eastAsia" w:ascii="仿宋" w:hAnsi="仿宋" w:eastAsia="仿宋"/>
          <w:color w:val="auto"/>
          <w:sz w:val="24"/>
        </w:rPr>
        <w:t>项目编号：HNZH-2020-300</w:t>
      </w:r>
    </w:p>
    <w:tbl>
      <w:tblPr>
        <w:tblStyle w:val="2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99"/>
        <w:gridCol w:w="2574"/>
        <w:gridCol w:w="258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638"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序号</w:t>
            </w:r>
          </w:p>
        </w:tc>
        <w:tc>
          <w:tcPr>
            <w:tcW w:w="1199"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名称</w:t>
            </w:r>
          </w:p>
        </w:tc>
        <w:tc>
          <w:tcPr>
            <w:tcW w:w="2574"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采购性能指标及技术参数</w:t>
            </w:r>
          </w:p>
        </w:tc>
        <w:tc>
          <w:tcPr>
            <w:tcW w:w="2584"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投标性能指标及技术参数</w:t>
            </w:r>
          </w:p>
        </w:tc>
        <w:tc>
          <w:tcPr>
            <w:tcW w:w="1709" w:type="dxa"/>
            <w:shd w:val="clear" w:color="auto" w:fill="D9D9D9"/>
            <w:vAlign w:val="center"/>
          </w:tcPr>
          <w:p>
            <w:pPr>
              <w:snapToGrid w:val="0"/>
              <w:jc w:val="center"/>
              <w:rPr>
                <w:rFonts w:ascii="仿宋" w:hAnsi="仿宋" w:eastAsia="仿宋"/>
                <w:color w:val="auto"/>
                <w:szCs w:val="21"/>
              </w:rPr>
            </w:pPr>
            <w:r>
              <w:rPr>
                <w:rFonts w:hint="eastAsia" w:ascii="仿宋" w:hAnsi="仿宋" w:eastAsia="仿宋"/>
                <w:color w:val="auto"/>
                <w:szCs w:val="21"/>
              </w:rPr>
              <w:t>偏离情况说明</w:t>
            </w:r>
          </w:p>
          <w:p>
            <w:pPr>
              <w:spacing w:line="460" w:lineRule="exact"/>
              <w:jc w:val="center"/>
              <w:rPr>
                <w:rFonts w:ascii="仿宋" w:hAnsi="仿宋" w:eastAsia="仿宋"/>
                <w:b/>
                <w:color w:val="auto"/>
              </w:rPr>
            </w:pPr>
            <w:r>
              <w:rPr>
                <w:rFonts w:hint="eastAsia"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1</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2</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3</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4</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5</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p>
        </w:tc>
        <w:tc>
          <w:tcPr>
            <w:tcW w:w="1199" w:type="dxa"/>
            <w:vAlign w:val="center"/>
          </w:tcPr>
          <w:p>
            <w:pPr>
              <w:snapToGrid w:val="0"/>
              <w:spacing w:line="360" w:lineRule="auto"/>
              <w:jc w:val="center"/>
              <w:rPr>
                <w:rFonts w:ascii="仿宋" w:hAnsi="仿宋" w:eastAsia="仿宋"/>
                <w:b/>
                <w:color w:val="auto"/>
              </w:rPr>
            </w:pPr>
            <w:r>
              <w:rPr>
                <w:rFonts w:hint="eastAsia" w:ascii="仿宋" w:hAnsi="仿宋" w:eastAsia="仿宋"/>
                <w:b/>
                <w:color w:val="auto"/>
              </w:rPr>
              <w:t>…</w:t>
            </w: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bl>
    <w:p>
      <w:pPr>
        <w:snapToGrid w:val="0"/>
        <w:spacing w:line="360" w:lineRule="auto"/>
        <w:rPr>
          <w:rFonts w:ascii="仿宋" w:hAnsi="仿宋" w:eastAsia="仿宋"/>
          <w:color w:val="auto"/>
        </w:rPr>
      </w:pPr>
    </w:p>
    <w:p>
      <w:pPr>
        <w:snapToGrid w:val="0"/>
        <w:spacing w:line="360" w:lineRule="auto"/>
        <w:rPr>
          <w:rFonts w:ascii="仿宋" w:hAnsi="仿宋" w:eastAsia="仿宋"/>
          <w:b/>
          <w:color w:val="auto"/>
          <w:sz w:val="24"/>
          <w:szCs w:val="24"/>
        </w:rPr>
      </w:pPr>
      <w:r>
        <w:rPr>
          <w:rFonts w:hint="eastAsia" w:ascii="仿宋" w:hAnsi="仿宋" w:eastAsia="仿宋"/>
          <w:b/>
          <w:color w:val="auto"/>
          <w:sz w:val="24"/>
          <w:szCs w:val="24"/>
        </w:rPr>
        <w:t>报价人全称（公章）：            授权代表（签字）：</w:t>
      </w:r>
    </w:p>
    <w:p>
      <w:pPr>
        <w:tabs>
          <w:tab w:val="left" w:pos="11130"/>
        </w:tabs>
        <w:snapToGrid w:val="0"/>
        <w:spacing w:line="360" w:lineRule="auto"/>
        <w:ind w:firstLine="120" w:firstLineChars="50"/>
        <w:rPr>
          <w:rFonts w:ascii="仿宋" w:hAnsi="仿宋" w:eastAsia="仿宋"/>
          <w:color w:val="auto"/>
          <w:sz w:val="24"/>
          <w:szCs w:val="24"/>
        </w:rPr>
      </w:pPr>
    </w:p>
    <w:p>
      <w:pPr>
        <w:tabs>
          <w:tab w:val="left" w:pos="11130"/>
        </w:tabs>
        <w:snapToGrid w:val="0"/>
        <w:spacing w:line="360" w:lineRule="auto"/>
        <w:ind w:firstLine="120" w:firstLineChars="50"/>
        <w:rPr>
          <w:rFonts w:ascii="仿宋" w:hAnsi="仿宋" w:eastAsia="仿宋"/>
          <w:bCs/>
          <w:color w:val="auto"/>
          <w:sz w:val="24"/>
        </w:rPr>
      </w:pPr>
      <w:r>
        <w:rPr>
          <w:rFonts w:hint="eastAsia" w:ascii="仿宋" w:hAnsi="仿宋" w:eastAsia="仿宋"/>
          <w:b/>
          <w:bCs/>
          <w:color w:val="auto"/>
          <w:sz w:val="24"/>
        </w:rPr>
        <w:t>注：</w:t>
      </w:r>
      <w:r>
        <w:rPr>
          <w:rFonts w:hint="eastAsia" w:ascii="仿宋" w:hAnsi="仿宋" w:eastAsia="仿宋"/>
          <w:bCs/>
          <w:color w:val="auto"/>
          <w:sz w:val="24"/>
        </w:rPr>
        <w:t>1、此表为表样，行数可自行添加，但表式不变。</w:t>
      </w:r>
    </w:p>
    <w:p>
      <w:pPr>
        <w:numPr>
          <w:ilvl w:val="0"/>
          <w:numId w:val="7"/>
        </w:numPr>
        <w:snapToGrid w:val="0"/>
        <w:spacing w:line="360" w:lineRule="auto"/>
        <w:ind w:firstLine="600"/>
        <w:rPr>
          <w:rFonts w:ascii="仿宋" w:hAnsi="仿宋" w:eastAsia="仿宋"/>
          <w:bCs/>
          <w:color w:val="auto"/>
          <w:sz w:val="24"/>
        </w:rPr>
      </w:pPr>
      <w:r>
        <w:rPr>
          <w:rFonts w:hint="eastAsia" w:ascii="仿宋" w:hAnsi="仿宋" w:eastAsia="仿宋"/>
          <w:bCs/>
          <w:color w:val="auto"/>
          <w:sz w:val="24"/>
        </w:rPr>
        <w:t>请在“投标人技术参数/功能描述” 中列出所投设备/项目的详细技术参数和功能描述情况，要求将技术参数和功能分别描述，否则将视为不响应或负偏离。</w:t>
      </w:r>
    </w:p>
    <w:p>
      <w:pPr>
        <w:snapToGrid w:val="0"/>
        <w:spacing w:line="360" w:lineRule="auto"/>
        <w:rPr>
          <w:rFonts w:ascii="仿宋" w:hAnsi="仿宋" w:eastAsia="仿宋"/>
          <w:color w:val="auto"/>
          <w:sz w:val="24"/>
        </w:rPr>
      </w:pPr>
      <w:r>
        <w:rPr>
          <w:rFonts w:hint="eastAsia" w:ascii="仿宋" w:hAnsi="仿宋" w:eastAsia="仿宋"/>
          <w:color w:val="auto"/>
          <w:sz w:val="24"/>
        </w:rPr>
        <w:t xml:space="preserve">     3、偏离情况说明分正偏离（+）、完全响应（=）、负偏离（-），分别表示优于要求、满足要求、不满足要求。</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pStyle w:val="4"/>
        <w:rPr>
          <w:rFonts w:ascii="仿宋" w:hAnsi="仿宋" w:eastAsia="仿宋"/>
          <w:color w:val="auto"/>
        </w:rPr>
      </w:pPr>
    </w:p>
    <w:p>
      <w:pPr>
        <w:spacing w:line="360" w:lineRule="auto"/>
        <w:ind w:firstLine="640" w:firstLineChars="200"/>
        <w:jc w:val="center"/>
        <w:rPr>
          <w:rFonts w:ascii="仿宋" w:hAnsi="仿宋" w:eastAsia="仿宋" w:cs="黑体"/>
          <w:color w:val="auto"/>
          <w:sz w:val="32"/>
          <w:szCs w:val="32"/>
        </w:rPr>
      </w:pPr>
    </w:p>
    <w:p>
      <w:pPr>
        <w:spacing w:line="360" w:lineRule="auto"/>
        <w:ind w:firstLine="640" w:firstLineChars="200"/>
        <w:jc w:val="center"/>
        <w:rPr>
          <w:rFonts w:ascii="仿宋" w:hAnsi="仿宋" w:eastAsia="仿宋" w:cs="黑体"/>
          <w:color w:val="auto"/>
          <w:sz w:val="32"/>
          <w:szCs w:val="32"/>
        </w:rPr>
      </w:pPr>
      <w:r>
        <w:rPr>
          <w:rFonts w:hint="eastAsia" w:ascii="仿宋" w:hAnsi="仿宋" w:eastAsia="仿宋" w:cs="黑体"/>
          <w:color w:val="auto"/>
          <w:sz w:val="32"/>
          <w:szCs w:val="32"/>
        </w:rPr>
        <w:t>6、政府采购活动信用记录自查承诺函</w:t>
      </w:r>
    </w:p>
    <w:p>
      <w:pPr>
        <w:spacing w:line="360" w:lineRule="auto"/>
        <w:jc w:val="left"/>
        <w:outlineLvl w:val="1"/>
        <w:rPr>
          <w:rFonts w:ascii="仿宋" w:hAnsi="仿宋" w:eastAsia="仿宋" w:cs="仿宋"/>
          <w:color w:val="auto"/>
          <w:sz w:val="24"/>
        </w:rPr>
      </w:pPr>
    </w:p>
    <w:p>
      <w:pPr>
        <w:spacing w:line="440" w:lineRule="exact"/>
        <w:rPr>
          <w:rFonts w:ascii="仿宋" w:hAnsi="仿宋" w:eastAsia="仿宋" w:cs="宋体"/>
          <w:color w:val="auto"/>
          <w:sz w:val="24"/>
          <w:lang w:val="zh-CN"/>
        </w:rPr>
      </w:pPr>
      <w:r>
        <w:rPr>
          <w:rFonts w:hint="eastAsia" w:ascii="仿宋" w:hAnsi="仿宋" w:eastAsia="仿宋" w:cs="宋体"/>
          <w:color w:val="auto"/>
          <w:sz w:val="24"/>
          <w:lang w:val="zh-CN"/>
        </w:rPr>
        <w:t>海南政辉招投标代理有限公司：</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关于本公司（企业）信用情况，经对“信用中国”网站（www.creditchina.gov.cn）中企业信用信息、中国政府采购网（www.ccgp.gov.cn）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440" w:lineRule="exact"/>
        <w:ind w:firstLine="480" w:firstLineChars="200"/>
        <w:rPr>
          <w:rFonts w:ascii="仿宋" w:hAnsi="仿宋" w:eastAsia="仿宋" w:cs="宋体"/>
          <w:color w:val="auto"/>
          <w:sz w:val="24"/>
          <w:lang w:val="zh-CN"/>
        </w:rPr>
      </w:pPr>
    </w:p>
    <w:p>
      <w:pPr>
        <w:spacing w:line="440" w:lineRule="exact"/>
        <w:ind w:firstLine="480" w:firstLineChars="200"/>
        <w:rPr>
          <w:rFonts w:ascii="仿宋" w:hAnsi="仿宋" w:eastAsia="仿宋" w:cs="宋体"/>
          <w:color w:val="auto"/>
          <w:sz w:val="24"/>
          <w:lang w:val="zh-CN"/>
        </w:rPr>
      </w:pP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特此承诺！</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相关资格证明材料如下（均提供网站截图加盖公章）：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附件</w:t>
      </w:r>
      <w:r>
        <w:rPr>
          <w:rFonts w:hint="eastAsia" w:ascii="仿宋" w:hAnsi="仿宋" w:eastAsia="仿宋" w:cs="宋体"/>
          <w:color w:val="auto"/>
          <w:sz w:val="24"/>
        </w:rPr>
        <w:t>1：</w:t>
      </w:r>
      <w:r>
        <w:rPr>
          <w:rFonts w:hint="eastAsia" w:ascii="仿宋" w:hAnsi="仿宋" w:eastAsia="仿宋" w:cs="宋体"/>
          <w:color w:val="auto"/>
          <w:sz w:val="24"/>
          <w:lang w:val="zh-CN"/>
        </w:rPr>
        <w:t>“信用中国”网站没有被列入失信被执行人、重大税收违法案件当事人名单、政府采购严重违法失信行为记录名单中截图证明；</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附件</w:t>
      </w:r>
      <w:r>
        <w:rPr>
          <w:rFonts w:hint="eastAsia" w:ascii="仿宋" w:hAnsi="仿宋" w:eastAsia="仿宋" w:cs="宋体"/>
          <w:color w:val="auto"/>
          <w:sz w:val="24"/>
        </w:rPr>
        <w:t>2：</w:t>
      </w:r>
      <w:r>
        <w:rPr>
          <w:rFonts w:hint="eastAsia" w:ascii="仿宋" w:hAnsi="仿宋" w:eastAsia="仿宋" w:cs="宋体"/>
          <w:color w:val="auto"/>
          <w:sz w:val="24"/>
          <w:lang w:val="zh-CN"/>
        </w:rPr>
        <w:t>中国政府采购网（www.ccgp.gov.cn）中“政府采购严重违法失信行为信息记录”截图证明。</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响应代表（签字或盖名章）：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供应商名称（加盖公章）：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日    期：   年   月  日</w:t>
      </w: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jc w:val="center"/>
        <w:rPr>
          <w:rFonts w:ascii="仿宋" w:hAnsi="仿宋" w:eastAsia="仿宋"/>
          <w:b/>
          <w:color w:val="auto"/>
          <w:sz w:val="36"/>
          <w:szCs w:val="36"/>
        </w:rPr>
      </w:pPr>
      <w:bookmarkStart w:id="97" w:name="_Toc1660553"/>
    </w:p>
    <w:p>
      <w:pPr>
        <w:jc w:val="center"/>
        <w:rPr>
          <w:rFonts w:ascii="仿宋" w:hAnsi="仿宋" w:eastAsia="仿宋"/>
          <w:b/>
          <w:color w:val="auto"/>
          <w:sz w:val="36"/>
          <w:szCs w:val="36"/>
        </w:rPr>
      </w:pPr>
    </w:p>
    <w:p>
      <w:pPr>
        <w:jc w:val="center"/>
        <w:rPr>
          <w:rFonts w:ascii="仿宋" w:hAnsi="仿宋" w:eastAsia="仿宋"/>
          <w:b/>
          <w:color w:val="auto"/>
          <w:sz w:val="36"/>
          <w:szCs w:val="36"/>
        </w:rPr>
      </w:pPr>
      <w:r>
        <w:rPr>
          <w:rFonts w:hint="eastAsia" w:ascii="仿宋" w:hAnsi="仿宋" w:eastAsia="仿宋"/>
          <w:b/>
          <w:color w:val="auto"/>
          <w:sz w:val="36"/>
          <w:szCs w:val="36"/>
        </w:rPr>
        <w:t>7、中小企业声明函</w:t>
      </w:r>
    </w:p>
    <w:p>
      <w:pPr>
        <w:spacing w:line="588" w:lineRule="exact"/>
        <w:rPr>
          <w:rFonts w:ascii="仿宋" w:hAnsi="仿宋" w:eastAsia="仿宋"/>
          <w:b/>
          <w:color w:val="auto"/>
          <w:spacing w:val="6"/>
          <w:sz w:val="24"/>
        </w:rPr>
      </w:pPr>
    </w:p>
    <w:p>
      <w:pPr>
        <w:spacing w:line="588" w:lineRule="exact"/>
        <w:ind w:firstLine="504" w:firstLineChars="200"/>
        <w:rPr>
          <w:rFonts w:ascii="仿宋" w:hAnsi="仿宋" w:eastAsia="仿宋"/>
          <w:color w:val="auto"/>
          <w:spacing w:val="6"/>
          <w:sz w:val="24"/>
        </w:rPr>
      </w:pPr>
      <w:r>
        <w:rPr>
          <w:rFonts w:hint="eastAsia" w:ascii="仿宋" w:hAnsi="仿宋" w:eastAsia="仿宋"/>
          <w:color w:val="auto"/>
          <w:spacing w:val="6"/>
          <w:sz w:val="24"/>
        </w:rPr>
        <w:t>本公司郑重声明，根据《政府采购促进中小企业发展暂行办法》（财库[2011]181号）的规定，本公司为</w:t>
      </w:r>
      <w:bookmarkStart w:id="98" w:name="OLE_LINK2"/>
      <w:r>
        <w:rPr>
          <w:rFonts w:hint="eastAsia" w:ascii="仿宋" w:hAnsi="仿宋" w:eastAsia="仿宋"/>
          <w:color w:val="auto"/>
          <w:spacing w:val="6"/>
          <w:sz w:val="24"/>
        </w:rPr>
        <w:t>（请填写：中型、小型、微型）企业</w:t>
      </w:r>
      <w:bookmarkEnd w:id="98"/>
      <w:r>
        <w:rPr>
          <w:rFonts w:hint="eastAsia" w:ascii="仿宋" w:hAnsi="仿宋" w:eastAsia="仿宋"/>
          <w:color w:val="auto"/>
          <w:spacing w:val="6"/>
          <w:sz w:val="24"/>
        </w:rPr>
        <w:t>。即，本公司同时满足以下条件：</w:t>
      </w:r>
    </w:p>
    <w:p>
      <w:pPr>
        <w:spacing w:line="588" w:lineRule="exact"/>
        <w:ind w:firstLine="504" w:firstLineChars="200"/>
        <w:rPr>
          <w:rFonts w:ascii="仿宋" w:hAnsi="仿宋" w:eastAsia="仿宋"/>
          <w:color w:val="auto"/>
          <w:spacing w:val="6"/>
          <w:sz w:val="24"/>
        </w:rPr>
      </w:pPr>
      <w:r>
        <w:rPr>
          <w:rFonts w:hint="eastAsia" w:ascii="仿宋" w:hAnsi="仿宋" w:eastAsia="仿宋"/>
          <w:color w:val="auto"/>
          <w:spacing w:val="6"/>
          <w:sz w:val="24"/>
        </w:rPr>
        <w:t>1.根据《工业和信息化部、国家统计局、国家发展和改革委员会、财政部关于印发中小企业划型标准规定的通知》（工信部联企业[2011]300号）规定的划分标准，本公司为（请填写：中型、小型、微型）企业。</w:t>
      </w:r>
    </w:p>
    <w:p>
      <w:pPr>
        <w:spacing w:line="588" w:lineRule="exact"/>
        <w:ind w:firstLine="504" w:firstLineChars="200"/>
        <w:rPr>
          <w:rFonts w:ascii="仿宋" w:hAnsi="仿宋" w:eastAsia="仿宋"/>
          <w:color w:val="auto"/>
          <w:spacing w:val="6"/>
          <w:sz w:val="24"/>
        </w:rPr>
      </w:pPr>
      <w:r>
        <w:rPr>
          <w:rFonts w:hint="eastAsia" w:ascii="仿宋" w:hAnsi="仿宋" w:eastAsia="仿宋"/>
          <w:color w:val="auto"/>
          <w:spacing w:val="6"/>
          <w:sz w:val="24"/>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588" w:lineRule="exact"/>
        <w:ind w:firstLine="504" w:firstLineChars="200"/>
        <w:rPr>
          <w:rFonts w:ascii="仿宋" w:hAnsi="仿宋" w:eastAsia="仿宋"/>
          <w:color w:val="auto"/>
          <w:spacing w:val="6"/>
          <w:sz w:val="24"/>
        </w:rPr>
      </w:pPr>
      <w:r>
        <w:rPr>
          <w:rFonts w:hint="eastAsia" w:ascii="仿宋" w:hAnsi="仿宋" w:eastAsia="仿宋"/>
          <w:color w:val="auto"/>
          <w:spacing w:val="6"/>
          <w:sz w:val="24"/>
        </w:rPr>
        <w:t>本公司对上述声明的真实性负责。如有虚假，将依法承担相应责任。</w:t>
      </w:r>
    </w:p>
    <w:p>
      <w:pPr>
        <w:spacing w:line="588" w:lineRule="exact"/>
        <w:ind w:firstLine="504" w:firstLineChars="200"/>
        <w:rPr>
          <w:rFonts w:ascii="仿宋" w:hAnsi="仿宋" w:eastAsia="仿宋"/>
          <w:color w:val="auto"/>
          <w:spacing w:val="6"/>
          <w:sz w:val="24"/>
        </w:rPr>
      </w:pPr>
    </w:p>
    <w:p>
      <w:pPr>
        <w:spacing w:line="588" w:lineRule="exact"/>
        <w:ind w:firstLine="504" w:firstLineChars="200"/>
        <w:rPr>
          <w:rFonts w:ascii="仿宋" w:hAnsi="仿宋" w:eastAsia="仿宋"/>
          <w:color w:val="auto"/>
          <w:spacing w:val="6"/>
          <w:sz w:val="24"/>
        </w:rPr>
      </w:pPr>
    </w:p>
    <w:p>
      <w:pPr>
        <w:tabs>
          <w:tab w:val="left" w:pos="4860"/>
        </w:tabs>
        <w:spacing w:line="588" w:lineRule="exact"/>
        <w:ind w:right="1560" w:firstLine="504" w:firstLineChars="200"/>
        <w:jc w:val="center"/>
        <w:rPr>
          <w:rFonts w:ascii="仿宋" w:hAnsi="仿宋" w:eastAsia="仿宋"/>
          <w:color w:val="auto"/>
          <w:spacing w:val="6"/>
          <w:sz w:val="24"/>
        </w:rPr>
      </w:pPr>
      <w:r>
        <w:rPr>
          <w:rFonts w:hint="eastAsia" w:ascii="仿宋" w:hAnsi="仿宋" w:eastAsia="仿宋"/>
          <w:color w:val="auto"/>
          <w:spacing w:val="6"/>
          <w:sz w:val="24"/>
        </w:rPr>
        <w:t xml:space="preserve">               企业名称（盖章）： </w:t>
      </w:r>
    </w:p>
    <w:p>
      <w:pPr>
        <w:jc w:val="center"/>
        <w:outlineLvl w:val="0"/>
        <w:rPr>
          <w:rFonts w:ascii="仿宋" w:hAnsi="仿宋" w:eastAsia="仿宋"/>
          <w:b/>
          <w:color w:val="auto"/>
          <w:sz w:val="44"/>
          <w:szCs w:val="44"/>
        </w:rPr>
      </w:pPr>
      <w:r>
        <w:rPr>
          <w:rFonts w:hint="eastAsia" w:ascii="仿宋" w:hAnsi="仿宋" w:eastAsia="仿宋"/>
          <w:color w:val="auto"/>
          <w:spacing w:val="6"/>
          <w:sz w:val="24"/>
        </w:rPr>
        <w:t xml:space="preserve">       日  期：   </w:t>
      </w: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sz w:val="32"/>
          <w:szCs w:val="32"/>
        </w:rPr>
      </w:pPr>
      <w:r>
        <w:rPr>
          <w:rFonts w:hint="eastAsia" w:ascii="仿宋" w:hAnsi="仿宋" w:eastAsia="仿宋" w:cs="宋体"/>
          <w:b/>
          <w:color w:val="auto"/>
          <w:kern w:val="0"/>
          <w:sz w:val="32"/>
          <w:szCs w:val="32"/>
        </w:rPr>
        <w:t>8、中小企业（监狱企业）声明函</w:t>
      </w:r>
      <w:bookmarkEnd w:id="97"/>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仿宋" w:hAnsi="仿宋" w:eastAsia="仿宋" w:cs="宋体"/>
          <w:color w:val="auto"/>
          <w:sz w:val="24"/>
        </w:rPr>
        <w:br w:type="textWrapping"/>
      </w:r>
      <w:r>
        <w:rPr>
          <w:rFonts w:hint="eastAsia" w:ascii="仿宋" w:hAnsi="仿宋" w:eastAsia="仿宋" w:cs="宋体"/>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仿宋" w:hAnsi="仿宋" w:eastAsia="仿宋" w:cs="宋体"/>
          <w:color w:val="auto"/>
          <w:sz w:val="24"/>
        </w:rPr>
        <w:br w:type="textWrapping"/>
      </w:r>
      <w:r>
        <w:rPr>
          <w:rFonts w:hint="eastAsia" w:ascii="仿宋" w:hAnsi="仿宋" w:eastAsia="仿宋" w:cs="宋体"/>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 xml:space="preserve">3、提供中华人民共和国工商行政管理总局官网上“小微企业名录”查询截图（ </w:t>
      </w:r>
      <w:r>
        <w:rPr>
          <w:rFonts w:hint="eastAsia" w:ascii="仿宋" w:hAnsi="仿宋" w:eastAsia="仿宋" w:cs="宋体"/>
          <w:color w:val="auto"/>
          <w:sz w:val="24"/>
        </w:rPr>
        <w:fldChar w:fldCharType="begin"/>
      </w:r>
      <w:r>
        <w:rPr>
          <w:rFonts w:hint="eastAsia" w:ascii="仿宋" w:hAnsi="仿宋" w:eastAsia="仿宋" w:cs="宋体"/>
          <w:color w:val="auto"/>
          <w:sz w:val="24"/>
        </w:rPr>
        <w:instrText xml:space="preserve"> HYPERLINK "http://xwqy.gsxt.gov.cn/））或残疾人福利性单位声明函。如不满足以上三项要求，采购代理机构一律不给予价格评审优惠政策。"</w:instrText>
      </w:r>
      <w:r>
        <w:rPr>
          <w:rFonts w:hint="eastAsia" w:ascii="仿宋" w:hAnsi="仿宋" w:eastAsia="仿宋" w:cs="宋体"/>
          <w:color w:val="auto"/>
          <w:sz w:val="24"/>
        </w:rPr>
        <w:fldChar w:fldCharType="separate"/>
      </w:r>
      <w:r>
        <w:rPr>
          <w:rFonts w:hint="eastAsia" w:ascii="仿宋" w:hAnsi="仿宋" w:eastAsia="仿宋" w:cs="宋体"/>
          <w:color w:val="auto"/>
          <w:sz w:val="24"/>
        </w:rPr>
        <w:t>http://xwqy.gsxt.gov.cn/）</w:t>
      </w:r>
      <w:r>
        <w:rPr>
          <w:rFonts w:hint="eastAsia" w:ascii="仿宋" w:hAnsi="仿宋" w:eastAsia="仿宋" w:cs="宋体"/>
          <w:color w:val="auto"/>
          <w:sz w:val="24"/>
          <w:lang w:val="zh-CN"/>
        </w:rPr>
        <w:t>。</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fldChar w:fldCharType="end"/>
      </w:r>
      <w:r>
        <w:rPr>
          <w:rFonts w:hint="eastAsia" w:ascii="仿宋" w:hAnsi="仿宋" w:eastAsia="仿宋" w:cs="宋体"/>
          <w:color w:val="auto"/>
          <w:sz w:val="24"/>
        </w:rPr>
        <w:br w:type="textWrapping"/>
      </w:r>
      <w:r>
        <w:rPr>
          <w:rFonts w:hint="eastAsia" w:ascii="仿宋" w:hAnsi="仿宋" w:eastAsia="仿宋" w:cs="宋体"/>
          <w:color w:val="auto"/>
          <w:sz w:val="24"/>
        </w:rPr>
        <w:t>　　本公司对上述声明的真实性负责。如有虚假，将依法承担相应责任。</w:t>
      </w:r>
    </w:p>
    <w:p>
      <w:pPr>
        <w:spacing w:line="360" w:lineRule="auto"/>
        <w:jc w:val="left"/>
        <w:rPr>
          <w:rFonts w:ascii="仿宋" w:hAnsi="仿宋" w:eastAsia="仿宋" w:cs="宋体"/>
          <w:b/>
          <w:bCs/>
          <w:color w:val="auto"/>
          <w:sz w:val="24"/>
        </w:rPr>
      </w:pPr>
      <w:r>
        <w:rPr>
          <w:rFonts w:hint="eastAsia" w:ascii="仿宋" w:hAnsi="仿宋" w:eastAsia="仿宋" w:cs="宋体"/>
          <w:b/>
          <w:bCs/>
          <w:color w:val="auto"/>
          <w:sz w:val="24"/>
        </w:rPr>
        <w:t>企业名称（盖章）：</w:t>
      </w:r>
    </w:p>
    <w:p>
      <w:pPr>
        <w:spacing w:line="360" w:lineRule="auto"/>
        <w:jc w:val="left"/>
        <w:rPr>
          <w:rFonts w:ascii="仿宋" w:hAnsi="仿宋" w:eastAsia="仿宋" w:cs="宋体"/>
          <w:b/>
          <w:bCs/>
          <w:color w:val="auto"/>
          <w:sz w:val="24"/>
        </w:rPr>
      </w:pPr>
      <w:r>
        <w:rPr>
          <w:rFonts w:hint="eastAsia" w:ascii="仿宋" w:hAnsi="仿宋" w:eastAsia="仿宋" w:cs="宋体"/>
          <w:b/>
          <w:bCs/>
          <w:color w:val="auto"/>
          <w:sz w:val="24"/>
        </w:rPr>
        <w:t>日   期：</w:t>
      </w:r>
      <w:bookmarkStart w:id="99" w:name="_Toc387658050"/>
      <w:bookmarkStart w:id="100" w:name="_Toc417911732"/>
      <w:bookmarkStart w:id="101" w:name="_Toc419811733"/>
      <w:bookmarkStart w:id="102" w:name="_Toc413748654"/>
      <w:bookmarkStart w:id="103" w:name="_Toc387147344"/>
    </w:p>
    <w:p>
      <w:pPr>
        <w:spacing w:line="360" w:lineRule="auto"/>
        <w:rPr>
          <w:rFonts w:ascii="仿宋" w:hAnsi="仿宋" w:eastAsia="仿宋" w:cs="宋体"/>
          <w:color w:val="auto"/>
          <w:sz w:val="24"/>
        </w:rPr>
      </w:pPr>
      <w:r>
        <w:rPr>
          <w:rFonts w:hint="eastAsia" w:ascii="仿宋" w:hAnsi="仿宋" w:eastAsia="仿宋" w:cs="宋体"/>
          <w:color w:val="auto"/>
          <w:sz w:val="24"/>
        </w:rPr>
        <w:t>注：</w:t>
      </w:r>
    </w:p>
    <w:p>
      <w:pPr>
        <w:spacing w:line="360" w:lineRule="auto"/>
        <w:rPr>
          <w:rFonts w:ascii="仿宋" w:hAnsi="仿宋" w:eastAsia="仿宋" w:cs="宋体"/>
          <w:color w:val="auto"/>
          <w:sz w:val="24"/>
        </w:rPr>
      </w:pPr>
      <w:r>
        <w:rPr>
          <w:rFonts w:hint="eastAsia" w:ascii="仿宋" w:hAnsi="仿宋" w:eastAsia="仿宋" w:cs="宋体"/>
          <w:color w:val="auto"/>
          <w:sz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99"/>
      <w:bookmarkEnd w:id="100"/>
      <w:bookmarkEnd w:id="101"/>
      <w:bookmarkEnd w:id="102"/>
      <w:bookmarkEnd w:id="103"/>
    </w:p>
    <w:p>
      <w:pPr>
        <w:spacing w:line="360" w:lineRule="auto"/>
        <w:rPr>
          <w:rFonts w:ascii="仿宋" w:hAnsi="仿宋" w:eastAsia="仿宋" w:cs="宋体"/>
          <w:color w:val="auto"/>
          <w:sz w:val="24"/>
        </w:rPr>
      </w:pPr>
      <w:r>
        <w:rPr>
          <w:rFonts w:hint="eastAsia" w:ascii="仿宋" w:hAnsi="仿宋" w:eastAsia="仿宋" w:cs="宋体"/>
          <w:color w:val="auto"/>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pStyle w:val="4"/>
        <w:jc w:val="center"/>
        <w:rPr>
          <w:rFonts w:ascii="仿宋" w:hAnsi="仿宋" w:eastAsia="仿宋" w:cs="黑体"/>
          <w:color w:val="auto"/>
        </w:rPr>
      </w:pPr>
      <w:bookmarkStart w:id="104" w:name="_Toc1660556"/>
      <w:r>
        <w:rPr>
          <w:rFonts w:hint="eastAsia" w:ascii="仿宋" w:hAnsi="仿宋" w:eastAsia="仿宋" w:cs="黑体"/>
          <w:color w:val="auto"/>
        </w:rPr>
        <w:t>第六章、评审办法</w:t>
      </w:r>
      <w:bookmarkEnd w:id="104"/>
    </w:p>
    <w:p>
      <w:pPr>
        <w:numPr>
          <w:ilvl w:val="0"/>
          <w:numId w:val="8"/>
        </w:numPr>
        <w:tabs>
          <w:tab w:val="left" w:pos="720"/>
        </w:tabs>
        <w:spacing w:line="480" w:lineRule="atLeast"/>
        <w:ind w:right="-105" w:rightChars="-50"/>
        <w:jc w:val="left"/>
        <w:rPr>
          <w:rFonts w:ascii="仿宋" w:hAnsi="仿宋" w:eastAsia="仿宋"/>
          <w:b/>
          <w:color w:val="auto"/>
          <w:sz w:val="28"/>
          <w:szCs w:val="28"/>
        </w:rPr>
      </w:pPr>
      <w:r>
        <w:rPr>
          <w:rFonts w:hint="eastAsia" w:ascii="仿宋" w:hAnsi="仿宋" w:eastAsia="仿宋"/>
          <w:b/>
          <w:color w:val="auto"/>
          <w:sz w:val="28"/>
          <w:szCs w:val="28"/>
        </w:rPr>
        <w:t>评审原则</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1、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2、本次评审是以谈判文件，报价文件和谈判承诺文件和最终报价（即二次报价）为依据，按公正、科学、客观、平等竞争的要求，</w:t>
      </w:r>
      <w:r>
        <w:rPr>
          <w:rFonts w:hint="eastAsia" w:ascii="仿宋" w:hAnsi="仿宋" w:eastAsia="仿宋"/>
          <w:color w:val="auto"/>
          <w:sz w:val="24"/>
        </w:rPr>
        <w:t>谈判小组从质量和服务均能满足采购文件实质性响应要求的供应商中，按照最后报价由低到高的顺序提出3名（含）以上成交候选人。</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3、参加谈判工作的所有人员应遵守《中华人民共和国政府采购法》以及国家和地方政府采购的有关规定，严格保密，确保竞争性谈判工作公平、公正，任何单位和个人不得无理干预谈判小组的正常工作。</w:t>
      </w:r>
    </w:p>
    <w:p>
      <w:pPr>
        <w:numPr>
          <w:ilvl w:val="0"/>
          <w:numId w:val="8"/>
        </w:numPr>
        <w:tabs>
          <w:tab w:val="left" w:pos="720"/>
        </w:tabs>
        <w:spacing w:line="480" w:lineRule="atLeast"/>
        <w:ind w:right="-105" w:rightChars="-50"/>
        <w:jc w:val="left"/>
        <w:rPr>
          <w:rFonts w:ascii="仿宋" w:hAnsi="仿宋" w:eastAsia="仿宋" w:cs="宋体"/>
          <w:b/>
          <w:color w:val="auto"/>
          <w:sz w:val="24"/>
        </w:rPr>
      </w:pPr>
      <w:r>
        <w:rPr>
          <w:rFonts w:hint="eastAsia" w:ascii="仿宋" w:hAnsi="仿宋" w:eastAsia="仿宋"/>
          <w:b/>
          <w:color w:val="auto"/>
          <w:sz w:val="28"/>
          <w:szCs w:val="28"/>
        </w:rPr>
        <w:t>评审程序和评审方法</w:t>
      </w:r>
    </w:p>
    <w:p>
      <w:pPr>
        <w:tabs>
          <w:tab w:val="left" w:pos="720"/>
        </w:tabs>
        <w:spacing w:line="480" w:lineRule="atLeast"/>
        <w:ind w:left="418" w:leftChars="199" w:right="-105" w:rightChars="-50"/>
        <w:jc w:val="left"/>
        <w:rPr>
          <w:rFonts w:ascii="仿宋" w:hAnsi="仿宋" w:eastAsia="仿宋"/>
          <w:color w:val="auto"/>
          <w:sz w:val="24"/>
          <w:szCs w:val="24"/>
        </w:rPr>
      </w:pPr>
      <w:r>
        <w:rPr>
          <w:rFonts w:hint="eastAsia" w:ascii="仿宋" w:hAnsi="仿宋" w:eastAsia="仿宋"/>
          <w:color w:val="auto"/>
          <w:sz w:val="24"/>
          <w:szCs w:val="24"/>
        </w:rPr>
        <w:t>评审程序分初步评审和谈判。</w:t>
      </w:r>
    </w:p>
    <w:p>
      <w:pPr>
        <w:numPr>
          <w:ilvl w:val="0"/>
          <w:numId w:val="9"/>
        </w:numPr>
        <w:spacing w:line="480" w:lineRule="atLeast"/>
        <w:jc w:val="left"/>
        <w:rPr>
          <w:rFonts w:ascii="仿宋" w:hAnsi="仿宋" w:eastAsia="仿宋"/>
          <w:b/>
          <w:color w:val="auto"/>
          <w:sz w:val="28"/>
          <w:szCs w:val="28"/>
        </w:rPr>
      </w:pPr>
      <w:r>
        <w:rPr>
          <w:rFonts w:hint="eastAsia" w:ascii="仿宋" w:hAnsi="仿宋" w:eastAsia="仿宋"/>
          <w:b/>
          <w:color w:val="auto"/>
          <w:sz w:val="28"/>
          <w:szCs w:val="28"/>
        </w:rPr>
        <w:t>初步评审</w:t>
      </w:r>
    </w:p>
    <w:p>
      <w:pPr>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进入评审程序后，谈判小组先对报价人的报价文件进行初步评审。谈判小组将根据评审办法的规定和</w:t>
      </w:r>
      <w:r>
        <w:rPr>
          <w:rFonts w:hint="eastAsia" w:ascii="仿宋" w:hAnsi="仿宋" w:eastAsia="仿宋"/>
          <w:b/>
          <w:color w:val="auto"/>
          <w:sz w:val="24"/>
          <w:szCs w:val="24"/>
          <w:u w:val="single"/>
        </w:rPr>
        <w:t>初步审查表</w:t>
      </w:r>
      <w:r>
        <w:rPr>
          <w:rFonts w:hint="eastAsia" w:ascii="仿宋" w:hAnsi="仿宋" w:eastAsia="仿宋"/>
          <w:color w:val="auto"/>
          <w:sz w:val="24"/>
          <w:szCs w:val="24"/>
        </w:rPr>
        <w:t>的内容，对报价文件进行初步评审。</w:t>
      </w:r>
    </w:p>
    <w:p>
      <w:pPr>
        <w:tabs>
          <w:tab w:val="left" w:pos="720"/>
          <w:tab w:val="left" w:pos="3675"/>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出现下列情况的报价文件将被认定为不满足采购需求而不能通过初步审查：</w:t>
      </w:r>
    </w:p>
    <w:p>
      <w:pPr>
        <w:numPr>
          <w:ilvl w:val="0"/>
          <w:numId w:val="10"/>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报价人未提交报价保证金或金额不足、出具的证明不按谈判文件要求的；</w:t>
      </w:r>
    </w:p>
    <w:p>
      <w:pPr>
        <w:numPr>
          <w:ilvl w:val="0"/>
          <w:numId w:val="10"/>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 xml:space="preserve">资格证明文件不全的。 </w:t>
      </w:r>
    </w:p>
    <w:p>
      <w:pPr>
        <w:numPr>
          <w:ilvl w:val="0"/>
          <w:numId w:val="10"/>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报价文件无法人代表签字或签名章，或签字人无有效的法人代表授权书的；</w:t>
      </w:r>
    </w:p>
    <w:p>
      <w:pPr>
        <w:numPr>
          <w:ilvl w:val="0"/>
          <w:numId w:val="10"/>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报价文件有效期不足的；</w:t>
      </w:r>
    </w:p>
    <w:p>
      <w:pPr>
        <w:numPr>
          <w:ilvl w:val="0"/>
          <w:numId w:val="10"/>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非固定价格投标的；</w:t>
      </w:r>
    </w:p>
    <w:p>
      <w:pPr>
        <w:numPr>
          <w:ilvl w:val="0"/>
          <w:numId w:val="10"/>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不满足谈判文件规定的其它条件的。</w:t>
      </w:r>
    </w:p>
    <w:p>
      <w:pPr>
        <w:spacing w:line="480" w:lineRule="atLeast"/>
        <w:ind w:left="178" w:leftChars="85" w:firstLine="480" w:firstLineChars="200"/>
        <w:jc w:val="left"/>
        <w:rPr>
          <w:rFonts w:ascii="仿宋" w:hAnsi="仿宋" w:eastAsia="仿宋"/>
          <w:color w:val="auto"/>
          <w:sz w:val="24"/>
          <w:szCs w:val="24"/>
        </w:rPr>
      </w:pPr>
      <w:r>
        <w:rPr>
          <w:rFonts w:hint="eastAsia" w:ascii="仿宋" w:hAnsi="仿宋" w:eastAsia="仿宋"/>
          <w:color w:val="auto"/>
          <w:sz w:val="24"/>
          <w:szCs w:val="24"/>
        </w:rPr>
        <w:t>初步评审采用“一项否决”的原则，只有全部符合要求的才能通过初步评审。</w:t>
      </w:r>
    </w:p>
    <w:p>
      <w:pPr>
        <w:numPr>
          <w:ilvl w:val="0"/>
          <w:numId w:val="9"/>
        </w:numPr>
        <w:spacing w:line="480" w:lineRule="atLeast"/>
        <w:jc w:val="left"/>
        <w:rPr>
          <w:rFonts w:ascii="仿宋" w:hAnsi="仿宋" w:eastAsia="仿宋"/>
          <w:b/>
          <w:color w:val="auto"/>
          <w:sz w:val="24"/>
          <w:szCs w:val="24"/>
        </w:rPr>
      </w:pPr>
      <w:r>
        <w:rPr>
          <w:rFonts w:hint="eastAsia" w:ascii="仿宋" w:hAnsi="仿宋" w:eastAsia="仿宋"/>
          <w:b/>
          <w:color w:val="auto"/>
          <w:sz w:val="24"/>
          <w:szCs w:val="24"/>
        </w:rPr>
        <w:t>谈判（二次报价）</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按照评审程序的规定，谈判小组阅读通过初步评审的报价人的报价文件，据此与报价人进行技术、商务、服务和价格内容的澄清、修正和谈判，谈判中发现报价人的报价文件资料不清晰或造成理解有歧义时,谈判小组准许其在规定时间内做出解释说明，如不及时做出合理的说明，该报价则将会由于不符合谈判的基本要求而被拒绝。</w:t>
      </w:r>
    </w:p>
    <w:p>
      <w:pPr>
        <w:spacing w:line="360" w:lineRule="auto"/>
        <w:jc w:val="left"/>
        <w:rPr>
          <w:rFonts w:ascii="仿宋" w:hAnsi="仿宋" w:eastAsia="仿宋"/>
          <w:b/>
          <w:color w:val="auto"/>
          <w:sz w:val="24"/>
          <w:szCs w:val="24"/>
        </w:rPr>
      </w:pPr>
      <w:r>
        <w:rPr>
          <w:rFonts w:hint="eastAsia" w:ascii="仿宋" w:hAnsi="仿宋" w:eastAsia="仿宋"/>
          <w:b/>
          <w:color w:val="auto"/>
          <w:sz w:val="24"/>
          <w:szCs w:val="24"/>
        </w:rPr>
        <w:t>3、推荐成交候选人</w:t>
      </w:r>
    </w:p>
    <w:p>
      <w:pPr>
        <w:spacing w:line="360" w:lineRule="auto"/>
        <w:ind w:firstLine="480" w:firstLineChars="200"/>
        <w:jc w:val="left"/>
        <w:rPr>
          <w:rFonts w:ascii="仿宋" w:hAnsi="仿宋" w:eastAsia="仿宋"/>
          <w:b/>
          <w:color w:val="auto"/>
          <w:sz w:val="24"/>
          <w:szCs w:val="24"/>
        </w:rPr>
      </w:pPr>
      <w:r>
        <w:rPr>
          <w:rFonts w:hint="eastAsia" w:ascii="仿宋" w:hAnsi="仿宋" w:eastAsia="仿宋"/>
          <w:color w:val="auto"/>
          <w:sz w:val="24"/>
          <w:szCs w:val="24"/>
        </w:rPr>
        <w:t>（1）有效报价是指通过文件初审的报价人最终报价经价格核对后的评审价格，且不超过采购人的预算。</w:t>
      </w:r>
    </w:p>
    <w:p>
      <w:pPr>
        <w:tabs>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（2）如果有效报价达到3家或以上，</w:t>
      </w:r>
      <w:r>
        <w:rPr>
          <w:rFonts w:hint="eastAsia" w:ascii="仿宋" w:hAnsi="仿宋" w:eastAsia="仿宋"/>
          <w:color w:val="auto"/>
          <w:sz w:val="24"/>
        </w:rPr>
        <w:t>谈判小组从质量和服务均能满足采购文件实质性响应要求的供应商中，按照最后报价由低到高的顺序提出3名（含）以上成交候选人。</w:t>
      </w:r>
    </w:p>
    <w:p>
      <w:pPr>
        <w:numPr>
          <w:ilvl w:val="0"/>
          <w:numId w:val="8"/>
        </w:numPr>
        <w:spacing w:line="500" w:lineRule="exact"/>
        <w:rPr>
          <w:rFonts w:ascii="仿宋" w:hAnsi="仿宋" w:eastAsia="仿宋"/>
          <w:b/>
          <w:color w:val="auto"/>
          <w:sz w:val="24"/>
          <w:szCs w:val="24"/>
        </w:rPr>
      </w:pPr>
      <w:r>
        <w:rPr>
          <w:rFonts w:hint="eastAsia" w:ascii="仿宋" w:hAnsi="仿宋" w:eastAsia="仿宋"/>
          <w:b/>
          <w:color w:val="auto"/>
          <w:sz w:val="24"/>
          <w:szCs w:val="24"/>
        </w:rPr>
        <w:t>报价的核对</w:t>
      </w:r>
    </w:p>
    <w:p>
      <w:pPr>
        <w:tabs>
          <w:tab w:val="left" w:pos="72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1、谈判小组详细分析、核对价格表，看其是否有计算上或累加上的算术错误，修正错误的原则如下：</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1.1若用数字表示的金额和用文字表示的金额不一致，以文字表示的金额为准；</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1.2当单价与数量的乘积与总价不一致时，以单价为准，并修正总价；（小数点明显标示错误的除外）</w:t>
      </w:r>
    </w:p>
    <w:p>
      <w:pPr>
        <w:tabs>
          <w:tab w:val="left" w:pos="72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2、谈判小组将按上述修正错误的方法调整报价文件中的报价，调整后的价格对报价人具有约束力。如果报价人不接受修正后的价格，则其报价将被拒绝。</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3、投标报价：对中小微企业执行财库【 2011】 181号文件的规定、对监狱企业执行财库【 2014】 68号文件的规定、对残疾人福利性单位执行财库【 2017】 141号文件的规定，对其投标报价按 6%扣除后的价格作为其评标价；不符合财库【 2011】 181号文件的规定企业的产品价格不予扣除。</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4、节能产品：根据国务院办公厅关于建立政府强制采购节能产品制度的通知在同等条件下优先采购节能产品。</w:t>
      </w:r>
    </w:p>
    <w:p>
      <w:pPr>
        <w:numPr>
          <w:ilvl w:val="0"/>
          <w:numId w:val="8"/>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谈判、评审过程的保密性。</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1、接受报价后，直至成交报价人与买方签订合同后止，凡与谈判、审查、澄清、评价、比较、确定成交人意见有关的内容，任何人均不得向报价人及与谈判评审无关的其他人透露。</w:t>
      </w:r>
    </w:p>
    <w:p>
      <w:pPr>
        <w:tabs>
          <w:tab w:val="left" w:pos="72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pPr>
        <w:numPr>
          <w:ilvl w:val="0"/>
          <w:numId w:val="8"/>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接受和拒绝任何或所有报价的权利。</w:t>
      </w:r>
    </w:p>
    <w:p>
      <w:pPr>
        <w:tabs>
          <w:tab w:val="left" w:pos="180"/>
          <w:tab w:val="left" w:pos="360"/>
        </w:tabs>
        <w:spacing w:line="360" w:lineRule="auto"/>
        <w:ind w:right="31" w:rightChars="15" w:firstLine="480" w:firstLineChars="200"/>
        <w:jc w:val="left"/>
        <w:rPr>
          <w:rFonts w:ascii="仿宋" w:hAnsi="仿宋" w:eastAsia="仿宋"/>
          <w:color w:val="auto"/>
          <w:sz w:val="24"/>
          <w:szCs w:val="24"/>
        </w:rPr>
      </w:pPr>
      <w:r>
        <w:rPr>
          <w:rFonts w:hint="eastAsia" w:ascii="仿宋" w:hAnsi="仿宋" w:eastAsia="仿宋"/>
          <w:color w:val="auto"/>
          <w:sz w:val="24"/>
          <w:szCs w:val="24"/>
        </w:rPr>
        <w:t>招标人和采购人保留在成交之前任何时候接受或拒绝任何报价，以及宣布竞争性谈判无效或拒绝所有报价的权力，对受影响的报价人不承担任何责任。</w:t>
      </w:r>
    </w:p>
    <w:p>
      <w:pPr>
        <w:numPr>
          <w:ilvl w:val="0"/>
          <w:numId w:val="8"/>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变更技术方案的权利。</w:t>
      </w:r>
    </w:p>
    <w:p>
      <w:pPr>
        <w:tabs>
          <w:tab w:val="left" w:pos="180"/>
          <w:tab w:val="left" w:pos="360"/>
        </w:tabs>
        <w:spacing w:line="360" w:lineRule="auto"/>
        <w:ind w:right="31" w:rightChars="15" w:firstLine="480" w:firstLineChars="200"/>
        <w:jc w:val="left"/>
        <w:rPr>
          <w:rFonts w:ascii="仿宋" w:hAnsi="仿宋" w:eastAsia="仿宋"/>
          <w:color w:val="auto"/>
          <w:sz w:val="24"/>
          <w:szCs w:val="24"/>
        </w:rPr>
      </w:pPr>
      <w:r>
        <w:rPr>
          <w:rFonts w:hint="eastAsia" w:ascii="仿宋" w:hAnsi="仿宋" w:eastAsia="仿宋"/>
          <w:color w:val="auto"/>
          <w:sz w:val="24"/>
          <w:szCs w:val="24"/>
        </w:rPr>
        <w:t>在竞争性谈判过程中，采购人有权变更技术方案或采购数量，如果报价人根据采购人提出的变更要求调整方案或价格后未能获得合同，采购人和招标人不承担任何责任。</w:t>
      </w:r>
    </w:p>
    <w:p>
      <w:pPr>
        <w:spacing w:line="360" w:lineRule="auto"/>
        <w:jc w:val="center"/>
        <w:outlineLvl w:val="1"/>
        <w:rPr>
          <w:rFonts w:ascii="仿宋" w:hAnsi="仿宋" w:eastAsia="仿宋"/>
          <w:b/>
          <w:color w:val="auto"/>
          <w:sz w:val="44"/>
          <w:szCs w:val="44"/>
        </w:rPr>
      </w:pPr>
      <w:bookmarkStart w:id="105" w:name="_Toc301182590"/>
      <w:bookmarkStart w:id="106" w:name="_Toc481157517"/>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pStyle w:val="4"/>
        <w:jc w:val="center"/>
        <w:rPr>
          <w:rFonts w:ascii="仿宋" w:hAnsi="仿宋" w:eastAsia="仿宋" w:cs="黑体"/>
          <w:color w:val="auto"/>
        </w:rPr>
      </w:pPr>
      <w:bookmarkStart w:id="107" w:name="_Toc1660557"/>
      <w:r>
        <w:rPr>
          <w:rFonts w:hint="eastAsia" w:ascii="仿宋" w:hAnsi="仿宋" w:eastAsia="仿宋" w:cs="黑体"/>
          <w:color w:val="auto"/>
        </w:rPr>
        <w:t>附表1、初步审查表</w:t>
      </w:r>
      <w:bookmarkEnd w:id="105"/>
      <w:bookmarkEnd w:id="106"/>
      <w:bookmarkEnd w:id="107"/>
    </w:p>
    <w:p>
      <w:pPr>
        <w:spacing w:line="300" w:lineRule="auto"/>
        <w:jc w:val="left"/>
        <w:rPr>
          <w:rFonts w:ascii="仿宋" w:hAnsi="仿宋" w:eastAsia="仿宋"/>
          <w:color w:val="auto"/>
          <w:sz w:val="24"/>
        </w:rPr>
      </w:pPr>
      <w:r>
        <w:rPr>
          <w:rFonts w:hint="eastAsia" w:ascii="仿宋" w:hAnsi="仿宋" w:eastAsia="仿宋"/>
          <w:color w:val="auto"/>
          <w:sz w:val="24"/>
        </w:rPr>
        <w:t>项目名称：社会主义核心价值观公益宣传</w:t>
      </w:r>
    </w:p>
    <w:p>
      <w:pPr>
        <w:spacing w:line="300" w:lineRule="auto"/>
        <w:rPr>
          <w:rFonts w:ascii="仿宋" w:hAnsi="仿宋" w:eastAsia="仿宋"/>
          <w:color w:val="auto"/>
          <w:sz w:val="24"/>
        </w:rPr>
      </w:pPr>
      <w:r>
        <w:rPr>
          <w:rFonts w:hint="eastAsia" w:ascii="仿宋" w:hAnsi="仿宋" w:eastAsia="仿宋"/>
          <w:color w:val="auto"/>
          <w:sz w:val="24"/>
        </w:rPr>
        <w:t>项目编号：</w:t>
      </w:r>
      <w:r>
        <w:rPr>
          <w:rFonts w:hint="eastAsia" w:ascii="仿宋" w:hAnsi="仿宋" w:eastAsia="仿宋" w:cs="宋体"/>
          <w:color w:val="auto"/>
          <w:kern w:val="0"/>
          <w:sz w:val="24"/>
        </w:rPr>
        <w:t>HNZH-2020-300</w:t>
      </w:r>
      <w:r>
        <w:rPr>
          <w:rFonts w:hint="eastAsia" w:ascii="仿宋" w:hAnsi="仿宋" w:eastAsia="仿宋"/>
          <w:color w:val="auto"/>
          <w:sz w:val="24"/>
        </w:rPr>
        <w:t xml:space="preserve">                          日期：2020年  月  日</w:t>
      </w:r>
    </w:p>
    <w:tbl>
      <w:tblPr>
        <w:tblStyle w:val="2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8"/>
        <w:gridCol w:w="5016"/>
        <w:gridCol w:w="63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48"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序号</w:t>
            </w:r>
          </w:p>
        </w:tc>
        <w:tc>
          <w:tcPr>
            <w:tcW w:w="1418"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审查项目</w:t>
            </w:r>
          </w:p>
        </w:tc>
        <w:tc>
          <w:tcPr>
            <w:tcW w:w="5016"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评议内容（无效投标认定条件）</w:t>
            </w:r>
          </w:p>
        </w:tc>
        <w:tc>
          <w:tcPr>
            <w:tcW w:w="1912" w:type="dxa"/>
            <w:gridSpan w:val="3"/>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Merge w:val="continue"/>
            <w:vAlign w:val="center"/>
          </w:tcPr>
          <w:p>
            <w:pPr>
              <w:spacing w:line="300" w:lineRule="auto"/>
              <w:jc w:val="center"/>
              <w:rPr>
                <w:rFonts w:ascii="仿宋" w:hAnsi="仿宋" w:eastAsia="仿宋"/>
                <w:color w:val="auto"/>
                <w:sz w:val="24"/>
              </w:rPr>
            </w:pPr>
          </w:p>
        </w:tc>
        <w:tc>
          <w:tcPr>
            <w:tcW w:w="1418" w:type="dxa"/>
            <w:vMerge w:val="continue"/>
            <w:vAlign w:val="center"/>
          </w:tcPr>
          <w:p>
            <w:pPr>
              <w:spacing w:line="300" w:lineRule="auto"/>
              <w:jc w:val="center"/>
              <w:rPr>
                <w:rFonts w:ascii="仿宋" w:hAnsi="仿宋" w:eastAsia="仿宋"/>
                <w:color w:val="auto"/>
                <w:sz w:val="24"/>
              </w:rPr>
            </w:pPr>
          </w:p>
        </w:tc>
        <w:tc>
          <w:tcPr>
            <w:tcW w:w="5016" w:type="dxa"/>
            <w:vMerge w:val="continue"/>
            <w:vAlign w:val="center"/>
          </w:tcPr>
          <w:p>
            <w:pPr>
              <w:spacing w:line="300" w:lineRule="auto"/>
              <w:jc w:val="center"/>
              <w:rPr>
                <w:rFonts w:ascii="仿宋" w:hAnsi="仿宋" w:eastAsia="仿宋"/>
                <w:color w:val="auto"/>
                <w:sz w:val="24"/>
              </w:rPr>
            </w:pPr>
          </w:p>
        </w:tc>
        <w:tc>
          <w:tcPr>
            <w:tcW w:w="636"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1#</w:t>
            </w:r>
          </w:p>
        </w:tc>
        <w:tc>
          <w:tcPr>
            <w:tcW w:w="63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2#</w:t>
            </w:r>
          </w:p>
        </w:tc>
        <w:tc>
          <w:tcPr>
            <w:tcW w:w="63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1</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投标人的资格</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符合第一章报价人资格要求</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2</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实质性响应</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是否完全满足第三章用户需求书中的所有内容</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3</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投标文件的有效性</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是否符合谈判文件的式样和签署要求且内容完整无缺漏</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4</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保证金</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是否按要求提交保证金证明的</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5</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投标有效期</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从投标截止日期起计算的60 天</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6</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交货期</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是否满足采购要求</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7</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投标报价</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报价有效、不漏项、不超出采购预算</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8</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其它</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是否有其它无效投标认定条件</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82" w:type="dxa"/>
            <w:gridSpan w:val="3"/>
            <w:vAlign w:val="center"/>
          </w:tcPr>
          <w:p>
            <w:pPr>
              <w:spacing w:line="300" w:lineRule="auto"/>
              <w:jc w:val="center"/>
              <w:rPr>
                <w:rFonts w:ascii="仿宋" w:hAnsi="仿宋" w:eastAsia="仿宋"/>
                <w:color w:val="auto"/>
                <w:sz w:val="24"/>
              </w:rPr>
            </w:pPr>
            <w:r>
              <w:rPr>
                <w:rFonts w:hint="eastAsia" w:ascii="仿宋" w:hAnsi="仿宋" w:eastAsia="仿宋"/>
                <w:color w:val="auto"/>
                <w:sz w:val="24"/>
              </w:rPr>
              <w:t>结论（合格/不合格）</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bl>
    <w:p>
      <w:pPr>
        <w:spacing w:line="300" w:lineRule="auto"/>
        <w:rPr>
          <w:rFonts w:ascii="仿宋" w:hAnsi="仿宋" w:eastAsia="仿宋"/>
          <w:color w:val="auto"/>
          <w:szCs w:val="21"/>
        </w:rPr>
      </w:pPr>
      <w:r>
        <w:rPr>
          <w:rFonts w:hint="eastAsia" w:ascii="仿宋" w:hAnsi="仿宋" w:eastAsia="仿宋"/>
          <w:color w:val="auto"/>
          <w:szCs w:val="21"/>
        </w:rPr>
        <w:t>1、在表中的各项只需填写“√/通过”或“×/不通过”。</w:t>
      </w:r>
    </w:p>
    <w:p>
      <w:pPr>
        <w:spacing w:line="300" w:lineRule="auto"/>
        <w:rPr>
          <w:rFonts w:ascii="仿宋" w:hAnsi="仿宋" w:eastAsia="仿宋"/>
          <w:color w:val="auto"/>
          <w:szCs w:val="21"/>
        </w:rPr>
      </w:pPr>
      <w:r>
        <w:rPr>
          <w:rFonts w:hint="eastAsia" w:ascii="仿宋" w:hAnsi="仿宋" w:eastAsia="仿宋"/>
          <w:color w:val="auto"/>
          <w:szCs w:val="21"/>
        </w:rPr>
        <w:t>2、在结论中按“一项否决”的原则，只有全部是√/通过的，填写“合格”；只要其中有一项是×/不通过的，填写“不合格”。</w:t>
      </w:r>
    </w:p>
    <w:p>
      <w:pPr>
        <w:spacing w:line="300" w:lineRule="auto"/>
        <w:rPr>
          <w:rFonts w:ascii="仿宋" w:hAnsi="仿宋" w:eastAsia="仿宋"/>
          <w:color w:val="auto"/>
          <w:szCs w:val="21"/>
        </w:rPr>
      </w:pPr>
      <w:r>
        <w:rPr>
          <w:rFonts w:hint="eastAsia" w:ascii="仿宋" w:hAnsi="仿宋" w:eastAsia="仿宋"/>
          <w:color w:val="auto"/>
          <w:szCs w:val="21"/>
        </w:rPr>
        <w:t>3、结论是合格的，才能进入下一轮；不合格的被淘汰</w:t>
      </w:r>
    </w:p>
    <w:p>
      <w:pPr>
        <w:spacing w:line="300" w:lineRule="auto"/>
        <w:rPr>
          <w:rFonts w:ascii="仿宋" w:hAnsi="仿宋" w:eastAsia="仿宋"/>
          <w:color w:val="auto"/>
          <w:szCs w:val="21"/>
        </w:rPr>
      </w:pPr>
    </w:p>
    <w:p>
      <w:pPr>
        <w:spacing w:line="300" w:lineRule="auto"/>
        <w:rPr>
          <w:rFonts w:ascii="仿宋" w:hAnsi="仿宋" w:eastAsia="仿宋"/>
          <w:color w:val="auto"/>
          <w:szCs w:val="21"/>
        </w:rPr>
      </w:pPr>
    </w:p>
    <w:p>
      <w:pPr>
        <w:spacing w:line="300" w:lineRule="auto"/>
        <w:rPr>
          <w:rFonts w:ascii="仿宋" w:hAnsi="仿宋" w:eastAsia="仿宋"/>
          <w:color w:val="auto"/>
          <w:szCs w:val="21"/>
        </w:rPr>
      </w:pPr>
    </w:p>
    <w:p>
      <w:pPr>
        <w:spacing w:line="480" w:lineRule="exact"/>
        <w:jc w:val="right"/>
        <w:rPr>
          <w:rFonts w:ascii="仿宋" w:hAnsi="仿宋" w:eastAsia="仿宋"/>
          <w:color w:val="auto"/>
          <w:sz w:val="44"/>
          <w:szCs w:val="44"/>
        </w:rPr>
      </w:pPr>
      <w:r>
        <w:rPr>
          <w:rFonts w:hint="eastAsia" w:ascii="仿宋" w:hAnsi="仿宋" w:eastAsia="仿宋"/>
          <w:b/>
          <w:color w:val="auto"/>
        </w:rPr>
        <w:t xml:space="preserve">   [末页]</w:t>
      </w:r>
    </w:p>
    <w:p>
      <w:pPr>
        <w:rPr>
          <w:rFonts w:ascii="仿宋" w:hAnsi="仿宋" w:eastAsia="仿宋"/>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chineseCountingThousand"/>
      <w:lvlText w:val="%1、"/>
      <w:lvlJc w:val="left"/>
      <w:pPr>
        <w:tabs>
          <w:tab w:val="left" w:pos="420"/>
        </w:tabs>
        <w:ind w:left="420" w:hanging="420"/>
      </w:pPr>
      <w:rPr>
        <w:rFonts w:cs="Times New Roman"/>
        <w:b/>
        <w:sz w:val="28"/>
        <w:szCs w:val="2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10"/>
    <w:multiLevelType w:val="multilevel"/>
    <w:tmpl w:val="00000010"/>
    <w:lvl w:ilvl="0" w:tentative="0">
      <w:start w:val="1"/>
      <w:numFmt w:val="decimal"/>
      <w:lvlText w:val="（%1）"/>
      <w:lvlJc w:val="left"/>
      <w:pPr>
        <w:tabs>
          <w:tab w:val="left" w:pos="598"/>
        </w:tabs>
        <w:ind w:left="598" w:hanging="420"/>
      </w:pPr>
      <w:rPr>
        <w:rFonts w:hint="eastAsia" w:cs="Times New Roman"/>
        <w:b w:val="0"/>
        <w:sz w:val="24"/>
        <w:szCs w:val="24"/>
      </w:rPr>
    </w:lvl>
    <w:lvl w:ilvl="1" w:tentative="0">
      <w:start w:val="1"/>
      <w:numFmt w:val="lowerLetter"/>
      <w:lvlText w:val="%2)"/>
      <w:lvlJc w:val="left"/>
      <w:pPr>
        <w:tabs>
          <w:tab w:val="left" w:pos="598"/>
        </w:tabs>
        <w:ind w:left="598" w:hanging="420"/>
      </w:pPr>
      <w:rPr>
        <w:rFonts w:cs="Times New Roman"/>
      </w:rPr>
    </w:lvl>
    <w:lvl w:ilvl="2" w:tentative="0">
      <w:start w:val="1"/>
      <w:numFmt w:val="lowerRoman"/>
      <w:lvlText w:val="%3."/>
      <w:lvlJc w:val="right"/>
      <w:pPr>
        <w:tabs>
          <w:tab w:val="left" w:pos="1018"/>
        </w:tabs>
        <w:ind w:left="1018" w:hanging="420"/>
      </w:pPr>
      <w:rPr>
        <w:rFonts w:cs="Times New Roman"/>
      </w:rPr>
    </w:lvl>
    <w:lvl w:ilvl="3" w:tentative="0">
      <w:start w:val="1"/>
      <w:numFmt w:val="decimal"/>
      <w:lvlText w:val="%4."/>
      <w:lvlJc w:val="left"/>
      <w:pPr>
        <w:tabs>
          <w:tab w:val="left" w:pos="1438"/>
        </w:tabs>
        <w:ind w:left="1438" w:hanging="420"/>
      </w:pPr>
      <w:rPr>
        <w:rFonts w:cs="Times New Roman"/>
      </w:rPr>
    </w:lvl>
    <w:lvl w:ilvl="4" w:tentative="0">
      <w:start w:val="1"/>
      <w:numFmt w:val="lowerLetter"/>
      <w:lvlText w:val="%5)"/>
      <w:lvlJc w:val="left"/>
      <w:pPr>
        <w:tabs>
          <w:tab w:val="left" w:pos="1858"/>
        </w:tabs>
        <w:ind w:left="1858" w:hanging="420"/>
      </w:pPr>
      <w:rPr>
        <w:rFonts w:cs="Times New Roman"/>
      </w:rPr>
    </w:lvl>
    <w:lvl w:ilvl="5" w:tentative="0">
      <w:start w:val="1"/>
      <w:numFmt w:val="lowerRoman"/>
      <w:lvlText w:val="%6."/>
      <w:lvlJc w:val="right"/>
      <w:pPr>
        <w:tabs>
          <w:tab w:val="left" w:pos="2278"/>
        </w:tabs>
        <w:ind w:left="2278" w:hanging="420"/>
      </w:pPr>
      <w:rPr>
        <w:rFonts w:cs="Times New Roman"/>
      </w:rPr>
    </w:lvl>
    <w:lvl w:ilvl="6" w:tentative="0">
      <w:start w:val="1"/>
      <w:numFmt w:val="decimal"/>
      <w:lvlText w:val="%7."/>
      <w:lvlJc w:val="left"/>
      <w:pPr>
        <w:tabs>
          <w:tab w:val="left" w:pos="2698"/>
        </w:tabs>
        <w:ind w:left="2698" w:hanging="420"/>
      </w:pPr>
      <w:rPr>
        <w:rFonts w:cs="Times New Roman"/>
      </w:rPr>
    </w:lvl>
    <w:lvl w:ilvl="7" w:tentative="0">
      <w:start w:val="1"/>
      <w:numFmt w:val="lowerLetter"/>
      <w:lvlText w:val="%8)"/>
      <w:lvlJc w:val="left"/>
      <w:pPr>
        <w:tabs>
          <w:tab w:val="left" w:pos="3118"/>
        </w:tabs>
        <w:ind w:left="3118" w:hanging="420"/>
      </w:pPr>
      <w:rPr>
        <w:rFonts w:cs="Times New Roman"/>
      </w:rPr>
    </w:lvl>
    <w:lvl w:ilvl="8" w:tentative="0">
      <w:start w:val="1"/>
      <w:numFmt w:val="lowerRoman"/>
      <w:lvlText w:val="%9."/>
      <w:lvlJc w:val="right"/>
      <w:pPr>
        <w:tabs>
          <w:tab w:val="left" w:pos="3538"/>
        </w:tabs>
        <w:ind w:left="3538" w:hanging="420"/>
      </w:pPr>
      <w:rPr>
        <w:rFonts w:cs="Times New Roman"/>
      </w:rPr>
    </w:lvl>
  </w:abstractNum>
  <w:abstractNum w:abstractNumId="2">
    <w:nsid w:val="0591499C"/>
    <w:multiLevelType w:val="multilevel"/>
    <w:tmpl w:val="0591499C"/>
    <w:lvl w:ilvl="0" w:tentative="0">
      <w:start w:val="1"/>
      <w:numFmt w:val="decimal"/>
      <w:lvlText w:val="%1、"/>
      <w:lvlJc w:val="left"/>
      <w:pPr>
        <w:tabs>
          <w:tab w:val="left" w:pos="420"/>
        </w:tabs>
        <w:ind w:left="420" w:hanging="420"/>
      </w:pPr>
      <w:rPr>
        <w:rFonts w:hint="eastAsia" w:cs="Times New Roman"/>
        <w:b/>
        <w:sz w:val="24"/>
        <w:szCs w:val="24"/>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3">
    <w:nsid w:val="55FED364"/>
    <w:multiLevelType w:val="singleLevel"/>
    <w:tmpl w:val="55FED364"/>
    <w:lvl w:ilvl="0" w:tentative="0">
      <w:start w:val="1"/>
      <w:numFmt w:val="decimal"/>
      <w:suff w:val="nothing"/>
      <w:lvlText w:val="%1、"/>
      <w:lvlJc w:val="left"/>
      <w:rPr>
        <w:rFonts w:cs="Times New Roman"/>
      </w:rPr>
    </w:lvl>
  </w:abstractNum>
  <w:abstractNum w:abstractNumId="4">
    <w:nsid w:val="56190ECE"/>
    <w:multiLevelType w:val="singleLevel"/>
    <w:tmpl w:val="56190ECE"/>
    <w:lvl w:ilvl="0" w:tentative="0">
      <w:start w:val="1"/>
      <w:numFmt w:val="chineseCounting"/>
      <w:suff w:val="nothing"/>
      <w:lvlText w:val="%1、"/>
      <w:lvlJc w:val="left"/>
      <w:rPr>
        <w:rFonts w:cs="Times New Roman"/>
      </w:rPr>
    </w:lvl>
  </w:abstractNum>
  <w:abstractNum w:abstractNumId="5">
    <w:nsid w:val="562A39F4"/>
    <w:multiLevelType w:val="singleLevel"/>
    <w:tmpl w:val="562A39F4"/>
    <w:lvl w:ilvl="0" w:tentative="0">
      <w:start w:val="2"/>
      <w:numFmt w:val="decimal"/>
      <w:suff w:val="nothing"/>
      <w:lvlText w:val="%1、"/>
      <w:lvlJc w:val="left"/>
      <w:rPr>
        <w:rFonts w:cs="Times New Roman"/>
      </w:rPr>
    </w:lvl>
  </w:abstractNum>
  <w:abstractNum w:abstractNumId="6">
    <w:nsid w:val="5A1BDBA1"/>
    <w:multiLevelType w:val="singleLevel"/>
    <w:tmpl w:val="5A1BDBA1"/>
    <w:lvl w:ilvl="0" w:tentative="0">
      <w:start w:val="3"/>
      <w:numFmt w:val="chineseCounting"/>
      <w:suff w:val="nothing"/>
      <w:lvlText w:val="%1、"/>
      <w:lvlJc w:val="left"/>
      <w:rPr>
        <w:rFonts w:cs="Times New Roman"/>
      </w:rPr>
    </w:lvl>
  </w:abstractNum>
  <w:abstractNum w:abstractNumId="7">
    <w:nsid w:val="5A1CFB6B"/>
    <w:multiLevelType w:val="singleLevel"/>
    <w:tmpl w:val="5A1CFB6B"/>
    <w:lvl w:ilvl="0" w:tentative="0">
      <w:start w:val="7"/>
      <w:numFmt w:val="chineseCounting"/>
      <w:suff w:val="nothing"/>
      <w:lvlText w:val="%1、"/>
      <w:lvlJc w:val="left"/>
      <w:rPr>
        <w:rFonts w:cs="Times New Roman"/>
      </w:rPr>
    </w:lvl>
  </w:abstractNum>
  <w:abstractNum w:abstractNumId="8">
    <w:nsid w:val="60919166"/>
    <w:multiLevelType w:val="singleLevel"/>
    <w:tmpl w:val="60919166"/>
    <w:lvl w:ilvl="0" w:tentative="0">
      <w:start w:val="1"/>
      <w:numFmt w:val="decimal"/>
      <w:suff w:val="nothing"/>
      <w:lvlText w:val="（%1）"/>
      <w:lvlJc w:val="left"/>
      <w:rPr>
        <w:rFonts w:cs="Times New Roman"/>
      </w:rPr>
    </w:lvl>
  </w:abstractNum>
  <w:abstractNum w:abstractNumId="9">
    <w:nsid w:val="6AAA39C2"/>
    <w:multiLevelType w:val="multilevel"/>
    <w:tmpl w:val="6AAA39C2"/>
    <w:lvl w:ilvl="0" w:tentative="0">
      <w:start w:val="1"/>
      <w:numFmt w:val="decimal"/>
      <w:pStyle w:val="109"/>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9"/>
  </w:num>
  <w:num w:numId="2">
    <w:abstractNumId w:val="6"/>
  </w:num>
  <w:num w:numId="3">
    <w:abstractNumId w:val="8"/>
  </w:num>
  <w:num w:numId="4">
    <w:abstractNumId w:val="7"/>
  </w:num>
  <w:num w:numId="5">
    <w:abstractNumId w:val="4"/>
  </w:num>
  <w:num w:numId="6">
    <w:abstractNumId w:val="3"/>
  </w:num>
  <w:num w:numId="7">
    <w:abstractNumId w:val="5"/>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213A"/>
    <w:rsid w:val="001B213A"/>
    <w:rsid w:val="004E0BD0"/>
    <w:rsid w:val="006914C2"/>
    <w:rsid w:val="00DF7F41"/>
    <w:rsid w:val="20D97C3B"/>
    <w:rsid w:val="480C0F63"/>
    <w:rsid w:val="497C1B5F"/>
    <w:rsid w:val="4CE513F7"/>
    <w:rsid w:val="4D053F2A"/>
    <w:rsid w:val="50D50A59"/>
    <w:rsid w:val="5AF332E0"/>
    <w:rsid w:val="670B6A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qFormat="1" w:uiPriority="99" w:semiHidden="0" w:name="HTML Preformatted" w:locked="1"/>
    <w:lsdException w:uiPriority="99" w:name="HTML Sample" w:locked="1"/>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6"/>
    <w:link w:val="38"/>
    <w:qFormat/>
    <w:uiPriority w:val="99"/>
    <w:pPr>
      <w:keepNext/>
      <w:keepLines/>
      <w:tabs>
        <w:tab w:val="left" w:pos="5852"/>
      </w:tabs>
      <w:snapToGrid w:val="0"/>
      <w:spacing w:before="360" w:line="240" w:lineRule="exact"/>
      <w:outlineLvl w:val="2"/>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1"/>
    <w:qFormat/>
    <w:locked/>
    <w:uiPriority w:val="99"/>
    <w:pPr>
      <w:spacing w:before="60" w:after="60" w:line="360" w:lineRule="auto"/>
      <w:ind w:firstLine="200"/>
    </w:pPr>
    <w:rPr>
      <w:rFonts w:eastAsia="仿宋_GB2312"/>
      <w:sz w:val="32"/>
      <w:szCs w:val="24"/>
    </w:rPr>
  </w:style>
  <w:style w:type="paragraph" w:styleId="6">
    <w:name w:val="Normal Indent"/>
    <w:basedOn w:val="1"/>
    <w:link w:val="55"/>
    <w:qFormat/>
    <w:uiPriority w:val="99"/>
    <w:pPr>
      <w:ind w:firstLine="420"/>
    </w:pPr>
    <w:rPr>
      <w:rFonts w:ascii="DengXian" w:hAnsi="DengXian"/>
      <w:szCs w:val="22"/>
    </w:rPr>
  </w:style>
  <w:style w:type="paragraph" w:styleId="7">
    <w:name w:val="Document Map"/>
    <w:basedOn w:val="1"/>
    <w:link w:val="74"/>
    <w:qFormat/>
    <w:uiPriority w:val="99"/>
    <w:pPr>
      <w:shd w:val="clear" w:color="auto" w:fill="000080"/>
    </w:pPr>
    <w:rPr>
      <w:szCs w:val="24"/>
    </w:rPr>
  </w:style>
  <w:style w:type="paragraph" w:styleId="8">
    <w:name w:val="annotation text"/>
    <w:basedOn w:val="1"/>
    <w:link w:val="72"/>
    <w:qFormat/>
    <w:uiPriority w:val="0"/>
    <w:pPr>
      <w:jc w:val="left"/>
    </w:pPr>
  </w:style>
  <w:style w:type="paragraph" w:styleId="9">
    <w:name w:val="Body Text Indent"/>
    <w:basedOn w:val="1"/>
    <w:link w:val="39"/>
    <w:qFormat/>
    <w:uiPriority w:val="99"/>
    <w:pPr>
      <w:autoSpaceDE w:val="0"/>
      <w:autoSpaceDN w:val="0"/>
      <w:spacing w:line="360" w:lineRule="auto"/>
      <w:ind w:left="181" w:firstLine="539"/>
    </w:pPr>
    <w:rPr>
      <w:rFonts w:ascii="DengXian" w:hAnsi="DengXian"/>
      <w:kern w:val="0"/>
      <w:sz w:val="24"/>
    </w:rPr>
  </w:style>
  <w:style w:type="paragraph" w:styleId="10">
    <w:name w:val="Plain Text"/>
    <w:basedOn w:val="1"/>
    <w:link w:val="48"/>
    <w:qFormat/>
    <w:uiPriority w:val="99"/>
    <w:rPr>
      <w:rFonts w:ascii="宋体" w:hAnsi="Courier New"/>
      <w:szCs w:val="22"/>
    </w:rPr>
  </w:style>
  <w:style w:type="paragraph" w:styleId="11">
    <w:name w:val="Date"/>
    <w:basedOn w:val="1"/>
    <w:next w:val="1"/>
    <w:link w:val="71"/>
    <w:qFormat/>
    <w:uiPriority w:val="99"/>
    <w:pPr>
      <w:ind w:left="100" w:leftChars="2500"/>
    </w:pPr>
    <w:rPr>
      <w:szCs w:val="24"/>
    </w:rPr>
  </w:style>
  <w:style w:type="paragraph" w:styleId="12">
    <w:name w:val="Body Text Indent 2"/>
    <w:basedOn w:val="1"/>
    <w:link w:val="50"/>
    <w:qFormat/>
    <w:uiPriority w:val="99"/>
    <w:pPr>
      <w:spacing w:after="120" w:line="480" w:lineRule="auto"/>
      <w:ind w:left="420" w:leftChars="200"/>
    </w:pPr>
    <w:rPr>
      <w:rFonts w:ascii="DengXian" w:hAnsi="DengXian" w:eastAsia="DengXian"/>
      <w:szCs w:val="24"/>
    </w:rPr>
  </w:style>
  <w:style w:type="paragraph" w:styleId="13">
    <w:name w:val="Balloon Text"/>
    <w:basedOn w:val="1"/>
    <w:link w:val="77"/>
    <w:qFormat/>
    <w:uiPriority w:val="99"/>
    <w:rPr>
      <w:sz w:val="18"/>
      <w:szCs w:val="18"/>
    </w:rPr>
  </w:style>
  <w:style w:type="paragraph" w:styleId="14">
    <w:name w:val="footer"/>
    <w:basedOn w:val="1"/>
    <w:link w:val="61"/>
    <w:qFormat/>
    <w:uiPriority w:val="99"/>
    <w:pPr>
      <w:tabs>
        <w:tab w:val="center" w:pos="4153"/>
        <w:tab w:val="right" w:pos="8306"/>
      </w:tabs>
      <w:snapToGrid w:val="0"/>
      <w:jc w:val="left"/>
    </w:pPr>
    <w:rPr>
      <w:rFonts w:ascii="DengXian" w:hAnsi="DengXian" w:eastAsia="DengXian"/>
      <w:sz w:val="18"/>
      <w:szCs w:val="18"/>
    </w:rPr>
  </w:style>
  <w:style w:type="paragraph" w:styleId="15">
    <w:name w:val="header"/>
    <w:basedOn w:val="1"/>
    <w:link w:val="63"/>
    <w:qFormat/>
    <w:uiPriority w:val="99"/>
    <w:pPr>
      <w:pBdr>
        <w:bottom w:val="single" w:color="auto" w:sz="6" w:space="1"/>
      </w:pBdr>
      <w:tabs>
        <w:tab w:val="center" w:pos="4153"/>
        <w:tab w:val="right" w:pos="8306"/>
      </w:tabs>
      <w:snapToGrid w:val="0"/>
      <w:jc w:val="center"/>
    </w:pPr>
    <w:rPr>
      <w:rFonts w:ascii="DengXian" w:hAnsi="DengXian" w:eastAsia="DengXian"/>
      <w:sz w:val="18"/>
      <w:szCs w:val="18"/>
    </w:rPr>
  </w:style>
  <w:style w:type="paragraph" w:styleId="16">
    <w:name w:val="toc 1"/>
    <w:basedOn w:val="1"/>
    <w:next w:val="1"/>
    <w:qFormat/>
    <w:uiPriority w:val="39"/>
    <w:pPr>
      <w:tabs>
        <w:tab w:val="right" w:leader="dot" w:pos="8393"/>
      </w:tabs>
      <w:spacing w:line="500" w:lineRule="exact"/>
    </w:pPr>
    <w:rPr>
      <w:rFonts w:ascii="宋体" w:hAnsi="宋体"/>
      <w:b/>
      <w:bCs/>
      <w:color w:val="000000"/>
      <w:sz w:val="28"/>
      <w:szCs w:val="28"/>
    </w:rPr>
  </w:style>
  <w:style w:type="paragraph" w:styleId="17">
    <w:name w:val="toc 2"/>
    <w:basedOn w:val="1"/>
    <w:next w:val="1"/>
    <w:qFormat/>
    <w:uiPriority w:val="39"/>
    <w:pPr>
      <w:tabs>
        <w:tab w:val="right" w:leader="dot" w:pos="8393"/>
      </w:tabs>
      <w:spacing w:line="500" w:lineRule="exact"/>
      <w:ind w:left="420" w:leftChars="200"/>
      <w:jc w:val="center"/>
    </w:pPr>
    <w:rPr>
      <w:rFonts w:ascii="黑体" w:eastAsia="黑体"/>
      <w:sz w:val="32"/>
      <w:szCs w:val="32"/>
    </w:rPr>
  </w:style>
  <w:style w:type="paragraph" w:styleId="18">
    <w:name w:val="HTML Preformatted"/>
    <w:basedOn w:val="1"/>
    <w:link w:val="118"/>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link w:val="65"/>
    <w:qFormat/>
    <w:uiPriority w:val="99"/>
    <w:pPr>
      <w:tabs>
        <w:tab w:val="left" w:pos="420"/>
      </w:tabs>
      <w:spacing w:before="120" w:after="120" w:line="360" w:lineRule="auto"/>
      <w:ind w:left="420"/>
      <w:jc w:val="center"/>
      <w:outlineLvl w:val="0"/>
    </w:pPr>
    <w:rPr>
      <w:rFonts w:ascii="宋体" w:hAnsi="Verdana" w:eastAsia="DengXian"/>
      <w:b/>
      <w:kern w:val="0"/>
      <w:sz w:val="32"/>
    </w:rPr>
  </w:style>
  <w:style w:type="paragraph" w:styleId="21">
    <w:name w:val="annotation subject"/>
    <w:basedOn w:val="8"/>
    <w:next w:val="8"/>
    <w:link w:val="73"/>
    <w:qFormat/>
    <w:uiPriority w:val="99"/>
    <w:rPr>
      <w:b/>
      <w:bCs/>
      <w:szCs w:val="24"/>
    </w:rPr>
  </w:style>
  <w:style w:type="paragraph" w:styleId="22">
    <w:name w:val="Body Text First Indent 2"/>
    <w:basedOn w:val="9"/>
    <w:link w:val="116"/>
    <w:semiHidden/>
    <w:qFormat/>
    <w:uiPriority w:val="99"/>
    <w:pPr>
      <w:autoSpaceDE/>
      <w:autoSpaceDN/>
      <w:spacing w:after="120" w:line="240" w:lineRule="auto"/>
      <w:ind w:left="420" w:leftChars="200" w:firstLine="420" w:firstLineChars="200"/>
    </w:pPr>
    <w:rPr>
      <w:rFonts w:ascii="Times New Roman" w:hAnsi="Times New Roman"/>
      <w:sz w:val="21"/>
    </w:rPr>
  </w:style>
  <w:style w:type="table" w:styleId="24">
    <w:name w:val="Table Grid"/>
    <w:basedOn w:val="2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99"/>
    <w:rPr>
      <w:rFonts w:cs="Times New Roman"/>
      <w:b/>
      <w:bCs/>
    </w:rPr>
  </w:style>
  <w:style w:type="character" w:styleId="27">
    <w:name w:val="FollowedHyperlink"/>
    <w:qFormat/>
    <w:uiPriority w:val="99"/>
    <w:rPr>
      <w:rFonts w:cs="Times New Roman"/>
      <w:color w:val="013F7C"/>
      <w:u w:val="none"/>
    </w:rPr>
  </w:style>
  <w:style w:type="character" w:styleId="28">
    <w:name w:val="Emphasis"/>
    <w:qFormat/>
    <w:uiPriority w:val="99"/>
    <w:rPr>
      <w:rFonts w:cs="Times New Roman"/>
    </w:rPr>
  </w:style>
  <w:style w:type="character" w:styleId="29">
    <w:name w:val="HTML Definition"/>
    <w:qFormat/>
    <w:uiPriority w:val="99"/>
    <w:rPr>
      <w:rFonts w:cs="Times New Roman"/>
    </w:rPr>
  </w:style>
  <w:style w:type="character" w:styleId="30">
    <w:name w:val="HTML Typewriter"/>
    <w:qFormat/>
    <w:uiPriority w:val="99"/>
    <w:rPr>
      <w:rFonts w:ascii="宋体" w:hAnsi="宋体" w:eastAsia="宋体" w:cs="宋体"/>
      <w:sz w:val="24"/>
      <w:szCs w:val="24"/>
    </w:rPr>
  </w:style>
  <w:style w:type="character" w:styleId="31">
    <w:name w:val="HTML Variable"/>
    <w:qFormat/>
    <w:uiPriority w:val="99"/>
    <w:rPr>
      <w:rFonts w:cs="Times New Roman"/>
    </w:rPr>
  </w:style>
  <w:style w:type="character" w:styleId="32">
    <w:name w:val="Hyperlink"/>
    <w:qFormat/>
    <w:uiPriority w:val="99"/>
    <w:rPr>
      <w:rFonts w:cs="Times New Roman"/>
      <w:color w:val="013F7C"/>
      <w:u w:val="none"/>
    </w:rPr>
  </w:style>
  <w:style w:type="character" w:styleId="33">
    <w:name w:val="HTML Code"/>
    <w:qFormat/>
    <w:uiPriority w:val="99"/>
    <w:rPr>
      <w:rFonts w:ascii="Courier New" w:hAnsi="Courier New" w:cs="Times New Roman"/>
      <w:sz w:val="20"/>
    </w:rPr>
  </w:style>
  <w:style w:type="character" w:styleId="34">
    <w:name w:val="annotation reference"/>
    <w:qFormat/>
    <w:uiPriority w:val="99"/>
    <w:rPr>
      <w:rFonts w:cs="Times New Roman"/>
      <w:sz w:val="21"/>
      <w:szCs w:val="21"/>
    </w:rPr>
  </w:style>
  <w:style w:type="character" w:styleId="35">
    <w:name w:val="HTML Cite"/>
    <w:qFormat/>
    <w:uiPriority w:val="99"/>
    <w:rPr>
      <w:rFonts w:cs="Times New Roman"/>
    </w:rPr>
  </w:style>
  <w:style w:type="character" w:customStyle="1" w:styleId="36">
    <w:name w:val="标题 1 Char"/>
    <w:link w:val="3"/>
    <w:qFormat/>
    <w:locked/>
    <w:uiPriority w:val="0"/>
    <w:rPr>
      <w:rFonts w:ascii="Times New Roman" w:hAnsi="Times New Roman" w:eastAsia="宋体" w:cs="Times New Roman"/>
      <w:b/>
      <w:bCs/>
      <w:kern w:val="44"/>
      <w:sz w:val="44"/>
      <w:szCs w:val="44"/>
    </w:rPr>
  </w:style>
  <w:style w:type="character" w:customStyle="1" w:styleId="37">
    <w:name w:val="标题 2 Char"/>
    <w:link w:val="4"/>
    <w:qFormat/>
    <w:locked/>
    <w:uiPriority w:val="9"/>
    <w:rPr>
      <w:rFonts w:ascii="等线 Light" w:hAnsi="等线 Light" w:eastAsia="等线 Light" w:cs="Times New Roman"/>
      <w:b/>
      <w:bCs/>
      <w:sz w:val="32"/>
      <w:szCs w:val="32"/>
    </w:rPr>
  </w:style>
  <w:style w:type="character" w:customStyle="1" w:styleId="38">
    <w:name w:val="标题 3 Char"/>
    <w:link w:val="5"/>
    <w:qFormat/>
    <w:locked/>
    <w:uiPriority w:val="99"/>
    <w:rPr>
      <w:rFonts w:ascii="Times New Roman" w:hAnsi="Times New Roman" w:eastAsia="宋体" w:cs="Times New Roman"/>
      <w:b/>
      <w:sz w:val="20"/>
      <w:szCs w:val="20"/>
    </w:rPr>
  </w:style>
  <w:style w:type="character" w:customStyle="1" w:styleId="39">
    <w:name w:val="正文文本缩进 Char"/>
    <w:link w:val="9"/>
    <w:qFormat/>
    <w:locked/>
    <w:uiPriority w:val="99"/>
    <w:rPr>
      <w:rFonts w:eastAsia="宋体"/>
      <w:sz w:val="24"/>
    </w:rPr>
  </w:style>
  <w:style w:type="character" w:customStyle="1" w:styleId="40">
    <w:name w:val="Body Text Indent Char1"/>
    <w:semiHidden/>
    <w:qFormat/>
    <w:locked/>
    <w:uiPriority w:val="99"/>
    <w:rPr>
      <w:rFonts w:ascii="Times New Roman" w:hAnsi="Times New Roman" w:eastAsia="宋体" w:cs="Times New Roman"/>
      <w:sz w:val="20"/>
      <w:szCs w:val="20"/>
    </w:rPr>
  </w:style>
  <w:style w:type="character" w:customStyle="1" w:styleId="41">
    <w:name w:val="正文文本缩进 字符1"/>
    <w:semiHidden/>
    <w:qFormat/>
    <w:uiPriority w:val="99"/>
    <w:rPr>
      <w:rFonts w:ascii="Times New Roman" w:hAnsi="Times New Roman" w:eastAsia="宋体" w:cs="Times New Roman"/>
      <w:sz w:val="20"/>
      <w:szCs w:val="20"/>
    </w:rPr>
  </w:style>
  <w:style w:type="character" w:customStyle="1" w:styleId="42">
    <w:name w:val="current"/>
    <w:qFormat/>
    <w:uiPriority w:val="99"/>
    <w:rPr>
      <w:rFonts w:cs="Times New Roman"/>
      <w:b/>
      <w:color w:val="FF0084"/>
    </w:rPr>
  </w:style>
  <w:style w:type="character" w:customStyle="1" w:styleId="43">
    <w:name w:val="批注文字 Char"/>
    <w:qFormat/>
    <w:uiPriority w:val="0"/>
    <w:rPr>
      <w:rFonts w:eastAsia="宋体" w:cs="Times New Roman"/>
      <w:kern w:val="2"/>
      <w:sz w:val="24"/>
      <w:szCs w:val="24"/>
      <w:lang w:val="en-US" w:eastAsia="zh-CN" w:bidi="ar-SA"/>
    </w:rPr>
  </w:style>
  <w:style w:type="character" w:customStyle="1" w:styleId="44">
    <w:name w:val="批注文字 字符"/>
    <w:qFormat/>
    <w:uiPriority w:val="99"/>
    <w:rPr>
      <w:rFonts w:eastAsia="宋体" w:cs="Times New Roman"/>
      <w:kern w:val="2"/>
      <w:sz w:val="24"/>
      <w:szCs w:val="24"/>
      <w:lang w:val="en-US" w:eastAsia="zh-CN" w:bidi="ar-SA"/>
    </w:rPr>
  </w:style>
  <w:style w:type="character" w:customStyle="1" w:styleId="45">
    <w:name w:val="Underrubrik1 Char Char"/>
    <w:qFormat/>
    <w:uiPriority w:val="99"/>
    <w:rPr>
      <w:rFonts w:ascii="Arial" w:hAnsi="Arial"/>
      <w:b/>
      <w:color w:val="000000"/>
      <w:sz w:val="30"/>
    </w:rPr>
  </w:style>
  <w:style w:type="character" w:customStyle="1" w:styleId="46">
    <w:name w:val="样式3 Char Char"/>
    <w:link w:val="47"/>
    <w:qFormat/>
    <w:locked/>
    <w:uiPriority w:val="99"/>
    <w:rPr>
      <w:rFonts w:ascii="宋体" w:hAnsi="Courier New"/>
      <w:sz w:val="24"/>
    </w:rPr>
  </w:style>
  <w:style w:type="paragraph" w:customStyle="1" w:styleId="47">
    <w:name w:val="样式3"/>
    <w:basedOn w:val="10"/>
    <w:link w:val="46"/>
    <w:qFormat/>
    <w:uiPriority w:val="99"/>
    <w:pPr>
      <w:spacing w:line="240" w:lineRule="atLeast"/>
      <w:outlineLvl w:val="0"/>
    </w:pPr>
    <w:rPr>
      <w:rFonts w:eastAsia="DengXian"/>
      <w:kern w:val="0"/>
      <w:sz w:val="24"/>
      <w:szCs w:val="20"/>
    </w:rPr>
  </w:style>
  <w:style w:type="character" w:customStyle="1" w:styleId="48">
    <w:name w:val="纯文本 Char"/>
    <w:link w:val="10"/>
    <w:qFormat/>
    <w:locked/>
    <w:uiPriority w:val="99"/>
    <w:rPr>
      <w:rFonts w:ascii="宋体" w:hAnsi="Courier New" w:eastAsia="宋体" w:cs="Times New Roman"/>
    </w:rPr>
  </w:style>
  <w:style w:type="character" w:customStyle="1" w:styleId="49">
    <w:name w:val="ds-reads-from"/>
    <w:qFormat/>
    <w:uiPriority w:val="99"/>
    <w:rPr>
      <w:rFonts w:cs="Times New Roman"/>
    </w:rPr>
  </w:style>
  <w:style w:type="character" w:customStyle="1" w:styleId="50">
    <w:name w:val="正文文本缩进 2 Char"/>
    <w:link w:val="12"/>
    <w:qFormat/>
    <w:locked/>
    <w:uiPriority w:val="99"/>
    <w:rPr>
      <w:rFonts w:cs="Times New Roman"/>
      <w:sz w:val="24"/>
      <w:szCs w:val="24"/>
    </w:rPr>
  </w:style>
  <w:style w:type="character" w:customStyle="1" w:styleId="51">
    <w:name w:val="Char Char5"/>
    <w:qFormat/>
    <w:uiPriority w:val="99"/>
    <w:rPr>
      <w:rFonts w:ascii="宋体" w:hAnsi="Courier New" w:eastAsia="宋体" w:cs="Times New Roman"/>
      <w:kern w:val="2"/>
      <w:sz w:val="21"/>
      <w:lang w:val="en-US" w:eastAsia="zh-CN" w:bidi="ar-SA"/>
    </w:rPr>
  </w:style>
  <w:style w:type="character" w:customStyle="1" w:styleId="52">
    <w:name w:val="普通文字 Char Char1"/>
    <w:qFormat/>
    <w:uiPriority w:val="99"/>
    <w:rPr>
      <w:rFonts w:ascii="宋体" w:hAnsi="Courier New" w:eastAsia="宋体" w:cs="Times New Roman"/>
      <w:kern w:val="2"/>
      <w:sz w:val="21"/>
      <w:lang w:val="en-US" w:eastAsia="zh-CN" w:bidi="ar-SA"/>
    </w:rPr>
  </w:style>
  <w:style w:type="character" w:customStyle="1" w:styleId="53">
    <w:name w:val="ds-reads-app-special"/>
    <w:qFormat/>
    <w:uiPriority w:val="99"/>
    <w:rPr>
      <w:rFonts w:cs="Times New Roman"/>
      <w:color w:val="FFFFFF"/>
      <w:shd w:val="clear" w:color="auto" w:fill="F94A47"/>
    </w:rPr>
  </w:style>
  <w:style w:type="character" w:customStyle="1" w:styleId="54">
    <w:name w:val="font81"/>
    <w:qFormat/>
    <w:uiPriority w:val="99"/>
    <w:rPr>
      <w:rFonts w:ascii="新宋体" w:hAnsi="新宋体" w:eastAsia="新宋体" w:cs="新宋体"/>
      <w:color w:val="000000"/>
      <w:sz w:val="21"/>
      <w:szCs w:val="21"/>
      <w:u w:val="none"/>
    </w:rPr>
  </w:style>
  <w:style w:type="character" w:customStyle="1" w:styleId="55">
    <w:name w:val="正文缩进 Char"/>
    <w:link w:val="6"/>
    <w:qFormat/>
    <w:locked/>
    <w:uiPriority w:val="99"/>
    <w:rPr>
      <w:rFonts w:eastAsia="宋体" w:cs="Times New Roman"/>
    </w:rPr>
  </w:style>
  <w:style w:type="character" w:customStyle="1" w:styleId="56">
    <w:name w:val="font91"/>
    <w:qFormat/>
    <w:uiPriority w:val="99"/>
    <w:rPr>
      <w:rFonts w:ascii="Arial" w:hAnsi="Arial" w:cs="Arial"/>
      <w:color w:val="000000"/>
      <w:sz w:val="21"/>
      <w:szCs w:val="21"/>
      <w:u w:val="none"/>
    </w:rPr>
  </w:style>
  <w:style w:type="character" w:customStyle="1" w:styleId="57">
    <w:name w:val="font101"/>
    <w:qFormat/>
    <w:uiPriority w:val="99"/>
    <w:rPr>
      <w:rFonts w:ascii="宋体" w:hAnsi="宋体" w:eastAsia="宋体" w:cs="宋体"/>
      <w:color w:val="000000"/>
      <w:sz w:val="21"/>
      <w:szCs w:val="21"/>
      <w:u w:val="none"/>
    </w:rPr>
  </w:style>
  <w:style w:type="character" w:customStyle="1" w:styleId="58">
    <w:name w:val="p141"/>
    <w:qFormat/>
    <w:uiPriority w:val="99"/>
    <w:rPr>
      <w:sz w:val="21"/>
    </w:rPr>
  </w:style>
  <w:style w:type="character" w:customStyle="1" w:styleId="59">
    <w:name w:val="font11"/>
    <w:qFormat/>
    <w:uiPriority w:val="99"/>
    <w:rPr>
      <w:rFonts w:ascii="新宋体" w:hAnsi="新宋体" w:eastAsia="新宋体" w:cs="新宋体"/>
      <w:color w:val="000000"/>
      <w:sz w:val="21"/>
      <w:szCs w:val="21"/>
      <w:u w:val="none"/>
    </w:rPr>
  </w:style>
  <w:style w:type="character" w:customStyle="1" w:styleId="60">
    <w:name w:val="Char Char"/>
    <w:qFormat/>
    <w:uiPriority w:val="99"/>
    <w:rPr>
      <w:rFonts w:ascii="宋体" w:hAnsi="Courier New" w:eastAsia="宋体" w:cs="Times New Roman"/>
      <w:kern w:val="2"/>
      <w:sz w:val="21"/>
      <w:lang w:val="en-US" w:eastAsia="zh-CN" w:bidi="ar-SA"/>
    </w:rPr>
  </w:style>
  <w:style w:type="character" w:customStyle="1" w:styleId="61">
    <w:name w:val="页脚 Char"/>
    <w:link w:val="14"/>
    <w:qFormat/>
    <w:locked/>
    <w:uiPriority w:val="99"/>
    <w:rPr>
      <w:rFonts w:cs="Times New Roman"/>
      <w:sz w:val="18"/>
      <w:szCs w:val="18"/>
    </w:rPr>
  </w:style>
  <w:style w:type="character" w:customStyle="1" w:styleId="62">
    <w:name w:val="ask-title2"/>
    <w:qFormat/>
    <w:uiPriority w:val="99"/>
    <w:rPr>
      <w:rFonts w:cs="Times New Roman"/>
    </w:rPr>
  </w:style>
  <w:style w:type="character" w:customStyle="1" w:styleId="63">
    <w:name w:val="页眉 Char"/>
    <w:link w:val="15"/>
    <w:qFormat/>
    <w:locked/>
    <w:uiPriority w:val="99"/>
    <w:rPr>
      <w:rFonts w:cs="Times New Roman"/>
      <w:sz w:val="18"/>
      <w:szCs w:val="18"/>
    </w:rPr>
  </w:style>
  <w:style w:type="character" w:customStyle="1" w:styleId="64">
    <w:name w:val="标题 字符1"/>
    <w:qFormat/>
    <w:uiPriority w:val="99"/>
    <w:rPr>
      <w:rFonts w:ascii="Cambria" w:hAnsi="Cambria" w:eastAsia="宋体" w:cs="宋体"/>
      <w:b/>
      <w:bCs/>
      <w:kern w:val="2"/>
      <w:sz w:val="32"/>
      <w:szCs w:val="32"/>
    </w:rPr>
  </w:style>
  <w:style w:type="character" w:customStyle="1" w:styleId="65">
    <w:name w:val="标题 Char"/>
    <w:link w:val="20"/>
    <w:qFormat/>
    <w:locked/>
    <w:uiPriority w:val="99"/>
    <w:rPr>
      <w:rFonts w:ascii="宋体" w:hAnsi="Verdana"/>
      <w:b/>
      <w:sz w:val="32"/>
    </w:rPr>
  </w:style>
  <w:style w:type="character" w:customStyle="1" w:styleId="66">
    <w:name w:val="ds-unread-count"/>
    <w:qFormat/>
    <w:uiPriority w:val="99"/>
    <w:rPr>
      <w:rFonts w:cs="Times New Roman"/>
      <w:b/>
      <w:color w:val="EE3322"/>
    </w:rPr>
  </w:style>
  <w:style w:type="character" w:customStyle="1" w:styleId="67">
    <w:name w:val="Plain Text Char1"/>
    <w:semiHidden/>
    <w:qFormat/>
    <w:locked/>
    <w:uiPriority w:val="99"/>
    <w:rPr>
      <w:rFonts w:ascii="宋体" w:hAnsi="Courier New" w:eastAsia="宋体" w:cs="Courier New"/>
      <w:sz w:val="21"/>
      <w:szCs w:val="21"/>
    </w:rPr>
  </w:style>
  <w:style w:type="character" w:customStyle="1" w:styleId="68">
    <w:name w:val="纯文本 字符1"/>
    <w:semiHidden/>
    <w:qFormat/>
    <w:uiPriority w:val="99"/>
    <w:rPr>
      <w:rFonts w:ascii="DengXian" w:hAnsi="Courier New" w:cs="Courier New"/>
      <w:sz w:val="20"/>
      <w:szCs w:val="20"/>
    </w:rPr>
  </w:style>
  <w:style w:type="character" w:customStyle="1" w:styleId="69">
    <w:name w:val="Body Text Indent 2 Char1"/>
    <w:semiHidden/>
    <w:qFormat/>
    <w:locked/>
    <w:uiPriority w:val="99"/>
    <w:rPr>
      <w:rFonts w:ascii="Times New Roman" w:hAnsi="Times New Roman" w:eastAsia="宋体" w:cs="Times New Roman"/>
      <w:sz w:val="20"/>
      <w:szCs w:val="20"/>
    </w:rPr>
  </w:style>
  <w:style w:type="character" w:customStyle="1" w:styleId="70">
    <w:name w:val="正文文本缩进 2 字符1"/>
    <w:semiHidden/>
    <w:qFormat/>
    <w:uiPriority w:val="99"/>
    <w:rPr>
      <w:rFonts w:ascii="Times New Roman" w:hAnsi="Times New Roman" w:eastAsia="宋体" w:cs="Times New Roman"/>
      <w:sz w:val="20"/>
      <w:szCs w:val="20"/>
    </w:rPr>
  </w:style>
  <w:style w:type="character" w:customStyle="1" w:styleId="71">
    <w:name w:val="日期 Char"/>
    <w:link w:val="11"/>
    <w:qFormat/>
    <w:locked/>
    <w:uiPriority w:val="99"/>
    <w:rPr>
      <w:rFonts w:ascii="Times New Roman" w:hAnsi="Times New Roman" w:eastAsia="宋体" w:cs="Times New Roman"/>
      <w:sz w:val="24"/>
      <w:szCs w:val="24"/>
    </w:rPr>
  </w:style>
  <w:style w:type="character" w:customStyle="1" w:styleId="72">
    <w:name w:val="批注文字 Char1"/>
    <w:link w:val="8"/>
    <w:semiHidden/>
    <w:qFormat/>
    <w:locked/>
    <w:uiPriority w:val="99"/>
    <w:rPr>
      <w:rFonts w:ascii="Times New Roman" w:hAnsi="Times New Roman" w:eastAsia="宋体" w:cs="Times New Roman"/>
      <w:sz w:val="20"/>
      <w:szCs w:val="20"/>
    </w:rPr>
  </w:style>
  <w:style w:type="character" w:customStyle="1" w:styleId="73">
    <w:name w:val="批注主题 Char"/>
    <w:link w:val="21"/>
    <w:qFormat/>
    <w:locked/>
    <w:uiPriority w:val="99"/>
    <w:rPr>
      <w:rFonts w:ascii="Times New Roman" w:hAnsi="Times New Roman" w:eastAsia="宋体" w:cs="Times New Roman"/>
      <w:b/>
      <w:bCs/>
      <w:sz w:val="24"/>
      <w:szCs w:val="24"/>
    </w:rPr>
  </w:style>
  <w:style w:type="character" w:customStyle="1" w:styleId="74">
    <w:name w:val="文档结构图 Char"/>
    <w:link w:val="7"/>
    <w:qFormat/>
    <w:locked/>
    <w:uiPriority w:val="99"/>
    <w:rPr>
      <w:rFonts w:ascii="Times New Roman" w:hAnsi="Times New Roman" w:eastAsia="宋体" w:cs="Times New Roman"/>
      <w:sz w:val="24"/>
      <w:szCs w:val="24"/>
      <w:shd w:val="clear" w:color="auto" w:fill="000080"/>
    </w:rPr>
  </w:style>
  <w:style w:type="character" w:customStyle="1" w:styleId="75">
    <w:name w:val="Header Char1"/>
    <w:semiHidden/>
    <w:qFormat/>
    <w:locked/>
    <w:uiPriority w:val="99"/>
    <w:rPr>
      <w:rFonts w:ascii="Times New Roman" w:hAnsi="Times New Roman" w:eastAsia="宋体" w:cs="Times New Roman"/>
      <w:sz w:val="18"/>
      <w:szCs w:val="18"/>
    </w:rPr>
  </w:style>
  <w:style w:type="character" w:customStyle="1" w:styleId="76">
    <w:name w:val="页眉 字符1"/>
    <w:semiHidden/>
    <w:qFormat/>
    <w:uiPriority w:val="99"/>
    <w:rPr>
      <w:rFonts w:ascii="Times New Roman" w:hAnsi="Times New Roman" w:eastAsia="宋体" w:cs="Times New Roman"/>
      <w:sz w:val="18"/>
      <w:szCs w:val="18"/>
    </w:rPr>
  </w:style>
  <w:style w:type="character" w:customStyle="1" w:styleId="77">
    <w:name w:val="批注框文本 Char"/>
    <w:link w:val="13"/>
    <w:qFormat/>
    <w:locked/>
    <w:uiPriority w:val="99"/>
    <w:rPr>
      <w:rFonts w:ascii="Times New Roman" w:hAnsi="Times New Roman" w:eastAsia="宋体" w:cs="Times New Roman"/>
      <w:sz w:val="18"/>
      <w:szCs w:val="18"/>
    </w:rPr>
  </w:style>
  <w:style w:type="character" w:customStyle="1" w:styleId="78">
    <w:name w:val="Footer Char1"/>
    <w:semiHidden/>
    <w:qFormat/>
    <w:locked/>
    <w:uiPriority w:val="99"/>
    <w:rPr>
      <w:rFonts w:ascii="Times New Roman" w:hAnsi="Times New Roman" w:eastAsia="宋体" w:cs="Times New Roman"/>
      <w:sz w:val="18"/>
      <w:szCs w:val="18"/>
    </w:rPr>
  </w:style>
  <w:style w:type="character" w:customStyle="1" w:styleId="79">
    <w:name w:val="页脚 字符1"/>
    <w:semiHidden/>
    <w:qFormat/>
    <w:uiPriority w:val="99"/>
    <w:rPr>
      <w:rFonts w:ascii="Times New Roman" w:hAnsi="Times New Roman" w:eastAsia="宋体" w:cs="Times New Roman"/>
      <w:sz w:val="18"/>
      <w:szCs w:val="18"/>
    </w:rPr>
  </w:style>
  <w:style w:type="character" w:customStyle="1" w:styleId="80">
    <w:name w:val="Title Char1"/>
    <w:locked/>
    <w:uiPriority w:val="99"/>
    <w:rPr>
      <w:rFonts w:ascii="Cambria" w:hAnsi="Cambria" w:eastAsia="宋体" w:cs="Times New Roman"/>
      <w:b/>
      <w:bCs/>
      <w:sz w:val="32"/>
      <w:szCs w:val="32"/>
    </w:rPr>
  </w:style>
  <w:style w:type="character" w:customStyle="1" w:styleId="81">
    <w:name w:val="标题 字符2"/>
    <w:qFormat/>
    <w:uiPriority w:val="99"/>
    <w:rPr>
      <w:rFonts w:ascii="等线 Light" w:hAnsi="等线 Light" w:eastAsia="等线 Light" w:cs="Times New Roman"/>
      <w:b/>
      <w:bCs/>
      <w:sz w:val="32"/>
      <w:szCs w:val="32"/>
    </w:rPr>
  </w:style>
  <w:style w:type="paragraph" w:customStyle="1" w:styleId="82">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bCs w:val="0"/>
      <w:sz w:val="28"/>
      <w:szCs w:val="20"/>
    </w:rPr>
  </w:style>
  <w:style w:type="paragraph" w:customStyle="1" w:styleId="83">
    <w:name w:val="Char Char Char Char Char Char Char"/>
    <w:basedOn w:val="1"/>
    <w:qFormat/>
    <w:uiPriority w:val="99"/>
    <w:rPr>
      <w:szCs w:val="24"/>
    </w:rPr>
  </w:style>
  <w:style w:type="paragraph" w:customStyle="1" w:styleId="84">
    <w:name w:val="列出段落5"/>
    <w:basedOn w:val="1"/>
    <w:qFormat/>
    <w:uiPriority w:val="99"/>
    <w:pPr>
      <w:ind w:firstLine="420" w:firstLineChars="200"/>
    </w:pPr>
    <w:rPr>
      <w:szCs w:val="24"/>
    </w:rPr>
  </w:style>
  <w:style w:type="paragraph" w:customStyle="1" w:styleId="85">
    <w:name w:val="List Paragraph1"/>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86">
    <w:name w:val="正文文本缩进1"/>
    <w:basedOn w:val="1"/>
    <w:qFormat/>
    <w:uiPriority w:val="99"/>
    <w:pPr>
      <w:widowControl/>
      <w:spacing w:after="120"/>
      <w:ind w:left="420" w:leftChars="200"/>
      <w:jc w:val="left"/>
    </w:pPr>
    <w:rPr>
      <w:kern w:val="0"/>
      <w:sz w:val="34"/>
    </w:rPr>
  </w:style>
  <w:style w:type="paragraph" w:customStyle="1" w:styleId="87">
    <w:name w:val="列出段落4"/>
    <w:basedOn w:val="1"/>
    <w:qFormat/>
    <w:uiPriority w:val="99"/>
    <w:pPr>
      <w:ind w:firstLine="420" w:firstLineChars="200"/>
    </w:pPr>
    <w:rPr>
      <w:szCs w:val="24"/>
    </w:rPr>
  </w:style>
  <w:style w:type="paragraph" w:customStyle="1" w:styleId="88">
    <w:name w:val="列出段落11"/>
    <w:basedOn w:val="1"/>
    <w:qFormat/>
    <w:uiPriority w:val="99"/>
    <w:pPr>
      <w:ind w:firstLine="420" w:firstLineChars="200"/>
    </w:pPr>
    <w:rPr>
      <w:szCs w:val="24"/>
    </w:rPr>
  </w:style>
  <w:style w:type="paragraph" w:customStyle="1" w:styleId="89">
    <w:name w:val="xl8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90">
    <w:name w:val="_Style 49"/>
    <w:basedOn w:val="1"/>
    <w:next w:val="10"/>
    <w:qFormat/>
    <w:uiPriority w:val="99"/>
    <w:rPr>
      <w:rFonts w:ascii="宋体" w:hAnsi="Courier New"/>
      <w:sz w:val="24"/>
    </w:rPr>
  </w:style>
  <w:style w:type="paragraph" w:customStyle="1" w:styleId="91">
    <w:name w:val="Char"/>
    <w:basedOn w:val="1"/>
    <w:next w:val="1"/>
    <w:qFormat/>
    <w:uiPriority w:val="99"/>
    <w:pPr>
      <w:widowControl/>
      <w:spacing w:after="160" w:line="240" w:lineRule="exact"/>
      <w:jc w:val="left"/>
    </w:pPr>
    <w:rPr>
      <w:rFonts w:ascii="Verdana" w:hAnsi="Verdana"/>
      <w:kern w:val="0"/>
      <w:sz w:val="20"/>
      <w:lang w:eastAsia="en-US"/>
    </w:rPr>
  </w:style>
  <w:style w:type="paragraph" w:customStyle="1" w:styleId="92">
    <w:name w:val="_Style 13"/>
    <w:basedOn w:val="1"/>
    <w:qFormat/>
    <w:uiPriority w:val="99"/>
    <w:pPr>
      <w:spacing w:after="160" w:line="240" w:lineRule="exact"/>
    </w:pPr>
  </w:style>
  <w:style w:type="paragraph" w:customStyle="1" w:styleId="9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4">
    <w:name w:val="正文2"/>
    <w:basedOn w:val="95"/>
    <w:qFormat/>
    <w:uiPriority w:val="99"/>
    <w:pPr>
      <w:tabs>
        <w:tab w:val="left" w:pos="420"/>
      </w:tabs>
      <w:adjustRightInd/>
      <w:spacing w:line="360" w:lineRule="auto"/>
      <w:ind w:left="420" w:hanging="420"/>
    </w:pPr>
    <w:rPr>
      <w:kern w:val="2"/>
      <w:sz w:val="24"/>
      <w:szCs w:val="24"/>
    </w:rPr>
  </w:style>
  <w:style w:type="paragraph" w:customStyle="1" w:styleId="95">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6">
    <w:name w:val="_Style 12"/>
    <w:basedOn w:val="7"/>
    <w:qFormat/>
    <w:uiPriority w:val="99"/>
    <w:pPr>
      <w:adjustRightInd w:val="0"/>
      <w:snapToGrid w:val="0"/>
      <w:spacing w:line="360" w:lineRule="auto"/>
    </w:pPr>
    <w:rPr>
      <w:rFonts w:hAnsi="Tahoma"/>
      <w:sz w:val="24"/>
      <w:szCs w:val="20"/>
    </w:rPr>
  </w:style>
  <w:style w:type="paragraph" w:customStyle="1" w:styleId="97">
    <w:name w:val="列出段落1"/>
    <w:basedOn w:val="1"/>
    <w:qFormat/>
    <w:uiPriority w:val="99"/>
    <w:pPr>
      <w:ind w:firstLine="420" w:firstLineChars="200"/>
    </w:pPr>
    <w:rPr>
      <w:rFonts w:ascii="Calibri" w:hAnsi="Calibri"/>
    </w:rPr>
  </w:style>
  <w:style w:type="paragraph" w:customStyle="1" w:styleId="98">
    <w:name w:val="Char1 Char Char Char Char Char Char1"/>
    <w:basedOn w:val="1"/>
    <w:qFormat/>
    <w:uiPriority w:val="99"/>
    <w:pPr>
      <w:spacing w:after="160" w:line="240" w:lineRule="exact"/>
    </w:pPr>
  </w:style>
  <w:style w:type="paragraph" w:customStyle="1" w:styleId="99">
    <w:name w:val="示例×："/>
    <w:basedOn w:val="1"/>
    <w:qFormat/>
    <w:uiPriority w:val="99"/>
    <w:pPr>
      <w:widowControl/>
    </w:pPr>
    <w:rPr>
      <w:rFonts w:ascii="宋体"/>
      <w:kern w:val="0"/>
      <w:sz w:val="18"/>
      <w:szCs w:val="18"/>
    </w:rPr>
  </w:style>
  <w:style w:type="paragraph" w:customStyle="1" w:styleId="100">
    <w:name w:val="默认段落字体 Para Char Char Char Char Char Char Char"/>
    <w:basedOn w:val="1"/>
    <w:qFormat/>
    <w:uiPriority w:val="99"/>
    <w:pPr>
      <w:spacing w:line="360" w:lineRule="auto"/>
    </w:pPr>
  </w:style>
  <w:style w:type="paragraph" w:customStyle="1" w:styleId="101">
    <w:name w:val="Char Char Char"/>
    <w:basedOn w:val="1"/>
    <w:qFormat/>
    <w:uiPriority w:val="99"/>
    <w:rPr>
      <w:szCs w:val="24"/>
    </w:rPr>
  </w:style>
  <w:style w:type="paragraph" w:customStyle="1" w:styleId="102">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3">
    <w:name w:val="列出段落3"/>
    <w:basedOn w:val="1"/>
    <w:qFormat/>
    <w:uiPriority w:val="99"/>
    <w:pPr>
      <w:ind w:firstLine="420" w:firstLineChars="200"/>
    </w:pPr>
    <w:rPr>
      <w:szCs w:val="24"/>
    </w:rPr>
  </w:style>
  <w:style w:type="paragraph" w:customStyle="1" w:styleId="104">
    <w:name w:val="列出段落2"/>
    <w:basedOn w:val="1"/>
    <w:qFormat/>
    <w:uiPriority w:val="99"/>
    <w:pPr>
      <w:ind w:firstLine="420" w:firstLineChars="200"/>
    </w:pPr>
    <w:rPr>
      <w:szCs w:val="24"/>
    </w:rPr>
  </w:style>
  <w:style w:type="paragraph" w:customStyle="1" w:styleId="105">
    <w:name w:val="样式 首行缩进:  2 字符"/>
    <w:basedOn w:val="1"/>
    <w:qFormat/>
    <w:uiPriority w:val="99"/>
    <w:pPr>
      <w:ind w:firstLine="420" w:firstLineChars="200"/>
    </w:pPr>
    <w:rPr>
      <w:rFonts w:ascii="宋体" w:cs="宋体"/>
    </w:rPr>
  </w:style>
  <w:style w:type="paragraph" w:customStyle="1" w:styleId="10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7">
    <w:name w:val="正文 A"/>
    <w:qFormat/>
    <w:uiPriority w:val="99"/>
    <w:pPr>
      <w:framePr w:wrap="around" w:vAnchor="margin" w:hAnchor="text" w:y="1"/>
      <w:widowControl w:val="0"/>
      <w:jc w:val="both"/>
    </w:pPr>
    <w:rPr>
      <w:rFonts w:ascii="Calibri" w:hAnsi="Calibri" w:eastAsia="宋体" w:cs="Calibri"/>
      <w:color w:val="000000"/>
      <w:kern w:val="2"/>
      <w:sz w:val="21"/>
      <w:szCs w:val="21"/>
      <w:lang w:val="en-US" w:eastAsia="zh-CN" w:bidi="ar-SA"/>
    </w:rPr>
  </w:style>
  <w:style w:type="paragraph" w:customStyle="1" w:styleId="108">
    <w:name w:val="Char Char1 Char Char Char Char Char Char"/>
    <w:basedOn w:val="1"/>
    <w:qFormat/>
    <w:uiPriority w:val="99"/>
    <w:pPr>
      <w:adjustRightInd w:val="0"/>
      <w:snapToGrid w:val="0"/>
      <w:spacing w:beforeLines="25" w:afterLines="25" w:line="240" w:lineRule="exact"/>
      <w:ind w:firstLine="560" w:firstLineChars="192"/>
    </w:pPr>
    <w:rPr>
      <w:szCs w:val="24"/>
    </w:rPr>
  </w:style>
  <w:style w:type="paragraph" w:customStyle="1" w:styleId="109">
    <w:name w:val="样式1"/>
    <w:basedOn w:val="1"/>
    <w:qFormat/>
    <w:uiPriority w:val="99"/>
    <w:pPr>
      <w:numPr>
        <w:ilvl w:val="0"/>
        <w:numId w:val="1"/>
      </w:numPr>
      <w:tabs>
        <w:tab w:val="left" w:pos="709"/>
      </w:tabs>
    </w:pPr>
    <w:rPr>
      <w:rFonts w:ascii="宋体" w:hAnsi="宋体"/>
      <w:szCs w:val="21"/>
    </w:rPr>
  </w:style>
  <w:style w:type="paragraph" w:customStyle="1" w:styleId="110">
    <w:name w:val="Char Char Char Char"/>
    <w:basedOn w:val="7"/>
    <w:qFormat/>
    <w:uiPriority w:val="99"/>
    <w:pPr>
      <w:adjustRightInd w:val="0"/>
      <w:snapToGrid w:val="0"/>
      <w:spacing w:line="360" w:lineRule="auto"/>
    </w:pPr>
  </w:style>
  <w:style w:type="paragraph" w:customStyle="1" w:styleId="111">
    <w:name w:val="msonormalcxspmiddle"/>
    <w:basedOn w:val="1"/>
    <w:qFormat/>
    <w:uiPriority w:val="99"/>
    <w:pPr>
      <w:widowControl/>
      <w:spacing w:before="280" w:after="280"/>
      <w:jc w:val="left"/>
    </w:pPr>
    <w:rPr>
      <w:rFonts w:ascii="宋体" w:hAnsi="宋体" w:cs="宋体"/>
      <w:kern w:val="1"/>
      <w:sz w:val="24"/>
      <w:szCs w:val="24"/>
      <w:lang w:eastAsia="ar-SA"/>
    </w:rPr>
  </w:style>
  <w:style w:type="paragraph" w:customStyle="1" w:styleId="112">
    <w:name w:val="List Paragraph_32a8a71d-9d51-41db-9a20-0e87fd3ab526"/>
    <w:basedOn w:val="1"/>
    <w:qFormat/>
    <w:uiPriority w:val="99"/>
    <w:pPr>
      <w:ind w:firstLine="420" w:firstLineChars="200"/>
    </w:pPr>
    <w:rPr>
      <w:szCs w:val="24"/>
    </w:rPr>
  </w:style>
  <w:style w:type="paragraph" w:customStyle="1" w:styleId="113">
    <w:name w:val="表格"/>
    <w:basedOn w:val="1"/>
    <w:qFormat/>
    <w:uiPriority w:val="99"/>
    <w:pPr>
      <w:spacing w:line="400" w:lineRule="exact"/>
    </w:pPr>
    <w:rPr>
      <w:sz w:val="24"/>
      <w:szCs w:val="24"/>
    </w:rPr>
  </w:style>
  <w:style w:type="paragraph" w:customStyle="1" w:styleId="114">
    <w:name w:val="列出段落6"/>
    <w:basedOn w:val="1"/>
    <w:qFormat/>
    <w:uiPriority w:val="34"/>
    <w:pPr>
      <w:ind w:firstLine="420" w:firstLineChars="200"/>
    </w:pPr>
  </w:style>
  <w:style w:type="paragraph" w:customStyle="1" w:styleId="115">
    <w:name w:val="TOC 标题1"/>
    <w:basedOn w:val="3"/>
    <w:next w:val="1"/>
    <w:qFormat/>
    <w:uiPriority w:val="9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16">
    <w:name w:val="正文首行缩进 2 Char"/>
    <w:link w:val="22"/>
    <w:semiHidden/>
    <w:qFormat/>
    <w:locked/>
    <w:uiPriority w:val="99"/>
    <w:rPr>
      <w:rFonts w:ascii="Times New Roman" w:hAnsi="Times New Roman" w:eastAsia="宋体" w:cs="Times New Roman"/>
      <w:sz w:val="20"/>
      <w:szCs w:val="20"/>
    </w:rPr>
  </w:style>
  <w:style w:type="character" w:customStyle="1" w:styleId="117">
    <w:name w:val="apple-converted-space"/>
    <w:uiPriority w:val="99"/>
    <w:rPr>
      <w:rFonts w:cs="Times New Roman"/>
    </w:rPr>
  </w:style>
  <w:style w:type="character" w:customStyle="1" w:styleId="118">
    <w:name w:val="HTML 预设格式 Char"/>
    <w:link w:val="18"/>
    <w:semiHidden/>
    <w:qFormat/>
    <w:uiPriority w:val="99"/>
    <w:rPr>
      <w:rFonts w:ascii="宋体" w:hAnsi="宋体"/>
      <w:sz w:val="24"/>
      <w:szCs w:val="24"/>
    </w:rPr>
  </w:style>
  <w:style w:type="paragraph" w:customStyle="1" w:styleId="119">
    <w:name w:val="段"/>
    <w:basedOn w:val="1"/>
    <w:qFormat/>
    <w:uiPriority w:val="0"/>
    <w:pPr>
      <w:autoSpaceDE w:val="0"/>
      <w:autoSpaceDN w:val="0"/>
      <w:ind w:firstLine="200" w:firstLineChars="200"/>
    </w:pPr>
    <w:rPr>
      <w:rFonts w:ascii="宋体"/>
      <w:szCs w:val="24"/>
    </w:rPr>
  </w:style>
  <w:style w:type="paragraph" w:customStyle="1" w:styleId="120">
    <w:name w:val="p0"/>
    <w:basedOn w:val="1"/>
    <w:uiPriority w:val="0"/>
    <w:pPr>
      <w:widowControl/>
    </w:pPr>
    <w:rPr>
      <w:rFonts w:ascii="Calibri" w:hAnsi="Calibri"/>
      <w:kern w:val="0"/>
      <w:szCs w:val="21"/>
    </w:rPr>
  </w:style>
  <w:style w:type="character" w:customStyle="1" w:styleId="121">
    <w:name w:val="正文文本 Char"/>
    <w:link w:val="2"/>
    <w:qFormat/>
    <w:uiPriority w:val="99"/>
    <w:rPr>
      <w:rFonts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4710</Words>
  <Characters>26853</Characters>
  <Lines>223</Lines>
  <Paragraphs>62</Paragraphs>
  <TotalTime>3</TotalTime>
  <ScaleCrop>false</ScaleCrop>
  <LinksUpToDate>false</LinksUpToDate>
  <CharactersWithSpaces>31501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2020-09-10T20:02:00Z</dcterms:created>
  <dc:creator>AutoBVT</dc:creator>
  <cp:lastModifiedBy>政辉</cp:lastModifiedBy>
  <cp:lastPrinted>2019-09-09T17:15:00Z</cp:lastPrinted>
  <dcterms:modified xsi:type="dcterms:W3CDTF">2020-09-16T07:15:02Z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