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bookmarkStart w:id="0" w:name="_Toc14491"/>
      <w:bookmarkStart w:id="1" w:name="_Toc25086"/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昌江县生活垃圾填埋场，位于离昌江县城区约9公里昌江大道侧，建于2008年，有效库容为44万立方米，原设计垃圾处理规模为150吨/天，配套渗滤液处理设备处理量50吨/天。目前该垃圾填埋场已进入封场阶段。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随着设备的日益老化，以及渗滤液处理技术的滞后，我场目前自有设备处理量为20吨/天，不能满足当前渗滤液处理需求。经过了5-9月的强降水季及台风期，目前我场积存渗滤液多达10000余吨。而渗滤液的积存量仍在增加，需要及时处理，</w:t>
      </w:r>
      <w:r>
        <w:rPr>
          <w:rFonts w:hint="eastAsia" w:ascii="宋体" w:hAnsi="宋体" w:cs="宋体"/>
          <w:kern w:val="0"/>
          <w:sz w:val="24"/>
          <w:szCs w:val="24"/>
        </w:rPr>
        <w:t>为解决此问题，根据现有情况，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欢迎国内符合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资格条件的</w:t>
      </w:r>
      <w:bookmarkEnd w:id="0"/>
      <w:bookmarkEnd w:id="1"/>
      <w:bookmarkStart w:id="2" w:name="_Toc13678_WPSOffice_Level1"/>
      <w:bookmarkStart w:id="3" w:name="_Toc30628_WPSOffice_Level1"/>
      <w:r>
        <w:rPr>
          <w:rFonts w:hint="eastAsia" w:ascii="宋体" w:hAnsi="宋体" w:cs="宋体"/>
          <w:kern w:val="0"/>
          <w:sz w:val="24"/>
          <w:szCs w:val="24"/>
          <w:lang w:eastAsia="zh-CN"/>
        </w:rPr>
        <w:t>供应商参与投标。</w:t>
      </w:r>
      <w:bookmarkEnd w:id="2"/>
      <w:bookmarkEnd w:id="3"/>
      <w:bookmarkStart w:id="4" w:name="_Toc9071_WPSOffice_Level1"/>
    </w:p>
    <w:p>
      <w:pPr>
        <w:pStyle w:val="5"/>
        <w:numPr>
          <w:ilvl w:val="1"/>
          <w:numId w:val="0"/>
        </w:numPr>
        <w:tabs>
          <w:tab w:val="left" w:pos="720"/>
        </w:tabs>
        <w:bidi w:val="0"/>
        <w:ind w:leftChars="0"/>
        <w:jc w:val="both"/>
        <w:outlineLvl w:val="0"/>
        <w:rPr>
          <w:rFonts w:hint="eastAsia"/>
          <w:lang w:val="en-US"/>
        </w:rPr>
      </w:pPr>
      <w:bookmarkStart w:id="5" w:name="_Toc99_WPSOffice_Level1"/>
      <w:bookmarkStart w:id="6" w:name="_Toc6162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一、商务</w:t>
      </w:r>
      <w:bookmarkEnd w:id="5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</w:t>
      </w:r>
      <w:bookmarkEnd w:id="6"/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"/>
        </w:rPr>
      </w:pPr>
      <w:bookmarkStart w:id="7" w:name="_Toc10321_WPSOffice_Level2"/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 w:bidi="ar"/>
        </w:rPr>
        <w:t>1、采购预算：</w:t>
      </w: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"/>
        </w:rPr>
        <w:t>￥</w:t>
      </w:r>
      <w:r>
        <w:rPr>
          <w:rFonts w:hint="eastAsia" w:ascii="宋体" w:hAnsi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"/>
        </w:rPr>
        <w:t>170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  <w:highlight w:val="none"/>
          <w:lang w:val="en-US" w:eastAsia="zh-CN" w:bidi="ar"/>
        </w:rPr>
        <w:t>万元，</w:t>
      </w: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"/>
        </w:rPr>
        <w:t>超过采购预算的报价无效。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outlineLvl w:val="1"/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/>
        </w:rPr>
      </w:pPr>
      <w:bookmarkStart w:id="8" w:name="_Toc29615"/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 w:bidi="ar"/>
        </w:rPr>
        <w:t>、服务完成时间及地点</w:t>
      </w:r>
      <w:bookmarkEnd w:id="7"/>
      <w:bookmarkEnd w:id="8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"/>
        </w:rPr>
        <w:t>（1）时间：自签订合同后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lang w:val="en-US" w:eastAsia="zh-CN" w:bidi="ar"/>
        </w:rPr>
        <w:t>7个日历天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"/>
        </w:rPr>
        <w:t>内要完成自身处理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lang w:val="en-US" w:eastAsia="zh-CN" w:bidi="ar"/>
        </w:rPr>
        <w:t>设备的安装调试，并在约定服务期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u w:val="single"/>
          <w:lang w:val="en-US" w:eastAsia="zh-CN" w:bidi="ar"/>
        </w:rPr>
        <w:t xml:space="preserve">  8个月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lang w:val="en-US" w:eastAsia="zh-CN" w:bidi="ar"/>
        </w:rPr>
        <w:t>内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val="en-US" w:eastAsia="zh-CN" w:bidi="ar"/>
        </w:rPr>
        <w:t>（此时限包括设备维修保养、配件清洗以及渗滤液处置的一切工作用时）完成10000立方米渗滤液应急处理。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（2）地点：采购人指定地点</w:t>
      </w:r>
    </w:p>
    <w:p>
      <w:pPr>
        <w:pStyle w:val="5"/>
        <w:numPr>
          <w:ilvl w:val="0"/>
          <w:numId w:val="0"/>
        </w:numPr>
        <w:tabs>
          <w:tab w:val="left" w:pos="720"/>
        </w:tabs>
        <w:bidi w:val="0"/>
        <w:ind w:leftChars="0"/>
        <w:jc w:val="both"/>
        <w:outlineLvl w:val="0"/>
        <w:rPr>
          <w:rFonts w:hint="default"/>
          <w:lang w:val="en-US"/>
        </w:rPr>
      </w:pPr>
      <w:bookmarkStart w:id="9" w:name="_Toc8846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二、服务</w:t>
      </w:r>
      <w:bookmarkEnd w:id="4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技术要求</w:t>
      </w:r>
      <w:bookmarkEnd w:id="9"/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highlight w:val="none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1、服务要求：因垃圾场现有渗滤液应急处理站处理能力不够而采取应急处理措施，</w:t>
      </w:r>
      <w:r>
        <w:rPr>
          <w:rFonts w:hint="eastAsia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供应商</w:t>
      </w: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必须根据自身垃圾渗滤液应急处理经验，</w:t>
      </w:r>
      <w:r>
        <w:rPr>
          <w:rFonts w:hint="eastAsia" w:ascii="宋体" w:hAnsi="Times New Roman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"/>
        </w:rPr>
        <w:t>采取预处理+STRO膜技术处理或者其他能够有效完成应急处理的技术</w:t>
      </w: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，对渗滤液应急处理设备系统的能力、效果、成本给予实质性的保证。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Times New Roman" w:eastAsia="宋体" w:cs="宋体"/>
          <w:sz w:val="24"/>
          <w:szCs w:val="24"/>
          <w:highlight w:val="none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2、进水水质：化学需氧量约20000 mg/L左右，氨氮3500左右、PH8-10左右，准确数据由供应商自行测定。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3、技术要求：拟投入的的处理设备需符合环保要求，整机无污染。出水水质经双方认可且有资质的第三方检测机构检测，需达到《生活垃圾填埋场污染控制标准》（GB16889-2008）表2排放浓度限值后排放。</w:t>
      </w:r>
    </w:p>
    <w:p>
      <w:pPr>
        <w:pStyle w:val="2"/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</w:pPr>
    </w:p>
    <w:p>
      <w:pPr>
        <w:pStyle w:val="2"/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center"/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现有和新建生活垃圾填埋场水污染物排放浓度限值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420"/>
        <w:gridCol w:w="1812"/>
        <w:gridCol w:w="3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控制污染物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排放浓度限值</w:t>
            </w: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污染物排放监控位置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色度（稀释倍数）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≤40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常规污水处理设施排放口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化学需氧量（CODCr）（mg/L）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≤100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常规污水处理设施排放口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生化需氧量（BOD5）（mg/L）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≤30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常规污水处理设施排放口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悬浮物（mg/L）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≤30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常规污水处理设施排放口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总氮（mg/L）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≤40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常规污水处理设施排放口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氨氮（mg/L）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≤25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常规污水处理设施排放口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总磷（mg/L）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≤3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常规污水处理设施排放口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粪大肠菌群数（个/L）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≤10000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常规污水处理设施排放口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总汞（mg/L）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≤0.001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常规污水处理设施排放口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总镉（mg/L）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≤0.01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常规污水处理设施排放口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总铬（mg/L）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≤0.1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常规污水处理设施排放口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六价铬（mg/L）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≤0.05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常规污水处理设施排放口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总砷（mg/L）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≤0.1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常规污水处理设施排放口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总铅（mg/L）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≤0.1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常规污水处理设施排放口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4、供应商须确保应急服务能够适应水质水量的变化，既适应目前考察的水质指标又适应将来的各种变化情况，确保渗滤液应急处理量和出水水质达到招标要求。同时，对因环保方面对水质处理的要求提高或其它原因，供应商应对应急处理设施设备进行改造调整，确保出水达标达量排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5、处理量及时间要求：设备处理量100吨/天以上，系统回收率大于60%，浓缩液由供应商负责无害化处理。供应商在签订合同后7个日历天内要完成安装调试。除此之外由于供应商原因，延误了完工时间，每延误1天按合同额的千分之五处罚，最高罚款额度为合同额的百分之十。延误超过20天除罚款之外采购方有权解除合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6、本项目所用水电由采购人向中标供应商提供（现有电源200KW,如需增大电耗所需的发电机中标供应商自行负责），水电费由采购人单位支付。除水、电外其它一切配套由中标供应商提供。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7、进水水质及现场条件：进水水质由投标单位自行前去项目现场勘查分析，未到现场化验水质及勘察现场条件的投标单位，后期一切不利风险全部由投标单位自行承担。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8、附属工程：本项目进水、出水管道铺设及浓缩液回灌等附属工程由供应商自行负责。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9、由中标供应商自行协调与环保部门及当地群众的关系。如因中标供应商超标排放或偷排造成的一切后果由中标供应商负责。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10、验收：由中标供应商自行委托具有环境监测资质的单位检测达标后（费用含在投标报价中），再由采购方进行验收。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11、垃圾渗滤液应急处理费用每月结算一次， 由供应商提供正式税务发票，每个月10日前按上月达标排放水量结算上月处理费用，采购单位在收到合格的付款申请材料后，5个工作日内向</w:t>
      </w:r>
      <w:r>
        <w:rPr>
          <w:rFonts w:hint="eastAsia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县</w:t>
      </w: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财政局申拨处理费用，最终支付时间以财政局拨付时间为准。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/>
          <w:lang w:eastAsia="zh-CN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highlight w:val="none"/>
          <w:lang w:val="en-US" w:eastAsia="zh-CN" w:bidi="ar"/>
        </w:rPr>
        <w:t>12、投标报价包含实施和完成本项目污水处理工作所需的药品药剂费、劳务费、设备购置费、运输费、制造费、安装费、调试费、（不含水电费）、技术方案设计、运行维护费、维护保养费及实施费、检测费、交通、通讯、保险、税费和利润等与渗滤液应急处理有关一切费用。最终以单价乘以实际合格的出水量进行</w:t>
      </w:r>
      <w:bookmarkStart w:id="10" w:name="_GoBack"/>
      <w:bookmarkEnd w:id="1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b w:val="0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203B4"/>
    <w:rsid w:val="0F570069"/>
    <w:rsid w:val="0FC43782"/>
    <w:rsid w:val="0FD403C1"/>
    <w:rsid w:val="105915C3"/>
    <w:rsid w:val="14A44A0D"/>
    <w:rsid w:val="176A239B"/>
    <w:rsid w:val="19853BE8"/>
    <w:rsid w:val="1C093A5F"/>
    <w:rsid w:val="1DC34A0A"/>
    <w:rsid w:val="235B6E19"/>
    <w:rsid w:val="2A01063A"/>
    <w:rsid w:val="2B763975"/>
    <w:rsid w:val="38E87CC5"/>
    <w:rsid w:val="41CA6D18"/>
    <w:rsid w:val="4A3170AC"/>
    <w:rsid w:val="4D534206"/>
    <w:rsid w:val="6BC313E2"/>
    <w:rsid w:val="729818B7"/>
    <w:rsid w:val="75516424"/>
    <w:rsid w:val="755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宋体"/>
      <w:b/>
      <w:sz w:val="36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tabs>
        <w:tab w:val="left" w:pos="900"/>
      </w:tabs>
      <w:spacing w:before="260" w:beforeLines="0" w:after="260" w:afterLines="0" w:line="360" w:lineRule="auto"/>
      <w:ind w:left="1680" w:hanging="420"/>
      <w:jc w:val="both"/>
      <w:outlineLvl w:val="2"/>
    </w:pPr>
    <w:rPr>
      <w:rFonts w:hAnsi="宋体"/>
      <w:b/>
      <w:bCs/>
      <w:kern w:val="2"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widowControl/>
      <w:autoSpaceDE/>
      <w:autoSpaceDN/>
      <w:adjustRightInd/>
      <w:spacing w:after="120" w:line="240" w:lineRule="auto"/>
      <w:ind w:left="420" w:leftChars="200" w:firstLine="420" w:firstLineChars="200"/>
    </w:pPr>
    <w:rPr>
      <w:rFonts w:ascii="Times New Roman"/>
      <w:kern w:val="2"/>
      <w:sz w:val="21"/>
      <w:szCs w:val="20"/>
    </w:rPr>
  </w:style>
  <w:style w:type="paragraph" w:styleId="3">
    <w:name w:val="Body Text Indent"/>
    <w:basedOn w:val="1"/>
    <w:uiPriority w:val="0"/>
    <w:pPr>
      <w:widowControl w:val="0"/>
      <w:autoSpaceDE w:val="0"/>
      <w:autoSpaceDN w:val="0"/>
      <w:adjustRightInd w:val="0"/>
      <w:spacing w:line="360" w:lineRule="auto"/>
      <w:ind w:firstLine="540" w:firstLineChars="180"/>
      <w:jc w:val="both"/>
    </w:pPr>
    <w:rPr>
      <w:sz w:val="30"/>
      <w:szCs w:val="24"/>
    </w:r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b/>
      <w:kern w:val="2"/>
      <w:sz w:val="18"/>
      <w:szCs w:val="18"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2">
    <w:name w:val="一级标题"/>
    <w:basedOn w:val="4"/>
    <w:next w:val="1"/>
    <w:qFormat/>
    <w:uiPriority w:val="0"/>
    <w:pPr>
      <w:spacing w:before="220" w:after="210" w:line="240" w:lineRule="auto"/>
      <w:jc w:val="left"/>
    </w:pPr>
    <w:rPr>
      <w:rFonts w:cs="宋体" w:asciiTheme="minorAscii" w:hAnsiTheme="minorAscii" w:eastAsiaTheme="majorEastAsia"/>
      <w:sz w:val="30"/>
      <w:szCs w:val="28"/>
    </w:rPr>
  </w:style>
  <w:style w:type="paragraph" w:styleId="13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character" w:customStyle="1" w:styleId="14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09正文_wh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customStyle="1" w:styleId="16">
    <w:name w:val="Table Paragraph"/>
    <w:basedOn w:val="1"/>
    <w:qFormat/>
    <w:uiPriority w:val="1"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宇宙无敌小辣条</cp:lastModifiedBy>
  <dcterms:modified xsi:type="dcterms:W3CDTF">2020-09-08T02:02:42Z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