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color w:val="auto"/>
          <w:sz w:val="44"/>
          <w:szCs w:val="44"/>
          <w:highlight w:val="none"/>
        </w:rPr>
      </w:pPr>
      <w:bookmarkStart w:id="2" w:name="_GoBack"/>
      <w:bookmarkEnd w:id="2"/>
      <w:r>
        <w:rPr>
          <w:rFonts w:hint="eastAsia" w:ascii="宋体" w:hAnsi="宋体"/>
          <w:b/>
          <w:color w:val="auto"/>
          <w:sz w:val="44"/>
          <w:szCs w:val="44"/>
          <w:highlight w:val="none"/>
        </w:rPr>
        <w:t>用 户 需 求 书</w:t>
      </w:r>
    </w:p>
    <w:p>
      <w:pPr>
        <w:spacing w:line="360" w:lineRule="auto"/>
        <w:rPr>
          <w:rFonts w:hint="eastAsia" w:ascii="宋体" w:hAnsi="宋体"/>
          <w:b/>
          <w:color w:val="auto"/>
          <w:sz w:val="30"/>
          <w:szCs w:val="30"/>
          <w:highlight w:val="none"/>
        </w:rPr>
      </w:pPr>
      <w:r>
        <w:rPr>
          <w:rFonts w:hint="eastAsia" w:ascii="宋体" w:hAnsi="宋体"/>
          <w:b/>
          <w:color w:val="auto"/>
          <w:sz w:val="30"/>
          <w:szCs w:val="30"/>
          <w:highlight w:val="none"/>
        </w:rPr>
        <w:t>一、商务要求</w:t>
      </w:r>
    </w:p>
    <w:p>
      <w:pPr>
        <w:spacing w:line="360" w:lineRule="auto"/>
        <w:ind w:left="560" w:hanging="560" w:hangingChars="200"/>
        <w:rPr>
          <w:rFonts w:hint="eastAsia" w:ascii="宋体" w:hAnsi="宋体"/>
          <w:color w:val="auto"/>
          <w:sz w:val="28"/>
          <w:szCs w:val="28"/>
          <w:highlight w:val="none"/>
        </w:rPr>
      </w:pPr>
      <w:r>
        <w:rPr>
          <w:rFonts w:hint="eastAsia" w:ascii="宋体" w:hAnsi="宋体"/>
          <w:color w:val="auto"/>
          <w:sz w:val="28"/>
          <w:szCs w:val="28"/>
          <w:highlight w:val="none"/>
        </w:rPr>
        <w:t>1、交付时间：</w:t>
      </w:r>
      <w:r>
        <w:rPr>
          <w:rFonts w:hint="eastAsia" w:ascii="宋体" w:hAnsi="宋体" w:cs="宋体"/>
          <w:color w:val="auto"/>
          <w:sz w:val="28"/>
          <w:szCs w:val="28"/>
          <w:highlight w:val="none"/>
        </w:rPr>
        <w:t>合同签订后</w:t>
      </w:r>
      <w:r>
        <w:rPr>
          <w:rFonts w:hint="eastAsia" w:ascii="宋体" w:hAnsi="宋体" w:cs="宋体"/>
          <w:color w:val="auto"/>
          <w:sz w:val="28"/>
          <w:szCs w:val="28"/>
          <w:highlight w:val="none"/>
          <w:lang w:val="en-US" w:eastAsia="zh-CN"/>
        </w:rPr>
        <w:t xml:space="preserve"> 30 </w:t>
      </w:r>
      <w:r>
        <w:rPr>
          <w:rFonts w:hint="eastAsia" w:ascii="宋体" w:hAnsi="宋体" w:cs="宋体"/>
          <w:color w:val="auto"/>
          <w:sz w:val="28"/>
          <w:szCs w:val="28"/>
          <w:highlight w:val="none"/>
          <w:lang w:eastAsia="zh-CN"/>
        </w:rPr>
        <w:t>日</w:t>
      </w:r>
      <w:r>
        <w:rPr>
          <w:rFonts w:hint="eastAsia" w:ascii="宋体" w:hAnsi="宋体" w:cs="宋体"/>
          <w:color w:val="auto"/>
          <w:sz w:val="28"/>
          <w:szCs w:val="28"/>
          <w:highlight w:val="none"/>
        </w:rPr>
        <w:t>内。</w:t>
      </w:r>
    </w:p>
    <w:p>
      <w:pPr>
        <w:spacing w:line="360" w:lineRule="auto"/>
        <w:ind w:left="560" w:hanging="560" w:hangingChars="200"/>
        <w:rPr>
          <w:rFonts w:hint="eastAsia" w:ascii="宋体" w:hAnsi="宋体"/>
          <w:color w:val="auto"/>
          <w:sz w:val="28"/>
          <w:szCs w:val="28"/>
          <w:highlight w:val="none"/>
        </w:rPr>
      </w:pPr>
      <w:r>
        <w:rPr>
          <w:rFonts w:hint="eastAsia" w:ascii="宋体" w:hAnsi="宋体"/>
          <w:color w:val="auto"/>
          <w:sz w:val="28"/>
          <w:szCs w:val="28"/>
          <w:highlight w:val="none"/>
        </w:rPr>
        <w:t>2、交付地点：用户指定地点。</w:t>
      </w:r>
    </w:p>
    <w:p>
      <w:pPr>
        <w:spacing w:line="360" w:lineRule="auto"/>
        <w:ind w:left="560" w:hanging="560" w:hangingChars="200"/>
        <w:rPr>
          <w:rFonts w:hint="eastAsia" w:ascii="宋体" w:hAnsi="宋体"/>
          <w:color w:val="auto"/>
          <w:sz w:val="28"/>
          <w:szCs w:val="28"/>
          <w:highlight w:val="none"/>
        </w:rPr>
      </w:pPr>
      <w:r>
        <w:rPr>
          <w:rFonts w:hint="eastAsia" w:ascii="宋体" w:hAnsi="宋体"/>
          <w:color w:val="auto"/>
          <w:sz w:val="28"/>
          <w:szCs w:val="28"/>
          <w:highlight w:val="none"/>
        </w:rPr>
        <w:t>3、交付方式：免费送至用户指定地点。</w:t>
      </w:r>
    </w:p>
    <w:p>
      <w:pPr>
        <w:spacing w:line="360" w:lineRule="auto"/>
        <w:rPr>
          <w:rFonts w:hint="eastAsia" w:ascii="宋体" w:hAnsi="宋体"/>
          <w:color w:val="auto"/>
          <w:sz w:val="28"/>
          <w:szCs w:val="28"/>
          <w:highlight w:val="none"/>
        </w:rPr>
      </w:pPr>
      <w:r>
        <w:rPr>
          <w:rFonts w:hint="eastAsia" w:ascii="宋体" w:hAnsi="宋体"/>
          <w:color w:val="auto"/>
          <w:sz w:val="28"/>
          <w:szCs w:val="28"/>
          <w:highlight w:val="none"/>
        </w:rPr>
        <w:t>4、采购资金的支付方式、时间、条件：</w:t>
      </w:r>
    </w:p>
    <w:p>
      <w:pPr>
        <w:spacing w:line="360" w:lineRule="auto"/>
        <w:rPr>
          <w:rFonts w:hint="eastAsia" w:ascii="宋体" w:hAnsi="宋体"/>
          <w:color w:val="auto"/>
          <w:sz w:val="28"/>
          <w:szCs w:val="28"/>
          <w:highlight w:val="none"/>
        </w:rPr>
      </w:pPr>
      <w:r>
        <w:rPr>
          <w:rFonts w:hint="eastAsia" w:ascii="宋体" w:hAnsi="宋体"/>
          <w:color w:val="auto"/>
          <w:sz w:val="28"/>
          <w:szCs w:val="28"/>
          <w:highlight w:val="none"/>
        </w:rPr>
        <w:t>4.1合同签订并生效后付款30%，设备到货安装调试合格后付款65%，验收满1年后支付余款。</w:t>
      </w:r>
    </w:p>
    <w:p>
      <w:pPr>
        <w:spacing w:line="360" w:lineRule="auto"/>
        <w:rPr>
          <w:rFonts w:hint="eastAsia" w:ascii="宋体" w:hAnsi="宋体"/>
          <w:color w:val="auto"/>
          <w:sz w:val="28"/>
          <w:szCs w:val="28"/>
          <w:highlight w:val="none"/>
        </w:rPr>
      </w:pPr>
      <w:r>
        <w:rPr>
          <w:rFonts w:hint="eastAsia" w:ascii="宋体" w:hAnsi="宋体"/>
          <w:color w:val="auto"/>
          <w:sz w:val="28"/>
          <w:szCs w:val="28"/>
          <w:highlight w:val="none"/>
        </w:rPr>
        <w:t>5、</w:t>
      </w:r>
      <w:r>
        <w:rPr>
          <w:rFonts w:hint="eastAsia" w:ascii="宋体" w:hAnsi="宋体"/>
          <w:color w:val="auto"/>
          <w:sz w:val="28"/>
          <w:szCs w:val="28"/>
          <w:highlight w:val="none"/>
          <w:lang w:eastAsia="zh-CN"/>
        </w:rPr>
        <w:t>投标人</w:t>
      </w:r>
      <w:r>
        <w:rPr>
          <w:rFonts w:hint="eastAsia" w:ascii="宋体" w:hAnsi="宋体"/>
          <w:color w:val="auto"/>
          <w:sz w:val="28"/>
          <w:szCs w:val="28"/>
          <w:highlight w:val="none"/>
        </w:rPr>
        <w:t>资格要求：见招标公告</w:t>
      </w:r>
    </w:p>
    <w:p>
      <w:pPr>
        <w:spacing w:line="360" w:lineRule="auto"/>
        <w:rPr>
          <w:rFonts w:hint="eastAsia" w:ascii="宋体" w:hAnsi="宋体"/>
          <w:color w:val="auto"/>
          <w:sz w:val="28"/>
          <w:szCs w:val="28"/>
          <w:highlight w:val="none"/>
        </w:rPr>
      </w:pPr>
      <w:r>
        <w:rPr>
          <w:rFonts w:hint="eastAsia" w:ascii="宋体" w:hAnsi="宋体"/>
          <w:color w:val="auto"/>
          <w:sz w:val="28"/>
          <w:szCs w:val="28"/>
          <w:highlight w:val="none"/>
        </w:rPr>
        <w:t>6、验收要求：按标书技术参数和国家行业标准进行验收。</w:t>
      </w:r>
    </w:p>
    <w:p>
      <w:pPr>
        <w:spacing w:line="360" w:lineRule="auto"/>
        <w:rPr>
          <w:rFonts w:hint="eastAsia" w:ascii="宋体" w:hAnsi="宋体"/>
          <w:color w:val="auto"/>
          <w:sz w:val="28"/>
          <w:szCs w:val="28"/>
          <w:highlight w:val="none"/>
        </w:rPr>
      </w:pPr>
      <w:r>
        <w:rPr>
          <w:rFonts w:hint="eastAsia" w:ascii="宋体" w:hAnsi="宋体"/>
          <w:color w:val="auto"/>
          <w:sz w:val="28"/>
          <w:szCs w:val="28"/>
          <w:highlight w:val="none"/>
        </w:rPr>
        <w:t>7、售后服务要求：</w:t>
      </w:r>
    </w:p>
    <w:p>
      <w:pPr>
        <w:spacing w:line="360" w:lineRule="auto"/>
        <w:rPr>
          <w:rFonts w:ascii="宋体" w:hAnsi="宋体"/>
          <w:color w:val="auto"/>
          <w:sz w:val="28"/>
          <w:szCs w:val="28"/>
          <w:highlight w:val="none"/>
        </w:rPr>
      </w:pPr>
      <w:r>
        <w:rPr>
          <w:rFonts w:hint="eastAsia" w:ascii="宋体" w:hAnsi="宋体"/>
          <w:color w:val="auto"/>
          <w:sz w:val="28"/>
          <w:szCs w:val="28"/>
          <w:highlight w:val="none"/>
        </w:rPr>
        <w:t xml:space="preserve">7.1 </w:t>
      </w:r>
      <w:r>
        <w:rPr>
          <w:rFonts w:ascii="宋体" w:hAnsi="宋体"/>
          <w:color w:val="auto"/>
          <w:sz w:val="28"/>
          <w:szCs w:val="28"/>
          <w:highlight w:val="none"/>
        </w:rPr>
        <w:t>设备按原厂商标准提供维护。</w:t>
      </w:r>
    </w:p>
    <w:p>
      <w:pPr>
        <w:spacing w:line="360" w:lineRule="auto"/>
        <w:rPr>
          <w:rFonts w:hint="eastAsia" w:ascii="宋体" w:hAnsi="宋体"/>
          <w:color w:val="auto"/>
          <w:sz w:val="28"/>
          <w:szCs w:val="28"/>
          <w:highlight w:val="none"/>
        </w:rPr>
      </w:pPr>
      <w:r>
        <w:rPr>
          <w:rFonts w:hint="eastAsia" w:ascii="宋体" w:hAnsi="宋体"/>
          <w:color w:val="auto"/>
          <w:sz w:val="28"/>
          <w:szCs w:val="28"/>
          <w:highlight w:val="none"/>
        </w:rPr>
        <w:t xml:space="preserve">7.2 </w:t>
      </w:r>
      <w:r>
        <w:rPr>
          <w:rFonts w:ascii="宋体" w:hAnsi="宋体"/>
          <w:color w:val="auto"/>
          <w:sz w:val="28"/>
          <w:szCs w:val="28"/>
          <w:highlight w:val="none"/>
        </w:rPr>
        <w:t>提供一年5×8小时上门保修，免费更换全部配件；提供7×24小时技术支持和服务，2小时内作出实质性响应，对重大问题提供现场技术支持，24小时内到达指定现场。问题解决后24小时内，提交问题处理报告，说明问题种类、问题原因、问题解决中使用的方法及造成的损失等情况，3年内定期回访每年不少于2次，免费提供技术培训，并提供需方要求的所有培训资料，所有</w:t>
      </w:r>
      <w:r>
        <w:rPr>
          <w:rFonts w:hint="eastAsia" w:ascii="宋体" w:hAnsi="宋体"/>
          <w:color w:val="auto"/>
          <w:sz w:val="28"/>
          <w:szCs w:val="28"/>
          <w:highlight w:val="none"/>
        </w:rPr>
        <w:t>设备</w:t>
      </w:r>
      <w:r>
        <w:rPr>
          <w:rFonts w:ascii="宋体" w:hAnsi="宋体"/>
          <w:color w:val="auto"/>
          <w:sz w:val="28"/>
          <w:szCs w:val="28"/>
          <w:highlight w:val="none"/>
        </w:rPr>
        <w:t>超过保修期后，三年内维修只收取零部件成本费。</w:t>
      </w:r>
    </w:p>
    <w:p>
      <w:pPr>
        <w:spacing w:line="360" w:lineRule="auto"/>
        <w:rPr>
          <w:rFonts w:hint="eastAsia" w:ascii="宋体" w:hAnsi="宋体"/>
          <w:b/>
          <w:color w:val="auto"/>
          <w:sz w:val="30"/>
          <w:szCs w:val="30"/>
          <w:highlight w:val="none"/>
        </w:rPr>
      </w:pPr>
      <w:r>
        <w:rPr>
          <w:rFonts w:hint="eastAsia" w:ascii="宋体" w:hAnsi="宋体"/>
          <w:b/>
          <w:color w:val="auto"/>
          <w:sz w:val="30"/>
          <w:szCs w:val="30"/>
          <w:highlight w:val="none"/>
        </w:rPr>
        <w:t>二、</w:t>
      </w:r>
      <w:r>
        <w:rPr>
          <w:rFonts w:hint="eastAsia"/>
          <w:b/>
          <w:color w:val="auto"/>
          <w:sz w:val="32"/>
          <w:szCs w:val="32"/>
          <w:highlight w:val="none"/>
        </w:rPr>
        <w:t>技术要求</w:t>
      </w:r>
      <w:r>
        <w:rPr>
          <w:rFonts w:hint="eastAsia" w:ascii="宋体" w:hAnsi="宋体"/>
          <w:b/>
          <w:color w:val="auto"/>
          <w:sz w:val="30"/>
          <w:szCs w:val="30"/>
          <w:highlight w:val="none"/>
        </w:rPr>
        <w:t>：</w:t>
      </w:r>
    </w:p>
    <w:p>
      <w:pPr>
        <w:spacing w:line="360" w:lineRule="auto"/>
        <w:jc w:val="center"/>
        <w:rPr>
          <w:b/>
          <w:bCs/>
          <w:color w:val="auto"/>
          <w:sz w:val="32"/>
          <w:szCs w:val="32"/>
          <w:highlight w:val="none"/>
        </w:rPr>
      </w:pPr>
      <w:r>
        <w:rPr>
          <w:rFonts w:hint="eastAsia"/>
          <w:b/>
          <w:bCs/>
          <w:color w:val="auto"/>
          <w:sz w:val="32"/>
          <w:szCs w:val="32"/>
          <w:highlight w:val="none"/>
        </w:rPr>
        <w:br w:type="page"/>
      </w:r>
      <w:r>
        <w:rPr>
          <w:rFonts w:hint="eastAsia"/>
          <w:b/>
          <w:bCs/>
          <w:color w:val="auto"/>
          <w:sz w:val="32"/>
          <w:szCs w:val="32"/>
          <w:highlight w:val="none"/>
        </w:rPr>
        <w:t>采购清单表</w:t>
      </w:r>
    </w:p>
    <w:tbl>
      <w:tblPr>
        <w:tblStyle w:val="3"/>
        <w:tblW w:w="81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2827"/>
        <w:gridCol w:w="551"/>
        <w:gridCol w:w="551"/>
        <w:gridCol w:w="1646"/>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551"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序号</w:t>
            </w:r>
          </w:p>
        </w:tc>
        <w:tc>
          <w:tcPr>
            <w:tcW w:w="2827"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设备名称</w:t>
            </w:r>
          </w:p>
        </w:tc>
        <w:tc>
          <w:tcPr>
            <w:tcW w:w="551"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数量</w:t>
            </w:r>
          </w:p>
        </w:tc>
        <w:tc>
          <w:tcPr>
            <w:tcW w:w="551"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单位</w:t>
            </w:r>
          </w:p>
        </w:tc>
        <w:tc>
          <w:tcPr>
            <w:tcW w:w="1646"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是否接受进口产品投标</w:t>
            </w:r>
          </w:p>
        </w:tc>
        <w:tc>
          <w:tcPr>
            <w:tcW w:w="1988" w:type="dxa"/>
            <w:noWrap w:val="0"/>
            <w:vAlign w:val="center"/>
          </w:tcPr>
          <w:p>
            <w:pPr>
              <w:spacing w:line="360" w:lineRule="auto"/>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是否核心产品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51" w:type="dxa"/>
            <w:noWrap w:val="0"/>
            <w:vAlign w:val="center"/>
          </w:tcPr>
          <w:p>
            <w:pPr>
              <w:spacing w:line="360" w:lineRule="auto"/>
              <w:jc w:val="center"/>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1</w:t>
            </w:r>
          </w:p>
        </w:tc>
        <w:tc>
          <w:tcPr>
            <w:tcW w:w="2827"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全自动化学发光测定仪</w:t>
            </w:r>
          </w:p>
        </w:tc>
        <w:tc>
          <w:tcPr>
            <w:tcW w:w="551" w:type="dxa"/>
            <w:noWrap w:val="0"/>
            <w:vAlign w:val="center"/>
          </w:tcPr>
          <w:p>
            <w:pPr>
              <w:spacing w:line="360" w:lineRule="auto"/>
              <w:jc w:val="center"/>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1</w:t>
            </w:r>
          </w:p>
        </w:tc>
        <w:tc>
          <w:tcPr>
            <w:tcW w:w="551" w:type="dxa"/>
            <w:noWrap w:val="0"/>
            <w:vAlign w:val="center"/>
          </w:tcPr>
          <w:p>
            <w:pPr>
              <w:spacing w:line="360" w:lineRule="auto"/>
              <w:jc w:val="center"/>
              <w:rPr>
                <w:rFonts w:hint="eastAsia" w:ascii="宋体" w:hAnsi="宋体"/>
                <w:color w:val="auto"/>
                <w:sz w:val="24"/>
                <w:highlight w:val="none"/>
              </w:rPr>
            </w:pPr>
            <w:r>
              <w:rPr>
                <w:rFonts w:hint="eastAsia"/>
                <w:color w:val="auto"/>
                <w:highlight w:val="none"/>
              </w:rPr>
              <w:t>台</w:t>
            </w:r>
          </w:p>
        </w:tc>
        <w:tc>
          <w:tcPr>
            <w:tcW w:w="1646" w:type="dxa"/>
            <w:noWrap w:val="0"/>
            <w:vAlign w:val="center"/>
          </w:tcPr>
          <w:p>
            <w:pPr>
              <w:keepNext w:val="0"/>
              <w:keepLines w:val="0"/>
              <w:widowControl/>
              <w:suppressLineNumbers w:val="0"/>
              <w:jc w:val="center"/>
              <w:textAlignment w:val="center"/>
              <w:rPr>
                <w:rFonts w:hint="eastAsia" w:ascii="宋体" w:hAnsi="宋体"/>
                <w:color w:val="auto"/>
                <w:sz w:val="24"/>
                <w:highlight w:val="none"/>
              </w:rPr>
            </w:pPr>
            <w:r>
              <w:rPr>
                <w:rFonts w:hint="eastAsia" w:ascii="宋体" w:hAnsi="宋体" w:eastAsia="宋体" w:cs="宋体"/>
                <w:i w:val="0"/>
                <w:color w:val="auto"/>
                <w:kern w:val="0"/>
                <w:sz w:val="21"/>
                <w:szCs w:val="21"/>
                <w:highlight w:val="none"/>
                <w:u w:val="none"/>
                <w:lang w:val="en-US" w:eastAsia="zh-CN" w:bidi="ar"/>
              </w:rPr>
              <w:t>否</w:t>
            </w:r>
          </w:p>
        </w:tc>
        <w:tc>
          <w:tcPr>
            <w:tcW w:w="198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551" w:type="dxa"/>
            <w:noWrap w:val="0"/>
            <w:vAlign w:val="center"/>
          </w:tcPr>
          <w:p>
            <w:pPr>
              <w:spacing w:line="360" w:lineRule="auto"/>
              <w:jc w:val="center"/>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2</w:t>
            </w:r>
          </w:p>
        </w:tc>
        <w:tc>
          <w:tcPr>
            <w:tcW w:w="2827"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全自动血液细胞分析仪（CRP）</w:t>
            </w:r>
          </w:p>
        </w:tc>
        <w:tc>
          <w:tcPr>
            <w:tcW w:w="551" w:type="dxa"/>
            <w:noWrap w:val="0"/>
            <w:vAlign w:val="center"/>
          </w:tcPr>
          <w:p>
            <w:pPr>
              <w:spacing w:line="360" w:lineRule="auto"/>
              <w:jc w:val="center"/>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1</w:t>
            </w:r>
          </w:p>
        </w:tc>
        <w:tc>
          <w:tcPr>
            <w:tcW w:w="551" w:type="dxa"/>
            <w:noWrap w:val="0"/>
            <w:vAlign w:val="center"/>
          </w:tcPr>
          <w:p>
            <w:pPr>
              <w:spacing w:line="360" w:lineRule="auto"/>
              <w:jc w:val="center"/>
              <w:rPr>
                <w:rFonts w:hint="eastAsia" w:ascii="宋体" w:hAnsi="宋体"/>
                <w:color w:val="auto"/>
                <w:sz w:val="24"/>
                <w:highlight w:val="none"/>
              </w:rPr>
            </w:pPr>
            <w:r>
              <w:rPr>
                <w:rFonts w:hint="eastAsia"/>
                <w:color w:val="auto"/>
                <w:highlight w:val="none"/>
              </w:rPr>
              <w:t>台</w:t>
            </w:r>
          </w:p>
        </w:tc>
        <w:tc>
          <w:tcPr>
            <w:tcW w:w="1646" w:type="dxa"/>
            <w:noWrap w:val="0"/>
            <w:vAlign w:val="center"/>
          </w:tcPr>
          <w:p>
            <w:pPr>
              <w:keepNext w:val="0"/>
              <w:keepLines w:val="0"/>
              <w:widowControl/>
              <w:suppressLineNumbers w:val="0"/>
              <w:jc w:val="center"/>
              <w:textAlignment w:val="center"/>
              <w:rPr>
                <w:rFonts w:hint="eastAsia" w:ascii="宋体" w:hAnsi="宋体"/>
                <w:color w:val="auto"/>
                <w:sz w:val="24"/>
                <w:highlight w:val="none"/>
              </w:rPr>
            </w:pPr>
            <w:r>
              <w:rPr>
                <w:rFonts w:hint="eastAsia" w:ascii="宋体" w:hAnsi="宋体" w:eastAsia="宋体" w:cs="宋体"/>
                <w:i w:val="0"/>
                <w:color w:val="auto"/>
                <w:kern w:val="0"/>
                <w:sz w:val="21"/>
                <w:szCs w:val="21"/>
                <w:highlight w:val="none"/>
                <w:u w:val="none"/>
                <w:lang w:val="en-US" w:eastAsia="zh-CN" w:bidi="ar"/>
              </w:rPr>
              <w:t>否</w:t>
            </w:r>
          </w:p>
        </w:tc>
        <w:tc>
          <w:tcPr>
            <w:tcW w:w="198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551" w:type="dxa"/>
            <w:noWrap w:val="0"/>
            <w:vAlign w:val="center"/>
          </w:tcPr>
          <w:p>
            <w:pPr>
              <w:spacing w:line="360" w:lineRule="auto"/>
              <w:jc w:val="center"/>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3</w:t>
            </w:r>
          </w:p>
        </w:tc>
        <w:tc>
          <w:tcPr>
            <w:tcW w:w="2827"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全自动血液细胞分析仪（体液）</w:t>
            </w:r>
          </w:p>
        </w:tc>
        <w:tc>
          <w:tcPr>
            <w:tcW w:w="551" w:type="dxa"/>
            <w:noWrap w:val="0"/>
            <w:vAlign w:val="center"/>
          </w:tcPr>
          <w:p>
            <w:pPr>
              <w:spacing w:line="360" w:lineRule="auto"/>
              <w:jc w:val="center"/>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1</w:t>
            </w:r>
          </w:p>
        </w:tc>
        <w:tc>
          <w:tcPr>
            <w:tcW w:w="551" w:type="dxa"/>
            <w:noWrap w:val="0"/>
            <w:vAlign w:val="center"/>
          </w:tcPr>
          <w:p>
            <w:pPr>
              <w:spacing w:line="360" w:lineRule="auto"/>
              <w:jc w:val="center"/>
              <w:rPr>
                <w:rFonts w:hint="eastAsia" w:ascii="宋体" w:hAnsi="宋体"/>
                <w:color w:val="auto"/>
                <w:sz w:val="24"/>
                <w:highlight w:val="none"/>
              </w:rPr>
            </w:pPr>
            <w:r>
              <w:rPr>
                <w:rFonts w:hint="eastAsia"/>
                <w:color w:val="auto"/>
                <w:highlight w:val="none"/>
              </w:rPr>
              <w:t>台</w:t>
            </w:r>
          </w:p>
        </w:tc>
        <w:tc>
          <w:tcPr>
            <w:tcW w:w="1646" w:type="dxa"/>
            <w:noWrap w:val="0"/>
            <w:vAlign w:val="center"/>
          </w:tcPr>
          <w:p>
            <w:pPr>
              <w:keepNext w:val="0"/>
              <w:keepLines w:val="0"/>
              <w:widowControl/>
              <w:suppressLineNumbers w:val="0"/>
              <w:jc w:val="center"/>
              <w:textAlignment w:val="center"/>
              <w:rPr>
                <w:rFonts w:hint="eastAsia" w:ascii="宋体" w:hAnsi="宋体"/>
                <w:color w:val="auto"/>
                <w:sz w:val="24"/>
                <w:highlight w:val="none"/>
              </w:rPr>
            </w:pPr>
            <w:r>
              <w:rPr>
                <w:rFonts w:hint="eastAsia" w:ascii="宋体" w:hAnsi="宋体" w:eastAsia="宋体" w:cs="宋体"/>
                <w:i w:val="0"/>
                <w:color w:val="auto"/>
                <w:kern w:val="0"/>
                <w:sz w:val="21"/>
                <w:szCs w:val="21"/>
                <w:highlight w:val="none"/>
                <w:u w:val="none"/>
                <w:lang w:val="en-US" w:eastAsia="zh-CN" w:bidi="ar"/>
              </w:rPr>
              <w:t>否</w:t>
            </w:r>
          </w:p>
        </w:tc>
        <w:tc>
          <w:tcPr>
            <w:tcW w:w="198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51" w:type="dxa"/>
            <w:noWrap w:val="0"/>
            <w:vAlign w:val="center"/>
          </w:tcPr>
          <w:p>
            <w:pPr>
              <w:spacing w:line="360" w:lineRule="auto"/>
              <w:jc w:val="center"/>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4</w:t>
            </w:r>
          </w:p>
        </w:tc>
        <w:tc>
          <w:tcPr>
            <w:tcW w:w="2827"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便携式彩色多普勒超声系统</w:t>
            </w:r>
          </w:p>
        </w:tc>
        <w:tc>
          <w:tcPr>
            <w:tcW w:w="551" w:type="dxa"/>
            <w:noWrap w:val="0"/>
            <w:vAlign w:val="center"/>
          </w:tcPr>
          <w:p>
            <w:pPr>
              <w:spacing w:line="360" w:lineRule="auto"/>
              <w:jc w:val="center"/>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1</w:t>
            </w:r>
          </w:p>
        </w:tc>
        <w:tc>
          <w:tcPr>
            <w:tcW w:w="551" w:type="dxa"/>
            <w:noWrap w:val="0"/>
            <w:vAlign w:val="center"/>
          </w:tcPr>
          <w:p>
            <w:pPr>
              <w:spacing w:line="360" w:lineRule="auto"/>
              <w:jc w:val="center"/>
              <w:rPr>
                <w:rFonts w:hint="eastAsia" w:ascii="宋体" w:hAnsi="宋体"/>
                <w:color w:val="auto"/>
                <w:sz w:val="24"/>
                <w:highlight w:val="none"/>
              </w:rPr>
            </w:pPr>
            <w:r>
              <w:rPr>
                <w:rFonts w:hint="eastAsia"/>
                <w:color w:val="auto"/>
                <w:highlight w:val="none"/>
              </w:rPr>
              <w:t>台</w:t>
            </w:r>
          </w:p>
        </w:tc>
        <w:tc>
          <w:tcPr>
            <w:tcW w:w="1646" w:type="dxa"/>
            <w:noWrap w:val="0"/>
            <w:vAlign w:val="center"/>
          </w:tcPr>
          <w:p>
            <w:pPr>
              <w:keepNext w:val="0"/>
              <w:keepLines w:val="0"/>
              <w:widowControl/>
              <w:suppressLineNumbers w:val="0"/>
              <w:jc w:val="center"/>
              <w:textAlignment w:val="center"/>
              <w:rPr>
                <w:rFonts w:hint="eastAsia" w:ascii="宋体" w:hAnsi="宋体"/>
                <w:color w:val="auto"/>
                <w:sz w:val="24"/>
                <w:highlight w:val="none"/>
              </w:rPr>
            </w:pPr>
            <w:r>
              <w:rPr>
                <w:rFonts w:hint="eastAsia" w:ascii="宋体" w:hAnsi="宋体" w:eastAsia="宋体" w:cs="宋体"/>
                <w:i w:val="0"/>
                <w:color w:val="auto"/>
                <w:kern w:val="0"/>
                <w:sz w:val="21"/>
                <w:szCs w:val="21"/>
                <w:highlight w:val="none"/>
                <w:u w:val="none"/>
                <w:lang w:val="en-US" w:eastAsia="zh-CN" w:bidi="ar"/>
              </w:rPr>
              <w:t>否</w:t>
            </w:r>
          </w:p>
        </w:tc>
        <w:tc>
          <w:tcPr>
            <w:tcW w:w="198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是</w:t>
            </w:r>
          </w:p>
        </w:tc>
      </w:tr>
    </w:tbl>
    <w:p>
      <w:pPr>
        <w:spacing w:line="360" w:lineRule="auto"/>
        <w:jc w:val="center"/>
        <w:rPr>
          <w:rFonts w:hint="eastAsia"/>
          <w:b/>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480" w:lineRule="auto"/>
        <w:jc w:val="center"/>
        <w:textAlignment w:val="auto"/>
        <w:rPr>
          <w:rFonts w:hint="eastAsia"/>
          <w:color w:val="auto"/>
          <w:highlight w:val="none"/>
        </w:rPr>
      </w:pPr>
      <w:r>
        <w:rPr>
          <w:rFonts w:hint="eastAsia" w:ascii="宋体" w:hAnsi="宋体" w:eastAsia="宋体" w:cs="宋体"/>
          <w:b/>
          <w:color w:val="auto"/>
          <w:sz w:val="24"/>
          <w:szCs w:val="24"/>
          <w:highlight w:val="none"/>
        </w:rPr>
        <w:t>参考配置及技术要求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both"/>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（一）全自动化学发光测定仪技术参数</w:t>
      </w:r>
    </w:p>
    <w:p>
      <w:pPr>
        <w:keepNext w:val="0"/>
        <w:keepLines w:val="0"/>
        <w:pageBreakBefore w:val="0"/>
        <w:widowControl w:val="0"/>
        <w:numPr>
          <w:ilvl w:val="0"/>
          <w:numId w:val="1"/>
        </w:numPr>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color w:val="auto"/>
          <w:kern w:val="0"/>
          <w:sz w:val="24"/>
          <w:szCs w:val="24"/>
          <w:highlight w:val="none"/>
          <w:lang w:bidi="ar"/>
        </w:rPr>
      </w:pPr>
      <w:r>
        <w:rPr>
          <w:rStyle w:val="5"/>
          <w:rFonts w:hint="eastAsia" w:ascii="宋体" w:hAnsi="宋体" w:eastAsia="宋体" w:cs="宋体"/>
          <w:b w:val="0"/>
          <w:bCs/>
          <w:color w:val="auto"/>
          <w:sz w:val="24"/>
          <w:szCs w:val="24"/>
          <w:highlight w:val="none"/>
          <w:lang w:bidi="ar"/>
        </w:rPr>
        <w:t>磁性微粒子做固相载体</w:t>
      </w:r>
      <w:r>
        <w:rPr>
          <w:rStyle w:val="6"/>
          <w:rFonts w:hint="eastAsia" w:ascii="宋体" w:hAnsi="宋体" w:eastAsia="宋体" w:cs="宋体"/>
          <w:b w:val="0"/>
          <w:bCs/>
          <w:color w:val="auto"/>
          <w:sz w:val="24"/>
          <w:szCs w:val="24"/>
          <w:highlight w:val="none"/>
          <w:lang w:bidi="ar"/>
        </w:rPr>
        <w:t>，全自动随机发光检测，</w:t>
      </w:r>
      <w:r>
        <w:rPr>
          <w:rFonts w:hint="eastAsia" w:ascii="宋体" w:hAnsi="宋体" w:eastAsia="宋体" w:cs="宋体"/>
          <w:b w:val="0"/>
          <w:bCs/>
          <w:color w:val="auto"/>
          <w:kern w:val="0"/>
          <w:sz w:val="24"/>
          <w:szCs w:val="24"/>
          <w:highlight w:val="none"/>
          <w:lang w:bidi="ar"/>
        </w:rPr>
        <w:t>国产落地式机型。</w:t>
      </w:r>
    </w:p>
    <w:p>
      <w:pPr>
        <w:keepNext w:val="0"/>
        <w:keepLines w:val="0"/>
        <w:pageBreakBefore w:val="0"/>
        <w:widowControl w:val="0"/>
        <w:numPr>
          <w:ilvl w:val="0"/>
          <w:numId w:val="1"/>
        </w:numPr>
        <w:kinsoku/>
        <w:wordWrap/>
        <w:overflowPunct/>
        <w:topLinePunct w:val="0"/>
        <w:autoSpaceDE/>
        <w:autoSpaceDN/>
        <w:bidi w:val="0"/>
        <w:adjustRightInd w:val="0"/>
        <w:snapToGrid w:val="0"/>
        <w:spacing w:line="288" w:lineRule="auto"/>
        <w:textAlignment w:val="auto"/>
        <w:rPr>
          <w:rStyle w:val="5"/>
          <w:rFonts w:hint="eastAsia" w:ascii="宋体" w:hAnsi="宋体" w:eastAsia="宋体" w:cs="宋体"/>
          <w:b w:val="0"/>
          <w:bCs/>
          <w:color w:val="auto"/>
          <w:sz w:val="24"/>
          <w:szCs w:val="24"/>
          <w:highlight w:val="none"/>
          <w:lang w:bidi="ar"/>
        </w:rPr>
      </w:pPr>
      <w:r>
        <w:rPr>
          <w:rFonts w:hint="eastAsia" w:ascii="宋体" w:hAnsi="宋体" w:eastAsia="宋体" w:cs="宋体"/>
          <w:b w:val="0"/>
          <w:bCs/>
          <w:color w:val="auto"/>
          <w:kern w:val="0"/>
          <w:sz w:val="24"/>
          <w:szCs w:val="24"/>
          <w:highlight w:val="none"/>
          <w:lang w:bidi="ar"/>
        </w:rPr>
        <w:t>检测速度：</w:t>
      </w:r>
      <w:r>
        <w:rPr>
          <w:rFonts w:hint="eastAsia" w:ascii="宋体" w:hAnsi="宋体" w:eastAsia="宋体" w:cs="宋体"/>
          <w:b w:val="0"/>
          <w:bCs/>
          <w:color w:val="auto"/>
          <w:sz w:val="24"/>
          <w:szCs w:val="24"/>
          <w:highlight w:val="none"/>
          <w:lang w:bidi="ar"/>
        </w:rPr>
        <w:t>≥</w:t>
      </w:r>
      <w:r>
        <w:rPr>
          <w:rStyle w:val="5"/>
          <w:rFonts w:hint="eastAsia" w:ascii="宋体" w:hAnsi="宋体" w:eastAsia="宋体" w:cs="宋体"/>
          <w:b w:val="0"/>
          <w:bCs/>
          <w:color w:val="auto"/>
          <w:sz w:val="24"/>
          <w:szCs w:val="24"/>
          <w:highlight w:val="none"/>
          <w:lang w:bidi="ar"/>
        </w:rPr>
        <w:t>120测试/小时。</w:t>
      </w:r>
    </w:p>
    <w:p>
      <w:pPr>
        <w:keepNext w:val="0"/>
        <w:keepLines w:val="0"/>
        <w:pageBreakBefore w:val="0"/>
        <w:widowControl w:val="0"/>
        <w:numPr>
          <w:ilvl w:val="0"/>
          <w:numId w:val="1"/>
        </w:numPr>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color w:val="auto"/>
          <w:kern w:val="0"/>
          <w:sz w:val="24"/>
          <w:szCs w:val="24"/>
          <w:highlight w:val="none"/>
          <w:lang w:bidi="ar"/>
        </w:rPr>
      </w:pPr>
      <w:r>
        <w:rPr>
          <w:rFonts w:hint="eastAsia" w:ascii="宋体" w:hAnsi="宋体" w:eastAsia="宋体" w:cs="宋体"/>
          <w:b w:val="0"/>
          <w:bCs/>
          <w:color w:val="auto"/>
          <w:sz w:val="24"/>
          <w:szCs w:val="24"/>
          <w:highlight w:val="none"/>
        </w:rPr>
        <w:t>▲</w:t>
      </w:r>
      <w:r>
        <w:rPr>
          <w:rStyle w:val="6"/>
          <w:rFonts w:hint="eastAsia" w:ascii="宋体" w:hAnsi="宋体" w:eastAsia="宋体" w:cs="宋体"/>
          <w:b w:val="0"/>
          <w:bCs/>
          <w:color w:val="auto"/>
          <w:sz w:val="24"/>
          <w:szCs w:val="24"/>
          <w:highlight w:val="none"/>
          <w:lang w:bidi="ar"/>
        </w:rPr>
        <w:t>使用</w:t>
      </w:r>
      <w:r>
        <w:rPr>
          <w:rStyle w:val="5"/>
          <w:rFonts w:hint="eastAsia" w:ascii="宋体" w:hAnsi="宋体" w:eastAsia="宋体" w:cs="宋体"/>
          <w:b w:val="0"/>
          <w:bCs/>
          <w:color w:val="auto"/>
          <w:sz w:val="24"/>
          <w:szCs w:val="24"/>
          <w:highlight w:val="none"/>
          <w:lang w:bidi="ar"/>
        </w:rPr>
        <w:t>一次性加样头</w:t>
      </w:r>
      <w:r>
        <w:rPr>
          <w:rStyle w:val="6"/>
          <w:rFonts w:hint="eastAsia" w:ascii="宋体" w:hAnsi="宋体" w:eastAsia="宋体" w:cs="宋体"/>
          <w:b w:val="0"/>
          <w:bCs/>
          <w:color w:val="auto"/>
          <w:sz w:val="24"/>
          <w:szCs w:val="24"/>
          <w:highlight w:val="none"/>
          <w:lang w:bidi="ar"/>
        </w:rPr>
        <w:t>，避免携带污染；同时</w:t>
      </w:r>
      <w:r>
        <w:rPr>
          <w:rFonts w:hint="eastAsia" w:ascii="宋体" w:hAnsi="宋体" w:eastAsia="宋体" w:cs="宋体"/>
          <w:b w:val="0"/>
          <w:bCs/>
          <w:color w:val="auto"/>
          <w:kern w:val="0"/>
          <w:sz w:val="24"/>
          <w:szCs w:val="24"/>
          <w:highlight w:val="none"/>
          <w:lang w:bidi="ar"/>
        </w:rPr>
        <w:t>具有液面感应、凝块探测功能，避免由加样异常导致的错误结果。</w:t>
      </w:r>
    </w:p>
    <w:p>
      <w:pPr>
        <w:keepNext w:val="0"/>
        <w:keepLines w:val="0"/>
        <w:pageBreakBefore w:val="0"/>
        <w:widowControl w:val="0"/>
        <w:numPr>
          <w:ilvl w:val="0"/>
          <w:numId w:val="1"/>
        </w:numPr>
        <w:kinsoku/>
        <w:wordWrap/>
        <w:overflowPunct/>
        <w:topLinePunct w:val="0"/>
        <w:autoSpaceDE/>
        <w:autoSpaceDN/>
        <w:bidi w:val="0"/>
        <w:adjustRightInd w:val="0"/>
        <w:snapToGrid w:val="0"/>
        <w:spacing w:line="288" w:lineRule="auto"/>
        <w:textAlignment w:val="auto"/>
        <w:rPr>
          <w:rStyle w:val="6"/>
          <w:rFonts w:hint="eastAsia" w:ascii="宋体" w:hAnsi="宋体" w:eastAsia="宋体" w:cs="宋体"/>
          <w:b w:val="0"/>
          <w:bCs/>
          <w:color w:val="auto"/>
          <w:sz w:val="24"/>
          <w:szCs w:val="24"/>
          <w:highlight w:val="none"/>
          <w:lang w:bidi="ar"/>
        </w:rPr>
      </w:pPr>
      <w:r>
        <w:rPr>
          <w:rFonts w:hint="eastAsia" w:ascii="宋体" w:hAnsi="宋体" w:eastAsia="宋体" w:cs="宋体"/>
          <w:b w:val="0"/>
          <w:bCs/>
          <w:color w:val="auto"/>
          <w:kern w:val="0"/>
          <w:sz w:val="24"/>
          <w:szCs w:val="24"/>
          <w:highlight w:val="none"/>
          <w:lang w:bidi="ar"/>
        </w:rPr>
        <w:t>样本盘：</w:t>
      </w:r>
      <w:r>
        <w:rPr>
          <w:rStyle w:val="6"/>
          <w:rFonts w:hint="eastAsia" w:ascii="宋体" w:hAnsi="宋体" w:eastAsia="宋体" w:cs="宋体"/>
          <w:b w:val="0"/>
          <w:bCs/>
          <w:color w:val="auto"/>
          <w:sz w:val="24"/>
          <w:szCs w:val="24"/>
          <w:highlight w:val="none"/>
          <w:lang w:bidi="ar"/>
        </w:rPr>
        <w:t>同时</w:t>
      </w:r>
      <w:r>
        <w:rPr>
          <w:rStyle w:val="5"/>
          <w:rFonts w:hint="eastAsia" w:ascii="宋体" w:hAnsi="宋体" w:eastAsia="宋体" w:cs="宋体"/>
          <w:b w:val="0"/>
          <w:bCs/>
          <w:color w:val="auto"/>
          <w:sz w:val="24"/>
          <w:szCs w:val="24"/>
          <w:highlight w:val="none"/>
          <w:lang w:bidi="ar"/>
        </w:rPr>
        <w:t>装载样本数量≥50个，</w:t>
      </w:r>
      <w:r>
        <w:rPr>
          <w:rStyle w:val="6"/>
          <w:rFonts w:hint="eastAsia" w:ascii="宋体" w:hAnsi="宋体" w:eastAsia="宋体" w:cs="宋体"/>
          <w:b w:val="0"/>
          <w:bCs/>
          <w:color w:val="auto"/>
          <w:sz w:val="24"/>
          <w:szCs w:val="24"/>
          <w:highlight w:val="none"/>
          <w:lang w:bidi="ar"/>
        </w:rPr>
        <w:t>具有</w:t>
      </w:r>
      <w:r>
        <w:rPr>
          <w:rStyle w:val="5"/>
          <w:rFonts w:hint="eastAsia" w:ascii="宋体" w:hAnsi="宋体" w:eastAsia="宋体" w:cs="宋体"/>
          <w:b w:val="0"/>
          <w:bCs/>
          <w:color w:val="auto"/>
          <w:sz w:val="24"/>
          <w:szCs w:val="24"/>
          <w:highlight w:val="none"/>
          <w:lang w:bidi="ar"/>
        </w:rPr>
        <w:t>样品条码自动识别</w:t>
      </w:r>
      <w:r>
        <w:rPr>
          <w:rStyle w:val="6"/>
          <w:rFonts w:hint="eastAsia" w:ascii="宋体" w:hAnsi="宋体" w:eastAsia="宋体" w:cs="宋体"/>
          <w:b w:val="0"/>
          <w:bCs/>
          <w:color w:val="auto"/>
          <w:sz w:val="24"/>
          <w:szCs w:val="24"/>
          <w:highlight w:val="none"/>
          <w:lang w:bidi="ar"/>
        </w:rPr>
        <w:t>功能。</w:t>
      </w:r>
    </w:p>
    <w:p>
      <w:pPr>
        <w:keepNext w:val="0"/>
        <w:keepLines w:val="0"/>
        <w:pageBreakBefore w:val="0"/>
        <w:widowControl w:val="0"/>
        <w:numPr>
          <w:ilvl w:val="0"/>
          <w:numId w:val="1"/>
        </w:numPr>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color w:val="auto"/>
          <w:kern w:val="0"/>
          <w:sz w:val="24"/>
          <w:szCs w:val="24"/>
          <w:highlight w:val="none"/>
          <w:lang w:bidi="ar"/>
        </w:rPr>
      </w:pPr>
      <w:r>
        <w:rPr>
          <w:rStyle w:val="6"/>
          <w:rFonts w:hint="eastAsia" w:ascii="宋体" w:hAnsi="宋体" w:eastAsia="宋体" w:cs="宋体"/>
          <w:b w:val="0"/>
          <w:bCs/>
          <w:color w:val="auto"/>
          <w:sz w:val="24"/>
          <w:szCs w:val="24"/>
          <w:highlight w:val="none"/>
          <w:lang w:bidi="ar"/>
        </w:rPr>
        <w:t>能联接LIS，支持双向通讯。</w:t>
      </w:r>
    </w:p>
    <w:p>
      <w:pPr>
        <w:keepNext w:val="0"/>
        <w:keepLines w:val="0"/>
        <w:pageBreakBefore w:val="0"/>
        <w:widowControl w:val="0"/>
        <w:numPr>
          <w:ilvl w:val="0"/>
          <w:numId w:val="1"/>
        </w:numPr>
        <w:kinsoku/>
        <w:wordWrap/>
        <w:overflowPunct/>
        <w:topLinePunct w:val="0"/>
        <w:autoSpaceDE/>
        <w:autoSpaceDN/>
        <w:bidi w:val="0"/>
        <w:adjustRightInd w:val="0"/>
        <w:snapToGrid w:val="0"/>
        <w:spacing w:line="288" w:lineRule="auto"/>
        <w:textAlignment w:val="auto"/>
        <w:rPr>
          <w:rStyle w:val="5"/>
          <w:rFonts w:hint="eastAsia" w:ascii="宋体" w:hAnsi="宋体" w:eastAsia="宋体" w:cs="宋体"/>
          <w:b w:val="0"/>
          <w:bCs/>
          <w:color w:val="auto"/>
          <w:sz w:val="24"/>
          <w:szCs w:val="24"/>
          <w:highlight w:val="none"/>
          <w:lang w:bidi="ar"/>
        </w:rPr>
      </w:pPr>
      <w:r>
        <w:rPr>
          <w:rFonts w:hint="eastAsia" w:ascii="宋体" w:hAnsi="宋体" w:eastAsia="宋体" w:cs="宋体"/>
          <w:b w:val="0"/>
          <w:bCs/>
          <w:color w:val="auto"/>
          <w:kern w:val="0"/>
          <w:sz w:val="24"/>
          <w:szCs w:val="24"/>
          <w:highlight w:val="none"/>
          <w:lang w:bidi="ar"/>
        </w:rPr>
        <w:t>稀释功能：</w:t>
      </w:r>
      <w:r>
        <w:rPr>
          <w:rStyle w:val="6"/>
          <w:rFonts w:hint="eastAsia" w:ascii="宋体" w:hAnsi="宋体" w:eastAsia="宋体" w:cs="宋体"/>
          <w:b w:val="0"/>
          <w:bCs/>
          <w:color w:val="auto"/>
          <w:sz w:val="24"/>
          <w:szCs w:val="24"/>
          <w:highlight w:val="none"/>
          <w:lang w:bidi="ar"/>
        </w:rPr>
        <w:t>仪器具备</w:t>
      </w:r>
      <w:r>
        <w:rPr>
          <w:rStyle w:val="5"/>
          <w:rFonts w:hint="eastAsia" w:ascii="宋体" w:hAnsi="宋体" w:eastAsia="宋体" w:cs="宋体"/>
          <w:b w:val="0"/>
          <w:bCs/>
          <w:color w:val="auto"/>
          <w:sz w:val="24"/>
          <w:szCs w:val="24"/>
          <w:highlight w:val="none"/>
          <w:lang w:bidi="ar"/>
        </w:rPr>
        <w:t>自动在线稀释</w:t>
      </w:r>
      <w:r>
        <w:rPr>
          <w:rStyle w:val="6"/>
          <w:rFonts w:hint="eastAsia" w:ascii="宋体" w:hAnsi="宋体" w:eastAsia="宋体" w:cs="宋体"/>
          <w:b w:val="0"/>
          <w:bCs/>
          <w:color w:val="auto"/>
          <w:sz w:val="24"/>
          <w:szCs w:val="24"/>
          <w:highlight w:val="none"/>
          <w:lang w:bidi="ar"/>
        </w:rPr>
        <w:t>功能，支持多种稀释比例。</w:t>
      </w:r>
    </w:p>
    <w:p>
      <w:pPr>
        <w:keepNext w:val="0"/>
        <w:keepLines w:val="0"/>
        <w:pageBreakBefore w:val="0"/>
        <w:widowControl w:val="0"/>
        <w:numPr>
          <w:ilvl w:val="0"/>
          <w:numId w:val="1"/>
        </w:numPr>
        <w:kinsoku/>
        <w:wordWrap/>
        <w:overflowPunct/>
        <w:topLinePunct w:val="0"/>
        <w:autoSpaceDE/>
        <w:autoSpaceDN/>
        <w:bidi w:val="0"/>
        <w:adjustRightInd w:val="0"/>
        <w:snapToGrid w:val="0"/>
        <w:spacing w:line="288" w:lineRule="auto"/>
        <w:textAlignment w:val="auto"/>
        <w:rPr>
          <w:rStyle w:val="6"/>
          <w:rFonts w:hint="eastAsia" w:ascii="宋体" w:hAnsi="宋体" w:eastAsia="宋体" w:cs="宋体"/>
          <w:b w:val="0"/>
          <w:bCs/>
          <w:color w:val="auto"/>
          <w:sz w:val="24"/>
          <w:szCs w:val="24"/>
          <w:highlight w:val="none"/>
          <w:lang w:bidi="ar"/>
        </w:rPr>
      </w:pP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kern w:val="0"/>
          <w:sz w:val="24"/>
          <w:szCs w:val="24"/>
          <w:highlight w:val="none"/>
          <w:lang w:bidi="ar"/>
        </w:rPr>
        <w:t>反应杯：</w:t>
      </w:r>
      <w:r>
        <w:rPr>
          <w:rStyle w:val="5"/>
          <w:rFonts w:hint="eastAsia" w:ascii="宋体" w:hAnsi="宋体" w:eastAsia="宋体" w:cs="宋体"/>
          <w:b w:val="0"/>
          <w:bCs/>
          <w:color w:val="auto"/>
          <w:sz w:val="24"/>
          <w:szCs w:val="24"/>
          <w:highlight w:val="none"/>
          <w:lang w:bidi="ar"/>
        </w:rPr>
        <w:t>为独立的单管设计</w:t>
      </w:r>
      <w:r>
        <w:rPr>
          <w:rStyle w:val="6"/>
          <w:rFonts w:hint="eastAsia" w:ascii="宋体" w:hAnsi="宋体" w:eastAsia="宋体" w:cs="宋体"/>
          <w:b w:val="0"/>
          <w:bCs/>
          <w:color w:val="auto"/>
          <w:sz w:val="24"/>
          <w:szCs w:val="24"/>
          <w:highlight w:val="none"/>
          <w:lang w:bidi="ar"/>
        </w:rPr>
        <w:t>，一次性使用。</w:t>
      </w:r>
    </w:p>
    <w:p>
      <w:pPr>
        <w:keepNext w:val="0"/>
        <w:keepLines w:val="0"/>
        <w:pageBreakBefore w:val="0"/>
        <w:widowControl w:val="0"/>
        <w:numPr>
          <w:ilvl w:val="0"/>
          <w:numId w:val="1"/>
        </w:numPr>
        <w:kinsoku/>
        <w:wordWrap/>
        <w:overflowPunct/>
        <w:topLinePunct w:val="0"/>
        <w:autoSpaceDE/>
        <w:autoSpaceDN/>
        <w:bidi w:val="0"/>
        <w:adjustRightInd w:val="0"/>
        <w:snapToGrid w:val="0"/>
        <w:spacing w:line="288" w:lineRule="auto"/>
        <w:textAlignment w:val="auto"/>
        <w:rPr>
          <w:rStyle w:val="5"/>
          <w:rFonts w:hint="eastAsia" w:ascii="宋体" w:hAnsi="宋体" w:eastAsia="宋体" w:cs="宋体"/>
          <w:b w:val="0"/>
          <w:bCs/>
          <w:color w:val="auto"/>
          <w:sz w:val="24"/>
          <w:szCs w:val="24"/>
          <w:highlight w:val="none"/>
          <w:lang w:bidi="ar"/>
        </w:rPr>
      </w:pPr>
      <w:r>
        <w:rPr>
          <w:rFonts w:hint="eastAsia" w:ascii="宋体" w:hAnsi="宋体" w:eastAsia="宋体" w:cs="宋体"/>
          <w:b w:val="0"/>
          <w:bCs/>
          <w:color w:val="auto"/>
          <w:kern w:val="0"/>
          <w:sz w:val="24"/>
          <w:szCs w:val="24"/>
          <w:highlight w:val="none"/>
          <w:lang w:bidi="ar"/>
        </w:rPr>
        <w:t>反应液混匀装置不接触液体，避免交叉污染。</w:t>
      </w:r>
    </w:p>
    <w:p>
      <w:pPr>
        <w:keepNext w:val="0"/>
        <w:keepLines w:val="0"/>
        <w:pageBreakBefore w:val="0"/>
        <w:widowControl w:val="0"/>
        <w:numPr>
          <w:ilvl w:val="0"/>
          <w:numId w:val="1"/>
        </w:numPr>
        <w:kinsoku/>
        <w:wordWrap/>
        <w:overflowPunct/>
        <w:topLinePunct w:val="0"/>
        <w:autoSpaceDE/>
        <w:autoSpaceDN/>
        <w:bidi w:val="0"/>
        <w:adjustRightInd w:val="0"/>
        <w:snapToGrid w:val="0"/>
        <w:spacing w:line="288" w:lineRule="auto"/>
        <w:textAlignment w:val="auto"/>
        <w:rPr>
          <w:rStyle w:val="5"/>
          <w:rFonts w:hint="eastAsia" w:ascii="宋体" w:hAnsi="宋体" w:eastAsia="宋体" w:cs="宋体"/>
          <w:b w:val="0"/>
          <w:bCs/>
          <w:color w:val="auto"/>
          <w:sz w:val="24"/>
          <w:szCs w:val="24"/>
          <w:highlight w:val="none"/>
          <w:lang w:bidi="ar"/>
        </w:rPr>
      </w:pPr>
      <w:r>
        <w:rPr>
          <w:rStyle w:val="6"/>
          <w:rFonts w:hint="eastAsia" w:ascii="宋体" w:hAnsi="宋体" w:eastAsia="宋体" w:cs="宋体"/>
          <w:b w:val="0"/>
          <w:bCs/>
          <w:color w:val="auto"/>
          <w:sz w:val="24"/>
          <w:szCs w:val="24"/>
          <w:highlight w:val="none"/>
          <w:lang w:bidi="ar"/>
        </w:rPr>
        <w:t>同时分析项目数：</w:t>
      </w:r>
      <w:r>
        <w:rPr>
          <w:rStyle w:val="5"/>
          <w:rFonts w:hint="eastAsia" w:ascii="宋体" w:hAnsi="宋体" w:eastAsia="宋体" w:cs="宋体"/>
          <w:b w:val="0"/>
          <w:bCs/>
          <w:color w:val="auto"/>
          <w:sz w:val="24"/>
          <w:szCs w:val="24"/>
          <w:highlight w:val="none"/>
          <w:lang w:bidi="ar"/>
        </w:rPr>
        <w:t>≥16项</w:t>
      </w:r>
      <w:r>
        <w:rPr>
          <w:rStyle w:val="6"/>
          <w:rFonts w:hint="eastAsia" w:ascii="宋体" w:hAnsi="宋体" w:eastAsia="宋体" w:cs="宋体"/>
          <w:b w:val="0"/>
          <w:bCs/>
          <w:color w:val="auto"/>
          <w:sz w:val="24"/>
          <w:szCs w:val="24"/>
          <w:highlight w:val="none"/>
          <w:lang w:bidi="ar"/>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color w:val="auto"/>
          <w:kern w:val="0"/>
          <w:sz w:val="24"/>
          <w:szCs w:val="24"/>
          <w:highlight w:val="none"/>
          <w:lang w:bidi="ar"/>
        </w:rPr>
      </w:pPr>
      <w:r>
        <w:rPr>
          <w:rFonts w:hint="eastAsia" w:ascii="宋体" w:hAnsi="宋体" w:eastAsia="宋体" w:cs="宋体"/>
          <w:b w:val="0"/>
          <w:bCs/>
          <w:color w:val="auto"/>
          <w:kern w:val="0"/>
          <w:sz w:val="24"/>
          <w:szCs w:val="24"/>
          <w:highlight w:val="none"/>
          <w:lang w:bidi="ar"/>
        </w:rPr>
        <w:t>试剂仓：自带冷藏功能和试剂自动混匀功能。</w:t>
      </w:r>
    </w:p>
    <w:p>
      <w:pPr>
        <w:keepNext w:val="0"/>
        <w:keepLines w:val="0"/>
        <w:pageBreakBefore w:val="0"/>
        <w:widowControl w:val="0"/>
        <w:numPr>
          <w:ilvl w:val="0"/>
          <w:numId w:val="1"/>
        </w:numPr>
        <w:kinsoku/>
        <w:wordWrap/>
        <w:overflowPunct/>
        <w:topLinePunct w:val="0"/>
        <w:autoSpaceDE/>
        <w:autoSpaceDN/>
        <w:bidi w:val="0"/>
        <w:adjustRightInd w:val="0"/>
        <w:snapToGrid w:val="0"/>
        <w:spacing w:line="288" w:lineRule="auto"/>
        <w:textAlignment w:val="auto"/>
        <w:rPr>
          <w:rStyle w:val="6"/>
          <w:rFonts w:hint="eastAsia" w:ascii="宋体" w:hAnsi="宋体" w:eastAsia="宋体" w:cs="宋体"/>
          <w:b w:val="0"/>
          <w:bCs/>
          <w:color w:val="auto"/>
          <w:sz w:val="24"/>
          <w:szCs w:val="24"/>
          <w:highlight w:val="none"/>
          <w:lang w:bidi="ar"/>
        </w:rPr>
      </w:pP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kern w:val="0"/>
          <w:sz w:val="24"/>
          <w:szCs w:val="24"/>
          <w:highlight w:val="none"/>
          <w:lang w:bidi="ar"/>
        </w:rPr>
        <w:t>试剂瓶：</w:t>
      </w:r>
      <w:r>
        <w:rPr>
          <w:rStyle w:val="6"/>
          <w:rFonts w:hint="eastAsia" w:ascii="宋体" w:hAnsi="宋体" w:eastAsia="宋体" w:cs="宋体"/>
          <w:b w:val="0"/>
          <w:bCs/>
          <w:color w:val="auto"/>
          <w:sz w:val="24"/>
          <w:szCs w:val="24"/>
          <w:highlight w:val="none"/>
          <w:lang w:bidi="ar"/>
        </w:rPr>
        <w:t>条码中内置出厂定标信息，</w:t>
      </w:r>
      <w:r>
        <w:rPr>
          <w:rStyle w:val="5"/>
          <w:rFonts w:hint="eastAsia" w:ascii="宋体" w:hAnsi="宋体" w:eastAsia="宋体" w:cs="宋体"/>
          <w:b w:val="0"/>
          <w:bCs/>
          <w:color w:val="auto"/>
          <w:sz w:val="24"/>
          <w:szCs w:val="24"/>
          <w:highlight w:val="none"/>
          <w:lang w:bidi="ar"/>
        </w:rPr>
        <w:t>可采用2点或多点校准</w:t>
      </w:r>
      <w:r>
        <w:rPr>
          <w:rStyle w:val="6"/>
          <w:rFonts w:hint="eastAsia" w:ascii="宋体" w:hAnsi="宋体" w:eastAsia="宋体" w:cs="宋体"/>
          <w:b w:val="0"/>
          <w:bCs/>
          <w:color w:val="auto"/>
          <w:sz w:val="24"/>
          <w:szCs w:val="24"/>
          <w:highlight w:val="none"/>
          <w:lang w:bidi="ar"/>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288" w:lineRule="auto"/>
        <w:textAlignment w:val="auto"/>
        <w:rPr>
          <w:rStyle w:val="6"/>
          <w:rFonts w:hint="eastAsia" w:ascii="宋体" w:hAnsi="宋体" w:eastAsia="宋体" w:cs="宋体"/>
          <w:b w:val="0"/>
          <w:bCs/>
          <w:color w:val="auto"/>
          <w:sz w:val="24"/>
          <w:szCs w:val="24"/>
          <w:highlight w:val="none"/>
          <w:lang w:bidi="ar"/>
        </w:rPr>
      </w:pPr>
      <w:r>
        <w:rPr>
          <w:rFonts w:hint="eastAsia" w:ascii="宋体" w:hAnsi="宋体" w:eastAsia="宋体" w:cs="宋体"/>
          <w:b w:val="0"/>
          <w:bCs/>
          <w:color w:val="auto"/>
          <w:kern w:val="0"/>
          <w:sz w:val="24"/>
          <w:szCs w:val="24"/>
          <w:highlight w:val="none"/>
          <w:lang w:bidi="ar"/>
        </w:rPr>
        <w:t>质控：能提供原厂配套质控品。</w:t>
      </w:r>
    </w:p>
    <w:p>
      <w:pPr>
        <w:keepNext w:val="0"/>
        <w:keepLines w:val="0"/>
        <w:pageBreakBefore w:val="0"/>
        <w:widowControl w:val="0"/>
        <w:numPr>
          <w:ilvl w:val="0"/>
          <w:numId w:val="1"/>
        </w:numPr>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color w:val="auto"/>
          <w:kern w:val="0"/>
          <w:sz w:val="24"/>
          <w:szCs w:val="24"/>
          <w:highlight w:val="none"/>
          <w:lang w:bidi="ar"/>
        </w:rPr>
      </w:pP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kern w:val="0"/>
          <w:sz w:val="24"/>
          <w:szCs w:val="24"/>
          <w:highlight w:val="none"/>
          <w:lang w:bidi="ar"/>
        </w:rPr>
        <w:t>检测项目：</w:t>
      </w:r>
      <w:r>
        <w:rPr>
          <w:rStyle w:val="6"/>
          <w:rFonts w:hint="eastAsia" w:ascii="宋体" w:hAnsi="宋体" w:eastAsia="宋体" w:cs="宋体"/>
          <w:b w:val="0"/>
          <w:bCs/>
          <w:color w:val="auto"/>
          <w:sz w:val="24"/>
          <w:szCs w:val="24"/>
          <w:highlight w:val="none"/>
          <w:lang w:bidi="ar"/>
        </w:rPr>
        <w:t>要求包括乙肝五项、</w:t>
      </w:r>
      <w:r>
        <w:rPr>
          <w:rStyle w:val="5"/>
          <w:rFonts w:hint="eastAsia" w:ascii="宋体" w:hAnsi="宋体" w:eastAsia="宋体" w:cs="宋体"/>
          <w:b w:val="0"/>
          <w:bCs/>
          <w:color w:val="auto"/>
          <w:sz w:val="24"/>
          <w:szCs w:val="24"/>
          <w:highlight w:val="none"/>
          <w:lang w:bidi="ar"/>
        </w:rPr>
        <w:t>乙肝前S1抗原、乙肝核心抗体IgM</w:t>
      </w:r>
      <w:r>
        <w:rPr>
          <w:rStyle w:val="6"/>
          <w:rFonts w:hint="eastAsia" w:ascii="宋体" w:hAnsi="宋体" w:eastAsia="宋体" w:cs="宋体"/>
          <w:b w:val="0"/>
          <w:bCs/>
          <w:color w:val="auto"/>
          <w:sz w:val="24"/>
          <w:szCs w:val="24"/>
          <w:highlight w:val="none"/>
          <w:lang w:bidi="ar"/>
        </w:rPr>
        <w:t>、梅毒、丙肝、HIV抗原抗体、TORCH等。</w:t>
      </w:r>
    </w:p>
    <w:p>
      <w:pPr>
        <w:keepNext w:val="0"/>
        <w:keepLines w:val="0"/>
        <w:pageBreakBefore w:val="0"/>
        <w:widowControl w:val="0"/>
        <w:numPr>
          <w:ilvl w:val="0"/>
          <w:numId w:val="1"/>
        </w:numPr>
        <w:kinsoku/>
        <w:wordWrap/>
        <w:overflowPunct/>
        <w:topLinePunct w:val="0"/>
        <w:autoSpaceDE/>
        <w:autoSpaceDN/>
        <w:bidi w:val="0"/>
        <w:adjustRightInd w:val="0"/>
        <w:snapToGrid w:val="0"/>
        <w:spacing w:line="288" w:lineRule="auto"/>
        <w:textAlignment w:val="auto"/>
        <w:rPr>
          <w:rStyle w:val="6"/>
          <w:rFonts w:hint="eastAsia" w:ascii="宋体" w:hAnsi="宋体" w:eastAsia="宋体" w:cs="宋体"/>
          <w:b w:val="0"/>
          <w:bCs/>
          <w:color w:val="auto"/>
          <w:sz w:val="24"/>
          <w:szCs w:val="24"/>
          <w:highlight w:val="none"/>
          <w:lang w:bidi="ar"/>
        </w:rPr>
      </w:pPr>
      <w:r>
        <w:rPr>
          <w:rFonts w:hint="eastAsia" w:ascii="宋体" w:hAnsi="宋体" w:eastAsia="宋体" w:cs="宋体"/>
          <w:b w:val="0"/>
          <w:bCs/>
          <w:color w:val="auto"/>
          <w:kern w:val="0"/>
          <w:sz w:val="24"/>
          <w:szCs w:val="24"/>
          <w:highlight w:val="none"/>
          <w:lang w:bidi="ar"/>
        </w:rPr>
        <w:t>具有自动复检功能。</w:t>
      </w:r>
    </w:p>
    <w:p>
      <w:pPr>
        <w:keepNext w:val="0"/>
        <w:keepLines w:val="0"/>
        <w:pageBreakBefore w:val="0"/>
        <w:widowControl w:val="0"/>
        <w:numPr>
          <w:ilvl w:val="0"/>
          <w:numId w:val="1"/>
        </w:numPr>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kern w:val="0"/>
          <w:sz w:val="24"/>
          <w:szCs w:val="24"/>
          <w:highlight w:val="none"/>
          <w:lang w:bidi="ar"/>
        </w:rPr>
        <w:t>具有试剂、耗材存量自动监测，报警。</w:t>
      </w:r>
    </w:p>
    <w:p>
      <w:pPr>
        <w:keepNext w:val="0"/>
        <w:keepLines w:val="0"/>
        <w:pageBreakBefore w:val="0"/>
        <w:widowControl w:val="0"/>
        <w:numPr>
          <w:ilvl w:val="0"/>
          <w:numId w:val="1"/>
        </w:numPr>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仪器配套试剂生产厂家须具有医学参考实验室且获得CNAS认可。</w:t>
      </w:r>
      <w:r>
        <w:rPr>
          <w:rFonts w:hint="eastAsia" w:ascii="宋体" w:hAnsi="宋体" w:eastAsia="宋体" w:cs="宋体"/>
          <w:b w:val="0"/>
          <w:bCs/>
          <w:color w:val="auto"/>
          <w:kern w:val="0"/>
          <w:sz w:val="24"/>
          <w:szCs w:val="24"/>
          <w:highlight w:val="none"/>
          <w:lang w:bidi="ar"/>
        </w:rPr>
        <w:t>仪器配套试剂</w:t>
      </w:r>
      <w:r>
        <w:rPr>
          <w:rFonts w:hint="eastAsia" w:ascii="宋体" w:hAnsi="宋体" w:eastAsia="宋体" w:cs="宋体"/>
          <w:b w:val="0"/>
          <w:bCs/>
          <w:color w:val="auto"/>
          <w:sz w:val="24"/>
          <w:szCs w:val="24"/>
          <w:highlight w:val="none"/>
        </w:rPr>
        <w:t>生产厂家的医学参考实验室进入JCTLM 医学参考测量实验室列表行列,参考服务能力得到国际认可。</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17.</w:t>
      </w:r>
      <w:r>
        <w:rPr>
          <w:rFonts w:hint="eastAsia" w:ascii="宋体" w:hAnsi="宋体" w:eastAsia="宋体" w:cs="宋体"/>
          <w:b w:val="0"/>
          <w:bCs/>
          <w:color w:val="auto"/>
          <w:sz w:val="24"/>
          <w:szCs w:val="24"/>
          <w:highlight w:val="none"/>
        </w:rPr>
        <w:t xml:space="preserve"> 配置清单</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17.1 全自动化学发光测定仪主机</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17.2 检验信息管理系统</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17.3 废物桶</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17.4 废液浮子开关</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17.5 样品盘卡环</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17.6 防尘帽</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17.7 减震垫</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17.8 电源保险</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17.9 USB延长线</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17.10 第一清洗泵泵管</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17.11 第二清洗泵泵管</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17.12 吸废泵泵管</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17.13 稀释液瓶</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17.14 纯水瓶</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17.15 底物瓶A</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17.16 底物瓶B</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17.17 主机电源线</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17.18 VGA线</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17.19 显示器电源线</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17.20 一次性吸头/反应杯</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17.21 显示器</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17.22 特殊清洗液瓶</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17.23 清洗液桶</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17.24 配液桶</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17.25 废液桶</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17.26 用户手册</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17.27 有线键鼠套装</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17.28 软件包</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17.29 条码阅读器</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17.30 条码阅读器支架</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17.31 蛇纹PVC软管</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17.32鼠标垫</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（二）全自动血液细胞分析仪技术参数（CRP）</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1、▲检测原理：采用激光散射法对白细胞进行准确的五分类检测，采用免疫比浊法进行C-反应蛋白（CRP）测定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2、分类通道：具有独立的嗜碱性粒细胞通道</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3、检测参数：≥26项可报告参数（不含散点图和直方图）</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4、▲研究参数：≥6项，具有异常淋巴细胞、有核红细胞和原始细胞报警信息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5、进样方式：全自动进样，封闭进样</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6、▲检测模式：具有独立CRP、五分类+CRP等3种以上全血检测模式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7、样本添加：可随时添加样本</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8、进样器容量：≥40个</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9、▲进样模式：具有独立的静脉全血、末梢全血、预稀释血检测模式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10、▲样本用量：五分类+CRP模式≤40μl，CRP模式≤20μl</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11、▲检测速度：五分类+CRP模式≥50个样本/小时</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12、▲预稀释模式：自动定量打出稀释液，具备五分类+CRP功能</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13、WBC线性范围：0~400×109/L</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14、CRP线性范围：0.3~300mg/L</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15、CRP携带污染：≤1.0%</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16、操作系统：全中文操作分析报告软件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17、排堵方式：正反冲洗，高压灼烧</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18、具有原厂配套的校准品、质控品</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19、工作电压: (100V-240V～)允差±10%</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20、仪器和配套试剂配套溯源性获得国家权威机构CNAS认可资格</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textAlignment w:val="auto"/>
        <w:outlineLvl w:val="9"/>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21、配置清单</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textAlignment w:val="auto"/>
        <w:outlineLvl w:val="9"/>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21.1 主机</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textAlignment w:val="auto"/>
        <w:outlineLvl w:val="9"/>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21.2 电源线</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textAlignment w:val="auto"/>
        <w:outlineLvl w:val="9"/>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21.3 封闭试剂功能</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textAlignment w:val="auto"/>
        <w:outlineLvl w:val="9"/>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21.4 外置条码扫描仪</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textAlignment w:val="auto"/>
        <w:outlineLvl w:val="9"/>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21.5 显示器</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textAlignment w:val="auto"/>
        <w:outlineLvl w:val="9"/>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21.6 计算机主机</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textAlignment w:val="auto"/>
        <w:outlineLvl w:val="9"/>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21.7 0.5ml抗凝管适配器</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textAlignment w:val="auto"/>
        <w:outlineLvl w:val="9"/>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21.8 0.5ml离心管适配器</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textAlignment w:val="auto"/>
        <w:outlineLvl w:val="9"/>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21.9 真空采血管</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textAlignment w:val="auto"/>
        <w:outlineLvl w:val="9"/>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21.10 USB延长线</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textAlignment w:val="auto"/>
        <w:outlineLvl w:val="9"/>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21.11 试剂包</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textAlignment w:val="auto"/>
        <w:outlineLvl w:val="9"/>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21.12 基本附件包</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textAlignment w:val="auto"/>
        <w:outlineLvl w:val="9"/>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21.13 软件</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textAlignment w:val="auto"/>
        <w:outlineLvl w:val="9"/>
        <w:rPr>
          <w:rFonts w:hint="eastAsia" w:ascii="宋体" w:hAnsi="宋体" w:eastAsia="宋体" w:cs="宋体"/>
          <w:b w:val="0"/>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both"/>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（三）全自动血液细胞分析仪技术参数（体液）</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检测方法及原理：半导体激光法、鞘流电阻抗法、荧光染色法、流式细胞技术。</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▲血液模式检测参数：报告参数≥37个参数，能提供三维散点图。</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▲单机检测速度：CBC＋DIFF＋NRBC  ≥110个样本/</w:t>
      </w:r>
      <w:bookmarkStart w:id="0" w:name="OLE_LINK5"/>
      <w:bookmarkStart w:id="1" w:name="OLE_LINK6"/>
      <w:r>
        <w:rPr>
          <w:rFonts w:hint="eastAsia" w:ascii="宋体" w:hAnsi="宋体" w:eastAsia="宋体" w:cs="宋体"/>
          <w:b w:val="0"/>
          <w:bCs/>
          <w:color w:val="auto"/>
          <w:sz w:val="24"/>
          <w:szCs w:val="24"/>
          <w:highlight w:val="none"/>
        </w:rPr>
        <w:t>小时；CBC＋DIFF＋NRBC＋RET ≥60样本/小时</w:t>
      </w:r>
      <w:bookmarkEnd w:id="0"/>
      <w:bookmarkEnd w:id="1"/>
      <w:r>
        <w:rPr>
          <w:rFonts w:hint="eastAsia" w:ascii="宋体" w:hAnsi="宋体" w:eastAsia="宋体" w:cs="宋体"/>
          <w:b w:val="0"/>
          <w:bCs/>
          <w:color w:val="auto"/>
          <w:sz w:val="24"/>
          <w:szCs w:val="24"/>
          <w:highlight w:val="none"/>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▲标配自动进样器，自动进样器内轨标配回退功能</w:t>
      </w:r>
      <w:r>
        <w:rPr>
          <w:rFonts w:hint="eastAsia" w:ascii="宋体" w:hAnsi="宋体" w:eastAsia="宋体" w:cs="宋体"/>
          <w:b w:val="0"/>
          <w:bCs/>
          <w:color w:val="auto"/>
          <w:sz w:val="24"/>
          <w:szCs w:val="24"/>
          <w:highlight w:val="none"/>
          <w:lang w:eastAsia="zh-CN"/>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具有末梢血检测模式，末梢血预稀释模式也能进行白细胞五分类、有核红细胞和网织红细胞检测，有急诊插入功能。</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具有全自动体液（含胸水、腹水、脑脊液和浆膜液等体液）细胞计数和对体液中的白细胞进行分类的功能；具有通过高荧光体液细胞参数对肿瘤细胞进行提示功能。</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使用荧光染料和半导体激光检测WBC五分类，并具有有核红细胞检测功能，并能自动进行对白细胞计数的校正。</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▲体液模式报告检测参数≥7项，研究参数≥6项。单机体液模式下检测速度≥40T/H。</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全自动网织红细胞检测，可对网织红进行分型，提供网织红成熟度指数，网织红细胞检测无需机外染色处理。</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具有检测网织红细胞血红蛋白含量的功能，以帮助判断贫血的类型。</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血小板检测采用鞘流阻抗法和荧光染色法两种方法，并可转换。</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具有低值血小板检测功能，如遇血小板低值时通过自动增加计数颗粒数量来保证血小板检测精度。</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具有低值白细胞检测功能，如遇白细胞低值时自动增加计数颗粒数量来保证检测结果的准确性。</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▲进样模式及样本量：手动全血进样小于35μl，自动穿刺全血进样小于80μl，预稀释模式20μl。</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配备原厂中文报告及数据处理系统。</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血液分析仪主机自带10.4寸大屏幕彩色液晶触摸屏。</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▲血液分析线性范围（静脉血）：白细胞：（0-500）</w:t>
      </w:r>
      <w:r>
        <w:rPr>
          <w:rFonts w:hint="eastAsia" w:ascii="宋体" w:hAnsi="宋体" w:eastAsia="宋体" w:cs="宋体"/>
          <w:b w:val="0"/>
          <w:bCs/>
          <w:color w:val="auto"/>
          <w:sz w:val="24"/>
          <w:szCs w:val="24"/>
          <w:highlight w:val="none"/>
        </w:rPr>
        <w:sym w:font="Symbol" w:char="F0B4"/>
      </w:r>
      <w:r>
        <w:rPr>
          <w:rFonts w:hint="eastAsia" w:ascii="宋体" w:hAnsi="宋体" w:eastAsia="宋体" w:cs="宋体"/>
          <w:b w:val="0"/>
          <w:bCs/>
          <w:color w:val="auto"/>
          <w:sz w:val="24"/>
          <w:szCs w:val="24"/>
          <w:highlight w:val="none"/>
        </w:rPr>
        <w:t xml:space="preserve"> 10</w:t>
      </w:r>
      <w:r>
        <w:rPr>
          <w:rFonts w:hint="eastAsia" w:ascii="宋体" w:hAnsi="宋体" w:eastAsia="宋体" w:cs="宋体"/>
          <w:b w:val="0"/>
          <w:bCs/>
          <w:color w:val="auto"/>
          <w:sz w:val="24"/>
          <w:szCs w:val="24"/>
          <w:highlight w:val="none"/>
          <w:vertAlign w:val="superscript"/>
        </w:rPr>
        <w:t>9</w:t>
      </w:r>
      <w:r>
        <w:rPr>
          <w:rFonts w:hint="eastAsia" w:ascii="宋体" w:hAnsi="宋体" w:eastAsia="宋体" w:cs="宋体"/>
          <w:b w:val="0"/>
          <w:bCs/>
          <w:color w:val="auto"/>
          <w:sz w:val="24"/>
          <w:szCs w:val="24"/>
          <w:highlight w:val="none"/>
        </w:rPr>
        <w:t xml:space="preserve">/L，血小板：（0-5000） </w:t>
      </w:r>
      <w:r>
        <w:rPr>
          <w:rFonts w:hint="eastAsia" w:ascii="宋体" w:hAnsi="宋体" w:eastAsia="宋体" w:cs="宋体"/>
          <w:b w:val="0"/>
          <w:bCs/>
          <w:color w:val="auto"/>
          <w:sz w:val="24"/>
          <w:szCs w:val="24"/>
          <w:highlight w:val="none"/>
        </w:rPr>
        <w:sym w:font="Symbol" w:char="F0B4"/>
      </w:r>
      <w:r>
        <w:rPr>
          <w:rFonts w:hint="eastAsia" w:ascii="宋体" w:hAnsi="宋体" w:eastAsia="宋体" w:cs="宋体"/>
          <w:b w:val="0"/>
          <w:bCs/>
          <w:color w:val="auto"/>
          <w:sz w:val="24"/>
          <w:szCs w:val="24"/>
          <w:highlight w:val="none"/>
        </w:rPr>
        <w:t xml:space="preserve"> 10</w:t>
      </w:r>
      <w:r>
        <w:rPr>
          <w:rFonts w:hint="eastAsia" w:ascii="宋体" w:hAnsi="宋体" w:eastAsia="宋体" w:cs="宋体"/>
          <w:b w:val="0"/>
          <w:bCs/>
          <w:color w:val="auto"/>
          <w:sz w:val="24"/>
          <w:szCs w:val="24"/>
          <w:highlight w:val="none"/>
          <w:vertAlign w:val="superscript"/>
        </w:rPr>
        <w:t>9</w:t>
      </w:r>
      <w:r>
        <w:rPr>
          <w:rFonts w:hint="eastAsia" w:ascii="宋体" w:hAnsi="宋体" w:eastAsia="宋体" w:cs="宋体"/>
          <w:b w:val="0"/>
          <w:bCs/>
          <w:color w:val="auto"/>
          <w:sz w:val="24"/>
          <w:szCs w:val="24"/>
          <w:highlight w:val="none"/>
        </w:rPr>
        <w:t>/L。</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▲可根据医院的发展需求升级组成血液分析流水线。</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具有</w:t>
      </w:r>
      <w:r>
        <w:rPr>
          <w:rFonts w:hint="eastAsia" w:ascii="宋体" w:hAnsi="宋体" w:eastAsia="宋体" w:cs="宋体"/>
          <w:b w:val="0"/>
          <w:bCs/>
          <w:color w:val="auto"/>
          <w:sz w:val="24"/>
          <w:szCs w:val="24"/>
          <w:highlight w:val="none"/>
        </w:rPr>
        <w:t>原厂配套的质控品和校准品。</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运行温度：5~40℃，运行湿度：10~90℃。</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原厂免费提供实时在线网络室间质量控制系统，实现实时的仪器功能监控和远程维护功能。</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配置清单</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textAlignment w:val="auto"/>
        <w:outlineLvl w:val="9"/>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22.1 主机</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textAlignment w:val="auto"/>
        <w:outlineLvl w:val="9"/>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22.2 电源线</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textAlignment w:val="auto"/>
        <w:outlineLvl w:val="9"/>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22.3 外置条码扫描仪</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textAlignment w:val="auto"/>
        <w:outlineLvl w:val="9"/>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22.4 显示器</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textAlignment w:val="auto"/>
        <w:outlineLvl w:val="9"/>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22.5 计算机主机</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textAlignment w:val="auto"/>
        <w:outlineLvl w:val="9"/>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22.6 USB延长线</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textAlignment w:val="auto"/>
        <w:outlineLvl w:val="9"/>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22.7试剂包</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textAlignment w:val="auto"/>
        <w:outlineLvl w:val="9"/>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22.8基本附件包</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textAlignment w:val="auto"/>
        <w:outlineLvl w:val="9"/>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22.9软件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right="0" w:rightChars="0"/>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i w:val="0"/>
          <w:color w:val="auto"/>
          <w:kern w:val="0"/>
          <w:sz w:val="24"/>
          <w:szCs w:val="24"/>
          <w:highlight w:val="none"/>
          <w:u w:val="none"/>
          <w:lang w:val="en-US" w:eastAsia="zh-CN" w:bidi="ar"/>
        </w:rPr>
        <w:t>（四）便携式彩色多普勒超声系统</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一、</w:t>
      </w:r>
      <w:r>
        <w:rPr>
          <w:rFonts w:hint="eastAsia" w:ascii="宋体" w:hAnsi="宋体" w:eastAsia="宋体" w:cs="宋体"/>
          <w:b w:val="0"/>
          <w:bCs/>
          <w:color w:val="auto"/>
          <w:sz w:val="24"/>
          <w:szCs w:val="24"/>
          <w:highlight w:val="none"/>
        </w:rPr>
        <w:t>产品用途说明</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w:t>
      </w:r>
      <w:r>
        <w:rPr>
          <w:rFonts w:hint="eastAsia" w:ascii="宋体" w:hAnsi="宋体" w:eastAsia="宋体" w:cs="宋体"/>
          <w:b w:val="0"/>
          <w:bCs/>
          <w:color w:val="auto"/>
          <w:sz w:val="24"/>
          <w:szCs w:val="24"/>
          <w:highlight w:val="none"/>
        </w:rPr>
        <w:t>腹部、妇科、产科、心脏、小器官与浅表组织、血管、颅脑, 泌尿</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2、</w:t>
      </w:r>
      <w:r>
        <w:rPr>
          <w:rFonts w:hint="eastAsia" w:ascii="宋体" w:hAnsi="宋体" w:eastAsia="宋体" w:cs="宋体"/>
          <w:b w:val="0"/>
          <w:bCs/>
          <w:color w:val="auto"/>
          <w:sz w:val="24"/>
          <w:szCs w:val="24"/>
          <w:highlight w:val="none"/>
        </w:rPr>
        <w:t>介入性超声、儿科、急诊、麻醉、等全身应用</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二、</w:t>
      </w:r>
      <w:r>
        <w:rPr>
          <w:rFonts w:hint="eastAsia" w:ascii="宋体" w:hAnsi="宋体" w:eastAsia="宋体" w:cs="宋体"/>
          <w:b w:val="0"/>
          <w:bCs/>
          <w:color w:val="auto"/>
          <w:sz w:val="24"/>
          <w:szCs w:val="24"/>
          <w:highlight w:val="none"/>
        </w:rPr>
        <w:t>系统技术规格及概述：</w:t>
      </w:r>
    </w:p>
    <w:p>
      <w:pPr>
        <w:pStyle w:val="7"/>
        <w:keepNext w:val="0"/>
        <w:keepLines w:val="0"/>
        <w:pageBreakBefore w:val="0"/>
        <w:widowControl w:val="0"/>
        <w:numPr>
          <w:ilvl w:val="0"/>
          <w:numId w:val="3"/>
        </w:numPr>
        <w:kinsoku/>
        <w:wordWrap/>
        <w:overflowPunct/>
        <w:topLinePunct w:val="0"/>
        <w:autoSpaceDE/>
        <w:autoSpaceDN/>
        <w:bidi w:val="0"/>
        <w:adjustRightInd w:val="0"/>
        <w:snapToGrid w:val="0"/>
        <w:spacing w:line="288" w:lineRule="auto"/>
        <w:ind w:left="0" w:leftChars="0" w:firstLine="0" w:firstLineChars="0"/>
        <w:jc w:val="left"/>
        <w:textAlignment w:val="auto"/>
        <w:rPr>
          <w:rFonts w:hint="eastAsia" w:ascii="宋体" w:hAnsi="宋体" w:eastAsia="宋体" w:cs="宋体"/>
          <w:b w:val="0"/>
          <w:bCs/>
          <w:vanish/>
          <w:color w:val="auto"/>
          <w:sz w:val="24"/>
          <w:szCs w:val="24"/>
          <w:highlight w:val="none"/>
        </w:rPr>
      </w:pPr>
    </w:p>
    <w:p>
      <w:pPr>
        <w:pStyle w:val="7"/>
        <w:keepNext w:val="0"/>
        <w:keepLines w:val="0"/>
        <w:pageBreakBefore w:val="0"/>
        <w:widowControl w:val="0"/>
        <w:numPr>
          <w:ilvl w:val="0"/>
          <w:numId w:val="3"/>
        </w:numPr>
        <w:kinsoku/>
        <w:wordWrap/>
        <w:overflowPunct/>
        <w:topLinePunct w:val="0"/>
        <w:autoSpaceDE/>
        <w:autoSpaceDN/>
        <w:bidi w:val="0"/>
        <w:adjustRightInd w:val="0"/>
        <w:snapToGrid w:val="0"/>
        <w:spacing w:line="288" w:lineRule="auto"/>
        <w:ind w:left="0" w:leftChars="0" w:firstLine="0" w:firstLineChars="0"/>
        <w:jc w:val="left"/>
        <w:textAlignment w:val="auto"/>
        <w:rPr>
          <w:rFonts w:hint="eastAsia" w:ascii="宋体" w:hAnsi="宋体" w:eastAsia="宋体" w:cs="宋体"/>
          <w:b w:val="0"/>
          <w:bCs/>
          <w:vanish/>
          <w:color w:val="auto"/>
          <w:sz w:val="24"/>
          <w:szCs w:val="24"/>
          <w:highlight w:val="none"/>
        </w:rPr>
      </w:pP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w:t>
      </w:r>
      <w:r>
        <w:rPr>
          <w:rFonts w:hint="eastAsia" w:ascii="宋体" w:hAnsi="宋体" w:eastAsia="宋体" w:cs="宋体"/>
          <w:b w:val="0"/>
          <w:bCs/>
          <w:color w:val="auto"/>
          <w:sz w:val="24"/>
          <w:szCs w:val="24"/>
          <w:highlight w:val="none"/>
        </w:rPr>
        <w:t>≥15寸高清晰、医用专业彩色LED显示屏</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2、</w:t>
      </w:r>
      <w:r>
        <w:rPr>
          <w:rFonts w:hint="eastAsia" w:ascii="宋体" w:hAnsi="宋体" w:eastAsia="宋体" w:cs="宋体"/>
          <w:b w:val="0"/>
          <w:bCs/>
          <w:color w:val="auto"/>
          <w:sz w:val="24"/>
          <w:szCs w:val="24"/>
          <w:highlight w:val="none"/>
        </w:rPr>
        <w:t>数字波束增强器</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3、</w:t>
      </w:r>
      <w:r>
        <w:rPr>
          <w:rFonts w:hint="eastAsia" w:ascii="宋体" w:hAnsi="宋体" w:eastAsia="宋体" w:cs="宋体"/>
          <w:b w:val="0"/>
          <w:bCs/>
          <w:color w:val="auto"/>
          <w:sz w:val="24"/>
          <w:szCs w:val="24"/>
          <w:highlight w:val="none"/>
        </w:rPr>
        <w:t>多倍波束合成</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4、</w:t>
      </w:r>
      <w:r>
        <w:rPr>
          <w:rFonts w:hint="eastAsia" w:ascii="宋体" w:hAnsi="宋体" w:eastAsia="宋体" w:cs="宋体"/>
          <w:b w:val="0"/>
          <w:bCs/>
          <w:color w:val="auto"/>
          <w:sz w:val="24"/>
          <w:szCs w:val="24"/>
          <w:highlight w:val="none"/>
        </w:rPr>
        <w:t>二维灰阶模式</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5、</w:t>
      </w:r>
      <w:r>
        <w:rPr>
          <w:rFonts w:hint="eastAsia" w:ascii="宋体" w:hAnsi="宋体" w:eastAsia="宋体" w:cs="宋体"/>
          <w:b w:val="0"/>
          <w:bCs/>
          <w:color w:val="auto"/>
          <w:sz w:val="24"/>
          <w:szCs w:val="24"/>
          <w:highlight w:val="none"/>
        </w:rPr>
        <w:t>组织谐波成像模式</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6、</w:t>
      </w:r>
      <w:r>
        <w:rPr>
          <w:rFonts w:hint="eastAsia" w:ascii="宋体" w:hAnsi="宋体" w:eastAsia="宋体" w:cs="宋体"/>
          <w:b w:val="0"/>
          <w:bCs/>
          <w:color w:val="auto"/>
          <w:sz w:val="24"/>
          <w:szCs w:val="24"/>
          <w:highlight w:val="none"/>
        </w:rPr>
        <w:t>组织特异性成像</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7、</w:t>
      </w:r>
      <w:r>
        <w:rPr>
          <w:rFonts w:hint="eastAsia" w:ascii="宋体" w:hAnsi="宋体" w:eastAsia="宋体" w:cs="宋体"/>
          <w:b w:val="0"/>
          <w:bCs/>
          <w:color w:val="auto"/>
          <w:sz w:val="24"/>
          <w:szCs w:val="24"/>
          <w:highlight w:val="none"/>
        </w:rPr>
        <w:t>空间复合成像</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8、</w:t>
      </w:r>
      <w:r>
        <w:rPr>
          <w:rFonts w:hint="eastAsia" w:ascii="宋体" w:hAnsi="宋体" w:eastAsia="宋体" w:cs="宋体"/>
          <w:b w:val="0"/>
          <w:bCs/>
          <w:color w:val="auto"/>
          <w:sz w:val="24"/>
          <w:szCs w:val="24"/>
          <w:highlight w:val="none"/>
        </w:rPr>
        <w:t>斑点抑制成像</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9、</w:t>
      </w:r>
      <w:r>
        <w:rPr>
          <w:rFonts w:hint="eastAsia" w:ascii="宋体" w:hAnsi="宋体" w:eastAsia="宋体" w:cs="宋体"/>
          <w:b w:val="0"/>
          <w:bCs/>
          <w:color w:val="auto"/>
          <w:sz w:val="24"/>
          <w:szCs w:val="24"/>
          <w:highlight w:val="none"/>
        </w:rPr>
        <w:t>频率复合成像</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10、</w:t>
      </w:r>
      <w:r>
        <w:rPr>
          <w:rFonts w:hint="eastAsia" w:ascii="宋体" w:hAnsi="宋体" w:eastAsia="宋体" w:cs="宋体"/>
          <w:b w:val="0"/>
          <w:bCs/>
          <w:color w:val="auto"/>
          <w:sz w:val="24"/>
          <w:szCs w:val="24"/>
          <w:highlight w:val="none"/>
        </w:rPr>
        <w:t>回波增强技术</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11、</w:t>
      </w:r>
      <w:r>
        <w:rPr>
          <w:rFonts w:hint="eastAsia" w:ascii="宋体" w:hAnsi="宋体" w:eastAsia="宋体" w:cs="宋体"/>
          <w:b w:val="0"/>
          <w:bCs/>
          <w:color w:val="auto"/>
          <w:sz w:val="24"/>
          <w:szCs w:val="24"/>
          <w:highlight w:val="none"/>
        </w:rPr>
        <w:t>M型模式</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12、</w:t>
      </w:r>
      <w:r>
        <w:rPr>
          <w:rFonts w:hint="eastAsia" w:ascii="宋体" w:hAnsi="宋体" w:eastAsia="宋体" w:cs="宋体"/>
          <w:b w:val="0"/>
          <w:bCs/>
          <w:color w:val="auto"/>
          <w:sz w:val="24"/>
          <w:szCs w:val="24"/>
          <w:highlight w:val="none"/>
        </w:rPr>
        <w:t>彩色M型模式</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13、</w:t>
      </w:r>
      <w:r>
        <w:rPr>
          <w:rFonts w:hint="eastAsia" w:ascii="宋体" w:hAnsi="宋体" w:eastAsia="宋体" w:cs="宋体"/>
          <w:b w:val="0"/>
          <w:bCs/>
          <w:color w:val="auto"/>
          <w:sz w:val="24"/>
          <w:szCs w:val="24"/>
          <w:highlight w:val="none"/>
        </w:rPr>
        <w:t>具备解剖M型模式 ，要求M取样线≥2条，能360度任意旋转角度，同时要求支持实时扫描以及后处理离线分析过程中重构M型图像</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14、</w:t>
      </w:r>
      <w:r>
        <w:rPr>
          <w:rFonts w:hint="eastAsia" w:ascii="宋体" w:hAnsi="宋体" w:eastAsia="宋体" w:cs="宋体"/>
          <w:b w:val="0"/>
          <w:bCs/>
          <w:color w:val="auto"/>
          <w:sz w:val="24"/>
          <w:szCs w:val="24"/>
          <w:highlight w:val="none"/>
        </w:rPr>
        <w:t>彩色多普勒成像（包括彩色、能量、方向能量多普勒模式）</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15、</w:t>
      </w:r>
      <w:r>
        <w:rPr>
          <w:rFonts w:hint="eastAsia" w:ascii="宋体" w:hAnsi="宋体" w:eastAsia="宋体" w:cs="宋体"/>
          <w:b w:val="0"/>
          <w:bCs/>
          <w:color w:val="auto"/>
          <w:sz w:val="24"/>
          <w:szCs w:val="24"/>
          <w:highlight w:val="none"/>
        </w:rPr>
        <w:t>超宽动态血流技术</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16、</w:t>
      </w:r>
      <w:r>
        <w:rPr>
          <w:rFonts w:hint="eastAsia" w:ascii="宋体" w:hAnsi="宋体" w:eastAsia="宋体" w:cs="宋体"/>
          <w:b w:val="0"/>
          <w:bCs/>
          <w:color w:val="auto"/>
          <w:sz w:val="24"/>
          <w:szCs w:val="24"/>
          <w:highlight w:val="none"/>
        </w:rPr>
        <w:t>频谱多普勒成像（包括脉冲多普勒、高脉冲重复频率、连续波多普勒）</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17、</w:t>
      </w:r>
      <w:r>
        <w:rPr>
          <w:rFonts w:hint="eastAsia" w:ascii="宋体" w:hAnsi="宋体" w:eastAsia="宋体" w:cs="宋体"/>
          <w:b w:val="0"/>
          <w:bCs/>
          <w:color w:val="auto"/>
          <w:sz w:val="24"/>
          <w:szCs w:val="24"/>
          <w:highlight w:val="none"/>
        </w:rPr>
        <w:t>可支持组织多普勒成像，要求支持四种模式组织多普勒</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18、</w:t>
      </w:r>
      <w:r>
        <w:rPr>
          <w:rFonts w:hint="eastAsia" w:ascii="宋体" w:hAnsi="宋体" w:eastAsia="宋体" w:cs="宋体"/>
          <w:b w:val="0"/>
          <w:bCs/>
          <w:color w:val="auto"/>
          <w:sz w:val="24"/>
          <w:szCs w:val="24"/>
          <w:highlight w:val="none"/>
        </w:rPr>
        <w:t>具备实时宽景成像，要求支持凸阵、线阵和相控阵探头，扫描速度提示，宽景最大扫描长度≥90CM</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19、</w:t>
      </w:r>
      <w:r>
        <w:rPr>
          <w:rFonts w:hint="eastAsia" w:ascii="宋体" w:hAnsi="宋体" w:eastAsia="宋体" w:cs="宋体"/>
          <w:b w:val="0"/>
          <w:bCs/>
          <w:color w:val="auto"/>
          <w:sz w:val="24"/>
          <w:szCs w:val="24"/>
          <w:highlight w:val="none"/>
        </w:rPr>
        <w:t>▲独立角度偏转</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20、</w:t>
      </w:r>
      <w:r>
        <w:rPr>
          <w:rFonts w:hint="eastAsia" w:ascii="宋体" w:hAnsi="宋体" w:eastAsia="宋体" w:cs="宋体"/>
          <w:b w:val="0"/>
          <w:bCs/>
          <w:color w:val="auto"/>
          <w:sz w:val="24"/>
          <w:szCs w:val="24"/>
          <w:highlight w:val="none"/>
        </w:rPr>
        <w:t>▲扩展成像，要求凸阵、线阵探头可用</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21、</w:t>
      </w:r>
      <w:r>
        <w:rPr>
          <w:rFonts w:hint="eastAsia" w:ascii="宋体" w:hAnsi="宋体" w:eastAsia="宋体" w:cs="宋体"/>
          <w:b w:val="0"/>
          <w:bCs/>
          <w:color w:val="auto"/>
          <w:sz w:val="24"/>
          <w:szCs w:val="24"/>
          <w:highlight w:val="none"/>
        </w:rPr>
        <w:t>实时双幅对比成像</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22、</w:t>
      </w:r>
      <w:r>
        <w:rPr>
          <w:rFonts w:hint="eastAsia" w:ascii="宋体" w:hAnsi="宋体" w:eastAsia="宋体" w:cs="宋体"/>
          <w:b w:val="0"/>
          <w:bCs/>
          <w:color w:val="auto"/>
          <w:sz w:val="24"/>
          <w:szCs w:val="24"/>
          <w:highlight w:val="none"/>
        </w:rPr>
        <w:t>▲高分辨率血流成像</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23、</w:t>
      </w:r>
      <w:r>
        <w:rPr>
          <w:rFonts w:hint="eastAsia" w:ascii="宋体" w:hAnsi="宋体" w:eastAsia="宋体" w:cs="宋体"/>
          <w:b w:val="0"/>
          <w:bCs/>
          <w:color w:val="auto"/>
          <w:sz w:val="24"/>
          <w:szCs w:val="24"/>
          <w:highlight w:val="none"/>
        </w:rPr>
        <w:t>▲一键自动优化（包括应用于二维、彩色、频谱模式、TDI及造影）</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24、</w:t>
      </w:r>
      <w:r>
        <w:rPr>
          <w:rFonts w:hint="eastAsia" w:ascii="宋体" w:hAnsi="宋体" w:eastAsia="宋体" w:cs="宋体"/>
          <w:b w:val="0"/>
          <w:bCs/>
          <w:color w:val="auto"/>
          <w:sz w:val="24"/>
          <w:szCs w:val="24"/>
          <w:highlight w:val="none"/>
        </w:rPr>
        <w:t>▲智能多普勒 自动优化频谱多普勒取样线角度，以及快速矫正取样角度</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25、</w:t>
      </w:r>
      <w:r>
        <w:rPr>
          <w:rFonts w:hint="eastAsia" w:ascii="宋体" w:hAnsi="宋体" w:eastAsia="宋体" w:cs="宋体"/>
          <w:b w:val="0"/>
          <w:bCs/>
          <w:color w:val="auto"/>
          <w:sz w:val="24"/>
          <w:szCs w:val="24"/>
          <w:highlight w:val="none"/>
        </w:rPr>
        <w:t>▲一键实现全屏放大</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26、</w:t>
      </w:r>
      <w:r>
        <w:rPr>
          <w:rFonts w:hint="eastAsia" w:ascii="宋体" w:hAnsi="宋体" w:eastAsia="宋体" w:cs="宋体"/>
          <w:b w:val="0"/>
          <w:bCs/>
          <w:color w:val="auto"/>
          <w:sz w:val="24"/>
          <w:szCs w:val="24"/>
          <w:highlight w:val="none"/>
        </w:rPr>
        <w:t>局部放大（支持前端、后端放大）</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27、</w:t>
      </w:r>
      <w:r>
        <w:rPr>
          <w:rFonts w:hint="eastAsia" w:ascii="宋体" w:hAnsi="宋体" w:eastAsia="宋体" w:cs="宋体"/>
          <w:b w:val="0"/>
          <w:bCs/>
          <w:color w:val="auto"/>
          <w:sz w:val="24"/>
          <w:szCs w:val="24"/>
          <w:highlight w:val="none"/>
        </w:rPr>
        <w:t>二维和彩色多谱勒双幅显示</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28、</w:t>
      </w:r>
      <w:r>
        <w:rPr>
          <w:rFonts w:hint="eastAsia" w:ascii="宋体" w:hAnsi="宋体" w:eastAsia="宋体" w:cs="宋体"/>
          <w:b w:val="0"/>
          <w:bCs/>
          <w:color w:val="auto"/>
          <w:sz w:val="24"/>
          <w:szCs w:val="24"/>
          <w:highlight w:val="none"/>
        </w:rPr>
        <w:t>支持穿刺针增强技术，要求具有双屏实时对比显示，增强前后效果，并同时支持增强平面多角度可调</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29、</w:t>
      </w:r>
      <w:r>
        <w:rPr>
          <w:rFonts w:hint="eastAsia" w:ascii="宋体" w:hAnsi="宋体" w:eastAsia="宋体" w:cs="宋体"/>
          <w:b w:val="0"/>
          <w:bCs/>
          <w:color w:val="auto"/>
          <w:sz w:val="24"/>
          <w:szCs w:val="24"/>
          <w:highlight w:val="none"/>
        </w:rPr>
        <w:t>▲支持超声教学软件</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30、</w:t>
      </w:r>
      <w:r>
        <w:rPr>
          <w:rFonts w:hint="eastAsia" w:ascii="宋体" w:hAnsi="宋体" w:eastAsia="宋体" w:cs="宋体"/>
          <w:b w:val="0"/>
          <w:bCs/>
          <w:color w:val="auto"/>
          <w:sz w:val="24"/>
          <w:szCs w:val="24"/>
          <w:highlight w:val="none"/>
        </w:rPr>
        <w:t>▲支持自动工作流协议，可根据医生习惯自定义检查规范，减少重复操作</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31、</w:t>
      </w:r>
      <w:r>
        <w:rPr>
          <w:rFonts w:hint="eastAsia" w:ascii="宋体" w:hAnsi="宋体" w:eastAsia="宋体" w:cs="宋体"/>
          <w:b w:val="0"/>
          <w:bCs/>
          <w:color w:val="auto"/>
          <w:sz w:val="24"/>
          <w:szCs w:val="24"/>
          <w:highlight w:val="none"/>
        </w:rPr>
        <w:t>支持DICOM 3.0</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val="en-US" w:eastAsia="zh-CN"/>
        </w:rPr>
        <w:t>32、</w:t>
      </w:r>
      <w:r>
        <w:rPr>
          <w:rFonts w:hint="eastAsia" w:ascii="宋体" w:hAnsi="宋体" w:eastAsia="宋体" w:cs="宋体"/>
          <w:b w:val="0"/>
          <w:bCs/>
          <w:color w:val="auto"/>
          <w:sz w:val="24"/>
          <w:szCs w:val="24"/>
          <w:highlight w:val="none"/>
        </w:rPr>
        <w:t>支持语言，英语,中文（包括键盘输入、注释、操作面板等）</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三、</w:t>
      </w:r>
      <w:r>
        <w:rPr>
          <w:rFonts w:hint="eastAsia" w:ascii="宋体" w:hAnsi="宋体" w:eastAsia="宋体" w:cs="宋体"/>
          <w:b w:val="0"/>
          <w:bCs/>
          <w:color w:val="auto"/>
          <w:sz w:val="24"/>
          <w:szCs w:val="24"/>
          <w:highlight w:val="none"/>
        </w:rPr>
        <w:t>测量和分析:</w:t>
      </w:r>
    </w:p>
    <w:p>
      <w:pPr>
        <w:pStyle w:val="7"/>
        <w:keepNext w:val="0"/>
        <w:keepLines w:val="0"/>
        <w:pageBreakBefore w:val="0"/>
        <w:widowControl w:val="0"/>
        <w:numPr>
          <w:ilvl w:val="0"/>
          <w:numId w:val="3"/>
        </w:numPr>
        <w:kinsoku/>
        <w:wordWrap/>
        <w:overflowPunct/>
        <w:topLinePunct w:val="0"/>
        <w:autoSpaceDE/>
        <w:autoSpaceDN/>
        <w:bidi w:val="0"/>
        <w:adjustRightInd w:val="0"/>
        <w:snapToGrid w:val="0"/>
        <w:spacing w:line="288" w:lineRule="auto"/>
        <w:ind w:left="0" w:leftChars="0" w:firstLine="0" w:firstLineChars="0"/>
        <w:jc w:val="left"/>
        <w:textAlignment w:val="auto"/>
        <w:rPr>
          <w:rFonts w:hint="eastAsia" w:ascii="宋体" w:hAnsi="宋体" w:eastAsia="宋体" w:cs="宋体"/>
          <w:b w:val="0"/>
          <w:bCs/>
          <w:vanish/>
          <w:color w:val="auto"/>
          <w:sz w:val="24"/>
          <w:szCs w:val="24"/>
          <w:highlight w:val="none"/>
        </w:rPr>
      </w:pP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w:t>
      </w:r>
      <w:r>
        <w:rPr>
          <w:rFonts w:hint="eastAsia" w:ascii="宋体" w:hAnsi="宋体" w:eastAsia="宋体" w:cs="宋体"/>
          <w:b w:val="0"/>
          <w:bCs/>
          <w:color w:val="auto"/>
          <w:sz w:val="24"/>
          <w:szCs w:val="24"/>
          <w:highlight w:val="none"/>
        </w:rPr>
        <w:t>常规测量</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2、</w:t>
      </w:r>
      <w:r>
        <w:rPr>
          <w:rFonts w:hint="eastAsia" w:ascii="宋体" w:hAnsi="宋体" w:eastAsia="宋体" w:cs="宋体"/>
          <w:b w:val="0"/>
          <w:bCs/>
          <w:color w:val="auto"/>
          <w:sz w:val="24"/>
          <w:szCs w:val="24"/>
          <w:highlight w:val="none"/>
        </w:rPr>
        <w:t>距离测量、椭圆及描迹测量面积周长、体积测量</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3、</w:t>
      </w:r>
      <w:r>
        <w:rPr>
          <w:rFonts w:hint="eastAsia" w:ascii="宋体" w:hAnsi="宋体" w:eastAsia="宋体" w:cs="宋体"/>
          <w:b w:val="0"/>
          <w:bCs/>
          <w:color w:val="auto"/>
          <w:sz w:val="24"/>
          <w:szCs w:val="24"/>
          <w:highlight w:val="none"/>
        </w:rPr>
        <w:t>多普勒测量（自动或手动包络测量，自动计算测量参数）</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4、</w:t>
      </w:r>
      <w:r>
        <w:rPr>
          <w:rFonts w:hint="eastAsia" w:ascii="宋体" w:hAnsi="宋体" w:eastAsia="宋体" w:cs="宋体"/>
          <w:b w:val="0"/>
          <w:bCs/>
          <w:color w:val="auto"/>
          <w:sz w:val="24"/>
          <w:szCs w:val="24"/>
          <w:highlight w:val="none"/>
        </w:rPr>
        <w:t>全科测量包，自动生成报告</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5、</w:t>
      </w:r>
      <w:r>
        <w:rPr>
          <w:rFonts w:hint="eastAsia" w:ascii="宋体" w:hAnsi="宋体" w:eastAsia="宋体" w:cs="宋体"/>
          <w:b w:val="0"/>
          <w:bCs/>
          <w:color w:val="auto"/>
          <w:sz w:val="24"/>
          <w:szCs w:val="24"/>
          <w:highlight w:val="none"/>
        </w:rPr>
        <w:t>腹部、妇科、产科、心脏、泌尿、小器官、儿科、血管、神经、急诊科</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6、</w:t>
      </w:r>
      <w:r>
        <w:rPr>
          <w:rFonts w:hint="eastAsia" w:ascii="宋体" w:hAnsi="宋体" w:eastAsia="宋体" w:cs="宋体"/>
          <w:b w:val="0"/>
          <w:bCs/>
          <w:color w:val="auto"/>
          <w:sz w:val="24"/>
          <w:szCs w:val="24"/>
          <w:highlight w:val="none"/>
        </w:rPr>
        <w:t xml:space="preserve">妇科/产科专用测量及分析，含多胎测量、胎儿生理评分、中国人群产科公式 </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7、</w:t>
      </w:r>
      <w:r>
        <w:rPr>
          <w:rFonts w:hint="eastAsia" w:ascii="宋体" w:hAnsi="宋体" w:eastAsia="宋体" w:cs="宋体"/>
          <w:b w:val="0"/>
          <w:bCs/>
          <w:color w:val="auto"/>
          <w:sz w:val="24"/>
          <w:szCs w:val="24"/>
          <w:highlight w:val="none"/>
        </w:rPr>
        <w:t>心脏功能专用测量及分析，包括Simpson BP，Tei指数分析，PISA等</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8、</w:t>
      </w:r>
      <w:r>
        <w:rPr>
          <w:rFonts w:hint="eastAsia" w:ascii="宋体" w:hAnsi="宋体" w:eastAsia="宋体" w:cs="宋体"/>
          <w:b w:val="0"/>
          <w:bCs/>
          <w:color w:val="auto"/>
          <w:sz w:val="24"/>
          <w:szCs w:val="24"/>
          <w:highlight w:val="none"/>
        </w:rPr>
        <w:t>自动左心室收缩功能自动测量</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9、</w:t>
      </w:r>
      <w:r>
        <w:rPr>
          <w:rFonts w:hint="eastAsia" w:ascii="宋体" w:hAnsi="宋体" w:eastAsia="宋体" w:cs="宋体"/>
          <w:b w:val="0"/>
          <w:bCs/>
          <w:color w:val="auto"/>
          <w:sz w:val="24"/>
          <w:szCs w:val="24"/>
          <w:highlight w:val="none"/>
        </w:rPr>
        <w:t>可支持血管内中膜自动测量，可同时进行血管前、后壁的内中膜一段距离的自动描记、自动生成测量数据结果，并具有专业的评估报告和历史回顾分析功能</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val="en-US" w:eastAsia="zh-CN"/>
        </w:rPr>
        <w:t>10、</w:t>
      </w:r>
      <w:r>
        <w:rPr>
          <w:rFonts w:hint="eastAsia" w:ascii="宋体" w:hAnsi="宋体" w:eastAsia="宋体" w:cs="宋体"/>
          <w:b w:val="0"/>
          <w:bCs/>
          <w:color w:val="auto"/>
          <w:sz w:val="24"/>
          <w:szCs w:val="24"/>
          <w:highlight w:val="none"/>
        </w:rPr>
        <w:t>支持用户自定义测量项目以及公式编辑</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四、</w:t>
      </w:r>
      <w:r>
        <w:rPr>
          <w:rFonts w:hint="eastAsia" w:ascii="宋体" w:hAnsi="宋体" w:eastAsia="宋体" w:cs="宋体"/>
          <w:b w:val="0"/>
          <w:bCs/>
          <w:color w:val="auto"/>
          <w:sz w:val="24"/>
          <w:szCs w:val="24"/>
          <w:highlight w:val="none"/>
        </w:rPr>
        <w:t>电影回放及原始数据处理</w:t>
      </w:r>
    </w:p>
    <w:p>
      <w:pPr>
        <w:pStyle w:val="7"/>
        <w:keepNext w:val="0"/>
        <w:keepLines w:val="0"/>
        <w:pageBreakBefore w:val="0"/>
        <w:widowControl w:val="0"/>
        <w:numPr>
          <w:ilvl w:val="0"/>
          <w:numId w:val="3"/>
        </w:numPr>
        <w:kinsoku/>
        <w:wordWrap/>
        <w:overflowPunct/>
        <w:topLinePunct w:val="0"/>
        <w:autoSpaceDE/>
        <w:autoSpaceDN/>
        <w:bidi w:val="0"/>
        <w:adjustRightInd w:val="0"/>
        <w:snapToGrid w:val="0"/>
        <w:spacing w:line="288" w:lineRule="auto"/>
        <w:ind w:left="0" w:leftChars="0" w:firstLine="0" w:firstLineChars="0"/>
        <w:jc w:val="left"/>
        <w:textAlignment w:val="auto"/>
        <w:rPr>
          <w:rFonts w:hint="eastAsia" w:ascii="宋体" w:hAnsi="宋体" w:eastAsia="宋体" w:cs="宋体"/>
          <w:b w:val="0"/>
          <w:bCs/>
          <w:vanish/>
          <w:color w:val="auto"/>
          <w:sz w:val="24"/>
          <w:szCs w:val="24"/>
          <w:highlight w:val="none"/>
        </w:rPr>
      </w:pP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w:t>
      </w:r>
      <w:r>
        <w:rPr>
          <w:rFonts w:hint="eastAsia" w:ascii="宋体" w:hAnsi="宋体" w:eastAsia="宋体" w:cs="宋体"/>
          <w:b w:val="0"/>
          <w:bCs/>
          <w:color w:val="auto"/>
          <w:sz w:val="24"/>
          <w:szCs w:val="24"/>
          <w:highlight w:val="none"/>
        </w:rPr>
        <w:t>所有模式下支持手动、自动回放；支持向后存储和向前存储，时间长度可预置，向后存储≥5分钟的电影</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2、</w:t>
      </w:r>
      <w:r>
        <w:rPr>
          <w:rFonts w:hint="eastAsia" w:ascii="宋体" w:hAnsi="宋体" w:eastAsia="宋体" w:cs="宋体"/>
          <w:b w:val="0"/>
          <w:bCs/>
          <w:color w:val="auto"/>
          <w:sz w:val="24"/>
          <w:szCs w:val="24"/>
          <w:highlight w:val="none"/>
        </w:rPr>
        <w:t>支持保存后的图像对比分析（动态、静态）</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3、</w:t>
      </w:r>
      <w:r>
        <w:rPr>
          <w:rFonts w:hint="eastAsia" w:ascii="宋体" w:hAnsi="宋体" w:eastAsia="宋体" w:cs="宋体"/>
          <w:b w:val="0"/>
          <w:bCs/>
          <w:color w:val="auto"/>
          <w:sz w:val="24"/>
          <w:szCs w:val="24"/>
          <w:highlight w:val="none"/>
        </w:rPr>
        <w:t>原始数据处理，可对回放图像进行参数调节</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4、</w:t>
      </w:r>
      <w:r>
        <w:rPr>
          <w:rFonts w:hint="eastAsia" w:ascii="宋体" w:hAnsi="宋体" w:eastAsia="宋体" w:cs="宋体"/>
          <w:b w:val="0"/>
          <w:bCs/>
          <w:color w:val="auto"/>
          <w:sz w:val="24"/>
          <w:szCs w:val="24"/>
          <w:highlight w:val="none"/>
        </w:rPr>
        <w:t>▲支持同步存储(支持单帧图像文件包含： DCM、TIFF、BMP、JEPG单帧，电影文件包括：CIN、AVI、DCM)，即后台存储或导出图像数据的同时前台可以完成实时扫描。直接一键存储至硬盘，突然关机或未结束检查关机资料不丢失</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val="en-US" w:eastAsia="zh-CN"/>
        </w:rPr>
        <w:t>5、</w:t>
      </w:r>
      <w:r>
        <w:rPr>
          <w:rFonts w:hint="eastAsia" w:ascii="宋体" w:hAnsi="宋体" w:eastAsia="宋体" w:cs="宋体"/>
          <w:b w:val="0"/>
          <w:bCs/>
          <w:color w:val="auto"/>
          <w:sz w:val="24"/>
          <w:szCs w:val="24"/>
          <w:highlight w:val="none"/>
        </w:rPr>
        <w:t>支持一键多功能输出，要求同一个自定义功能按键支持≥4个功能的输出。</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五、</w:t>
      </w:r>
      <w:r>
        <w:rPr>
          <w:rFonts w:hint="eastAsia" w:ascii="宋体" w:hAnsi="宋体" w:eastAsia="宋体" w:cs="宋体"/>
          <w:b w:val="0"/>
          <w:bCs/>
          <w:color w:val="auto"/>
          <w:sz w:val="24"/>
          <w:szCs w:val="24"/>
          <w:highlight w:val="none"/>
        </w:rPr>
        <w:t>检查存储和管理（内置超声工作站）</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w:t>
      </w:r>
      <w:r>
        <w:rPr>
          <w:rFonts w:hint="eastAsia" w:ascii="宋体" w:hAnsi="宋体" w:eastAsia="宋体" w:cs="宋体"/>
          <w:b w:val="0"/>
          <w:bCs/>
          <w:color w:val="auto"/>
          <w:sz w:val="24"/>
          <w:szCs w:val="24"/>
          <w:highlight w:val="none"/>
        </w:rPr>
        <w:t>检查存储</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1.1</w:t>
      </w:r>
      <w:r>
        <w:rPr>
          <w:rFonts w:hint="eastAsia" w:ascii="宋体" w:hAnsi="宋体" w:eastAsia="宋体" w:cs="宋体"/>
          <w:b w:val="0"/>
          <w:bCs/>
          <w:color w:val="auto"/>
          <w:sz w:val="24"/>
          <w:szCs w:val="24"/>
          <w:highlight w:val="none"/>
        </w:rPr>
        <w:t>≥240G硬盘 ，为固态硬盘，速度快，低功耗</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1.2</w:t>
      </w:r>
      <w:r>
        <w:rPr>
          <w:rFonts w:hint="eastAsia" w:ascii="宋体" w:hAnsi="宋体" w:eastAsia="宋体" w:cs="宋体"/>
          <w:b w:val="0"/>
          <w:bCs/>
          <w:color w:val="auto"/>
          <w:sz w:val="24"/>
          <w:szCs w:val="24"/>
          <w:highlight w:val="none"/>
        </w:rPr>
        <w:t>内置超声工作站</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val="en-US" w:eastAsia="zh-CN"/>
        </w:rPr>
        <w:t>1.3</w:t>
      </w:r>
      <w:r>
        <w:rPr>
          <w:rFonts w:hint="eastAsia" w:ascii="宋体" w:hAnsi="宋体" w:eastAsia="宋体" w:cs="宋体"/>
          <w:b w:val="0"/>
          <w:bCs/>
          <w:color w:val="auto"/>
          <w:sz w:val="24"/>
          <w:szCs w:val="24"/>
          <w:highlight w:val="none"/>
        </w:rPr>
        <w:t>多种导出图像格式：动态图像、静态图像以PC格式直接导出，无需特殊软件即能在普通PC 机上直接观看图像。导出、备份图像数据资料同时，可进行实时检查，不影响检查操作</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六、</w:t>
      </w:r>
      <w:r>
        <w:rPr>
          <w:rFonts w:hint="eastAsia" w:ascii="宋体" w:hAnsi="宋体" w:eastAsia="宋体" w:cs="宋体"/>
          <w:b w:val="0"/>
          <w:bCs/>
          <w:color w:val="auto"/>
          <w:sz w:val="24"/>
          <w:szCs w:val="24"/>
          <w:highlight w:val="none"/>
        </w:rPr>
        <w:t>安全和认证</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val="en-US" w:eastAsia="zh-CN"/>
        </w:rPr>
        <w:t>1、</w:t>
      </w:r>
      <w:r>
        <w:rPr>
          <w:rFonts w:hint="eastAsia" w:ascii="宋体" w:hAnsi="宋体" w:eastAsia="宋体" w:cs="宋体"/>
          <w:b w:val="0"/>
          <w:bCs/>
          <w:color w:val="auto"/>
          <w:sz w:val="24"/>
          <w:szCs w:val="24"/>
          <w:highlight w:val="none"/>
        </w:rPr>
        <w:t>经CE、FDA及SFDA认证</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七、</w:t>
      </w:r>
      <w:r>
        <w:rPr>
          <w:rFonts w:hint="eastAsia" w:ascii="宋体" w:hAnsi="宋体" w:eastAsia="宋体" w:cs="宋体"/>
          <w:b w:val="0"/>
          <w:bCs/>
          <w:color w:val="auto"/>
          <w:sz w:val="24"/>
          <w:szCs w:val="24"/>
          <w:highlight w:val="none"/>
        </w:rPr>
        <w:t>技术参数及要求</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w:t>
      </w:r>
      <w:r>
        <w:rPr>
          <w:rFonts w:hint="eastAsia" w:ascii="宋体" w:hAnsi="宋体" w:eastAsia="宋体" w:cs="宋体"/>
          <w:b w:val="0"/>
          <w:bCs/>
          <w:color w:val="auto"/>
          <w:sz w:val="24"/>
          <w:szCs w:val="24"/>
          <w:highlight w:val="none"/>
        </w:rPr>
        <w:t>系统通用功能</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1.1</w:t>
      </w:r>
      <w:r>
        <w:rPr>
          <w:rFonts w:hint="eastAsia" w:ascii="宋体" w:hAnsi="宋体" w:eastAsia="宋体" w:cs="宋体"/>
          <w:b w:val="0"/>
          <w:bCs/>
          <w:color w:val="auto"/>
          <w:sz w:val="24"/>
          <w:szCs w:val="24"/>
          <w:highlight w:val="none"/>
        </w:rPr>
        <w:t>监视器:≥15寸高分辨率、医用专业彩色LED显示屏</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1.2</w:t>
      </w:r>
      <w:r>
        <w:rPr>
          <w:rFonts w:hint="eastAsia" w:ascii="宋体" w:hAnsi="宋体" w:eastAsia="宋体" w:cs="宋体"/>
          <w:b w:val="0"/>
          <w:bCs/>
          <w:color w:val="auto"/>
          <w:sz w:val="24"/>
          <w:szCs w:val="24"/>
          <w:highlight w:val="none"/>
        </w:rPr>
        <w:t>探头接口选择:1个，可扩展到3个</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1.3</w:t>
      </w:r>
      <w:r>
        <w:rPr>
          <w:rFonts w:hint="eastAsia" w:ascii="宋体" w:hAnsi="宋体" w:eastAsia="宋体" w:cs="宋体"/>
          <w:b w:val="0"/>
          <w:bCs/>
          <w:color w:val="auto"/>
          <w:sz w:val="24"/>
          <w:szCs w:val="24"/>
          <w:highlight w:val="none"/>
        </w:rPr>
        <w:t>安全标准：符合商品安全质量要求</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1.4</w:t>
      </w:r>
      <w:r>
        <w:rPr>
          <w:rFonts w:hint="eastAsia" w:ascii="宋体" w:hAnsi="宋体" w:eastAsia="宋体" w:cs="宋体"/>
          <w:b w:val="0"/>
          <w:bCs/>
          <w:color w:val="auto"/>
          <w:sz w:val="24"/>
          <w:szCs w:val="24"/>
          <w:highlight w:val="none"/>
        </w:rPr>
        <w:t>整机重量≤6KG</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1.5</w:t>
      </w:r>
      <w:r>
        <w:rPr>
          <w:rFonts w:hint="eastAsia" w:ascii="宋体" w:hAnsi="宋体" w:eastAsia="宋体" w:cs="宋体"/>
          <w:b w:val="0"/>
          <w:bCs/>
          <w:color w:val="auto"/>
          <w:sz w:val="24"/>
          <w:szCs w:val="24"/>
          <w:highlight w:val="none"/>
        </w:rPr>
        <w:t>支持用户自定义按键数量≥4个</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1.6</w:t>
      </w:r>
      <w:r>
        <w:rPr>
          <w:rFonts w:hint="eastAsia" w:ascii="宋体" w:hAnsi="宋体" w:eastAsia="宋体" w:cs="宋体"/>
          <w:b w:val="0"/>
          <w:bCs/>
          <w:color w:val="auto"/>
          <w:sz w:val="24"/>
          <w:szCs w:val="24"/>
          <w:highlight w:val="none"/>
        </w:rPr>
        <w:t>探头规格</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1.6.1</w:t>
      </w:r>
      <w:r>
        <w:rPr>
          <w:rFonts w:hint="eastAsia" w:ascii="宋体" w:hAnsi="宋体" w:eastAsia="宋体" w:cs="宋体"/>
          <w:b w:val="0"/>
          <w:bCs/>
          <w:color w:val="auto"/>
          <w:sz w:val="24"/>
          <w:szCs w:val="24"/>
          <w:highlight w:val="none"/>
        </w:rPr>
        <w:t>频率: 宽频带变频探头,两维和彩色独立变频</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1.6.2</w:t>
      </w:r>
      <w:r>
        <w:rPr>
          <w:rFonts w:hint="eastAsia" w:ascii="宋体" w:hAnsi="宋体" w:eastAsia="宋体" w:cs="宋体"/>
          <w:b w:val="0"/>
          <w:bCs/>
          <w:color w:val="auto"/>
          <w:sz w:val="24"/>
          <w:szCs w:val="24"/>
          <w:highlight w:val="none"/>
        </w:rPr>
        <w:t>凸阵探头具有≥7种频率的变频范围，常规扫描角度≥61度，扫描角度最大扩展后≥100度</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1.6.3</w:t>
      </w:r>
      <w:r>
        <w:rPr>
          <w:rFonts w:hint="eastAsia" w:ascii="宋体" w:hAnsi="宋体" w:eastAsia="宋体" w:cs="宋体"/>
          <w:b w:val="0"/>
          <w:bCs/>
          <w:color w:val="auto"/>
          <w:sz w:val="24"/>
          <w:szCs w:val="24"/>
          <w:highlight w:val="none"/>
        </w:rPr>
        <w:t xml:space="preserve">线阵探头具有≥6种频率的变频范围，支持梯形扩展显示 </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1.6.4</w:t>
      </w:r>
      <w:r>
        <w:rPr>
          <w:rFonts w:hint="eastAsia" w:ascii="宋体" w:hAnsi="宋体" w:eastAsia="宋体" w:cs="宋体"/>
          <w:b w:val="0"/>
          <w:bCs/>
          <w:color w:val="auto"/>
          <w:sz w:val="24"/>
          <w:szCs w:val="24"/>
          <w:highlight w:val="none"/>
        </w:rPr>
        <w:t>相控阵探头具有≥6种频率的变频范围，扫描角度≥90度</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1.7</w:t>
      </w:r>
      <w:r>
        <w:rPr>
          <w:rFonts w:hint="eastAsia" w:ascii="宋体" w:hAnsi="宋体" w:eastAsia="宋体" w:cs="宋体"/>
          <w:b w:val="0"/>
          <w:bCs/>
          <w:color w:val="auto"/>
          <w:sz w:val="24"/>
          <w:szCs w:val="24"/>
          <w:highlight w:val="none"/>
        </w:rPr>
        <w:t>二维灰阶模式</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1.7.1</w:t>
      </w:r>
      <w:r>
        <w:rPr>
          <w:rFonts w:hint="eastAsia" w:ascii="宋体" w:hAnsi="宋体" w:eastAsia="宋体" w:cs="宋体"/>
          <w:b w:val="0"/>
          <w:bCs/>
          <w:color w:val="auto"/>
          <w:sz w:val="24"/>
          <w:szCs w:val="24"/>
          <w:highlight w:val="none"/>
        </w:rPr>
        <w:t>数字化声束形成器</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1.7.2</w:t>
      </w:r>
      <w:r>
        <w:rPr>
          <w:rFonts w:hint="eastAsia" w:ascii="宋体" w:hAnsi="宋体" w:eastAsia="宋体" w:cs="宋体"/>
          <w:b w:val="0"/>
          <w:bCs/>
          <w:color w:val="auto"/>
          <w:sz w:val="24"/>
          <w:szCs w:val="24"/>
          <w:highlight w:val="none"/>
        </w:rPr>
        <w:t>数字化全程动态聚焦，数字化可变孔径及动态变迹，A/D≥12 bit</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1.7.3</w:t>
      </w:r>
      <w:r>
        <w:rPr>
          <w:rFonts w:hint="eastAsia" w:ascii="宋体" w:hAnsi="宋体" w:eastAsia="宋体" w:cs="宋体"/>
          <w:b w:val="0"/>
          <w:bCs/>
          <w:color w:val="auto"/>
          <w:sz w:val="24"/>
          <w:szCs w:val="24"/>
          <w:highlight w:val="none"/>
        </w:rPr>
        <w:t>接收方式：发射、接收通道≥1024，多倍信号并行处理</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1.7.4</w:t>
      </w:r>
      <w:r>
        <w:rPr>
          <w:rFonts w:hint="eastAsia" w:ascii="宋体" w:hAnsi="宋体" w:eastAsia="宋体" w:cs="宋体"/>
          <w:b w:val="0"/>
          <w:bCs/>
          <w:color w:val="auto"/>
          <w:sz w:val="24"/>
          <w:szCs w:val="24"/>
          <w:highlight w:val="none"/>
        </w:rPr>
        <w:t>扫描线：每帧线密度≥512超声线</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1.7.5</w:t>
      </w:r>
      <w:r>
        <w:rPr>
          <w:rFonts w:hint="eastAsia" w:ascii="宋体" w:hAnsi="宋体" w:eastAsia="宋体" w:cs="宋体"/>
          <w:b w:val="0"/>
          <w:bCs/>
          <w:color w:val="auto"/>
          <w:sz w:val="24"/>
          <w:szCs w:val="24"/>
          <w:highlight w:val="none"/>
        </w:rPr>
        <w:t>发射声束聚焦：发射≥8段</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1.7.6</w:t>
      </w:r>
      <w:r>
        <w:rPr>
          <w:rFonts w:hint="eastAsia" w:ascii="宋体" w:hAnsi="宋体" w:eastAsia="宋体" w:cs="宋体"/>
          <w:b w:val="0"/>
          <w:bCs/>
          <w:color w:val="auto"/>
          <w:sz w:val="24"/>
          <w:szCs w:val="24"/>
          <w:highlight w:val="none"/>
        </w:rPr>
        <w:t>扫描频率：</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1.7.7</w:t>
      </w:r>
      <w:r>
        <w:rPr>
          <w:rFonts w:hint="eastAsia" w:ascii="宋体" w:hAnsi="宋体" w:eastAsia="宋体" w:cs="宋体"/>
          <w:b w:val="0"/>
          <w:bCs/>
          <w:color w:val="auto"/>
          <w:sz w:val="24"/>
          <w:szCs w:val="24"/>
          <w:highlight w:val="none"/>
        </w:rPr>
        <w:t>电子凸阵：超声频率</w:t>
      </w:r>
      <w:r>
        <w:rPr>
          <w:rFonts w:hint="eastAsia" w:ascii="宋体" w:hAnsi="宋体" w:eastAsia="宋体" w:cs="宋体"/>
          <w:b w:val="0"/>
          <w:bCs/>
          <w:color w:val="auto"/>
          <w:sz w:val="24"/>
          <w:szCs w:val="24"/>
          <w:highlight w:val="none"/>
        </w:rPr>
        <w:tab/>
      </w:r>
      <w:r>
        <w:rPr>
          <w:rFonts w:hint="eastAsia" w:ascii="宋体" w:hAnsi="宋体" w:eastAsia="宋体" w:cs="宋体"/>
          <w:b w:val="0"/>
          <w:bCs/>
          <w:color w:val="auto"/>
          <w:sz w:val="24"/>
          <w:szCs w:val="24"/>
          <w:highlight w:val="none"/>
        </w:rPr>
        <w:t>1.3- 6.0 MHz</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1.7.8</w:t>
      </w:r>
      <w:r>
        <w:rPr>
          <w:rFonts w:hint="eastAsia" w:ascii="宋体" w:hAnsi="宋体" w:eastAsia="宋体" w:cs="宋体"/>
          <w:b w:val="0"/>
          <w:bCs/>
          <w:color w:val="auto"/>
          <w:sz w:val="24"/>
          <w:szCs w:val="24"/>
          <w:highlight w:val="none"/>
        </w:rPr>
        <w:t>电子相控阵：超声频率1.5- 4.5MHz</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1.7.9</w:t>
      </w:r>
      <w:r>
        <w:rPr>
          <w:rFonts w:hint="eastAsia" w:ascii="宋体" w:hAnsi="宋体" w:eastAsia="宋体" w:cs="宋体"/>
          <w:b w:val="0"/>
          <w:bCs/>
          <w:color w:val="auto"/>
          <w:sz w:val="24"/>
          <w:szCs w:val="24"/>
          <w:highlight w:val="none"/>
        </w:rPr>
        <w:t>电子线阵：超声频率</w:t>
      </w:r>
      <w:r>
        <w:rPr>
          <w:rFonts w:hint="eastAsia" w:ascii="宋体" w:hAnsi="宋体" w:eastAsia="宋体" w:cs="宋体"/>
          <w:b w:val="0"/>
          <w:bCs/>
          <w:color w:val="auto"/>
          <w:sz w:val="24"/>
          <w:szCs w:val="24"/>
          <w:highlight w:val="none"/>
        </w:rPr>
        <w:tab/>
      </w:r>
      <w:r>
        <w:rPr>
          <w:rFonts w:hint="eastAsia" w:ascii="宋体" w:hAnsi="宋体" w:eastAsia="宋体" w:cs="宋体"/>
          <w:b w:val="0"/>
          <w:bCs/>
          <w:color w:val="auto"/>
          <w:sz w:val="24"/>
          <w:szCs w:val="24"/>
          <w:highlight w:val="none"/>
        </w:rPr>
        <w:t>5.4-13.5MHz</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1.7.10</w:t>
      </w:r>
      <w:r>
        <w:rPr>
          <w:rFonts w:hint="eastAsia" w:ascii="宋体" w:hAnsi="宋体" w:eastAsia="宋体" w:cs="宋体"/>
          <w:b w:val="0"/>
          <w:bCs/>
          <w:color w:val="auto"/>
          <w:sz w:val="24"/>
          <w:szCs w:val="24"/>
          <w:highlight w:val="none"/>
        </w:rPr>
        <w:t>预设条件：针对不同的检查脏器，预置最佳图像检查条件</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1.7.11</w:t>
      </w:r>
      <w:r>
        <w:rPr>
          <w:rFonts w:hint="eastAsia" w:ascii="宋体" w:hAnsi="宋体" w:eastAsia="宋体" w:cs="宋体"/>
          <w:b w:val="0"/>
          <w:bCs/>
          <w:color w:val="auto"/>
          <w:sz w:val="24"/>
          <w:szCs w:val="24"/>
          <w:highlight w:val="none"/>
        </w:rPr>
        <w:t xml:space="preserve">▲最大显示深度:≥39cm </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 xml:space="preserve">1.7.12 </w:t>
      </w:r>
      <w:r>
        <w:rPr>
          <w:rFonts w:hint="eastAsia" w:ascii="宋体" w:hAnsi="宋体" w:eastAsia="宋体" w:cs="宋体"/>
          <w:b w:val="0"/>
          <w:bCs/>
          <w:color w:val="auto"/>
          <w:sz w:val="24"/>
          <w:szCs w:val="24"/>
          <w:highlight w:val="none"/>
        </w:rPr>
        <w:t>最大帧率: ≥999 帧/秒</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 xml:space="preserve">1.7.13 </w:t>
      </w:r>
      <w:r>
        <w:rPr>
          <w:rFonts w:hint="eastAsia" w:ascii="宋体" w:hAnsi="宋体" w:eastAsia="宋体" w:cs="宋体"/>
          <w:b w:val="0"/>
          <w:bCs/>
          <w:color w:val="auto"/>
          <w:sz w:val="24"/>
          <w:szCs w:val="24"/>
          <w:highlight w:val="none"/>
        </w:rPr>
        <w:t>TGC: ≥8段</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 xml:space="preserve">1.7.14 </w:t>
      </w:r>
      <w:r>
        <w:rPr>
          <w:rFonts w:hint="eastAsia" w:ascii="宋体" w:hAnsi="宋体" w:eastAsia="宋体" w:cs="宋体"/>
          <w:b w:val="0"/>
          <w:bCs/>
          <w:color w:val="auto"/>
          <w:sz w:val="24"/>
          <w:szCs w:val="24"/>
          <w:highlight w:val="none"/>
        </w:rPr>
        <w:t>LGC: ≥4段</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 xml:space="preserve">1.7.15 </w:t>
      </w:r>
      <w:r>
        <w:rPr>
          <w:rFonts w:hint="eastAsia" w:ascii="宋体" w:hAnsi="宋体" w:eastAsia="宋体" w:cs="宋体"/>
          <w:b w:val="0"/>
          <w:bCs/>
          <w:color w:val="auto"/>
          <w:sz w:val="24"/>
          <w:szCs w:val="24"/>
          <w:highlight w:val="none"/>
        </w:rPr>
        <w:t>二维灰阶：≥256</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 xml:space="preserve">1.7.16 </w:t>
      </w:r>
      <w:r>
        <w:rPr>
          <w:rFonts w:hint="eastAsia" w:ascii="宋体" w:hAnsi="宋体" w:eastAsia="宋体" w:cs="宋体"/>
          <w:b w:val="0"/>
          <w:bCs/>
          <w:color w:val="auto"/>
          <w:sz w:val="24"/>
          <w:szCs w:val="24"/>
          <w:highlight w:val="none"/>
        </w:rPr>
        <w:t>▲动态范围: 30-190db（可视可调）</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 xml:space="preserve">1.7.17 </w:t>
      </w:r>
      <w:r>
        <w:rPr>
          <w:rFonts w:hint="eastAsia" w:ascii="宋体" w:hAnsi="宋体" w:eastAsia="宋体" w:cs="宋体"/>
          <w:b w:val="0"/>
          <w:bCs/>
          <w:color w:val="auto"/>
          <w:sz w:val="24"/>
          <w:szCs w:val="24"/>
          <w:highlight w:val="none"/>
        </w:rPr>
        <w:t>增益调节: B/M/D分别独立可调，≥100</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 xml:space="preserve">1.7.18 </w:t>
      </w:r>
      <w:r>
        <w:rPr>
          <w:rFonts w:hint="eastAsia" w:ascii="宋体" w:hAnsi="宋体" w:eastAsia="宋体" w:cs="宋体"/>
          <w:b w:val="0"/>
          <w:bCs/>
          <w:color w:val="auto"/>
          <w:sz w:val="24"/>
          <w:szCs w:val="24"/>
          <w:highlight w:val="none"/>
        </w:rPr>
        <w:t>伪彩图谱: ≥8种</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 xml:space="preserve">1.7.19 </w:t>
      </w:r>
      <w:r>
        <w:rPr>
          <w:rFonts w:hint="eastAsia" w:ascii="宋体" w:hAnsi="宋体" w:eastAsia="宋体" w:cs="宋体"/>
          <w:b w:val="0"/>
          <w:bCs/>
          <w:color w:val="auto"/>
          <w:sz w:val="24"/>
          <w:szCs w:val="24"/>
          <w:highlight w:val="none"/>
        </w:rPr>
        <w:t>体位标记：≥120种，可以自定义注释</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 xml:space="preserve">1.7.20 </w:t>
      </w:r>
      <w:r>
        <w:rPr>
          <w:rFonts w:hint="eastAsia" w:ascii="宋体" w:hAnsi="宋体" w:eastAsia="宋体" w:cs="宋体"/>
          <w:b w:val="0"/>
          <w:bCs/>
          <w:color w:val="auto"/>
          <w:sz w:val="24"/>
          <w:szCs w:val="24"/>
          <w:highlight w:val="none"/>
        </w:rPr>
        <w:t>扫描帧率：诊断深度18cm，相控阵探头全视野时≥61帧／秒</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 xml:space="preserve">1.8 </w:t>
      </w:r>
      <w:r>
        <w:rPr>
          <w:rFonts w:hint="eastAsia" w:ascii="宋体" w:hAnsi="宋体" w:eastAsia="宋体" w:cs="宋体"/>
          <w:b w:val="0"/>
          <w:bCs/>
          <w:color w:val="auto"/>
          <w:sz w:val="24"/>
          <w:szCs w:val="24"/>
          <w:highlight w:val="none"/>
        </w:rPr>
        <w:t>彩色多普勒成像</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 xml:space="preserve">1.8.1 </w:t>
      </w:r>
      <w:r>
        <w:rPr>
          <w:rFonts w:hint="eastAsia" w:ascii="宋体" w:hAnsi="宋体" w:eastAsia="宋体" w:cs="宋体"/>
          <w:b w:val="0"/>
          <w:bCs/>
          <w:color w:val="auto"/>
          <w:sz w:val="24"/>
          <w:szCs w:val="24"/>
          <w:highlight w:val="none"/>
        </w:rPr>
        <w:t>包括速度、速度方差、能量、方向能量显示等</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 xml:space="preserve">1.8.2 </w:t>
      </w:r>
      <w:r>
        <w:rPr>
          <w:rFonts w:hint="eastAsia" w:ascii="宋体" w:hAnsi="宋体" w:eastAsia="宋体" w:cs="宋体"/>
          <w:b w:val="0"/>
          <w:bCs/>
          <w:color w:val="auto"/>
          <w:sz w:val="24"/>
          <w:szCs w:val="24"/>
          <w:highlight w:val="none"/>
        </w:rPr>
        <w:t>显示方式：B/C、B/C/M、B/POWER、B/C/PW</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 xml:space="preserve">1.8.3 </w:t>
      </w:r>
      <w:r>
        <w:rPr>
          <w:rFonts w:hint="eastAsia" w:ascii="宋体" w:hAnsi="宋体" w:eastAsia="宋体" w:cs="宋体"/>
          <w:b w:val="0"/>
          <w:bCs/>
          <w:color w:val="auto"/>
          <w:sz w:val="24"/>
          <w:szCs w:val="24"/>
          <w:highlight w:val="none"/>
        </w:rPr>
        <w:t>取样框偏转: ≥±30度 (线阵探头)</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 xml:space="preserve">1.8.4 </w:t>
      </w:r>
      <w:r>
        <w:rPr>
          <w:rFonts w:hint="eastAsia" w:ascii="宋体" w:hAnsi="宋体" w:eastAsia="宋体" w:cs="宋体"/>
          <w:b w:val="0"/>
          <w:bCs/>
          <w:color w:val="auto"/>
          <w:sz w:val="24"/>
          <w:szCs w:val="24"/>
          <w:highlight w:val="none"/>
        </w:rPr>
        <w:t>最大帧率: ≥244 帧/秒</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 xml:space="preserve">1.8.5 </w:t>
      </w:r>
      <w:r>
        <w:rPr>
          <w:rFonts w:hint="eastAsia" w:ascii="宋体" w:hAnsi="宋体" w:eastAsia="宋体" w:cs="宋体"/>
          <w:b w:val="0"/>
          <w:bCs/>
          <w:color w:val="auto"/>
          <w:sz w:val="24"/>
          <w:szCs w:val="24"/>
          <w:highlight w:val="none"/>
        </w:rPr>
        <w:t>支持B/C 同宽</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 xml:space="preserve">1.9 </w:t>
      </w:r>
      <w:r>
        <w:rPr>
          <w:rFonts w:hint="eastAsia" w:ascii="宋体" w:hAnsi="宋体" w:eastAsia="宋体" w:cs="宋体"/>
          <w:b w:val="0"/>
          <w:bCs/>
          <w:color w:val="auto"/>
          <w:sz w:val="24"/>
          <w:szCs w:val="24"/>
          <w:highlight w:val="none"/>
        </w:rPr>
        <w:t>频谱多普勒模式</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 xml:space="preserve">1.9.1 </w:t>
      </w:r>
      <w:r>
        <w:rPr>
          <w:rFonts w:hint="eastAsia" w:ascii="宋体" w:hAnsi="宋体" w:eastAsia="宋体" w:cs="宋体"/>
          <w:b w:val="0"/>
          <w:bCs/>
          <w:color w:val="auto"/>
          <w:sz w:val="24"/>
          <w:szCs w:val="24"/>
          <w:highlight w:val="none"/>
        </w:rPr>
        <w:t>包括脉冲多普勒、高脉冲重复频率、连续多普勒</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 xml:space="preserve">1.9.2 </w:t>
      </w:r>
      <w:r>
        <w:rPr>
          <w:rFonts w:hint="eastAsia" w:ascii="宋体" w:hAnsi="宋体" w:eastAsia="宋体" w:cs="宋体"/>
          <w:b w:val="0"/>
          <w:bCs/>
          <w:color w:val="auto"/>
          <w:sz w:val="24"/>
          <w:szCs w:val="24"/>
          <w:highlight w:val="none"/>
        </w:rPr>
        <w:t>显示方式：B, PW，B/PW, B/C/PW, B/CW, B/C/CW等等</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 xml:space="preserve">1.9.3 </w:t>
      </w:r>
      <w:r>
        <w:rPr>
          <w:rFonts w:hint="eastAsia" w:ascii="宋体" w:hAnsi="宋体" w:eastAsia="宋体" w:cs="宋体"/>
          <w:b w:val="0"/>
          <w:bCs/>
          <w:color w:val="auto"/>
          <w:sz w:val="24"/>
          <w:szCs w:val="24"/>
          <w:highlight w:val="none"/>
        </w:rPr>
        <w:t>显示控制：反转、零移位、B刷新、D扩展、B/D扩展等</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 xml:space="preserve">1.9.4 </w:t>
      </w:r>
      <w:r>
        <w:rPr>
          <w:rFonts w:hint="eastAsia" w:ascii="宋体" w:hAnsi="宋体" w:eastAsia="宋体" w:cs="宋体"/>
          <w:b w:val="0"/>
          <w:bCs/>
          <w:color w:val="auto"/>
          <w:sz w:val="24"/>
          <w:szCs w:val="24"/>
          <w:highlight w:val="none"/>
        </w:rPr>
        <w:t>最大速度: ≥9.21m/s（连续多普勒速度: ≥35m/s）</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 xml:space="preserve">1.9.5 </w:t>
      </w:r>
      <w:r>
        <w:rPr>
          <w:rFonts w:hint="eastAsia" w:ascii="宋体" w:hAnsi="宋体" w:eastAsia="宋体" w:cs="宋体"/>
          <w:b w:val="0"/>
          <w:bCs/>
          <w:color w:val="auto"/>
          <w:sz w:val="24"/>
          <w:szCs w:val="24"/>
          <w:highlight w:val="none"/>
        </w:rPr>
        <w:t>最小速度: ≤1 mm /s（非噪声信号）</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1.9.6</w:t>
      </w:r>
      <w:r>
        <w:rPr>
          <w:rFonts w:hint="eastAsia" w:ascii="宋体" w:hAnsi="宋体" w:eastAsia="宋体" w:cs="宋体"/>
          <w:b w:val="0"/>
          <w:bCs/>
          <w:color w:val="auto"/>
          <w:sz w:val="24"/>
          <w:szCs w:val="24"/>
          <w:highlight w:val="none"/>
        </w:rPr>
        <w:t xml:space="preserve">取样容积: 0.5-20mm </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1.9.7</w:t>
      </w:r>
      <w:r>
        <w:rPr>
          <w:rFonts w:hint="eastAsia" w:ascii="宋体" w:hAnsi="宋体" w:eastAsia="宋体" w:cs="宋体"/>
          <w:b w:val="0"/>
          <w:bCs/>
          <w:color w:val="auto"/>
          <w:sz w:val="24"/>
          <w:szCs w:val="24"/>
          <w:highlight w:val="none"/>
        </w:rPr>
        <w:t>偏转角度: ≥±30度 (线阵探头)</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1.9.8</w:t>
      </w:r>
      <w:r>
        <w:rPr>
          <w:rFonts w:hint="eastAsia" w:ascii="宋体" w:hAnsi="宋体" w:eastAsia="宋体" w:cs="宋体"/>
          <w:b w:val="0"/>
          <w:bCs/>
          <w:color w:val="auto"/>
          <w:sz w:val="24"/>
          <w:szCs w:val="24"/>
          <w:highlight w:val="none"/>
        </w:rPr>
        <w:t>零位移动：≥8 级</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1.9.9</w:t>
      </w:r>
      <w:r>
        <w:rPr>
          <w:rFonts w:hint="eastAsia" w:ascii="宋体" w:hAnsi="宋体" w:eastAsia="宋体" w:cs="宋体"/>
          <w:b w:val="0"/>
          <w:bCs/>
          <w:color w:val="auto"/>
          <w:sz w:val="24"/>
          <w:szCs w:val="24"/>
          <w:highlight w:val="none"/>
        </w:rPr>
        <w:t>快速角度校正</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1.9.10</w:t>
      </w:r>
      <w:r>
        <w:rPr>
          <w:rFonts w:hint="eastAsia" w:ascii="宋体" w:hAnsi="宋体" w:eastAsia="宋体" w:cs="宋体"/>
          <w:b w:val="0"/>
          <w:bCs/>
          <w:color w:val="auto"/>
          <w:sz w:val="24"/>
          <w:szCs w:val="24"/>
          <w:highlight w:val="none"/>
        </w:rPr>
        <w:t>支持频谱自动测量</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val="en-US" w:eastAsia="zh-CN"/>
        </w:rPr>
        <w:t>1.9.11</w:t>
      </w:r>
      <w:r>
        <w:rPr>
          <w:rFonts w:hint="eastAsia" w:ascii="宋体" w:hAnsi="宋体" w:eastAsia="宋体" w:cs="宋体"/>
          <w:b w:val="0"/>
          <w:bCs/>
          <w:color w:val="auto"/>
          <w:sz w:val="24"/>
          <w:szCs w:val="24"/>
          <w:highlight w:val="none"/>
        </w:rPr>
        <w:t>可支持组织多普勒成像（包括组织速度图、能量图、M型、频谱成像4种模式）</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八、</w:t>
      </w:r>
      <w:r>
        <w:rPr>
          <w:rFonts w:hint="eastAsia" w:ascii="宋体" w:hAnsi="宋体" w:eastAsia="宋体" w:cs="宋体"/>
          <w:b w:val="0"/>
          <w:bCs/>
          <w:color w:val="auto"/>
          <w:sz w:val="24"/>
          <w:szCs w:val="24"/>
          <w:highlight w:val="none"/>
        </w:rPr>
        <w:t>连通性</w:t>
      </w:r>
    </w:p>
    <w:p>
      <w:pPr>
        <w:pStyle w:val="7"/>
        <w:keepNext w:val="0"/>
        <w:keepLines w:val="0"/>
        <w:pageBreakBefore w:val="0"/>
        <w:widowControl w:val="0"/>
        <w:numPr>
          <w:ilvl w:val="0"/>
          <w:numId w:val="3"/>
        </w:numPr>
        <w:kinsoku/>
        <w:wordWrap/>
        <w:overflowPunct/>
        <w:topLinePunct w:val="0"/>
        <w:autoSpaceDE/>
        <w:autoSpaceDN/>
        <w:bidi w:val="0"/>
        <w:adjustRightInd w:val="0"/>
        <w:snapToGrid w:val="0"/>
        <w:spacing w:line="288" w:lineRule="auto"/>
        <w:ind w:left="0" w:leftChars="0" w:firstLine="0" w:firstLineChars="0"/>
        <w:jc w:val="left"/>
        <w:textAlignment w:val="auto"/>
        <w:rPr>
          <w:rFonts w:hint="eastAsia" w:ascii="宋体" w:hAnsi="宋体" w:eastAsia="宋体" w:cs="宋体"/>
          <w:b w:val="0"/>
          <w:bCs/>
          <w:vanish/>
          <w:color w:val="auto"/>
          <w:sz w:val="24"/>
          <w:szCs w:val="24"/>
          <w:highlight w:val="none"/>
        </w:rPr>
      </w:pP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w:t>
      </w:r>
      <w:r>
        <w:rPr>
          <w:rFonts w:hint="eastAsia" w:ascii="宋体" w:hAnsi="宋体" w:eastAsia="宋体" w:cs="宋体"/>
          <w:b w:val="0"/>
          <w:bCs/>
          <w:color w:val="auto"/>
          <w:sz w:val="24"/>
          <w:szCs w:val="24"/>
          <w:highlight w:val="none"/>
        </w:rPr>
        <w:t>输入/输出信号:</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2、</w:t>
      </w:r>
      <w:r>
        <w:rPr>
          <w:rFonts w:hint="eastAsia" w:ascii="宋体" w:hAnsi="宋体" w:eastAsia="宋体" w:cs="宋体"/>
          <w:b w:val="0"/>
          <w:bCs/>
          <w:color w:val="auto"/>
          <w:sz w:val="24"/>
          <w:szCs w:val="24"/>
          <w:highlight w:val="none"/>
        </w:rPr>
        <w:t>输入: VCR, 外部视频, RGB彩色视频</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3、</w:t>
      </w:r>
      <w:r>
        <w:rPr>
          <w:rFonts w:hint="eastAsia" w:ascii="宋体" w:hAnsi="宋体" w:eastAsia="宋体" w:cs="宋体"/>
          <w:b w:val="0"/>
          <w:bCs/>
          <w:color w:val="auto"/>
          <w:sz w:val="24"/>
          <w:szCs w:val="24"/>
          <w:highlight w:val="none"/>
        </w:rPr>
        <w:t>输出: 高清影视频接口，复合视频, RGB彩色视频, S---视频</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4、</w:t>
      </w:r>
      <w:r>
        <w:rPr>
          <w:rFonts w:hint="eastAsia" w:ascii="宋体" w:hAnsi="宋体" w:eastAsia="宋体" w:cs="宋体"/>
          <w:b w:val="0"/>
          <w:bCs/>
          <w:color w:val="auto"/>
          <w:sz w:val="24"/>
          <w:szCs w:val="24"/>
          <w:highlight w:val="none"/>
        </w:rPr>
        <w:t>支持数据无线传输</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5、</w:t>
      </w:r>
      <w:r>
        <w:rPr>
          <w:rFonts w:hint="eastAsia" w:ascii="宋体" w:hAnsi="宋体" w:eastAsia="宋体" w:cs="宋体"/>
          <w:b w:val="0"/>
          <w:bCs/>
          <w:color w:val="auto"/>
          <w:sz w:val="24"/>
          <w:szCs w:val="24"/>
          <w:highlight w:val="none"/>
        </w:rPr>
        <w:t>支持USB储存介质一键存储普通PC格式文件，无需转换</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6、</w:t>
      </w:r>
      <w:r>
        <w:rPr>
          <w:rFonts w:hint="eastAsia" w:ascii="宋体" w:hAnsi="宋体" w:eastAsia="宋体" w:cs="宋体"/>
          <w:b w:val="0"/>
          <w:bCs/>
          <w:color w:val="auto"/>
          <w:sz w:val="24"/>
          <w:szCs w:val="24"/>
          <w:highlight w:val="none"/>
        </w:rPr>
        <w:t>支持DICOM 3.0，支持DICOM图像的存储和打印</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7、</w:t>
      </w:r>
      <w:r>
        <w:rPr>
          <w:rFonts w:hint="eastAsia" w:ascii="宋体" w:hAnsi="宋体" w:eastAsia="宋体" w:cs="宋体"/>
          <w:b w:val="0"/>
          <w:bCs/>
          <w:color w:val="auto"/>
          <w:sz w:val="24"/>
          <w:szCs w:val="24"/>
          <w:highlight w:val="none"/>
        </w:rPr>
        <w:t>USB3.0接口</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8、</w:t>
      </w:r>
      <w:r>
        <w:rPr>
          <w:rFonts w:hint="eastAsia" w:ascii="宋体" w:hAnsi="宋体" w:eastAsia="宋体" w:cs="宋体"/>
          <w:b w:val="0"/>
          <w:bCs/>
          <w:color w:val="auto"/>
          <w:sz w:val="24"/>
          <w:szCs w:val="24"/>
          <w:highlight w:val="none"/>
        </w:rPr>
        <w:t>外设数据模块：包含下列接口：1 S---视频、2 VGA视频接口、高清音视频接口</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9、</w:t>
      </w:r>
      <w:r>
        <w:rPr>
          <w:rFonts w:hint="eastAsia" w:ascii="宋体" w:hAnsi="宋体" w:eastAsia="宋体" w:cs="宋体"/>
          <w:b w:val="0"/>
          <w:bCs/>
          <w:color w:val="auto"/>
          <w:sz w:val="24"/>
          <w:szCs w:val="24"/>
          <w:highlight w:val="none"/>
        </w:rPr>
        <w:t>音频接口</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10、</w:t>
      </w:r>
      <w:r>
        <w:rPr>
          <w:rFonts w:hint="eastAsia" w:ascii="宋体" w:hAnsi="宋体" w:eastAsia="宋体" w:cs="宋体"/>
          <w:b w:val="0"/>
          <w:bCs/>
          <w:color w:val="auto"/>
          <w:sz w:val="24"/>
          <w:szCs w:val="24"/>
          <w:highlight w:val="none"/>
        </w:rPr>
        <w:t>可升降多功能专用台车</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11、</w:t>
      </w:r>
      <w:r>
        <w:rPr>
          <w:rFonts w:hint="eastAsia" w:ascii="宋体" w:hAnsi="宋体" w:eastAsia="宋体" w:cs="宋体"/>
          <w:b w:val="0"/>
          <w:bCs/>
          <w:color w:val="auto"/>
          <w:sz w:val="24"/>
          <w:szCs w:val="24"/>
          <w:highlight w:val="none"/>
        </w:rPr>
        <w:t>支持机器防盗锁控制</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12、</w:t>
      </w:r>
      <w:r>
        <w:rPr>
          <w:rFonts w:hint="eastAsia" w:ascii="宋体" w:hAnsi="宋体" w:eastAsia="宋体" w:cs="宋体"/>
          <w:b w:val="0"/>
          <w:bCs/>
          <w:color w:val="auto"/>
          <w:sz w:val="24"/>
          <w:szCs w:val="24"/>
          <w:highlight w:val="none"/>
        </w:rPr>
        <w:t>支持扩展USB接口</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13、</w:t>
      </w:r>
      <w:r>
        <w:rPr>
          <w:rFonts w:hint="eastAsia" w:ascii="宋体" w:hAnsi="宋体" w:eastAsia="宋体" w:cs="宋体"/>
          <w:b w:val="0"/>
          <w:bCs/>
          <w:color w:val="auto"/>
          <w:sz w:val="24"/>
          <w:szCs w:val="24"/>
          <w:highlight w:val="none"/>
        </w:rPr>
        <w:t>具备可装卸探头扩展槽</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14、</w:t>
      </w:r>
      <w:r>
        <w:rPr>
          <w:rFonts w:hint="eastAsia" w:ascii="宋体" w:hAnsi="宋体" w:eastAsia="宋体" w:cs="宋体"/>
          <w:b w:val="0"/>
          <w:bCs/>
          <w:color w:val="auto"/>
          <w:sz w:val="24"/>
          <w:szCs w:val="24"/>
          <w:highlight w:val="none"/>
        </w:rPr>
        <w:t>储物设备</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15、</w:t>
      </w:r>
      <w:r>
        <w:rPr>
          <w:rFonts w:hint="eastAsia" w:ascii="宋体" w:hAnsi="宋体" w:eastAsia="宋体" w:cs="宋体"/>
          <w:b w:val="0"/>
          <w:bCs/>
          <w:color w:val="auto"/>
          <w:sz w:val="24"/>
          <w:szCs w:val="24"/>
          <w:highlight w:val="none"/>
        </w:rPr>
        <w:t>专用旅行箱，可装载主机、探头及相关备件</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九、配置清单</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1、凸阵探头（腹部、妇产科、血管、神经检查）</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2、线阵探头（满足常规浅表、血管、小器官、肌骨、神经、儿科检查）</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3、相控阵探头(满足心脏、TCD、急诊腹部探查)</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4、耦合剂</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5、使用说明书（基础分册）</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6、使用说明书（应用分册）</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7、使用说明书（声输出数据和探头表面温度分册）</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8、可拆卸锂电池</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9、电源适配器及电源线</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10、可升降台车套件</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11、三探头扩展器12iDock 数据扩展接口 (IOM-51)音频扩展模</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 xml:space="preserve">13、高品质硬质包装拉箱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665A2"/>
    <w:multiLevelType w:val="multilevel"/>
    <w:tmpl w:val="19C665A2"/>
    <w:lvl w:ilvl="0" w:tentative="0">
      <w:start w:val="1"/>
      <w:numFmt w:val="decimal"/>
      <w:lvlText w:val="%1."/>
      <w:lvlJc w:val="left"/>
      <w:pPr>
        <w:ind w:left="425" w:hanging="425"/>
      </w:pPr>
      <w:rPr>
        <w:rFonts w:hint="eastAsia"/>
      </w:rPr>
    </w:lvl>
    <w:lvl w:ilvl="1" w:tentative="0">
      <w:start w:val="1"/>
      <w:numFmt w:val="decimal"/>
      <w:suff w:val="nothing"/>
      <w:lvlText w:val="%1.%2"/>
      <w:lvlJc w:val="left"/>
      <w:pPr>
        <w:ind w:left="875" w:hanging="449"/>
      </w:pPr>
      <w:rPr>
        <w:rFonts w:hint="eastAsia"/>
      </w:rPr>
    </w:lvl>
    <w:lvl w:ilvl="2" w:tentative="0">
      <w:start w:val="1"/>
      <w:numFmt w:val="decimal"/>
      <w:suff w:val="nothing"/>
      <w:lvlText w:val="%1.%2.%3."/>
      <w:lvlJc w:val="left"/>
      <w:pPr>
        <w:ind w:left="1702"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
    <w:nsid w:val="304B980C"/>
    <w:multiLevelType w:val="singleLevel"/>
    <w:tmpl w:val="304B980C"/>
    <w:lvl w:ilvl="0" w:tentative="0">
      <w:start w:val="1"/>
      <w:numFmt w:val="decimal"/>
      <w:lvlText w:val="%1."/>
      <w:lvlJc w:val="left"/>
      <w:pPr>
        <w:ind w:left="425" w:hanging="425"/>
      </w:pPr>
      <w:rPr>
        <w:rFonts w:hint="default"/>
      </w:rPr>
    </w:lvl>
  </w:abstractNum>
  <w:abstractNum w:abstractNumId="2">
    <w:nsid w:val="7E70560E"/>
    <w:multiLevelType w:val="multilevel"/>
    <w:tmpl w:val="7E70560E"/>
    <w:lvl w:ilvl="0" w:tentative="0">
      <w:start w:val="1"/>
      <w:numFmt w:val="decimal"/>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ED600D"/>
    <w:rsid w:val="2DED6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customStyle="1" w:styleId="5">
    <w:name w:val="font01"/>
    <w:basedOn w:val="4"/>
    <w:qFormat/>
    <w:uiPriority w:val="0"/>
    <w:rPr>
      <w:rFonts w:hint="default" w:ascii="Times New Roman" w:hAnsi="Times New Roman" w:cs="Times New Roman"/>
      <w:b/>
      <w:color w:val="000000"/>
      <w:sz w:val="40"/>
      <w:szCs w:val="40"/>
      <w:u w:val="none"/>
    </w:rPr>
  </w:style>
  <w:style w:type="character" w:customStyle="1" w:styleId="6">
    <w:name w:val="font31"/>
    <w:basedOn w:val="4"/>
    <w:qFormat/>
    <w:uiPriority w:val="0"/>
    <w:rPr>
      <w:rFonts w:hint="eastAsia" w:ascii="宋体" w:hAnsi="宋体" w:eastAsia="宋体" w:cs="宋体"/>
      <w:color w:val="000000"/>
      <w:sz w:val="20"/>
      <w:szCs w:val="20"/>
      <w:u w:val="none"/>
    </w:rPr>
  </w:style>
  <w:style w:type="paragraph" w:styleId="7">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2020-08-21T09:14:00Z</dcterms:created>
  <dc:creator>Administrator</dc:creator>
  <cp:lastModifiedBy>Administrator</cp:lastModifiedBy>
  <dcterms:modified xsi:type="dcterms:W3CDTF">2020-08-21T09:16:02Z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