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auto"/>
          <w:sz w:val="24"/>
        </w:rPr>
      </w:pPr>
      <w:bookmarkStart w:id="0" w:name="_GoBack"/>
      <w:bookmarkEnd w:id="0"/>
      <w:r>
        <w:rPr>
          <w:rFonts w:hint="eastAsia" w:ascii="宋体" w:hAnsi="宋体"/>
          <w:b/>
          <w:color w:val="auto"/>
          <w:sz w:val="44"/>
        </w:rPr>
        <w:t>用 户 需 求 书</w:t>
      </w:r>
    </w:p>
    <w:p>
      <w:pPr>
        <w:spacing w:line="360" w:lineRule="auto"/>
        <w:rPr>
          <w:rFonts w:hint="eastAsia" w:ascii="宋体" w:hAnsi="宋体"/>
          <w:b/>
          <w:color w:val="auto"/>
          <w:sz w:val="30"/>
          <w:szCs w:val="30"/>
        </w:rPr>
      </w:pPr>
      <w:r>
        <w:rPr>
          <w:rFonts w:hint="eastAsia" w:ascii="宋体" w:hAnsi="宋体"/>
          <w:b/>
          <w:color w:val="auto"/>
          <w:sz w:val="30"/>
          <w:szCs w:val="30"/>
        </w:rPr>
        <w:t>一、商务要求</w:t>
      </w:r>
    </w:p>
    <w:p>
      <w:p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1、交付时间与地点要求：</w:t>
      </w:r>
      <w:r>
        <w:rPr>
          <w:rFonts w:hint="eastAsia" w:ascii="宋体" w:hAnsi="宋体" w:cs="宋体"/>
          <w:color w:val="auto"/>
          <w:sz w:val="28"/>
          <w:szCs w:val="28"/>
        </w:rPr>
        <w:t>合同签订后</w:t>
      </w:r>
      <w:r>
        <w:rPr>
          <w:rFonts w:hint="eastAsia" w:ascii="宋体" w:hAnsi="宋体" w:cs="宋体"/>
          <w:color w:val="auto"/>
          <w:sz w:val="28"/>
          <w:szCs w:val="28"/>
          <w:lang w:val="en-US" w:eastAsia="zh-CN"/>
        </w:rPr>
        <w:t>30</w:t>
      </w:r>
      <w:r>
        <w:rPr>
          <w:rFonts w:hint="eastAsia" w:ascii="宋体" w:hAnsi="宋体" w:cs="宋体"/>
          <w:color w:val="auto"/>
          <w:sz w:val="28"/>
          <w:szCs w:val="28"/>
        </w:rPr>
        <w:t>天内。</w:t>
      </w:r>
      <w:r>
        <w:rPr>
          <w:rFonts w:hint="eastAsia" w:ascii="宋体" w:hAnsi="宋体"/>
          <w:color w:val="auto"/>
          <w:sz w:val="28"/>
          <w:szCs w:val="28"/>
        </w:rPr>
        <w:t xml:space="preserve"> 地点：用户指定地点。</w:t>
      </w:r>
    </w:p>
    <w:p>
      <w:pPr>
        <w:spacing w:line="360" w:lineRule="auto"/>
        <w:rPr>
          <w:rFonts w:hint="eastAsia" w:ascii="宋体" w:hAnsi="宋体"/>
          <w:color w:val="auto"/>
          <w:sz w:val="28"/>
          <w:szCs w:val="28"/>
        </w:rPr>
      </w:pPr>
      <w:r>
        <w:rPr>
          <w:rFonts w:hint="eastAsia" w:ascii="宋体" w:hAnsi="宋体"/>
          <w:color w:val="auto"/>
          <w:sz w:val="28"/>
          <w:szCs w:val="28"/>
        </w:rPr>
        <w:t>2、付款条件：由双方协商</w:t>
      </w:r>
    </w:p>
    <w:p>
      <w:pPr>
        <w:spacing w:line="360" w:lineRule="auto"/>
        <w:rPr>
          <w:rFonts w:hint="eastAsia" w:ascii="宋体" w:hAnsi="宋体"/>
          <w:color w:val="auto"/>
          <w:sz w:val="28"/>
          <w:szCs w:val="28"/>
        </w:rPr>
      </w:pPr>
      <w:r>
        <w:rPr>
          <w:rFonts w:hint="eastAsia" w:ascii="宋体" w:hAnsi="宋体"/>
          <w:color w:val="auto"/>
          <w:sz w:val="28"/>
          <w:szCs w:val="28"/>
        </w:rPr>
        <w:t>3、供应商资格要求：见采购公告</w:t>
      </w:r>
    </w:p>
    <w:p>
      <w:pPr>
        <w:spacing w:line="360" w:lineRule="auto"/>
        <w:rPr>
          <w:rFonts w:hint="eastAsia" w:ascii="宋体" w:hAnsi="宋体"/>
          <w:color w:val="auto"/>
          <w:sz w:val="28"/>
          <w:szCs w:val="28"/>
        </w:rPr>
      </w:pPr>
      <w:r>
        <w:rPr>
          <w:rFonts w:hint="eastAsia" w:ascii="宋体" w:hAnsi="宋体"/>
          <w:color w:val="auto"/>
          <w:sz w:val="28"/>
          <w:szCs w:val="28"/>
        </w:rPr>
        <w:t>4、验收要求：按谈判文件技术参数和国家行业标准进行验收。</w:t>
      </w:r>
    </w:p>
    <w:p>
      <w:pPr>
        <w:spacing w:line="360" w:lineRule="auto"/>
        <w:rPr>
          <w:rFonts w:ascii="宋体" w:hAnsi="宋体"/>
          <w:color w:val="auto"/>
          <w:sz w:val="28"/>
          <w:szCs w:val="28"/>
        </w:rPr>
      </w:pPr>
      <w:r>
        <w:rPr>
          <w:rFonts w:hint="eastAsia" w:ascii="宋体" w:hAnsi="宋体"/>
          <w:color w:val="auto"/>
          <w:sz w:val="28"/>
          <w:szCs w:val="28"/>
        </w:rPr>
        <w:t>5、售后服务要求：</w:t>
      </w:r>
      <w:r>
        <w:rPr>
          <w:rFonts w:ascii="宋体" w:hAnsi="宋体"/>
          <w:color w:val="auto"/>
          <w:sz w:val="28"/>
          <w:szCs w:val="28"/>
        </w:rPr>
        <w:t>设备按原厂商标准提供维护。</w:t>
      </w:r>
    </w:p>
    <w:p>
      <w:pPr>
        <w:spacing w:line="360" w:lineRule="auto"/>
        <w:rPr>
          <w:rFonts w:hint="eastAsia" w:ascii="宋体" w:hAnsi="宋体"/>
          <w:color w:val="auto"/>
          <w:sz w:val="28"/>
          <w:szCs w:val="28"/>
        </w:rPr>
      </w:pPr>
      <w:r>
        <w:rPr>
          <w:rFonts w:hint="eastAsia" w:ascii="宋体" w:hAnsi="宋体"/>
          <w:color w:val="auto"/>
          <w:sz w:val="28"/>
          <w:szCs w:val="28"/>
        </w:rPr>
        <w:t>6、其他要求：供应商不是制造商的，必须获得设备制造商或国内总代理针对本项目的直接授权并提供授权书。</w:t>
      </w:r>
    </w:p>
    <w:p>
      <w:pPr>
        <w:spacing w:line="360" w:lineRule="auto"/>
        <w:rPr>
          <w:rFonts w:hint="eastAsia" w:ascii="宋体" w:hAnsi="宋体"/>
          <w:color w:val="auto"/>
          <w:sz w:val="28"/>
          <w:szCs w:val="28"/>
        </w:rPr>
      </w:pPr>
    </w:p>
    <w:p>
      <w:pPr>
        <w:spacing w:line="360" w:lineRule="auto"/>
        <w:rPr>
          <w:rFonts w:hint="eastAsia"/>
          <w:color w:val="auto"/>
          <w:lang w:val="en-US" w:eastAsia="zh-CN"/>
        </w:rPr>
      </w:pPr>
      <w:r>
        <w:rPr>
          <w:rFonts w:hint="eastAsia" w:ascii="宋体" w:hAnsi="宋体"/>
          <w:b/>
          <w:color w:val="auto"/>
          <w:sz w:val="30"/>
          <w:szCs w:val="30"/>
        </w:rPr>
        <w:t>二、</w:t>
      </w:r>
      <w:r>
        <w:rPr>
          <w:rFonts w:hint="eastAsia"/>
          <w:b/>
          <w:bCs/>
          <w:color w:val="auto"/>
          <w:sz w:val="32"/>
          <w:szCs w:val="32"/>
        </w:rPr>
        <w:t>技术要求</w:t>
      </w:r>
      <w:r>
        <w:rPr>
          <w:rFonts w:hint="eastAsia" w:ascii="宋体" w:hAnsi="宋体"/>
          <w:b/>
          <w:color w:val="auto"/>
          <w:sz w:val="30"/>
          <w:szCs w:val="30"/>
        </w:rPr>
        <w:t>：</w:t>
      </w:r>
    </w:p>
    <w:p>
      <w:pPr>
        <w:spacing w:line="360" w:lineRule="auto"/>
        <w:jc w:val="center"/>
        <w:rPr>
          <w:b/>
          <w:bCs/>
          <w:color w:val="auto"/>
          <w:sz w:val="32"/>
          <w:szCs w:val="32"/>
        </w:rPr>
      </w:pPr>
      <w:r>
        <w:rPr>
          <w:rFonts w:hint="eastAsia"/>
          <w:b/>
          <w:bCs/>
          <w:color w:val="auto"/>
          <w:sz w:val="32"/>
          <w:szCs w:val="32"/>
        </w:rPr>
        <w:t>采购清单表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434"/>
        <w:gridCol w:w="897"/>
        <w:gridCol w:w="894"/>
        <w:gridCol w:w="2144"/>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序号</w:t>
            </w:r>
          </w:p>
        </w:tc>
        <w:tc>
          <w:tcPr>
            <w:tcW w:w="841"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设备名称</w:t>
            </w:r>
          </w:p>
        </w:tc>
        <w:tc>
          <w:tcPr>
            <w:tcW w:w="526"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数量</w:t>
            </w:r>
          </w:p>
        </w:tc>
        <w:tc>
          <w:tcPr>
            <w:tcW w:w="524"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单位</w:t>
            </w:r>
          </w:p>
        </w:tc>
        <w:tc>
          <w:tcPr>
            <w:tcW w:w="1257"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制造商授权</w:t>
            </w:r>
          </w:p>
        </w:tc>
        <w:tc>
          <w:tcPr>
            <w:tcW w:w="1325"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 w:type="pct"/>
            <w:noWrap w:val="0"/>
            <w:vAlign w:val="center"/>
          </w:tcPr>
          <w:p>
            <w:pPr>
              <w:spacing w:line="360" w:lineRule="auto"/>
              <w:jc w:val="center"/>
              <w:rPr>
                <w:rFonts w:hint="eastAsia" w:ascii="宋体" w:hAnsi="宋体" w:eastAsia="宋体"/>
                <w:color w:val="auto"/>
                <w:sz w:val="28"/>
                <w:szCs w:val="28"/>
                <w:lang w:val="en-US" w:eastAsia="zh-CN"/>
              </w:rPr>
            </w:pPr>
            <w:r>
              <w:rPr>
                <w:rFonts w:hint="eastAsia" w:ascii="宋体" w:hAnsi="宋体"/>
                <w:color w:val="auto"/>
                <w:sz w:val="28"/>
                <w:szCs w:val="28"/>
                <w:lang w:val="en-US" w:eastAsia="zh-CN"/>
              </w:rPr>
              <w:t>1</w:t>
            </w:r>
          </w:p>
        </w:tc>
        <w:tc>
          <w:tcPr>
            <w:tcW w:w="841" w:type="pct"/>
            <w:noWrap w:val="0"/>
            <w:vAlign w:val="center"/>
          </w:tcPr>
          <w:p>
            <w:pPr>
              <w:keepNext w:val="0"/>
              <w:keepLines w:val="0"/>
              <w:widowControl/>
              <w:suppressLineNumbers w:val="0"/>
              <w:jc w:val="center"/>
              <w:textAlignment w:val="center"/>
              <w:rPr>
                <w:rFonts w:hint="eastAsia" w:ascii="宋体" w:hAnsi="宋体"/>
                <w:color w:val="auto"/>
                <w:sz w:val="28"/>
                <w:szCs w:val="28"/>
              </w:rPr>
            </w:pPr>
            <w:r>
              <w:rPr>
                <w:rFonts w:hint="eastAsia"/>
                <w:color w:val="auto"/>
                <w:sz w:val="28"/>
                <w:szCs w:val="28"/>
                <w:lang w:eastAsia="zh-CN"/>
              </w:rPr>
              <w:t>血气生化分析仪</w:t>
            </w:r>
          </w:p>
        </w:tc>
        <w:tc>
          <w:tcPr>
            <w:tcW w:w="526" w:type="pct"/>
            <w:noWrap w:val="0"/>
            <w:vAlign w:val="center"/>
          </w:tcPr>
          <w:p>
            <w:pPr>
              <w:keepNext w:val="0"/>
              <w:keepLines w:val="0"/>
              <w:widowControl/>
              <w:suppressLineNumbers w:val="0"/>
              <w:jc w:val="center"/>
              <w:textAlignment w:val="center"/>
              <w:rPr>
                <w:rFonts w:hint="eastAsia" w:ascii="宋体" w:hAnsi="宋体"/>
                <w:color w:val="auto"/>
                <w:sz w:val="28"/>
                <w:szCs w:val="28"/>
              </w:rPr>
            </w:pPr>
            <w:r>
              <w:rPr>
                <w:rFonts w:hint="eastAsia" w:ascii="宋体" w:hAnsi="宋体" w:cs="宋体"/>
                <w:i w:val="0"/>
                <w:color w:val="auto"/>
                <w:sz w:val="28"/>
                <w:szCs w:val="28"/>
                <w:u w:val="none"/>
                <w:lang w:val="en-US" w:eastAsia="zh-CN"/>
              </w:rPr>
              <w:t>1</w:t>
            </w:r>
          </w:p>
        </w:tc>
        <w:tc>
          <w:tcPr>
            <w:tcW w:w="524" w:type="pct"/>
            <w:noWrap w:val="0"/>
            <w:vAlign w:val="center"/>
          </w:tcPr>
          <w:p>
            <w:pPr>
              <w:keepNext w:val="0"/>
              <w:keepLines w:val="0"/>
              <w:widowControl/>
              <w:suppressLineNumbers w:val="0"/>
              <w:jc w:val="center"/>
              <w:textAlignment w:val="center"/>
              <w:rPr>
                <w:rFonts w:hint="eastAsia" w:ascii="宋体" w:hAnsi="宋体"/>
                <w:color w:val="auto"/>
                <w:sz w:val="28"/>
                <w:szCs w:val="28"/>
              </w:rPr>
            </w:pPr>
            <w:r>
              <w:rPr>
                <w:rFonts w:hint="eastAsia" w:ascii="宋体" w:hAnsi="宋体" w:cs="宋体"/>
                <w:i w:val="0"/>
                <w:color w:val="auto"/>
                <w:kern w:val="0"/>
                <w:sz w:val="28"/>
                <w:szCs w:val="28"/>
                <w:u w:val="none"/>
                <w:lang w:val="en-US" w:eastAsia="zh-CN" w:bidi="ar"/>
              </w:rPr>
              <w:t>台</w:t>
            </w:r>
          </w:p>
        </w:tc>
        <w:tc>
          <w:tcPr>
            <w:tcW w:w="1257" w:type="pct"/>
            <w:noWrap w:val="0"/>
            <w:vAlign w:val="center"/>
          </w:tcPr>
          <w:p>
            <w:pPr>
              <w:spacing w:line="360" w:lineRule="auto"/>
              <w:jc w:val="center"/>
              <w:rPr>
                <w:rFonts w:hint="eastAsia" w:ascii="宋体" w:hAnsi="宋体" w:eastAsia="宋体"/>
                <w:color w:val="auto"/>
                <w:sz w:val="28"/>
                <w:szCs w:val="28"/>
                <w:lang w:val="en-US" w:eastAsia="zh-CN"/>
              </w:rPr>
            </w:pPr>
            <w:r>
              <w:rPr>
                <w:rFonts w:hint="eastAsia" w:ascii="宋体" w:hAnsi="宋体"/>
                <w:color w:val="auto"/>
                <w:sz w:val="28"/>
                <w:szCs w:val="28"/>
                <w:lang w:val="en-US" w:eastAsia="zh-CN"/>
              </w:rPr>
              <w:t>提供</w:t>
            </w:r>
          </w:p>
        </w:tc>
        <w:tc>
          <w:tcPr>
            <w:tcW w:w="1325" w:type="pct"/>
            <w:noWrap w:val="0"/>
            <w:vAlign w:val="center"/>
          </w:tcPr>
          <w:p>
            <w:pPr>
              <w:spacing w:line="360" w:lineRule="auto"/>
              <w:jc w:val="center"/>
              <w:rPr>
                <w:rFonts w:hint="eastAsia" w:ascii="宋体" w:hAnsi="宋体" w:eastAsia="宋体"/>
                <w:color w:val="auto"/>
                <w:sz w:val="28"/>
                <w:szCs w:val="28"/>
                <w:lang w:val="en-US" w:eastAsia="zh-CN"/>
              </w:rPr>
            </w:pPr>
            <w:r>
              <w:rPr>
                <w:rFonts w:hint="eastAsia" w:ascii="宋体" w:hAnsi="宋体"/>
                <w:color w:val="auto"/>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 w:type="pct"/>
            <w:noWrap w:val="0"/>
            <w:vAlign w:val="center"/>
          </w:tcPr>
          <w:p>
            <w:pPr>
              <w:spacing w:line="360" w:lineRule="auto"/>
              <w:jc w:val="center"/>
              <w:rPr>
                <w:rFonts w:hint="eastAsia" w:ascii="宋体" w:hAnsi="宋体" w:eastAsia="宋体"/>
                <w:color w:val="auto"/>
                <w:sz w:val="28"/>
                <w:szCs w:val="28"/>
                <w:lang w:val="en-US" w:eastAsia="zh-CN"/>
              </w:rPr>
            </w:pPr>
            <w:r>
              <w:rPr>
                <w:rFonts w:hint="eastAsia" w:ascii="宋体" w:hAnsi="宋体"/>
                <w:color w:val="auto"/>
                <w:sz w:val="28"/>
                <w:szCs w:val="28"/>
                <w:lang w:val="en-US" w:eastAsia="zh-CN"/>
              </w:rPr>
              <w:t>2</w:t>
            </w:r>
          </w:p>
        </w:tc>
        <w:tc>
          <w:tcPr>
            <w:tcW w:w="841" w:type="pct"/>
            <w:noWrap w:val="0"/>
            <w:vAlign w:val="center"/>
          </w:tcPr>
          <w:p>
            <w:pPr>
              <w:keepNext w:val="0"/>
              <w:keepLines w:val="0"/>
              <w:widowControl/>
              <w:suppressLineNumbers w:val="0"/>
              <w:jc w:val="center"/>
              <w:textAlignment w:val="center"/>
              <w:rPr>
                <w:rFonts w:hint="eastAsia" w:ascii="宋体" w:hAnsi="宋体"/>
                <w:color w:val="auto"/>
                <w:sz w:val="28"/>
                <w:szCs w:val="28"/>
              </w:rPr>
            </w:pPr>
            <w:r>
              <w:rPr>
                <w:rFonts w:hint="eastAsia" w:ascii="宋体" w:hAnsi="宋体" w:eastAsia="宋体" w:cs="宋体"/>
                <w:i w:val="0"/>
                <w:color w:val="auto"/>
                <w:kern w:val="0"/>
                <w:sz w:val="28"/>
                <w:szCs w:val="28"/>
                <w:u w:val="none"/>
                <w:lang w:val="en-US" w:eastAsia="zh-CN" w:bidi="ar"/>
              </w:rPr>
              <w:t>全自动凝血分析仪</w:t>
            </w:r>
          </w:p>
        </w:tc>
        <w:tc>
          <w:tcPr>
            <w:tcW w:w="526" w:type="pct"/>
            <w:noWrap w:val="0"/>
            <w:vAlign w:val="center"/>
          </w:tcPr>
          <w:p>
            <w:pPr>
              <w:keepNext w:val="0"/>
              <w:keepLines w:val="0"/>
              <w:widowControl/>
              <w:suppressLineNumbers w:val="0"/>
              <w:jc w:val="center"/>
              <w:textAlignment w:val="center"/>
              <w:rPr>
                <w:rFonts w:hint="eastAsia" w:ascii="宋体" w:hAnsi="宋体"/>
                <w:color w:val="auto"/>
                <w:sz w:val="28"/>
                <w:szCs w:val="28"/>
              </w:rPr>
            </w:pPr>
            <w:r>
              <w:rPr>
                <w:rFonts w:hint="eastAsia" w:ascii="宋体" w:hAnsi="宋体" w:eastAsia="宋体" w:cs="宋体"/>
                <w:i w:val="0"/>
                <w:color w:val="auto"/>
                <w:kern w:val="0"/>
                <w:sz w:val="28"/>
                <w:szCs w:val="28"/>
                <w:u w:val="none"/>
                <w:lang w:val="en-US" w:eastAsia="zh-CN" w:bidi="ar"/>
              </w:rPr>
              <w:t>1</w:t>
            </w:r>
          </w:p>
        </w:tc>
        <w:tc>
          <w:tcPr>
            <w:tcW w:w="524" w:type="pct"/>
            <w:noWrap w:val="0"/>
            <w:vAlign w:val="center"/>
          </w:tcPr>
          <w:p>
            <w:pPr>
              <w:keepNext w:val="0"/>
              <w:keepLines w:val="0"/>
              <w:widowControl/>
              <w:suppressLineNumbers w:val="0"/>
              <w:jc w:val="center"/>
              <w:textAlignment w:val="center"/>
              <w:rPr>
                <w:rFonts w:hint="eastAsia" w:ascii="宋体" w:hAnsi="宋体"/>
                <w:color w:val="auto"/>
                <w:sz w:val="28"/>
                <w:szCs w:val="28"/>
              </w:rPr>
            </w:pPr>
            <w:r>
              <w:rPr>
                <w:rFonts w:hint="eastAsia" w:ascii="宋体" w:hAnsi="宋体" w:cs="宋体"/>
                <w:i w:val="0"/>
                <w:color w:val="auto"/>
                <w:kern w:val="0"/>
                <w:sz w:val="28"/>
                <w:szCs w:val="28"/>
                <w:u w:val="none"/>
                <w:lang w:val="en-US" w:eastAsia="zh-CN" w:bidi="ar"/>
              </w:rPr>
              <w:t>台</w:t>
            </w:r>
          </w:p>
        </w:tc>
        <w:tc>
          <w:tcPr>
            <w:tcW w:w="1257"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lang w:val="en-US" w:eastAsia="zh-CN"/>
              </w:rPr>
              <w:t>提供</w:t>
            </w:r>
          </w:p>
        </w:tc>
        <w:tc>
          <w:tcPr>
            <w:tcW w:w="1325" w:type="pc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lang w:val="en-US" w:eastAsia="zh-CN"/>
              </w:rPr>
              <w:t>否</w:t>
            </w:r>
          </w:p>
        </w:tc>
      </w:tr>
    </w:tbl>
    <w:p>
      <w:pPr>
        <w:spacing w:line="360" w:lineRule="auto"/>
        <w:jc w:val="left"/>
        <w:rPr>
          <w:rFonts w:hint="eastAsia" w:ascii="宋体" w:hAnsi="宋体"/>
          <w:color w:val="auto"/>
        </w:rPr>
      </w:pPr>
    </w:p>
    <w:p>
      <w:pPr>
        <w:spacing w:line="360" w:lineRule="auto"/>
        <w:jc w:val="left"/>
        <w:rPr>
          <w:rFonts w:hint="eastAsia" w:ascii="宋体" w:hAnsi="宋体"/>
          <w:color w:val="auto"/>
        </w:rPr>
      </w:pPr>
    </w:p>
    <w:p>
      <w:pPr>
        <w:pStyle w:val="2"/>
        <w:rPr>
          <w:rFonts w:hint="eastAsia" w:ascii="宋体" w:hAnsi="宋体"/>
          <w:color w:val="auto"/>
        </w:rPr>
      </w:pPr>
    </w:p>
    <w:p>
      <w:pPr>
        <w:pStyle w:val="2"/>
        <w:rPr>
          <w:rFonts w:hint="eastAsia" w:ascii="宋体" w:hAnsi="宋体"/>
          <w:color w:val="auto"/>
        </w:rPr>
      </w:pPr>
    </w:p>
    <w:p>
      <w:pPr>
        <w:pStyle w:val="2"/>
        <w:rPr>
          <w:rFonts w:hint="eastAsia" w:ascii="宋体" w:hAnsi="宋体"/>
          <w:color w:val="auto"/>
        </w:rPr>
      </w:pPr>
    </w:p>
    <w:p>
      <w:pPr>
        <w:jc w:val="center"/>
        <w:outlineLvl w:val="0"/>
        <w:rPr>
          <w:rFonts w:hint="eastAsia" w:ascii="宋体" w:hAnsi="宋体"/>
          <w:b/>
          <w:color w:val="auto"/>
          <w:sz w:val="44"/>
        </w:rPr>
      </w:pPr>
      <w:r>
        <w:rPr>
          <w:rFonts w:hint="eastAsia"/>
          <w:b/>
          <w:bCs/>
          <w:color w:val="auto"/>
          <w:sz w:val="32"/>
          <w:szCs w:val="32"/>
        </w:rPr>
        <w:t>参考配置及技术要求</w:t>
      </w:r>
    </w:p>
    <w:p>
      <w:pPr>
        <w:pStyle w:val="3"/>
        <w:jc w:val="both"/>
        <w:rPr>
          <w:rFonts w:hint="eastAsia" w:ascii="宋体" w:hAnsi="宋体"/>
          <w:color w:val="auto"/>
          <w:sz w:val="22"/>
          <w:szCs w:val="22"/>
          <w:lang w:eastAsia="zh-CN"/>
        </w:rPr>
      </w:pPr>
      <w:r>
        <w:rPr>
          <w:rFonts w:hint="eastAsia"/>
          <w:color w:val="auto"/>
          <w:lang w:eastAsia="zh-CN"/>
        </w:rPr>
        <w:t>（一）血气生化分析仪</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、电极测量方式：免维护微电极技术</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进样方式：</w:t>
      </w:r>
      <w:r>
        <w:rPr>
          <w:rFonts w:hint="eastAsia" w:ascii="宋体" w:hAnsi="宋体" w:cs="宋体"/>
          <w:color w:val="auto"/>
          <w:sz w:val="24"/>
          <w:szCs w:val="24"/>
          <w:highlight w:val="none"/>
          <w:lang w:eastAsia="zh-CN"/>
        </w:rPr>
        <w:t xml:space="preserve">自动平行进样 </w:t>
      </w:r>
    </w:p>
    <w:p>
      <w:pPr>
        <w:numPr>
          <w:ilvl w:val="0"/>
          <w:numId w:val="0"/>
        </w:numPr>
        <w:spacing w:line="360" w:lineRule="auto"/>
        <w:ind w:leftChars="0"/>
        <w:rPr>
          <w:rFonts w:hint="eastAsia"/>
          <w:color w:val="auto"/>
          <w:sz w:val="24"/>
          <w:szCs w:val="24"/>
          <w:highlight w:val="none"/>
          <w:lang w:eastAsia="zh-CN"/>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测试时间：从吸样到显示结果仅需60秒</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测试参数：</w:t>
      </w:r>
      <w:r>
        <w:rPr>
          <w:rFonts w:hint="eastAsia" w:ascii="宋体" w:hAnsi="宋体" w:cs="宋体"/>
          <w:color w:val="auto"/>
          <w:sz w:val="24"/>
          <w:szCs w:val="24"/>
          <w:highlight w:val="none"/>
          <w:lang w:eastAsia="zh-CN"/>
        </w:rPr>
        <w:t>PH、PO</w:t>
      </w:r>
      <w:r>
        <w:rPr>
          <w:rFonts w:hint="eastAsia" w:ascii="宋体" w:hAnsi="宋体" w:cs="宋体"/>
          <w:color w:val="auto"/>
          <w:sz w:val="24"/>
          <w:szCs w:val="24"/>
          <w:highlight w:val="none"/>
          <w:vertAlign w:val="subscript"/>
          <w:lang w:eastAsia="zh-CN"/>
        </w:rPr>
        <w:t>2</w:t>
      </w:r>
      <w:r>
        <w:rPr>
          <w:rFonts w:hint="eastAsia" w:ascii="宋体" w:hAnsi="宋体" w:cs="宋体"/>
          <w:color w:val="auto"/>
          <w:sz w:val="24"/>
          <w:szCs w:val="24"/>
          <w:highlight w:val="none"/>
          <w:lang w:eastAsia="zh-CN"/>
        </w:rPr>
        <w:t>、PCO</w:t>
      </w:r>
      <w:r>
        <w:rPr>
          <w:rFonts w:hint="eastAsia" w:ascii="宋体" w:hAnsi="宋体" w:cs="宋体"/>
          <w:color w:val="auto"/>
          <w:sz w:val="24"/>
          <w:szCs w:val="24"/>
          <w:highlight w:val="none"/>
          <w:vertAlign w:val="subscript"/>
          <w:lang w:eastAsia="zh-CN"/>
        </w:rPr>
        <w:t>2</w:t>
      </w:r>
      <w:r>
        <w:rPr>
          <w:rFonts w:hint="eastAsia" w:ascii="宋体" w:hAnsi="宋体" w:cs="宋体"/>
          <w:color w:val="auto"/>
          <w:sz w:val="24"/>
          <w:szCs w:val="24"/>
          <w:highlight w:val="none"/>
          <w:lang w:eastAsia="zh-CN"/>
        </w:rPr>
        <w:t>、Na＋、K＋，CL-,Ca++, Hct，Lac，Glu，一张测试卡出10项直测参数</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lang w:eastAsia="zh-CN"/>
        </w:rPr>
        <w:t>计算参数：</w:t>
      </w:r>
      <w:r>
        <w:rPr>
          <w:rFonts w:hint="eastAsia"/>
          <w:color w:val="auto"/>
          <w:sz w:val="24"/>
          <w:szCs w:val="24"/>
          <w:highlight w:val="none"/>
        </w:rPr>
        <w:t>cH+，HCO3-act，HCO3-std，BE(ecf)，BE(B)，BB(B)，ctCO2，</w:t>
      </w:r>
      <w:r>
        <w:rPr>
          <w:rFonts w:hint="eastAsia"/>
          <w:i/>
          <w:color w:val="auto"/>
          <w:sz w:val="24"/>
          <w:szCs w:val="24"/>
          <w:highlight w:val="none"/>
        </w:rPr>
        <w:t>s</w:t>
      </w:r>
      <w:r>
        <w:rPr>
          <w:rFonts w:hint="eastAsia"/>
          <w:color w:val="auto"/>
          <w:sz w:val="24"/>
          <w:szCs w:val="24"/>
          <w:highlight w:val="none"/>
        </w:rPr>
        <w:t>O2(est)，Ca++(7.4)，AnGap</w:t>
      </w:r>
      <w:r>
        <w:rPr>
          <w:rFonts w:hint="eastAsia" w:ascii="宋体" w:hAnsi="宋体" w:cs="宋体"/>
          <w:color w:val="auto"/>
          <w:sz w:val="24"/>
          <w:szCs w:val="24"/>
          <w:highlight w:val="none"/>
          <w:lang w:eastAsia="zh-CN"/>
        </w:rPr>
        <w:t>等, 直测和计算参数≥30项</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标本类型：可适用于动脉血、静脉血、毛细血管血、混合动静脉血≥5种。</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lang w:eastAsia="zh-CN"/>
        </w:rPr>
        <w:t>定标方式：</w:t>
      </w:r>
      <w:r>
        <w:rPr>
          <w:rFonts w:hint="eastAsia" w:ascii="宋体" w:hAnsi="宋体" w:cs="宋体"/>
          <w:color w:val="auto"/>
          <w:sz w:val="24"/>
          <w:szCs w:val="24"/>
          <w:highlight w:val="none"/>
          <w:lang w:eastAsia="zh-CN"/>
        </w:rPr>
        <w:t>液体定标，测量前单点定标</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测试卡：单人份设计，常温保存，即取即用</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eastAsia="zh-CN"/>
        </w:rPr>
        <w:t>质量控制：提供原厂配套三级液体质控品、电子仿真质控</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lang w:eastAsia="zh-CN"/>
        </w:rPr>
        <w:t>消耗品：除一次性测试卡外无其他消耗品；24小时待机无消耗</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lang w:eastAsia="zh-CN"/>
        </w:rPr>
        <w:t>操作界面：≥6英寸彩色触摸屏操作</w:t>
      </w:r>
      <w:r>
        <w:rPr>
          <w:rFonts w:ascii="宋体" w:hAnsi="宋体" w:cs="宋体"/>
          <w:color w:val="auto"/>
          <w:sz w:val="24"/>
          <w:szCs w:val="24"/>
          <w:highlight w:val="none"/>
          <w:lang w:eastAsia="zh-CN"/>
        </w:rPr>
        <w:t>,</w:t>
      </w:r>
      <w:r>
        <w:rPr>
          <w:rFonts w:hint="eastAsia" w:ascii="宋体" w:hAnsi="宋体" w:cs="宋体"/>
          <w:color w:val="auto"/>
          <w:sz w:val="24"/>
          <w:szCs w:val="24"/>
          <w:highlight w:val="none"/>
          <w:lang w:eastAsia="zh-CN"/>
        </w:rPr>
        <w:t>中英文语言自由切换，内置多媒体操作教程</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lang w:eastAsia="zh-CN"/>
        </w:rPr>
        <w:t>内置高容量充电电池，待机时间≥20h或可连续测量样本数≥50个</w:t>
      </w:r>
    </w:p>
    <w:p>
      <w:pPr>
        <w:numPr>
          <w:ilvl w:val="0"/>
          <w:numId w:val="0"/>
        </w:numPr>
        <w:spacing w:line="360" w:lineRule="auto"/>
        <w:ind w:leftChars="0"/>
        <w:rPr>
          <w:rFonts w:hint="eastAsia" w:ascii="宋体" w:hAnsi="宋体"/>
          <w:color w:val="auto"/>
          <w:sz w:val="24"/>
          <w:szCs w:val="24"/>
          <w:highlight w:val="none"/>
          <w:lang w:eastAsia="zh-CN"/>
        </w:rPr>
      </w:pPr>
      <w:r>
        <w:rPr>
          <w:rFonts w:hint="eastAsia" w:ascii="宋体" w:hAnsi="宋体" w:cs="宋体"/>
          <w:color w:val="auto"/>
          <w:sz w:val="24"/>
          <w:szCs w:val="24"/>
          <w:highlight w:val="none"/>
          <w:lang w:val="en-US" w:eastAsia="zh-CN"/>
        </w:rPr>
        <w:t>13、</w:t>
      </w:r>
      <w:r>
        <w:rPr>
          <w:rFonts w:hint="eastAsia" w:ascii="宋体" w:hAnsi="宋体" w:cs="宋体"/>
          <w:color w:val="auto"/>
          <w:sz w:val="24"/>
          <w:szCs w:val="24"/>
          <w:highlight w:val="none"/>
          <w:lang w:eastAsia="zh-CN"/>
        </w:rPr>
        <w:t>小巧便携，重量</w:t>
      </w:r>
      <w:r>
        <w:rPr>
          <w:rFonts w:hint="eastAsia"/>
          <w:color w:val="auto"/>
          <w:sz w:val="24"/>
          <w:szCs w:val="24"/>
          <w:highlight w:val="none"/>
          <w:lang w:eastAsia="zh-CN"/>
        </w:rPr>
        <w:t>&lt; 6Kg（含电池）</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lang w:eastAsia="zh-CN"/>
        </w:rPr>
        <w:t xml:space="preserve">仪器内置二维条码扫描仪及热敏打印机 </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lang w:eastAsia="zh-CN"/>
        </w:rPr>
        <w:t>数据接口：串口、网络接口、USB口，有线、无线网络链接，可直接连接LIS、HIS系统</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lang w:eastAsia="zh-CN"/>
        </w:rPr>
        <w:t>数据管理：仪器可自动存储≥10000个病人结果，连接DMS数据管理系统，同时可以与产网连接，规范病例数据的管理</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lang w:eastAsia="zh-CN"/>
        </w:rPr>
        <w:t>检测参数的升级：升级软件，使用新的测试卡即可完成，无需增加模块</w:t>
      </w:r>
    </w:p>
    <w:p>
      <w:pPr>
        <w:numPr>
          <w:ilvl w:val="0"/>
          <w:numId w:val="0"/>
        </w:numPr>
        <w:spacing w:line="360" w:lineRule="auto"/>
        <w:ind w:leftChars="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lang w:eastAsia="zh-CN"/>
        </w:rPr>
        <w:t>使用环境要求：10-31℃</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19、配置清单：</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19.1、主机               1台</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19.2、中文说明书         1本</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19.3、电池，4200mAH      1套</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19.4、打印纸，12卷/盒     1盒</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19.5、电源适配器           1个</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19.6、合格证               1个</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19.7、速查卡               1个</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19.8、保修卡               1本</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19.9、验收单               1张</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19.10、装箱单              3张</w:t>
      </w:r>
    </w:p>
    <w:p>
      <w:pPr>
        <w:pStyle w:val="2"/>
        <w:rPr>
          <w:rFonts w:hint="default"/>
          <w:color w:val="auto"/>
          <w:lang w:val="en-US" w:eastAsia="zh-CN"/>
        </w:rPr>
      </w:pPr>
    </w:p>
    <w:p>
      <w:pPr>
        <w:spacing w:line="360" w:lineRule="auto"/>
        <w:rPr>
          <w:rFonts w:hint="eastAsia" w:ascii="宋体" w:hAnsi="宋体" w:cs="宋体"/>
          <w:color w:val="auto"/>
          <w:sz w:val="22"/>
          <w:szCs w:val="22"/>
          <w:lang w:eastAsia="zh-CN"/>
        </w:rPr>
      </w:pPr>
    </w:p>
    <w:p>
      <w:pPr>
        <w:spacing w:line="360" w:lineRule="auto"/>
        <w:rPr>
          <w:rFonts w:hint="eastAsia" w:ascii="宋体" w:hAnsi="宋体" w:cs="宋体"/>
          <w:color w:val="auto"/>
          <w:sz w:val="22"/>
          <w:szCs w:val="22"/>
          <w:lang w:eastAsia="zh-CN"/>
        </w:rPr>
      </w:pPr>
    </w:p>
    <w:p>
      <w:pPr>
        <w:pStyle w:val="2"/>
        <w:ind w:left="0" w:leftChars="0" w:firstLine="0" w:firstLineChars="0"/>
        <w:rPr>
          <w:rFonts w:hint="eastAsia" w:hAnsi="宋体"/>
          <w:b/>
          <w:color w:val="auto"/>
          <w:sz w:val="32"/>
          <w:szCs w:val="36"/>
          <w:lang w:eastAsia="zh-CN"/>
        </w:rPr>
      </w:pPr>
      <w:r>
        <w:rPr>
          <w:rFonts w:hint="eastAsia" w:hAnsi="宋体"/>
          <w:b/>
          <w:color w:val="auto"/>
          <w:sz w:val="32"/>
          <w:szCs w:val="36"/>
          <w:lang w:eastAsia="zh-CN"/>
        </w:rPr>
        <w:t>（二）</w:t>
      </w:r>
      <w:r>
        <w:rPr>
          <w:rFonts w:hAnsi="宋体"/>
          <w:b/>
          <w:color w:val="auto"/>
          <w:sz w:val="32"/>
          <w:szCs w:val="36"/>
        </w:rPr>
        <w:t>全自动凝血分析仪</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1、检测原理：采用双磁路磁珠法、免疫比浊法、发色底物法进行检测。</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2、测试项目：PT、APTT、TT、Fib、FDP、D-Dimer、AT-III等。</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3、最大速度:PT≥ 400 T/h；D-二聚体≥ 200 T/h。</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4、综合测速:综合四项（PT/APTT/Fib/TT）≥300项目测试总数/小时；</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综合五项（PT/APTT/Fib/TT/D-Dimer）≥300项目测试总数/小时。</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5、检测通道：双磁路磁珠法通道4个、免疫比浊法通道10个、发色底物法通道2个；各种方法学检测通道互相独立，可各自同时进行测试。</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6、样本位：样本位≥190个，采用自动进样器连续加载进样。</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7、样本/试剂扫描：具有内置条码扫描装置，可以实时扫描样本和试剂的条码信息；样本支持随意放入，旋转扫码。</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8、预温位：40个预温位，开机升温快速、并能保持温度稳定。</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9、封闭试剂仓：试剂仓封闭设计，避免试剂使用过程中直接曝露在空气中，减少挥发。</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10、试剂位：48个冷藏试剂位+5个常温试剂位，冷藏试剂位具有搅拌功能；</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试剂瓶倾斜放置，减少浪费；</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实时在线试剂更换（一键旋转试剂台，一次多瓶），不暂停测试换试剂。</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11、冰箱模式：支持关机后试剂冷藏模式。</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12、加样针：具有1个综合针，2个试剂针及1个样本针；</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综合针及试剂针具有立体防撞、液面感应以及温度自动补偿功能；</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样本针具有液位感应和优化的闭盖穿刺功能，适应不同真空采血管。</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13、样本杯：1000个样本杯自动导入，每次独立导入单个样本杯。</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14、LED光源：LED持久光源，无需定期更换。</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 xml:space="preserve">15、预约开关机：预设时间，自动完成开机及自检，节省时间，提前进入备测状态。 </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16、急诊检测：独立急诊位5个。</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17、急诊响应时间：≤30秒</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18、项目预关联：试管架关联项目一次设置，所有样本无需选择项目直接运行。</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19、智能洗针策略：根据申请的实验项目及标本数量，自动调整加样针的清洗策略。</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20、连锁功能：开盖即停，发现问题及时处理。</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21、声光报警：可远距离发现仪器报警信息，实现无人值守。</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22、废液排放：支持废液内置或直排</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23、摇臂显示：摇臂可180°旋转，方便用户操作。</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24、彩色触摸屏：彩色触屏，界面美观信息量大，易于操作。</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25、软件功能：配有中文操作系统，图形显示，操作方便。</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26、数据传输：支持LIS/HIS双向通讯。</w:t>
      </w:r>
    </w:p>
    <w:p>
      <w:pPr>
        <w:pStyle w:val="2"/>
        <w:ind w:left="0" w:leftChars="0" w:firstLine="0" w:firstLineChars="0"/>
        <w:rPr>
          <w:rFonts w:hint="eastAsia" w:ascii="宋体" w:hAnsi="宋体" w:cs="宋体"/>
          <w:color w:val="auto"/>
          <w:sz w:val="24"/>
          <w:szCs w:val="24"/>
          <w:lang w:eastAsia="zh-CN"/>
        </w:rPr>
      </w:pPr>
      <w:r>
        <w:rPr>
          <w:rFonts w:hint="eastAsia" w:ascii="宋体" w:hAnsi="宋体" w:cs="宋体"/>
          <w:color w:val="auto"/>
          <w:sz w:val="24"/>
          <w:szCs w:val="24"/>
          <w:lang w:eastAsia="zh-CN"/>
        </w:rPr>
        <w:t>27、质控体系：具有L-J 及Westgard 质控功能，海量存储质控结果。</w:t>
      </w:r>
    </w:p>
    <w:p>
      <w:pPr>
        <w:spacing w:line="360" w:lineRule="auto"/>
        <w:jc w:val="center"/>
        <w:rPr>
          <w:rFonts w:hint="eastAsia" w:ascii="宋体" w:hAnsi="宋体"/>
          <w:b/>
          <w:color w:val="auto"/>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92236"/>
    <w:rsid w:val="21C9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iPriority w:val="0"/>
    <w:pPr>
      <w:spacing w:before="60" w:beforeLines="0"/>
      <w:ind w:firstLine="420" w:firstLineChars="200"/>
    </w:pPr>
    <w:rPr>
      <w:kern w:val="2"/>
      <w:sz w:val="21"/>
      <w:szCs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2020-08-18T01:19:00Z</dcterms:created>
  <dc:creator>Administrator</dc:creator>
  <cp:lastModifiedBy>Administrator</cp:lastModifiedBy>
  <dcterms:modified xsi:type="dcterms:W3CDTF">2020-08-18T01:20:45Z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