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auto"/>
          <w:sz w:val="44"/>
          <w:szCs w:val="44"/>
        </w:rPr>
      </w:pPr>
      <w:r>
        <w:rPr>
          <w:rFonts w:hint="eastAsia" w:ascii="黑体" w:hAnsi="黑体" w:eastAsia="黑体" w:cs="黑体"/>
          <w:b/>
          <w:color w:val="auto"/>
          <w:sz w:val="44"/>
          <w:szCs w:val="44"/>
        </w:rPr>
        <w:t>用户需求</w:t>
      </w:r>
      <w:bookmarkStart w:id="25" w:name="_GoBack"/>
      <w:bookmarkEnd w:id="25"/>
    </w:p>
    <w:p>
      <w:pPr>
        <w:pStyle w:val="6"/>
        <w:spacing w:line="440" w:lineRule="exact"/>
        <w:ind w:firstLine="0" w:firstLineChars="0"/>
        <w:rPr>
          <w:rFonts w:ascii="宋体" w:cs="宋体"/>
          <w:b/>
          <w:color w:val="auto"/>
          <w:sz w:val="24"/>
        </w:rPr>
      </w:pPr>
      <w:bookmarkStart w:id="0" w:name="_Toc490734196"/>
      <w:r>
        <w:rPr>
          <w:rFonts w:hint="eastAsia" w:ascii="宋体" w:hAnsi="宋体" w:cs="宋体"/>
          <w:b/>
          <w:color w:val="auto"/>
          <w:sz w:val="24"/>
        </w:rPr>
        <w:t>一、项目名称</w:t>
      </w:r>
      <w:r>
        <w:rPr>
          <w:rFonts w:hint="eastAsia" w:ascii="宋体" w:hAnsi="宋体" w:cs="宋体"/>
          <w:color w:val="auto"/>
          <w:sz w:val="24"/>
        </w:rPr>
        <w:t>：</w:t>
      </w:r>
      <w:r>
        <w:rPr>
          <w:rFonts w:hint="eastAsia" w:ascii="宋体" w:hAnsi="宋体" w:cs="宋体"/>
          <w:b/>
          <w:color w:val="auto"/>
          <w:sz w:val="24"/>
        </w:rPr>
        <w:t>琼中县公共安全视频监控建设联网应用暨立体化治安防控系统三期链路租用项目</w:t>
      </w:r>
    </w:p>
    <w:p>
      <w:pPr>
        <w:pStyle w:val="6"/>
        <w:spacing w:line="440" w:lineRule="exact"/>
        <w:ind w:firstLine="0" w:firstLineChars="0"/>
        <w:rPr>
          <w:rFonts w:ascii="宋体" w:cs="宋体"/>
          <w:b/>
          <w:color w:val="auto"/>
          <w:sz w:val="24"/>
        </w:rPr>
      </w:pPr>
      <w:r>
        <w:rPr>
          <w:rFonts w:hint="eastAsia" w:ascii="宋体" w:hAnsi="宋体" w:cs="宋体"/>
          <w:b/>
          <w:color w:val="auto"/>
          <w:sz w:val="24"/>
        </w:rPr>
        <w:t>二、项目概况：</w:t>
      </w:r>
    </w:p>
    <w:p>
      <w:pPr>
        <w:pStyle w:val="6"/>
        <w:spacing w:line="440" w:lineRule="exact"/>
        <w:ind w:firstLine="480"/>
        <w:rPr>
          <w:rFonts w:ascii="宋体" w:cs="宋体"/>
          <w:color w:val="auto"/>
          <w:sz w:val="24"/>
        </w:rPr>
      </w:pPr>
      <w:r>
        <w:rPr>
          <w:rFonts w:hint="eastAsia" w:ascii="宋体" w:hAnsi="宋体" w:cs="宋体"/>
          <w:color w:val="auto"/>
          <w:sz w:val="24"/>
        </w:rPr>
        <w:t>随着海南省各市县雪亮项目需求的增多，出于数据安全传输考虑，有必要为该类项目建设一套视频专用网络，因此，本次专网建设，提供物理隔离的视频监控接入线路，建一个高可靠、高可控和高效率的电信级主干网络线路，实现对业务系统数据、视频监控、图片传输等多种信息的通信需求。</w:t>
      </w:r>
    </w:p>
    <w:p>
      <w:pPr>
        <w:spacing w:line="440" w:lineRule="exact"/>
        <w:ind w:firstLine="480" w:firstLineChars="200"/>
        <w:rPr>
          <w:rFonts w:ascii="宋体" w:cs="宋体"/>
          <w:color w:val="auto"/>
          <w:sz w:val="24"/>
        </w:rPr>
      </w:pPr>
      <w:r>
        <w:rPr>
          <w:rFonts w:hint="eastAsia" w:ascii="宋体" w:hAnsi="宋体" w:cs="宋体"/>
          <w:color w:val="auto"/>
          <w:sz w:val="24"/>
        </w:rPr>
        <w:t>琼中公安局雪亮项目专网线路主要是以县局为中心，</w:t>
      </w:r>
      <w:r>
        <w:rPr>
          <w:rFonts w:ascii="宋体" w:hAnsi="宋体" w:cs="宋体"/>
          <w:color w:val="auto"/>
          <w:sz w:val="24"/>
        </w:rPr>
        <w:t>13</w:t>
      </w:r>
      <w:r>
        <w:rPr>
          <w:rFonts w:hint="eastAsia" w:ascii="宋体" w:hAnsi="宋体" w:cs="宋体"/>
          <w:color w:val="auto"/>
          <w:sz w:val="24"/>
        </w:rPr>
        <w:t>个乡镇的监控、卡口分别在县城汇聚，为全县视频传输业务系统提供网络传输和服务。</w:t>
      </w:r>
    </w:p>
    <w:p>
      <w:pPr>
        <w:pStyle w:val="6"/>
        <w:spacing w:line="440" w:lineRule="exact"/>
        <w:ind w:firstLine="0" w:firstLineChars="0"/>
        <w:rPr>
          <w:rFonts w:ascii="宋体" w:cs="宋体"/>
          <w:b/>
          <w:color w:val="auto"/>
          <w:sz w:val="24"/>
        </w:rPr>
      </w:pPr>
      <w:r>
        <w:rPr>
          <w:rFonts w:hint="eastAsia" w:ascii="宋体" w:hAnsi="宋体" w:cs="宋体"/>
          <w:b/>
          <w:color w:val="auto"/>
          <w:sz w:val="24"/>
        </w:rPr>
        <w:t>三、建设内容及采购需求：</w:t>
      </w:r>
    </w:p>
    <w:p>
      <w:pPr>
        <w:spacing w:line="440" w:lineRule="exact"/>
        <w:ind w:firstLine="480" w:firstLineChars="200"/>
        <w:rPr>
          <w:rFonts w:ascii="宋体" w:cs="宋体"/>
          <w:color w:val="auto"/>
          <w:sz w:val="24"/>
        </w:rPr>
      </w:pPr>
      <w:r>
        <w:rPr>
          <w:rFonts w:hint="eastAsia" w:ascii="宋体" w:hAnsi="宋体" w:cs="宋体"/>
          <w:color w:val="auto"/>
          <w:sz w:val="24"/>
        </w:rPr>
        <w:t>本期公安监控需求，琼中公安局公共安全视频监控建设联网应用（暨立体化治安防控系统三期）项目，需要开展全县公共安全视频监控建设联网应用和完善立体化治安防控系统建设工作。整体需要新建</w:t>
      </w:r>
      <w:r>
        <w:rPr>
          <w:rFonts w:ascii="宋体" w:hAnsi="宋体" w:cs="宋体"/>
          <w:color w:val="auto"/>
          <w:sz w:val="24"/>
        </w:rPr>
        <w:t>300</w:t>
      </w:r>
      <w:r>
        <w:rPr>
          <w:rFonts w:hint="eastAsia" w:ascii="宋体" w:hAnsi="宋体" w:cs="宋体"/>
          <w:color w:val="auto"/>
          <w:sz w:val="24"/>
        </w:rPr>
        <w:t>个监控点位</w:t>
      </w:r>
      <w:r>
        <w:rPr>
          <w:rFonts w:ascii="宋体" w:hAnsi="宋体" w:cs="宋体"/>
          <w:color w:val="auto"/>
          <w:sz w:val="24"/>
        </w:rPr>
        <w:t>850</w:t>
      </w:r>
      <w:r>
        <w:rPr>
          <w:rFonts w:hint="eastAsia" w:ascii="宋体" w:hAnsi="宋体" w:cs="宋体"/>
          <w:color w:val="auto"/>
          <w:sz w:val="24"/>
        </w:rPr>
        <w:t>路摄像机（</w:t>
      </w:r>
      <w:r>
        <w:rPr>
          <w:rFonts w:ascii="宋体" w:hAnsi="宋体" w:cs="宋体"/>
          <w:color w:val="auto"/>
          <w:sz w:val="24"/>
        </w:rPr>
        <w:t>20</w:t>
      </w:r>
      <w:r>
        <w:rPr>
          <w:rFonts w:hint="eastAsia" w:ascii="宋体" w:hAnsi="宋体" w:cs="宋体"/>
          <w:color w:val="auto"/>
          <w:sz w:val="24"/>
        </w:rPr>
        <w:t>兆电路）、治安车辆卡口</w:t>
      </w:r>
      <w:r>
        <w:rPr>
          <w:rFonts w:ascii="宋体" w:hAnsi="宋体" w:cs="宋体"/>
          <w:color w:val="auto"/>
          <w:sz w:val="24"/>
        </w:rPr>
        <w:t>8</w:t>
      </w:r>
      <w:r>
        <w:rPr>
          <w:rFonts w:hint="eastAsia" w:ascii="宋体" w:hAnsi="宋体" w:cs="宋体"/>
          <w:color w:val="auto"/>
          <w:sz w:val="24"/>
        </w:rPr>
        <w:t>个、人员卡口（人脸识别）</w:t>
      </w:r>
      <w:r>
        <w:rPr>
          <w:rFonts w:ascii="宋体" w:hAnsi="宋体" w:cs="宋体"/>
          <w:color w:val="auto"/>
          <w:sz w:val="24"/>
        </w:rPr>
        <w:t>100</w:t>
      </w:r>
      <w:r>
        <w:rPr>
          <w:rFonts w:hint="eastAsia" w:ascii="宋体" w:hAnsi="宋体" w:cs="宋体"/>
          <w:color w:val="auto"/>
          <w:sz w:val="24"/>
        </w:rPr>
        <w:t>台。共计链路需求：</w:t>
      </w:r>
      <w:r>
        <w:rPr>
          <w:rFonts w:ascii="宋体" w:hAnsi="宋体" w:cs="宋体"/>
          <w:color w:val="auto"/>
          <w:sz w:val="24"/>
        </w:rPr>
        <w:t>408</w:t>
      </w:r>
      <w:r>
        <w:rPr>
          <w:rFonts w:hint="eastAsia" w:ascii="宋体" w:hAnsi="宋体" w:cs="宋体"/>
          <w:color w:val="auto"/>
          <w:sz w:val="24"/>
        </w:rPr>
        <w:t>条。</w:t>
      </w:r>
      <w:bookmarkStart w:id="1" w:name="_Toc355623527"/>
      <w:bookmarkStart w:id="2" w:name="_Toc121285288"/>
      <w:bookmarkStart w:id="3" w:name="_Toc169693665"/>
      <w:bookmarkStart w:id="4" w:name="_Toc172608051"/>
    </w:p>
    <w:p>
      <w:pPr>
        <w:spacing w:line="440" w:lineRule="exact"/>
        <w:ind w:firstLine="480" w:firstLineChars="200"/>
        <w:rPr>
          <w:rFonts w:ascii="宋体" w:cs="宋体"/>
          <w:color w:val="auto"/>
          <w:sz w:val="24"/>
        </w:rPr>
      </w:pPr>
      <w:r>
        <w:rPr>
          <w:rFonts w:hint="eastAsia" w:ascii="宋体" w:hAnsi="宋体" w:cs="宋体"/>
          <w:color w:val="auto"/>
          <w:sz w:val="24"/>
        </w:rPr>
        <w:t>监控点分布现状</w:t>
      </w:r>
      <w:bookmarkEnd w:id="1"/>
      <w:bookmarkEnd w:id="2"/>
      <w:bookmarkEnd w:id="3"/>
      <w:bookmarkEnd w:id="4"/>
      <w:r>
        <w:rPr>
          <w:rFonts w:hint="eastAsia" w:ascii="宋体" w:hAnsi="宋体" w:cs="宋体"/>
          <w:color w:val="auto"/>
          <w:sz w:val="24"/>
        </w:rPr>
        <w:t>，</w:t>
      </w:r>
      <w:bookmarkStart w:id="5" w:name="_Toc121285291"/>
      <w:bookmarkStart w:id="6" w:name="_Toc173558539"/>
      <w:bookmarkStart w:id="7" w:name="_Toc169693666"/>
      <w:bookmarkStart w:id="8" w:name="_Toc54173680"/>
      <w:bookmarkStart w:id="9" w:name="_Toc172608057"/>
      <w:bookmarkStart w:id="10" w:name="_Toc182129547"/>
      <w:bookmarkStart w:id="11" w:name="_Toc54173379"/>
      <w:r>
        <w:rPr>
          <w:rFonts w:hint="eastAsia" w:ascii="宋体" w:hAnsi="宋体" w:cs="宋体"/>
          <w:color w:val="auto"/>
          <w:sz w:val="24"/>
        </w:rPr>
        <w:t>包括前端监控、车辆卡口、人员卡口，一共</w:t>
      </w:r>
      <w:r>
        <w:rPr>
          <w:rFonts w:ascii="宋体" w:hAnsi="宋体" w:cs="宋体"/>
          <w:color w:val="auto"/>
          <w:sz w:val="24"/>
        </w:rPr>
        <w:t>408</w:t>
      </w:r>
      <w:r>
        <w:rPr>
          <w:rFonts w:hint="eastAsia" w:ascii="宋体" w:hAnsi="宋体" w:cs="宋体"/>
          <w:color w:val="auto"/>
          <w:sz w:val="24"/>
        </w:rPr>
        <w:t>条链路，</w:t>
      </w:r>
      <w:r>
        <w:rPr>
          <w:rFonts w:ascii="宋体" w:hAnsi="宋体" w:cs="宋体"/>
          <w:color w:val="auto"/>
          <w:sz w:val="24"/>
        </w:rPr>
        <w:t>320</w:t>
      </w:r>
      <w:r>
        <w:rPr>
          <w:rFonts w:hint="eastAsia" w:ascii="宋体" w:hAnsi="宋体" w:cs="宋体"/>
          <w:color w:val="auto"/>
          <w:sz w:val="24"/>
        </w:rPr>
        <w:t>元</w:t>
      </w:r>
      <w:r>
        <w:rPr>
          <w:rFonts w:ascii="宋体" w:hAnsi="宋体" w:cs="宋体"/>
          <w:color w:val="auto"/>
          <w:sz w:val="24"/>
        </w:rPr>
        <w:t>/</w:t>
      </w:r>
      <w:r>
        <w:rPr>
          <w:rFonts w:hint="eastAsia" w:ascii="宋体" w:hAnsi="宋体" w:cs="宋体"/>
          <w:color w:val="auto"/>
          <w:sz w:val="24"/>
        </w:rPr>
        <w:t>条</w:t>
      </w:r>
      <w:r>
        <w:rPr>
          <w:rFonts w:ascii="宋体" w:hAnsi="宋体" w:cs="宋体"/>
          <w:color w:val="auto"/>
          <w:sz w:val="24"/>
        </w:rPr>
        <w:t>/</w:t>
      </w:r>
      <w:r>
        <w:rPr>
          <w:rFonts w:hint="eastAsia" w:ascii="宋体" w:hAnsi="宋体" w:cs="宋体"/>
          <w:color w:val="auto"/>
          <w:sz w:val="24"/>
        </w:rPr>
        <w:t>月，一年共</w:t>
      </w:r>
      <w:r>
        <w:rPr>
          <w:rFonts w:ascii="宋体" w:hAnsi="宋体" w:cs="宋体"/>
          <w:color w:val="auto"/>
          <w:sz w:val="24"/>
        </w:rPr>
        <w:t>1566720</w:t>
      </w:r>
      <w:r>
        <w:rPr>
          <w:rFonts w:hint="eastAsia" w:ascii="宋体" w:hAnsi="宋体" w:cs="宋体"/>
          <w:color w:val="auto"/>
          <w:sz w:val="24"/>
        </w:rPr>
        <w:t>元。</w:t>
      </w:r>
    </w:p>
    <w:p>
      <w:pPr>
        <w:pStyle w:val="6"/>
        <w:spacing w:after="250" w:afterLines="50" w:line="440" w:lineRule="exact"/>
        <w:ind w:firstLine="482"/>
        <w:rPr>
          <w:rFonts w:ascii="宋体" w:cs="宋体"/>
          <w:b/>
          <w:color w:val="auto"/>
          <w:sz w:val="24"/>
        </w:rPr>
      </w:pPr>
      <w:r>
        <w:rPr>
          <w:rFonts w:ascii="宋体" w:hAnsi="宋体" w:cs="宋体"/>
          <w:b/>
          <w:color w:val="auto"/>
          <w:sz w:val="24"/>
        </w:rPr>
        <w:t xml:space="preserve">1. </w:t>
      </w:r>
      <w:r>
        <w:rPr>
          <w:rFonts w:hint="eastAsia" w:ascii="宋体" w:hAnsi="宋体" w:cs="宋体"/>
          <w:b/>
          <w:color w:val="auto"/>
          <w:sz w:val="24"/>
        </w:rPr>
        <w:t>新建</w:t>
      </w:r>
      <w:r>
        <w:rPr>
          <w:rFonts w:ascii="宋体" w:hAnsi="宋体" w:cs="宋体"/>
          <w:b/>
          <w:color w:val="auto"/>
          <w:sz w:val="24"/>
        </w:rPr>
        <w:t>300</w:t>
      </w:r>
      <w:r>
        <w:rPr>
          <w:rFonts w:hint="eastAsia" w:ascii="宋体" w:hAnsi="宋体" w:cs="宋体"/>
          <w:b/>
          <w:color w:val="auto"/>
          <w:sz w:val="24"/>
        </w:rPr>
        <w:t>个点位监控，每个点位约</w:t>
      </w:r>
      <w:r>
        <w:rPr>
          <w:rFonts w:ascii="宋体" w:hAnsi="宋体" w:cs="宋体"/>
          <w:b/>
          <w:color w:val="auto"/>
          <w:sz w:val="24"/>
        </w:rPr>
        <w:t>2/3</w:t>
      </w:r>
      <w:r>
        <w:rPr>
          <w:rFonts w:hint="eastAsia" w:ascii="宋体" w:hAnsi="宋体" w:cs="宋体"/>
          <w:b/>
          <w:color w:val="auto"/>
          <w:sz w:val="24"/>
        </w:rPr>
        <w:t>路监控，共计</w:t>
      </w:r>
      <w:r>
        <w:rPr>
          <w:rFonts w:ascii="宋体" w:hAnsi="宋体" w:cs="宋体"/>
          <w:b/>
          <w:color w:val="auto"/>
          <w:sz w:val="24"/>
        </w:rPr>
        <w:t>850</w:t>
      </w:r>
      <w:r>
        <w:rPr>
          <w:rFonts w:hint="eastAsia" w:ascii="宋体" w:hAnsi="宋体" w:cs="宋体"/>
          <w:b/>
          <w:color w:val="auto"/>
          <w:sz w:val="24"/>
        </w:rPr>
        <w:t>摄像机，具体分布如下所示：</w:t>
      </w: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50"/>
        <w:gridCol w:w="1843"/>
        <w:gridCol w:w="921"/>
        <w:gridCol w:w="922"/>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2" w:type="dxa"/>
            <w:noWrap w:val="0"/>
            <w:vAlign w:val="center"/>
          </w:tcPr>
          <w:p>
            <w:pPr>
              <w:widowControl/>
              <w:spacing w:line="440" w:lineRule="exact"/>
              <w:jc w:val="center"/>
              <w:rPr>
                <w:rFonts w:ascii="宋体" w:cs="宋体"/>
                <w:b/>
                <w:color w:val="auto"/>
                <w:sz w:val="24"/>
              </w:rPr>
            </w:pPr>
            <w:r>
              <w:rPr>
                <w:rFonts w:hint="eastAsia" w:ascii="宋体" w:hAnsi="宋体" w:cs="宋体"/>
                <w:b/>
                <w:color w:val="auto"/>
                <w:sz w:val="24"/>
              </w:rPr>
              <w:t>序号</w:t>
            </w:r>
          </w:p>
        </w:tc>
        <w:tc>
          <w:tcPr>
            <w:tcW w:w="2250" w:type="dxa"/>
            <w:noWrap w:val="0"/>
            <w:vAlign w:val="center"/>
          </w:tcPr>
          <w:p>
            <w:pPr>
              <w:widowControl/>
              <w:spacing w:line="440" w:lineRule="exact"/>
              <w:jc w:val="center"/>
              <w:rPr>
                <w:rFonts w:ascii="宋体" w:cs="宋体"/>
                <w:b/>
                <w:color w:val="auto"/>
                <w:sz w:val="24"/>
              </w:rPr>
            </w:pPr>
            <w:r>
              <w:rPr>
                <w:rFonts w:hint="eastAsia" w:ascii="宋体" w:hAnsi="宋体" w:cs="宋体"/>
                <w:b/>
                <w:color w:val="auto"/>
                <w:sz w:val="24"/>
              </w:rPr>
              <w:t>乡镇</w:t>
            </w:r>
          </w:p>
        </w:tc>
        <w:tc>
          <w:tcPr>
            <w:tcW w:w="1843" w:type="dxa"/>
            <w:noWrap w:val="0"/>
            <w:vAlign w:val="center"/>
          </w:tcPr>
          <w:p>
            <w:pPr>
              <w:widowControl/>
              <w:spacing w:line="440" w:lineRule="exact"/>
              <w:jc w:val="center"/>
              <w:rPr>
                <w:rFonts w:ascii="宋体" w:cs="宋体"/>
                <w:b/>
                <w:color w:val="auto"/>
                <w:sz w:val="24"/>
              </w:rPr>
            </w:pPr>
            <w:r>
              <w:rPr>
                <w:rFonts w:hint="eastAsia" w:ascii="宋体" w:hAnsi="宋体" w:cs="宋体"/>
                <w:b/>
                <w:color w:val="auto"/>
                <w:sz w:val="24"/>
              </w:rPr>
              <w:t>技术参数</w:t>
            </w:r>
          </w:p>
        </w:tc>
        <w:tc>
          <w:tcPr>
            <w:tcW w:w="921" w:type="dxa"/>
            <w:noWrap w:val="0"/>
            <w:vAlign w:val="center"/>
          </w:tcPr>
          <w:p>
            <w:pPr>
              <w:widowControl/>
              <w:spacing w:line="440" w:lineRule="exact"/>
              <w:jc w:val="center"/>
              <w:rPr>
                <w:rFonts w:ascii="宋体" w:cs="宋体"/>
                <w:b/>
                <w:color w:val="auto"/>
                <w:sz w:val="24"/>
              </w:rPr>
            </w:pPr>
            <w:r>
              <w:rPr>
                <w:rFonts w:hint="eastAsia" w:ascii="宋体" w:hAnsi="宋体" w:cs="宋体"/>
                <w:b/>
                <w:color w:val="auto"/>
                <w:sz w:val="24"/>
              </w:rPr>
              <w:t>单位</w:t>
            </w:r>
          </w:p>
        </w:tc>
        <w:tc>
          <w:tcPr>
            <w:tcW w:w="922" w:type="dxa"/>
            <w:noWrap w:val="0"/>
            <w:vAlign w:val="center"/>
          </w:tcPr>
          <w:p>
            <w:pPr>
              <w:widowControl/>
              <w:spacing w:line="440" w:lineRule="exact"/>
              <w:jc w:val="center"/>
              <w:rPr>
                <w:rFonts w:ascii="宋体" w:cs="宋体"/>
                <w:b/>
                <w:color w:val="auto"/>
                <w:sz w:val="24"/>
              </w:rPr>
            </w:pPr>
            <w:r>
              <w:rPr>
                <w:rFonts w:hint="eastAsia" w:ascii="宋体" w:hAnsi="宋体" w:cs="宋体"/>
                <w:b/>
                <w:color w:val="auto"/>
                <w:sz w:val="24"/>
              </w:rPr>
              <w:t>数量</w:t>
            </w:r>
          </w:p>
        </w:tc>
        <w:tc>
          <w:tcPr>
            <w:tcW w:w="2411" w:type="dxa"/>
            <w:noWrap w:val="0"/>
            <w:vAlign w:val="center"/>
          </w:tcPr>
          <w:p>
            <w:pPr>
              <w:spacing w:line="440" w:lineRule="exact"/>
              <w:jc w:val="center"/>
              <w:rPr>
                <w:rFonts w:asci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1</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县城</w:t>
            </w:r>
          </w:p>
        </w:tc>
        <w:tc>
          <w:tcPr>
            <w:tcW w:w="1843" w:type="dxa"/>
            <w:noWrap w:val="0"/>
            <w:vAlign w:val="center"/>
          </w:tcPr>
          <w:p>
            <w:pPr>
              <w:widowControl/>
              <w:spacing w:line="440" w:lineRule="exact"/>
              <w:jc w:val="center"/>
              <w:textAlignment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center"/>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128</w:t>
            </w:r>
          </w:p>
        </w:tc>
        <w:tc>
          <w:tcPr>
            <w:tcW w:w="2411" w:type="dxa"/>
            <w:noWrap w:val="0"/>
            <w:vAlign w:val="center"/>
          </w:tcPr>
          <w:p>
            <w:pPr>
              <w:spacing w:line="440" w:lineRule="exact"/>
              <w:jc w:val="left"/>
              <w:rPr>
                <w:rFonts w:ascii="宋体" w:cs="宋体"/>
                <w:color w:val="auto"/>
                <w:sz w:val="24"/>
              </w:rPr>
            </w:pPr>
            <w:r>
              <w:rPr>
                <w:rFonts w:hint="eastAsia" w:ascii="宋体" w:hAnsi="宋体" w:cs="宋体"/>
                <w:color w:val="auto"/>
                <w:sz w:val="24"/>
              </w:rPr>
              <w:t>每个点位总的带宽需求</w:t>
            </w:r>
            <w:r>
              <w:rPr>
                <w:rFonts w:ascii="宋体" w:hAnsi="宋体" w:cs="宋体"/>
                <w:color w:val="auto"/>
                <w:sz w:val="24"/>
              </w:rPr>
              <w:t>20M</w:t>
            </w:r>
            <w:r>
              <w:rPr>
                <w:rFonts w:hint="eastAsia" w:ascii="宋体" w:hAnsi="宋体" w:cs="宋体"/>
                <w:color w:val="auto"/>
                <w:sz w:val="24"/>
              </w:rPr>
              <w:t>，每个点位可能有</w:t>
            </w:r>
            <w:r>
              <w:rPr>
                <w:rFonts w:ascii="宋体" w:hAnsi="宋体" w:cs="宋体"/>
                <w:color w:val="auto"/>
                <w:sz w:val="24"/>
              </w:rPr>
              <w:t>2</w:t>
            </w: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2</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黎母山（含大丰）</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24</w:t>
            </w:r>
          </w:p>
        </w:tc>
        <w:tc>
          <w:tcPr>
            <w:tcW w:w="2411" w:type="dxa"/>
            <w:noWrap w:val="0"/>
            <w:vAlign w:val="center"/>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3</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加钗</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7</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4</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和平</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7</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5</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阳江</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23</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6</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什运</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8</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7</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长征</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10</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8</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湾岭</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31</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9</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红毛</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9</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10</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新进</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24</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11</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吊罗山</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6</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12</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上安</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5</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13</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岭头</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14</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2" w:type="dxa"/>
            <w:noWrap w:val="0"/>
            <w:vAlign w:val="center"/>
          </w:tcPr>
          <w:p>
            <w:pPr>
              <w:widowControl/>
              <w:spacing w:line="440" w:lineRule="exact"/>
              <w:jc w:val="center"/>
              <w:rPr>
                <w:rFonts w:ascii="宋体" w:cs="宋体"/>
                <w:color w:val="auto"/>
                <w:sz w:val="24"/>
              </w:rPr>
            </w:pPr>
            <w:r>
              <w:rPr>
                <w:rFonts w:ascii="宋体" w:hAnsi="宋体" w:cs="宋体"/>
                <w:color w:val="auto"/>
                <w:sz w:val="24"/>
              </w:rPr>
              <w:t>14</w:t>
            </w:r>
          </w:p>
        </w:tc>
        <w:tc>
          <w:tcPr>
            <w:tcW w:w="2250" w:type="dxa"/>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中平</w:t>
            </w:r>
          </w:p>
        </w:tc>
        <w:tc>
          <w:tcPr>
            <w:tcW w:w="1843" w:type="dxa"/>
            <w:noWrap w:val="0"/>
            <w:vAlign w:val="top"/>
          </w:tcPr>
          <w:p>
            <w:pPr>
              <w:widowControl/>
              <w:spacing w:line="440" w:lineRule="exact"/>
              <w:jc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21" w:type="dxa"/>
            <w:noWrap w:val="0"/>
            <w:vAlign w:val="top"/>
          </w:tcPr>
          <w:p>
            <w:pPr>
              <w:spacing w:line="440" w:lineRule="exact"/>
              <w:jc w:val="center"/>
              <w:rPr>
                <w:rFonts w:ascii="宋体" w:cs="宋体"/>
                <w:color w:val="auto"/>
                <w:sz w:val="24"/>
              </w:rPr>
            </w:pPr>
            <w:r>
              <w:rPr>
                <w:rFonts w:hint="eastAsia" w:ascii="宋体" w:hAnsi="宋体" w:cs="宋体"/>
                <w:color w:val="auto"/>
                <w:sz w:val="24"/>
              </w:rPr>
              <w:t>条</w:t>
            </w: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4</w:t>
            </w:r>
          </w:p>
        </w:tc>
        <w:tc>
          <w:tcPr>
            <w:tcW w:w="2411" w:type="dxa"/>
            <w:noWrap w:val="0"/>
            <w:vAlign w:val="top"/>
          </w:tcPr>
          <w:p>
            <w:pPr>
              <w:spacing w:line="440" w:lineRule="exact"/>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92" w:type="dxa"/>
            <w:gridSpan w:val="2"/>
            <w:noWrap w:val="0"/>
            <w:vAlign w:val="center"/>
          </w:tcPr>
          <w:p>
            <w:pPr>
              <w:widowControl/>
              <w:spacing w:line="440" w:lineRule="exact"/>
              <w:jc w:val="center"/>
              <w:rPr>
                <w:rFonts w:ascii="宋体" w:cs="宋体"/>
                <w:color w:val="auto"/>
                <w:sz w:val="24"/>
              </w:rPr>
            </w:pPr>
            <w:r>
              <w:rPr>
                <w:rFonts w:hint="eastAsia" w:ascii="宋体" w:hAnsi="宋体" w:cs="宋体"/>
                <w:color w:val="auto"/>
                <w:sz w:val="24"/>
              </w:rPr>
              <w:t>合计</w:t>
            </w:r>
          </w:p>
        </w:tc>
        <w:tc>
          <w:tcPr>
            <w:tcW w:w="1843" w:type="dxa"/>
            <w:noWrap w:val="0"/>
            <w:vAlign w:val="center"/>
          </w:tcPr>
          <w:p>
            <w:pPr>
              <w:widowControl/>
              <w:spacing w:line="440" w:lineRule="exact"/>
              <w:jc w:val="center"/>
              <w:rPr>
                <w:rFonts w:ascii="宋体" w:cs="宋体"/>
                <w:color w:val="auto"/>
                <w:sz w:val="24"/>
              </w:rPr>
            </w:pPr>
          </w:p>
        </w:tc>
        <w:tc>
          <w:tcPr>
            <w:tcW w:w="921" w:type="dxa"/>
            <w:noWrap w:val="0"/>
            <w:vAlign w:val="center"/>
          </w:tcPr>
          <w:p>
            <w:pPr>
              <w:spacing w:line="440" w:lineRule="exact"/>
              <w:jc w:val="center"/>
              <w:rPr>
                <w:rFonts w:ascii="宋体" w:cs="宋体"/>
                <w:color w:val="auto"/>
                <w:sz w:val="24"/>
              </w:rPr>
            </w:pPr>
          </w:p>
        </w:tc>
        <w:tc>
          <w:tcPr>
            <w:tcW w:w="922" w:type="dxa"/>
            <w:noWrap w:val="0"/>
            <w:vAlign w:val="center"/>
          </w:tcPr>
          <w:p>
            <w:pPr>
              <w:spacing w:line="440" w:lineRule="exact"/>
              <w:jc w:val="center"/>
              <w:rPr>
                <w:rFonts w:ascii="宋体" w:cs="宋体"/>
                <w:color w:val="auto"/>
                <w:sz w:val="24"/>
              </w:rPr>
            </w:pPr>
            <w:r>
              <w:rPr>
                <w:rFonts w:ascii="宋体" w:hAnsi="宋体" w:cs="宋体"/>
                <w:color w:val="auto"/>
                <w:sz w:val="24"/>
              </w:rPr>
              <w:t>300</w:t>
            </w:r>
          </w:p>
        </w:tc>
        <w:tc>
          <w:tcPr>
            <w:tcW w:w="2411" w:type="dxa"/>
            <w:noWrap w:val="0"/>
            <w:vAlign w:val="center"/>
          </w:tcPr>
          <w:p>
            <w:pPr>
              <w:spacing w:line="440" w:lineRule="exact"/>
              <w:jc w:val="center"/>
              <w:rPr>
                <w:rFonts w:ascii="宋体" w:cs="宋体"/>
                <w:color w:val="auto"/>
                <w:sz w:val="24"/>
              </w:rPr>
            </w:pPr>
          </w:p>
        </w:tc>
      </w:tr>
    </w:tbl>
    <w:p>
      <w:pPr>
        <w:spacing w:before="250" w:beforeLines="50" w:after="250" w:afterLines="50" w:line="440" w:lineRule="exact"/>
        <w:ind w:firstLine="482" w:firstLineChars="200"/>
        <w:rPr>
          <w:rFonts w:ascii="宋体" w:cs="宋体"/>
          <w:b/>
          <w:color w:val="auto"/>
          <w:sz w:val="24"/>
        </w:rPr>
      </w:pPr>
      <w:r>
        <w:rPr>
          <w:rFonts w:ascii="宋体" w:hAnsi="宋体" w:cs="宋体"/>
          <w:b/>
          <w:color w:val="auto"/>
          <w:sz w:val="24"/>
        </w:rPr>
        <w:t xml:space="preserve">2. </w:t>
      </w:r>
      <w:r>
        <w:rPr>
          <w:rFonts w:hint="eastAsia" w:ascii="宋体" w:hAnsi="宋体" w:cs="宋体"/>
          <w:b/>
          <w:color w:val="auto"/>
          <w:sz w:val="24"/>
        </w:rPr>
        <w:t>卡口、人脸识别监控需求，具体分布如下所示：</w:t>
      </w:r>
    </w:p>
    <w:tbl>
      <w:tblPr>
        <w:tblStyle w:val="4"/>
        <w:tblW w:w="0" w:type="auto"/>
        <w:tblInd w:w="0" w:type="dxa"/>
        <w:tblLayout w:type="fixed"/>
        <w:tblCellMar>
          <w:top w:w="15" w:type="dxa"/>
          <w:left w:w="15" w:type="dxa"/>
          <w:bottom w:w="15" w:type="dxa"/>
          <w:right w:w="15" w:type="dxa"/>
        </w:tblCellMar>
      </w:tblPr>
      <w:tblGrid>
        <w:gridCol w:w="821"/>
        <w:gridCol w:w="2171"/>
        <w:gridCol w:w="1843"/>
        <w:gridCol w:w="932"/>
        <w:gridCol w:w="922"/>
        <w:gridCol w:w="2400"/>
      </w:tblGrid>
      <w:tr>
        <w:tblPrEx>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b/>
                <w:color w:val="auto"/>
                <w:sz w:val="24"/>
              </w:rPr>
            </w:pPr>
            <w:r>
              <w:rPr>
                <w:rFonts w:hint="eastAsia" w:ascii="宋体" w:hAnsi="宋体" w:cs="宋体"/>
                <w:b/>
                <w:color w:val="auto"/>
                <w:sz w:val="24"/>
              </w:rPr>
              <w:t>序号</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b/>
                <w:color w:val="auto"/>
                <w:sz w:val="24"/>
              </w:rPr>
            </w:pPr>
            <w:r>
              <w:rPr>
                <w:rFonts w:hint="eastAsia" w:ascii="宋体" w:hAnsi="宋体" w:cs="宋体"/>
                <w:b/>
                <w:color w:val="auto"/>
                <w:sz w:val="24"/>
              </w:rPr>
              <w:t>名</w:t>
            </w:r>
            <w:r>
              <w:rPr>
                <w:rFonts w:ascii="宋体" w:hAnsi="宋体" w:cs="宋体"/>
                <w:b/>
                <w:color w:val="auto"/>
                <w:sz w:val="24"/>
              </w:rPr>
              <w:t xml:space="preserve">  </w:t>
            </w:r>
            <w:r>
              <w:rPr>
                <w:rFonts w:hint="eastAsia" w:ascii="宋体" w:hAnsi="宋体" w:cs="宋体"/>
                <w:b/>
                <w:color w:val="auto"/>
                <w:sz w:val="24"/>
              </w:rPr>
              <w:t>称</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b/>
                <w:color w:val="auto"/>
                <w:sz w:val="24"/>
              </w:rPr>
            </w:pPr>
            <w:r>
              <w:rPr>
                <w:rFonts w:hint="eastAsia" w:ascii="宋体" w:hAnsi="宋体" w:cs="宋体"/>
                <w:b/>
                <w:color w:val="auto"/>
                <w:sz w:val="24"/>
              </w:rPr>
              <w:t>技术参数</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b/>
                <w:color w:val="auto"/>
                <w:sz w:val="24"/>
              </w:rPr>
            </w:pPr>
            <w:r>
              <w:rPr>
                <w:rFonts w:hint="eastAsia" w:ascii="宋体" w:hAnsi="宋体" w:cs="宋体"/>
                <w:b/>
                <w:color w:val="auto"/>
                <w:sz w:val="24"/>
              </w:rPr>
              <w:t>单位</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b/>
                <w:color w:val="auto"/>
                <w:sz w:val="24"/>
              </w:rPr>
            </w:pPr>
            <w:r>
              <w:rPr>
                <w:rFonts w:hint="eastAsia" w:ascii="宋体" w:hAnsi="宋体" w:cs="宋体"/>
                <w:b/>
                <w:color w:val="auto"/>
                <w:sz w:val="24"/>
              </w:rPr>
              <w:t>数量</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b/>
                <w:color w:val="auto"/>
                <w:sz w:val="24"/>
              </w:rPr>
            </w:pPr>
            <w:r>
              <w:rPr>
                <w:rFonts w:hint="eastAsia" w:ascii="宋体" w:hAnsi="宋体" w:cs="宋体"/>
                <w:b/>
                <w:color w:val="auto"/>
                <w:sz w:val="24"/>
              </w:rPr>
              <w:t>备注</w:t>
            </w:r>
          </w:p>
        </w:tc>
      </w:tr>
      <w:tr>
        <w:tblPrEx>
          <w:tblCellMar>
            <w:top w:w="15" w:type="dxa"/>
            <w:left w:w="15" w:type="dxa"/>
            <w:bottom w:w="15" w:type="dxa"/>
            <w:right w:w="15" w:type="dxa"/>
          </w:tblCellMar>
        </w:tblPrEx>
        <w:trPr>
          <w:trHeight w:val="362" w:hRule="atLeast"/>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ascii="宋体" w:hAnsi="宋体" w:cs="宋体"/>
                <w:color w:val="auto"/>
                <w:sz w:val="24"/>
              </w:rPr>
              <w:t>1</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hint="eastAsia" w:ascii="宋体" w:hAnsi="宋体" w:cs="宋体"/>
                <w:color w:val="auto"/>
                <w:sz w:val="24"/>
              </w:rPr>
              <w:t>治安车辆卡口</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textAlignment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hint="eastAsia" w:ascii="宋体" w:hAnsi="宋体" w:cs="宋体"/>
                <w:color w:val="auto"/>
                <w:sz w:val="24"/>
              </w:rPr>
              <w:t>条</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ascii="宋体" w:hAnsi="宋体" w:cs="宋体"/>
                <w:color w:val="auto"/>
                <w:sz w:val="24"/>
              </w:rPr>
              <w:t>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cs="宋体"/>
                <w:color w:val="auto"/>
                <w:sz w:val="24"/>
              </w:rPr>
            </w:pPr>
          </w:p>
        </w:tc>
      </w:tr>
      <w:tr>
        <w:tblPrEx>
          <w:tblCellMar>
            <w:top w:w="15" w:type="dxa"/>
            <w:left w:w="15" w:type="dxa"/>
            <w:bottom w:w="15" w:type="dxa"/>
            <w:right w:w="15" w:type="dxa"/>
          </w:tblCellMar>
        </w:tblPrEx>
        <w:trPr>
          <w:trHeight w:val="383" w:hRule="atLeast"/>
        </w:trPr>
        <w:tc>
          <w:tcPr>
            <w:tcW w:w="82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ascii="宋体" w:hAnsi="宋体" w:cs="宋体"/>
                <w:color w:val="auto"/>
                <w:sz w:val="24"/>
              </w:rPr>
              <w:t>2</w:t>
            </w:r>
          </w:p>
        </w:tc>
        <w:tc>
          <w:tcPr>
            <w:tcW w:w="217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hint="eastAsia" w:ascii="宋体" w:hAnsi="宋体" w:cs="宋体"/>
                <w:color w:val="auto"/>
                <w:sz w:val="24"/>
              </w:rPr>
              <w:t>人员卡口</w:t>
            </w:r>
          </w:p>
        </w:tc>
        <w:tc>
          <w:tcPr>
            <w:tcW w:w="1843" w:type="dxa"/>
            <w:tcBorders>
              <w:top w:val="single" w:color="000000" w:sz="4" w:space="0"/>
              <w:left w:val="single" w:color="000000" w:sz="4" w:space="0"/>
              <w:bottom w:val="single" w:color="auto" w:sz="4" w:space="0"/>
              <w:right w:val="single" w:color="000000" w:sz="4" w:space="0"/>
            </w:tcBorders>
            <w:noWrap w:val="0"/>
            <w:vAlign w:val="top"/>
          </w:tcPr>
          <w:p>
            <w:pPr>
              <w:widowControl/>
              <w:spacing w:line="440" w:lineRule="exact"/>
              <w:jc w:val="center"/>
              <w:textAlignment w:val="center"/>
              <w:rPr>
                <w:rFonts w:ascii="宋体" w:cs="宋体"/>
                <w:color w:val="auto"/>
                <w:sz w:val="24"/>
              </w:rPr>
            </w:pPr>
            <w:r>
              <w:rPr>
                <w:rFonts w:hint="eastAsia" w:ascii="宋体" w:hAnsi="宋体" w:cs="宋体"/>
                <w:color w:val="auto"/>
                <w:sz w:val="24"/>
              </w:rPr>
              <w:t>带宽</w:t>
            </w:r>
            <w:r>
              <w:rPr>
                <w:rFonts w:ascii="宋体" w:hAnsi="宋体" w:cs="宋体"/>
                <w:color w:val="auto"/>
                <w:sz w:val="24"/>
              </w:rPr>
              <w:t>20M</w:t>
            </w:r>
          </w:p>
        </w:tc>
        <w:tc>
          <w:tcPr>
            <w:tcW w:w="93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hint="eastAsia" w:ascii="宋体" w:hAnsi="宋体" w:cs="宋体"/>
                <w:color w:val="auto"/>
                <w:sz w:val="24"/>
              </w:rPr>
              <w:t>条</w:t>
            </w:r>
          </w:p>
        </w:tc>
        <w:tc>
          <w:tcPr>
            <w:tcW w:w="92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center"/>
              <w:textAlignment w:val="center"/>
              <w:rPr>
                <w:rFonts w:ascii="宋体" w:cs="宋体"/>
                <w:color w:val="auto"/>
                <w:sz w:val="24"/>
              </w:rPr>
            </w:pPr>
            <w:r>
              <w:rPr>
                <w:rFonts w:ascii="宋体" w:hAnsi="宋体" w:cs="宋体"/>
                <w:color w:val="auto"/>
                <w:sz w:val="24"/>
              </w:rPr>
              <w:t>100</w:t>
            </w:r>
          </w:p>
        </w:tc>
        <w:tc>
          <w:tcPr>
            <w:tcW w:w="2400" w:type="dxa"/>
            <w:tcBorders>
              <w:top w:val="single" w:color="000000" w:sz="4" w:space="0"/>
              <w:left w:val="single" w:color="000000" w:sz="4" w:space="0"/>
              <w:bottom w:val="single" w:color="auto" w:sz="4" w:space="0"/>
              <w:right w:val="single" w:color="000000" w:sz="4" w:space="0"/>
            </w:tcBorders>
            <w:noWrap w:val="0"/>
            <w:vAlign w:val="center"/>
          </w:tcPr>
          <w:p>
            <w:pPr>
              <w:spacing w:line="440" w:lineRule="exact"/>
              <w:jc w:val="center"/>
              <w:rPr>
                <w:rFonts w:ascii="宋体" w:cs="宋体"/>
                <w:color w:val="auto"/>
                <w:sz w:val="24"/>
              </w:rPr>
            </w:pPr>
          </w:p>
        </w:tc>
      </w:tr>
      <w:tr>
        <w:tblPrEx>
          <w:tblCellMar>
            <w:top w:w="15" w:type="dxa"/>
            <w:left w:w="15" w:type="dxa"/>
            <w:bottom w:w="15" w:type="dxa"/>
            <w:right w:w="15" w:type="dxa"/>
          </w:tblCellMar>
        </w:tblPrEx>
        <w:trPr>
          <w:trHeight w:val="406" w:hRule="atLeast"/>
        </w:trPr>
        <w:tc>
          <w:tcPr>
            <w:tcW w:w="5767" w:type="dxa"/>
            <w:gridSpan w:val="4"/>
            <w:tcBorders>
              <w:top w:val="single" w:color="auto"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ascii="宋体" w:cs="宋体"/>
                <w:color w:val="auto"/>
                <w:sz w:val="24"/>
              </w:rPr>
            </w:pPr>
            <w:r>
              <w:rPr>
                <w:rFonts w:hint="eastAsia" w:ascii="宋体" w:hAnsi="宋体" w:cs="宋体"/>
                <w:color w:val="auto"/>
                <w:sz w:val="24"/>
              </w:rPr>
              <w:t>合计</w:t>
            </w:r>
          </w:p>
        </w:tc>
        <w:tc>
          <w:tcPr>
            <w:tcW w:w="92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ascii="宋体" w:cs="宋体"/>
                <w:color w:val="auto"/>
                <w:sz w:val="24"/>
              </w:rPr>
            </w:pPr>
            <w:r>
              <w:rPr>
                <w:rFonts w:ascii="宋体" w:hAnsi="宋体" w:cs="宋体"/>
                <w:color w:val="auto"/>
                <w:sz w:val="24"/>
              </w:rPr>
              <w:t>108</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jc w:val="center"/>
              <w:rPr>
                <w:rFonts w:ascii="宋体" w:cs="宋体"/>
                <w:color w:val="auto"/>
                <w:sz w:val="24"/>
              </w:rPr>
            </w:pPr>
          </w:p>
        </w:tc>
      </w:tr>
      <w:bookmarkEnd w:id="5"/>
      <w:bookmarkEnd w:id="6"/>
      <w:bookmarkEnd w:id="7"/>
      <w:bookmarkEnd w:id="8"/>
      <w:bookmarkEnd w:id="9"/>
      <w:bookmarkEnd w:id="10"/>
      <w:bookmarkEnd w:id="11"/>
    </w:tbl>
    <w:p>
      <w:pPr>
        <w:pStyle w:val="6"/>
        <w:spacing w:before="250" w:beforeLines="50" w:line="440" w:lineRule="exact"/>
        <w:ind w:firstLine="0" w:firstLineChars="0"/>
        <w:rPr>
          <w:rFonts w:ascii="宋体" w:cs="宋体"/>
          <w:b/>
          <w:color w:val="auto"/>
          <w:sz w:val="24"/>
        </w:rPr>
      </w:pPr>
      <w:r>
        <w:rPr>
          <w:rFonts w:hint="eastAsia" w:ascii="宋体" w:hAnsi="宋体" w:cs="宋体"/>
          <w:b/>
          <w:color w:val="auto"/>
          <w:sz w:val="24"/>
        </w:rPr>
        <w:t>四、技术商务要求：</w:t>
      </w:r>
    </w:p>
    <w:p>
      <w:pPr>
        <w:spacing w:line="440" w:lineRule="exact"/>
        <w:ind w:firstLine="480" w:firstLineChars="200"/>
        <w:rPr>
          <w:rFonts w:ascii="宋体" w:cs="宋体"/>
          <w:color w:val="auto"/>
          <w:sz w:val="24"/>
        </w:rPr>
      </w:pPr>
      <w:r>
        <w:rPr>
          <w:rFonts w:hint="eastAsia" w:ascii="宋体" w:hAnsi="宋体" w:cs="宋体"/>
          <w:color w:val="auto"/>
          <w:sz w:val="24"/>
        </w:rPr>
        <w:t>包含如下内容：总体设计方案，建设进度保障，业务故障处理、业务恢复响应及应急预案处理，企业基本情况，售后服务承诺。</w:t>
      </w:r>
    </w:p>
    <w:p>
      <w:pPr>
        <w:pStyle w:val="6"/>
        <w:spacing w:line="440" w:lineRule="exact"/>
        <w:ind w:firstLine="0" w:firstLineChars="0"/>
        <w:rPr>
          <w:rFonts w:ascii="宋体" w:cs="宋体"/>
          <w:b/>
          <w:color w:val="auto"/>
          <w:sz w:val="24"/>
        </w:rPr>
      </w:pPr>
      <w:r>
        <w:rPr>
          <w:rFonts w:hint="eastAsia" w:ascii="宋体" w:hAnsi="宋体" w:cs="宋体"/>
          <w:b/>
          <w:color w:val="auto"/>
          <w:sz w:val="24"/>
        </w:rPr>
        <w:t>五、工期要求：</w:t>
      </w:r>
    </w:p>
    <w:p>
      <w:pPr>
        <w:spacing w:line="440" w:lineRule="exact"/>
        <w:ind w:firstLine="480" w:firstLineChars="200"/>
        <w:rPr>
          <w:rFonts w:ascii="宋体" w:cs="宋体"/>
          <w:color w:val="auto"/>
          <w:sz w:val="24"/>
        </w:rPr>
      </w:pPr>
      <w:r>
        <w:rPr>
          <w:rFonts w:hint="eastAsia" w:ascii="宋体" w:hAnsi="宋体" w:cs="宋体"/>
          <w:color w:val="auto"/>
          <w:sz w:val="24"/>
        </w:rPr>
        <w:t>本项目工期要求：由于业主工作需要，以上采购内容的链路必须在合同签订后</w:t>
      </w:r>
      <w:r>
        <w:rPr>
          <w:rFonts w:ascii="宋体" w:hAnsi="宋体" w:cs="宋体"/>
          <w:color w:val="auto"/>
          <w:sz w:val="24"/>
        </w:rPr>
        <w:t>2020</w:t>
      </w:r>
      <w:r>
        <w:rPr>
          <w:rFonts w:hint="eastAsia" w:ascii="宋体" w:hAnsi="宋体" w:cs="宋体"/>
          <w:color w:val="auto"/>
          <w:sz w:val="24"/>
        </w:rPr>
        <w:t>年3月31日前完成开通，供应商必须提供合理、可操作性强的实施方案。供应商如不能按期完成此以上链路开通，则采购人视具体情况有权取消合同，没收履约保证金。</w:t>
      </w:r>
    </w:p>
    <w:p>
      <w:pPr>
        <w:spacing w:line="440" w:lineRule="exact"/>
        <w:rPr>
          <w:rFonts w:ascii="宋体" w:cs="宋体"/>
          <w:color w:val="auto"/>
          <w:sz w:val="24"/>
        </w:rPr>
      </w:pPr>
      <w:r>
        <w:rPr>
          <w:rFonts w:hint="eastAsia" w:ascii="宋体" w:hAnsi="宋体" w:cs="宋体"/>
          <w:b/>
          <w:color w:val="auto"/>
          <w:sz w:val="24"/>
        </w:rPr>
        <w:t>六、</w:t>
      </w:r>
      <w:r>
        <w:rPr>
          <w:rFonts w:hint="eastAsia" w:ascii="宋体" w:hAnsi="宋体" w:cs="宋体"/>
          <w:b/>
          <w:bCs/>
          <w:color w:val="auto"/>
          <w:sz w:val="24"/>
        </w:rPr>
        <w:t>服务期：服务期一年，自电路实际开通之日起计算；业主方可根据满意度、服务水平等综合服务情况签署服务合同执行年限，服务费按合同约定执行。</w:t>
      </w:r>
    </w:p>
    <w:p>
      <w:pPr>
        <w:spacing w:line="440" w:lineRule="exact"/>
        <w:rPr>
          <w:rFonts w:ascii="宋体" w:cs="宋体"/>
          <w:color w:val="auto"/>
          <w:sz w:val="24"/>
        </w:rPr>
      </w:pPr>
      <w:r>
        <w:rPr>
          <w:rFonts w:hint="eastAsia" w:ascii="宋体" w:hAnsi="宋体" w:cs="宋体"/>
          <w:b/>
          <w:bCs/>
          <w:color w:val="auto"/>
          <w:sz w:val="24"/>
        </w:rPr>
        <w:t>七、服务地点：采购人指定地点。</w:t>
      </w:r>
    </w:p>
    <w:p>
      <w:pPr>
        <w:pStyle w:val="6"/>
        <w:spacing w:line="440" w:lineRule="exact"/>
        <w:ind w:firstLine="0" w:firstLineChars="0"/>
        <w:rPr>
          <w:rFonts w:ascii="宋体" w:cs="宋体"/>
          <w:color w:val="auto"/>
          <w:sz w:val="24"/>
        </w:rPr>
      </w:pPr>
      <w:bookmarkStart w:id="12" w:name="OLE_LINK2"/>
      <w:bookmarkStart w:id="13" w:name="OLE_LINK1"/>
      <w:r>
        <w:rPr>
          <w:rFonts w:hint="eastAsia" w:ascii="宋体" w:hAnsi="宋体" w:cs="宋体"/>
          <w:b/>
          <w:color w:val="auto"/>
          <w:sz w:val="24"/>
        </w:rPr>
        <w:t>八、结算方式：</w:t>
      </w:r>
      <w:bookmarkStart w:id="14" w:name="OLE_LINK3"/>
      <w:bookmarkStart w:id="15" w:name="OLE_LINK5"/>
      <w:bookmarkStart w:id="16" w:name="OLE_LINK4"/>
      <w:r>
        <w:rPr>
          <w:rFonts w:hint="eastAsia" w:ascii="宋体" w:hAnsi="宋体" w:cs="宋体"/>
          <w:b/>
          <w:bCs/>
          <w:color w:val="auto"/>
          <w:sz w:val="24"/>
        </w:rPr>
        <w:t>按照实际使用付款，以月度确认函为准</w:t>
      </w:r>
      <w:bookmarkEnd w:id="12"/>
      <w:bookmarkEnd w:id="13"/>
      <w:bookmarkEnd w:id="14"/>
      <w:bookmarkEnd w:id="15"/>
      <w:bookmarkEnd w:id="16"/>
      <w:r>
        <w:rPr>
          <w:rFonts w:hint="eastAsia" w:ascii="宋体" w:hAnsi="宋体" w:cs="宋体"/>
          <w:b/>
          <w:bCs/>
          <w:color w:val="auto"/>
          <w:sz w:val="24"/>
        </w:rPr>
        <w:t>。</w:t>
      </w:r>
    </w:p>
    <w:p>
      <w:pPr>
        <w:pStyle w:val="6"/>
        <w:spacing w:line="440" w:lineRule="exact"/>
        <w:ind w:firstLine="0" w:firstLineChars="0"/>
        <w:rPr>
          <w:rFonts w:ascii="宋体" w:cs="宋体"/>
          <w:b/>
          <w:color w:val="auto"/>
          <w:sz w:val="24"/>
        </w:rPr>
      </w:pPr>
      <w:r>
        <w:rPr>
          <w:rFonts w:hint="eastAsia" w:ascii="宋体" w:hAnsi="宋体" w:cs="宋体"/>
          <w:b/>
          <w:color w:val="auto"/>
          <w:sz w:val="24"/>
        </w:rPr>
        <w:t>九、服务要求：</w:t>
      </w:r>
    </w:p>
    <w:p>
      <w:pPr>
        <w:spacing w:line="440" w:lineRule="exact"/>
        <w:ind w:firstLine="480" w:firstLineChars="200"/>
        <w:rPr>
          <w:rFonts w:ascii="宋体" w:cs="宋体"/>
          <w:color w:val="auto"/>
          <w:sz w:val="24"/>
        </w:rPr>
      </w:pPr>
      <w:r>
        <w:rPr>
          <w:rFonts w:hint="eastAsia" w:ascii="宋体" w:hAnsi="宋体" w:cs="宋体"/>
          <w:color w:val="auto"/>
          <w:sz w:val="24"/>
        </w:rPr>
        <w:t>供应商必须提供详细的保修期内技术支持和服务方案，技术支持和服务方案包括（但不限于）：</w:t>
      </w:r>
    </w:p>
    <w:p>
      <w:pPr>
        <w:spacing w:line="440" w:lineRule="exact"/>
        <w:ind w:firstLine="480" w:firstLineChars="200"/>
        <w:rPr>
          <w:rFonts w:ascii="宋体" w:cs="宋体"/>
          <w:color w:val="auto"/>
          <w:sz w:val="24"/>
        </w:rPr>
      </w:pPr>
      <w:r>
        <w:rPr>
          <w:rFonts w:ascii="宋体" w:hAnsi="宋体" w:cs="宋体"/>
          <w:color w:val="auto"/>
          <w:sz w:val="24"/>
        </w:rPr>
        <w:t>1. 7</w:t>
      </w:r>
      <w:r>
        <w:rPr>
          <w:rFonts w:hint="eastAsia" w:ascii="宋体" w:hAnsi="宋体" w:cs="宋体"/>
          <w:color w:val="auto"/>
          <w:sz w:val="24"/>
        </w:rPr>
        <w:t>×</w:t>
      </w:r>
      <w:r>
        <w:rPr>
          <w:rFonts w:ascii="宋体" w:hAnsi="宋体" w:cs="宋体"/>
          <w:color w:val="auto"/>
          <w:sz w:val="24"/>
        </w:rPr>
        <w:t>24</w:t>
      </w:r>
      <w:r>
        <w:rPr>
          <w:rFonts w:hint="eastAsia" w:ascii="宋体" w:hAnsi="宋体" w:cs="宋体"/>
          <w:color w:val="auto"/>
          <w:sz w:val="24"/>
        </w:rPr>
        <w:t>小时不间断服务。</w:t>
      </w:r>
    </w:p>
    <w:p>
      <w:pPr>
        <w:spacing w:line="440" w:lineRule="exact"/>
        <w:ind w:firstLine="480" w:firstLineChars="200"/>
        <w:rPr>
          <w:rFonts w:ascii="宋体" w:cs="宋体"/>
          <w:color w:val="auto"/>
          <w:sz w:val="24"/>
        </w:rPr>
      </w:pPr>
      <w:r>
        <w:rPr>
          <w:rFonts w:hint="eastAsia" w:ascii="宋体" w:hAnsi="宋体" w:cs="宋体"/>
          <w:color w:val="auto"/>
          <w:sz w:val="24"/>
        </w:rPr>
        <w:t>提供</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24</w:t>
      </w:r>
      <w:r>
        <w:rPr>
          <w:rFonts w:hint="eastAsia" w:ascii="宋体" w:hAnsi="宋体" w:cs="宋体"/>
          <w:color w:val="auto"/>
          <w:sz w:val="24"/>
        </w:rPr>
        <w:t>小时的网络监控、维护和服务，保障用户网络的安全运行。</w:t>
      </w:r>
    </w:p>
    <w:p>
      <w:pPr>
        <w:spacing w:line="440" w:lineRule="exact"/>
        <w:ind w:firstLine="480" w:firstLineChars="200"/>
        <w:rPr>
          <w:rFonts w:ascii="宋体" w:cs="宋体"/>
          <w:color w:val="auto"/>
          <w:sz w:val="24"/>
        </w:rPr>
      </w:pPr>
      <w:r>
        <w:rPr>
          <w:rFonts w:ascii="宋体" w:hAnsi="宋体" w:cs="宋体"/>
          <w:color w:val="auto"/>
          <w:sz w:val="24"/>
        </w:rPr>
        <w:t xml:space="preserve">2. </w:t>
      </w:r>
      <w:r>
        <w:rPr>
          <w:rFonts w:hint="eastAsia" w:ascii="宋体" w:hAnsi="宋体" w:cs="宋体"/>
          <w:color w:val="auto"/>
          <w:sz w:val="24"/>
        </w:rPr>
        <w:t>提供</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24</w:t>
      </w:r>
      <w:r>
        <w:rPr>
          <w:rFonts w:hint="eastAsia" w:ascii="宋体" w:hAnsi="宋体" w:cs="宋体"/>
          <w:color w:val="auto"/>
          <w:sz w:val="24"/>
        </w:rPr>
        <w:t>小时客户响应电话。</w:t>
      </w:r>
    </w:p>
    <w:p>
      <w:pPr>
        <w:spacing w:line="440" w:lineRule="exact"/>
        <w:ind w:firstLine="480" w:firstLineChars="200"/>
        <w:rPr>
          <w:rFonts w:ascii="宋体" w:cs="宋体"/>
          <w:color w:val="auto"/>
          <w:sz w:val="24"/>
        </w:rPr>
      </w:pPr>
      <w:r>
        <w:rPr>
          <w:rFonts w:hint="eastAsia" w:ascii="宋体" w:hAnsi="宋体" w:cs="宋体"/>
          <w:color w:val="auto"/>
          <w:sz w:val="24"/>
        </w:rPr>
        <w:t>供应商为采购人配备专门客户工程师（提供专门客户工程师名单），作为与采购人沟通的最直接途径，对采购人提供技术业务咨询服务，在采购人出现特大故障时，客户工程师可以用最快的速度调度好资源，最快地修复障碍。</w:t>
      </w:r>
    </w:p>
    <w:p>
      <w:pPr>
        <w:spacing w:line="440" w:lineRule="exact"/>
        <w:ind w:firstLine="480" w:firstLineChars="200"/>
        <w:rPr>
          <w:rFonts w:ascii="宋体" w:cs="宋体"/>
          <w:color w:val="auto"/>
          <w:sz w:val="24"/>
        </w:rPr>
      </w:pPr>
      <w:r>
        <w:rPr>
          <w:rFonts w:ascii="宋体" w:hAnsi="宋体" w:cs="宋体"/>
          <w:color w:val="auto"/>
          <w:sz w:val="24"/>
        </w:rPr>
        <w:t xml:space="preserve">3. </w:t>
      </w:r>
      <w:r>
        <w:rPr>
          <w:rFonts w:hint="eastAsia" w:ascii="宋体" w:hAnsi="宋体" w:cs="宋体"/>
          <w:color w:val="auto"/>
          <w:sz w:val="24"/>
        </w:rPr>
        <w:t>配置一名客户经理，统一故障申告渠道。</w:t>
      </w:r>
    </w:p>
    <w:p>
      <w:pPr>
        <w:spacing w:line="440" w:lineRule="exact"/>
        <w:ind w:firstLine="480" w:firstLineChars="200"/>
        <w:rPr>
          <w:rFonts w:ascii="宋体" w:cs="宋体"/>
          <w:color w:val="auto"/>
          <w:sz w:val="24"/>
        </w:rPr>
      </w:pPr>
      <w:r>
        <w:rPr>
          <w:rFonts w:ascii="宋体" w:hAnsi="宋体" w:cs="宋体"/>
          <w:color w:val="auto"/>
          <w:sz w:val="24"/>
        </w:rPr>
        <w:t xml:space="preserve">4. </w:t>
      </w:r>
      <w:r>
        <w:rPr>
          <w:rFonts w:hint="eastAsia" w:ascii="宋体" w:hAnsi="宋体" w:cs="宋体"/>
          <w:color w:val="auto"/>
          <w:sz w:val="24"/>
        </w:rPr>
        <w:t>供应商为采购人提供电路运行服务月度、年度报告。</w:t>
      </w:r>
    </w:p>
    <w:p>
      <w:pPr>
        <w:pStyle w:val="6"/>
        <w:spacing w:line="440" w:lineRule="exact"/>
        <w:ind w:firstLine="0" w:firstLineChars="0"/>
        <w:rPr>
          <w:rFonts w:ascii="宋体" w:cs="宋体"/>
          <w:b/>
          <w:color w:val="auto"/>
          <w:sz w:val="24"/>
        </w:rPr>
      </w:pPr>
      <w:bookmarkStart w:id="17" w:name="_Toc476664377"/>
      <w:bookmarkStart w:id="18" w:name="_Toc476643573"/>
      <w:r>
        <w:rPr>
          <w:rFonts w:hint="eastAsia" w:ascii="宋体" w:hAnsi="宋体" w:cs="宋体"/>
          <w:b/>
          <w:color w:val="auto"/>
          <w:sz w:val="24"/>
        </w:rPr>
        <w:t>十、其它要求</w:t>
      </w:r>
      <w:bookmarkEnd w:id="17"/>
      <w:bookmarkEnd w:id="18"/>
      <w:r>
        <w:rPr>
          <w:rFonts w:hint="eastAsia" w:ascii="宋体" w:hAnsi="宋体" w:cs="宋体"/>
          <w:b/>
          <w:color w:val="auto"/>
          <w:sz w:val="24"/>
        </w:rPr>
        <w:t>：</w:t>
      </w:r>
    </w:p>
    <w:p>
      <w:pPr>
        <w:spacing w:line="440" w:lineRule="exact"/>
        <w:ind w:firstLine="480" w:firstLineChars="200"/>
        <w:rPr>
          <w:rFonts w:ascii="宋体" w:cs="宋体"/>
          <w:color w:val="auto"/>
          <w:sz w:val="24"/>
        </w:rPr>
      </w:pPr>
      <w:r>
        <w:rPr>
          <w:rFonts w:ascii="宋体" w:hAnsi="宋体" w:cs="宋体"/>
          <w:color w:val="auto"/>
          <w:sz w:val="24"/>
        </w:rPr>
        <w:t xml:space="preserve">1. </w:t>
      </w:r>
      <w:r>
        <w:rPr>
          <w:rFonts w:hint="eastAsia" w:ascii="宋体" w:hAnsi="宋体" w:cs="宋体"/>
          <w:color w:val="auto"/>
          <w:sz w:val="24"/>
        </w:rPr>
        <w:t>供应商必须提供详细的保修期内技术支持和服务方案，技术支持和服务方案包括（但不限于）：</w:t>
      </w:r>
    </w:p>
    <w:p>
      <w:pPr>
        <w:spacing w:line="440" w:lineRule="exact"/>
        <w:ind w:firstLine="480" w:firstLineChars="200"/>
        <w:rPr>
          <w:rFonts w:ascii="宋体" w:cs="宋体"/>
          <w:color w:val="auto"/>
          <w:sz w:val="24"/>
        </w:rPr>
      </w:pPr>
      <w:r>
        <w:rPr>
          <w:rFonts w:ascii="宋体" w:hAnsi="宋体" w:cs="宋体"/>
          <w:color w:val="auto"/>
          <w:sz w:val="24"/>
        </w:rPr>
        <w:t xml:space="preserve">1.1 </w:t>
      </w:r>
      <w:r>
        <w:rPr>
          <w:rFonts w:hint="eastAsia" w:ascii="宋体" w:hAnsi="宋体" w:cs="宋体"/>
          <w:color w:val="auto"/>
          <w:sz w:val="24"/>
        </w:rPr>
        <w:t>整体工程提供一年的免费维护，按要求标准提供维护。</w:t>
      </w:r>
      <w:bookmarkStart w:id="19" w:name="OLE_LINK11"/>
      <w:bookmarkStart w:id="20" w:name="OLE_LINK10"/>
    </w:p>
    <w:p>
      <w:pPr>
        <w:spacing w:line="440" w:lineRule="exact"/>
        <w:ind w:firstLine="480" w:firstLineChars="200"/>
        <w:rPr>
          <w:rFonts w:ascii="宋体" w:cs="宋体"/>
          <w:color w:val="auto"/>
          <w:sz w:val="24"/>
        </w:rPr>
      </w:pPr>
      <w:r>
        <w:rPr>
          <w:rFonts w:ascii="宋体" w:hAnsi="宋体" w:cs="宋体"/>
          <w:color w:val="auto"/>
          <w:sz w:val="24"/>
        </w:rPr>
        <w:t xml:space="preserve">1.2 </w:t>
      </w:r>
      <w:r>
        <w:rPr>
          <w:rFonts w:hint="eastAsia" w:ascii="宋体" w:hAnsi="宋体" w:cs="宋体"/>
          <w:color w:val="auto"/>
          <w:sz w:val="24"/>
        </w:rPr>
        <w:t>提供</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24</w:t>
      </w:r>
      <w:r>
        <w:rPr>
          <w:rFonts w:hint="eastAsia" w:ascii="宋体" w:hAnsi="宋体" w:cs="宋体"/>
          <w:color w:val="auto"/>
          <w:sz w:val="24"/>
        </w:rPr>
        <w:t>小时技术支持和服务，</w:t>
      </w:r>
      <w:r>
        <w:rPr>
          <w:rFonts w:ascii="宋体" w:hAnsi="宋体" w:cs="宋体"/>
          <w:color w:val="auto"/>
          <w:sz w:val="24"/>
        </w:rPr>
        <w:t>2</w:t>
      </w:r>
      <w:r>
        <w:rPr>
          <w:rFonts w:hint="eastAsia" w:ascii="宋体" w:hAnsi="宋体" w:cs="宋体"/>
          <w:color w:val="auto"/>
          <w:sz w:val="24"/>
        </w:rPr>
        <w:t>小时内作出实质性响应，对重大问题提供现场技术支持，</w:t>
      </w:r>
      <w:bookmarkStart w:id="21" w:name="OLE_LINK7"/>
      <w:bookmarkStart w:id="22" w:name="OLE_LINK6"/>
      <w:bookmarkStart w:id="23" w:name="OLE_LINK8"/>
      <w:bookmarkStart w:id="24" w:name="OLE_LINK9"/>
      <w:r>
        <w:rPr>
          <w:rFonts w:hint="eastAsia" w:ascii="宋体" w:hAnsi="宋体" w:cs="宋体"/>
          <w:color w:val="auto"/>
          <w:sz w:val="24"/>
        </w:rPr>
        <w:t>县城</w:t>
      </w:r>
      <w:r>
        <w:rPr>
          <w:rFonts w:ascii="宋体" w:hAnsi="宋体" w:cs="宋体"/>
          <w:color w:val="auto"/>
          <w:sz w:val="24"/>
        </w:rPr>
        <w:t>3</w:t>
      </w:r>
      <w:r>
        <w:rPr>
          <w:rFonts w:hint="eastAsia" w:ascii="宋体" w:hAnsi="宋体" w:cs="宋体"/>
          <w:color w:val="auto"/>
          <w:sz w:val="24"/>
        </w:rPr>
        <w:t>小时内到达指定现场，问题解决</w:t>
      </w:r>
      <w:r>
        <w:rPr>
          <w:rFonts w:ascii="宋体" w:hAnsi="宋体" w:cs="宋体"/>
          <w:color w:val="auto"/>
          <w:sz w:val="24"/>
        </w:rPr>
        <w:t>8</w:t>
      </w:r>
      <w:r>
        <w:rPr>
          <w:rFonts w:hint="eastAsia" w:ascii="宋体" w:hAnsi="宋体" w:cs="宋体"/>
          <w:color w:val="auto"/>
          <w:sz w:val="24"/>
        </w:rPr>
        <w:t>小时内</w:t>
      </w:r>
      <w:bookmarkEnd w:id="21"/>
      <w:bookmarkEnd w:id="22"/>
      <w:bookmarkEnd w:id="23"/>
      <w:bookmarkEnd w:id="24"/>
      <w:r>
        <w:rPr>
          <w:rFonts w:hint="eastAsia" w:ascii="宋体" w:hAnsi="宋体" w:cs="宋体"/>
          <w:color w:val="auto"/>
          <w:sz w:val="24"/>
        </w:rPr>
        <w:t>，乡镇</w:t>
      </w:r>
      <w:r>
        <w:rPr>
          <w:rFonts w:ascii="宋体" w:hAnsi="宋体" w:cs="宋体"/>
          <w:color w:val="auto"/>
          <w:sz w:val="24"/>
        </w:rPr>
        <w:t>8</w:t>
      </w:r>
      <w:r>
        <w:rPr>
          <w:rFonts w:hint="eastAsia" w:ascii="宋体" w:hAnsi="宋体" w:cs="宋体"/>
          <w:color w:val="auto"/>
          <w:sz w:val="24"/>
        </w:rPr>
        <w:t>小时内到达指定现场，问题解决</w:t>
      </w:r>
      <w:r>
        <w:rPr>
          <w:rFonts w:ascii="宋体" w:hAnsi="宋体" w:cs="宋体"/>
          <w:color w:val="auto"/>
          <w:sz w:val="24"/>
        </w:rPr>
        <w:t>24</w:t>
      </w:r>
      <w:r>
        <w:rPr>
          <w:rFonts w:hint="eastAsia" w:ascii="宋体" w:hAnsi="宋体" w:cs="宋体"/>
          <w:color w:val="auto"/>
          <w:sz w:val="24"/>
        </w:rPr>
        <w:t>小时内</w:t>
      </w:r>
      <w:bookmarkEnd w:id="19"/>
      <w:bookmarkEnd w:id="20"/>
      <w:r>
        <w:rPr>
          <w:rFonts w:hint="eastAsia" w:ascii="宋体" w:hAnsi="宋体" w:cs="宋体"/>
          <w:color w:val="auto"/>
          <w:sz w:val="24"/>
        </w:rPr>
        <w:t>。提交问题处理报告，说明问题种类、问题原因、问题解决中使用的方法及造成的损失等情况。</w:t>
      </w:r>
    </w:p>
    <w:p>
      <w:pPr>
        <w:spacing w:line="440" w:lineRule="exact"/>
        <w:ind w:firstLine="480" w:firstLineChars="200"/>
        <w:rPr>
          <w:rFonts w:ascii="宋体" w:cs="宋体"/>
          <w:color w:val="auto"/>
          <w:sz w:val="24"/>
        </w:rPr>
      </w:pPr>
      <w:r>
        <w:rPr>
          <w:rFonts w:ascii="宋体" w:hAnsi="宋体" w:cs="宋体"/>
          <w:color w:val="auto"/>
          <w:sz w:val="24"/>
        </w:rPr>
        <w:t xml:space="preserve">2. </w:t>
      </w:r>
      <w:r>
        <w:rPr>
          <w:rFonts w:hint="eastAsia" w:ascii="宋体" w:hAnsi="宋体" w:cs="宋体"/>
          <w:color w:val="auto"/>
          <w:sz w:val="24"/>
        </w:rPr>
        <w:t>供应商对其提供产品的使用和操作应尽培训义务。供应商应提供对采购人的基本免费培训，使采购人使用人员能够正常操作。</w:t>
      </w:r>
    </w:p>
    <w:p>
      <w:r>
        <w:rPr>
          <w:rFonts w:ascii="宋体" w:hAnsi="宋体" w:cs="宋体"/>
          <w:color w:val="auto"/>
          <w:sz w:val="24"/>
        </w:rPr>
        <w:t xml:space="preserve">3. </w:t>
      </w:r>
      <w:r>
        <w:rPr>
          <w:rFonts w:hint="eastAsia" w:ascii="宋体" w:hAnsi="宋体" w:cs="宋体"/>
          <w:color w:val="auto"/>
          <w:sz w:val="24"/>
        </w:rPr>
        <w:t>本项目未尽事宜由双方在签订合同时详细约定。</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31EE9"/>
    <w:rsid w:val="14D3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paragraph" w:styleId="2">
    <w:name w:val="heading 2"/>
    <w:next w:val="3"/>
    <w:qFormat/>
    <w:uiPriority w:val="0"/>
    <w:pPr>
      <w:keepNext/>
      <w:keepLines/>
      <w:widowControl w:val="0"/>
      <w:spacing w:line="413" w:lineRule="auto"/>
      <w:jc w:val="both"/>
      <w:outlineLvl w:val="1"/>
    </w:pPr>
    <w:rPr>
      <w:rFonts w:ascii="Arial" w:hAnsi="Arial" w:eastAsia="黑体" w:cs="Times New Roman"/>
      <w:b/>
      <w:kern w:val="2"/>
      <w:sz w:val="32"/>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3">
    <w:name w:val="Normal Indent"/>
    <w:uiPriority w:val="0"/>
    <w:pPr>
      <w:widowControl w:val="0"/>
      <w:ind w:firstLine="420" w:firstLineChars="200"/>
      <w:jc w:val="both"/>
    </w:pPr>
    <w:rPr>
      <w:rFonts w:ascii="Calibri" w:hAnsi="Calibri" w:eastAsia="宋体" w:cs="Times New Roman"/>
      <w:kern w:val="2"/>
      <w:sz w:val="21"/>
      <w:szCs w:val="24"/>
      <w:lang w:val="en-US" w:eastAsia="zh-CN"/>
    </w:rPr>
  </w:style>
  <w:style w:type="paragraph" w:customStyle="1" w:styleId="6">
    <w:name w:val="List Paragraph"/>
    <w:uiPriority w:val="0"/>
    <w:pPr>
      <w:widowControl w:val="0"/>
      <w:ind w:firstLine="420" w:firstLineChars="20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2020-08-05T09:05:00Z</dcterms:created>
  <dc:creator>Jackson Cao</dc:creator>
  <cp:lastModifiedBy>Jackson Cao</cp:lastModifiedBy>
  <dcterms:modified xsi:type="dcterms:W3CDTF">2020-08-05T09:06:09Z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