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40" w:lineRule="exact"/>
        <w:jc w:val="center"/>
        <w:rPr>
          <w:rFonts w:hint="eastAsia" w:ascii="宋体" w:hAnsi="宋体" w:cs="宋体"/>
          <w:b/>
          <w:color w:val="000000"/>
          <w:sz w:val="28"/>
          <w:szCs w:val="28"/>
          <w:lang w:val="en-GB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 w:eastAsia="zh-CN"/>
        </w:rPr>
        <w:t>采购监控改造设备安装及广播室装饰项目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zh-CN"/>
        </w:rPr>
        <w:t>项目概况：</w:t>
      </w:r>
    </w:p>
    <w:p>
      <w:pPr>
        <w:pStyle w:val="8"/>
        <w:spacing w:line="440" w:lineRule="exact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US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 项目编号：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ZX2019-124</w:t>
      </w:r>
    </w:p>
    <w:p>
      <w:pPr>
        <w:pStyle w:val="8"/>
        <w:spacing w:line="440" w:lineRule="exact"/>
        <w:ind w:firstLine="48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. </w:t>
      </w:r>
      <w:r>
        <w:rPr>
          <w:rFonts w:hint="eastAsia" w:ascii="宋体" w:hAnsi="宋体" w:cs="宋体"/>
          <w:color w:val="auto"/>
          <w:sz w:val="24"/>
          <w:lang w:val="zh-CN"/>
        </w:rPr>
        <w:t>项目名称：</w:t>
      </w:r>
      <w:r>
        <w:rPr>
          <w:rFonts w:hint="eastAsia" w:ascii="宋体" w:hAnsi="宋体" w:cs="宋体"/>
          <w:bCs/>
          <w:color w:val="auto"/>
          <w:kern w:val="0"/>
          <w:sz w:val="24"/>
          <w:lang w:val="en-GB" w:eastAsia="zh-CN"/>
        </w:rPr>
        <w:t>采购监控改造设备安装及广播室装饰项目</w:t>
      </w:r>
    </w:p>
    <w:p>
      <w:pPr>
        <w:pStyle w:val="8"/>
        <w:spacing w:line="440" w:lineRule="exact"/>
        <w:ind w:firstLine="480"/>
        <w:rPr>
          <w:rFonts w:hint="eastAsia" w:ascii="宋体" w:hAnsi="宋体" w:cs="宋体" w:eastAsiaTheme="minorEastAsia"/>
          <w:bCs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3. </w:t>
      </w:r>
      <w:r>
        <w:rPr>
          <w:rFonts w:hint="eastAsia" w:ascii="宋体" w:hAnsi="宋体" w:cs="宋体"/>
          <w:bCs/>
          <w:color w:val="auto"/>
          <w:kern w:val="0"/>
          <w:sz w:val="24"/>
        </w:rPr>
        <w:t>用</w:t>
      </w:r>
      <w:r>
        <w:rPr>
          <w:rFonts w:hint="eastAsia" w:ascii="宋体" w:hAnsi="宋体" w:cs="宋体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color w:val="auto"/>
          <w:kern w:val="0"/>
          <w:sz w:val="24"/>
        </w:rPr>
        <w:t>途：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工作需要</w:t>
      </w:r>
    </w:p>
    <w:p>
      <w:pPr>
        <w:pStyle w:val="8"/>
        <w:spacing w:line="440" w:lineRule="exact"/>
        <w:ind w:firstLine="4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4. </w:t>
      </w:r>
      <w:r>
        <w:rPr>
          <w:rFonts w:hint="eastAsia" w:ascii="宋体" w:hAnsi="宋体" w:cs="宋体"/>
          <w:color w:val="auto"/>
          <w:sz w:val="24"/>
        </w:rPr>
        <w:t>数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</w:rPr>
        <w:t>量：一批</w:t>
      </w:r>
    </w:p>
    <w:p>
      <w:pPr>
        <w:pStyle w:val="8"/>
        <w:spacing w:line="440" w:lineRule="exact"/>
        <w:ind w:firstLine="4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5. </w:t>
      </w:r>
      <w:r>
        <w:rPr>
          <w:rFonts w:hint="eastAsia" w:ascii="宋体" w:hAnsi="宋体" w:cs="宋体"/>
          <w:color w:val="auto"/>
          <w:sz w:val="24"/>
        </w:rPr>
        <w:t>采购预算</w:t>
      </w:r>
      <w:r>
        <w:rPr>
          <w:rFonts w:hint="eastAsia" w:ascii="宋体" w:hAnsi="宋体" w:cs="宋体"/>
          <w:color w:val="auto"/>
          <w:sz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59万</w:t>
      </w:r>
      <w:r>
        <w:rPr>
          <w:rFonts w:hint="eastAsia" w:ascii="宋体" w:hAnsi="宋体" w:cs="宋体"/>
          <w:color w:val="auto"/>
          <w:sz w:val="24"/>
          <w:lang w:eastAsia="zh-CN"/>
        </w:rPr>
        <w:t>元，</w:t>
      </w:r>
      <w:r>
        <w:rPr>
          <w:rFonts w:hint="eastAsia" w:ascii="宋体" w:hAnsi="宋体" w:cs="宋体"/>
          <w:color w:val="auto"/>
          <w:sz w:val="24"/>
        </w:rPr>
        <w:t>超过采购预算的</w:t>
      </w:r>
      <w:r>
        <w:rPr>
          <w:rFonts w:hint="eastAsia" w:ascii="宋体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cs="宋体"/>
          <w:color w:val="auto"/>
          <w:sz w:val="24"/>
        </w:rPr>
        <w:t>文件将视作无效</w:t>
      </w:r>
      <w:r>
        <w:rPr>
          <w:rFonts w:hint="eastAsia" w:ascii="宋体" w:hAnsi="宋体" w:cs="宋体"/>
          <w:color w:val="auto"/>
          <w:sz w:val="24"/>
          <w:lang w:eastAsia="zh-CN"/>
        </w:rPr>
        <w:t>响应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firstLine="482" w:firstLineChars="200"/>
        <w:textAlignment w:val="auto"/>
        <w:rPr>
          <w:rFonts w:hint="eastAsia"/>
          <w:lang w:val="en-GB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6. </w:t>
      </w:r>
      <w:r>
        <w:rPr>
          <w:rFonts w:hint="eastAsia" w:ascii="宋体" w:hAnsi="宋体" w:cs="宋体"/>
          <w:color w:val="auto"/>
          <w:sz w:val="24"/>
          <w:lang w:val="zh-CN"/>
        </w:rPr>
        <w:t>简要技术要求或采购性质：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采购</w:t>
      </w: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清单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（一）监控改造设备安装采购需求表</w:t>
      </w:r>
    </w:p>
    <w:tbl>
      <w:tblPr>
        <w:tblStyle w:val="3"/>
        <w:tblW w:w="9819" w:type="dxa"/>
        <w:tblInd w:w="-3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42"/>
        <w:gridCol w:w="6462"/>
        <w:gridCol w:w="531"/>
        <w:gridCol w:w="565"/>
        <w:gridCol w:w="5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要求性能、技术参数或规范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一、 监控设备                       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网络摄像机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1、具有200万像素 CMOS传感器。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2、最低照度彩色≤0.001 lx，黑白≤0.0001 lx，灰度等级≥11级。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3、红外补光距离不小于50米。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4、需支持三码流技术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5、支持H.264、H.265、MJPEG视频编码格式。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6、信噪比不小于59dB。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7、需具有≥105dB宽动态。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8、不低于IP67防尘防水等级。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9、支持音频输入输出，支持拾音、喊话等功能。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10、同一静止场景相同图像质量下，设备在H.265编码方式时，开启智能编码功能和不开启智能编码相比，码率节约1/2。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11、提供产品彩页或者第三方权威机构检测报告复印件，并加盖厂商公章或投标专用章。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智能球型摄像机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1、设备具有1个RJ45网络接口，可输出两路视频图像。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2、具有400万像素。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3、支持最低照度：彩色≤0.0003Lux，黑白≤0.0001Lux。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4、支持红外光补光。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5、支持快速聚焦功能，设备对监控区域内的移动目标进行跟踪录像，录像通过单帧回放时应能保证每帧画面清晰稳定。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6、可在监控画面实时显示行人、车辆的信息。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7、设备支持看清最远不小于80米处人体轮廓，并可生成人体小图。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8、支持检出两眼瞳距20像素点以上的人脸图片，人脸检出率不小于99%，支持单场景同时检出不少于30张人脸图片，并支持面部跟踪。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9、在距离设备30米处，人脸抓拍准确率不小于95%，人体抓拍准确率不小于95%。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10、提供产品彩页或者第三方权威机构检测报告复印件，并加盖厂商公章或投标专用章。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高清网络球型摄像机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1、具有200万像素。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2、支持不小于32倍光学变焦。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3、支持红外光补光。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4、支持最低照度：彩色≤0.0003Lux，黑白≤0.0001Lux。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5、水平旋转范围为360°连续旋转，垂直旋转范围为-20°～90°。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6、支持不少于300个预置位，支持不少于35条巡航路径。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7、支持智能红外、透雾、强光抑制、电子防抖、数字降噪、防红外过曝功能。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8、支持IP地址访问控制功能，支持定时抓拍或报警联动抓图。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9、球机应具备本机存储功能，支持SD卡热插拔，最大支持256GB。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10、支持采用H.265、H.264视频编码标准。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11、支持区域入侵、越界入侵、徘徊、物品移除、物品遗留、人员聚集、停车，并联动报警。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12、具备较好的防护性能环境适应性，支持IP67。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13、提供产品彩页及第三方权威机构检测报告复印件，并加盖厂商公章或投标专用章。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智能球型摄像机支架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壁装支架/白/铝合金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高清网络球机支架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壁装支架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白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铝合金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1209675</wp:posOffset>
                  </wp:positionV>
                  <wp:extent cx="533400" cy="0"/>
                  <wp:effectExtent l="0" t="0" r="0" b="0"/>
                  <wp:wrapNone/>
                  <wp:docPr id="3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1209675</wp:posOffset>
                  </wp:positionV>
                  <wp:extent cx="533400" cy="0"/>
                  <wp:effectExtent l="0" t="0" r="0" b="0"/>
                  <wp:wrapNone/>
                  <wp:docPr id="2" name="图片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枪机支架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壁装支架/白/铝合金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网络硬盘录像机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1、支持不少于128路网络摄像机接入。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2、可接入H.265、H.264、MPEG4、SVAC视频编码格式的网络摄像机。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3、输入带宽≥760M。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4、支持不少于16个盘位。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5、支持不少于20路1080P画面的解码能力。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6、支持H.265、H.264解码。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7、录像文件分组显示；支持按通道、时间分组排序显示录像文件。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8、可实时查看CPU使用率、内存使用率、CPU温度、机箱温度、风扇转速等。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9、支持1/8、1/4、1/2、1、2、4、8、16、32、64、128、256等倍速回放录像，支持录像回放的剪辑和回放截图功能。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10、可接入支持ONVIF协议、RTSP协议、GB/T28181协议的设备。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11、支持激活和重置，出厂设备需要激活；管理员密码重置需要安全码验证，支持通过安全问题恢复密码。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12、支持设置走廊模式预览，对画面顺时针旋转270度，对画面进行“左右”、“上下”、“中心”镜像翻转。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13、浓缩播放：录像回放中，有移动侦测、外部输入报警、智能侦测等事件发生时，视频按正常速度播放，其他视频自动按高倍速播放，且播放倍速可配置。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14、支持远程管理IPC功能，可对IPC批量远程升级；支持远程对IPC的参数配置修改，支持IPC的参数复制配置到其他通道。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15、提供产品彩页或者第三方权威机构检测报告复印件，并加盖厂商公章或投标专用章。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监控级硬盘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6TB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二、网络设备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核心三层交换机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1、交换容量≥336Gbps，转发性能≥126Mpps，固化10/100/1000M以太网端口≥24，固化10G/1G SFP+光接口≥4个，提供官网截图并加盖厂商公章或投标专用章。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2、要求所投设备MAC地址≥16K，ARP表项≥1000条，FIB表项≥500。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3、更高的工作温度范围能提高设备对热的耐受性，提升设备使用寿命，要求工作温度0-45°。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4、支持虚拟路由器冗余协议（VRRP），有效保障网络稳定。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5、符合国家低碳环保等政策要求，支持IEEE 802.3az标准的EEE节能技术。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6、提供工信部设备进网许可证复印件，加盖厂商公章或投标专用章。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48口接入交换机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1、固化10/100/1000M以太网端口≥48，固化1G SFP光接口≥4个；整机最大可用千兆口≥52。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2、交换容量≥3Tbps，转发性能≥166Mpps，提供官网截图并加盖厂商公章或投标专用章。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3、配置及日志存储等简化维护和管理，USB端口≥1个。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4、支持IPv4和IPv6的三层路由、RIP路由功能。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5、支持IPv4组播、IPv6组播。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6、支持DHCP Client、DHCP Relay、DHCP Snooping、DHCP Snooping Trust。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7、端口防雷能力不小于6KV。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8、更高的工作温度范围能提高设备对热的耐受性，提升设备使用寿命，要求工作温度0-45°，提供官网截图证明（含官网查询链接）。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"/>
              </w:rPr>
              <w:t>4口接入交换机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1、固化（不依靠扩展模块）10/100/1000M以太网端口≥24，非复用SFP千兆光接口≥4个，最大可用千兆口≥28。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2、交换容量≥3Tbps，转发性能≥126Mpps，提供官网截图并加盖厂商公章或投标专用章。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3、配置及日志存储等简化维护和管理，USB端口≥1个。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4、支持抗攻击，支持CPU限速功能。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5、所投设备能检测到攻击源，并将攻击源隔离。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6、端口防雷能力不小于6KV。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7、更高的工作温度范围能提高设备对热的耐受性，提升设备使用寿命，要求工作温度0-45，提供官网截图证明（含官网查询链接）。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千兆光纤收发器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1、1口千兆光纤收发器。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2、光口：1个千兆光口。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3、距离20公里。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无线网桥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1、内存/Flash大小：64MB/8MB。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2、射频设计：单频单流1×1。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3、工作频段：802.11a/n/ac ： 5.150～5.350GHz，5.47～5.725，5.725～5.850GHz。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4、天线类型：内置定向天线，水平60°，垂直30°，增益9dBi。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5、桥接距离：3km。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6、传输速率：5GHz提供最高提供433Mbps的无线桥接速率。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7、发射功率：≤250mW。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8、尺寸：170mm(长)×96mm(宽)×68mm(高)（高度为主机边缘高度，不含造型和挂架；如包含万向头挂架厚度为&lt;135mm）。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9、重量：0.85Kg。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10、业务端口：2个10/100Base-T以太网口，其中LAN1/PoE口支持24V PoE供电。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11、硬件按钮/拨码：1个模式拨码键，1个桥接锁定键，1个复位按钮。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12、状态指示灯：1个电源指示灯，1个系统指示灯，1个桥接锁定灯，2个接口指示灯和2个桥接信号指示灯。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13、供电方式：支持24V PoE以太网供电(标配PoE适配器)。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14、整机功率：＜8W。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15、工作温度：-30℃～65℃。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16、工作湿度：5%～95%（无凝结）。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17、安装方式：壁挂/抱杆(标配抱箍，同时支持手动锁紧及工具锁紧)，万向节。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18、防护等级：IP65（垂直地面安装）。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19、防雷等级：4KV。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20、阻燃性：V0。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21、防紫外线：F1标准。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22、射频法规：无线发射设备型号核准。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23、AP/CPE一体化：支持，可通过拨码键/Web/APP设置设备为AP或CPE模式。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24、自动桥接功能：支持，默认AP与CPE模式自动桥接。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25、桥接锁定功能：支持，可锁定桥接组网，并自动保存配置。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26、桥接串码功能：支持软件配置1-100桥接串码，用于AP/CPE桥接匹配。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27、设备配置管理方式：支持硬件拨码/APP软拨码/Web配置模式。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28、二维码登录：可通过APP扫描设备二维码登录设备配置界面。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29、设备自愈功能：设备故障自动重启功能。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30、自动信道调整：支持设备上电自动信道调整。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31、一对多桥接：支持一对五桥接。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8口POE交换机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1、提供8个千兆PoE电口，1个千兆电口，1个千兆光口。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2、支持IEEE 802.3at/af。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3、支持IEEE 802.3、IEEE 802.3u、IEEE 802.3x、IEEE802.3ab、IEEE802.3z。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4、支持PoE输出功率管理。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5、千兆网络接入。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16口POE交换机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1、提供16个千兆PoE电口，1个千兆电口，1个千兆光口。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2、支持IEEE 802.3at/af。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3、支持IEEE 802.3、IEEE 802.3u、IEEE 802.3x。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4、支持PoE输出功率管理。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5、千兆网络接入。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42U加厚型豪华型服务器机柜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楼层机柜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6U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三、显示系统及操作台等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拼接显示大屏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1、LCD显示单元为：55英寸液晶屏；物理分辨率≥1920×1080，物理拼缝≤1.8mm，响应时间≤8ms。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2、输入接口不少于：VGA×1，DVI×1，HDMI×1。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3、输出接口不少于：VGA×1，DVI×1，BNC×1。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4、LCD显示单元亮度≥600cd/㎡，对比度≥4000:1，图像显示清晰度≥950TVL。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5、LCD显示单元支持边缘屏蔽功能，智能去除黑边功能，可消除显示终端上存在的黑边，及因拼缝带来的图像变形。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6、LCD显示单元支持自动镜像功能，可以实现显示内容（视频、文本等）镜像、OSD菜单的自定义0-360°旋转。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拼接显示大屏底座支架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标配；核算时按照电视墙屏幕数量*限价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拼接显示大屏前维护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标配；核算时按照电视墙屏幕数量*限价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解码器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1、设备输出接口不少于10个HDMI接口。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2、可通过客户端软件将显示窗口在多个显示屏间进行拖动或跨屏显示，并可调节显示窗口大小。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3、可将视频图像进行轮巡输出显示，并可在客户端软件设置轮巡计划。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4、支持1、2、4、6、8、9、10、12、16、25、36画面分割显示。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5、可通过客户端软件将1路输入视频图像发送至多个输出接口拼接显示。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6、支持最多不少于80路1080P及以下分辨率同时实时解码。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7、可对以下编码格式的视频图像进行解码后输出：H.264、H.265视频图像。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8、提供产品彩页或者第三方权威机构检测报告复印件，并加盖厂商公章或投标专用章。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管理软件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路接入授权，支持统一管理网络摄像机、网络硬盘录像机、解码器等设备，支持电视墙管理。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网络键盘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1、支持云台控制，支持预置点、巡航和轨迹的设置与调用。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2、支持回放硬盘录像机上的录像文件，支持控制解码器回放。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3、支持抓图、录像功能。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4、支持在触控屏上预览图像或通过HDMI/DVI将图像投到外接显示屏上。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5、支持通过excel批量添加监控点位，借助U盘导入。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6、支持语音识别，通过指定的语音指令实现快捷切换操作。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大屏高清线缆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HDMI电缆，7m，黑色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视频线缆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VGA电缆，10m，黑色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接口转接头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DVI-VGA转接器，DVI(24+5)/M转HDB15/F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控制电脑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i3-8100/4G/1TB/GT730 2GB DDR5/Win10）、22寸显示器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三联操控台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定制，规格：面长1710x900mm，高750mm，底宽600mm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椅子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操作台电脑椅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四、UPS不断电源系统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UPS主机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1、主机：功率为6KVA/5.4KW；单进单出高频在线式。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2、具备电池冷启动功能。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3、市电输入电压 120V—295V（加AVR）单相输入；输入功率因数&gt;0.99。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4、输入频率：40-70HZ。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5、输出电压220Vac±1%。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6、输出频率：市电模式可以进行正负10%上下设置，电池模式50HZ/±0.2%。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7、整机效率：经济运行模式&gt;98%，正常模式≥90%，过载能力：过载125%/150%维持10分钟/1分钟后转旁路，负载正常后自动恢复。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8、并机方式：通过选配并机接口模块可以实现4台机器并联。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9、为了节省成本及电池损坏维护方便，直流电压:192/216/240Vdc 可选。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10、电池管理：采用智能化电池管理系统，从而提高电池的可靠性和使用寿命。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11、面板采用LED+LCD液晶显示。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12、UPS主机三年免费上门保修，终身维护，所有电池因质量问题可三年免费更换；要求由厂家进行保修承诺。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13、UPS生产厂家必须通过ISO9001认证。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蓄电池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1、电池类型：采用高性能、高可靠性的全密封阀控式免维铅酸蓄电池：设计寿命为6年。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2、外壳材料符合防火安全要求及相关规范；提供第三方阻燃检测报告扫描件。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3、采用优质电池柜内含电池连接线及直流空开。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电池柜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780*470*1190（MM）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UPS连接电缆等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输入电缆、输出电缆、连接头等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五、安装线材及辅助材料等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水晶头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1、符合T568A和T568B线序。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2、插拔次数：≥1000次。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3、压力测试：20N。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4、线规：24～26AWG。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5、塑胶壳材料：聚碳酸脂。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6、簧片：三叉簧片设计、磷青铜材料表面镀金。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7、工作温度：-25～60℃。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4芯单模光缆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超五类网线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通过标准护套厚度：0.50±0.05mm。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2、检验依据：ISO/IEC 11801、TIA-568-C.2。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3、绝缘外径：0.88±0.05mm。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4、标称直径：0.500mm±0.005。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安装辅材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PVC线管/槽、视音频插座、电源插座、各种电源线、开关、等附材、五金件等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（二）广播室装饰项目采购需求表</w:t>
      </w:r>
    </w:p>
    <w:tbl>
      <w:tblPr>
        <w:tblStyle w:val="3"/>
        <w:tblW w:w="9831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295"/>
        <w:gridCol w:w="4200"/>
        <w:gridCol w:w="765"/>
        <w:gridCol w:w="750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31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广播室装饰工程(广播室规格： 长：6.62米  宽：4.56米  高：2.81米）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装修项目</w:t>
            </w:r>
          </w:p>
        </w:tc>
        <w:tc>
          <w:tcPr>
            <w:tcW w:w="4200" w:type="dxa"/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要求技术参数或规范</w:t>
            </w:r>
          </w:p>
        </w:tc>
        <w:tc>
          <w:tcPr>
            <w:tcW w:w="765" w:type="dxa"/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89" w:type="dxa"/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2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一、天花部分工程(30平方)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铝合金微孔吸音天花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600x600x0.8mm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7"/>
                <w:lang w:val="en-US" w:eastAsia="zh-CN" w:bidi="ar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天花龙骨、五金配件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定制，轻钢龙骨+专用吊杆等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7"/>
                <w:lang w:val="en-US" w:eastAsia="zh-CN" w:bidi="ar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天花收边材料\吊顶阴角收边线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2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二、墙面部分工程(30平方)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防静电地板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优质钢制版面，中间水泥结构， 600*600*35mm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静电地板面支座、防静电地板横梁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静电地板支柱、横梁等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全钢静电地板螺钉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固定支座、横梁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全钢静电地板吸盘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地面防尘处理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环保专用防尘漆，防尘漆处理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7"/>
                <w:lang w:val="en-US" w:eastAsia="zh-CN" w:bidi="ar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PVC地脚线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红木色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进门台阶处理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2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三、电气部分工程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铝扣板吸顶灯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开关等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照明开关、空开、浪涌、过压保护器等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配电箱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箱体及箱体内各种开关元器件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应急灯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插座线缆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4mm2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照明线缆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2.5mm2 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主配主线缆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10mm2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普通插座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10A/十孔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10A/五孔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静电泄流网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4*40mm铜箔（1120+G139）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静电泄流排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3*25mm铜排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铜排支撑柱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静电屏蔽连接线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YC6㎜2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接地下引线 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BV50㎜2（实际量结算）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管线、辅材等辅助材料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PVC线管、螺丝、胶布、固件等</w:t>
            </w:r>
          </w:p>
        </w:tc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2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四、其他部分工程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施工费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施工费、搬运运输费等</w:t>
            </w: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清洁卫生费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管理费</w:t>
            </w:r>
          </w:p>
        </w:tc>
        <w:tc>
          <w:tcPr>
            <w:tcW w:w="42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cs="宋体"/>
          <w:bCs/>
          <w:color w:val="auto"/>
          <w:kern w:val="0"/>
          <w:sz w:val="32"/>
          <w:szCs w:val="32"/>
          <w:lang w:val="en-GB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3F48"/>
    <w:multiLevelType w:val="singleLevel"/>
    <w:tmpl w:val="135C3F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1057A"/>
    <w:rsid w:val="069452AF"/>
    <w:rsid w:val="1B0F7554"/>
    <w:rsid w:val="1FA368EE"/>
    <w:rsid w:val="22ED0F01"/>
    <w:rsid w:val="31F52A4F"/>
    <w:rsid w:val="357B4197"/>
    <w:rsid w:val="38F25004"/>
    <w:rsid w:val="3D6162CB"/>
    <w:rsid w:val="4F0748EF"/>
    <w:rsid w:val="4F3C7D62"/>
    <w:rsid w:val="77032996"/>
    <w:rsid w:val="79B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 w:line="413" w:lineRule="auto"/>
      <w:jc w:val="left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♡₯㎕杰</cp:lastModifiedBy>
  <dcterms:modified xsi:type="dcterms:W3CDTF">2020-07-15T08:25:14Z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