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36"/>
          <w:szCs w:val="36"/>
        </w:rPr>
      </w:pPr>
      <w:bookmarkStart w:id="0" w:name="_GoBack"/>
      <w:bookmarkEnd w:id="0"/>
      <w:r>
        <w:rPr>
          <w:rFonts w:hint="eastAsia" w:ascii="宋体" w:hAnsi="宋体"/>
          <w:b/>
          <w:sz w:val="36"/>
          <w:szCs w:val="36"/>
        </w:rPr>
        <w:t>用户采购需求书</w:t>
      </w:r>
    </w:p>
    <w:p>
      <w:pPr>
        <w:pStyle w:val="2"/>
        <w:spacing w:line="360" w:lineRule="auto"/>
        <w:ind w:firstLine="0"/>
        <w:rPr>
          <w:rFonts w:hint="eastAsia" w:ascii="宋体" w:hAnsi="宋体" w:cs="宋体"/>
          <w:b/>
          <w:color w:val="000000"/>
          <w:sz w:val="28"/>
          <w:szCs w:val="28"/>
        </w:rPr>
      </w:pPr>
      <w:r>
        <w:rPr>
          <w:rFonts w:hint="eastAsia" w:ascii="宋体" w:hAnsi="宋体" w:cs="宋体"/>
          <w:b/>
          <w:color w:val="000000"/>
          <w:sz w:val="28"/>
          <w:szCs w:val="28"/>
        </w:rPr>
        <w:t>一、规格技术要求</w:t>
      </w:r>
    </w:p>
    <w:tbl>
      <w:tblPr>
        <w:tblStyle w:val="7"/>
        <w:tblW w:w="0" w:type="auto"/>
        <w:tblInd w:w="0" w:type="dxa"/>
        <w:tblLayout w:type="fixed"/>
        <w:tblCellMar>
          <w:top w:w="0" w:type="dxa"/>
          <w:left w:w="0" w:type="dxa"/>
          <w:bottom w:w="0" w:type="dxa"/>
          <w:right w:w="0" w:type="dxa"/>
        </w:tblCellMar>
      </w:tblPr>
      <w:tblGrid>
        <w:gridCol w:w="634"/>
        <w:gridCol w:w="2568"/>
        <w:gridCol w:w="3048"/>
        <w:gridCol w:w="635"/>
        <w:gridCol w:w="824"/>
        <w:gridCol w:w="824"/>
        <w:gridCol w:w="396"/>
      </w:tblGrid>
      <w:tr>
        <w:tblPrEx>
          <w:tblCellMar>
            <w:top w:w="0" w:type="dxa"/>
            <w:left w:w="0" w:type="dxa"/>
            <w:bottom w:w="0" w:type="dxa"/>
            <w:right w:w="0" w:type="dxa"/>
          </w:tblCellMar>
        </w:tblPrEx>
        <w:trPr>
          <w:trHeight w:val="600"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序号</w:t>
            </w:r>
          </w:p>
        </w:tc>
        <w:tc>
          <w:tcPr>
            <w:tcW w:w="25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名称</w:t>
            </w:r>
          </w:p>
        </w:tc>
        <w:tc>
          <w:tcPr>
            <w:tcW w:w="304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规格、技术参数</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单位</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数量</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提供产品的相片</w:t>
            </w:r>
          </w:p>
        </w:tc>
        <w:tc>
          <w:tcPr>
            <w:tcW w:w="3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备 注</w:t>
            </w:r>
          </w:p>
        </w:tc>
      </w:tr>
      <w:tr>
        <w:tblPrEx>
          <w:tblCellMar>
            <w:top w:w="0" w:type="dxa"/>
            <w:left w:w="0" w:type="dxa"/>
            <w:bottom w:w="0" w:type="dxa"/>
            <w:right w:w="0" w:type="dxa"/>
          </w:tblCellMar>
        </w:tblPrEx>
        <w:trPr>
          <w:trHeight w:val="2135"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25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电脑</w:t>
            </w:r>
          </w:p>
        </w:tc>
        <w:tc>
          <w:tcPr>
            <w:tcW w:w="304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5"/>
                <w:szCs w:val="15"/>
                <w:u w:val="none"/>
                <w:lang w:val="en-US" w:eastAsia="zh-CN" w:bidi="ar"/>
              </w:rPr>
              <w:t>推荐用途：商用电脑；平台；系列：310S；系统版本：win10;型号：310S；场景功能：商用电脑；声卡：内置；网卡：内置；显卡定位：独立显示；硬盘描述：1T;尺寸：21.5英寸；显卡芯片：GT730;显示类型：1G独立显卡；键盘：有线键鼠；鼠标：有线键鼠；屏幕规格：其他；触摸屏：不支持；内存容量：4G；光驱类型：无光驱；处理器描述：双核；CPU双核；CPU主频：2.3GHz；CPU型号：A4-9125；核心数：双核心</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台</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1152"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1.5P空调</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6"/>
                <w:szCs w:val="16"/>
                <w:u w:val="none"/>
                <w:lang w:val="en-US" w:eastAsia="zh-CN" w:bidi="ar"/>
              </w:rPr>
              <w:t>型号KFRD-35GW/D-XQ21BP(A3)；能效等级：PPF三级；能效比：3.65；制冷量（W）：3500（150-4300）；制热量（W）：4200（150-5520）；输入功率制冷：1050（75--1720）；输入功率制热：1250（75-1990）；电热功率：1000；循环风量：650；噪音内机：19-38-41；噪音外机：52；重量内/外:10/24；内机尺寸(mm）：816*291*205；外机尺寸（mm）：795*550*305</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台</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4</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3P空调</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匹（30-40㎡）/定频/冷暖/立柜式/空调柜机/三级能效；型号：KFRd-72LW/EL23；能效等级：EER3；能效比：3.00；制冷量（W）：7200；制冷量：7900；输入功率制冷：2400；输入功率制热：2506；电热功率：2500；循环风量：1200；噪音内机：46；噪音外机：58；净量内/外：40/51；内机尺寸：489*1780*345；外机尺寸：900*650*315</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台</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饮水机</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立式/快速加热/电子制冷/冰热两用型/双开门柜式饮水器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电源线长度：1米；封闭门：单封闭门；加热方式：内胆加热；净化功能：支持；内置消毒柜：有；取壶按钮：有；液晶显示：支持。</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台</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4</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净水机</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水电分离设计，使用安全进一步升级；2、双出水设计，生活乑和饮用水；3、分级滤芯提醒，滤芯寿命一目了然，使用方便又放心；4、进口三层反渗透膜片，多一层过滤，水质更纯净；5、专利侧流过滤膜结构，过滤彻底更节水；6、进口椰壳活性炭滤芯，吸附能力更好，净水口感更佳；7、智能漏电保护，漏水检测自动断电，使用更安全；8、内部电路板灌胶防潮处理，防水升级，耐用提升；9、钢化玻璃面板，美观耐用，清洁更简单。对应型号：MRC1687-50G；产品编码：21063210001852；额定功率：30W；废水比：1:1；RO制水速度：0.13L/min；产品尺寸：460*133*396；包装尺寸：540*233*486；净重：7.0kg；毛重：9.0kg；滤芯结构：M6（反渗透瞒菲M6）；滤芯配置：PP棉-前置活性质-反渗透膜-后置活性炭；</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台</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4</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90"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资料架</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铁艺/黑色、白色/长34cm、宽25cm、高90cm</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个</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5</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石板长凳</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天然花岗岩/长140cm、高35cm、厚8cm</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条</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13</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手机充电设备</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手机立式无线充电器：苹果7.5W快充，安卓10W快充；双线圈，充电区域大，横竖皆可充电；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型号：YL-IL型；类型：手机充电站；手机充电功能：配置18条专用手机充电线；配置3个万能充；机身为全金属外壳，外观为金属静电喷塑工艺处理，钢板厚而挺拔，外壳永不变形</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个</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4</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游客意见箱、意见本</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拉丝不锈钢/G1312/长21cm、宽11cm、高27cm/带透视孔</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套</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4</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wife系统</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1200M 5G双频无线企业级路由器 wifi穿墙/支持VPN/千兆端口/AC管理/总带机量50-100台/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型号：R200；路由器类型：无线；适用对象：办公路由器；类别：无线路由器；内置防火墙：有防火墙；无线网络支持频率：2.4G&amp;5G；是否可拆：不可拆；产品重量：1KG</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套</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4</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医药箱</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铝塑板/三层双开/长33cm、宽23cm、高26.5cm</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个</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4</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55寸电视</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55英寸/1.5+16GB/4K超高清/32核/7.9mm超薄全面屏AI人工智能网络液晶平板电视机；USB支持视频格式：MPEG-2MPEG-4AVIH.26J H.265 RMBVWMV AVS+等格式；USB支持音频格式：MP2/MP3 WMA WAV OGG AAC+DTS DD+等格式；USB支持图片：JPEG BMP GIF PNG TIF等格式；电源功率：115；待机功率：0.5；工作电压：220V；底座旋转：不支持；底座配置：内置底座；边框材质：高光注塑；边框宽窄：上边框13mm；机身厚薄：最薄处13.8mm；安装孔距：200*200；含底座尺寸：1244*778*239；单屏尺寸：1244*720*78；含底座重量：12；单屏重量：11.9；外包装尺寸：1400*875*150；含外包装重量：16；产品型号：55L2；产品颜色：黑色；产品类型：4K超清电视；能效等级：3级；推荐观看距离：2.5m-3m（46-55英寸）；认证型号：55L2；产品特色：网络智能；光纤音频输出：不支持；USB2.0接口：1；USB3.0接口：无；HDMI1.3接口：无；HDMI1.4接口：无；HDMI2.0接口：2；输出功率：8W*2；CPU：Cortex-a53四核；智能电视：是；GPU：五核；运行内存：1GB；存储内存：16GB；语音控制：不支持；语音输入：不支持；屏幕比例：16.9；刷屏率：60HZ；扫描方式：逐行扫描；响应时间：8ms；屏幕类别：软屏；屏幕分辨率：超高清4K；背光源：LED；支持格式：2160P</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台</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4</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684"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办公座椅</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环保PU皮/黑色、白色/宽48cm、高110cm</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套</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7</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洗手台</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白色智洁釉陶瓷/63*36*14.5cm</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套</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现场制作防腐木沙发</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防腐木/长120cm、宽36cm、高73cm，防虫防蚁</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张</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3045"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轮椅、童车、拐杖</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轮椅型号: H062；材质: 铝合金；颜色分类: 轮椅H062+铝合金款+多仓发；执行标准号: GB/T13800-2009手动轮椅车；附加功能: 带手刹 防后滑；疾病: 下肢残疾 偏瘫 截瘫 摔伤 骨折牵； 加厚坐垫 大轮稳固 豪华舒适；轮椅种类: 普通轮椅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童车类型：轻便推车，舒适推车；车身净重：5-10kg；车架材质：铝合金；车篷：半篷；功能：可换向，可拆卸，可折叠；分类：四轮推车。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拐杖：铝合金</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套</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烟灰缸</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带盖/不锈钢防风/直径12cm、高12cm、口径9.5cm</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个</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20</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576"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微型消防站（含：消防站基础及消防站建设、购买消防水袋、灭火器等）</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灭火防护服2套/消防安全头盔2个/消防防护手套2副/消防专用腰带2条/消防防护靴2双/消防水带2套/消防水枪2个/防毒面罩2套/消防腰斧2把/强光照明电筒2把/灭火毯2条/消防扳手2把/消防柜（1.6*0.9m）1个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强光照明电筒型号：336C；技术参数：Parameter；做工材料：铝合金；射程：300米；档位：强光，弱光 SOS；照明时间：强光3.5H 弱光9H;电容容量：1200mA/节；照明灯珠：CREE XP-E;亮度：300lm；调焦：手动旋转调焦；电源：一节18650电池；充电时间：6H</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灭火毯材质：玻璃纤维；产品性能：快速灭火；防毒面罩型号：TZL30；标准：GB2196.7-2012《建筑火灾逃生避难器第7部分，过滤式消防自救呼吸器》消毒：30分钟防毒，防火，防辐射，防烟等多种保，密封性好。过滤系数：＜5%，吸气阻力：＜800Pa；呼气阻力：＜300Pa</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灭火防护服：阻燃披肩：有效的保护消防面部；消防腰带：采用棉纶紧密编制安全带+精钢铸造实心零部件；消防胶靴：具有防水防穿刺功能，亦具备基本的隔热和绝缘功能，主要材料为橡胶，钢板；阻燃消防头盔：增强材料制成，具备防尖锐物品，冲击腐蚀，防热辐射，具有绝缘轻便等特性；消防服上衣：采用阻燃面料，阻燃，隔热透气面料，带有反光条；消防服上衣：由于手部防护，采用滴胶处理，增加摩擦力具备阻燃、隔热、防水、耐磨等性能；消防服下裤：采用阻燃面料阻燃，隔热，透气面料，带有反光条，可视能力强。</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个</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5座长沙发</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高级布艺/长186cm、宽75cm、高76cm</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张</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4</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茶几</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1360型/长120cm、宽60cm、高44cm</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张</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2</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服务台</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环保高密度中纤板/长2.2cm、宽60cm、高105cm</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套</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2</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电子触摸屏</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落地式触控一体机:16:9/亮度400cd/m2/对比度3000:1/可视角度 178/响应时间5ms/刷新率1/规格尺寸1800*640/20KG/RJ453C规格型号：见附件;内存容量: 4GB；硬盘容量: 120GB；内存类型: DDR3；显示器类型: LED</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个</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小圆桌椅</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圆形/胡桃色/直径60cm、高60cm</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套</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13</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24</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3座长排沙发</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耐磨西皮/长186cm、宽75cm、高76cm</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张</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6</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转弯反光镜（含：国标80cm户外反光镜购买）</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国标80cm户外反光镜中，产品材质：进口抗撞击PC</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个</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30</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26</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翻新旧凳子（含：材料购买）</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防腐木/长120cm、宽35cm、高75cm，防虫防蚁</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张</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12</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27</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门票设计服务(散客票、团队票、优惠票)</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正反面，3种票类，宽250mmx75mm，250克铜版纸</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项</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28</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门票印刷（250克铜版纸）</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正反面，3种票类，宽250mmx75mm，250克铜版纸</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张</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15000</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29</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导游图设计服务（区介绍、景点介绍、旅游地图，景区信息等）</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正反面，1款，宽400mmx高225mm，157克铜版纸</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项</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导游图印刷（157克铜版纸）</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正反面，1款，宽400mmx高225mm，157克特种纸</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张</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5000</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31</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标识系统设计服务（景区导视系统设计及文字整理翻译）</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实木+钢架结构+PVC高密度板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仿木纹防火板/长180cm、高165cm</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套</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576"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32</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夏装冬装员工制服设计（夏天冬天员工制服，包含上衣、裤子、帽子）</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合成面料：95%棉，5%氨纶、透气快干（男、女装）</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项</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576"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33</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夏装冬装员工制服制作（夏天冬天员工制服，包含上衣、裤子、帽子）</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合成面料：95%棉，5%氨纶、透气快干（男、女装）</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件</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200</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34</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网站设计及建设（php语言开发）</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符合PC、手机、PAD等浏览尺寸，网站内容包含企业宣传介绍及植物动物科普数据库。</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项</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35</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大指示牌（宽90x高220cm）</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反光/宽90x高220cm（采用铝板2.0mm，采用反光膜，国产超强级：三级）</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块</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6</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36</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多向指示牌（宽65x高220cm）</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反光/宽65x高220cm（采用铝板2.0mm，采用反光膜，国产超强级：三级）</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块</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37</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小指示牌（宽60x高70cm立杆180cm）</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反光/宽60x高70cm立杆180cm（采用铝板2.0mm，采用反光膜，国产超强级：三级）</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块</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15</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38</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景物介绍牌（宽90x高120cm）</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反光/宽90x高120cm（采用铝板2.0mm，采用反光膜，国产超强级：三级）</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块</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40</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39</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安全标识牌（宽30x高15cm）</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反光/宽30x高15cm（采用铝板2.0mm，采用反光膜，国产超强级：三级）</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块</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100</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40</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大安全标识牌（宽60x高80x立杆180cm）</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反光/宽60x高80x立杆180cm（采用铝板2.0mm，采用反光膜，国产超强级：三级）</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块</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41</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文化信息牌（宽45x高35cm）</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反光/宽45x高35cm（采用铝板2.0mm，采用反光膜，国产超强级：三级）</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块</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30</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42</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镇区指示牌+导览图（指示牌宽120x高330cm，导览图宽160x250cm）</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反光/指示牌宽120x高330cm，导览图宽160x250cm（采用铝板2.0mm，采用反光膜，国产超强级：三级）</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块</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43</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镇区派出所口指示牌（宽120x高350cm）</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反光/宽120x高350cm（采用铝板2.0mm，采用反光膜，国产超强级：三级）</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块</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44</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停车场牌（宽70x高200cm）</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反光/宽70x高200cm（采用铝板2.0mm，采用反光膜，国产超强级：三级）</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块</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2</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45</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停车场管理须知牌（宽120x高180cm）</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反光/宽120x高180cm（采用铝板2.0mm，采用反光膜，国产超强级：三级）</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块</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46</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小停车管理须知牌（宽80x高180cm）</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反光/宽80x高180cm（采用铝板2.0mm，采用反光膜，国产超强级：三级）</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块</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2</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47</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限速禁鸣牌（宽80x高200cm）</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反光/宽80x高200cm（采用铝板2.0mm，采用反光膜，国产超强级：三级）</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块</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4</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48</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车辆禁止通行牌（宽80x高200cm）</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反光/宽80x高200cm（采用铝板2.0mm，采用反光膜，国产超强级：三级）</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块</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2</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49</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卫生间管理信息牌（宽60x高90cm）</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反光/宽60x高90cm（采用铝板2.0mm，采用反光膜，国产超强级：三级）</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块</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4</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50</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其它信息牌（宽60x高90cm）</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反光/宽60x高90cm（采用铝板2.0mm，采用反光膜，国产超强级：三级）</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块</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51</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交通提示牌（三角警示牌）（含：国标警示牌购买）</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反光/国标警示三角牌（采用铝板2.0mm，采用反光膜，国产超强级：三级）</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块</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30</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52</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景区票务软硬件系统</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售票管理系统、二维码门票打印、闸机检票等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亚克力摆闸/长140cm、宽20cm、高100cm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单台云服务器：配置双核/4G内存/6m独立带宽</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项</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53</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资料收集、编制、归档和成册及景区3A宣传片拍摄</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包含10-20分钟长宣传片及1分钟短宣传，拍摄内容包含近景及航拍。</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项</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54</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员工基础服务意识、技能的培训</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请专业AAA礼仪师培训，服务礼仪、达到AAA景区整体服务技能，方可上岗服务。</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项</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6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55</w:t>
            </w:r>
          </w:p>
        </w:tc>
        <w:tc>
          <w:tcPr>
            <w:tcW w:w="25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空气质量、噪声指标和地表水监测</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CO25000PPM、SO220PPM、空气湿度0-100%RH等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噪音系列: 扬尘噪声在线监测系统；颜色分类: 两项：PM2.5+PM10 两项+联；智能类型: 其他智能</w:t>
            </w:r>
          </w:p>
        </w:tc>
        <w:tc>
          <w:tcPr>
            <w:tcW w:w="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项</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jc w:val="center"/>
              <w:rPr>
                <w:rFonts w:hint="eastAsia" w:ascii="宋体" w:hAnsi="宋体" w:cs="宋体"/>
                <w:color w:val="000000"/>
                <w:sz w:val="22"/>
                <w:szCs w:val="22"/>
              </w:rPr>
            </w:pPr>
          </w:p>
        </w:tc>
        <w:tc>
          <w:tcPr>
            <w:tcW w:w="39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r>
    </w:tbl>
    <w:p>
      <w:pPr>
        <w:pStyle w:val="2"/>
        <w:spacing w:line="360" w:lineRule="auto"/>
        <w:ind w:firstLine="0"/>
        <w:rPr>
          <w:rFonts w:hint="eastAsia" w:ascii="宋体" w:hAnsi="宋体" w:cs="宋体"/>
          <w:b/>
          <w:color w:val="000000"/>
          <w:sz w:val="28"/>
          <w:szCs w:val="28"/>
        </w:rPr>
      </w:pPr>
      <w:r>
        <w:rPr>
          <w:rFonts w:hint="eastAsia" w:ascii="宋体" w:hAnsi="宋体" w:cs="宋体"/>
          <w:b/>
          <w:color w:val="000000"/>
          <w:sz w:val="28"/>
          <w:szCs w:val="28"/>
        </w:rPr>
        <w:t>二、商务要求</w:t>
      </w:r>
    </w:p>
    <w:p>
      <w:pPr>
        <w:snapToGrid w:val="0"/>
        <w:spacing w:line="360" w:lineRule="auto"/>
        <w:ind w:left="474" w:leftChars="24" w:hanging="424" w:hangingChars="177"/>
        <w:rPr>
          <w:rFonts w:hint="eastAsia" w:ascii="宋体" w:hAnsi="宋体"/>
          <w:color w:val="000000"/>
          <w:sz w:val="24"/>
        </w:rPr>
      </w:pPr>
      <w:r>
        <w:rPr>
          <w:rFonts w:hint="eastAsia" w:ascii="宋体" w:hAnsi="宋体"/>
          <w:color w:val="000000"/>
          <w:sz w:val="24"/>
        </w:rPr>
        <w:t>1 、投标人所投设备应是原厂原装产品，并符合下列要求：</w:t>
      </w:r>
    </w:p>
    <w:p>
      <w:pPr>
        <w:snapToGrid w:val="0"/>
        <w:spacing w:line="360" w:lineRule="auto"/>
        <w:ind w:left="456"/>
        <w:rPr>
          <w:rFonts w:hint="eastAsia" w:ascii="宋体" w:hAnsi="宋体"/>
          <w:color w:val="000000"/>
          <w:sz w:val="24"/>
        </w:rPr>
      </w:pPr>
      <w:r>
        <w:rPr>
          <w:rFonts w:hint="eastAsia" w:ascii="宋体" w:hAnsi="宋体"/>
          <w:color w:val="000000"/>
          <w:sz w:val="24"/>
        </w:rPr>
        <w:t>（1）产品的出厂标准符合询价文件要求；</w:t>
      </w:r>
    </w:p>
    <w:p>
      <w:pPr>
        <w:snapToGrid w:val="0"/>
        <w:spacing w:line="360" w:lineRule="auto"/>
        <w:ind w:left="456"/>
        <w:rPr>
          <w:rFonts w:hint="eastAsia" w:ascii="宋体" w:hAnsi="宋体"/>
          <w:color w:val="000000"/>
          <w:sz w:val="24"/>
        </w:rPr>
      </w:pPr>
      <w:r>
        <w:rPr>
          <w:rFonts w:hint="eastAsia" w:ascii="宋体" w:hAnsi="宋体"/>
          <w:color w:val="000000"/>
          <w:sz w:val="24"/>
        </w:rPr>
        <w:t>（2）投标设备必须是在行业用途广泛的设备。</w:t>
      </w:r>
    </w:p>
    <w:p>
      <w:pPr>
        <w:snapToGrid w:val="0"/>
        <w:spacing w:line="360" w:lineRule="auto"/>
        <w:ind w:left="501" w:leftChars="10" w:hanging="480" w:hangingChars="200"/>
        <w:rPr>
          <w:rFonts w:hint="eastAsia" w:ascii="宋体" w:hAnsi="宋体"/>
          <w:color w:val="000000"/>
          <w:sz w:val="24"/>
        </w:rPr>
      </w:pPr>
      <w:r>
        <w:rPr>
          <w:rFonts w:hint="eastAsia" w:ascii="宋体" w:hAnsi="宋体"/>
          <w:color w:val="000000"/>
          <w:sz w:val="24"/>
        </w:rPr>
        <w:t>2 、本项目采购范围内的伴随服务包括：</w:t>
      </w:r>
    </w:p>
    <w:p>
      <w:pPr>
        <w:snapToGrid w:val="0"/>
        <w:spacing w:line="360" w:lineRule="auto"/>
        <w:ind w:left="500"/>
        <w:rPr>
          <w:rFonts w:hint="eastAsia" w:ascii="宋体" w:hAnsi="宋体"/>
          <w:color w:val="000000"/>
          <w:sz w:val="24"/>
        </w:rPr>
      </w:pPr>
      <w:r>
        <w:rPr>
          <w:rFonts w:hint="eastAsia" w:ascii="宋体" w:hAnsi="宋体"/>
          <w:color w:val="000000"/>
          <w:sz w:val="24"/>
        </w:rPr>
        <w:t>（1）全部设备的运输；</w:t>
      </w:r>
    </w:p>
    <w:p>
      <w:pPr>
        <w:snapToGrid w:val="0"/>
        <w:spacing w:line="360" w:lineRule="auto"/>
        <w:ind w:left="500"/>
        <w:rPr>
          <w:rFonts w:hint="eastAsia" w:ascii="宋体" w:hAnsi="宋体"/>
          <w:color w:val="000000"/>
          <w:sz w:val="24"/>
        </w:rPr>
      </w:pPr>
      <w:r>
        <w:rPr>
          <w:rFonts w:hint="eastAsia" w:ascii="宋体" w:hAnsi="宋体"/>
          <w:color w:val="000000"/>
          <w:sz w:val="24"/>
        </w:rPr>
        <w:t>（2）人员培训、售后服务等；</w:t>
      </w:r>
    </w:p>
    <w:p>
      <w:pPr>
        <w:snapToGrid w:val="0"/>
        <w:spacing w:line="360" w:lineRule="auto"/>
        <w:ind w:left="500"/>
        <w:rPr>
          <w:rFonts w:hint="eastAsia" w:ascii="宋体" w:hAnsi="宋体"/>
          <w:color w:val="000000"/>
          <w:sz w:val="24"/>
        </w:rPr>
      </w:pPr>
      <w:r>
        <w:rPr>
          <w:rFonts w:hint="eastAsia" w:ascii="宋体" w:hAnsi="宋体"/>
          <w:color w:val="000000"/>
          <w:sz w:val="24"/>
        </w:rPr>
        <w:t>（3）伴随服务报价包含在投标总价内。</w:t>
      </w:r>
    </w:p>
    <w:p>
      <w:pPr>
        <w:spacing w:line="360" w:lineRule="auto"/>
        <w:rPr>
          <w:rFonts w:hint="eastAsia" w:ascii="宋体" w:hAnsi="宋体"/>
          <w:color w:val="000000"/>
          <w:sz w:val="24"/>
        </w:rPr>
      </w:pPr>
      <w:r>
        <w:rPr>
          <w:rFonts w:hint="eastAsia" w:ascii="宋体" w:hAnsi="宋体"/>
          <w:color w:val="000000"/>
          <w:sz w:val="24"/>
        </w:rPr>
        <w:t>3、投标设备质保期：按生产厂家的质保标准实行。</w:t>
      </w:r>
    </w:p>
    <w:p>
      <w:pPr>
        <w:spacing w:line="360" w:lineRule="auto"/>
        <w:rPr>
          <w:rFonts w:hint="eastAsia" w:ascii="宋体" w:hAnsi="宋体"/>
          <w:b/>
          <w:color w:val="000000"/>
          <w:sz w:val="24"/>
        </w:rPr>
      </w:pPr>
      <w:r>
        <w:rPr>
          <w:rFonts w:hint="eastAsia" w:ascii="宋体" w:hAnsi="宋体"/>
          <w:color w:val="000000"/>
          <w:sz w:val="24"/>
        </w:rPr>
        <w:t>4、服务响应：</w:t>
      </w:r>
      <w:r>
        <w:rPr>
          <w:rFonts w:hint="eastAsia" w:ascii="宋体" w:hAnsi="宋体"/>
          <w:color w:val="000000"/>
          <w:kern w:val="0"/>
          <w:sz w:val="24"/>
        </w:rPr>
        <w:t>提供7×24小时技术支持和服务，设备设施出现故障时，中标人得到通知后1小时内响应，3小时内派技术人员到达用户现场维修，4小时内排除故障；故障设备现场无法修复的，在24小时内提供相同品质规格的设备备用。</w:t>
      </w:r>
    </w:p>
    <w:p>
      <w:pPr>
        <w:spacing w:line="360" w:lineRule="auto"/>
        <w:jc w:val="left"/>
        <w:rPr>
          <w:rFonts w:hint="eastAsia" w:ascii="宋体" w:hAnsi="宋体"/>
          <w:color w:val="000000"/>
          <w:sz w:val="24"/>
        </w:rPr>
      </w:pPr>
      <w:r>
        <w:rPr>
          <w:rFonts w:hint="eastAsia" w:ascii="宋体" w:hAnsi="宋体"/>
          <w:color w:val="000000"/>
          <w:sz w:val="24"/>
        </w:rPr>
        <w:t>5、交付期：合同签定后</w:t>
      </w:r>
      <w:r>
        <w:rPr>
          <w:rFonts w:hint="eastAsia" w:ascii="宋体" w:hAnsi="宋体"/>
          <w:bCs/>
          <w:color w:val="000000"/>
          <w:sz w:val="24"/>
        </w:rPr>
        <w:t>30天</w:t>
      </w:r>
      <w:r>
        <w:rPr>
          <w:rFonts w:hint="eastAsia" w:ascii="宋体" w:hAnsi="宋体"/>
          <w:color w:val="000000"/>
          <w:sz w:val="24"/>
        </w:rPr>
        <w:t>内交付使用。</w:t>
      </w:r>
    </w:p>
    <w:p>
      <w:pPr>
        <w:spacing w:line="360" w:lineRule="auto"/>
        <w:jc w:val="left"/>
        <w:rPr>
          <w:rFonts w:hint="eastAsia" w:ascii="宋体" w:hAnsi="宋体"/>
          <w:color w:val="000000"/>
          <w:sz w:val="24"/>
        </w:rPr>
      </w:pPr>
      <w:r>
        <w:rPr>
          <w:rFonts w:hint="eastAsia" w:ascii="宋体" w:hAnsi="宋体"/>
          <w:color w:val="000000"/>
          <w:sz w:val="24"/>
        </w:rPr>
        <w:t>6、交货地点：用户指定地点。</w:t>
      </w:r>
    </w:p>
    <w:p>
      <w:pPr>
        <w:spacing w:line="360" w:lineRule="auto"/>
        <w:jc w:val="left"/>
        <w:rPr>
          <w:rFonts w:hint="eastAsia" w:ascii="宋体" w:hAnsi="宋体"/>
          <w:color w:val="000000"/>
          <w:sz w:val="24"/>
        </w:rPr>
      </w:pPr>
      <w:r>
        <w:rPr>
          <w:rFonts w:hint="eastAsia" w:ascii="宋体" w:hAnsi="宋体"/>
          <w:color w:val="000000"/>
          <w:sz w:val="24"/>
        </w:rPr>
        <w:t>7、设备安装调试：设备运输到指定地点后，中标人即刻安排技术人员按用户需求现场安装、调试、操作，设备所有技术参数经检验应符合询价文件及相关技术要求和规定的具体指标，并向用户提供所有设备相对应的指标及说明。</w:t>
      </w:r>
    </w:p>
    <w:p>
      <w:pPr>
        <w:spacing w:line="360" w:lineRule="auto"/>
        <w:jc w:val="left"/>
        <w:rPr>
          <w:rFonts w:hint="eastAsia" w:ascii="宋体" w:hAnsi="宋体"/>
          <w:color w:val="000000"/>
          <w:sz w:val="24"/>
        </w:rPr>
      </w:pPr>
      <w:r>
        <w:rPr>
          <w:rFonts w:hint="eastAsia" w:ascii="宋体" w:hAnsi="宋体"/>
          <w:color w:val="000000"/>
          <w:sz w:val="24"/>
        </w:rPr>
        <w:t>8、验收：采购人按照中标（成交）供应商所提供的所有设备的技术参数等指标与说明，根据采购文件、投标（响应）文件及相关国家、行业等规定的参数指标与中标人代表进行联合验收，对不符合验收要求的当场要求中标人在规定时间内整改，整改后仍不符合验收要求的，按相关政策法规取消其中标（成交）资格。</w:t>
      </w:r>
    </w:p>
    <w:p>
      <w:pPr>
        <w:spacing w:line="360" w:lineRule="auto"/>
        <w:jc w:val="left"/>
        <w:rPr>
          <w:rFonts w:hint="eastAsia" w:ascii="宋体" w:hAnsi="宋体"/>
          <w:sz w:val="24"/>
        </w:rPr>
      </w:pPr>
      <w:r>
        <w:rPr>
          <w:rFonts w:hint="eastAsia" w:ascii="宋体" w:hAnsi="宋体"/>
          <w:sz w:val="24"/>
        </w:rPr>
        <w:t>9、履约：投标人不能低于成本价恶意报价，如中标人的报价过低（低于预算金额的80%），明显不符合市场价格，则采购人有权要求中标人提供预算金额的10%作为履约保证金；如中标人在实施过程中偷工减料、不按工期完成项目等，则采购人有权终止合同，没收履约保证金，并报主管部门严肃处理。</w:t>
      </w:r>
    </w:p>
    <w:p>
      <w:pPr>
        <w:spacing w:line="360" w:lineRule="auto"/>
        <w:jc w:val="left"/>
        <w:rPr>
          <w:rFonts w:hint="eastAsia" w:ascii="宋体" w:hAnsi="宋体"/>
          <w:color w:val="000000"/>
          <w:sz w:val="24"/>
        </w:rPr>
      </w:pPr>
      <w:r>
        <w:rPr>
          <w:rFonts w:hint="eastAsia" w:ascii="宋体" w:hAnsi="宋体"/>
          <w:color w:val="000000"/>
          <w:sz w:val="24"/>
        </w:rPr>
        <w:t>10、技术资料：免费提供该设备全套技术资料，如可能应同时提供中文资料；</w:t>
      </w:r>
    </w:p>
    <w:p>
      <w:pPr>
        <w:spacing w:line="360" w:lineRule="auto"/>
        <w:jc w:val="left"/>
        <w:rPr>
          <w:rFonts w:hint="eastAsia" w:ascii="宋体" w:hAnsi="宋体"/>
          <w:color w:val="000000"/>
          <w:sz w:val="24"/>
        </w:rPr>
      </w:pPr>
      <w:r>
        <w:rPr>
          <w:rFonts w:hint="eastAsia" w:ascii="宋体" w:hAnsi="宋体"/>
          <w:color w:val="000000"/>
          <w:sz w:val="24"/>
        </w:rPr>
        <w:t>11、培训：中标人应按计划给用户免费提供本项目所有设备相关说明及操作的培训；</w:t>
      </w:r>
    </w:p>
    <w:p>
      <w:r>
        <w:rPr>
          <w:rFonts w:hint="eastAsia" w:ascii="宋体" w:hAnsi="宋体"/>
          <w:color w:val="000000"/>
          <w:sz w:val="24"/>
        </w:rPr>
        <w:t>12、付款方式：按</w:t>
      </w:r>
      <w:r>
        <w:rPr>
          <w:rFonts w:ascii="宋体" w:hAnsi="宋体"/>
          <w:color w:val="000000"/>
          <w:sz w:val="24"/>
        </w:rPr>
        <w:t>签订合同</w:t>
      </w:r>
      <w:r>
        <w:rPr>
          <w:rFonts w:hint="eastAsia" w:ascii="宋体" w:hAnsi="宋体"/>
          <w:color w:val="000000"/>
          <w:sz w:val="24"/>
        </w:rPr>
        <w:t>相关规定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E69C3"/>
    <w:rsid w:val="1BEA0E61"/>
    <w:rsid w:val="29AE3C06"/>
    <w:rsid w:val="7F4B1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Verdana" w:hAnsi="Verdana"/>
      <w:b/>
      <w:bCs/>
      <w:kern w:val="44"/>
      <w:sz w:val="44"/>
      <w:szCs w:val="44"/>
      <w:lang w:eastAsia="en-US"/>
    </w:rPr>
  </w:style>
  <w:style w:type="paragraph" w:styleId="4">
    <w:name w:val="heading 2"/>
    <w:basedOn w:val="1"/>
    <w:next w:val="1"/>
    <w:qFormat/>
    <w:uiPriority w:val="9"/>
    <w:pPr>
      <w:keepNext/>
      <w:keepLines/>
      <w:spacing w:before="260" w:after="260" w:line="416" w:lineRule="auto"/>
      <w:outlineLvl w:val="1"/>
    </w:pPr>
    <w:rPr>
      <w:rFonts w:ascii="Cambria" w:hAnsi="Cambria"/>
      <w:b/>
      <w:bCs/>
      <w:sz w:val="32"/>
      <w:szCs w:val="32"/>
      <w:lang w:eastAsia="en-US"/>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uiPriority w:val="0"/>
    <w:pPr>
      <w:widowControl/>
      <w:ind w:firstLine="420"/>
      <w:jc w:val="left"/>
    </w:pPr>
    <w:rPr>
      <w:rFonts w:ascii="Verdana" w:hAnsi="Verdana"/>
      <w:kern w:val="0"/>
      <w:szCs w:val="20"/>
      <w:lang w:eastAsia="en-US"/>
    </w:rPr>
  </w:style>
  <w:style w:type="paragraph" w:styleId="5">
    <w:name w:val="Body Text Indent"/>
    <w:basedOn w:val="1"/>
    <w:uiPriority w:val="0"/>
    <w:pPr>
      <w:spacing w:after="120"/>
      <w:ind w:left="420" w:leftChars="200"/>
    </w:pPr>
    <w:rPr>
      <w:rFonts w:ascii="Verdana" w:hAnsi="Verdana"/>
      <w:szCs w:val="20"/>
      <w:lang w:eastAsia="en-US"/>
    </w:rPr>
  </w:style>
  <w:style w:type="paragraph" w:styleId="6">
    <w:name w:val="Body Text First Indent 2"/>
    <w:basedOn w:val="5"/>
    <w:qFormat/>
    <w:uiPriority w:val="0"/>
    <w:pPr>
      <w:autoSpaceDE/>
      <w:autoSpaceDN/>
      <w:spacing w:after="120" w:line="240" w:lineRule="auto"/>
      <w:ind w:left="420" w:leftChars="200" w:firstLine="420" w:firstLineChars="200"/>
    </w:pPr>
    <w:rPr>
      <w:sz w:val="21"/>
      <w:szCs w:val="24"/>
    </w:rPr>
  </w:style>
  <w:style w:type="character" w:styleId="9">
    <w:name w:val="annotation reference"/>
    <w:qFormat/>
    <w:uiPriority w:val="0"/>
    <w:rPr>
      <w:sz w:val="21"/>
      <w:szCs w:val="21"/>
    </w:rPr>
  </w:style>
  <w:style w:type="paragraph" w:customStyle="1" w:styleId="10">
    <w:name w:val="my正文"/>
    <w:basedOn w:val="1"/>
    <w:qFormat/>
    <w:uiPriority w:val="0"/>
    <w:pPr>
      <w:spacing w:line="360" w:lineRule="auto"/>
      <w:ind w:firstLine="480" w:firstLineChars="200"/>
    </w:pPr>
    <w:rPr>
      <w:rFonts w:ascii="Times New Roman" w:hAnsi="Times New Roman"/>
      <w:sz w:val="24"/>
    </w:rPr>
  </w:style>
  <w:style w:type="paragraph" w:customStyle="1" w:styleId="11">
    <w:name w:val="正文1"/>
    <w:basedOn w:val="1"/>
    <w:qFormat/>
    <w:uiPriority w:val="0"/>
    <w:pPr>
      <w:adjustRightInd w:val="0"/>
      <w:spacing w:line="318" w:lineRule="atLeast"/>
      <w:ind w:left="369" w:firstLine="369"/>
      <w:textAlignment w:val="baseline"/>
    </w:pPr>
    <w:rPr>
      <w:rFonts w:ascii="宋体"/>
      <w:sz w:val="21"/>
      <w:szCs w:val="20"/>
    </w:rPr>
  </w:style>
  <w:style w:type="paragraph" w:customStyle="1" w:styleId="12">
    <w:name w:val="_正文"/>
    <w:basedOn w:val="1"/>
    <w:qFormat/>
    <w:uiPriority w:val="0"/>
    <w:pPr>
      <w:adjustRightInd w:val="0"/>
      <w:snapToGrid w:val="0"/>
      <w:spacing w:line="360" w:lineRule="auto"/>
      <w:ind w:firstLine="200" w:firstLineChars="200"/>
    </w:pPr>
    <w:rPr>
      <w:rFonts w:ascii="Calibri" w:hAnsi="Calibri" w:eastAsia="宋体" w:cs="Times New Roman"/>
      <w:sz w:val="24"/>
      <w:szCs w:val="24"/>
    </w:rPr>
  </w:style>
  <w:style w:type="paragraph" w:customStyle="1" w:styleId="13">
    <w:name w:val="No Spacing"/>
    <w:qFormat/>
    <w:uiPriority w:val="1"/>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2020-08-03T02:48:00Z</dcterms:created>
  <dc:creator>123</dc:creator>
  <cp:lastModifiedBy>得不到的永远在骚动</cp:lastModifiedBy>
  <dcterms:modified xsi:type="dcterms:W3CDTF">2020-08-03T08:43:17Z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