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5"/>
        </w:tabs>
        <w:spacing w:before="0" w:line="240" w:lineRule="auto"/>
        <w:jc w:val="center"/>
        <w:rPr>
          <w:b w:val="0"/>
          <w:bCs w:val="0"/>
          <w:color w:val="auto"/>
          <w:sz w:val="36"/>
          <w:szCs w:val="36"/>
        </w:rPr>
      </w:pPr>
      <w:r>
        <w:rPr>
          <w:color w:val="auto"/>
          <w:sz w:val="36"/>
          <w:szCs w:val="36"/>
        </w:rPr>
        <w:t>采购需求</w:t>
      </w:r>
    </w:p>
    <w:p>
      <w:pPr>
        <w:pStyle w:val="3"/>
        <w:bidi w:val="0"/>
        <w:jc w:val="left"/>
      </w:pPr>
      <w:r>
        <w:t>一、项目概况</w:t>
      </w:r>
    </w:p>
    <w:p>
      <w:pPr>
        <w:spacing w:line="276" w:lineRule="auto"/>
        <w:ind w:left="231" w:leftChars="84" w:hanging="55" w:hangingChars="23"/>
        <w:rPr>
          <w:rFonts w:hAnsi="宋体" w:cs="宋体"/>
          <w:bCs/>
          <w:sz w:val="24"/>
          <w:szCs w:val="24"/>
        </w:rPr>
      </w:pPr>
      <w:r>
        <w:rPr>
          <w:rFonts w:hAnsi="宋体" w:cs="宋体"/>
          <w:bCs/>
          <w:sz w:val="24"/>
          <w:szCs w:val="24"/>
        </w:rPr>
        <w:t>1、项目名称：</w:t>
      </w:r>
      <w:r>
        <w:rPr>
          <w:rFonts w:hint="eastAsia" w:hAnsi="宋体" w:eastAsia="宋体" w:cs="宋体"/>
          <w:bCs/>
          <w:sz w:val="24"/>
          <w:szCs w:val="24"/>
          <w:lang w:eastAsia="zh-CN"/>
        </w:rPr>
        <w:t>昌江黎族自治县固定式机动车尾气遥感监测系统项目</w:t>
      </w:r>
      <w:r>
        <w:rPr>
          <w:rFonts w:hAnsi="宋体" w:cs="宋体"/>
          <w:bCs/>
          <w:sz w:val="24"/>
          <w:szCs w:val="24"/>
        </w:rPr>
        <w:t xml:space="preserve"> </w:t>
      </w:r>
    </w:p>
    <w:p>
      <w:pPr>
        <w:spacing w:line="276" w:lineRule="auto"/>
        <w:ind w:left="231" w:leftChars="84" w:hanging="55" w:hangingChars="23"/>
        <w:rPr>
          <w:rFonts w:hAnsi="宋体" w:cs="宋体"/>
          <w:bCs/>
          <w:sz w:val="24"/>
          <w:szCs w:val="24"/>
        </w:rPr>
      </w:pPr>
      <w:r>
        <w:rPr>
          <w:rFonts w:hAnsi="宋体" w:cs="宋体"/>
          <w:bCs/>
          <w:sz w:val="24"/>
          <w:szCs w:val="24"/>
        </w:rPr>
        <w:t>2、预算金额</w:t>
      </w:r>
      <w:r>
        <w:rPr>
          <w:rFonts w:hAnsi="宋体" w:cs="宋体"/>
          <w:bCs/>
          <w:sz w:val="24"/>
          <w:szCs w:val="24"/>
          <w:highlight w:val="none"/>
        </w:rPr>
        <w:t>：人民币￥</w:t>
      </w:r>
      <w:r>
        <w:rPr>
          <w:rFonts w:hint="eastAsia"/>
          <w:spacing w:val="3"/>
          <w:sz w:val="24"/>
          <w:highlight w:val="none"/>
        </w:rPr>
        <w:t>1832260.78</w:t>
      </w:r>
      <w:r>
        <w:rPr>
          <w:rFonts w:hAnsi="宋体" w:cs="宋体"/>
          <w:bCs/>
          <w:sz w:val="24"/>
          <w:szCs w:val="24"/>
          <w:highlight w:val="none"/>
        </w:rPr>
        <w:t>元，</w:t>
      </w:r>
      <w:r>
        <w:rPr>
          <w:rFonts w:hAnsi="宋体" w:cs="宋体"/>
          <w:bCs/>
          <w:sz w:val="24"/>
          <w:szCs w:val="24"/>
        </w:rPr>
        <w:t>超过预算金额为无效报价</w:t>
      </w:r>
    </w:p>
    <w:p>
      <w:pPr>
        <w:spacing w:line="276" w:lineRule="auto"/>
        <w:ind w:left="231" w:leftChars="84" w:hanging="55" w:hangingChars="23"/>
        <w:rPr>
          <w:rFonts w:hAnsi="宋体" w:cs="宋体"/>
          <w:bCs/>
          <w:sz w:val="24"/>
          <w:szCs w:val="24"/>
        </w:rPr>
      </w:pPr>
      <w:r>
        <w:rPr>
          <w:rFonts w:hAnsi="宋体" w:cs="宋体"/>
          <w:bCs/>
          <w:sz w:val="24"/>
          <w:szCs w:val="24"/>
        </w:rPr>
        <w:t>3、采购内容：本项目共1个包，</w:t>
      </w:r>
      <w:r>
        <w:rPr>
          <w:rFonts w:hint="eastAsia" w:hAnsi="宋体" w:eastAsia="宋体" w:cs="宋体"/>
          <w:bCs/>
          <w:sz w:val="24"/>
          <w:szCs w:val="24"/>
          <w:lang w:eastAsia="zh-CN"/>
        </w:rPr>
        <w:t>项目主要建设内容有固定式机动车尾气遥感监测系统主要由光路测量系统（包含光源发射端、反射端、接收端）、速度/加速度检测系统、视频车牌捕捉系统、气象环境监测系统、系统软件等部分组成，具体</w:t>
      </w:r>
      <w:r>
        <w:rPr>
          <w:rFonts w:hAnsi="宋体" w:cs="宋体"/>
          <w:bCs/>
          <w:sz w:val="24"/>
          <w:szCs w:val="24"/>
        </w:rPr>
        <w:t>清单如下：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150"/>
        <w:gridCol w:w="2818"/>
        <w:gridCol w:w="12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hint="eastAsia" w:ascii="宋体" w:hAnsi="宋体"/>
                <w:color w:val="000000"/>
                <w:szCs w:val="24"/>
              </w:rPr>
              <w:t>序号</w:t>
            </w:r>
          </w:p>
        </w:tc>
        <w:tc>
          <w:tcPr>
            <w:tcW w:w="4968" w:type="dxa"/>
            <w:gridSpan w:val="2"/>
            <w:noWrap w:val="0"/>
            <w:vAlign w:val="center"/>
          </w:tcPr>
          <w:p>
            <w:pPr>
              <w:ind w:left="61"/>
              <w:jc w:val="center"/>
              <w:rPr>
                <w:rFonts w:ascii="宋体" w:hAnsi="宋体"/>
                <w:color w:val="000000"/>
                <w:szCs w:val="24"/>
              </w:rPr>
            </w:pPr>
            <w:r>
              <w:rPr>
                <w:rFonts w:hint="eastAsia" w:ascii="宋体" w:hAnsi="宋体"/>
                <w:color w:val="000000"/>
                <w:szCs w:val="24"/>
              </w:rPr>
              <w:t>设备名称</w:t>
            </w:r>
          </w:p>
        </w:tc>
        <w:tc>
          <w:tcPr>
            <w:tcW w:w="1275" w:type="dxa"/>
            <w:noWrap w:val="0"/>
            <w:vAlign w:val="center"/>
          </w:tcPr>
          <w:p>
            <w:pPr>
              <w:ind w:left="61"/>
              <w:jc w:val="center"/>
              <w:rPr>
                <w:rFonts w:ascii="宋体" w:hAnsi="宋体"/>
                <w:color w:val="000000"/>
                <w:szCs w:val="24"/>
              </w:rPr>
            </w:pPr>
            <w:r>
              <w:rPr>
                <w:rFonts w:hint="eastAsia" w:ascii="宋体" w:hAnsi="宋体"/>
                <w:color w:val="000000"/>
                <w:szCs w:val="24"/>
              </w:rPr>
              <w:t>数量</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hint="eastAsia" w:ascii="宋体" w:hAnsi="宋体"/>
                <w:color w:val="000000"/>
                <w:szCs w:val="24"/>
              </w:rPr>
              <w:t>1</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排气污染物测量分析设备（垂直式）</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hint="eastAsia" w:ascii="宋体" w:hAnsi="宋体"/>
                <w:color w:val="000000"/>
                <w:szCs w:val="24"/>
              </w:rPr>
              <w:t>2</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速度/加速度采集单元</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hint="eastAsia" w:ascii="宋体" w:hAnsi="宋体"/>
                <w:color w:val="000000"/>
                <w:szCs w:val="24"/>
              </w:rPr>
              <w:t>3</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工业控制计算机</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ascii="宋体" w:hAnsi="宋体"/>
                <w:color w:val="000000"/>
                <w:szCs w:val="24"/>
              </w:rPr>
              <w:t>4</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视频图像采集系统</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ascii="宋体" w:hAnsi="宋体"/>
                <w:color w:val="000000"/>
                <w:szCs w:val="24"/>
              </w:rPr>
              <w:t>5</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道路流量监控系统</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ascii="宋体" w:hAnsi="宋体"/>
                <w:color w:val="000000"/>
                <w:szCs w:val="24"/>
              </w:rPr>
              <w:t>6</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环境气象测量单元</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ascii="宋体" w:hAnsi="宋体"/>
                <w:color w:val="000000"/>
                <w:szCs w:val="24"/>
              </w:rPr>
            </w:pPr>
            <w:r>
              <w:rPr>
                <w:rFonts w:ascii="宋体" w:hAnsi="宋体"/>
                <w:color w:val="000000"/>
                <w:szCs w:val="24"/>
              </w:rPr>
              <w:t>7</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道路空气质量微型监测系统</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153" w:type="dxa"/>
            <w:vMerge w:val="restart"/>
            <w:noWrap w:val="0"/>
            <w:vAlign w:val="center"/>
          </w:tcPr>
          <w:p>
            <w:pPr>
              <w:ind w:left="61"/>
              <w:jc w:val="center"/>
              <w:rPr>
                <w:rFonts w:ascii="宋体" w:hAnsi="宋体"/>
                <w:color w:val="000000"/>
                <w:szCs w:val="24"/>
              </w:rPr>
            </w:pPr>
            <w:r>
              <w:rPr>
                <w:rFonts w:ascii="宋体" w:hAnsi="宋体"/>
                <w:color w:val="000000"/>
                <w:szCs w:val="24"/>
              </w:rPr>
              <w:t>8</w:t>
            </w:r>
          </w:p>
        </w:tc>
        <w:tc>
          <w:tcPr>
            <w:tcW w:w="2150" w:type="dxa"/>
            <w:vMerge w:val="restart"/>
            <w:noWrap w:val="0"/>
            <w:vAlign w:val="center"/>
          </w:tcPr>
          <w:p>
            <w:pPr>
              <w:ind w:left="61"/>
              <w:rPr>
                <w:rFonts w:ascii="宋体" w:hAnsi="宋体"/>
                <w:color w:val="000000"/>
                <w:szCs w:val="24"/>
              </w:rPr>
            </w:pPr>
            <w:r>
              <w:rPr>
                <w:rFonts w:hint="eastAsia" w:ascii="宋体" w:hAnsi="宋体"/>
                <w:color w:val="000000"/>
                <w:szCs w:val="24"/>
              </w:rPr>
              <w:t>安防监控系统</w:t>
            </w:r>
          </w:p>
        </w:tc>
        <w:tc>
          <w:tcPr>
            <w:tcW w:w="2818" w:type="dxa"/>
            <w:noWrap w:val="0"/>
            <w:vAlign w:val="center"/>
          </w:tcPr>
          <w:p>
            <w:pPr>
              <w:ind w:left="61"/>
              <w:rPr>
                <w:rFonts w:ascii="宋体" w:hAnsi="宋体"/>
                <w:color w:val="000000"/>
                <w:szCs w:val="24"/>
              </w:rPr>
            </w:pPr>
            <w:r>
              <w:rPr>
                <w:rFonts w:hint="eastAsia" w:ascii="宋体" w:hAnsi="宋体"/>
                <w:color w:val="000000"/>
                <w:szCs w:val="24"/>
              </w:rPr>
              <w:t>安防摄像机</w:t>
            </w:r>
          </w:p>
        </w:tc>
        <w:tc>
          <w:tcPr>
            <w:tcW w:w="1275" w:type="dxa"/>
            <w:vMerge w:val="restart"/>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vMerge w:val="restart"/>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153" w:type="dxa"/>
            <w:vMerge w:val="continue"/>
            <w:noWrap w:val="0"/>
            <w:vAlign w:val="center"/>
          </w:tcPr>
          <w:p>
            <w:pPr>
              <w:ind w:left="61"/>
              <w:jc w:val="center"/>
              <w:rPr>
                <w:rFonts w:ascii="宋体" w:hAnsi="宋体"/>
                <w:color w:val="000000"/>
                <w:szCs w:val="24"/>
              </w:rPr>
            </w:pPr>
          </w:p>
        </w:tc>
        <w:tc>
          <w:tcPr>
            <w:tcW w:w="2150" w:type="dxa"/>
            <w:vMerge w:val="continue"/>
            <w:noWrap w:val="0"/>
            <w:vAlign w:val="center"/>
          </w:tcPr>
          <w:p>
            <w:pPr>
              <w:ind w:left="61"/>
              <w:rPr>
                <w:rFonts w:ascii="宋体" w:hAnsi="宋体"/>
                <w:color w:val="000000"/>
                <w:szCs w:val="24"/>
              </w:rPr>
            </w:pPr>
          </w:p>
        </w:tc>
        <w:tc>
          <w:tcPr>
            <w:tcW w:w="2818" w:type="dxa"/>
            <w:noWrap w:val="0"/>
            <w:vAlign w:val="center"/>
          </w:tcPr>
          <w:p>
            <w:pPr>
              <w:ind w:left="61"/>
              <w:rPr>
                <w:rFonts w:ascii="宋体" w:hAnsi="宋体"/>
                <w:color w:val="000000"/>
                <w:szCs w:val="24"/>
              </w:rPr>
            </w:pPr>
            <w:r>
              <w:rPr>
                <w:rFonts w:hint="eastAsia" w:ascii="宋体" w:hAnsi="宋体"/>
                <w:color w:val="000000"/>
                <w:szCs w:val="24"/>
              </w:rPr>
              <w:t>硬盘录像机</w:t>
            </w:r>
          </w:p>
        </w:tc>
        <w:tc>
          <w:tcPr>
            <w:tcW w:w="1275" w:type="dxa"/>
            <w:vMerge w:val="continue"/>
            <w:noWrap w:val="0"/>
            <w:vAlign w:val="center"/>
          </w:tcPr>
          <w:p>
            <w:pPr>
              <w:ind w:left="61"/>
              <w:jc w:val="center"/>
              <w:rPr>
                <w:rFonts w:ascii="宋体" w:hAnsi="宋体"/>
                <w:color w:val="000000"/>
                <w:szCs w:val="24"/>
              </w:rPr>
            </w:pPr>
          </w:p>
        </w:tc>
        <w:tc>
          <w:tcPr>
            <w:tcW w:w="1005" w:type="dxa"/>
            <w:vMerge w:val="continue"/>
            <w:noWrap w:val="0"/>
            <w:vAlign w:val="center"/>
          </w:tcPr>
          <w:p>
            <w:pPr>
              <w:ind w:left="61"/>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53" w:type="dxa"/>
            <w:noWrap w:val="0"/>
            <w:vAlign w:val="center"/>
          </w:tcPr>
          <w:p>
            <w:pPr>
              <w:ind w:left="61"/>
              <w:jc w:val="center"/>
              <w:rPr>
                <w:rFonts w:hint="eastAsia" w:ascii="宋体" w:hAnsi="宋体" w:eastAsia="宋体"/>
                <w:color w:val="000000"/>
                <w:szCs w:val="24"/>
                <w:lang w:eastAsia="zh-CN"/>
              </w:rPr>
            </w:pPr>
            <w:r>
              <w:rPr>
                <w:rFonts w:hint="eastAsia" w:ascii="宋体" w:hAnsi="宋体"/>
                <w:color w:val="000000"/>
                <w:szCs w:val="24"/>
                <w:lang w:val="en-US" w:eastAsia="zh-CN"/>
              </w:rPr>
              <w:t>9</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遥感检测控制软件</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53" w:type="dxa"/>
            <w:noWrap w:val="0"/>
            <w:vAlign w:val="center"/>
          </w:tcPr>
          <w:p>
            <w:pPr>
              <w:ind w:left="61"/>
              <w:jc w:val="center"/>
              <w:rPr>
                <w:rFonts w:hint="eastAsia" w:ascii="宋体" w:hAnsi="宋体" w:eastAsia="宋体"/>
                <w:color w:val="000000"/>
                <w:szCs w:val="24"/>
                <w:lang w:eastAsia="zh-CN"/>
              </w:rPr>
            </w:pPr>
            <w:r>
              <w:rPr>
                <w:rFonts w:hint="eastAsia" w:ascii="宋体" w:hAnsi="宋体"/>
                <w:color w:val="000000"/>
                <w:szCs w:val="24"/>
              </w:rPr>
              <w:t>1</w:t>
            </w:r>
            <w:r>
              <w:rPr>
                <w:rFonts w:hint="eastAsia" w:ascii="宋体" w:hAnsi="宋体"/>
                <w:color w:val="000000"/>
                <w:szCs w:val="24"/>
                <w:lang w:val="en-US" w:eastAsia="zh-CN"/>
              </w:rPr>
              <w:t>0</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龙门架、显示屏等配套设备</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hint="eastAsia" w:ascii="宋体" w:hAnsi="宋体" w:eastAsia="宋体"/>
                <w:color w:val="000000"/>
                <w:szCs w:val="24"/>
                <w:lang w:eastAsia="zh-CN"/>
              </w:rPr>
            </w:pPr>
            <w:r>
              <w:rPr>
                <w:rFonts w:hint="eastAsia" w:ascii="宋体" w:hAnsi="宋体"/>
                <w:color w:val="000000"/>
                <w:szCs w:val="24"/>
              </w:rPr>
              <w:t>1</w:t>
            </w:r>
            <w:r>
              <w:rPr>
                <w:rFonts w:hint="eastAsia" w:ascii="宋体" w:hAnsi="宋体"/>
                <w:color w:val="000000"/>
                <w:szCs w:val="24"/>
                <w:lang w:val="en-US" w:eastAsia="zh-CN"/>
              </w:rPr>
              <w:t>1</w:t>
            </w:r>
          </w:p>
        </w:tc>
        <w:tc>
          <w:tcPr>
            <w:tcW w:w="4968" w:type="dxa"/>
            <w:gridSpan w:val="2"/>
            <w:noWrap w:val="0"/>
            <w:vAlign w:val="center"/>
          </w:tcPr>
          <w:p>
            <w:pPr>
              <w:ind w:left="61"/>
              <w:rPr>
                <w:rFonts w:ascii="宋体" w:hAnsi="宋体"/>
                <w:color w:val="000000"/>
                <w:szCs w:val="24"/>
              </w:rPr>
            </w:pPr>
            <w:r>
              <w:rPr>
                <w:rFonts w:hint="eastAsia" w:ascii="宋体" w:hAnsi="宋体"/>
                <w:color w:val="000000"/>
                <w:szCs w:val="24"/>
              </w:rPr>
              <w:t>数据联网服务</w:t>
            </w:r>
          </w:p>
        </w:tc>
        <w:tc>
          <w:tcPr>
            <w:tcW w:w="1275" w:type="dxa"/>
            <w:noWrap w:val="0"/>
            <w:vAlign w:val="center"/>
          </w:tcPr>
          <w:p>
            <w:pPr>
              <w:ind w:left="61"/>
              <w:jc w:val="center"/>
              <w:rPr>
                <w:rFonts w:hint="eastAsia" w:ascii="宋体" w:hAnsi="宋体" w:eastAsia="宋体"/>
                <w:color w:val="000000"/>
                <w:szCs w:val="24"/>
                <w:lang w:eastAsia="zh-CN"/>
              </w:rPr>
            </w:pPr>
            <w:r>
              <w:rPr>
                <w:rFonts w:hint="eastAsia" w:ascii="宋体" w:hAnsi="宋体" w:eastAsia="宋体"/>
                <w:color w:val="000000"/>
                <w:szCs w:val="24"/>
                <w:lang w:val="en-US" w:eastAsia="zh-CN"/>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hint="eastAsia" w:ascii="宋体" w:hAnsi="宋体" w:eastAsia="宋体"/>
                <w:color w:val="000000"/>
                <w:szCs w:val="24"/>
                <w:lang w:eastAsia="zh-CN"/>
              </w:rPr>
            </w:pPr>
            <w:r>
              <w:rPr>
                <w:rFonts w:hint="eastAsia" w:ascii="宋体" w:hAnsi="宋体"/>
                <w:color w:val="000000"/>
                <w:szCs w:val="24"/>
              </w:rPr>
              <w:t>1</w:t>
            </w:r>
            <w:r>
              <w:rPr>
                <w:rFonts w:hint="eastAsia" w:ascii="宋体" w:hAnsi="宋体"/>
                <w:color w:val="000000"/>
                <w:szCs w:val="24"/>
                <w:lang w:val="en-US" w:eastAsia="zh-CN"/>
              </w:rPr>
              <w:t>2</w:t>
            </w:r>
          </w:p>
        </w:tc>
        <w:tc>
          <w:tcPr>
            <w:tcW w:w="4968" w:type="dxa"/>
            <w:gridSpan w:val="2"/>
            <w:noWrap w:val="0"/>
            <w:vAlign w:val="center"/>
          </w:tcPr>
          <w:p>
            <w:pPr>
              <w:ind w:left="61"/>
              <w:rPr>
                <w:rFonts w:ascii="宋体" w:hAnsi="宋体"/>
                <w:color w:val="000000"/>
                <w:szCs w:val="24"/>
              </w:rPr>
            </w:pPr>
            <w:r>
              <w:rPr>
                <w:rFonts w:hint="eastAsia"/>
                <w:color w:val="000000"/>
              </w:rPr>
              <w:t>本地化服务</w:t>
            </w:r>
          </w:p>
        </w:tc>
        <w:tc>
          <w:tcPr>
            <w:tcW w:w="1275" w:type="dxa"/>
            <w:noWrap w:val="0"/>
            <w:vAlign w:val="center"/>
          </w:tcPr>
          <w:p>
            <w:pPr>
              <w:ind w:left="61"/>
              <w:jc w:val="center"/>
              <w:rPr>
                <w:rFonts w:ascii="宋体" w:hAnsi="宋体"/>
                <w:color w:val="000000"/>
                <w:szCs w:val="24"/>
              </w:rPr>
            </w:pPr>
            <w:r>
              <w:rPr>
                <w:rFonts w:ascii="宋体" w:hAnsi="宋体"/>
                <w:color w:val="000000"/>
                <w:szCs w:val="24"/>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3" w:type="dxa"/>
            <w:noWrap w:val="0"/>
            <w:vAlign w:val="center"/>
          </w:tcPr>
          <w:p>
            <w:pPr>
              <w:ind w:left="61"/>
              <w:jc w:val="center"/>
              <w:rPr>
                <w:rFonts w:hint="eastAsia" w:ascii="宋体" w:hAnsi="宋体" w:eastAsia="宋体"/>
                <w:color w:val="000000"/>
                <w:szCs w:val="24"/>
                <w:lang w:eastAsia="zh-CN"/>
              </w:rPr>
            </w:pPr>
            <w:r>
              <w:rPr>
                <w:rFonts w:hint="eastAsia" w:ascii="宋体" w:hAnsi="宋体"/>
                <w:color w:val="000000"/>
                <w:szCs w:val="24"/>
              </w:rPr>
              <w:t>1</w:t>
            </w:r>
            <w:r>
              <w:rPr>
                <w:rFonts w:hint="eastAsia" w:ascii="宋体" w:hAnsi="宋体"/>
                <w:color w:val="000000"/>
                <w:szCs w:val="24"/>
                <w:lang w:val="en-US" w:eastAsia="zh-CN"/>
              </w:rPr>
              <w:t>3</w:t>
            </w:r>
          </w:p>
        </w:tc>
        <w:tc>
          <w:tcPr>
            <w:tcW w:w="4968" w:type="dxa"/>
            <w:gridSpan w:val="2"/>
            <w:noWrap w:val="0"/>
            <w:vAlign w:val="center"/>
          </w:tcPr>
          <w:p>
            <w:pPr>
              <w:ind w:left="61"/>
              <w:rPr>
                <w:rFonts w:ascii="宋体" w:hAnsi="宋体"/>
                <w:color w:val="000000"/>
                <w:szCs w:val="24"/>
              </w:rPr>
            </w:pPr>
            <w:r>
              <w:rPr>
                <w:rFonts w:hint="eastAsia"/>
                <w:color w:val="000000"/>
              </w:rPr>
              <w:t>运营和维护</w:t>
            </w:r>
          </w:p>
        </w:tc>
        <w:tc>
          <w:tcPr>
            <w:tcW w:w="1275" w:type="dxa"/>
            <w:noWrap w:val="0"/>
            <w:vAlign w:val="center"/>
          </w:tcPr>
          <w:p>
            <w:pPr>
              <w:ind w:left="61"/>
              <w:jc w:val="center"/>
              <w:rPr>
                <w:rFonts w:ascii="宋体" w:hAnsi="宋体"/>
                <w:color w:val="000000"/>
                <w:szCs w:val="24"/>
              </w:rPr>
            </w:pPr>
            <w:r>
              <w:rPr>
                <w:rFonts w:ascii="宋体" w:hAnsi="宋体"/>
                <w:color w:val="000000"/>
                <w:szCs w:val="24"/>
              </w:rPr>
              <w:t>1</w:t>
            </w:r>
          </w:p>
        </w:tc>
        <w:tc>
          <w:tcPr>
            <w:tcW w:w="1005" w:type="dxa"/>
            <w:noWrap w:val="0"/>
            <w:vAlign w:val="center"/>
          </w:tcPr>
          <w:p>
            <w:pPr>
              <w:ind w:left="61"/>
              <w:jc w:val="center"/>
              <w:rPr>
                <w:rFonts w:ascii="宋体" w:hAnsi="宋体"/>
                <w:color w:val="000000"/>
                <w:szCs w:val="24"/>
              </w:rPr>
            </w:pPr>
            <w:r>
              <w:rPr>
                <w:rFonts w:hint="eastAsia" w:ascii="宋体" w:hAnsi="宋体"/>
                <w:color w:val="000000"/>
                <w:szCs w:val="24"/>
              </w:rPr>
              <w:t>年</w:t>
            </w:r>
          </w:p>
        </w:tc>
      </w:tr>
    </w:tbl>
    <w:p>
      <w:pPr>
        <w:pStyle w:val="6"/>
        <w:ind w:firstLine="540"/>
        <w:rPr>
          <w:rFonts w:ascii="Verdana" w:hAnsi="Verdana" w:eastAsia="仿宋_GB2312"/>
          <w:szCs w:val="20"/>
        </w:rPr>
      </w:pPr>
    </w:p>
    <w:p>
      <w:pPr>
        <w:pStyle w:val="3"/>
        <w:numPr>
          <w:ilvl w:val="0"/>
          <w:numId w:val="1"/>
        </w:numPr>
        <w:bidi w:val="0"/>
        <w:jc w:val="left"/>
      </w:pPr>
      <w:r>
        <w:t xml:space="preserve">技术要求 </w:t>
      </w:r>
      <w:bookmarkStart w:id="0" w:name="_Toc2994"/>
      <w:bookmarkStart w:id="1" w:name="_Toc23302_WPSOffice_Level3"/>
      <w:bookmarkStart w:id="2" w:name="_Toc11178"/>
      <w:bookmarkStart w:id="3" w:name="_Toc8654"/>
      <w:bookmarkStart w:id="4" w:name="_Toc31494"/>
    </w:p>
    <w:p>
      <w:pPr>
        <w:pStyle w:val="2"/>
        <w:numPr>
          <w:ilvl w:val="0"/>
          <w:numId w:val="0"/>
        </w:numPr>
        <w:bidi w:val="0"/>
        <w:ind w:left="0" w:leftChars="0" w:firstLine="0" w:firstLineChars="0"/>
        <w:jc w:val="both"/>
        <w:rPr>
          <w:rFonts w:hint="eastAsia" w:ascii="宋体" w:hAnsi="宋体" w:eastAsia="宋体" w:cs="宋体"/>
          <w:color w:val="000000"/>
          <w:kern w:val="0"/>
          <w:sz w:val="24"/>
          <w:szCs w:val="24"/>
          <w:u w:val="none" w:color="000000"/>
          <w:lang w:val="en-US" w:eastAsia="zh-CN" w:bidi="ar-SA"/>
        </w:rPr>
      </w:pPr>
      <w:r>
        <w:rPr>
          <w:rFonts w:hint="eastAsia" w:ascii="宋体" w:hAnsi="宋体" w:eastAsia="宋体" w:cs="宋体"/>
          <w:color w:val="000000"/>
          <w:kern w:val="0"/>
          <w:sz w:val="24"/>
          <w:szCs w:val="24"/>
          <w:u w:val="none" w:color="000000"/>
          <w:lang w:val="en-US" w:eastAsia="zh-CN" w:bidi="ar-SA"/>
        </w:rPr>
        <w:t>（一）设计</w:t>
      </w:r>
      <w:bookmarkEnd w:id="0"/>
      <w:bookmarkEnd w:id="1"/>
      <w:bookmarkEnd w:id="2"/>
      <w:bookmarkEnd w:id="3"/>
      <w:bookmarkEnd w:id="4"/>
      <w:r>
        <w:rPr>
          <w:rFonts w:hint="eastAsia" w:ascii="宋体" w:hAnsi="宋体" w:eastAsia="宋体" w:cs="宋体"/>
          <w:color w:val="000000"/>
          <w:kern w:val="0"/>
          <w:sz w:val="24"/>
          <w:szCs w:val="24"/>
          <w:u w:val="none" w:color="000000"/>
          <w:lang w:val="en-US" w:eastAsia="zh-CN" w:bidi="ar-SA"/>
        </w:rPr>
        <w:t>原则</w:t>
      </w:r>
    </w:p>
    <w:p>
      <w:pPr>
        <w:bidi w:val="0"/>
        <w:rPr>
          <w:rFonts w:hint="eastAsia"/>
          <w:b/>
          <w:bCs/>
        </w:rPr>
      </w:pPr>
      <w:r>
        <w:rPr>
          <w:rFonts w:hint="eastAsia"/>
          <w:b/>
          <w:bCs/>
        </w:rPr>
        <w:t>总体框架</w:t>
      </w:r>
    </w:p>
    <w:p>
      <w:pPr>
        <w:rPr>
          <w:rFonts w:hint="eastAsia" w:ascii="宋体" w:hAnsi="宋体" w:eastAsia="宋体" w:cs="宋体"/>
        </w:rPr>
      </w:pPr>
      <w:r>
        <w:rPr>
          <w:rFonts w:hint="eastAsia" w:ascii="宋体" w:hAnsi="宋体" w:eastAsia="宋体" w:cs="宋体"/>
        </w:rPr>
        <w:drawing>
          <wp:inline distT="0" distB="0" distL="114300" distR="114300">
            <wp:extent cx="5719445" cy="2676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19445" cy="2676525"/>
                    </a:xfrm>
                    <a:prstGeom prst="rect">
                      <a:avLst/>
                    </a:prstGeom>
                    <a:noFill/>
                    <a:ln>
                      <a:noFill/>
                    </a:ln>
                  </pic:spPr>
                </pic:pic>
              </a:graphicData>
            </a:graphic>
          </wp:inline>
        </w:drawing>
      </w:r>
    </w:p>
    <w:p>
      <w:pPr>
        <w:bidi w:val="0"/>
        <w:rPr>
          <w:rFonts w:hint="eastAsia"/>
          <w:b/>
          <w:bCs/>
        </w:rPr>
      </w:pPr>
      <w:bookmarkStart w:id="5" w:name="_Toc14134505"/>
      <w:r>
        <w:rPr>
          <w:rFonts w:hint="eastAsia"/>
          <w:b/>
          <w:bCs/>
        </w:rPr>
        <w:t xml:space="preserve"> 技术路线</w:t>
      </w:r>
      <w:bookmarkEnd w:id="5"/>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本项目采用垂直固定式遥感监测，系统主要由光路测量系统（包含光源发射端、反射端、接收端）、速度/加速度检测系统、视频车牌捕捉系统、气象环境监测系统等部分组成。</w:t>
      </w:r>
    </w:p>
    <w:p>
      <w:pPr>
        <w:pStyle w:val="10"/>
        <w:widowControl/>
        <w:ind w:firstLine="420" w:firstLineChars="150"/>
        <w:rPr>
          <w:rFonts w:hint="eastAsia" w:ascii="宋体" w:hAnsi="宋体" w:eastAsia="宋体" w:cs="宋体"/>
          <w:sz w:val="28"/>
          <w:szCs w:val="28"/>
        </w:rPr>
      </w:pPr>
      <w:bookmarkStart w:id="6" w:name="_Toc12303"/>
      <w:r>
        <w:rPr>
          <w:rFonts w:hint="eastAsia" w:ascii="宋体" w:hAnsi="宋体" w:eastAsia="宋体" w:cs="宋体"/>
          <w:sz w:val="28"/>
          <w:szCs w:val="28"/>
        </w:rPr>
        <w:t>1、光源发射端</w:t>
      </w:r>
      <w:bookmarkEnd w:id="6"/>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内置红外、紫外光源，高强的蓝宝石镜面，喷砂处理工艺。整个组件为全封闭，不受恶劣环境因素影响。</w:t>
      </w:r>
      <w:bookmarkStart w:id="7" w:name="_Toc26181"/>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2、光源接收端</w:t>
      </w:r>
      <w:bookmarkEnd w:id="7"/>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内置红外传感器，紫外光谱仪。均处于国内外同类产品的先进水平。可对CO、CO2、HC、NO、PM等多种成分进行充分的识别和分析。</w:t>
      </w:r>
    </w:p>
    <w:p>
      <w:pPr>
        <w:pStyle w:val="10"/>
        <w:widowControl/>
        <w:ind w:firstLine="420" w:firstLineChars="150"/>
        <w:rPr>
          <w:rFonts w:hint="eastAsia" w:ascii="宋体" w:hAnsi="宋体" w:eastAsia="宋体" w:cs="宋体"/>
          <w:sz w:val="28"/>
          <w:szCs w:val="28"/>
        </w:rPr>
      </w:pPr>
      <w:bookmarkStart w:id="8" w:name="_Toc13922"/>
      <w:r>
        <w:rPr>
          <w:rFonts w:hint="eastAsia" w:ascii="宋体" w:hAnsi="宋体" w:eastAsia="宋体" w:cs="宋体"/>
          <w:sz w:val="28"/>
          <w:szCs w:val="28"/>
        </w:rPr>
        <w:t>3、光源反射端</w:t>
      </w:r>
      <w:bookmarkEnd w:id="8"/>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光源反射镜，蓝宝石镜面，硬度高，内置减震装置，耐压性强。适用各种路段，各种条件。各种车辆的碾压剐蹭均不会损坏，光源一次反射，最大限度的减少了光源损耗。</w:t>
      </w:r>
    </w:p>
    <w:p>
      <w:pPr>
        <w:pStyle w:val="10"/>
        <w:widowControl/>
        <w:ind w:firstLine="420" w:firstLineChars="150"/>
        <w:rPr>
          <w:rFonts w:hint="eastAsia" w:ascii="宋体" w:hAnsi="宋体" w:eastAsia="宋体" w:cs="宋体"/>
          <w:sz w:val="28"/>
          <w:szCs w:val="28"/>
        </w:rPr>
      </w:pPr>
      <w:bookmarkStart w:id="9" w:name="_Toc8702"/>
      <w:r>
        <w:rPr>
          <w:rFonts w:hint="eastAsia" w:ascii="宋体" w:hAnsi="宋体" w:eastAsia="宋体" w:cs="宋体"/>
          <w:sz w:val="28"/>
          <w:szCs w:val="28"/>
        </w:rPr>
        <w:t>4、速度/加速度检测仪</w:t>
      </w:r>
      <w:bookmarkEnd w:id="9"/>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最新窄波雷达，精确的单车道识别，大大提高了复杂路面情况识别的准确性。加速度的识别，根据多点度量原理，准确计算出车辆的行驶状态，对车辆数据的可靠性提供了更充分的判断条件。</w:t>
      </w:r>
    </w:p>
    <w:p>
      <w:pPr>
        <w:pStyle w:val="10"/>
        <w:widowControl/>
        <w:ind w:firstLine="420" w:firstLineChars="150"/>
        <w:rPr>
          <w:rFonts w:hint="eastAsia" w:ascii="宋体" w:hAnsi="宋体" w:eastAsia="宋体" w:cs="宋体"/>
          <w:sz w:val="28"/>
          <w:szCs w:val="28"/>
        </w:rPr>
      </w:pPr>
      <w:bookmarkStart w:id="10" w:name="_Toc28356"/>
      <w:r>
        <w:rPr>
          <w:rFonts w:hint="eastAsia" w:ascii="宋体" w:hAnsi="宋体" w:eastAsia="宋体" w:cs="宋体"/>
          <w:sz w:val="28"/>
          <w:szCs w:val="28"/>
        </w:rPr>
        <w:t>5、视频车牌捕捉系统</w:t>
      </w:r>
      <w:bookmarkEnd w:id="10"/>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车牌捕捉记录仪，高速摄像机捕捉车牌信息，准确率高达95%以上，夜视补光灯提高夜间牌照识别率。</w:t>
      </w:r>
      <w:bookmarkStart w:id="11" w:name="_Toc12117"/>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6、气象环境监测系统</w:t>
      </w:r>
      <w:bookmarkEnd w:id="11"/>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全数字化高精度传感器，内含超声波风速风向传感器、高精度数字温度、湿度、气压传感器，结构轻巧紧凑，高强度结构设计，可在恶劣气候环境中为遥感测量提供精准环境参数。</w:t>
      </w:r>
    </w:p>
    <w:p>
      <w:pPr>
        <w:pStyle w:val="10"/>
        <w:widowControl/>
        <w:ind w:firstLine="420" w:firstLineChars="150"/>
        <w:rPr>
          <w:rFonts w:hint="eastAsia" w:ascii="宋体" w:hAnsi="宋体" w:eastAsia="宋体" w:cs="宋体"/>
          <w:sz w:val="28"/>
          <w:szCs w:val="28"/>
        </w:rPr>
      </w:pPr>
      <w:r>
        <w:rPr>
          <w:rFonts w:hint="eastAsia" w:ascii="宋体" w:hAnsi="宋体" w:eastAsia="宋体" w:cs="宋体"/>
          <w:sz w:val="28"/>
          <w:szCs w:val="28"/>
        </w:rPr>
        <w:t>7、基础设施</w:t>
      </w:r>
    </w:p>
    <w:p>
      <w:pPr>
        <w:pStyle w:val="10"/>
        <w:widowControl/>
        <w:ind w:firstLine="420" w:firstLineChars="150"/>
        <w:rPr>
          <w:rFonts w:hint="eastAsia"/>
          <w:lang w:val="en-US" w:eastAsia="zh-CN"/>
        </w:rPr>
      </w:pPr>
      <w:r>
        <w:rPr>
          <w:rFonts w:hint="eastAsia" w:ascii="宋体" w:hAnsi="宋体" w:eastAsia="宋体" w:cs="宋体"/>
          <w:sz w:val="28"/>
          <w:szCs w:val="28"/>
        </w:rPr>
        <w:t>现场基础设施建设主要包括龙门架施工建设、L 型杆施工建设，LED 显示屏及杆架施工建设，现场电力及网路施工等部分。所有施工建设均需满足国家及地方相关规范。</w:t>
      </w:r>
    </w:p>
    <w:p>
      <w:pPr>
        <w:pStyle w:val="3"/>
        <w:bidi w:val="0"/>
        <w:jc w:val="left"/>
      </w:pPr>
      <w:bookmarkStart w:id="12" w:name="_Toc32733"/>
      <w:bookmarkStart w:id="13" w:name="_Toc25879"/>
      <w:bookmarkStart w:id="14" w:name="_Toc18506_WPSOffice_Level3"/>
      <w:bookmarkStart w:id="15" w:name="_Toc30433"/>
      <w:bookmarkStart w:id="16" w:name="_Toc20614"/>
      <w:r>
        <w:rPr>
          <w:rFonts w:hint="eastAsia" w:ascii="宋体" w:hAnsi="宋体" w:eastAsia="宋体" w:cs="宋体"/>
          <w:b w:val="0"/>
          <w:bCs w:val="0"/>
          <w:color w:val="000000"/>
          <w:kern w:val="0"/>
          <w:sz w:val="24"/>
          <w:szCs w:val="24"/>
          <w:u w:val="none" w:color="000000"/>
          <w:lang w:val="en-US" w:eastAsia="zh-CN" w:bidi="ar-SA"/>
        </w:rPr>
        <w:t>（二）</w:t>
      </w:r>
      <w:r>
        <w:rPr>
          <w:rFonts w:hint="eastAsia" w:cs="宋体"/>
          <w:b w:val="0"/>
          <w:bCs w:val="0"/>
          <w:color w:val="000000"/>
          <w:kern w:val="0"/>
          <w:sz w:val="24"/>
          <w:szCs w:val="24"/>
          <w:u w:val="none" w:color="000000"/>
          <w:lang w:val="en-US" w:eastAsia="zh-CN" w:bidi="ar-SA"/>
        </w:rPr>
        <w:t xml:space="preserve"> </w:t>
      </w:r>
      <w:r>
        <w:rPr>
          <w:rFonts w:hint="eastAsia" w:ascii="宋体" w:hAnsi="宋体" w:eastAsia="宋体" w:cs="宋体"/>
          <w:b w:val="0"/>
          <w:bCs w:val="0"/>
          <w:color w:val="000000"/>
          <w:kern w:val="0"/>
          <w:sz w:val="24"/>
          <w:szCs w:val="24"/>
          <w:u w:val="none" w:color="000000"/>
          <w:lang w:val="en-US" w:eastAsia="zh-CN" w:bidi="ar-SA"/>
        </w:rPr>
        <w:t>建设内容</w:t>
      </w:r>
      <w:bookmarkEnd w:id="12"/>
      <w:bookmarkEnd w:id="13"/>
      <w:bookmarkEnd w:id="14"/>
      <w:bookmarkEnd w:id="15"/>
      <w:bookmarkEnd w:id="16"/>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建设布点以满足开展固定式遥感监测为主要原则。参照《在用柴油车排气污染物测量方法及技术要求（遥感检测法） HJ 845—2017。》、《汽车污染物排放限值及测量方法（遥感检测法）（二次征求意见稿》等相关文件要求，以及国内外遥感检测实际应用的情况，合适的建设地点应满足以下的基本条件：</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检测地点应使受检车辆具有微小负荷，最好选择具有一定坡度的上坡路面，不应在下坡路面进行测量，同时测量场地应当是适宜安全放置遥测设备，并便于进行后续检测的路面。为了使检测结果更加准确，避免车辆间相互影响，每辆车通过的间隔时间不能小于 1s，前后两辆车通过时间小于 1s的测量结果无效。因此，检测地点不能车流太过密集，且车速不能过快。根据《机动车尾气遥测设备通用技术要求》（JB/T 11996-2014），为使检测结果更加准备，对检测环境还必须满足如下条件：</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无雨、雾、雪；风速≤5.4m/s；环境温度为-10℃~45℃；相对湿度≤85%；大气压力为 70.0kPa~106.0kPa；白天环境光照度不低于 200lux，晚上辅助照明光照度不高于 100lux。此外，为了充分发挥遥感检测设备对超标车的筛查作用，检测地点应该具有较大的车流量，且车流组成中柴油车应占有较高的比例。且为了减少工程投资、施工难度及对道路交通的影响，检测地点周围最好还具备供电和网络传输条件，最好有可供利用的龙门架等现成设施。</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综上所述，固定式遥感检测建设地点应满足如下基本条件：</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（1）位于交通流量较大的重要交通道，以国家高速公路、省级高速公路、国道、省道和城市快速路为主。</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（2）位于柴油货车等高污染车辆通行的主要通道，属于各城市的物流主通道、重要港口集疏通道或重要交通干线等。</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（3）位于具有一定坡度的长上坡路面，且该路段交通流量要适中，每辆车通行的时间间隔一般不应小于 1秒，单车道车流量不超过 1000辆/小时，不能是经常发生拥堵的路段。尽量避开路口及交通信号灯密集区域，防止前后车辆距离过近。</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（4）检测地点应尽可能少雨、雾天气，风速多数时间小于 5米/秒，环境温度在-20～45℃之间，相对湿度≤85%，大气压力在70～106kPa之间。按照上述环境条件要求，检测点一般不应位于海边、高山风口、雨雾比较严重的山区等路段。</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检测地点的供电及网络安装、使用、维护条件方便，需具有稳定的220V电压的供电系统和具备公共网络光纤/宽带或4G信号良好区域。此外要尽量避免在电视信号塔、移动机站等无线信号较强的区域范围内布置监测设备，以防止干扰。</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（6）同一道路（如同一条高速公路）在同一区域范围内有多处满足要求的路段时，在各路段的车流组成情况等变化不大的情况下，优选其中一处作为建设地点。</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（7）选用环境整洁良好的路段，无明显扬尘。要求选在路面平整、没有损毁的位置。避免在低洼可能有积水的路段，历史上排水迅速的路段优先考虑。选点时需考虑：施工便利性、环境兼容性。</w:t>
      </w:r>
    </w:p>
    <w:p>
      <w:pPr>
        <w:pStyle w:val="11"/>
        <w:spacing w:line="360" w:lineRule="auto"/>
        <w:ind w:firstLine="48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（8）同时，监测点应尽量远离工厂及加油站等地点，避免其排放的气体对测量结果造成的影响。</w:t>
      </w:r>
    </w:p>
    <w:p>
      <w:pPr>
        <w:pStyle w:val="6"/>
        <w:ind w:firstLine="54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9）选择道路行车规范遵守情况良好的道路，最好将监测点附近车道画成黄线或实线，避免汽车串道行驶的情况。车道应没有被机动车占用停车的情况，同时车道上的行人，电动车，三轮车数量比较少或者没有，进而提高机动车遥感监测数据的有效率。</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光路测量系统（包含光源发射端、反射端、接收端）</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（1）监测项目：</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一氧化碳（CO）、二氧化碳（CO2）、碳氢化合物（HC）、氮氧化物（NOX）、不透光烟度（PM），可有效监测汽油车、柴油车尾气污染物。</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（2）测量范围：</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1）CO：（0-10）%；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2）CO2：（0-16）%；</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3）HC≤10000ppm；</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4）NOX≤10000ppm；</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5）不透光烟度（PM）为（0-100）%；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（3）测量精度：</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1）CO精度：相对误差为±10%或绝对误差为±0.25%，取最大值；</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2）CO2精度：相对误差为±10%或绝对误差为±0.25%，取最大值；</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3）HC精度：相对误差为±10%或绝对误差为10ppm，取最大值；</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4）NOX精度：相对误差为±10%或绝对误差为20ppm，取最大值；</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5）不透光烟度（PM）精度：绝对误差为±2%或相对误差为±5%，取最大值；</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（4）重复性误差：</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1）CO重复性误差不大于±5%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2）CO2重复性误差不大于±5%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3）HC重复性误差不大于±5%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4）NO重复性误差不大于±5%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5）不透光烟度重复性误差不大于±5%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（5）检出率：车辆在加速状态且尾气排放管后置条件下，有效捕获率大于85%。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（6）功能特性：无人看守，排气污染物检测数据及图片处理时间不大于 1 秒，具备昼夜检测功能。</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（7）自检功能：设备上电后自启，自动对设备各个单元进行检测，并将检测结果反馈给用户。</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（8）光路测量系统安装方式：发射端和反射端安装于龙门架上，垂直于地面，反射端安装于路面。对单车道的通过车辆进行遥感测量，相邻车道之间监测互不影响。</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2、速度/加速度检测系统</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1）速度示值误差＜1.0km/h；</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2）加速度示值误差＜0.2m/s2。。</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3、视频车牌捕捉系统</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1)采用数码摄像机，可调整其焦距、光圈和转向。</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2）可识别牌照颜色和文字，同一车牌号能根据车牌颜色区分；</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3）现场实时正确识别率95%以上；</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4）可以自动删除无效数据、无法识别车牌号的图像信息；</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5）自动学习与校对功能，按可信度对识别牌照排序；</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6）具有背光补偿及强光抑制功能；</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7）图像文件自动传输到计算机并根据时间、车牌号码等信息命名，车牌图像按日期独立存储，以便查阅。</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4、工业控制计算机</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搭载高性能、高可靠、免风扇的工业级无风扇触摸屏平板，安装在主机柜上。板载Intel Broadwell Core处理器 i5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内存：≥4GB硬盘：固态硬盘≥120G</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串口：6个串口，COM2支持RS232/RS422/RS485，其余只支持RS232</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工作温度： -20℃～60℃(要求宽温硬盘、宽温电源)</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相对湿度： 5%～95%，非凝结状体储存温度： -40℃～80℃。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系统结构配置要求：</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工业控制计算机负责调度排气污染物测量分析设备的运行，实现对机动车排气污染因子的遥感检测，需高度集成，提高整体对外界的抗干扰能力和容错能力。</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5、遥感监测系统软件</w:t>
      </w:r>
    </w:p>
    <w:p>
      <w:pPr>
        <w:pStyle w:val="4"/>
        <w:ind w:firstLine="56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用于现场工控机，用于对现场设备统一管理，最终实现监测数据的采集，分析，存储，上传等功能，具体如下：</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1）正版合法软件；</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2）数据库软件平台：Sql-server；</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3）所有软件界面为简体中文，方便使用；</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4）测量数据以数据库记录格式实时记录在硬盘上，同时自动备份，生成文件名中有检测日期。数据记录使用增量记录方式，同一天检测的数据只生成一个文件，并能为用户操作使用；</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5）记录内容为：测量时间、地点、环境参数，车辆行驶中的CO、CO2、HC、NOX、不透光烟度，车辆行驶速度、加速度、车牌，并自动计算VSP，记录容量大于200万组测量数据（可根据需求增加测量数据容量）；</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6）系统具备数据统计、分析、查询能力，统计分析具备临时限值（由统计分析人员临时输入一个限值）进行超标车辆数量和超标比例统计；</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7）可以根据需要实时或通过查询调用车辆信息和检测数据进行检测数据、车辆照片等打印能力，具备统计分析结果与统计分析打印能力；</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8）通过LED显示屏实时显示车辆检测结果。</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9）采用成熟稳定的框架进行设计，具备安全性、稳定性等特点。</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10）系统接入网络，能正常传输数据；环保部门可远程登陆系统，并能导出相关完整数据。</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6、环境气象测量系统</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1）多参数集成设计，可同时测量风速、温度、湿度、大气压力、坡度角度等参数；</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2）可全天候工作，不受暴雨、冰雪、霜冻天气的影响；</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3）测量范围：</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风速：0～20 m/s；</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温度：-40～+80℃；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湿度：0～100% RH</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压力：20～110kPa；</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坡度角度：-15～15°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4）误差</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测量误差风速准确性：±2%；</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温度：±0.5℃；湿度：±1%；</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压力：±0.5kPa；</w:t>
      </w:r>
    </w:p>
    <w:p>
      <w:pPr>
        <w:pStyle w:val="4"/>
        <w:ind w:firstLine="560"/>
        <w:rPr>
          <w:rFonts w:hint="eastAsia" w:ascii="宋体" w:hAnsi="宋体" w:eastAsia="宋体" w:cs="宋体"/>
          <w:color w:val="000000"/>
          <w:sz w:val="28"/>
          <w:szCs w:val="28"/>
          <w:u w:val="none" w:color="000000"/>
          <w:lang w:val="en-US" w:eastAsia="zh-CN" w:bidi="ar-SA"/>
        </w:rPr>
      </w:pP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7、LED显示单元</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1）显示基色三基色。</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2）显示屏大小约为1050mm*1069mm，具体根据实际情况调整，最佳可视距离在 1-150米。</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3）像素点：P10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4）灰度级别：256级</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5）刷新频率大于120帧/秒，帧频大于60帧/秒。通过网路和异步通讯控制，根据环境自动或手动可调节亮度8级以上。</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6）防护等级IP65，恒流驱动。</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7）可视距离：1-200m。</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8）工作湿度：10%~90%。</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9）工作温度：-20℃~+65℃。</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10）使用寿命：＞10万小时。</w:t>
      </w:r>
    </w:p>
    <w:p>
      <w:pPr>
        <w:pStyle w:val="4"/>
        <w:ind w:firstLine="0" w:firstLineChars="0"/>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8、定制化户外机柜</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1）机柜内温度可调，隔热，防震；</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2）制造标准满足IP55要求，防尘、防水、防盗、耐腐处理；</w:t>
      </w:r>
    </w:p>
    <w:p>
      <w:pPr>
        <w:widowControl/>
        <w:spacing w:line="360" w:lineRule="auto"/>
        <w:ind w:firstLine="480"/>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3）具备一定强度，防止轻微碰撞受损；</w:t>
      </w:r>
    </w:p>
    <w:p>
      <w:pPr>
        <w:widowControl/>
        <w:spacing w:line="360" w:lineRule="auto"/>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9、交通龙门架及附属</w:t>
      </w:r>
    </w:p>
    <w:tbl>
      <w:tblPr>
        <w:tblStyle w:val="7"/>
        <w:tblW w:w="0" w:type="auto"/>
        <w:tblInd w:w="-5" w:type="dxa"/>
        <w:tblLayout w:type="fixed"/>
        <w:tblCellMar>
          <w:top w:w="0" w:type="dxa"/>
          <w:left w:w="108" w:type="dxa"/>
          <w:bottom w:w="0" w:type="dxa"/>
          <w:right w:w="108" w:type="dxa"/>
        </w:tblCellMar>
      </w:tblPr>
      <w:tblGrid>
        <w:gridCol w:w="8222"/>
      </w:tblGrid>
      <w:tr>
        <w:tblPrEx>
          <w:tblCellMar>
            <w:top w:w="0" w:type="dxa"/>
            <w:left w:w="108" w:type="dxa"/>
            <w:bottom w:w="0" w:type="dxa"/>
            <w:right w:w="108" w:type="dxa"/>
          </w:tblCellMar>
        </w:tblPrEx>
        <w:trPr>
          <w:trHeight w:val="435"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龙门架基础：规格2000mm*1500mm*1700mm，材质C30商品灰</w:t>
            </w:r>
          </w:p>
        </w:tc>
      </w:tr>
      <w:tr>
        <w:tblPrEx>
          <w:tblCellMar>
            <w:top w:w="0" w:type="dxa"/>
            <w:left w:w="108" w:type="dxa"/>
            <w:bottom w:w="0" w:type="dxa"/>
            <w:right w:w="108" w:type="dxa"/>
          </w:tblCellMar>
        </w:tblPrEx>
        <w:trPr>
          <w:trHeight w:val="42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L杆基础：规格1600mm*1600mm*1600mm，材质C30商品灰</w:t>
            </w:r>
          </w:p>
        </w:tc>
      </w:tr>
      <w:tr>
        <w:tblPrEx>
          <w:tblCellMar>
            <w:top w:w="0" w:type="dxa"/>
            <w:left w:w="108" w:type="dxa"/>
            <w:bottom w:w="0" w:type="dxa"/>
            <w:right w:w="108" w:type="dxa"/>
          </w:tblCellMar>
        </w:tblPrEx>
        <w:trPr>
          <w:trHeight w:val="42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大屏杆基础：规格1600mm*1600mm*1600mm，材质C30商品灰</w:t>
            </w:r>
          </w:p>
        </w:tc>
      </w:tr>
      <w:tr>
        <w:tblPrEx>
          <w:tblCellMar>
            <w:top w:w="0" w:type="dxa"/>
            <w:left w:w="108" w:type="dxa"/>
            <w:bottom w:w="0" w:type="dxa"/>
            <w:right w:w="108" w:type="dxa"/>
          </w:tblCellMar>
        </w:tblPrEx>
        <w:trPr>
          <w:trHeight w:val="51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龙门架立柱：规格Ø219*6，材质镀锌Q235，高度从马路地面到龙门架下平面为5-5.5米</w:t>
            </w:r>
          </w:p>
        </w:tc>
      </w:tr>
      <w:tr>
        <w:tblPrEx>
          <w:tblCellMar>
            <w:top w:w="0" w:type="dxa"/>
            <w:left w:w="108" w:type="dxa"/>
            <w:bottom w:w="0" w:type="dxa"/>
            <w:right w:w="108" w:type="dxa"/>
          </w:tblCellMar>
        </w:tblPrEx>
        <w:trPr>
          <w:trHeight w:val="51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L杆立柱：1支，规格Ø273*8，材质镀锌Q235，高度从马路地面到L杆横杆下平面为5-5.5米</w:t>
            </w:r>
          </w:p>
        </w:tc>
      </w:tr>
      <w:tr>
        <w:tblPrEx>
          <w:tblCellMar>
            <w:top w:w="0" w:type="dxa"/>
            <w:left w:w="108" w:type="dxa"/>
            <w:bottom w:w="0" w:type="dxa"/>
            <w:right w:w="108" w:type="dxa"/>
          </w:tblCellMar>
        </w:tblPrEx>
        <w:trPr>
          <w:trHeight w:val="51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大屏杆立柱：规格Ø325*8，材质镀锌Q235，高度从马路地面到显示屏下平面为5-5.5米</w:t>
            </w:r>
          </w:p>
        </w:tc>
      </w:tr>
      <w:tr>
        <w:tblPrEx>
          <w:tblCellMar>
            <w:top w:w="0" w:type="dxa"/>
            <w:left w:w="108" w:type="dxa"/>
            <w:bottom w:w="0" w:type="dxa"/>
            <w:right w:w="108" w:type="dxa"/>
          </w:tblCellMar>
        </w:tblPrEx>
        <w:trPr>
          <w:trHeight w:val="51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龙门架主桁架柱：规格方管150*150*5，材质镀锌Q235</w:t>
            </w:r>
          </w:p>
        </w:tc>
      </w:tr>
      <w:tr>
        <w:tblPrEx>
          <w:tblCellMar>
            <w:top w:w="0" w:type="dxa"/>
            <w:left w:w="108" w:type="dxa"/>
            <w:bottom w:w="0" w:type="dxa"/>
            <w:right w:w="108" w:type="dxa"/>
          </w:tblCellMar>
        </w:tblPrEx>
        <w:trPr>
          <w:trHeight w:val="51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龙门架次链接柱：规格方管80*80*4，材质镀锌Q235</w:t>
            </w:r>
          </w:p>
        </w:tc>
      </w:tr>
      <w:tr>
        <w:tblPrEx>
          <w:tblCellMar>
            <w:top w:w="0" w:type="dxa"/>
            <w:left w:w="108" w:type="dxa"/>
            <w:bottom w:w="0" w:type="dxa"/>
            <w:right w:w="108" w:type="dxa"/>
          </w:tblCellMar>
        </w:tblPrEx>
        <w:trPr>
          <w:trHeight w:val="3520" w:hRule="atLeast"/>
        </w:trPr>
        <w:tc>
          <w:tcPr>
            <w:tcW w:w="82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28"/>
                <w:szCs w:val="28"/>
                <w:u w:val="none" w:color="000000"/>
                <w:lang w:val="en-US" w:eastAsia="zh-CN" w:bidi="ar-SA"/>
              </w:rPr>
            </w:pPr>
            <w:r>
              <w:rPr>
                <w:rFonts w:hint="eastAsia" w:ascii="宋体" w:hAnsi="宋体" w:eastAsia="宋体" w:cs="宋体"/>
                <w:color w:val="000000"/>
                <w:sz w:val="28"/>
                <w:szCs w:val="28"/>
                <w:u w:val="none" w:color="000000"/>
                <w:lang w:val="en-US" w:eastAsia="zh-CN" w:bidi="ar-SA"/>
              </w:rPr>
              <w:t>安装地基施工及处理</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1）机柜地基应与道路地基隔离，满足在重型车辆通过时的抗震要求。</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2）基坑四壁周围砖砌，中间混领土浇注成型，表层用水泥打平。</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3）预留走线管两根，走线管必须使用防腐防锈钢管，具有一定抗压机耐腐蚀性，直径不小于12cm，走线管一段入土，另一端尽量靠近设备室侧面，以便于走线及后期维护。</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4）地基上端平台宽度不小于30cm，便于使用中机柜的维护与机柜上端设备的检修。</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5）地基平台内侧用于安装空调机柜，根据机柜尺寸及结构，预留紧固装置，平台中心作磨砂处理。</w:t>
            </w:r>
            <w:r>
              <w:rPr>
                <w:rFonts w:hint="eastAsia" w:ascii="宋体" w:hAnsi="宋体" w:eastAsia="宋体" w:cs="宋体"/>
                <w:color w:val="000000"/>
                <w:sz w:val="28"/>
                <w:szCs w:val="28"/>
                <w:u w:val="none" w:color="000000"/>
                <w:lang w:val="en-US" w:eastAsia="zh-CN" w:bidi="ar-SA"/>
              </w:rPr>
              <w:br w:type="textWrapping"/>
            </w:r>
            <w:r>
              <w:rPr>
                <w:rFonts w:hint="eastAsia" w:ascii="宋体" w:hAnsi="宋体" w:eastAsia="宋体" w:cs="宋体"/>
                <w:color w:val="000000"/>
                <w:sz w:val="28"/>
                <w:szCs w:val="28"/>
                <w:u w:val="none" w:color="000000"/>
                <w:lang w:val="en-US" w:eastAsia="zh-CN" w:bidi="ar-SA"/>
              </w:rPr>
              <w:t>6）混凝土道路拆除、机柜下沉箱设计施工，包括所有现场安装设施地基基础。</w:t>
            </w:r>
          </w:p>
        </w:tc>
      </w:tr>
    </w:tbl>
    <w:p>
      <w:pPr>
        <w:pStyle w:val="3"/>
        <w:bidi w:val="0"/>
        <w:jc w:val="left"/>
        <w:rPr>
          <w:rFonts w:hAnsi="宋体" w:cs="宋体"/>
          <w:color w:val="auto"/>
          <w:sz w:val="24"/>
          <w:szCs w:val="24"/>
          <w:lang w:val="en-GB"/>
        </w:rPr>
      </w:pPr>
      <w:r>
        <w:rPr>
          <w:rFonts w:hint="eastAsia"/>
          <w:lang w:val="en-US" w:eastAsia="zh-CN"/>
        </w:rPr>
        <w:t>（三）其他要求</w:t>
      </w:r>
    </w:p>
    <w:p>
      <w:pPr>
        <w:ind w:firstLine="566" w:firstLineChars="236"/>
        <w:rPr>
          <w:rFonts w:hAnsi="宋体" w:cs="宋体"/>
          <w:sz w:val="24"/>
          <w:szCs w:val="24"/>
        </w:rPr>
      </w:pPr>
      <w:r>
        <w:rPr>
          <w:rFonts w:hAnsi="宋体" w:cs="宋体"/>
          <w:sz w:val="24"/>
          <w:szCs w:val="24"/>
        </w:rPr>
        <w:t>交货期和交货地点及付款方式：</w:t>
      </w:r>
    </w:p>
    <w:p>
      <w:pPr>
        <w:ind w:firstLine="566" w:firstLineChars="236"/>
        <w:rPr>
          <w:rFonts w:hAnsi="宋体" w:cs="宋体"/>
          <w:sz w:val="24"/>
          <w:szCs w:val="24"/>
        </w:rPr>
      </w:pPr>
      <w:r>
        <w:rPr>
          <w:rFonts w:hAnsi="宋体" w:cs="宋体"/>
          <w:sz w:val="24"/>
          <w:szCs w:val="24"/>
          <w:highlight w:val="none"/>
        </w:rPr>
        <w:t>交货期：</w:t>
      </w:r>
      <w:r>
        <w:rPr>
          <w:rFonts w:hAnsi="宋体" w:cs="宋体"/>
          <w:sz w:val="24"/>
          <w:szCs w:val="24"/>
        </w:rPr>
        <w:t>合同签订后</w:t>
      </w:r>
      <w:r>
        <w:rPr>
          <w:rFonts w:hint="eastAsia" w:hAnsi="宋体" w:eastAsia="宋体" w:cs="宋体"/>
          <w:sz w:val="24"/>
          <w:szCs w:val="24"/>
          <w:lang w:val="en-US" w:eastAsia="zh-CN"/>
        </w:rPr>
        <w:t>60</w:t>
      </w:r>
      <w:r>
        <w:rPr>
          <w:rFonts w:hAnsi="宋体" w:cs="宋体"/>
          <w:sz w:val="24"/>
          <w:szCs w:val="24"/>
        </w:rPr>
        <w:t xml:space="preserve">天内。 </w:t>
      </w:r>
    </w:p>
    <w:p>
      <w:pPr>
        <w:ind w:firstLine="566" w:firstLineChars="236"/>
        <w:rPr>
          <w:rFonts w:hAnsi="宋体" w:cs="宋体"/>
          <w:sz w:val="24"/>
          <w:szCs w:val="24"/>
        </w:rPr>
      </w:pPr>
      <w:r>
        <w:rPr>
          <w:rFonts w:hAnsi="宋体" w:cs="宋体"/>
          <w:sz w:val="24"/>
          <w:szCs w:val="24"/>
        </w:rPr>
        <w:t xml:space="preserve">交货地点：采购人指定地点。 </w:t>
      </w:r>
    </w:p>
    <w:p>
      <w:pPr>
        <w:spacing w:line="360" w:lineRule="auto"/>
        <w:ind w:firstLine="566" w:firstLineChars="236"/>
        <w:rPr>
          <w:rFonts w:hAnsi="宋体" w:cs="宋体"/>
          <w:sz w:val="24"/>
          <w:szCs w:val="24"/>
        </w:rPr>
      </w:pPr>
      <w:r>
        <w:rPr>
          <w:rFonts w:hAnsi="宋体" w:cs="宋体"/>
          <w:sz w:val="24"/>
          <w:szCs w:val="24"/>
        </w:rPr>
        <w:t>付款方式：</w:t>
      </w:r>
      <w:r>
        <w:rPr>
          <w:rFonts w:ascii="宋体" w:hAnsi="宋体" w:eastAsia="宋体" w:cs="宋体"/>
          <w:color w:val="auto"/>
          <w:sz w:val="24"/>
          <w:szCs w:val="24"/>
        </w:rPr>
        <w:t>本合同签订后7个工作日内，甲方凭乙方开具的正式有效发票向乙方支付合同总金额的</w:t>
      </w:r>
      <w:r>
        <w:rPr>
          <w:rFonts w:ascii="宋体" w:hAnsi="宋体" w:eastAsia="宋体" w:cs="宋体"/>
          <w:color w:val="auto"/>
          <w:sz w:val="24"/>
          <w:szCs w:val="24"/>
          <w:u w:val="single" w:color="auto"/>
        </w:rPr>
        <w:t xml:space="preserve"> </w:t>
      </w:r>
      <w:r>
        <w:rPr>
          <w:rFonts w:hint="eastAsia" w:ascii="宋体" w:hAnsi="宋体" w:eastAsia="宋体" w:cs="宋体"/>
          <w:color w:val="auto"/>
          <w:sz w:val="24"/>
          <w:szCs w:val="24"/>
          <w:u w:val="single" w:color="auto"/>
          <w:lang w:val="en-US" w:eastAsia="zh-CN"/>
        </w:rPr>
        <w:t>3</w:t>
      </w:r>
      <w:r>
        <w:rPr>
          <w:rFonts w:ascii="宋体" w:hAnsi="宋体" w:eastAsia="宋体" w:cs="宋体"/>
          <w:color w:val="auto"/>
          <w:sz w:val="24"/>
          <w:szCs w:val="24"/>
          <w:u w:val="single" w:color="auto"/>
        </w:rPr>
        <w:t xml:space="preserve">0% </w:t>
      </w:r>
      <w:r>
        <w:rPr>
          <w:rFonts w:ascii="宋体" w:hAnsi="宋体" w:eastAsia="宋体" w:cs="宋体"/>
          <w:color w:val="auto"/>
          <w:sz w:val="24"/>
          <w:szCs w:val="24"/>
          <w:u w:val="none" w:color="auto"/>
        </w:rPr>
        <w:t>合同</w:t>
      </w:r>
      <w:r>
        <w:rPr>
          <w:rFonts w:ascii="宋体" w:hAnsi="宋体" w:eastAsia="宋体" w:cs="宋体"/>
          <w:color w:val="auto"/>
          <w:sz w:val="24"/>
          <w:szCs w:val="24"/>
        </w:rPr>
        <w:t>款；</w:t>
      </w:r>
      <w:r>
        <w:rPr>
          <w:rFonts w:hint="eastAsia" w:ascii="宋体" w:hAnsi="宋体" w:eastAsia="宋体" w:cs="宋体"/>
          <w:color w:val="auto"/>
          <w:sz w:val="24"/>
          <w:szCs w:val="24"/>
          <w:lang w:eastAsia="zh-CN"/>
        </w:rPr>
        <w:t>部分主设备进场后</w:t>
      </w:r>
      <w:r>
        <w:rPr>
          <w:rFonts w:hint="eastAsia" w:ascii="宋体" w:hAnsi="宋体" w:eastAsia="宋体" w:cs="宋体"/>
          <w:color w:val="auto"/>
          <w:sz w:val="24"/>
          <w:szCs w:val="24"/>
          <w:lang w:val="en-US" w:eastAsia="zh-CN"/>
        </w:rPr>
        <w:t>7个工作日内</w:t>
      </w:r>
      <w:r>
        <w:rPr>
          <w:rFonts w:hint="eastAsia" w:ascii="宋体" w:hAnsi="宋体" w:eastAsia="宋体" w:cs="宋体"/>
          <w:color w:val="auto"/>
          <w:sz w:val="24"/>
          <w:szCs w:val="24"/>
          <w:lang w:eastAsia="zh-CN"/>
        </w:rPr>
        <w:t>，</w:t>
      </w:r>
      <w:r>
        <w:rPr>
          <w:rFonts w:ascii="宋体" w:hAnsi="宋体" w:eastAsia="宋体" w:cs="宋体"/>
          <w:color w:val="auto"/>
          <w:sz w:val="24"/>
          <w:szCs w:val="24"/>
        </w:rPr>
        <w:t>甲方凭乙方开具的正式有效发票向乙方支付合同总金额的</w:t>
      </w:r>
      <w:r>
        <w:rPr>
          <w:rFonts w:ascii="宋体" w:hAnsi="宋体" w:eastAsia="宋体" w:cs="宋体"/>
          <w:color w:val="auto"/>
          <w:sz w:val="24"/>
          <w:szCs w:val="24"/>
          <w:u w:val="single" w:color="auto"/>
        </w:rPr>
        <w:t xml:space="preserve"> </w:t>
      </w:r>
      <w:r>
        <w:rPr>
          <w:rFonts w:hint="eastAsia" w:ascii="宋体" w:hAnsi="宋体" w:eastAsia="宋体" w:cs="宋体"/>
          <w:color w:val="auto"/>
          <w:sz w:val="24"/>
          <w:szCs w:val="24"/>
          <w:u w:val="single" w:color="auto"/>
          <w:lang w:val="en-US" w:eastAsia="zh-CN"/>
        </w:rPr>
        <w:t>5</w:t>
      </w:r>
      <w:r>
        <w:rPr>
          <w:rFonts w:ascii="宋体" w:hAnsi="宋体" w:eastAsia="宋体" w:cs="宋体"/>
          <w:color w:val="auto"/>
          <w:sz w:val="24"/>
          <w:szCs w:val="24"/>
          <w:u w:val="single" w:color="auto"/>
        </w:rPr>
        <w:t xml:space="preserve">0% </w:t>
      </w:r>
      <w:r>
        <w:rPr>
          <w:rFonts w:ascii="宋体" w:hAnsi="宋体" w:eastAsia="宋体" w:cs="宋体"/>
          <w:color w:val="auto"/>
          <w:sz w:val="24"/>
          <w:szCs w:val="24"/>
          <w:u w:val="none" w:color="auto"/>
        </w:rPr>
        <w:t>合同</w:t>
      </w:r>
      <w:r>
        <w:rPr>
          <w:rFonts w:ascii="宋体" w:hAnsi="宋体" w:eastAsia="宋体" w:cs="宋体"/>
          <w:color w:val="auto"/>
          <w:sz w:val="24"/>
          <w:szCs w:val="24"/>
        </w:rPr>
        <w:t>款</w:t>
      </w:r>
      <w:r>
        <w:rPr>
          <w:rFonts w:hint="eastAsia" w:ascii="宋体" w:hAnsi="宋体" w:eastAsia="宋体" w:cs="宋体"/>
          <w:color w:val="auto"/>
          <w:sz w:val="24"/>
          <w:szCs w:val="24"/>
          <w:lang w:eastAsia="zh-CN"/>
        </w:rPr>
        <w:t>，</w:t>
      </w:r>
      <w:r>
        <w:rPr>
          <w:rFonts w:ascii="宋体" w:hAnsi="宋体" w:eastAsia="宋体" w:cs="宋体"/>
          <w:color w:val="auto"/>
          <w:sz w:val="24"/>
          <w:szCs w:val="24"/>
        </w:rPr>
        <w:t>项目竣工并验收合格</w:t>
      </w:r>
      <w:r>
        <w:rPr>
          <w:rFonts w:hint="eastAsia" w:ascii="宋体" w:hAnsi="宋体" w:eastAsia="宋体" w:cs="宋体"/>
          <w:color w:val="auto"/>
          <w:sz w:val="24"/>
          <w:szCs w:val="24"/>
          <w:lang w:val="en-US" w:eastAsia="zh-CN"/>
        </w:rPr>
        <w:t>7个工作日内</w:t>
      </w:r>
      <w:r>
        <w:rPr>
          <w:rFonts w:ascii="宋体" w:hAnsi="宋体" w:eastAsia="宋体" w:cs="宋体"/>
          <w:color w:val="auto"/>
          <w:sz w:val="24"/>
          <w:szCs w:val="24"/>
        </w:rPr>
        <w:t>，甲方凭乙方开具的正式有效发票支付</w:t>
      </w:r>
      <w:r>
        <w:rPr>
          <w:rFonts w:hint="eastAsia" w:ascii="宋体" w:hAnsi="宋体" w:eastAsia="宋体" w:cs="宋体"/>
          <w:color w:val="auto"/>
          <w:sz w:val="24"/>
          <w:szCs w:val="24"/>
          <w:u w:val="single" w:color="auto"/>
          <w:lang w:val="en-US" w:eastAsia="zh-CN"/>
        </w:rPr>
        <w:t>15</w:t>
      </w:r>
      <w:r>
        <w:rPr>
          <w:rFonts w:ascii="宋体" w:hAnsi="宋体" w:eastAsia="宋体" w:cs="宋体"/>
          <w:color w:val="auto"/>
          <w:sz w:val="24"/>
          <w:szCs w:val="24"/>
          <w:u w:val="single" w:color="auto"/>
        </w:rPr>
        <w:t xml:space="preserve">% </w:t>
      </w:r>
      <w:r>
        <w:rPr>
          <w:rFonts w:ascii="宋体" w:hAnsi="宋体" w:eastAsia="宋体" w:cs="宋体"/>
          <w:color w:val="auto"/>
          <w:sz w:val="24"/>
          <w:szCs w:val="24"/>
          <w:u w:val="none" w:color="auto"/>
        </w:rPr>
        <w:t>合同</w:t>
      </w:r>
      <w:r>
        <w:rPr>
          <w:rFonts w:ascii="宋体" w:hAnsi="宋体" w:eastAsia="宋体" w:cs="宋体"/>
          <w:color w:val="auto"/>
          <w:sz w:val="24"/>
          <w:szCs w:val="24"/>
        </w:rPr>
        <w:t>款</w:t>
      </w:r>
      <w:r>
        <w:rPr>
          <w:rFonts w:hint="eastAsia" w:ascii="宋体" w:hAnsi="宋体" w:eastAsia="宋体" w:cs="宋体"/>
          <w:color w:val="auto"/>
          <w:sz w:val="24"/>
          <w:szCs w:val="24"/>
          <w:lang w:eastAsia="zh-CN"/>
        </w:rPr>
        <w:t>，质保期到期后</w:t>
      </w:r>
      <w:r>
        <w:rPr>
          <w:rFonts w:hint="eastAsia" w:ascii="宋体" w:hAnsi="宋体" w:eastAsia="宋体" w:cs="宋体"/>
          <w:color w:val="auto"/>
          <w:sz w:val="24"/>
          <w:szCs w:val="24"/>
          <w:lang w:val="en-US" w:eastAsia="zh-CN"/>
        </w:rPr>
        <w:t>7个工作日内</w:t>
      </w:r>
      <w:r>
        <w:rPr>
          <w:rFonts w:hint="eastAsia" w:ascii="宋体" w:hAnsi="宋体" w:eastAsia="宋体" w:cs="宋体"/>
          <w:color w:val="auto"/>
          <w:sz w:val="24"/>
          <w:szCs w:val="24"/>
          <w:lang w:eastAsia="zh-CN"/>
        </w:rPr>
        <w:t>，</w:t>
      </w:r>
      <w:r>
        <w:rPr>
          <w:rFonts w:ascii="宋体" w:hAnsi="宋体" w:eastAsia="宋体" w:cs="宋体"/>
          <w:color w:val="auto"/>
          <w:sz w:val="24"/>
          <w:szCs w:val="24"/>
        </w:rPr>
        <w:t>甲方凭乙方开具的正式有效发票支付</w:t>
      </w:r>
      <w:r>
        <w:rPr>
          <w:rFonts w:hint="eastAsia" w:ascii="宋体" w:hAnsi="宋体" w:eastAsia="宋体" w:cs="宋体"/>
          <w:color w:val="auto"/>
          <w:sz w:val="24"/>
          <w:szCs w:val="24"/>
          <w:u w:val="single" w:color="auto"/>
          <w:lang w:val="en-US" w:eastAsia="zh-CN"/>
        </w:rPr>
        <w:t>5</w:t>
      </w:r>
      <w:r>
        <w:rPr>
          <w:rFonts w:ascii="宋体" w:hAnsi="宋体" w:eastAsia="宋体" w:cs="宋体"/>
          <w:color w:val="auto"/>
          <w:sz w:val="24"/>
          <w:szCs w:val="24"/>
          <w:u w:val="single" w:color="auto"/>
        </w:rPr>
        <w:t xml:space="preserve">% </w:t>
      </w:r>
      <w:r>
        <w:rPr>
          <w:rFonts w:ascii="宋体" w:hAnsi="宋体" w:eastAsia="宋体" w:cs="宋体"/>
          <w:color w:val="auto"/>
          <w:sz w:val="24"/>
          <w:szCs w:val="24"/>
          <w:u w:val="none" w:color="auto"/>
        </w:rPr>
        <w:t>合同</w:t>
      </w:r>
      <w:r>
        <w:rPr>
          <w:rFonts w:ascii="宋体" w:hAnsi="宋体" w:eastAsia="宋体" w:cs="宋体"/>
          <w:color w:val="auto"/>
          <w:sz w:val="24"/>
          <w:szCs w:val="24"/>
        </w:rPr>
        <w:t>款</w:t>
      </w:r>
      <w:r>
        <w:rPr>
          <w:rFonts w:hAnsi="宋体" w:cs="宋体"/>
          <w:sz w:val="24"/>
          <w:szCs w:val="24"/>
        </w:rPr>
        <w:t xml:space="preserve">。（具体以合同约定为准） </w:t>
      </w:r>
    </w:p>
    <w:p>
      <w:pPr>
        <w:spacing w:line="520" w:lineRule="exact"/>
        <w:ind w:firstLine="480" w:firstLineChars="200"/>
        <w:rPr>
          <w:rFonts w:hAnsi="宋体"/>
          <w:sz w:val="24"/>
          <w:szCs w:val="24"/>
        </w:rPr>
      </w:pPr>
      <w:r>
        <w:rPr>
          <w:rFonts w:hAnsi="宋体" w:cs="宋体"/>
          <w:sz w:val="24"/>
          <w:szCs w:val="24"/>
        </w:rPr>
        <w:t>3.</w:t>
      </w:r>
      <w:r>
        <w:rPr>
          <w:rFonts w:hint="eastAsia" w:hAnsi="宋体" w:eastAsia="宋体" w:cs="宋体"/>
          <w:sz w:val="24"/>
          <w:szCs w:val="24"/>
          <w:lang w:val="en-US" w:eastAsia="zh-CN"/>
        </w:rPr>
        <w:t>2</w:t>
      </w:r>
      <w:r>
        <w:rPr>
          <w:rFonts w:hAnsi="宋体" w:cs="宋体"/>
          <w:sz w:val="24"/>
          <w:szCs w:val="24"/>
        </w:rPr>
        <w:t>售后服务要求：</w:t>
      </w:r>
      <w:r>
        <w:rPr>
          <w:rFonts w:hAnsi="宋体"/>
          <w:sz w:val="24"/>
          <w:szCs w:val="24"/>
        </w:rPr>
        <w:t>质保期 1 年,质保期自设备验收之日起计算，保修费用已计入总价。供应商提供故障申告电话，7×24小时受理故障申告，在接到故障申告后及时修复故障，故障响应时间不超过3小时，故障恢复时间不超过24小时。质保期内因用户使用、管理不当所造成的损失由用户承担，供应商提供有偿服务。</w:t>
      </w:r>
    </w:p>
    <w:p>
      <w:pPr>
        <w:pStyle w:val="2"/>
        <w:numPr>
          <w:ilvl w:val="0"/>
          <w:numId w:val="0"/>
        </w:numPr>
        <w:snapToGrid w:val="0"/>
        <w:ind w:right="0" w:rightChars="0"/>
        <w:jc w:val="left"/>
        <w:rPr>
          <w:rFonts w:hint="eastAsia" w:ascii="宋体" w:hAnsi="宋体" w:eastAsia="宋体" w:cs="宋体"/>
          <w:b/>
          <w:bCs/>
          <w:lang w:val="en-US" w:eastAsia="zh-CN"/>
        </w:rPr>
      </w:pPr>
    </w:p>
    <w:p>
      <w:pPr>
        <w:pStyle w:val="2"/>
        <w:numPr>
          <w:ilvl w:val="0"/>
          <w:numId w:val="0"/>
        </w:numPr>
        <w:snapToGrid w:val="0"/>
        <w:ind w:right="0" w:rightChars="0"/>
        <w:jc w:val="left"/>
        <w:rPr>
          <w:rFonts w:hint="eastAsia" w:ascii="宋体" w:hAnsi="宋体" w:eastAsia="宋体" w:cs="宋体"/>
          <w:b/>
          <w:bCs/>
          <w:lang w:val="en-US" w:eastAsia="zh-CN"/>
        </w:rPr>
      </w:pPr>
      <w:r>
        <w:rPr>
          <w:rFonts w:hint="eastAsia" w:ascii="宋体" w:hAnsi="宋体" w:eastAsia="宋体" w:cs="宋体"/>
          <w:b/>
          <w:bCs/>
          <w:lang w:val="en-US" w:eastAsia="zh-CN"/>
        </w:rPr>
        <w:t>（四）技术要求表</w:t>
      </w:r>
    </w:p>
    <w:tbl>
      <w:tblPr>
        <w:tblStyle w:val="7"/>
        <w:tblpPr w:leftFromText="180" w:rightFromText="180" w:vertAnchor="text" w:tblpXSpec="center" w:tblpY="1"/>
        <w:tblOverlap w:val="neve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61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排气污染物测量分析设备（垂直式）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监测项目：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可监测机动车污染物：一氧化碳（CO）、二氧化碳（CO2）、碳氢化合物（HC）、氮氧化合物（NO）、不透光烟度、林格曼黑度等排放因子。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1.2</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监测原理：</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点燃式发动机汽车排气污染物排放的CO、CO2、HC、NO测量，应采用非分光红外线吸收型（NDIR）传感器、紫外氘灯、红外可调谐二极管激光（TDL）传感器或其他等效光源。</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压燃式发动机汽车排气烟度测量，其应采用550-570nm波长的绿色发光二极管光源。</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林格曼黑度可使用视频摄像设备进行拍摄。</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的省级及以上计量技术机构出具的机动车尾气排放遥感检测仪光源校准或检定或测试证书（证书内容应包含所涉及到的所有光源类型）复印件或扫描件需附于投标文件中。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1.3</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尾气成分测量范围</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bookmarkStart w:id="17" w:name="OLE_LINK30"/>
            <w:r>
              <w:rPr>
                <w:rFonts w:hint="eastAsia" w:ascii="宋体" w:hAnsi="宋体" w:eastAsia="宋体" w:cs="宋体"/>
                <w:color w:val="auto"/>
                <w:szCs w:val="24"/>
                <w:highlight w:val="none"/>
              </w:rPr>
              <w:t>）</w:t>
            </w:r>
            <w:bookmarkEnd w:id="17"/>
            <w:r>
              <w:rPr>
                <w:rFonts w:hint="eastAsia" w:ascii="宋体" w:hAnsi="宋体" w:eastAsia="宋体" w:cs="宋体"/>
                <w:color w:val="auto"/>
                <w:szCs w:val="24"/>
                <w:highlight w:val="none"/>
              </w:rPr>
              <w:t>CO：0％－10％；</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2）CO2：0％－16％；</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3）HC：0～10000ppm；</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4）NO：0～10000ppm；</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5）不透光烟度0～100%；</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6）林格曼黑度：0-5级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1.4</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尾气成分测量误差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1）CO误差：相对误差±10%或±0.25%绝对误差；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2）CO2误差：相对误差±10%或±0.25%绝对误差；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3）HC误差：相对误差±10%</w:t>
            </w:r>
            <w:bookmarkStart w:id="18" w:name="OLE_LINK2"/>
            <w:r>
              <w:rPr>
                <w:rFonts w:hint="eastAsia" w:ascii="宋体" w:hAnsi="宋体" w:eastAsia="宋体" w:cs="宋体"/>
                <w:color w:val="auto"/>
                <w:szCs w:val="24"/>
                <w:highlight w:val="none"/>
              </w:rPr>
              <w:t>或±10ppm绝对</w:t>
            </w:r>
            <w:bookmarkEnd w:id="18"/>
            <w:r>
              <w:rPr>
                <w:rFonts w:hint="eastAsia" w:ascii="宋体" w:hAnsi="宋体" w:eastAsia="宋体" w:cs="宋体"/>
                <w:color w:val="auto"/>
                <w:szCs w:val="24"/>
                <w:highlight w:val="none"/>
              </w:rPr>
              <w:t>误差；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4）NO误差：相关误差±10%或±20ppm绝对误差；</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5）不透光烟度误差：相对误差的±5%或±2%绝对误差。</w:t>
            </w:r>
          </w:p>
          <w:p>
            <w:pPr>
              <w:pStyle w:val="12"/>
              <w:ind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相对误差和绝对误差，满足其中一项即可。</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的省级或以上政府计量部门出具的固定垂直式机动车遥感监测设备（气体）检定证书（证书内容应满足上述全部误差范围要求）复印件或扫描件需附于投标文件中。</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的省级或以上政府计量部门出具的固定垂直式机动车遥感监测设备（不透光）校准证书（证书内容</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满足上述全部误差范围要求）复印件或扫描件需附于投标文件中。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1.5</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污染物测量重复性：</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CO、CO2、HC、NO、不透光重复性不超过示值允许误差的1/2。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1.6</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污染物测量稳定性：</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遥感检测设备对CO、CO2、HC、NO、不透光各种污染物连续测量1小时，误差不超过遥感检测设备示值允许误差。</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的省级或以上政府计量部门出具的遥感垂直式汽车排放气体检测仪（稳定性实验）校准证书（证书内容</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满足上述污染物测量稳定性要求）复印件或扫描件需附于投标文件中。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1.7</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自动校准功能：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按遥感监测设备校准和检查要求，实现自动标定，在使用过程中，无</w:t>
            </w:r>
            <w:r>
              <w:rPr>
                <w:rFonts w:hint="eastAsia" w:ascii="宋体" w:hAnsi="宋体" w:eastAsia="宋体" w:cs="宋体"/>
                <w:color w:val="auto"/>
                <w:szCs w:val="24"/>
                <w:highlight w:val="none"/>
                <w:lang w:eastAsia="zh-CN"/>
              </w:rPr>
              <w:t>须</w:t>
            </w:r>
            <w:r>
              <w:rPr>
                <w:rFonts w:hint="eastAsia" w:ascii="宋体" w:hAnsi="宋体" w:eastAsia="宋体" w:cs="宋体"/>
                <w:color w:val="auto"/>
                <w:szCs w:val="24"/>
                <w:highlight w:val="none"/>
              </w:rPr>
              <w:t>任何人工操作，并且能进行自动校准功能，并满足国标示值允许误差要求。</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的省级或以上政府计量部门出具的遥感垂直式汽车排放气体检测仪（自动校准测试）测试证书复印件或扫描件需附于投标文件中。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1.8</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多种光源的光路汇聚成一束光路对机动车尾气排放形成的烟团进行数据采集。 </w:t>
            </w:r>
          </w:p>
          <w:p>
            <w:pPr>
              <w:rPr>
                <w:rFonts w:hint="eastAsia" w:ascii="宋体" w:hAnsi="宋体" w:eastAsia="宋体" w:cs="宋体"/>
                <w:b/>
                <w:color w:val="auto"/>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的省级或以上政府计量部门出具的机动车尾气排放遥感检测仪或机动车尾气遥感监测系统（同一光路）的校准证书或检测报告复印件或扫描件需附于投标文件中。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shd w:val="clear" w:color="auto" w:fill="auto"/>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1.9</w:t>
            </w:r>
          </w:p>
        </w:tc>
        <w:tc>
          <w:tcPr>
            <w:tcW w:w="6152" w:type="dxa"/>
            <w:shd w:val="clear" w:color="auto" w:fill="FFFFFF"/>
            <w:noWrap w:val="0"/>
            <w:vAlign w:val="center"/>
          </w:tcPr>
          <w:p>
            <w:pPr>
              <w:shd w:val="clear" w:color="auto" w:fill="FFFFFF"/>
              <w:rPr>
                <w:rFonts w:hint="eastAsia" w:ascii="宋体" w:hAnsi="宋体" w:eastAsia="宋体" w:cs="宋体"/>
                <w:color w:val="auto"/>
                <w:szCs w:val="24"/>
                <w:highlight w:val="none"/>
              </w:rPr>
            </w:pPr>
            <w:r>
              <w:rPr>
                <w:rFonts w:hint="eastAsia" w:ascii="宋体" w:hAnsi="宋体" w:eastAsia="宋体" w:cs="宋体"/>
                <w:color w:val="auto"/>
                <w:szCs w:val="24"/>
                <w:highlight w:val="none"/>
              </w:rPr>
              <w:t>分析响应时间：</w:t>
            </w:r>
          </w:p>
          <w:p>
            <w:pPr>
              <w:shd w:val="clear" w:color="auto" w:fill="FFFFFF"/>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在道路上方架设龙门架，尾气监测设备安装在龙门架上的机柜中，无人看守，有效检测单向光程不小于5米，检测光路由发射单元发出经过反射后回到接收单元，满足精准检测需求；遥测仪分析响应时间不大于 1 秒，具备昼夜检测功能。  </w:t>
            </w:r>
          </w:p>
          <w:p>
            <w:pPr>
              <w:shd w:val="clear" w:color="auto" w:fill="FFFFFF"/>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▲投标人</w:t>
            </w:r>
            <w:r>
              <w:rPr>
                <w:rFonts w:hint="eastAsia" w:ascii="宋体" w:hAnsi="宋体" w:eastAsia="宋体" w:cs="宋体"/>
                <w:b/>
                <w:bCs/>
                <w:color w:val="auto"/>
                <w:szCs w:val="24"/>
                <w:highlight w:val="none"/>
                <w:lang w:eastAsia="zh-CN"/>
              </w:rPr>
              <w:t>需</w:t>
            </w:r>
            <w:r>
              <w:rPr>
                <w:rFonts w:hint="eastAsia" w:ascii="宋体" w:hAnsi="宋体" w:eastAsia="宋体" w:cs="宋体"/>
                <w:b/>
                <w:bCs/>
                <w:color w:val="auto"/>
                <w:szCs w:val="24"/>
                <w:highlight w:val="none"/>
              </w:rPr>
              <w:t>提供</w:t>
            </w:r>
            <w:r>
              <w:rPr>
                <w:rFonts w:hint="default" w:ascii="宋体" w:hAnsi="宋体" w:eastAsia="宋体" w:cs="宋体"/>
                <w:b/>
                <w:bCs/>
                <w:color w:val="auto"/>
                <w:szCs w:val="24"/>
                <w:highlight w:val="none"/>
              </w:rPr>
              <w:t>产品供应商</w:t>
            </w:r>
            <w:r>
              <w:rPr>
                <w:rFonts w:hint="eastAsia" w:ascii="宋体" w:hAnsi="宋体" w:eastAsia="宋体" w:cs="宋体"/>
                <w:b/>
                <w:bCs/>
                <w:color w:val="auto"/>
                <w:szCs w:val="24"/>
                <w:highlight w:val="none"/>
              </w:rPr>
              <w:t>的国家计量部门授权的省级及以上政府法定计量检定机构出具的遥感垂直式汽车排放气体检测仪（响应时间）测试证书（证书内容</w:t>
            </w:r>
            <w:r>
              <w:rPr>
                <w:rFonts w:hint="eastAsia" w:ascii="宋体" w:hAnsi="宋体" w:eastAsia="宋体" w:cs="宋体"/>
                <w:b/>
                <w:bCs/>
                <w:color w:val="auto"/>
                <w:szCs w:val="24"/>
                <w:highlight w:val="none"/>
                <w:lang w:eastAsia="zh-CN"/>
              </w:rPr>
              <w:t>需</w:t>
            </w:r>
            <w:r>
              <w:rPr>
                <w:rFonts w:hint="eastAsia" w:ascii="宋体" w:hAnsi="宋体" w:eastAsia="宋体" w:cs="宋体"/>
                <w:b/>
                <w:bCs/>
                <w:color w:val="auto"/>
                <w:szCs w:val="24"/>
                <w:highlight w:val="none"/>
              </w:rPr>
              <w:t>满足上述遥测仪分析响应时间要求）复印件或扫描件需附于投标文件中。</w:t>
            </w:r>
          </w:p>
          <w:p>
            <w:pPr>
              <w:pStyle w:val="12"/>
              <w:ind w:firstLine="422"/>
              <w:rPr>
                <w:rFonts w:hint="eastAsia" w:ascii="宋体" w:hAnsi="宋体" w:eastAsia="宋体" w:cs="宋体"/>
                <w:color w:val="auto"/>
                <w:highlight w:val="none"/>
              </w:rPr>
            </w:pPr>
            <w:bookmarkStart w:id="19" w:name="_Hlk15397182"/>
            <w:r>
              <w:rPr>
                <w:rFonts w:hint="eastAsia" w:ascii="宋体" w:hAnsi="宋体" w:eastAsia="宋体" w:cs="宋体"/>
                <w:b/>
                <w:bCs/>
                <w:color w:val="auto"/>
                <w:sz w:val="21"/>
                <w:highlight w:val="none"/>
              </w:rPr>
              <w:t>▲投标人</w:t>
            </w:r>
            <w:r>
              <w:rPr>
                <w:rFonts w:hint="eastAsia" w:ascii="宋体" w:hAnsi="宋体" w:eastAsia="宋体" w:cs="宋体"/>
                <w:b/>
                <w:bCs/>
                <w:color w:val="auto"/>
                <w:sz w:val="21"/>
                <w:highlight w:val="none"/>
                <w:lang w:eastAsia="zh-CN"/>
              </w:rPr>
              <w:t>需</w:t>
            </w:r>
            <w:r>
              <w:rPr>
                <w:rFonts w:hint="eastAsia" w:ascii="宋体" w:hAnsi="宋体" w:eastAsia="宋体" w:cs="宋体"/>
                <w:b/>
                <w:bCs/>
                <w:color w:val="auto"/>
                <w:sz w:val="21"/>
                <w:highlight w:val="none"/>
              </w:rPr>
              <w:t>提供</w:t>
            </w:r>
            <w:r>
              <w:rPr>
                <w:rFonts w:hint="default" w:ascii="宋体" w:hAnsi="宋体" w:eastAsia="宋体" w:cs="宋体"/>
                <w:b/>
                <w:bCs/>
                <w:color w:val="auto"/>
                <w:sz w:val="21"/>
                <w:highlight w:val="none"/>
              </w:rPr>
              <w:t>产品供应商</w:t>
            </w:r>
            <w:r>
              <w:rPr>
                <w:rFonts w:hint="eastAsia" w:ascii="宋体" w:hAnsi="宋体" w:eastAsia="宋体" w:cs="宋体"/>
                <w:b/>
                <w:bCs/>
                <w:color w:val="auto"/>
                <w:sz w:val="21"/>
                <w:highlight w:val="none"/>
              </w:rPr>
              <w:t>的国家计量部门授权的省级及以上政府法定计量检定机构出具的遥感垂直式汽车尾气排放检测仪（昼夜检测）测试证书复印件或扫描件需附于投标文件中。</w:t>
            </w:r>
            <w:bookmarkEnd w:id="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1.10</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检测环境要求：</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1）环境温度为-20.0℃~45.0℃范围内；</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2）相对湿度≤85%；</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3）风速≤5m/s；</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4）无雨、雾、雪；</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5）大气压力：70.0kPa~101.4kPa；</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6）无明显扬尘；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速度加速度采集单元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具有机动车速度、加速度测试功能。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1）速度示值误差＜1.0km/h；</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2）加速度示值误差＜0.2m/s</w:t>
            </w:r>
            <w:r>
              <w:rPr>
                <w:rFonts w:hint="eastAsia" w:ascii="宋体" w:hAnsi="宋体" w:eastAsia="宋体" w:cs="宋体"/>
                <w:color w:val="auto"/>
                <w:szCs w:val="24"/>
                <w:highlight w:val="none"/>
                <w:vertAlign w:val="superscript"/>
              </w:rPr>
              <w:t>2</w:t>
            </w:r>
            <w:r>
              <w:rPr>
                <w:rFonts w:hint="eastAsia" w:ascii="宋体" w:hAnsi="宋体" w:eastAsia="宋体" w:cs="宋体"/>
                <w:color w:val="auto"/>
                <w:szCs w:val="24"/>
                <w:highlight w:val="none"/>
              </w:rPr>
              <w:t>。</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的省级或以上政府计量部门出具的固定垂直式机动车遥感监测设备（速度加速度）校准证书（误差</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满足上述示值误差要求）复印件或扫描件需附于投标文件中。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工业控制计算机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3.1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搭载高性能、高可靠、免风扇的工业级无风扇触摸屏平板，安装在主机柜上。板载Intel Broadwell Core处理器 i5</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内存：≥4GB硬盘：固态硬盘≥120G</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串口：6个串口，COM2支持RS232/RS422/RS485，其余只支持RS232</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工作温度： -20℃～60℃(要求宽温硬盘、宽温电源)</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相对湿度： 5%～95%，非凝结状体储存温度： -40℃～80℃。</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系统结构配置要求：</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工业控制计算机负责调度排气污染物测量分析设备的运行，实现对机动车排气污染因子的遥感检测，</w:t>
            </w:r>
            <w:r>
              <w:rPr>
                <w:rFonts w:hint="eastAsia" w:ascii="宋体" w:hAnsi="宋体" w:eastAsia="宋体" w:cs="宋体"/>
                <w:color w:val="auto"/>
                <w:szCs w:val="24"/>
                <w:highlight w:val="none"/>
                <w:lang w:eastAsia="zh-CN"/>
              </w:rPr>
              <w:t>须</w:t>
            </w:r>
            <w:r>
              <w:rPr>
                <w:rFonts w:hint="eastAsia" w:ascii="宋体" w:hAnsi="宋体" w:eastAsia="宋体" w:cs="宋体"/>
                <w:color w:val="auto"/>
                <w:szCs w:val="24"/>
                <w:highlight w:val="none"/>
              </w:rPr>
              <w:t>高度集成，提高整体对外界的抗干扰能力和容错能力。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4</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视频图像采集系统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4.1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摄像机：</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摄像机采用数码摄像机或带有数码图片格式摄取功能的模拟数码摄像机，可调整其焦距、光圈和转向等，并将照片及录像数据传输到实时传送给工控机。摄像头和尾气测量主机的直线距离：8-40m；</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采用1英寸900万像素高帧率彩色全局曝光CMOS高清智能摄像机，最大分辨率可达4096×2160，帧率高达25帧；</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1)抓拍单元防护罩面板具有防尘防水滴功能，且内置LED补光灯，摄像机内置网络防雷；</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2)输出图片格式：JPEG；</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3)支持闪光灯和LED频闪灯同步补光；</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4)使用闪光灯补光时，抓拍图片可看清司乘人员人脸；</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5)支持线圈、视频等触发模式；</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6)支持车牌、车型、车身颜色、车标及车辆子品牌、挂坠、安全带、遮阳板等信息识别；</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7)识别车牌种类多：民用车牌（除5小车辆），警用车牌，2012式新军用车牌，2012式武警车牌，新能源车牌；</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8)支持11种常见颜色（白、灰、黄、粉、红、紫、绿、蓝、棕、黑、青）识别。当采用LED灯补光时，无法保证夜间车身颜色识别率；</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9)可以识别7种车型：大客车、中型客车、大货车、小货车、面包车、小轿车及SUV；</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10)支持车标识别和车辆子品牌识别；</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11)支持车辆检测处理器、雷达、补光灯的接入；</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12)支持远程数据上传，可将抓拍的图片上传给终端服务器、FTP服务器或者后端平台等；</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13）具有防尘、防水滴，网络防雷、防浪涌等功能；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4.2</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号牌识别准确率：</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1）日间号牌号码识别准确率应不小于95%；</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2）夜间号牌号码识别准确率应不小于90%；</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3）号牌种类识别准确率应不小于95%；</w:t>
            </w:r>
          </w:p>
          <w:p>
            <w:pPr>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的公安部交通安全产品质量监督检测中心出具的检测报告复印件或扫描件需附于投标文件中。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4.3</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补光灯</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LED灯补光，车牌牌照能清晰可见；</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可与摄像机同步刷新；</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自带光感，可根据光线强弱自动开关；</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频闪功能：可根据道路状况频闪示警；</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电源：AC220V；</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功率：250W；</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光源：高光LED；</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光色：白；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闪光时间：&lt;1ms；</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触发方式：开关量/电平</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角度：15度/20度/25/30度/45度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5</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▲道路流量监控系统：</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能够统计通过遥感监测设备的车流量信息，30分钟道路车辆统计的平均速度≥30Km/h， 30分钟道路车流量统计有效率≥98%；</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的省级或以上政府计量部门出具的道路流量监控仪测试证书复印件或扫描件需附于投标文件中。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6</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环境气象测量单元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shd w:val="clear" w:color="auto" w:fill="auto"/>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6.1</w:t>
            </w:r>
          </w:p>
        </w:tc>
        <w:tc>
          <w:tcPr>
            <w:tcW w:w="6152" w:type="dxa"/>
            <w:shd w:val="clear" w:color="auto" w:fill="FFFFFF"/>
            <w:noWrap w:val="0"/>
            <w:vAlign w:val="center"/>
          </w:tcPr>
          <w:p>
            <w:pPr>
              <w:numPr>
                <w:ilvl w:val="0"/>
                <w:numId w:val="2"/>
              </w:numPr>
              <w:ind w:left="840" w:hanging="420"/>
              <w:rPr>
                <w:rFonts w:hint="eastAsia" w:ascii="宋体" w:hAnsi="宋体" w:eastAsia="宋体" w:cs="宋体"/>
                <w:color w:val="auto"/>
                <w:highlight w:val="none"/>
              </w:rPr>
            </w:pPr>
            <w:r>
              <w:rPr>
                <w:rFonts w:hint="eastAsia" w:ascii="宋体" w:hAnsi="宋体" w:eastAsia="宋体" w:cs="宋体"/>
                <w:color w:val="auto"/>
                <w:highlight w:val="none"/>
              </w:rPr>
              <w:t>多参数集成设计，可同时测量风速、温度、湿度、大气压力、坡度角度等参数；</w:t>
            </w:r>
          </w:p>
          <w:p>
            <w:pPr>
              <w:numPr>
                <w:ilvl w:val="0"/>
                <w:numId w:val="2"/>
              </w:numPr>
              <w:ind w:left="840" w:hanging="420"/>
              <w:rPr>
                <w:rFonts w:hint="eastAsia" w:ascii="宋体" w:hAnsi="宋体" w:eastAsia="宋体" w:cs="宋体"/>
                <w:color w:val="auto"/>
                <w:highlight w:val="none"/>
              </w:rPr>
            </w:pPr>
            <w:r>
              <w:rPr>
                <w:rFonts w:hint="eastAsia" w:ascii="宋体" w:hAnsi="宋体" w:eastAsia="宋体" w:cs="宋体"/>
                <w:color w:val="auto"/>
                <w:highlight w:val="none"/>
              </w:rPr>
              <w:t>可全天候工作，不受暴雨、冰雪、霜冻天气的影响；</w:t>
            </w:r>
          </w:p>
          <w:p>
            <w:pPr>
              <w:numPr>
                <w:ilvl w:val="0"/>
                <w:numId w:val="2"/>
              </w:numPr>
              <w:ind w:left="840" w:hanging="420"/>
              <w:rPr>
                <w:rFonts w:hint="eastAsia" w:ascii="宋体" w:hAnsi="宋体" w:eastAsia="宋体" w:cs="宋体"/>
                <w:color w:val="auto"/>
                <w:highlight w:val="none"/>
              </w:rPr>
            </w:pPr>
            <w:r>
              <w:rPr>
                <w:rFonts w:hint="eastAsia" w:ascii="宋体" w:hAnsi="宋体" w:eastAsia="宋体" w:cs="宋体"/>
                <w:color w:val="auto"/>
                <w:highlight w:val="none"/>
              </w:rPr>
              <w:t>测量范围：</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风速：0～20 m/s；</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温度：-40～+80℃；</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湿度：0～100% RH</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压力：20～110kPa；</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坡度角度：-15～15°</w:t>
            </w:r>
          </w:p>
          <w:p>
            <w:pPr>
              <w:rPr>
                <w:rFonts w:hint="eastAsia" w:ascii="宋体" w:hAnsi="宋体" w:eastAsia="宋体" w:cs="宋体"/>
                <w:color w:val="auto"/>
                <w:highlight w:val="none"/>
              </w:rPr>
            </w:pPr>
            <w:r>
              <w:rPr>
                <w:rFonts w:hint="eastAsia" w:ascii="宋体" w:hAnsi="宋体" w:eastAsia="宋体" w:cs="宋体"/>
                <w:color w:val="auto"/>
                <w:highlight w:val="none"/>
              </w:rPr>
              <w:t>4）误差</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测量误差风速准确性：±2%；</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温度：±0.5℃；湿度：±1%；</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 xml:space="preserve">压力：±0.5kPa； </w:t>
            </w:r>
          </w:p>
          <w:p>
            <w:pPr>
              <w:rPr>
                <w:rFonts w:hint="eastAsia" w:ascii="宋体" w:hAnsi="宋体" w:eastAsia="宋体" w:cs="宋体"/>
                <w:color w:val="auto"/>
                <w:szCs w:val="24"/>
                <w:highlight w:val="none"/>
              </w:rPr>
            </w:pPr>
            <w:r>
              <w:rPr>
                <w:rFonts w:hint="eastAsia" w:ascii="宋体" w:hAnsi="宋体" w:eastAsia="宋体" w:cs="宋体"/>
                <w:b/>
                <w:bCs/>
                <w:color w:val="auto"/>
                <w:highlight w:val="none"/>
              </w:rPr>
              <w:t>▲投标人</w:t>
            </w:r>
            <w:r>
              <w:rPr>
                <w:rFonts w:hint="eastAsia" w:ascii="宋体" w:hAnsi="宋体" w:eastAsia="宋体" w:cs="宋体"/>
                <w:b/>
                <w:bCs/>
                <w:color w:val="auto"/>
                <w:highlight w:val="none"/>
                <w:lang w:eastAsia="zh-CN"/>
              </w:rPr>
              <w:t>需</w:t>
            </w:r>
            <w:r>
              <w:rPr>
                <w:rFonts w:hint="eastAsia" w:ascii="宋体" w:hAnsi="宋体" w:eastAsia="宋体" w:cs="宋体"/>
                <w:b/>
                <w:bCs/>
                <w:color w:val="auto"/>
                <w:highlight w:val="none"/>
              </w:rPr>
              <w:t>提供</w:t>
            </w:r>
            <w:r>
              <w:rPr>
                <w:rFonts w:hint="default" w:ascii="宋体" w:hAnsi="宋体" w:eastAsia="宋体" w:cs="宋体"/>
                <w:b/>
                <w:bCs/>
                <w:color w:val="auto"/>
                <w:highlight w:val="none"/>
              </w:rPr>
              <w:t>产品供应商</w:t>
            </w:r>
            <w:r>
              <w:rPr>
                <w:rFonts w:hint="eastAsia" w:ascii="宋体" w:hAnsi="宋体" w:eastAsia="宋体" w:cs="宋体"/>
                <w:b/>
                <w:bCs/>
                <w:color w:val="auto"/>
                <w:highlight w:val="none"/>
              </w:rPr>
              <w:t>的省级及以上政府计量部门出具的风速仪测试证书、坡度计（数显角度仪）校准证书、固定垂直式机动车遥感监测设备（温湿度压力）测试证书（测量范围及测量误差</w:t>
            </w:r>
            <w:r>
              <w:rPr>
                <w:rFonts w:hint="eastAsia" w:ascii="宋体" w:hAnsi="宋体" w:eastAsia="宋体" w:cs="宋体"/>
                <w:b/>
                <w:bCs/>
                <w:color w:val="auto"/>
                <w:highlight w:val="none"/>
                <w:lang w:eastAsia="zh-CN"/>
              </w:rPr>
              <w:t>需</w:t>
            </w:r>
            <w:r>
              <w:rPr>
                <w:rFonts w:hint="eastAsia" w:ascii="宋体" w:hAnsi="宋体" w:eastAsia="宋体" w:cs="宋体"/>
                <w:b/>
                <w:bCs/>
                <w:color w:val="auto"/>
                <w:highlight w:val="none"/>
              </w:rPr>
              <w:t>满足上述要求）复印件或扫描件需附于投标文件中。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7</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道路空气质量微型监测系统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7.1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1）监测参数</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气体部分：二氧化硫（SO</w:t>
            </w:r>
            <w:r>
              <w:rPr>
                <w:rFonts w:hint="eastAsia" w:ascii="宋体" w:hAnsi="宋体" w:eastAsia="宋体" w:cs="宋体"/>
                <w:color w:val="auto"/>
                <w:sz w:val="28"/>
                <w:szCs w:val="28"/>
                <w:highlight w:val="none"/>
                <w:vertAlign w:val="subscript"/>
              </w:rPr>
              <w:t>2</w:t>
            </w:r>
            <w:r>
              <w:rPr>
                <w:rFonts w:hint="eastAsia" w:ascii="宋体" w:hAnsi="宋体" w:eastAsia="宋体" w:cs="宋体"/>
                <w:color w:val="auto"/>
                <w:szCs w:val="24"/>
                <w:highlight w:val="none"/>
              </w:rPr>
              <w:t>）、二氧化氮（NO</w:t>
            </w:r>
            <w:r>
              <w:rPr>
                <w:rFonts w:hint="eastAsia" w:ascii="宋体" w:hAnsi="宋体" w:eastAsia="宋体" w:cs="宋体"/>
                <w:color w:val="auto"/>
                <w:sz w:val="28"/>
                <w:szCs w:val="28"/>
                <w:highlight w:val="none"/>
                <w:vertAlign w:val="subscript"/>
              </w:rPr>
              <w:t>2</w:t>
            </w:r>
            <w:r>
              <w:rPr>
                <w:rFonts w:hint="eastAsia" w:ascii="宋体" w:hAnsi="宋体" w:eastAsia="宋体" w:cs="宋体"/>
                <w:color w:val="auto"/>
                <w:szCs w:val="24"/>
                <w:highlight w:val="none"/>
              </w:rPr>
              <w:t>）、臭氧（O</w:t>
            </w:r>
            <w:r>
              <w:rPr>
                <w:rFonts w:hint="eastAsia" w:ascii="宋体" w:hAnsi="宋体" w:eastAsia="宋体" w:cs="宋体"/>
                <w:color w:val="auto"/>
                <w:sz w:val="28"/>
                <w:szCs w:val="28"/>
                <w:highlight w:val="none"/>
                <w:vertAlign w:val="subscript"/>
              </w:rPr>
              <w:t>3</w:t>
            </w:r>
            <w:r>
              <w:rPr>
                <w:rFonts w:hint="eastAsia" w:ascii="宋体" w:hAnsi="宋体" w:eastAsia="宋体" w:cs="宋体"/>
                <w:color w:val="auto"/>
                <w:szCs w:val="24"/>
                <w:highlight w:val="none"/>
              </w:rPr>
              <w:t>）、一氧化碳（CO）</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颗粒物部分：PM</w:t>
            </w:r>
            <w:r>
              <w:rPr>
                <w:rFonts w:hint="eastAsia" w:ascii="宋体" w:hAnsi="宋体" w:eastAsia="宋体" w:cs="宋体"/>
                <w:color w:val="auto"/>
                <w:szCs w:val="24"/>
                <w:highlight w:val="none"/>
                <w:vertAlign w:val="subscript"/>
              </w:rPr>
              <w:t>2.5</w:t>
            </w:r>
            <w:r>
              <w:rPr>
                <w:rFonts w:hint="eastAsia" w:ascii="宋体" w:hAnsi="宋体" w:eastAsia="宋体" w:cs="宋体"/>
                <w:color w:val="auto"/>
                <w:szCs w:val="24"/>
                <w:highlight w:val="none"/>
              </w:rPr>
              <w:t>、PM</w:t>
            </w:r>
            <w:r>
              <w:rPr>
                <w:rFonts w:hint="eastAsia" w:ascii="宋体" w:hAnsi="宋体" w:eastAsia="宋体" w:cs="宋体"/>
                <w:color w:val="auto"/>
                <w:szCs w:val="24"/>
                <w:highlight w:val="none"/>
                <w:vertAlign w:val="subscript"/>
              </w:rPr>
              <w:t>10</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2）测量范围</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二氧化硫（SO</w:t>
            </w:r>
            <w:r>
              <w:rPr>
                <w:rFonts w:hint="eastAsia" w:ascii="宋体" w:hAnsi="宋体" w:eastAsia="宋体" w:cs="宋体"/>
                <w:color w:val="auto"/>
                <w:szCs w:val="24"/>
                <w:highlight w:val="none"/>
                <w:vertAlign w:val="subscript"/>
              </w:rPr>
              <w:t>2</w:t>
            </w:r>
            <w:r>
              <w:rPr>
                <w:rFonts w:hint="eastAsia" w:ascii="宋体" w:hAnsi="宋体" w:eastAsia="宋体" w:cs="宋体"/>
                <w:color w:val="auto"/>
                <w:szCs w:val="24"/>
                <w:highlight w:val="none"/>
              </w:rPr>
              <w:t>）：（0～500）nmol/mol；</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二氧化氮（NO</w:t>
            </w:r>
            <w:r>
              <w:rPr>
                <w:rFonts w:hint="eastAsia" w:ascii="宋体" w:hAnsi="宋体" w:eastAsia="宋体" w:cs="宋体"/>
                <w:color w:val="auto"/>
                <w:szCs w:val="24"/>
                <w:highlight w:val="none"/>
                <w:vertAlign w:val="subscript"/>
              </w:rPr>
              <w:t>2</w:t>
            </w:r>
            <w:r>
              <w:rPr>
                <w:rFonts w:hint="eastAsia" w:ascii="宋体" w:hAnsi="宋体" w:eastAsia="宋体" w:cs="宋体"/>
                <w:color w:val="auto"/>
                <w:szCs w:val="24"/>
                <w:highlight w:val="none"/>
              </w:rPr>
              <w:t>）：（0～500）nmol/mol；</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一氧化碳（CO）：（0～50）μmol/mol；</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臭氧（O</w:t>
            </w:r>
            <w:r>
              <w:rPr>
                <w:rFonts w:hint="eastAsia" w:ascii="宋体" w:hAnsi="宋体" w:eastAsia="宋体" w:cs="宋体"/>
                <w:color w:val="auto"/>
                <w:szCs w:val="24"/>
                <w:highlight w:val="none"/>
                <w:vertAlign w:val="subscript"/>
              </w:rPr>
              <w:t>3</w:t>
            </w:r>
            <w:r>
              <w:rPr>
                <w:rFonts w:hint="eastAsia" w:ascii="宋体" w:hAnsi="宋体" w:eastAsia="宋体" w:cs="宋体"/>
                <w:color w:val="auto"/>
                <w:szCs w:val="24"/>
                <w:highlight w:val="none"/>
              </w:rPr>
              <w:t>）：（0～500）nmol/mol；</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PM</w:t>
            </w:r>
            <w:r>
              <w:rPr>
                <w:rFonts w:hint="eastAsia" w:ascii="宋体" w:hAnsi="宋体" w:eastAsia="宋体" w:cs="宋体"/>
                <w:color w:val="auto"/>
                <w:szCs w:val="24"/>
                <w:highlight w:val="none"/>
                <w:vertAlign w:val="subscript"/>
              </w:rPr>
              <w:t>2.5</w:t>
            </w:r>
            <w:r>
              <w:rPr>
                <w:rFonts w:hint="eastAsia" w:ascii="宋体" w:hAnsi="宋体" w:eastAsia="宋体" w:cs="宋体"/>
                <w:color w:val="auto"/>
                <w:szCs w:val="24"/>
                <w:highlight w:val="none"/>
              </w:rPr>
              <w:t>：（0.01～2000）μg/m3</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PM</w:t>
            </w:r>
            <w:r>
              <w:rPr>
                <w:rFonts w:hint="eastAsia" w:ascii="宋体" w:hAnsi="宋体" w:eastAsia="宋体" w:cs="宋体"/>
                <w:color w:val="auto"/>
                <w:szCs w:val="24"/>
                <w:highlight w:val="none"/>
                <w:vertAlign w:val="subscript"/>
              </w:rPr>
              <w:t>10</w:t>
            </w:r>
            <w:r>
              <w:rPr>
                <w:rFonts w:hint="eastAsia" w:ascii="宋体" w:hAnsi="宋体" w:eastAsia="宋体" w:cs="宋体"/>
                <w:color w:val="auto"/>
                <w:szCs w:val="24"/>
                <w:highlight w:val="none"/>
              </w:rPr>
              <w:t>：（0.01～2000）μg/m3</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3）重复性（%）：</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二氧化硫（SO</w:t>
            </w:r>
            <w:r>
              <w:rPr>
                <w:rFonts w:hint="eastAsia" w:ascii="宋体" w:hAnsi="宋体" w:eastAsia="宋体" w:cs="宋体"/>
                <w:color w:val="auto"/>
                <w:szCs w:val="24"/>
                <w:highlight w:val="none"/>
                <w:vertAlign w:val="subscript"/>
              </w:rPr>
              <w:t>2</w:t>
            </w:r>
            <w:r>
              <w:rPr>
                <w:rFonts w:hint="eastAsia" w:ascii="宋体" w:hAnsi="宋体" w:eastAsia="宋体" w:cs="宋体"/>
                <w:color w:val="auto"/>
                <w:szCs w:val="24"/>
                <w:highlight w:val="none"/>
              </w:rPr>
              <w:t>）：不大于1.0； 臭氧（O</w:t>
            </w:r>
            <w:r>
              <w:rPr>
                <w:rFonts w:hint="eastAsia" w:ascii="宋体" w:hAnsi="宋体" w:eastAsia="宋体" w:cs="宋体"/>
                <w:color w:val="auto"/>
                <w:szCs w:val="24"/>
                <w:highlight w:val="none"/>
                <w:vertAlign w:val="subscript"/>
              </w:rPr>
              <w:t>3</w:t>
            </w:r>
            <w:r>
              <w:rPr>
                <w:rFonts w:hint="eastAsia" w:ascii="宋体" w:hAnsi="宋体" w:eastAsia="宋体" w:cs="宋体"/>
                <w:color w:val="auto"/>
                <w:szCs w:val="24"/>
                <w:highlight w:val="none"/>
              </w:rPr>
              <w:t>）：不大于1.5；</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二氧化氮（NO</w:t>
            </w:r>
            <w:r>
              <w:rPr>
                <w:rFonts w:hint="eastAsia" w:ascii="宋体" w:hAnsi="宋体" w:eastAsia="宋体" w:cs="宋体"/>
                <w:color w:val="auto"/>
                <w:szCs w:val="24"/>
                <w:highlight w:val="none"/>
                <w:vertAlign w:val="subscript"/>
              </w:rPr>
              <w:t>2</w:t>
            </w:r>
            <w:r>
              <w:rPr>
                <w:rFonts w:hint="eastAsia" w:ascii="宋体" w:hAnsi="宋体" w:eastAsia="宋体" w:cs="宋体"/>
                <w:color w:val="auto"/>
                <w:szCs w:val="24"/>
                <w:highlight w:val="none"/>
              </w:rPr>
              <w:t>）：不大于1.3； PM</w:t>
            </w:r>
            <w:r>
              <w:rPr>
                <w:rFonts w:hint="eastAsia" w:ascii="宋体" w:hAnsi="宋体" w:eastAsia="宋体" w:cs="宋体"/>
                <w:color w:val="auto"/>
                <w:szCs w:val="24"/>
                <w:highlight w:val="none"/>
                <w:vertAlign w:val="subscript"/>
              </w:rPr>
              <w:t>2.5</w:t>
            </w:r>
            <w:r>
              <w:rPr>
                <w:rFonts w:hint="eastAsia" w:ascii="宋体" w:hAnsi="宋体" w:eastAsia="宋体" w:cs="宋体"/>
                <w:color w:val="auto"/>
                <w:szCs w:val="24"/>
                <w:highlight w:val="none"/>
              </w:rPr>
              <w:t>：不大于1.5</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一氧化碳（CO）：不大于0.5； PM</w:t>
            </w:r>
            <w:r>
              <w:rPr>
                <w:rFonts w:hint="eastAsia" w:ascii="宋体" w:hAnsi="宋体" w:eastAsia="宋体" w:cs="宋体"/>
                <w:color w:val="auto"/>
                <w:szCs w:val="24"/>
                <w:highlight w:val="none"/>
                <w:vertAlign w:val="subscript"/>
              </w:rPr>
              <w:t>10</w:t>
            </w:r>
            <w:r>
              <w:rPr>
                <w:rFonts w:hint="eastAsia" w:ascii="宋体" w:hAnsi="宋体" w:eastAsia="宋体" w:cs="宋体"/>
                <w:color w:val="auto"/>
                <w:szCs w:val="24"/>
                <w:highlight w:val="none"/>
              </w:rPr>
              <w:t>：不大于1.3</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的省级及以上计量技术机构出具的道路空气质量微型监测仪校准证书（监测参数、测量范围、重复性</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满足上述全部要求，否则不得分）复印件或扫描件需附于投标文件中。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8</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安防摄像机：</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1）垂直方向360°连续旋转, 垂直方向-5°-185°, 无监视盲区；</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垂直预置点速度最高可达150°/s, 垂直预置点速度最高可达100°/s；</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垂直键控速度为0.1° -150°/s, 垂直键控速度为0.1° -100°/s；</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2）支持256个预置位, 并具有预置点视频冻结功能；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支持8条巡航扫描, 每条可添加32个预置点；</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支持4条花样扫描, 每条路径记录时间大于10分钟；</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支持比例变倍功能, 旋转速度可以根据镜头变倍倍数自动调整；</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支持守望功能, 预置点/花样扫描/巡航扫描/垂直扫描/垂直扫描/随机扫描/帧扫描/全景扫描可在空闲状态停留指定时间后自动调用(包括上电后进入的空闲状态)；</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支持报警功能, 内置2路报警输入（7路可选）和2路报警输出, 支持报警联动, 可在报警后触发调用预置点/巡航扫描/花样扫描/SD卡录像/触发开关量输出/客户端电子地图。</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3）网络功能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采用H.264视频压缩算法和TI高性价比的最新达芬奇处理芯片和平台, 性能可靠稳定；</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支持以太网控制, 同时支持模拟接入；</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可通过IE浏览器和客户端软件观看图像并实现控制；</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4）支持SDHC卡和标准的SD卡存储；</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5）支持三级用户权限管理；支持双码流技术；</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6）支持多种网络协议, TCP/IP,HTTP,DHCP,DNS,RTP/RTCP,PPPoE、RTSP、SMTP,NTP（FTP,SNMP 可添加）；</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硬盘录像机：</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1.可接入带宽≥80Mbps的8路H.265编码、1080p格式的视频图像。</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2.支持1路HDMI、1路VGA输出，支持4K输出显示，HDMI或VGA接口可输出不同图像，并可分别进行预览、回放、配置等操作。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9</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遥感检测控制软件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所有软件界面为简体中文，系统所有软件与windows系统兼容，B/S 架构，方便管理者查看设备运行状态和检索检测数据。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.2</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数据库软件平台：MySql或Sql server 或Oracle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.3</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系统在开启电源后自动启动，并对系统的各单元进行自动检测，同时将检测结果给予显示；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.4</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录像完整并压缩1/4，能储存所有车辆的视频和图像照片，照片和数据应存放在独立文件夹中，车辆图像照片文件名用识别车牌和日期时间组合命名，以便于查找；</w:t>
            </w: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的视频图像压缩检索软件计算机软件著作权登记证书复印件或扫描件需附于投标文件中。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.5</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检测数据以数据库记录格式实时记录在硬盘上，同时自动备份，生成文件名中有检测日期。数据记录使用增量记录方式，同一天检测的数据只生成一个文件，并能为用户操作使用；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.6</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记录内容为：</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检测时间、地点（经纬度）、仪器操作人员、车辆行驶中的CO、CO</w:t>
            </w:r>
            <w:r>
              <w:rPr>
                <w:rFonts w:hint="eastAsia" w:ascii="宋体" w:hAnsi="宋体" w:eastAsia="宋体" w:cs="宋体"/>
                <w:color w:val="auto"/>
                <w:szCs w:val="24"/>
                <w:highlight w:val="none"/>
                <w:vertAlign w:val="subscript"/>
              </w:rPr>
              <w:t>2</w:t>
            </w:r>
            <w:r>
              <w:rPr>
                <w:rFonts w:hint="eastAsia" w:ascii="宋体" w:hAnsi="宋体" w:eastAsia="宋体" w:cs="宋体"/>
                <w:color w:val="auto"/>
                <w:szCs w:val="24"/>
                <w:highlight w:val="none"/>
              </w:rPr>
              <w:t>、HC、NO、不透光烟度、道路坡度、相对湿度、环境温度、风速风向、车辆行驶速度、加速度、林格曼黑度、车牌号码、车牌颜色、车型、照片文件名等，记录容量应大于50万组测量数据（或仅限计算机记录容量限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.7</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数据格式及接口所检项目应符合GA/T 497-2016《道路车辆智能监测记录系统通用技术条件》。</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w:t>
            </w:r>
            <w:r>
              <w:rPr>
                <w:rFonts w:hint="eastAsia" w:ascii="宋体" w:hAnsi="宋体" w:eastAsia="宋体" w:cs="宋体"/>
                <w:color w:val="auto"/>
                <w:szCs w:val="24"/>
                <w:highlight w:val="none"/>
              </w:rPr>
              <w:t>数据上传延时率要求：对比上传数据的过车时间与入库时间，延迟时间超过8秒的比率应低于5%</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w:t>
            </w:r>
            <w:r>
              <w:rPr>
                <w:rFonts w:hint="eastAsia" w:ascii="宋体" w:hAnsi="宋体" w:eastAsia="宋体" w:cs="宋体"/>
                <w:color w:val="auto"/>
                <w:szCs w:val="24"/>
                <w:highlight w:val="none"/>
              </w:rPr>
              <w:t>数据上传稳定性要求：（1）断网后或接入服务重启情况下，系统应支持自动恢复重传。（2）系统应具有遗漏数据补传功能。</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的公安部交通安全产品质量监督检测中心出具的检测报告复印件或扫描件需附于投标文件中。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.8</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系统应设置两级管理权限，两级管理权限如下：</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系统管理员需要密码登录，可以管理系统的所有功能，包括数据、车辆信息、限值与判别限值的修改或导入等；</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检测员只具备检测权限和对记录数据、相关检测信息、车辆信息等的阅览权限，具备数据分析、统计、查询等权限。不具备相关修改权限。</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的气体遥感监测软件计算机软件著作权登记证书复印件或扫描件需附于投标文件中。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.9</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要求系统应具备数据统计、分析、查询能力，至少应具备检测量、超标数量、超标比例统计分析，具备综合查询和特例查询能力。统计分析应具备临时限值（由统计分析人员临时输入一个限值）进行超标车辆数量和超标比例统计。</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的遥测分析应用软件计算机软件著作权登记证书复印件或扫描件需附于投标文件中。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.10</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要求可以根据需要实时或通过查询调用车辆信息和检测数据进行检测数据、车辆照片等打印能力，具备统计分析结果导出功能；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处罚跟踪管理：遥测、路检和黑烟车模块均从处罚信息的生成开始，用户可追踪整个处罚过程，如处罚单和缴款单的寄送、是否复检、是否缴费、是否逾期等。对关键环节提供短信通知的功能，可短信告知车主、短信告知业务监管人员</w:t>
            </w:r>
          </w:p>
          <w:p>
            <w:pP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w:t>
            </w: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w:t>
            </w:r>
            <w:bookmarkStart w:id="20" w:name="_Hlk15401195"/>
            <w:r>
              <w:rPr>
                <w:rFonts w:hint="eastAsia" w:ascii="宋体" w:hAnsi="宋体" w:eastAsia="宋体" w:cs="宋体"/>
                <w:b/>
                <w:color w:val="auto"/>
                <w:szCs w:val="24"/>
                <w:highlight w:val="none"/>
              </w:rPr>
              <w:t>尾气污染处罚软件</w:t>
            </w:r>
            <w:bookmarkEnd w:id="20"/>
            <w:r>
              <w:rPr>
                <w:rFonts w:hint="eastAsia" w:ascii="宋体" w:hAnsi="宋体" w:eastAsia="宋体" w:cs="宋体"/>
                <w:b/>
                <w:color w:val="auto"/>
                <w:szCs w:val="24"/>
                <w:highlight w:val="none"/>
              </w:rPr>
              <w:t>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.12</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视频监控:监测点位实时监控视频，按要求保存监测点位的历史视频。</w:t>
            </w:r>
          </w:p>
          <w:p>
            <w:pP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w:t>
            </w: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的机动车遥感监测在线实时监控及显示系统计算机软件著作权登记证书复印件或扫描件需附于投标文件中。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.13</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道路测试设备与主控计算机采取有线数据传输。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.14</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后处理软件：能够按车牌、车型、燃油类型、排放数据、速度、加速度等进行自动汇总、整理、统计、对比、分析和存储，能实时打印超标车辆的牌照、检测测量值、车辆照片等相关参数。并能根据客户实际需求提供远程数据传输和查询功能。</w:t>
            </w:r>
          </w:p>
          <w:p>
            <w:pPr>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▲投标人</w:t>
            </w:r>
            <w:r>
              <w:rPr>
                <w:rFonts w:hint="eastAsia" w:ascii="宋体" w:hAnsi="宋体" w:eastAsia="宋体" w:cs="宋体"/>
                <w:b/>
                <w:color w:val="auto"/>
                <w:szCs w:val="24"/>
                <w:highlight w:val="none"/>
                <w:lang w:eastAsia="zh-CN"/>
              </w:rPr>
              <w:t>需</w:t>
            </w:r>
            <w:r>
              <w:rPr>
                <w:rFonts w:hint="eastAsia" w:ascii="宋体" w:hAnsi="宋体" w:eastAsia="宋体" w:cs="宋体"/>
                <w:b/>
                <w:color w:val="auto"/>
                <w:szCs w:val="24"/>
                <w:highlight w:val="none"/>
              </w:rPr>
              <w:t>提供</w:t>
            </w:r>
            <w:r>
              <w:rPr>
                <w:rFonts w:hint="default" w:ascii="宋体" w:hAnsi="宋体" w:eastAsia="宋体" w:cs="宋体"/>
                <w:b/>
                <w:color w:val="auto"/>
                <w:szCs w:val="24"/>
                <w:highlight w:val="none"/>
              </w:rPr>
              <w:t>产品供应商</w:t>
            </w:r>
            <w:r>
              <w:rPr>
                <w:rFonts w:hint="eastAsia" w:ascii="宋体" w:hAnsi="宋体" w:eastAsia="宋体" w:cs="宋体"/>
                <w:b/>
                <w:color w:val="auto"/>
                <w:szCs w:val="24"/>
                <w:highlight w:val="none"/>
              </w:rPr>
              <w:t>的环境气体排放监管软件计算机软件著作权登记证书复印件或扫描件需附于投标文件中。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.15</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系统具备限行车辆自动筛选功能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.16</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远程维护管理功能：</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应能通过网络实现数据传输、远程访问、远程维护管理等功能；应提供方便的遥测网络数据管理及查询、筛选等操作手段，满足用户的管理需要；用户既可以在系统运行现场进行控制操作，又能进行远程标定等常规操作和与中心其它系统或平台的数据共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.17</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能够统计通过遥感监测设备的车流量信息，并且可按车型分类统计；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0</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龙门架、显示屏等基础建设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LED 单色户外信息屏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1）信息屏下沿高度≥5m。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2）立杆和支架采用钢制热镀锌管。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3）立杆和支架具备抗震、抗风、抗撞击、防腐能力。</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4）屏幕面积：≥2m</w:t>
            </w:r>
            <w:r>
              <w:rPr>
                <w:rFonts w:hint="eastAsia" w:ascii="宋体" w:hAnsi="宋体" w:eastAsia="宋体" w:cs="宋体"/>
                <w:color w:val="auto"/>
                <w:szCs w:val="24"/>
                <w:highlight w:val="none"/>
                <w:vertAlign w:val="superscript"/>
              </w:rPr>
              <w:t>2</w:t>
            </w:r>
            <w:r>
              <w:rPr>
                <w:rFonts w:hint="eastAsia" w:ascii="宋体" w:hAnsi="宋体" w:eastAsia="宋体" w:cs="宋体"/>
                <w:color w:val="auto"/>
                <w:szCs w:val="24"/>
                <w:highlight w:val="none"/>
              </w:rPr>
              <w:t xml:space="preserve"> 。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5）平均光强：≥3000cd/平方米（法线方向）。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6）刷新频率：≥120 帧/秒。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7）帧频：≥60 帧/秒。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8）可视距离：10-150m。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9）工作湿度：10%-90%。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10）工作温度：-20℃～65℃。 </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11）使用寿命：≥8 万小时。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数据联网服务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.1</w:t>
            </w:r>
          </w:p>
        </w:tc>
        <w:tc>
          <w:tcPr>
            <w:tcW w:w="6152"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数据联网与数据共享：预留与环保、公安、交通等管理部门的数据共享功能，系统满足公安部交通管理综合应用平台外挂系统（接入安全要求）、《在用机动车排放检验信息系统及联网规范（试行）》及《机动车遥感监测平台联网规范（试行）》等标准规范要求；实现遥感监测数据和机动车尾气检验系统的数据交互共享；可实现遥感数据的市、省、国家三级联网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2</w:t>
            </w:r>
          </w:p>
        </w:tc>
        <w:tc>
          <w:tcPr>
            <w:tcW w:w="6152" w:type="dxa"/>
            <w:noWrap w:val="0"/>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本地化服务</w:t>
            </w:r>
            <w:bookmarkStart w:id="21" w:name="_GoBack"/>
            <w:bookmarkEnd w:id="21"/>
          </w:p>
          <w:p>
            <w:pPr>
              <w:rPr>
                <w:rFonts w:hint="eastAsia" w:ascii="宋体" w:hAnsi="宋体" w:eastAsia="宋体" w:cs="宋体"/>
                <w:color w:val="auto"/>
                <w:highlight w:val="none"/>
              </w:rPr>
            </w:pPr>
            <w:r>
              <w:rPr>
                <w:rFonts w:hint="eastAsia" w:ascii="宋体" w:hAnsi="宋体" w:eastAsia="宋体" w:cs="宋体"/>
                <w:color w:val="auto"/>
                <w:highlight w:val="none"/>
              </w:rPr>
              <w:t>提供本地化服务，实现及时响应，及时排除故障。本地化服务人员不少于2人，中标人在接报后 1 小时内响应 ，24 小时内到达现场，48 小时内处理完毕。若在 48 小时内仍未能有效解决，中标人</w:t>
            </w:r>
            <w:r>
              <w:rPr>
                <w:rFonts w:hint="eastAsia" w:ascii="宋体" w:hAnsi="宋体" w:eastAsia="宋体" w:cs="宋体"/>
                <w:color w:val="auto"/>
                <w:highlight w:val="none"/>
                <w:lang w:eastAsia="zh-CN"/>
              </w:rPr>
              <w:t>需</w:t>
            </w:r>
            <w:r>
              <w:rPr>
                <w:rFonts w:hint="eastAsia" w:ascii="宋体" w:hAnsi="宋体" w:eastAsia="宋体" w:cs="宋体"/>
                <w:color w:val="auto"/>
                <w:highlight w:val="none"/>
              </w:rPr>
              <w:t>免费提供同等配置的设备予采购人临时使用。</w:t>
            </w:r>
          </w:p>
          <w:p>
            <w:pPr>
              <w:tabs>
                <w:tab w:val="left" w:pos="7629"/>
              </w:tabs>
              <w:rPr>
                <w:rFonts w:hint="eastAsia" w:ascii="宋体" w:hAnsi="宋体" w:eastAsia="宋体" w:cs="宋体"/>
                <w:color w:val="auto"/>
                <w:szCs w:val="24"/>
                <w:highlight w:val="none"/>
                <w:lang w:eastAsia="zh-CN"/>
              </w:rPr>
            </w:pPr>
            <w:r>
              <w:rPr>
                <w:rFonts w:hint="eastAsia" w:ascii="宋体" w:hAnsi="宋体" w:eastAsia="宋体" w:cs="宋体"/>
                <w:b/>
                <w:color w:val="auto"/>
                <w:highlight w:val="none"/>
              </w:rPr>
              <w:t>▲投标人</w:t>
            </w:r>
            <w:r>
              <w:rPr>
                <w:rFonts w:hint="eastAsia" w:ascii="宋体" w:hAnsi="宋体" w:eastAsia="宋体" w:cs="宋体"/>
                <w:b/>
                <w:color w:val="auto"/>
                <w:highlight w:val="none"/>
                <w:lang w:eastAsia="zh-CN"/>
              </w:rPr>
              <w:t>需</w:t>
            </w:r>
            <w:r>
              <w:rPr>
                <w:rFonts w:hint="eastAsia" w:ascii="宋体" w:hAnsi="宋体" w:eastAsia="宋体" w:cs="宋体"/>
                <w:b/>
                <w:color w:val="auto"/>
                <w:highlight w:val="none"/>
              </w:rPr>
              <w:t>提供相应人员在本省缴纳近</w:t>
            </w:r>
            <w:r>
              <w:rPr>
                <w:rFonts w:hint="eastAsia" w:ascii="宋体" w:hAnsi="宋体" w:eastAsia="宋体" w:cs="宋体"/>
                <w:b/>
                <w:color w:val="auto"/>
                <w:highlight w:val="none"/>
                <w:lang w:val="en-US" w:eastAsia="zh-CN"/>
              </w:rPr>
              <w:t>1</w:t>
            </w:r>
            <w:r>
              <w:rPr>
                <w:rFonts w:hint="eastAsia" w:ascii="宋体" w:hAnsi="宋体" w:eastAsia="宋体" w:cs="宋体"/>
                <w:b/>
                <w:color w:val="auto"/>
                <w:highlight w:val="none"/>
              </w:rPr>
              <w:t>个月的社保证明。</w:t>
            </w:r>
            <w:r>
              <w:rPr>
                <w:rStyle w:val="9"/>
                <w:rFonts w:hint="eastAsia" w:ascii="宋体" w:hAnsi="宋体" w:eastAsia="宋体" w:cs="宋体"/>
                <w:color w:val="auto"/>
                <w:highlight w:val="none"/>
                <w:lang w:eastAsia="zh-CN"/>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6" w:type="dxa"/>
            <w:noWrap w:val="0"/>
            <w:vAlign w:val="center"/>
          </w:tcPr>
          <w:p>
            <w:pPr>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3</w:t>
            </w:r>
          </w:p>
        </w:tc>
        <w:tc>
          <w:tcPr>
            <w:tcW w:w="6152" w:type="dxa"/>
            <w:noWrap w:val="0"/>
            <w:vAlign w:val="center"/>
          </w:tcPr>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运营和服务</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提供1年的运营维护服务，至少包含道边仪器设备电力供应、数据传输网络保障、仪器设备日常维护保养、检测仪器的定期检定或校准、气象系统的定期检定或校准、仪器设备及其安装附件的防雷防锈等的固定垂直式机动车尾气遥感监测服务和黑烟车电子抓拍服务、空气质量自动监测服务等数据采集、传输及平台软件服务等内容，并提供相应的数据资料，由此产生的费用包含在投标报价内。投标方应提交详细的运维服务方案，应至少包含仪器设备和有关系统运营维护的具体内容及频次等内容。</w:t>
            </w:r>
          </w:p>
          <w:p>
            <w:pPr>
              <w:rPr>
                <w:rFonts w:hint="eastAsia" w:ascii="宋体" w:hAnsi="宋体" w:eastAsia="宋体" w:cs="宋体"/>
                <w:color w:val="auto"/>
                <w:szCs w:val="24"/>
                <w:highlight w:val="none"/>
              </w:rPr>
            </w:pPr>
            <w:r>
              <w:rPr>
                <w:rFonts w:hint="eastAsia" w:ascii="宋体" w:hAnsi="宋体" w:eastAsia="宋体" w:cs="宋体"/>
                <w:b/>
                <w:color w:val="auto"/>
                <w:highlight w:val="none"/>
              </w:rPr>
              <w:t>▲投标人</w:t>
            </w:r>
            <w:r>
              <w:rPr>
                <w:rFonts w:hint="eastAsia" w:ascii="宋体" w:hAnsi="宋体" w:eastAsia="宋体" w:cs="宋体"/>
                <w:b/>
                <w:color w:val="auto"/>
                <w:highlight w:val="none"/>
                <w:lang w:eastAsia="zh-CN"/>
              </w:rPr>
              <w:t>需</w:t>
            </w:r>
            <w:r>
              <w:rPr>
                <w:rFonts w:hint="eastAsia" w:ascii="宋体" w:hAnsi="宋体" w:eastAsia="宋体" w:cs="宋体"/>
                <w:b/>
                <w:color w:val="auto"/>
                <w:highlight w:val="none"/>
              </w:rPr>
              <w:t>提供</w:t>
            </w:r>
            <w:r>
              <w:rPr>
                <w:rFonts w:hint="default" w:ascii="宋体" w:hAnsi="宋体" w:eastAsia="宋体" w:cs="宋体"/>
                <w:b/>
                <w:color w:val="auto"/>
                <w:highlight w:val="none"/>
              </w:rPr>
              <w:t>产品供应商</w:t>
            </w:r>
            <w:r>
              <w:rPr>
                <w:rFonts w:hint="eastAsia" w:ascii="宋体" w:hAnsi="宋体" w:eastAsia="宋体" w:cs="宋体"/>
                <w:b/>
                <w:color w:val="auto"/>
                <w:highlight w:val="none"/>
              </w:rPr>
              <w:t>的运营维护服务承诺。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6F844"/>
    <w:multiLevelType w:val="singleLevel"/>
    <w:tmpl w:val="9596F844"/>
    <w:lvl w:ilvl="0" w:tentative="0">
      <w:start w:val="1"/>
      <w:numFmt w:val="decimal"/>
      <w:suff w:val="nothing"/>
      <w:lvlText w:val="%1）"/>
      <w:lvlJc w:val="left"/>
    </w:lvl>
  </w:abstractNum>
  <w:abstractNum w:abstractNumId="1">
    <w:nsid w:val="539EF427"/>
    <w:multiLevelType w:val="singleLevel"/>
    <w:tmpl w:val="539EF42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uiPriority w:val="0"/>
    <w:pPr>
      <w:widowControl/>
      <w:ind w:firstLine="420"/>
      <w:jc w:val="left"/>
    </w:pPr>
    <w:rPr>
      <w:rFonts w:ascii="Verdana" w:hAnsi="Verdana"/>
      <w:kern w:val="0"/>
      <w:szCs w:val="20"/>
      <w:lang w:eastAsia="en-US"/>
    </w:rPr>
  </w:style>
  <w:style w:type="paragraph" w:styleId="5">
    <w:name w:val="Body Text Indent"/>
    <w:basedOn w:val="1"/>
    <w:uiPriority w:val="0"/>
    <w:pPr>
      <w:spacing w:after="120"/>
      <w:ind w:left="420" w:leftChars="200"/>
    </w:pPr>
    <w:rPr>
      <w:rFonts w:ascii="Verdana" w:hAnsi="Verdana"/>
      <w:szCs w:val="20"/>
      <w:lang w:eastAsia="en-US"/>
    </w:rPr>
  </w:style>
  <w:style w:type="paragraph" w:styleId="6">
    <w:name w:val="Body Text First Indent 2"/>
    <w:basedOn w:val="5"/>
    <w:qFormat/>
    <w:uiPriority w:val="0"/>
    <w:pPr>
      <w:autoSpaceDE/>
      <w:autoSpaceDN/>
      <w:spacing w:after="120" w:line="240" w:lineRule="auto"/>
      <w:ind w:left="420" w:leftChars="200" w:firstLine="420" w:firstLineChars="200"/>
    </w:pPr>
    <w:rPr>
      <w:sz w:val="21"/>
      <w:szCs w:val="24"/>
    </w:rPr>
  </w:style>
  <w:style w:type="character" w:styleId="9">
    <w:name w:val="annotation reference"/>
    <w:qFormat/>
    <w:uiPriority w:val="0"/>
    <w:rPr>
      <w:sz w:val="21"/>
      <w:szCs w:val="21"/>
    </w:rPr>
  </w:style>
  <w:style w:type="paragraph" w:customStyle="1" w:styleId="10">
    <w:name w:val="my正文"/>
    <w:basedOn w:val="1"/>
    <w:qFormat/>
    <w:uiPriority w:val="0"/>
    <w:pPr>
      <w:spacing w:line="360" w:lineRule="auto"/>
      <w:ind w:firstLine="480" w:firstLineChars="200"/>
    </w:pPr>
    <w:rPr>
      <w:rFonts w:ascii="Times New Roman" w:hAnsi="Times New Roman"/>
      <w:sz w:val="24"/>
    </w:rPr>
  </w:style>
  <w:style w:type="paragraph" w:customStyle="1" w:styleId="11">
    <w:name w:val="正文1"/>
    <w:basedOn w:val="1"/>
    <w:qFormat/>
    <w:uiPriority w:val="0"/>
    <w:pPr>
      <w:adjustRightInd w:val="0"/>
      <w:spacing w:line="318" w:lineRule="atLeast"/>
      <w:ind w:left="369" w:firstLine="369"/>
      <w:textAlignment w:val="baseline"/>
    </w:pPr>
    <w:rPr>
      <w:rFonts w:ascii="宋体"/>
      <w:sz w:val="21"/>
      <w:szCs w:val="20"/>
    </w:rPr>
  </w:style>
  <w:style w:type="paragraph" w:customStyle="1" w:styleId="12">
    <w:name w:val="_正文"/>
    <w:basedOn w:val="1"/>
    <w:qFormat/>
    <w:uiPriority w:val="0"/>
    <w:pPr>
      <w:adjustRightInd w:val="0"/>
      <w:snapToGrid w:val="0"/>
      <w:spacing w:line="360" w:lineRule="auto"/>
      <w:ind w:firstLine="200" w:firstLineChars="200"/>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2020-08-03T02:48:20Z</dcterms:created>
  <dc:creator>123</dc:creator>
  <cp:lastModifiedBy>得不到的永远在骚动</cp:lastModifiedBy>
  <dcterms:modified xsi:type="dcterms:W3CDTF">2020-08-03T02:48:23Z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