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after="156" w:afterLines="50" w:line="360" w:lineRule="auto"/>
        <w:jc w:val="center"/>
        <w:outlineLvl w:val="0"/>
        <w:rPr>
          <w:rFonts w:hint="eastAsia" w:ascii="宋体" w:hAnsi="宋体" w:cs="宋体"/>
          <w:sz w:val="28"/>
          <w:szCs w:val="28"/>
        </w:rPr>
      </w:pPr>
      <w:r>
        <w:rPr>
          <w:rFonts w:hint="eastAsia" w:ascii="宋体" w:hAnsi="宋体" w:cs="宋体"/>
          <w:b/>
          <w:sz w:val="44"/>
          <w:szCs w:val="44"/>
        </w:rPr>
        <w:t>采购需求书</w:t>
      </w:r>
    </w:p>
    <w:p>
      <w:pPr>
        <w:spacing w:line="360" w:lineRule="auto"/>
        <w:ind w:firstLine="560" w:firstLineChars="200"/>
        <w:rPr>
          <w:rFonts w:ascii="仿宋_GB2312" w:hAnsi="宋体" w:eastAsia="仿宋_GB2312"/>
          <w:sz w:val="28"/>
          <w:szCs w:val="28"/>
        </w:rPr>
      </w:pPr>
      <w:r>
        <w:rPr>
          <w:rFonts w:hint="eastAsia" w:ascii="宋体" w:hAnsi="宋体" w:cs="宋体"/>
          <w:sz w:val="28"/>
          <w:szCs w:val="28"/>
        </w:rPr>
        <w:t>一</w:t>
      </w:r>
      <w:r>
        <w:rPr>
          <w:rFonts w:hint="eastAsia" w:ascii="宋体" w:hAnsi="宋体" w:cs="宋体"/>
          <w:bCs/>
          <w:sz w:val="28"/>
          <w:szCs w:val="28"/>
        </w:rPr>
        <w:t>、</w:t>
      </w:r>
      <w:r>
        <w:rPr>
          <w:rFonts w:hint="eastAsia" w:ascii="宋体" w:hAnsi="宋体" w:cs="宋体"/>
          <w:b/>
          <w:sz w:val="28"/>
          <w:szCs w:val="28"/>
          <w:lang w:val="zh-CN"/>
        </w:rPr>
        <w:t>项目概况</w:t>
      </w:r>
    </w:p>
    <w:p>
      <w:pPr>
        <w:spacing w:line="360" w:lineRule="auto"/>
        <w:ind w:firstLine="480" w:firstLineChars="200"/>
        <w:rPr>
          <w:rFonts w:hint="eastAsia" w:ascii="宋体" w:hAnsi="宋体" w:cs="宋体"/>
          <w:sz w:val="24"/>
          <w:lang w:val="zh-CN"/>
        </w:rPr>
      </w:pPr>
      <w:r>
        <w:rPr>
          <w:rFonts w:hint="eastAsia" w:ascii="宋体" w:hAnsi="宋体" w:cs="宋体"/>
          <w:sz w:val="24"/>
          <w:lang w:val="zh-CN"/>
        </w:rPr>
        <w:t>为进一步做好</w:t>
      </w:r>
      <w:r>
        <w:rPr>
          <w:rFonts w:hint="eastAsia" w:ascii="宋体" w:hAnsi="宋体" w:cs="宋体"/>
          <w:sz w:val="24"/>
          <w:lang w:val="en-US" w:eastAsia="zh-CN"/>
        </w:rPr>
        <w:t>儋州</w:t>
      </w:r>
      <w:r>
        <w:rPr>
          <w:rFonts w:hint="eastAsia" w:ascii="宋体" w:hAnsi="宋体" w:cs="宋体"/>
          <w:sz w:val="24"/>
          <w:lang w:val="zh-CN"/>
        </w:rPr>
        <w:t>市2019年度低保核查工作，切实保障好困难群众的基本生活，坚持做到应保尽保应纳尽纳，防止出现“漏保”情况。儋州市社会救助服务中心拟用竞争性磋商的方式采购第三方协助进行本次年度核查。</w:t>
      </w:r>
    </w:p>
    <w:p>
      <w:pPr>
        <w:numPr>
          <w:ilvl w:val="0"/>
          <w:numId w:val="1"/>
        </w:numPr>
        <w:spacing w:line="360" w:lineRule="auto"/>
        <w:ind w:firstLine="562" w:firstLineChars="200"/>
        <w:rPr>
          <w:rFonts w:hint="eastAsia" w:ascii="宋体" w:hAnsi="宋体" w:cs="宋体"/>
          <w:b/>
          <w:sz w:val="28"/>
          <w:szCs w:val="28"/>
        </w:rPr>
      </w:pPr>
      <w:r>
        <w:rPr>
          <w:rFonts w:hint="eastAsia" w:ascii="宋体" w:hAnsi="宋体" w:cs="宋体"/>
          <w:b/>
          <w:sz w:val="28"/>
          <w:szCs w:val="28"/>
        </w:rPr>
        <w:t>项目</w:t>
      </w:r>
      <w:r>
        <w:rPr>
          <w:rFonts w:hint="eastAsia" w:ascii="宋体" w:hAnsi="宋体" w:cs="宋体"/>
          <w:b/>
          <w:sz w:val="28"/>
          <w:szCs w:val="28"/>
          <w:lang w:val="en-US" w:eastAsia="zh-CN"/>
        </w:rPr>
        <w:t>需求</w:t>
      </w:r>
    </w:p>
    <w:p>
      <w:pPr>
        <w:spacing w:line="360" w:lineRule="auto"/>
        <w:ind w:firstLine="480" w:firstLineChars="200"/>
        <w:rPr>
          <w:rFonts w:hint="eastAsia" w:ascii="宋体" w:hAnsi="宋体" w:cs="宋体"/>
          <w:sz w:val="24"/>
          <w:lang w:val="zh-CN" w:eastAsia="zh-CN"/>
        </w:rPr>
      </w:pPr>
      <w:r>
        <w:rPr>
          <w:rFonts w:hint="eastAsia" w:ascii="宋体" w:hAnsi="宋体" w:cs="宋体"/>
          <w:sz w:val="24"/>
          <w:lang w:val="zh-CN" w:eastAsia="zh-CN"/>
        </w:rPr>
        <w:t>年度核查范围：2019年10月份儋州市登记在册的特困人员、农村低保人员。本年度10月份我市特困户共有1328户（不含已入住敬老院人员73人），农村低保户共有5569户。（附：全市各乡镇低保、特困人员分布表）</w:t>
      </w:r>
    </w:p>
    <w:p>
      <w:pPr>
        <w:spacing w:line="440" w:lineRule="exact"/>
        <w:ind w:firstLine="562" w:firstLineChars="200"/>
        <w:rPr>
          <w:rFonts w:hint="eastAsia" w:ascii="宋体" w:hAnsi="宋体" w:cs="宋体"/>
          <w:sz w:val="24"/>
          <w:lang w:val="zh-CN" w:eastAsia="zh-CN"/>
        </w:rPr>
      </w:pPr>
      <w:r>
        <w:rPr>
          <w:rFonts w:hint="eastAsia" w:ascii="宋体" w:hAnsi="宋体" w:cs="宋体"/>
          <w:b/>
          <w:sz w:val="28"/>
          <w:szCs w:val="28"/>
          <w:lang w:val="en-US" w:eastAsia="zh-CN"/>
        </w:rPr>
        <w:t>三、</w:t>
      </w:r>
      <w:r>
        <w:rPr>
          <w:rFonts w:hint="eastAsia" w:ascii="宋体" w:hAnsi="宋体" w:cs="宋体"/>
          <w:b/>
          <w:sz w:val="28"/>
          <w:szCs w:val="28"/>
        </w:rPr>
        <w:t>核查时间</w:t>
      </w:r>
      <w:r>
        <w:rPr>
          <w:rFonts w:hint="eastAsia" w:ascii="宋体" w:hAnsi="宋体" w:cs="宋体"/>
          <w:b/>
          <w:sz w:val="28"/>
          <w:szCs w:val="28"/>
          <w:lang w:eastAsia="zh-CN"/>
        </w:rPr>
        <w:t>（</w:t>
      </w:r>
      <w:r>
        <w:rPr>
          <w:rFonts w:hint="eastAsia" w:ascii="宋体" w:hAnsi="宋体" w:cs="宋体"/>
          <w:b/>
          <w:sz w:val="28"/>
          <w:szCs w:val="28"/>
          <w:lang w:val="en-US" w:eastAsia="zh-CN"/>
        </w:rPr>
        <w:t>服务期）</w:t>
      </w:r>
      <w:r>
        <w:rPr>
          <w:rFonts w:hint="eastAsia" w:ascii="宋体" w:hAnsi="宋体" w:cs="宋体"/>
          <w:b/>
          <w:sz w:val="28"/>
          <w:szCs w:val="28"/>
        </w:rPr>
        <w:t>：</w:t>
      </w:r>
      <w:r>
        <w:rPr>
          <w:rFonts w:hint="eastAsia" w:ascii="宋体" w:hAnsi="宋体" w:cs="宋体"/>
          <w:sz w:val="24"/>
          <w:lang w:val="zh-CN" w:eastAsia="zh-CN"/>
        </w:rPr>
        <w:t>签订合同日起60天内完成核查</w:t>
      </w:r>
      <w:r>
        <w:rPr>
          <w:rFonts w:hint="eastAsia" w:ascii="宋体" w:hAnsi="宋体" w:cs="宋体"/>
          <w:sz w:val="24"/>
          <w:lang w:val="en-US" w:eastAsia="zh-CN"/>
        </w:rPr>
        <w:t>并上报材料</w:t>
      </w:r>
      <w:r>
        <w:rPr>
          <w:rFonts w:hint="eastAsia" w:ascii="宋体" w:hAnsi="宋体" w:cs="宋体"/>
          <w:sz w:val="24"/>
          <w:lang w:val="zh-CN" w:eastAsia="zh-CN"/>
        </w:rPr>
        <w:t>工作。</w:t>
      </w:r>
    </w:p>
    <w:p>
      <w:pPr>
        <w:spacing w:before="156" w:beforeLines="50" w:after="156" w:afterLines="50" w:line="360" w:lineRule="auto"/>
        <w:ind w:firstLine="562" w:firstLineChars="200"/>
        <w:outlineLvl w:val="0"/>
        <w:rPr>
          <w:rFonts w:hint="eastAsia" w:ascii="宋体" w:hAnsi="宋体" w:cs="宋体"/>
          <w:b/>
          <w:sz w:val="44"/>
          <w:szCs w:val="44"/>
        </w:rPr>
      </w:pPr>
      <w:r>
        <w:rPr>
          <w:rFonts w:hint="eastAsia" w:ascii="宋体" w:hAnsi="宋体" w:cs="宋体"/>
          <w:b/>
          <w:sz w:val="28"/>
          <w:szCs w:val="28"/>
          <w:lang w:val="en-US" w:eastAsia="zh-CN"/>
        </w:rPr>
        <w:t>四、核查费用：</w:t>
      </w:r>
      <w:r>
        <w:rPr>
          <w:rFonts w:hint="eastAsia" w:ascii="宋体" w:hAnsi="宋体" w:cs="宋体"/>
          <w:sz w:val="24"/>
          <w:lang w:val="zh-CN" w:eastAsia="zh-CN"/>
        </w:rPr>
        <w:t>按每户100元（含税票），实行包干制，以实际核查户数</w:t>
      </w:r>
      <w:r>
        <w:rPr>
          <w:rFonts w:hint="eastAsia" w:ascii="宋体" w:hAnsi="宋体" w:cs="宋体"/>
          <w:sz w:val="24"/>
          <w:lang w:val="en-US" w:eastAsia="zh-CN"/>
        </w:rPr>
        <w:t>并上交合格的材料、报表的户数进行</w:t>
      </w:r>
      <w:r>
        <w:rPr>
          <w:rFonts w:hint="eastAsia" w:ascii="宋体" w:hAnsi="宋体" w:cs="宋体"/>
          <w:sz w:val="24"/>
          <w:lang w:val="zh-CN" w:eastAsia="zh-CN"/>
        </w:rPr>
        <w:t>结算。</w:t>
      </w:r>
    </w:p>
    <w:p>
      <w:pPr>
        <w:spacing w:before="156" w:beforeLines="50" w:after="156" w:afterLines="50" w:line="360" w:lineRule="auto"/>
        <w:ind w:firstLine="562" w:firstLineChars="200"/>
        <w:outlineLvl w:val="0"/>
        <w:rPr>
          <w:rFonts w:hint="eastAsia" w:ascii="宋体" w:hAnsi="宋体" w:cs="宋体"/>
          <w:b/>
          <w:sz w:val="28"/>
          <w:szCs w:val="28"/>
          <w:lang w:val="en-US" w:eastAsia="zh-CN"/>
        </w:rPr>
      </w:pPr>
      <w:r>
        <w:rPr>
          <w:rFonts w:hint="eastAsia" w:ascii="宋体" w:hAnsi="宋体" w:cs="宋体"/>
          <w:b/>
          <w:sz w:val="28"/>
          <w:szCs w:val="28"/>
          <w:lang w:val="en-US" w:eastAsia="zh-CN"/>
        </w:rPr>
        <w:t>五、工作要求</w:t>
      </w:r>
    </w:p>
    <w:p>
      <w:pPr>
        <w:pStyle w:val="2"/>
        <w:spacing w:line="360" w:lineRule="auto"/>
        <w:ind w:left="0" w:leftChars="0"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1、成交供应商要在规定的时间内保质保量的完成采购人要求的具体核查工作。</w:t>
      </w:r>
    </w:p>
    <w:p>
      <w:pPr>
        <w:pStyle w:val="2"/>
        <w:spacing w:line="360" w:lineRule="auto"/>
        <w:ind w:left="0" w:leftChars="0"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成交供应商工作人员必须按照《民政部关于印发最低生活保障审核审批办法》、《海南省最低生活保障家庭收入状况和财产认定方法（试行）》开展入户调查工作，要求要真核查、真入户、真见面，并如实记录。如出现帮助所调查的对象隐瞒人员情况（包括死亡、判刑、网诈、外嫁等）、家庭收入状况和财产状况，所造成的后果全由成交供应商负责。</w:t>
      </w:r>
    </w:p>
    <w:p>
      <w:pPr>
        <w:pStyle w:val="2"/>
        <w:spacing w:line="360" w:lineRule="auto"/>
        <w:ind w:left="0" w:leftChars="0"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成交供应商参与入户调查的所有工作人员，必须与采购人签订工作保密协议，参与人员未经政府机关书面同意不得向第三方（包括新闻媒体或其从业人员）公开和披露任何工作中使用的保密资料或以其他方式使用保密资料，机构与参与人员需谨慎保密协定，保护好工作过程中的保密资料，违者将需赔偿经济损失及追究法律责任。</w:t>
      </w:r>
    </w:p>
    <w:p>
      <w:pPr>
        <w:spacing w:before="156" w:beforeLines="50" w:after="156" w:afterLines="50" w:line="360" w:lineRule="auto"/>
        <w:ind w:firstLine="562" w:firstLineChars="200"/>
        <w:outlineLvl w:val="0"/>
        <w:rPr>
          <w:rFonts w:hint="eastAsia" w:ascii="宋体" w:hAnsi="宋体" w:cs="宋体"/>
          <w:b/>
          <w:sz w:val="28"/>
          <w:szCs w:val="28"/>
          <w:lang w:val="en-US" w:eastAsia="zh-CN"/>
        </w:rPr>
      </w:pPr>
      <w:r>
        <w:rPr>
          <w:rFonts w:hint="eastAsia" w:ascii="宋体" w:hAnsi="宋体" w:cs="宋体"/>
          <w:b/>
          <w:sz w:val="28"/>
          <w:szCs w:val="28"/>
          <w:lang w:val="en-US" w:eastAsia="zh-CN"/>
        </w:rPr>
        <w:t>六、成交供应商在开展入户核查后，应向采购人反馈核查情况，并提交以下文件：</w:t>
      </w:r>
    </w:p>
    <w:p>
      <w:pPr>
        <w:spacing w:before="156" w:beforeLines="50" w:after="156" w:afterLines="50" w:line="360" w:lineRule="auto"/>
        <w:ind w:firstLine="480" w:firstLineChars="200"/>
        <w:outlineLvl w:val="0"/>
        <w:rPr>
          <w:rFonts w:hint="eastAsia" w:ascii="宋体" w:hAnsi="宋体" w:cs="宋体"/>
          <w:sz w:val="24"/>
          <w:lang w:val="zh-CN" w:eastAsia="zh-CN"/>
        </w:rPr>
      </w:pPr>
      <w:r>
        <w:rPr>
          <w:rFonts w:hint="eastAsia" w:ascii="宋体" w:hAnsi="宋体" w:cs="宋体"/>
          <w:sz w:val="24"/>
          <w:lang w:val="zh-CN" w:eastAsia="zh-CN"/>
        </w:rPr>
        <w:t>1、全市低保核查情况报告、全市特困核查情况报告</w:t>
      </w:r>
    </w:p>
    <w:p>
      <w:pPr>
        <w:spacing w:before="156" w:beforeLines="50" w:after="156" w:afterLines="50" w:line="360" w:lineRule="auto"/>
        <w:ind w:firstLine="480" w:firstLineChars="200"/>
        <w:outlineLvl w:val="0"/>
        <w:rPr>
          <w:rFonts w:hint="eastAsia" w:ascii="宋体" w:hAnsi="宋体" w:cs="宋体"/>
          <w:sz w:val="24"/>
          <w:lang w:val="zh-CN" w:eastAsia="zh-CN"/>
        </w:rPr>
      </w:pPr>
      <w:r>
        <w:rPr>
          <w:rFonts w:hint="eastAsia" w:ascii="宋体" w:hAnsi="宋体" w:cs="宋体"/>
          <w:sz w:val="24"/>
          <w:lang w:val="zh-CN" w:eastAsia="zh-CN"/>
        </w:rPr>
        <w:t>2、低保年度核查表、特困年度核查表（需经过当地镇政府盖章，方可生效）</w:t>
      </w:r>
    </w:p>
    <w:p>
      <w:pPr>
        <w:spacing w:before="156" w:beforeLines="50" w:after="156" w:afterLines="50" w:line="360" w:lineRule="auto"/>
        <w:ind w:firstLine="480" w:firstLineChars="200"/>
        <w:outlineLvl w:val="0"/>
        <w:rPr>
          <w:rFonts w:hint="eastAsia" w:ascii="宋体" w:hAnsi="宋体" w:cs="宋体"/>
          <w:sz w:val="24"/>
          <w:lang w:val="zh-CN" w:eastAsia="zh-CN"/>
        </w:rPr>
      </w:pPr>
      <w:r>
        <w:rPr>
          <w:rFonts w:hint="eastAsia" w:ascii="宋体" w:hAnsi="宋体" w:cs="宋体"/>
          <w:sz w:val="24"/>
          <w:lang w:val="zh-CN" w:eastAsia="zh-CN"/>
        </w:rPr>
        <w:t>3、各镇低保、特困入户调查情况报告</w:t>
      </w:r>
    </w:p>
    <w:p>
      <w:pPr>
        <w:spacing w:before="156" w:beforeLines="50" w:after="156" w:afterLines="50" w:line="360" w:lineRule="auto"/>
        <w:ind w:firstLine="480" w:firstLineChars="200"/>
        <w:outlineLvl w:val="0"/>
        <w:rPr>
          <w:rFonts w:hint="eastAsia" w:ascii="宋体" w:hAnsi="宋体" w:cs="宋体"/>
          <w:sz w:val="24"/>
          <w:lang w:val="zh-CN" w:eastAsia="zh-CN"/>
        </w:rPr>
      </w:pPr>
      <w:r>
        <w:rPr>
          <w:rFonts w:hint="eastAsia" w:ascii="宋体" w:hAnsi="宋体" w:cs="宋体"/>
          <w:sz w:val="24"/>
          <w:lang w:val="zh-CN" w:eastAsia="zh-CN"/>
        </w:rPr>
        <w:t>4、各镇低保、特困户核查数据汇总表（汇总表所含项目：各镇疑似未享受重度残疾人员、符合纳保人数、不符合纳保人数、已纳保人数、死亡人数、纳孤人数、联系不上人数）</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0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00000005"/>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BB171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First Indent 2"/>
    <w:basedOn w:val="3"/>
    <w:uiPriority w:val="0"/>
    <w:pPr>
      <w:spacing w:line="240" w:lineRule="auto"/>
      <w:ind w:firstLine="420" w:firstLineChars="200"/>
    </w:pPr>
    <w:rPr>
      <w:rFonts w:ascii="Calibri" w:hAnsi="Calibri" w:eastAsia="宋体" w:cs="宋体"/>
      <w:szCs w:val="24"/>
    </w:rPr>
  </w:style>
  <w:style w:type="paragraph" w:styleId="3">
    <w:name w:val="Body Text Indent"/>
    <w:basedOn w:val="1"/>
    <w:uiPriority w:val="0"/>
    <w:pPr>
      <w:spacing w:after="120" w:line="360" w:lineRule="auto"/>
      <w:ind w:left="420" w:leftChars="200" w:firstLine="425"/>
    </w:pPr>
    <w:rPr>
      <w:rFonts w:ascii="宋体" w:hAnsi="宋体" w:eastAsia="宋体" w:cs="宋体"/>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2020-07-16T08:20:43Z</dcterms:created>
  <dc:creator>Administrator</dc:creator>
  <cp:lastModifiedBy>关官</cp:lastModifiedBy>
  <dcterms:modified xsi:type="dcterms:W3CDTF">2020-07-16T08:20:46Z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