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等线" w:cs="宋体"/>
          <w:b/>
          <w:color w:val="auto"/>
          <w:sz w:val="44"/>
          <w:szCs w:val="44"/>
        </w:rPr>
      </w:pPr>
      <w:r>
        <w:rPr>
          <w:rFonts w:hint="eastAsia" w:ascii="宋体" w:hAnsi="宋体" w:eastAsia="等线" w:cs="宋体"/>
          <w:b/>
          <w:color w:val="auto"/>
          <w:sz w:val="44"/>
          <w:szCs w:val="44"/>
        </w:rPr>
        <w:t>第五部分  用户需求书</w:t>
      </w:r>
    </w:p>
    <w:p>
      <w:pPr>
        <w:numPr>
          <w:ilvl w:val="0"/>
          <w:numId w:val="3"/>
        </w:numPr>
        <w:tabs>
          <w:tab w:val="left" w:pos="2730"/>
          <w:tab w:val="left" w:pos="2835"/>
        </w:tabs>
        <w:adjustRightInd w:val="0"/>
        <w:snapToGrid w:val="0"/>
        <w:spacing w:before="156" w:beforeLines="50" w:after="156" w:afterLines="50" w:line="440" w:lineRule="exact"/>
        <w:rPr>
          <w:rFonts w:hint="eastAsia" w:ascii="宋体" w:hAnsi="宋体" w:eastAsia="等线" w:cs="宋体"/>
          <w:b/>
          <w:bCs/>
          <w:color w:val="auto"/>
          <w:sz w:val="28"/>
          <w:szCs w:val="28"/>
        </w:rPr>
      </w:pPr>
      <w:bookmarkStart w:id="0" w:name="_Toc275871495"/>
      <w:bookmarkStart w:id="1" w:name="_Toc275954509"/>
      <w:bookmarkStart w:id="2" w:name="_Toc275871431"/>
      <w:bookmarkStart w:id="3" w:name="_Toc275770743"/>
      <w:r>
        <w:rPr>
          <w:rFonts w:hint="eastAsia" w:ascii="宋体" w:hAnsi="宋体" w:eastAsia="等线" w:cs="宋体"/>
          <w:b/>
          <w:bCs/>
          <w:color w:val="auto"/>
          <w:sz w:val="28"/>
          <w:szCs w:val="28"/>
        </w:rPr>
        <w:t>规划范围及深度</w:t>
      </w:r>
    </w:p>
    <w:p>
      <w:pPr>
        <w:tabs>
          <w:tab w:val="left" w:pos="2730"/>
          <w:tab w:val="left" w:pos="2835"/>
        </w:tabs>
        <w:adjustRightInd w:val="0"/>
        <w:snapToGrid w:val="0"/>
        <w:spacing w:line="500" w:lineRule="exact"/>
        <w:ind w:firstLine="480"/>
        <w:rPr>
          <w:rFonts w:hint="eastAsia" w:ascii="宋体" w:hAnsi="宋体" w:eastAsia="等线" w:cs="宋体"/>
          <w:color w:val="auto"/>
          <w:sz w:val="24"/>
        </w:rPr>
      </w:pPr>
      <w:r>
        <w:rPr>
          <w:rFonts w:ascii="宋体" w:hAnsi="宋体" w:eastAsia="等线" w:cs="宋体"/>
          <w:color w:val="auto"/>
          <w:sz w:val="24"/>
        </w:rPr>
        <w:t>海南省行政区划范围内的沿海市县陆域及管辖海域</w:t>
      </w:r>
      <w:r>
        <w:rPr>
          <w:rFonts w:hint="eastAsia" w:ascii="宋体" w:hAnsi="宋体" w:eastAsia="等线" w:cs="宋体"/>
          <w:color w:val="auto"/>
          <w:sz w:val="24"/>
        </w:rPr>
        <w:t>。</w:t>
      </w:r>
    </w:p>
    <w:p>
      <w:pPr>
        <w:tabs>
          <w:tab w:val="left" w:pos="2730"/>
          <w:tab w:val="left" w:pos="2835"/>
        </w:tabs>
        <w:adjustRightInd w:val="0"/>
        <w:snapToGrid w:val="0"/>
        <w:spacing w:line="500" w:lineRule="exact"/>
        <w:ind w:firstLine="480"/>
        <w:rPr>
          <w:rFonts w:hint="eastAsia" w:ascii="宋体" w:hAnsi="宋体" w:eastAsia="等线" w:cs="宋体"/>
          <w:color w:val="auto"/>
          <w:sz w:val="24"/>
        </w:rPr>
      </w:pPr>
      <w:r>
        <w:rPr>
          <w:rFonts w:hint="eastAsia" w:ascii="宋体" w:hAnsi="宋体" w:eastAsia="等线" w:cs="宋体"/>
          <w:color w:val="auto"/>
          <w:sz w:val="24"/>
        </w:rPr>
        <w:t>规划期2020-</w:t>
      </w:r>
      <w:r>
        <w:rPr>
          <w:rFonts w:ascii="宋体" w:hAnsi="宋体" w:eastAsia="等线" w:cs="宋体"/>
          <w:color w:val="auto"/>
          <w:sz w:val="24"/>
        </w:rPr>
        <w:t>2025年</w:t>
      </w:r>
      <w:r>
        <w:rPr>
          <w:rFonts w:hint="eastAsia" w:ascii="宋体" w:hAnsi="宋体" w:eastAsia="等线" w:cs="宋体"/>
          <w:color w:val="auto"/>
          <w:sz w:val="24"/>
        </w:rPr>
        <w:t>，</w:t>
      </w:r>
      <w:r>
        <w:rPr>
          <w:rFonts w:ascii="宋体" w:hAnsi="宋体" w:eastAsia="等线" w:cs="宋体"/>
          <w:color w:val="auto"/>
          <w:sz w:val="24"/>
        </w:rPr>
        <w:t>展望到</w:t>
      </w:r>
      <w:r>
        <w:rPr>
          <w:rFonts w:hint="eastAsia" w:ascii="宋体" w:hAnsi="宋体" w:eastAsia="等线" w:cs="宋体"/>
          <w:color w:val="auto"/>
          <w:sz w:val="24"/>
        </w:rPr>
        <w:t>203</w:t>
      </w:r>
      <w:r>
        <w:rPr>
          <w:rFonts w:ascii="宋体" w:hAnsi="宋体" w:eastAsia="等线" w:cs="宋体"/>
          <w:color w:val="auto"/>
          <w:sz w:val="24"/>
        </w:rPr>
        <w:t>5</w:t>
      </w:r>
      <w:r>
        <w:rPr>
          <w:rFonts w:hint="eastAsia" w:ascii="宋体" w:hAnsi="宋体" w:eastAsia="等线" w:cs="宋体"/>
          <w:color w:val="auto"/>
          <w:sz w:val="24"/>
        </w:rPr>
        <w:t>年。</w:t>
      </w:r>
    </w:p>
    <w:p>
      <w:pPr>
        <w:numPr>
          <w:ilvl w:val="0"/>
          <w:numId w:val="3"/>
        </w:numPr>
        <w:tabs>
          <w:tab w:val="left" w:pos="2730"/>
          <w:tab w:val="left" w:pos="2835"/>
        </w:tabs>
        <w:adjustRightInd w:val="0"/>
        <w:snapToGrid w:val="0"/>
        <w:spacing w:before="156" w:beforeLines="50" w:after="156" w:afterLines="50" w:line="440" w:lineRule="exact"/>
        <w:rPr>
          <w:rFonts w:hint="eastAsia" w:ascii="宋体" w:hAnsi="宋体" w:eastAsia="等线" w:cs="宋体"/>
          <w:b/>
          <w:bCs/>
          <w:color w:val="auto"/>
          <w:sz w:val="28"/>
          <w:szCs w:val="28"/>
        </w:rPr>
      </w:pPr>
      <w:r>
        <w:rPr>
          <w:rFonts w:hint="eastAsia" w:ascii="宋体" w:hAnsi="宋体" w:eastAsia="等线" w:cs="宋体"/>
          <w:b/>
          <w:bCs/>
          <w:color w:val="auto"/>
          <w:sz w:val="28"/>
          <w:szCs w:val="28"/>
        </w:rPr>
        <w:t>规划主要内容与方向</w:t>
      </w:r>
    </w:p>
    <w:p>
      <w:pPr>
        <w:tabs>
          <w:tab w:val="left" w:pos="2730"/>
          <w:tab w:val="left" w:pos="2835"/>
        </w:tabs>
        <w:adjustRightInd w:val="0"/>
        <w:snapToGrid w:val="0"/>
        <w:spacing w:line="500" w:lineRule="exact"/>
        <w:ind w:firstLine="480"/>
        <w:rPr>
          <w:rFonts w:ascii="宋体" w:hAnsi="宋体" w:eastAsia="等线" w:cs="宋体"/>
          <w:b/>
          <w:color w:val="auto"/>
          <w:sz w:val="24"/>
        </w:rPr>
      </w:pPr>
      <w:r>
        <w:rPr>
          <w:rFonts w:hint="eastAsia" w:ascii="宋体" w:hAnsi="宋体" w:eastAsia="等线" w:cs="宋体"/>
          <w:b/>
          <w:color w:val="auto"/>
          <w:sz w:val="24"/>
        </w:rPr>
        <w:t>（一）海南省海洋强省（经济）建设战略背景研究</w:t>
      </w:r>
    </w:p>
    <w:p>
      <w:pPr>
        <w:tabs>
          <w:tab w:val="left" w:pos="2730"/>
          <w:tab w:val="left" w:pos="2835"/>
        </w:tabs>
        <w:adjustRightInd w:val="0"/>
        <w:snapToGrid w:val="0"/>
        <w:spacing w:line="500" w:lineRule="exact"/>
        <w:ind w:firstLine="480"/>
        <w:rPr>
          <w:rFonts w:ascii="宋体" w:hAnsi="宋体" w:eastAsia="等线" w:cs="宋体"/>
          <w:color w:val="auto"/>
          <w:sz w:val="24"/>
        </w:rPr>
      </w:pPr>
      <w:r>
        <w:rPr>
          <w:rFonts w:hint="eastAsia" w:ascii="宋体" w:hAnsi="宋体" w:eastAsia="等线" w:cs="宋体"/>
          <w:color w:val="auto"/>
          <w:sz w:val="24"/>
        </w:rPr>
        <w:t>客观评价海南省海洋强省（经济）建设的发展基础，综合评估海南省海洋强省（经济）建设的发展情况与问题，深入分析海南省海洋强省（经济）建设面临的国内外形势，提出海南省海洋强省（经济）建设的面临的机遇与挑战。</w:t>
      </w:r>
    </w:p>
    <w:p>
      <w:pPr>
        <w:tabs>
          <w:tab w:val="left" w:pos="2730"/>
          <w:tab w:val="left" w:pos="2835"/>
        </w:tabs>
        <w:adjustRightInd w:val="0"/>
        <w:snapToGrid w:val="0"/>
        <w:spacing w:line="500" w:lineRule="exact"/>
        <w:ind w:firstLine="480"/>
        <w:rPr>
          <w:rFonts w:ascii="宋体" w:hAnsi="宋体" w:eastAsia="等线" w:cs="宋体"/>
          <w:b/>
          <w:color w:val="auto"/>
          <w:sz w:val="24"/>
        </w:rPr>
      </w:pPr>
      <w:r>
        <w:rPr>
          <w:rFonts w:hint="eastAsia" w:ascii="宋体" w:hAnsi="宋体" w:eastAsia="等线" w:cs="宋体"/>
          <w:b/>
          <w:color w:val="auto"/>
          <w:sz w:val="24"/>
        </w:rPr>
        <w:t>（二）海南省海洋强省（经济）建设若干重大问题研究</w:t>
      </w:r>
    </w:p>
    <w:p>
      <w:pPr>
        <w:tabs>
          <w:tab w:val="left" w:pos="2730"/>
          <w:tab w:val="left" w:pos="2835"/>
        </w:tabs>
        <w:adjustRightInd w:val="0"/>
        <w:snapToGrid w:val="0"/>
        <w:spacing w:line="500" w:lineRule="exact"/>
        <w:ind w:firstLine="480"/>
        <w:rPr>
          <w:rFonts w:ascii="宋体" w:hAnsi="宋体" w:eastAsia="等线" w:cs="宋体"/>
          <w:color w:val="auto"/>
          <w:sz w:val="24"/>
        </w:rPr>
      </w:pPr>
      <w:r>
        <w:rPr>
          <w:rFonts w:hint="eastAsia" w:ascii="宋体" w:hAnsi="宋体" w:eastAsia="等线" w:cs="宋体"/>
          <w:color w:val="auto"/>
          <w:sz w:val="24"/>
        </w:rPr>
        <w:t>重点结合海南省海洋强省（经济）建设中涉及的重大战略问题，包括现代海洋经济体系、海洋创新驱动、海洋新兴产业发展、海洋现代服务业等问题开展专题研究，提出解决思路和建议，为谋划海南省海洋强省（经济）建设战略提供参考依据。</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b/>
          <w:color w:val="auto"/>
          <w:sz w:val="24"/>
        </w:rPr>
        <w:t>1．现代化海洋经济体系研究。</w:t>
      </w:r>
      <w:r>
        <w:rPr>
          <w:rFonts w:hint="eastAsia" w:ascii="宋体" w:hAnsi="宋体" w:eastAsia="等线" w:cs="宋体"/>
          <w:color w:val="auto"/>
          <w:sz w:val="24"/>
        </w:rPr>
        <w:t>以推动海洋经济高质量发展为目标，进一步优化海洋产业结构和布局，研究加快建立开放型生态型服务型海洋产业体系。</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b/>
          <w:color w:val="auto"/>
          <w:sz w:val="24"/>
        </w:rPr>
        <w:t>2．海洋领域创新驱动发展战略的实施路径研究。</w:t>
      </w:r>
      <w:r>
        <w:rPr>
          <w:rFonts w:hint="eastAsia" w:ascii="宋体" w:hAnsi="宋体" w:eastAsia="等线" w:cs="宋体"/>
          <w:color w:val="auto"/>
          <w:sz w:val="24"/>
        </w:rPr>
        <w:t>围绕海洋高新技术产业发展目标，在现有科研成果能力基础上，提出海南省自主创新及成果转化能力建设远景，制定海南省实施发展目标、路径及政策保障。</w:t>
      </w:r>
    </w:p>
    <w:p>
      <w:pPr>
        <w:tabs>
          <w:tab w:val="left" w:pos="567"/>
          <w:tab w:val="left" w:pos="2835"/>
        </w:tabs>
        <w:adjustRightInd w:val="0"/>
        <w:snapToGrid w:val="0"/>
        <w:spacing w:line="500" w:lineRule="exact"/>
        <w:ind w:firstLine="567"/>
        <w:rPr>
          <w:rFonts w:ascii="宋体" w:hAnsi="宋体" w:eastAsia="等线" w:cs="宋体"/>
          <w:color w:val="auto"/>
          <w:sz w:val="24"/>
        </w:rPr>
      </w:pPr>
      <w:r>
        <w:rPr>
          <w:rFonts w:hint="eastAsia" w:ascii="宋体" w:hAnsi="宋体" w:eastAsia="等线" w:cs="宋体"/>
          <w:b/>
          <w:color w:val="auto"/>
          <w:sz w:val="24"/>
        </w:rPr>
        <w:t>3．海洋经济现代服务业发展研究。</w:t>
      </w:r>
      <w:r>
        <w:rPr>
          <w:rFonts w:hint="eastAsia" w:ascii="宋体" w:hAnsi="宋体" w:eastAsia="等线" w:cs="宋体"/>
          <w:color w:val="auto"/>
          <w:sz w:val="24"/>
        </w:rPr>
        <w:t>按照4.13重要讲话和中央12号文件精神，探索自由贸易区（港）全面对外开放新格局下海洋经济现代服务业的发展路径、保障措施及发展政策。</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b/>
          <w:color w:val="auto"/>
          <w:sz w:val="24"/>
        </w:rPr>
        <w:t>4．</w:t>
      </w:r>
      <w:r>
        <w:rPr>
          <w:rFonts w:ascii="宋体" w:hAnsi="宋体" w:eastAsia="等线" w:cs="宋体"/>
          <w:b/>
          <w:color w:val="auto"/>
          <w:sz w:val="24"/>
        </w:rPr>
        <w:t>海洋新兴产业培育研究</w:t>
      </w:r>
      <w:r>
        <w:rPr>
          <w:rFonts w:hint="eastAsia" w:ascii="宋体" w:hAnsi="宋体" w:eastAsia="等线" w:cs="宋体"/>
          <w:b/>
          <w:color w:val="auto"/>
          <w:sz w:val="24"/>
        </w:rPr>
        <w:t>。</w:t>
      </w:r>
      <w:r>
        <w:rPr>
          <w:rFonts w:ascii="宋体" w:hAnsi="宋体" w:eastAsia="等线" w:cs="宋体"/>
          <w:color w:val="auto"/>
          <w:sz w:val="24"/>
        </w:rPr>
        <w:t>着</w:t>
      </w:r>
      <w:r>
        <w:rPr>
          <w:rFonts w:hint="eastAsia" w:ascii="宋体" w:hAnsi="宋体" w:eastAsia="等线" w:cs="宋体"/>
          <w:color w:val="auto"/>
          <w:sz w:val="24"/>
        </w:rPr>
        <w:t>重研究培育海洋生物、海水淡化与综合利用、海洋可再生能源等新兴产业发展。</w:t>
      </w:r>
    </w:p>
    <w:p>
      <w:pPr>
        <w:tabs>
          <w:tab w:val="left" w:pos="2730"/>
          <w:tab w:val="left" w:pos="2835"/>
        </w:tabs>
        <w:adjustRightInd w:val="0"/>
        <w:snapToGrid w:val="0"/>
        <w:spacing w:line="500" w:lineRule="exact"/>
        <w:ind w:firstLine="480"/>
        <w:rPr>
          <w:rFonts w:hint="eastAsia" w:ascii="等线" w:hAnsi="等线" w:eastAsia="等线"/>
          <w:color w:val="auto"/>
        </w:rPr>
      </w:pPr>
      <w:r>
        <w:rPr>
          <w:rFonts w:hint="eastAsia" w:ascii="宋体" w:hAnsi="宋体" w:eastAsia="等线" w:cs="宋体"/>
          <w:b/>
          <w:color w:val="auto"/>
          <w:sz w:val="24"/>
        </w:rPr>
        <w:t>（三）海南省海洋强省（经济）建设的战略规划研究</w:t>
      </w:r>
    </w:p>
    <w:p>
      <w:pPr>
        <w:tabs>
          <w:tab w:val="left" w:pos="2730"/>
          <w:tab w:val="left" w:pos="2835"/>
        </w:tabs>
        <w:adjustRightInd w:val="0"/>
        <w:snapToGrid w:val="0"/>
        <w:spacing w:line="500" w:lineRule="exact"/>
        <w:ind w:firstLine="480"/>
        <w:rPr>
          <w:rFonts w:ascii="宋体" w:hAnsi="宋体" w:eastAsia="等线" w:cs="宋体"/>
          <w:color w:val="auto"/>
          <w:sz w:val="24"/>
        </w:rPr>
      </w:pPr>
      <w:r>
        <w:rPr>
          <w:rFonts w:hint="eastAsia" w:ascii="宋体" w:hAnsi="宋体" w:eastAsia="等线" w:cs="宋体"/>
          <w:color w:val="auto"/>
          <w:sz w:val="24"/>
        </w:rPr>
        <w:t>按照4.13重要讲话和中央12号文件精神，</w:t>
      </w:r>
      <w:r>
        <w:rPr>
          <w:rFonts w:ascii="宋体" w:hAnsi="宋体" w:eastAsia="等线" w:cs="宋体"/>
          <w:color w:val="auto"/>
          <w:sz w:val="24"/>
        </w:rPr>
        <w:t>落实国家对海南省的战略定位和发展要求</w:t>
      </w:r>
      <w:r>
        <w:rPr>
          <w:rFonts w:hint="eastAsia" w:ascii="宋体" w:hAnsi="宋体" w:eastAsia="等线" w:cs="宋体"/>
          <w:color w:val="auto"/>
          <w:sz w:val="24"/>
        </w:rPr>
        <w:t>，</w:t>
      </w:r>
      <w:r>
        <w:rPr>
          <w:rFonts w:ascii="宋体" w:hAnsi="宋体" w:eastAsia="等线" w:cs="宋体"/>
          <w:color w:val="auto"/>
          <w:sz w:val="24"/>
        </w:rPr>
        <w:t>立足海南省的自身基础和优势</w:t>
      </w:r>
      <w:r>
        <w:rPr>
          <w:rFonts w:hint="eastAsia" w:ascii="宋体" w:hAnsi="宋体" w:eastAsia="等线" w:cs="宋体"/>
          <w:color w:val="auto"/>
          <w:sz w:val="24"/>
        </w:rPr>
        <w:t>，</w:t>
      </w:r>
      <w:r>
        <w:rPr>
          <w:rFonts w:ascii="宋体" w:hAnsi="宋体" w:eastAsia="等线" w:cs="宋体"/>
          <w:color w:val="auto"/>
          <w:sz w:val="24"/>
        </w:rPr>
        <w:t>提出海南省海洋强省（经济）建设的总体思路</w:t>
      </w:r>
      <w:r>
        <w:rPr>
          <w:rFonts w:hint="eastAsia" w:ascii="宋体" w:hAnsi="宋体" w:eastAsia="等线" w:cs="宋体"/>
          <w:color w:val="auto"/>
          <w:sz w:val="24"/>
        </w:rPr>
        <w:t>、战略</w:t>
      </w:r>
      <w:r>
        <w:rPr>
          <w:rFonts w:ascii="宋体" w:hAnsi="宋体" w:eastAsia="等线" w:cs="宋体"/>
          <w:color w:val="auto"/>
          <w:sz w:val="24"/>
        </w:rPr>
        <w:t>定位与目标</w:t>
      </w:r>
      <w:r>
        <w:rPr>
          <w:rFonts w:hint="eastAsia" w:ascii="宋体" w:hAnsi="宋体" w:eastAsia="等线" w:cs="宋体"/>
          <w:color w:val="auto"/>
          <w:sz w:val="24"/>
        </w:rPr>
        <w:t>、战略</w:t>
      </w:r>
      <w:r>
        <w:rPr>
          <w:rFonts w:ascii="宋体" w:hAnsi="宋体" w:eastAsia="等线" w:cs="宋体"/>
          <w:color w:val="auto"/>
          <w:sz w:val="24"/>
        </w:rPr>
        <w:t>任务和保障措施</w:t>
      </w:r>
      <w:r>
        <w:rPr>
          <w:rFonts w:hint="eastAsia" w:ascii="宋体" w:hAnsi="宋体" w:eastAsia="等线" w:cs="宋体"/>
          <w:color w:val="auto"/>
          <w:sz w:val="24"/>
        </w:rPr>
        <w:t>。</w:t>
      </w:r>
    </w:p>
    <w:p>
      <w:pPr>
        <w:numPr>
          <w:ilvl w:val="0"/>
          <w:numId w:val="3"/>
        </w:numPr>
        <w:tabs>
          <w:tab w:val="left" w:pos="2730"/>
          <w:tab w:val="left" w:pos="2835"/>
        </w:tabs>
        <w:adjustRightInd w:val="0"/>
        <w:snapToGrid w:val="0"/>
        <w:spacing w:before="156" w:beforeLines="50" w:after="156" w:afterLines="50" w:line="440" w:lineRule="exact"/>
        <w:rPr>
          <w:rFonts w:hint="eastAsia" w:ascii="宋体" w:hAnsi="宋体" w:eastAsia="等线" w:cs="宋体"/>
          <w:b/>
          <w:bCs/>
          <w:color w:val="auto"/>
          <w:sz w:val="28"/>
          <w:szCs w:val="28"/>
        </w:rPr>
      </w:pPr>
      <w:r>
        <w:rPr>
          <w:rFonts w:hint="eastAsia" w:ascii="宋体" w:hAnsi="宋体" w:eastAsia="等线" w:cs="宋体"/>
          <w:b/>
          <w:bCs/>
          <w:color w:val="auto"/>
          <w:sz w:val="28"/>
          <w:szCs w:val="28"/>
        </w:rPr>
        <w:t>成果要求</w:t>
      </w:r>
    </w:p>
    <w:p>
      <w:pPr>
        <w:tabs>
          <w:tab w:val="left" w:pos="2730"/>
          <w:tab w:val="left" w:pos="2835"/>
        </w:tabs>
        <w:adjustRightInd w:val="0"/>
        <w:snapToGrid w:val="0"/>
        <w:spacing w:line="500" w:lineRule="exact"/>
        <w:ind w:firstLine="480"/>
        <w:rPr>
          <w:rFonts w:ascii="宋体" w:hAnsi="宋体" w:eastAsia="等线" w:cs="宋体"/>
          <w:color w:val="auto"/>
          <w:sz w:val="24"/>
        </w:rPr>
      </w:pPr>
      <w:r>
        <w:rPr>
          <w:rFonts w:hint="eastAsia" w:ascii="宋体" w:hAnsi="宋体" w:eastAsia="等线" w:cs="宋体"/>
          <w:color w:val="auto"/>
          <w:sz w:val="24"/>
        </w:rPr>
        <w:t>海洋强省战略发展规划(二次招标)主要成果包括：</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color w:val="auto"/>
          <w:sz w:val="24"/>
        </w:rPr>
        <w:t>1．《海洋强省（经济）战略规划》文本及编制说明；</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color w:val="auto"/>
          <w:sz w:val="24"/>
        </w:rPr>
        <w:t>2.《海洋强省（经济）战略规划》规划图件；</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color w:val="auto"/>
          <w:sz w:val="24"/>
        </w:rPr>
        <w:t>3.《海洋生物新兴产业发展规划》文本及编制说明；</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color w:val="auto"/>
          <w:sz w:val="24"/>
        </w:rPr>
        <w:t>4.《海洋生物新兴产业发展规划》规划图件；</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color w:val="auto"/>
          <w:sz w:val="24"/>
        </w:rPr>
        <w:t>5.《海水淡化与综合利用新兴产业规划》文本及编制说明；</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color w:val="auto"/>
          <w:sz w:val="24"/>
        </w:rPr>
        <w:t>6.《海水淡化与综合利用新兴产业规划》规划图件；</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color w:val="auto"/>
          <w:sz w:val="24"/>
        </w:rPr>
        <w:t>7.相应的专题研究报告；</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color w:val="auto"/>
          <w:sz w:val="24"/>
        </w:rPr>
        <w:t>8.海洋强省（经济）实施方案；</w:t>
      </w:r>
    </w:p>
    <w:p>
      <w:pPr>
        <w:tabs>
          <w:tab w:val="left" w:pos="567"/>
          <w:tab w:val="left" w:pos="2835"/>
        </w:tabs>
        <w:adjustRightInd w:val="0"/>
        <w:snapToGrid w:val="0"/>
        <w:spacing w:line="500" w:lineRule="exact"/>
        <w:ind w:firstLine="567"/>
        <w:rPr>
          <w:rFonts w:hint="eastAsia" w:ascii="宋体" w:hAnsi="宋体" w:eastAsia="等线" w:cs="宋体"/>
          <w:color w:val="auto"/>
          <w:sz w:val="24"/>
        </w:rPr>
      </w:pPr>
      <w:r>
        <w:rPr>
          <w:rFonts w:hint="eastAsia" w:ascii="宋体" w:hAnsi="宋体" w:eastAsia="等线" w:cs="宋体"/>
          <w:color w:val="auto"/>
          <w:sz w:val="24"/>
        </w:rPr>
        <w:t>9. 基础资料汇编。</w:t>
      </w:r>
    </w:p>
    <w:p>
      <w:pPr>
        <w:tabs>
          <w:tab w:val="left" w:pos="567"/>
          <w:tab w:val="left" w:pos="2835"/>
        </w:tabs>
        <w:adjustRightInd w:val="0"/>
        <w:snapToGrid w:val="0"/>
        <w:spacing w:line="500" w:lineRule="exact"/>
        <w:ind w:firstLine="567"/>
        <w:rPr>
          <w:rFonts w:ascii="宋体" w:hAnsi="宋体" w:eastAsia="等线" w:cs="宋体"/>
          <w:color w:val="auto"/>
          <w:sz w:val="24"/>
        </w:rPr>
      </w:pPr>
      <w:r>
        <w:rPr>
          <w:rFonts w:hint="eastAsia" w:ascii="宋体" w:hAnsi="宋体" w:eastAsia="等线" w:cs="宋体"/>
          <w:color w:val="auto"/>
          <w:sz w:val="24"/>
        </w:rPr>
        <w:t>编制完成海洋强省战略发展规划(二次招标)及相关专题研究报告，形成文本、图件等规划成果。成果需通过专家论证审核，并获得国家相关部委认可。</w:t>
      </w:r>
    </w:p>
    <w:p>
      <w:pPr>
        <w:tabs>
          <w:tab w:val="left" w:pos="2730"/>
          <w:tab w:val="left" w:pos="2835"/>
        </w:tabs>
        <w:adjustRightInd w:val="0"/>
        <w:snapToGrid w:val="0"/>
        <w:spacing w:line="500" w:lineRule="exact"/>
        <w:rPr>
          <w:rFonts w:hint="eastAsia" w:ascii="宋体" w:hAnsi="宋体" w:eastAsia="等线" w:cs="宋体"/>
          <w:b/>
          <w:bCs/>
          <w:color w:val="auto"/>
          <w:sz w:val="24"/>
        </w:rPr>
      </w:pPr>
      <w:r>
        <w:rPr>
          <w:rFonts w:hint="eastAsia" w:ascii="宋体" w:hAnsi="宋体" w:eastAsia="等线" w:cs="宋体"/>
          <w:b/>
          <w:bCs/>
          <w:color w:val="auto"/>
          <w:sz w:val="24"/>
        </w:rPr>
        <w:t>五、服务及要求</w:t>
      </w:r>
    </w:p>
    <w:p>
      <w:pPr>
        <w:tabs>
          <w:tab w:val="left" w:pos="2730"/>
          <w:tab w:val="left" w:pos="2835"/>
        </w:tabs>
        <w:adjustRightInd w:val="0"/>
        <w:snapToGrid w:val="0"/>
        <w:spacing w:line="500" w:lineRule="exact"/>
        <w:rPr>
          <w:rFonts w:hint="eastAsia" w:ascii="宋体" w:hAnsi="宋体" w:eastAsia="等线" w:cs="宋体"/>
          <w:b/>
          <w:bCs/>
          <w:color w:val="auto"/>
          <w:sz w:val="24"/>
        </w:rPr>
      </w:pPr>
      <w:r>
        <w:rPr>
          <w:rFonts w:hint="eastAsia" w:ascii="宋体" w:hAnsi="宋体" w:eastAsia="等线" w:cs="宋体"/>
          <w:color w:val="auto"/>
          <w:sz w:val="24"/>
        </w:rPr>
        <w:t xml:space="preserve">    1、成果交付时间：</w:t>
      </w:r>
      <w:r>
        <w:rPr>
          <w:rFonts w:hint="eastAsia" w:ascii="宋体" w:hAnsi="宋体" w:eastAsia="等线" w:cs="宋体"/>
          <w:color w:val="auto"/>
          <w:sz w:val="24"/>
          <w:lang w:val="en-GB"/>
        </w:rPr>
        <w:t>合同签订生效之日起</w:t>
      </w:r>
      <w:r>
        <w:rPr>
          <w:rFonts w:hint="eastAsia" w:ascii="宋体" w:hAnsi="宋体" w:eastAsia="等线" w:cs="宋体"/>
          <w:color w:val="auto"/>
          <w:sz w:val="24"/>
          <w:u w:val="single"/>
        </w:rPr>
        <w:t xml:space="preserve"> 至2020年9月</w:t>
      </w:r>
      <w:r>
        <w:rPr>
          <w:rFonts w:ascii="宋体" w:hAnsi="宋体" w:eastAsia="等线" w:cs="宋体"/>
          <w:color w:val="auto"/>
          <w:sz w:val="24"/>
          <w:u w:val="single"/>
        </w:rPr>
        <w:t>底</w:t>
      </w:r>
      <w:r>
        <w:rPr>
          <w:rFonts w:hint="eastAsia" w:ascii="宋体" w:hAnsi="宋体" w:eastAsia="等线" w:cs="宋体"/>
          <w:color w:val="auto"/>
          <w:sz w:val="24"/>
          <w:u w:val="single"/>
        </w:rPr>
        <w:t xml:space="preserve"> </w:t>
      </w:r>
      <w:r>
        <w:rPr>
          <w:rFonts w:hint="eastAsia" w:ascii="宋体" w:hAnsi="宋体" w:eastAsia="等线" w:cs="宋体"/>
          <w:color w:val="auto"/>
          <w:sz w:val="24"/>
          <w:lang w:val="en-GB"/>
        </w:rPr>
        <w:t>。</w:t>
      </w:r>
    </w:p>
    <w:p>
      <w:pPr>
        <w:tabs>
          <w:tab w:val="left" w:pos="2730"/>
          <w:tab w:val="left" w:pos="2835"/>
        </w:tabs>
        <w:adjustRightInd w:val="0"/>
        <w:snapToGrid w:val="0"/>
        <w:spacing w:line="500" w:lineRule="exact"/>
        <w:rPr>
          <w:rFonts w:hint="eastAsia" w:ascii="宋体" w:hAnsi="宋体" w:eastAsia="等线" w:cs="宋体"/>
          <w:color w:val="auto"/>
          <w:sz w:val="24"/>
        </w:rPr>
      </w:pPr>
      <w:r>
        <w:rPr>
          <w:rFonts w:hint="eastAsia" w:ascii="宋体" w:hAnsi="宋体" w:eastAsia="等线" w:cs="宋体"/>
          <w:color w:val="auto"/>
          <w:sz w:val="24"/>
        </w:rPr>
        <w:t xml:space="preserve">    2、交付地点：采购人指定地点</w:t>
      </w:r>
    </w:p>
    <w:p>
      <w:pPr>
        <w:numPr>
          <w:ilvl w:val="0"/>
          <w:numId w:val="4"/>
        </w:numPr>
        <w:tabs>
          <w:tab w:val="left" w:pos="2730"/>
          <w:tab w:val="left" w:pos="2835"/>
        </w:tabs>
        <w:adjustRightInd w:val="0"/>
        <w:snapToGrid w:val="0"/>
        <w:spacing w:line="500" w:lineRule="exact"/>
        <w:ind w:firstLine="480"/>
        <w:rPr>
          <w:rFonts w:hint="eastAsia" w:ascii="宋体" w:hAnsi="宋体" w:eastAsia="等线" w:cs="宋体"/>
          <w:color w:val="auto"/>
          <w:sz w:val="24"/>
        </w:rPr>
      </w:pPr>
      <w:r>
        <w:rPr>
          <w:rFonts w:hint="eastAsia" w:ascii="宋体" w:hAnsi="宋体" w:eastAsia="等线" w:cs="宋体"/>
          <w:color w:val="auto"/>
          <w:sz w:val="24"/>
        </w:rPr>
        <w:t xml:space="preserve">后期服务：供应商负责免费对项目成果错误进行及时更正。 </w:t>
      </w:r>
    </w:p>
    <w:p>
      <w:pPr>
        <w:tabs>
          <w:tab w:val="left" w:pos="2730"/>
          <w:tab w:val="left" w:pos="2835"/>
        </w:tabs>
        <w:adjustRightInd w:val="0"/>
        <w:snapToGrid w:val="0"/>
        <w:spacing w:before="156" w:beforeLines="50" w:after="156" w:afterLines="50" w:line="440" w:lineRule="exact"/>
        <w:ind w:firstLine="480" w:firstLineChars="200"/>
        <w:rPr>
          <w:rFonts w:hint="eastAsia" w:ascii="宋体" w:hAnsi="宋体" w:eastAsia="等线" w:cs="宋体"/>
          <w:b/>
          <w:bCs/>
          <w:color w:val="auto"/>
          <w:sz w:val="28"/>
          <w:szCs w:val="28"/>
        </w:rPr>
      </w:pPr>
      <w:r>
        <w:rPr>
          <w:rFonts w:hint="eastAsia" w:ascii="宋体" w:hAnsi="宋体" w:eastAsia="等线" w:cs="宋体"/>
          <w:color w:val="auto"/>
          <w:sz w:val="24"/>
        </w:rPr>
        <w:t xml:space="preserve">4、付款条件：采购双方签订合同时另行约定。     </w:t>
      </w:r>
      <w:bookmarkEnd w:id="0"/>
      <w:bookmarkEnd w:id="1"/>
      <w:bookmarkEnd w:id="2"/>
      <w:bookmarkEnd w:id="3"/>
    </w:p>
    <w:p>
      <w:pPr>
        <w:tabs>
          <w:tab w:val="left" w:pos="2730"/>
          <w:tab w:val="left" w:pos="2835"/>
        </w:tabs>
        <w:adjustRightInd w:val="0"/>
        <w:snapToGrid w:val="0"/>
        <w:spacing w:line="500" w:lineRule="exact"/>
        <w:rPr>
          <w:rFonts w:hint="eastAsia" w:ascii="宋体" w:hAnsi="宋体" w:eastAsia="等线" w:cs="宋体"/>
          <w:b/>
          <w:bCs/>
          <w:color w:val="auto"/>
          <w:sz w:val="24"/>
        </w:rPr>
      </w:pPr>
      <w:r>
        <w:rPr>
          <w:rFonts w:hint="eastAsia" w:ascii="宋体" w:hAnsi="宋体" w:eastAsia="等线" w:cs="宋体"/>
          <w:b/>
          <w:bCs/>
          <w:color w:val="auto"/>
          <w:sz w:val="24"/>
        </w:rPr>
        <w:t>六、商务要求</w:t>
      </w:r>
    </w:p>
    <w:p>
      <w:pPr>
        <w:tabs>
          <w:tab w:val="left" w:pos="2730"/>
          <w:tab w:val="left" w:pos="2835"/>
        </w:tabs>
        <w:adjustRightInd w:val="0"/>
        <w:snapToGrid w:val="0"/>
        <w:spacing w:line="500" w:lineRule="exact"/>
        <w:rPr>
          <w:rFonts w:hint="eastAsia" w:ascii="宋体" w:hAnsi="宋体" w:eastAsia="等线" w:cs="宋体"/>
          <w:color w:val="auto"/>
          <w:sz w:val="24"/>
        </w:rPr>
      </w:pPr>
      <w:r>
        <w:rPr>
          <w:rFonts w:hint="eastAsia" w:ascii="宋体" w:hAnsi="宋体" w:eastAsia="等线" w:cs="宋体"/>
          <w:color w:val="auto"/>
          <w:sz w:val="24"/>
        </w:rPr>
        <w:t xml:space="preserve">   1、付款方式：本项目分</w:t>
      </w:r>
      <w:r>
        <w:rPr>
          <w:rFonts w:hint="eastAsia" w:ascii="宋体" w:hAnsi="宋体" w:eastAsia="等线" w:cs="宋体"/>
          <w:color w:val="auto"/>
          <w:sz w:val="24"/>
          <w:u w:val="single"/>
        </w:rPr>
        <w:t xml:space="preserve"> </w:t>
      </w:r>
      <w:r>
        <w:rPr>
          <w:rFonts w:ascii="宋体" w:hAnsi="宋体" w:eastAsia="等线" w:cs="宋体"/>
          <w:color w:val="auto"/>
          <w:sz w:val="24"/>
          <w:u w:val="single"/>
        </w:rPr>
        <w:t>3</w:t>
      </w:r>
      <w:r>
        <w:rPr>
          <w:rFonts w:hint="eastAsia" w:ascii="宋体" w:hAnsi="宋体" w:eastAsia="等线" w:cs="宋体"/>
          <w:color w:val="auto"/>
          <w:sz w:val="24"/>
        </w:rPr>
        <w:t>个阶段进行付款。</w:t>
      </w:r>
    </w:p>
    <w:p>
      <w:pPr>
        <w:tabs>
          <w:tab w:val="left" w:pos="2730"/>
          <w:tab w:val="left" w:pos="2835"/>
        </w:tabs>
        <w:adjustRightInd w:val="0"/>
        <w:snapToGrid w:val="0"/>
        <w:spacing w:line="500" w:lineRule="exact"/>
        <w:rPr>
          <w:rFonts w:hint="eastAsia" w:ascii="宋体" w:hAnsi="宋体" w:eastAsia="等线" w:cs="宋体"/>
          <w:color w:val="auto"/>
          <w:sz w:val="24"/>
        </w:rPr>
      </w:pPr>
      <w:r>
        <w:rPr>
          <w:rFonts w:hint="eastAsia" w:ascii="宋体" w:hAnsi="宋体" w:eastAsia="等线" w:cs="宋体"/>
          <w:color w:val="auto"/>
          <w:sz w:val="24"/>
        </w:rPr>
        <w:t xml:space="preserve">   1.1 初稿阶段：</w:t>
      </w:r>
    </w:p>
    <w:p>
      <w:pPr>
        <w:tabs>
          <w:tab w:val="left" w:pos="2730"/>
          <w:tab w:val="left" w:pos="2835"/>
        </w:tabs>
        <w:adjustRightInd w:val="0"/>
        <w:snapToGrid w:val="0"/>
        <w:spacing w:line="500" w:lineRule="exact"/>
        <w:ind w:firstLine="480"/>
        <w:rPr>
          <w:rFonts w:hint="eastAsia" w:ascii="宋体" w:hAnsi="宋体" w:eastAsia="等线" w:cs="宋体"/>
          <w:color w:val="auto"/>
          <w:sz w:val="24"/>
        </w:rPr>
      </w:pPr>
      <w:r>
        <w:rPr>
          <w:rFonts w:hint="eastAsia" w:ascii="宋体" w:hAnsi="宋体" w:eastAsia="等线" w:cs="宋体"/>
          <w:color w:val="auto"/>
          <w:sz w:val="24"/>
        </w:rPr>
        <w:t>项目入场付项目中标金额的</w:t>
      </w:r>
      <w:r>
        <w:rPr>
          <w:rFonts w:hint="eastAsia" w:ascii="宋体" w:hAnsi="宋体" w:eastAsia="等线" w:cs="宋体"/>
          <w:color w:val="auto"/>
          <w:sz w:val="24"/>
          <w:u w:val="single"/>
        </w:rPr>
        <w:t xml:space="preserve"> </w:t>
      </w:r>
      <w:r>
        <w:rPr>
          <w:rFonts w:ascii="宋体" w:hAnsi="宋体" w:eastAsia="等线" w:cs="宋体"/>
          <w:color w:val="auto"/>
          <w:sz w:val="24"/>
          <w:u w:val="single"/>
        </w:rPr>
        <w:t>40</w:t>
      </w:r>
      <w:r>
        <w:rPr>
          <w:rFonts w:hint="eastAsia" w:ascii="宋体" w:hAnsi="宋体" w:eastAsia="等线" w:cs="宋体"/>
          <w:color w:val="auto"/>
          <w:sz w:val="24"/>
          <w:u w:val="single"/>
        </w:rPr>
        <w:t xml:space="preserve">  </w:t>
      </w:r>
      <w:r>
        <w:rPr>
          <w:rFonts w:hint="eastAsia" w:ascii="宋体" w:hAnsi="宋体" w:eastAsia="等线" w:cs="宋体"/>
          <w:color w:val="auto"/>
          <w:sz w:val="24"/>
        </w:rPr>
        <w:t>%。初稿提交的工作内容为规划的整体思路，供双方沟通明确的发展方向、总体定位、战略思路等大方向问题，同时落实涉及所有工作内容的初步方案。</w:t>
      </w:r>
    </w:p>
    <w:p>
      <w:pPr>
        <w:tabs>
          <w:tab w:val="left" w:pos="2730"/>
          <w:tab w:val="left" w:pos="2835"/>
        </w:tabs>
        <w:adjustRightInd w:val="0"/>
        <w:snapToGrid w:val="0"/>
        <w:spacing w:line="500" w:lineRule="exact"/>
        <w:rPr>
          <w:rFonts w:hint="eastAsia" w:ascii="宋体" w:hAnsi="宋体" w:eastAsia="等线" w:cs="宋体"/>
          <w:color w:val="auto"/>
          <w:sz w:val="24"/>
        </w:rPr>
      </w:pPr>
      <w:r>
        <w:rPr>
          <w:rFonts w:hint="eastAsia" w:ascii="宋体" w:hAnsi="宋体" w:eastAsia="等线" w:cs="宋体"/>
          <w:color w:val="auto"/>
          <w:sz w:val="24"/>
        </w:rPr>
        <w:t xml:space="preserve">   1.2 送审稿阶段：</w:t>
      </w:r>
    </w:p>
    <w:p>
      <w:pPr>
        <w:tabs>
          <w:tab w:val="left" w:pos="2730"/>
          <w:tab w:val="left" w:pos="2835"/>
        </w:tabs>
        <w:adjustRightInd w:val="0"/>
        <w:snapToGrid w:val="0"/>
        <w:spacing w:line="500" w:lineRule="exact"/>
        <w:ind w:firstLine="480"/>
        <w:rPr>
          <w:rFonts w:hint="eastAsia" w:ascii="宋体" w:hAnsi="宋体" w:eastAsia="等线" w:cs="宋体"/>
          <w:color w:val="auto"/>
          <w:sz w:val="24"/>
        </w:rPr>
      </w:pPr>
      <w:r>
        <w:rPr>
          <w:rFonts w:hint="eastAsia" w:ascii="宋体" w:hAnsi="宋体" w:eastAsia="等线" w:cs="宋体"/>
          <w:color w:val="auto"/>
          <w:sz w:val="24"/>
        </w:rPr>
        <w:t>初稿阶段向甲方提交的成果内容获得甲方认可后，支付第二阶段费用</w:t>
      </w:r>
      <w:r>
        <w:rPr>
          <w:rFonts w:hint="eastAsia" w:ascii="宋体" w:hAnsi="宋体" w:eastAsia="等线" w:cs="宋体"/>
          <w:color w:val="auto"/>
          <w:sz w:val="24"/>
          <w:u w:val="single"/>
        </w:rPr>
        <w:t xml:space="preserve"> </w:t>
      </w:r>
      <w:r>
        <w:rPr>
          <w:rFonts w:ascii="宋体" w:hAnsi="宋体" w:eastAsia="等线" w:cs="宋体"/>
          <w:color w:val="auto"/>
          <w:sz w:val="24"/>
          <w:u w:val="single"/>
        </w:rPr>
        <w:t>45</w:t>
      </w:r>
      <w:r>
        <w:rPr>
          <w:rFonts w:hint="eastAsia" w:ascii="宋体" w:hAnsi="宋体" w:eastAsia="等线" w:cs="宋体"/>
          <w:color w:val="auto"/>
          <w:sz w:val="24"/>
          <w:u w:val="single"/>
        </w:rPr>
        <w:t xml:space="preserve"> </w:t>
      </w:r>
      <w:r>
        <w:rPr>
          <w:rFonts w:hint="eastAsia" w:ascii="宋体" w:hAnsi="宋体" w:eastAsia="等线" w:cs="宋体"/>
          <w:color w:val="auto"/>
          <w:sz w:val="24"/>
        </w:rPr>
        <w:t>%。内容包括标书内所列及的所有工作内容，按照甲方及政府相关部门对初稿提出修改完善意见进行修改后的成果，作为规划成果上专家评审会，经甲方和相关专家审定，并获得甲方认可。</w:t>
      </w:r>
    </w:p>
    <w:p>
      <w:pPr>
        <w:tabs>
          <w:tab w:val="left" w:pos="2730"/>
          <w:tab w:val="left" w:pos="2835"/>
        </w:tabs>
        <w:adjustRightInd w:val="0"/>
        <w:snapToGrid w:val="0"/>
        <w:spacing w:line="500" w:lineRule="exact"/>
        <w:rPr>
          <w:rFonts w:hint="eastAsia" w:ascii="宋体" w:hAnsi="宋体" w:eastAsia="等线" w:cs="宋体"/>
          <w:color w:val="auto"/>
          <w:sz w:val="24"/>
        </w:rPr>
      </w:pPr>
      <w:r>
        <w:rPr>
          <w:rFonts w:hint="eastAsia" w:ascii="宋体" w:hAnsi="宋体" w:eastAsia="等线" w:cs="宋体"/>
          <w:color w:val="auto"/>
          <w:sz w:val="24"/>
        </w:rPr>
        <w:t xml:space="preserve">   1.3 终稿阶段：</w:t>
      </w:r>
    </w:p>
    <w:p>
      <w:pPr>
        <w:tabs>
          <w:tab w:val="left" w:pos="2730"/>
          <w:tab w:val="left" w:pos="2835"/>
        </w:tabs>
        <w:adjustRightInd w:val="0"/>
        <w:snapToGrid w:val="0"/>
        <w:spacing w:line="500" w:lineRule="exact"/>
        <w:ind w:firstLine="480"/>
        <w:rPr>
          <w:rFonts w:hint="eastAsia" w:ascii="宋体" w:hAnsi="宋体" w:eastAsia="等线" w:cs="宋体"/>
          <w:color w:val="auto"/>
          <w:sz w:val="24"/>
        </w:rPr>
      </w:pPr>
      <w:r>
        <w:rPr>
          <w:rFonts w:hint="eastAsia" w:ascii="宋体" w:hAnsi="宋体" w:eastAsia="等线" w:cs="宋体"/>
          <w:color w:val="auto"/>
          <w:sz w:val="24"/>
        </w:rPr>
        <w:t>终稿提交内容是在送审稿基础上，按照甲方及专家评审意见进行修改完善后的成果，具体内容与初稿相同，作为本合同工作结束的最终成果。甲方支付尾款</w:t>
      </w:r>
      <w:r>
        <w:rPr>
          <w:rFonts w:hint="eastAsia" w:ascii="宋体" w:hAnsi="宋体" w:eastAsia="等线" w:cs="宋体"/>
          <w:color w:val="auto"/>
          <w:sz w:val="24"/>
          <w:u w:val="single"/>
        </w:rPr>
        <w:t xml:space="preserve"> </w:t>
      </w:r>
      <w:r>
        <w:rPr>
          <w:rFonts w:ascii="宋体" w:hAnsi="宋体" w:eastAsia="等线" w:cs="宋体"/>
          <w:color w:val="auto"/>
          <w:sz w:val="24"/>
          <w:u w:val="single"/>
        </w:rPr>
        <w:t>15</w:t>
      </w:r>
      <w:r>
        <w:rPr>
          <w:rFonts w:hint="eastAsia" w:ascii="宋体" w:hAnsi="宋体" w:eastAsia="等线" w:cs="宋体"/>
          <w:color w:val="auto"/>
          <w:sz w:val="24"/>
          <w:u w:val="single"/>
        </w:rPr>
        <w:t xml:space="preserve">  </w:t>
      </w:r>
      <w:r>
        <w:rPr>
          <w:rFonts w:hint="eastAsia" w:ascii="宋体" w:hAnsi="宋体" w:eastAsia="等线" w:cs="宋体"/>
          <w:color w:val="auto"/>
          <w:sz w:val="24"/>
        </w:rPr>
        <w:t>%。</w:t>
      </w:r>
    </w:p>
    <w:p>
      <w:pPr>
        <w:tabs>
          <w:tab w:val="left" w:pos="2730"/>
          <w:tab w:val="left" w:pos="2835"/>
        </w:tabs>
        <w:adjustRightInd w:val="0"/>
        <w:snapToGrid w:val="0"/>
        <w:spacing w:line="500" w:lineRule="exact"/>
        <w:rPr>
          <w:rFonts w:hint="eastAsia" w:ascii="宋体" w:hAnsi="宋体" w:eastAsia="等线" w:cs="宋体"/>
          <w:color w:val="auto"/>
          <w:sz w:val="24"/>
        </w:rPr>
      </w:pPr>
      <w:r>
        <w:rPr>
          <w:rFonts w:hint="eastAsia" w:ascii="宋体" w:hAnsi="宋体" w:eastAsia="等线" w:cs="宋体"/>
          <w:color w:val="auto"/>
          <w:sz w:val="24"/>
        </w:rPr>
        <w:t xml:space="preserve">   2、报价要求</w:t>
      </w:r>
    </w:p>
    <w:p>
      <w:pPr>
        <w:tabs>
          <w:tab w:val="left" w:pos="2730"/>
          <w:tab w:val="left" w:pos="2835"/>
        </w:tabs>
        <w:adjustRightInd w:val="0"/>
        <w:snapToGrid w:val="0"/>
        <w:spacing w:line="500" w:lineRule="exact"/>
        <w:ind w:firstLine="480"/>
        <w:rPr>
          <w:rFonts w:hint="eastAsia" w:ascii="宋体" w:hAnsi="宋体" w:eastAsia="等线" w:cs="宋体"/>
          <w:color w:val="auto"/>
          <w:sz w:val="24"/>
        </w:rPr>
      </w:pPr>
      <w:r>
        <w:rPr>
          <w:rFonts w:hint="eastAsia" w:ascii="宋体" w:hAnsi="宋体" w:eastAsia="等线" w:cs="宋体"/>
          <w:color w:val="auto"/>
          <w:sz w:val="24"/>
        </w:rPr>
        <w:t>按招标项目的技术要求，供应商根据项目特点和供应商自身条件确定投标报价。供应商的投标报价为本项目的总报价，包括人工费、材料费和税金等所有费用。如有漏项，视同已包含在其他项目中，合同总价不做调整。</w:t>
      </w:r>
    </w:p>
    <w:p>
      <w:pPr>
        <w:tabs>
          <w:tab w:val="left" w:pos="2730"/>
          <w:tab w:val="left" w:pos="2835"/>
        </w:tabs>
        <w:adjustRightInd w:val="0"/>
        <w:snapToGrid w:val="0"/>
        <w:spacing w:line="500" w:lineRule="exact"/>
        <w:rPr>
          <w:rFonts w:hint="eastAsia" w:ascii="宋体" w:hAnsi="宋体" w:eastAsia="等线" w:cs="宋体"/>
          <w:color w:val="auto"/>
          <w:sz w:val="24"/>
        </w:rPr>
      </w:pPr>
      <w:r>
        <w:rPr>
          <w:rFonts w:hint="eastAsia" w:ascii="宋体" w:hAnsi="宋体" w:eastAsia="等线" w:cs="宋体"/>
          <w:color w:val="auto"/>
          <w:sz w:val="24"/>
        </w:rPr>
        <w:t xml:space="preserve">    3、保密要求</w:t>
      </w:r>
    </w:p>
    <w:p>
      <w:pPr>
        <w:tabs>
          <w:tab w:val="left" w:pos="2730"/>
          <w:tab w:val="left" w:pos="2835"/>
        </w:tabs>
        <w:adjustRightInd w:val="0"/>
        <w:snapToGrid w:val="0"/>
        <w:spacing w:line="500" w:lineRule="exact"/>
        <w:ind w:firstLine="480"/>
        <w:rPr>
          <w:rFonts w:hint="eastAsia" w:ascii="宋体" w:hAnsi="宋体" w:eastAsia="等线" w:cs="宋体"/>
          <w:color w:val="auto"/>
          <w:sz w:val="24"/>
        </w:rPr>
      </w:pPr>
      <w:r>
        <w:rPr>
          <w:rFonts w:hint="eastAsia" w:ascii="宋体" w:hAnsi="宋体" w:eastAsia="等线" w:cs="宋体"/>
          <w:color w:val="auto"/>
          <w:sz w:val="24"/>
        </w:rPr>
        <w:t>采购人及供应商分别为对方在招标文件和投标文件中涉及的商业和技术等秘密保密，违者应对由此造成的后果承担责任。</w:t>
      </w:r>
    </w:p>
    <w:p>
      <w:pPr>
        <w:tabs>
          <w:tab w:val="left" w:pos="2730"/>
          <w:tab w:val="left" w:pos="2835"/>
        </w:tabs>
        <w:adjustRightInd w:val="0"/>
        <w:snapToGrid w:val="0"/>
        <w:spacing w:line="500" w:lineRule="exact"/>
        <w:rPr>
          <w:rFonts w:hint="eastAsia" w:ascii="宋体" w:hAnsi="宋体" w:eastAsia="等线" w:cs="宋体"/>
          <w:color w:val="auto"/>
          <w:sz w:val="24"/>
        </w:rPr>
      </w:pPr>
      <w:r>
        <w:rPr>
          <w:rFonts w:hint="eastAsia" w:ascii="宋体" w:hAnsi="宋体" w:eastAsia="等线" w:cs="宋体"/>
          <w:color w:val="auto"/>
          <w:sz w:val="24"/>
        </w:rPr>
        <w:t xml:space="preserve">    4、合同签订</w:t>
      </w:r>
    </w:p>
    <w:p>
      <w:pPr>
        <w:tabs>
          <w:tab w:val="left" w:pos="2730"/>
          <w:tab w:val="left" w:pos="2835"/>
        </w:tabs>
        <w:adjustRightInd w:val="0"/>
        <w:snapToGrid w:val="0"/>
        <w:spacing w:line="500" w:lineRule="exact"/>
        <w:ind w:firstLine="480"/>
        <w:rPr>
          <w:rFonts w:hint="eastAsia" w:ascii="宋体" w:hAnsi="宋体" w:eastAsia="等线" w:cs="宋体"/>
          <w:color w:val="auto"/>
          <w:sz w:val="24"/>
        </w:rPr>
      </w:pPr>
      <w:r>
        <w:rPr>
          <w:rFonts w:hint="eastAsia" w:ascii="宋体" w:hAnsi="宋体" w:eastAsia="等线" w:cs="宋体"/>
          <w:color w:val="auto"/>
          <w:sz w:val="24"/>
        </w:rPr>
        <w:t>供应商在收到《成交通知书》后七日内与采购人签订合同。</w:t>
      </w:r>
    </w:p>
    <w:p>
      <w:pPr>
        <w:rPr>
          <w:rFonts w:hint="eastAsia"/>
          <w:lang w:val="en-US" w:eastAsia="zh-CN"/>
        </w:rPr>
      </w:pPr>
      <w:r>
        <w:rPr>
          <w:rFonts w:hint="eastAsia" w:ascii="宋体" w:hAnsi="宋体" w:eastAsia="等线" w:cs="宋体"/>
          <w:b/>
          <w:bCs/>
          <w:color w:val="auto"/>
          <w:sz w:val="24"/>
        </w:rPr>
        <w:t>注：本项目是战略规划性研究项目，是论证今后中长期海洋经济的发展路线。但研究论证方法无固定的技术路线和模式，不同的技术路线会有不同指标要求和规范。为此只能以现场问答形式判定方案（技术路线）可行性及判断竞标方案的优劣。故项目在谈判环节会设置现场问答，现场问答的内容属于提供最终设计方案或解决方案的一部分。</w:t>
      </w:r>
      <w:bookmarkStart w:id="4" w:name="_GoBack"/>
      <w:bookmarkEnd w:id="4"/>
    </w:p>
    <w:sectPr>
      <w:footerReference r:id="rId3" w:type="default"/>
      <w:pgSz w:w="11906" w:h="16838"/>
      <w:pgMar w:top="1134" w:right="1417" w:bottom="1134" w:left="1417" w:header="907"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215390" cy="173990"/>
              <wp:effectExtent l="0" t="0" r="0" b="0"/>
              <wp:wrapNone/>
              <wp:docPr id="1" name="矩形 1"/>
              <wp:cNvGraphicFramePr/>
              <a:graphic xmlns:a="http://schemas.openxmlformats.org/drawingml/2006/main">
                <a:graphicData uri="http://schemas.microsoft.com/office/word/2010/wordprocessingShape">
                  <wps:wsp>
                    <wps:cNvSpPr/>
                    <wps:spPr>
                      <a:xfrm>
                        <a:off x="0" y="0"/>
                        <a:ext cx="1215390" cy="173990"/>
                      </a:xfrm>
                      <a:prstGeom prst="rect">
                        <a:avLst/>
                      </a:prstGeom>
                      <a:noFill/>
                      <a:ln>
                        <a:noFill/>
                      </a:ln>
                    </wps:spPr>
                    <wps:txbx>
                      <w:txbxContent>
                        <w:p>
                          <w:pPr>
                            <w:snapToGrid w:val="0"/>
                            <w:rPr>
                              <w:rFonts w:hint="eastAsia"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35</w:t>
                          </w:r>
                          <w:r>
                            <w:rPr>
                              <w:rFonts w:hint="eastAsia" w:ascii="宋体" w:hAnsi="宋体" w:cs="宋体"/>
                              <w:szCs w:val="21"/>
                            </w:rPr>
                            <w:fldChar w:fldCharType="end"/>
                          </w:r>
                          <w:r>
                            <w:rPr>
                              <w:rFonts w:hint="eastAsia" w:ascii="宋体" w:hAnsi="宋体" w:cs="宋体"/>
                              <w:szCs w:val="21"/>
                            </w:rPr>
                            <w:t xml:space="preserve"> 页 共3</w:t>
                          </w:r>
                          <w:r>
                            <w:rPr>
                              <w:rFonts w:hint="eastAsia" w:ascii="宋体" w:hAnsi="宋体" w:cs="宋体"/>
                              <w:szCs w:val="21"/>
                              <w:lang w:val="en-US" w:eastAsia="zh-CN"/>
                            </w:rPr>
                            <w:t>4</w:t>
                          </w:r>
                          <w:r>
                            <w:rPr>
                              <w:rFonts w:hint="eastAsia" w:ascii="宋体" w:hAnsi="宋体" w:cs="宋体"/>
                              <w:szCs w:val="21"/>
                            </w:rPr>
                            <w:t>页</w:t>
                          </w:r>
                        </w:p>
                      </w:txbxContent>
                    </wps:txbx>
                    <wps:bodyPr lIns="0" tIns="0" rIns="0" bIns="0" upright="0"/>
                  </wps:wsp>
                </a:graphicData>
              </a:graphic>
            </wp:anchor>
          </w:drawing>
        </mc:Choice>
        <mc:Fallback>
          <w:pict>
            <v:rect id="_x0000_s1026" o:spid="_x0000_s1026" o:spt="1" style="position:absolute;left:0pt;height:13.7pt;width:95.7pt;mso-position-horizontal:center;mso-position-horizontal-relative:margin;mso-position-vertical:top;z-index:251658240;mso-width-relative:page;mso-height-relative:page;" filled="f" stroked="f" coordsize="21600,21600" o:gfxdata="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TgCzxNYAAAAEAQAADwAAAAAAAAABACAAAAAiAAAAZHJz&#10;L2Rvd25yZXYueG1sUEsBAhQAFAAAAAgAh07iQFnEPfyUAQAAFwMAAA4AAAAAAAAAAQAgAAAAJQEA&#10;AGRycy9lMm9Eb2MueG1sUEsFBgAAAAAGAAYAWQEAACsFAAAAAA==&#10;">
              <v:fill on="f" focussize="0,0"/>
              <v:stroke on="f"/>
              <v:imagedata o:title=""/>
              <o:lock v:ext="edit" aspectratio="f"/>
              <v:textbox inset="0mm,0mm,0mm,0mm">
                <w:txbxContent>
                  <w:p>
                    <w:pPr>
                      <w:snapToGrid w:val="0"/>
                      <w:rPr>
                        <w:rFonts w:hint="eastAsia" w:ascii="宋体" w:hAnsi="宋体" w:cs="宋体"/>
                        <w:szCs w:val="21"/>
                      </w:rPr>
                    </w:pPr>
                    <w:r>
                      <w:rPr>
                        <w:rFonts w:hint="eastAsia" w:ascii="宋体" w:hAnsi="宋体" w:cs="宋体"/>
                        <w:szCs w:val="21"/>
                      </w:rPr>
                      <w:t xml:space="preserve">第 </w:t>
                    </w: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rPr>
                        <w:rFonts w:ascii="宋体" w:hAnsi="宋体" w:cs="宋体"/>
                        <w:szCs w:val="21"/>
                      </w:rPr>
                      <w:t>35</w:t>
                    </w:r>
                    <w:r>
                      <w:rPr>
                        <w:rFonts w:hint="eastAsia" w:ascii="宋体" w:hAnsi="宋体" w:cs="宋体"/>
                        <w:szCs w:val="21"/>
                      </w:rPr>
                      <w:fldChar w:fldCharType="end"/>
                    </w:r>
                    <w:r>
                      <w:rPr>
                        <w:rFonts w:hint="eastAsia" w:ascii="宋体" w:hAnsi="宋体" w:cs="宋体"/>
                        <w:szCs w:val="21"/>
                      </w:rPr>
                      <w:t xml:space="preserve"> 页 共3</w:t>
                    </w:r>
                    <w:r>
                      <w:rPr>
                        <w:rFonts w:hint="eastAsia" w:ascii="宋体" w:hAnsi="宋体" w:cs="宋体"/>
                        <w:szCs w:val="21"/>
                        <w:lang w:val="en-US" w:eastAsia="zh-CN"/>
                      </w:rPr>
                      <w:t>4</w:t>
                    </w:r>
                    <w:r>
                      <w:rPr>
                        <w:rFonts w:hint="eastAsia" w:ascii="宋体" w:hAnsi="宋体" w:cs="宋体"/>
                        <w:szCs w:val="21"/>
                      </w:rPr>
                      <w:t>页</w:t>
                    </w:r>
                  </w:p>
                </w:txbxContent>
              </v:textbox>
            </v:rect>
          </w:pict>
        </mc:Fallback>
      </mc:AlternateContent>
    </w:r>
    <w:r>
      <w:drawing>
        <wp:inline distT="0" distB="0" distL="114300" distR="114300">
          <wp:extent cx="1524635" cy="532130"/>
          <wp:effectExtent l="0" t="0" r="18415" b="1270"/>
          <wp:docPr id="2" name="图片 1" descr="和信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和信源"/>
                  <pic:cNvPicPr>
                    <a:picLocks noChangeAspect="1"/>
                  </pic:cNvPicPr>
                </pic:nvPicPr>
                <pic:blipFill>
                  <a:blip r:embed="rId1"/>
                  <a:stretch>
                    <a:fillRect/>
                  </a:stretch>
                </pic:blipFill>
                <pic:spPr>
                  <a:xfrm>
                    <a:off x="0" y="0"/>
                    <a:ext cx="1524635" cy="532130"/>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pStyle w:val="3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3F5BF3"/>
    <w:multiLevelType w:val="singleLevel"/>
    <w:tmpl w:val="593F5BF3"/>
    <w:lvl w:ilvl="0" w:tentative="0">
      <w:start w:val="3"/>
      <w:numFmt w:val="decimal"/>
      <w:suff w:val="nothing"/>
      <w:lvlText w:val="%1、"/>
      <w:lvlJc w:val="left"/>
    </w:lvl>
  </w:abstractNum>
  <w:abstractNum w:abstractNumId="2">
    <w:nsid w:val="5992B75C"/>
    <w:multiLevelType w:val="singleLevel"/>
    <w:tmpl w:val="5992B75C"/>
    <w:lvl w:ilvl="0" w:tentative="0">
      <w:start w:val="1"/>
      <w:numFmt w:val="chineseCounting"/>
      <w:suff w:val="nothing"/>
      <w:lvlText w:val="%1、"/>
      <w:lvlJc w:val="left"/>
    </w:lvl>
  </w:abstractNum>
  <w:abstractNum w:abstractNumId="3">
    <w:nsid w:val="77EE3B3D"/>
    <w:multiLevelType w:val="multilevel"/>
    <w:tmpl w:val="77EE3B3D"/>
    <w:lvl w:ilvl="0" w:tentative="0">
      <w:start w:val="1"/>
      <w:numFmt w:val="decimal"/>
      <w:pStyle w:val="4"/>
      <w:lvlText w:val="%1."/>
      <w:lvlJc w:val="left"/>
      <w:pPr>
        <w:tabs>
          <w:tab w:val="left" w:pos="709"/>
        </w:tabs>
        <w:ind w:left="709" w:hanging="425"/>
      </w:pPr>
      <w:rPr>
        <w:rFonts w:hint="default"/>
      </w:rPr>
    </w:lvl>
    <w:lvl w:ilvl="1" w:tentative="0">
      <w:start w:val="1"/>
      <w:numFmt w:val="decimal"/>
      <w:lvlText w:val="%1.%2."/>
      <w:lvlJc w:val="left"/>
      <w:pPr>
        <w:tabs>
          <w:tab w:val="left" w:pos="567"/>
        </w:tabs>
        <w:ind w:left="567" w:hanging="567"/>
      </w:pPr>
      <w:rPr>
        <w:rFonts w:hint="default"/>
        <w:b/>
        <w:lang w:val="en-US"/>
      </w:rPr>
    </w:lvl>
    <w:lvl w:ilvl="2" w:tentative="0">
      <w:start w:val="1"/>
      <w:numFmt w:val="decimal"/>
      <w:lvlText w:val="%1.%2.%3."/>
      <w:lvlJc w:val="left"/>
      <w:pPr>
        <w:tabs>
          <w:tab w:val="left" w:pos="709"/>
        </w:tabs>
        <w:ind w:left="709" w:hanging="709"/>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lang w:val="en-US"/>
      </w:rPr>
    </w:lvl>
    <w:lvl w:ilvl="3" w:tentative="0">
      <w:start w:val="1"/>
      <w:numFmt w:val="decimal"/>
      <w:pStyle w:val="7"/>
      <w:lvlText w:val="%1.%2.%3.%4."/>
      <w:lvlJc w:val="left"/>
      <w:pPr>
        <w:tabs>
          <w:tab w:val="left" w:pos="1844"/>
        </w:tabs>
        <w:ind w:left="1844" w:hanging="851"/>
      </w:pPr>
      <w:rPr>
        <w:rFonts w:hint="default"/>
        <w:lang w:val="en-US"/>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C3E7F"/>
    <w:rsid w:val="067223EE"/>
    <w:rsid w:val="07B53275"/>
    <w:rsid w:val="0D6E58F2"/>
    <w:rsid w:val="0DB67A58"/>
    <w:rsid w:val="13046498"/>
    <w:rsid w:val="13A72D06"/>
    <w:rsid w:val="16CB213F"/>
    <w:rsid w:val="196E6D15"/>
    <w:rsid w:val="19F05C7C"/>
    <w:rsid w:val="21242022"/>
    <w:rsid w:val="25FC16A5"/>
    <w:rsid w:val="26F26FCC"/>
    <w:rsid w:val="324D44D4"/>
    <w:rsid w:val="361B2518"/>
    <w:rsid w:val="382A28EE"/>
    <w:rsid w:val="390D176B"/>
    <w:rsid w:val="391C1126"/>
    <w:rsid w:val="422678D0"/>
    <w:rsid w:val="50240D13"/>
    <w:rsid w:val="55EF1E0E"/>
    <w:rsid w:val="578F7BC8"/>
    <w:rsid w:val="5AC14DFF"/>
    <w:rsid w:val="5C852DAD"/>
    <w:rsid w:val="5CA53E18"/>
    <w:rsid w:val="60144222"/>
    <w:rsid w:val="64657718"/>
    <w:rsid w:val="6E2634B5"/>
    <w:rsid w:val="6FCB7C0D"/>
    <w:rsid w:val="71BD53E5"/>
    <w:rsid w:val="740322A3"/>
    <w:rsid w:val="7B924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5"/>
    <w:qFormat/>
    <w:uiPriority w:val="0"/>
    <w:pPr>
      <w:keepNext/>
      <w:keepLines/>
      <w:numPr>
        <w:ilvl w:val="0"/>
        <w:numId w:val="1"/>
      </w:numPr>
      <w:tabs>
        <w:tab w:val="left" w:pos="142"/>
        <w:tab w:val="left" w:pos="5670"/>
      </w:tabs>
      <w:spacing w:before="0" w:after="0"/>
      <w:outlineLvl w:val="0"/>
    </w:pPr>
    <w:rPr>
      <w:rFonts w:ascii="仿宋" w:hAnsi="仿宋" w:cs="Times New Roman"/>
      <w:bCs w:val="0"/>
      <w:iCs/>
      <w:smallCaps/>
      <w:kern w:val="44"/>
      <w:sz w:val="32"/>
      <w:szCs w:val="28"/>
      <w:lang w:val="zh-CN"/>
    </w:rPr>
  </w:style>
  <w:style w:type="paragraph" w:styleId="6">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7">
    <w:name w:val="heading 4"/>
    <w:basedOn w:val="1"/>
    <w:next w:val="1"/>
    <w:qFormat/>
    <w:uiPriority w:val="0"/>
    <w:pPr>
      <w:keepNext/>
      <w:keepLines/>
      <w:numPr>
        <w:ilvl w:val="3"/>
        <w:numId w:val="1"/>
      </w:numPr>
      <w:kinsoku w:val="0"/>
      <w:spacing w:line="360" w:lineRule="auto"/>
      <w:ind w:leftChars="0"/>
      <w:jc w:val="left"/>
      <w:outlineLvl w:val="3"/>
    </w:pPr>
    <w:rPr>
      <w:rFonts w:ascii="黑体" w:hAnsi="黑体" w:eastAsia="仿宋" w:cs="Times New Roman"/>
      <w:bCs/>
      <w:sz w:val="28"/>
      <w:szCs w:val="28"/>
      <w:lang w:val="zh-CN" w:eastAsia="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adjustRightInd/>
      <w:snapToGrid/>
      <w:ind w:firstLine="420" w:firstLineChars="200"/>
      <w:jc w:val="both"/>
    </w:pPr>
    <w:rPr>
      <w:rFonts w:ascii="宋体" w:hAnsi="宋体" w:eastAsia="宋体"/>
      <w:kern w:val="2"/>
      <w:sz w:val="21"/>
      <w:szCs w:val="24"/>
    </w:rPr>
  </w:style>
  <w:style w:type="paragraph" w:styleId="3">
    <w:name w:val="Body Text Indent"/>
    <w:basedOn w:val="1"/>
    <w:unhideWhenUsed/>
    <w:qFormat/>
    <w:uiPriority w:val="99"/>
    <w:pPr>
      <w:spacing w:after="120"/>
      <w:ind w:left="420" w:leftChars="200"/>
    </w:pPr>
  </w:style>
  <w:style w:type="paragraph" w:styleId="5">
    <w:name w:val="toc 1"/>
    <w:basedOn w:val="1"/>
    <w:next w:val="1"/>
    <w:qFormat/>
    <w:uiPriority w:val="39"/>
    <w:pPr>
      <w:spacing w:before="120" w:after="120" w:line="360" w:lineRule="auto"/>
      <w:ind w:firstLine="420"/>
      <w:jc w:val="left"/>
    </w:pPr>
    <w:rPr>
      <w:rFonts w:ascii="Calibri" w:hAnsi="Calibri" w:eastAsia="仿宋" w:cs="Calibri"/>
      <w:b/>
      <w:bCs/>
      <w:caps/>
      <w:sz w:val="20"/>
      <w:szCs w:val="20"/>
    </w:rPr>
  </w:style>
  <w:style w:type="paragraph" w:styleId="8">
    <w:name w:val="Body Text"/>
    <w:basedOn w:val="1"/>
    <w:next w:val="1"/>
    <w:qFormat/>
    <w:uiPriority w:val="0"/>
    <w:pPr>
      <w:spacing w:after="120" w:afterLines="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4"/>
    <w:basedOn w:val="1"/>
    <w:next w:val="1"/>
    <w:unhideWhenUsed/>
    <w:qFormat/>
    <w:uiPriority w:val="39"/>
    <w:pPr>
      <w:ind w:left="1260" w:leftChars="6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kern w:val="2"/>
      <w:szCs w:val="24"/>
    </w:rPr>
  </w:style>
  <w:style w:type="paragraph" w:customStyle="1" w:styleId="18">
    <w:name w:val="列出段落1"/>
    <w:basedOn w:val="1"/>
    <w:qFormat/>
    <w:uiPriority w:val="0"/>
    <w:pPr>
      <w:ind w:firstLine="420" w:firstLineChars="200"/>
      <w:contextualSpacing/>
    </w:pPr>
    <w:rPr>
      <w:rFonts w:eastAsia="仿宋"/>
      <w:szCs w:val="22"/>
    </w:rPr>
  </w:style>
  <w:style w:type="paragraph" w:customStyle="1" w:styleId="19">
    <w:name w:val="List Paragraph1"/>
    <w:basedOn w:val="1"/>
    <w:qFormat/>
    <w:uiPriority w:val="99"/>
    <w:pPr>
      <w:ind w:firstLine="420" w:firstLineChars="200"/>
    </w:pPr>
  </w:style>
  <w:style w:type="paragraph" w:styleId="20">
    <w:name w:val="List Paragraph"/>
    <w:basedOn w:val="1"/>
    <w:qFormat/>
    <w:uiPriority w:val="99"/>
    <w:pPr>
      <w:ind w:firstLine="420" w:firstLineChars="200"/>
    </w:pPr>
    <w:rPr>
      <w:rFonts w:ascii="Calibri" w:hAnsi="Calibri"/>
      <w:szCs w:val="22"/>
    </w:rPr>
  </w:style>
  <w:style w:type="paragraph" w:customStyle="1" w:styleId="21">
    <w:name w:val="my正文"/>
    <w:basedOn w:val="1"/>
    <w:qFormat/>
    <w:uiPriority w:val="0"/>
    <w:pPr>
      <w:spacing w:line="360" w:lineRule="auto"/>
      <w:ind w:firstLine="480" w:firstLineChars="200"/>
    </w:pPr>
    <w:rPr>
      <w:sz w:val="24"/>
    </w:rPr>
  </w:style>
  <w:style w:type="character" w:customStyle="1" w:styleId="22">
    <w:name w:val="font01"/>
    <w:basedOn w:val="16"/>
    <w:qFormat/>
    <w:uiPriority w:val="0"/>
    <w:rPr>
      <w:rFonts w:ascii="微软雅黑" w:hAnsi="微软雅黑" w:eastAsia="微软雅黑" w:cs="微软雅黑"/>
      <w:color w:val="000000"/>
      <w:sz w:val="24"/>
      <w:szCs w:val="24"/>
      <w:u w:val="none"/>
    </w:rPr>
  </w:style>
  <w:style w:type="character" w:customStyle="1" w:styleId="23">
    <w:name w:val="font31"/>
    <w:basedOn w:val="16"/>
    <w:qFormat/>
    <w:uiPriority w:val="0"/>
    <w:rPr>
      <w:rFonts w:hint="eastAsia" w:ascii="宋体" w:hAnsi="宋体" w:eastAsia="宋体" w:cs="宋体"/>
      <w:color w:val="000000"/>
      <w:sz w:val="24"/>
      <w:szCs w:val="24"/>
      <w:u w:val="none"/>
    </w:rPr>
  </w:style>
  <w:style w:type="character" w:customStyle="1" w:styleId="24">
    <w:name w:val="font11"/>
    <w:basedOn w:val="16"/>
    <w:qFormat/>
    <w:uiPriority w:val="0"/>
    <w:rPr>
      <w:rFonts w:ascii="微软雅黑" w:hAnsi="微软雅黑" w:eastAsia="微软雅黑" w:cs="微软雅黑"/>
      <w:color w:val="000000"/>
      <w:sz w:val="24"/>
      <w:szCs w:val="24"/>
      <w:u w:val="none"/>
    </w:rPr>
  </w:style>
  <w:style w:type="character" w:customStyle="1" w:styleId="25">
    <w:name w:val="font21"/>
    <w:basedOn w:val="16"/>
    <w:qFormat/>
    <w:uiPriority w:val="0"/>
    <w:rPr>
      <w:rFonts w:hint="eastAsia" w:ascii="宋体" w:hAnsi="宋体" w:eastAsia="宋体" w:cs="宋体"/>
      <w:color w:val="000000"/>
      <w:sz w:val="24"/>
      <w:szCs w:val="24"/>
      <w:u w:val="none"/>
    </w:rPr>
  </w:style>
  <w:style w:type="paragraph" w:customStyle="1" w:styleId="26">
    <w:name w:val="newstyle16"/>
    <w:basedOn w:val="1"/>
    <w:qFormat/>
    <w:uiPriority w:val="0"/>
    <w:pPr>
      <w:widowControl/>
      <w:jc w:val="left"/>
    </w:pPr>
    <w:rPr>
      <w:rFonts w:ascii="宋体" w:hAnsi="宋体" w:cs="宋体"/>
      <w:kern w:val="0"/>
      <w:sz w:val="24"/>
    </w:rPr>
  </w:style>
  <w:style w:type="character" w:customStyle="1" w:styleId="27">
    <w:name w:val="标题 1 字符"/>
    <w:qFormat/>
    <w:uiPriority w:val="0"/>
    <w:rPr>
      <w:rFonts w:ascii="宋体" w:hAnsi="宋体" w:eastAsia="黑体"/>
      <w:b/>
      <w:bCs/>
      <w:iCs/>
      <w:kern w:val="44"/>
      <w:sz w:val="36"/>
    </w:rPr>
  </w:style>
  <w:style w:type="paragraph" w:customStyle="1" w:styleId="28">
    <w:name w:val="GW-正文"/>
    <w:basedOn w:val="1"/>
    <w:qFormat/>
    <w:uiPriority w:val="0"/>
    <w:pPr>
      <w:spacing w:line="360" w:lineRule="auto"/>
      <w:ind w:firstLine="200" w:firstLineChars="200"/>
      <w:contextualSpacing/>
    </w:pPr>
    <w:rPr>
      <w:rFonts w:ascii="Times New Roman" w:hAnsi="Times New Roman" w:eastAsia="仿宋" w:cs="Times New Roman"/>
      <w:sz w:val="28"/>
      <w:szCs w:val="24"/>
      <w:lang w:val="zh-CN" w:eastAsia="zh-CN"/>
    </w:rPr>
  </w:style>
  <w:style w:type="paragraph" w:customStyle="1" w:styleId="29">
    <w:name w:val="*正文"/>
    <w:basedOn w:val="1"/>
    <w:qFormat/>
    <w:uiPriority w:val="0"/>
    <w:pPr>
      <w:spacing w:line="360" w:lineRule="auto"/>
      <w:ind w:firstLine="560" w:firstLineChars="200"/>
      <w:jc w:val="left"/>
    </w:pPr>
    <w:rPr>
      <w:rFonts w:ascii="仿宋_GB2312" w:hAnsi="宋体" w:eastAsia="仿宋" w:cs="宋体"/>
      <w:color w:val="000000"/>
      <w:kern w:val="0"/>
      <w:sz w:val="28"/>
      <w:szCs w:val="28"/>
    </w:rPr>
  </w:style>
  <w:style w:type="paragraph" w:customStyle="1" w:styleId="3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
    <w:name w:val="注："/>
    <w:next w:val="32"/>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paragraph" w:customStyle="1" w:styleId="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33">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2020-07-15T07:06:00Z</dcterms:created>
  <dc:creator>Administrator</dc:creator>
  <cp:lastModifiedBy>Administrator</cp:lastModifiedBy>
  <dcterms:modified xsi:type="dcterms:W3CDTF">2020-07-16T02:15:04Z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