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2"/>
          <w:szCs w:val="32"/>
        </w:rPr>
      </w:pPr>
      <w:r>
        <w:rPr>
          <w:rFonts w:hint="eastAsia" w:ascii="宋体" w:hAnsi="宋体"/>
          <w:b/>
          <w:color w:val="auto"/>
          <w:sz w:val="32"/>
          <w:szCs w:val="32"/>
        </w:rPr>
        <w:t xml:space="preserve"> 第五章 工程量清单</w:t>
      </w: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widowControl w:val="0"/>
        <w:spacing w:line="500" w:lineRule="exact"/>
        <w:jc w:val="center"/>
        <w:rPr>
          <w:rFonts w:hint="eastAsia" w:ascii="Calibri" w:hAnsi="Calibri" w:eastAsia="宋体" w:cs="Times New Roman"/>
          <w:color w:val="auto"/>
          <w:spacing w:val="20"/>
          <w:kern w:val="0"/>
          <w:sz w:val="44"/>
          <w:szCs w:val="44"/>
          <w:lang w:val="en-US" w:eastAsia="zh-CN" w:bidi="ar-SA"/>
        </w:rPr>
      </w:pPr>
      <w:r>
        <w:rPr>
          <w:rFonts w:hint="eastAsia" w:ascii="Calibri" w:hAnsi="Calibri" w:eastAsia="宋体" w:cs="Times New Roman"/>
          <w:color w:val="auto"/>
          <w:spacing w:val="20"/>
          <w:kern w:val="0"/>
          <w:sz w:val="44"/>
          <w:szCs w:val="44"/>
          <w:lang w:val="en-US" w:eastAsia="zh-CN" w:bidi="ar-SA"/>
        </w:rPr>
        <w:t>编制说明</w:t>
      </w:r>
    </w:p>
    <w:p>
      <w:pPr>
        <w:spacing w:line="500" w:lineRule="exact"/>
        <w:rPr>
          <w:rFonts w:hint="eastAsia" w:ascii="宋体" w:hAnsi="宋体"/>
          <w:b/>
          <w:bCs/>
          <w:color w:val="auto"/>
          <w:szCs w:val="28"/>
        </w:rPr>
      </w:pPr>
      <w:r>
        <w:rPr>
          <w:rFonts w:hint="eastAsia" w:ascii="隶书" w:hAnsi="宋体" w:eastAsia="隶书"/>
          <w:b/>
          <w:bCs/>
          <w:color w:val="auto"/>
          <w:sz w:val="28"/>
          <w:szCs w:val="28"/>
        </w:rPr>
        <w:t xml:space="preserve">                                  </w:t>
      </w:r>
    </w:p>
    <w:p>
      <w:pPr>
        <w:jc w:val="left"/>
        <w:rPr>
          <w:rFonts w:ascii="宋体" w:hAnsi="宋体" w:eastAsia="宋体"/>
          <w:b/>
          <w:color w:val="auto"/>
          <w:sz w:val="28"/>
          <w:szCs w:val="28"/>
        </w:rPr>
      </w:pPr>
      <w:r>
        <w:rPr>
          <w:rFonts w:hint="eastAsia" w:ascii="宋体" w:hAnsi="宋体" w:eastAsia="宋体"/>
          <w:b/>
          <w:color w:val="auto"/>
          <w:sz w:val="28"/>
          <w:szCs w:val="28"/>
        </w:rPr>
        <w:t>一、工程概况：</w:t>
      </w:r>
    </w:p>
    <w:p>
      <w:pPr>
        <w:jc w:val="left"/>
        <w:rPr>
          <w:rFonts w:ascii="宋体" w:hAnsi="宋体" w:eastAsia="宋体"/>
          <w:color w:val="auto"/>
          <w:sz w:val="24"/>
          <w:szCs w:val="24"/>
        </w:rPr>
      </w:pPr>
      <w:r>
        <w:rPr>
          <w:rFonts w:hint="eastAsia" w:ascii="宋体" w:hAnsi="宋体" w:eastAsia="宋体"/>
          <w:color w:val="auto"/>
          <w:sz w:val="24"/>
          <w:szCs w:val="24"/>
        </w:rPr>
        <w:t>1、建设规模</w:t>
      </w:r>
    </w:p>
    <w:p>
      <w:pPr>
        <w:jc w:val="left"/>
        <w:rPr>
          <w:rFonts w:ascii="宋体" w:hAnsi="宋体" w:eastAsia="宋体"/>
          <w:color w:val="auto"/>
          <w:sz w:val="24"/>
          <w:szCs w:val="24"/>
        </w:rPr>
      </w:pPr>
      <w:r>
        <w:rPr>
          <w:rFonts w:hint="eastAsia" w:ascii="宋体" w:hAnsi="宋体" w:eastAsia="宋体"/>
          <w:color w:val="auto"/>
          <w:sz w:val="24"/>
          <w:szCs w:val="24"/>
        </w:rPr>
        <w:t>白沙县背街小巷黄土裸露、商铺门前地面破损、及地面硬化工程。</w:t>
      </w:r>
    </w:p>
    <w:p>
      <w:pPr>
        <w:jc w:val="left"/>
        <w:rPr>
          <w:rFonts w:ascii="宋体" w:hAnsi="宋体" w:eastAsia="宋体"/>
          <w:color w:val="auto"/>
          <w:sz w:val="24"/>
          <w:szCs w:val="24"/>
        </w:rPr>
      </w:pPr>
      <w:r>
        <w:rPr>
          <w:rFonts w:hint="eastAsia" w:ascii="宋体" w:hAnsi="宋体" w:eastAsia="宋体"/>
          <w:color w:val="auto"/>
          <w:sz w:val="24"/>
          <w:szCs w:val="24"/>
        </w:rPr>
        <w:t>2、项目背景:</w:t>
      </w:r>
    </w:p>
    <w:p>
      <w:pPr>
        <w:jc w:val="left"/>
        <w:rPr>
          <w:rFonts w:ascii="宋体" w:hAnsi="宋体" w:eastAsia="宋体"/>
          <w:color w:val="auto"/>
          <w:sz w:val="24"/>
          <w:szCs w:val="24"/>
        </w:rPr>
      </w:pPr>
      <w:r>
        <w:rPr>
          <w:rFonts w:hint="eastAsia" w:ascii="宋体" w:hAnsi="宋体" w:eastAsia="宋体"/>
          <w:color w:val="auto"/>
          <w:sz w:val="24"/>
          <w:szCs w:val="24"/>
        </w:rPr>
        <w:t>白沙县背街小巷黄土裸露、商铺门前地面破损、及地面硬化工程，基础配套设施不健全，为了给广大居民营造一个环节整洁、秩序井然的环境，决定对白沙县背街小巷黄土裸露、商铺门前地面破损、及地面硬化进行升级改造。</w:t>
      </w:r>
    </w:p>
    <w:p>
      <w:pPr>
        <w:jc w:val="left"/>
        <w:rPr>
          <w:rFonts w:ascii="宋体" w:hAnsi="宋体" w:eastAsia="宋体"/>
          <w:b/>
          <w:color w:val="auto"/>
          <w:sz w:val="28"/>
          <w:szCs w:val="28"/>
        </w:rPr>
      </w:pPr>
      <w:r>
        <w:rPr>
          <w:rFonts w:hint="eastAsia" w:ascii="宋体" w:hAnsi="宋体" w:eastAsia="宋体"/>
          <w:b/>
          <w:color w:val="auto"/>
          <w:sz w:val="28"/>
          <w:szCs w:val="28"/>
        </w:rPr>
        <w:t>二、编制依据及相关资料:</w:t>
      </w:r>
    </w:p>
    <w:p>
      <w:pPr>
        <w:jc w:val="left"/>
        <w:rPr>
          <w:rFonts w:ascii="宋体" w:hAnsi="宋体" w:eastAsia="宋体"/>
          <w:color w:val="auto"/>
          <w:sz w:val="24"/>
          <w:szCs w:val="24"/>
        </w:rPr>
      </w:pPr>
      <w:r>
        <w:rPr>
          <w:rFonts w:hint="eastAsia" w:ascii="宋体" w:hAnsi="宋体" w:eastAsia="宋体"/>
          <w:color w:val="auto"/>
          <w:sz w:val="24"/>
          <w:szCs w:val="24"/>
        </w:rPr>
        <w:t>1、项目内容:</w:t>
      </w:r>
      <w:r>
        <w:rPr>
          <w:rFonts w:hint="eastAsia" w:ascii="宋体" w:hAnsi="宋体" w:eastAsia="宋体"/>
          <w:color w:val="auto"/>
          <w:szCs w:val="22"/>
        </w:rPr>
        <w:t xml:space="preserve"> </w:t>
      </w:r>
      <w:r>
        <w:rPr>
          <w:rFonts w:hint="eastAsia" w:ascii="宋体" w:hAnsi="宋体" w:eastAsia="宋体"/>
          <w:color w:val="auto"/>
          <w:sz w:val="24"/>
          <w:szCs w:val="24"/>
        </w:rPr>
        <w:t>白沙县背街小巷黄土裸露、商铺门前地面破损、及地面硬化工程</w:t>
      </w:r>
    </w:p>
    <w:p>
      <w:pPr>
        <w:jc w:val="left"/>
        <w:rPr>
          <w:rFonts w:ascii="宋体" w:hAnsi="宋体" w:eastAsia="宋体"/>
          <w:color w:val="auto"/>
          <w:sz w:val="24"/>
          <w:szCs w:val="24"/>
        </w:rPr>
      </w:pPr>
      <w:r>
        <w:rPr>
          <w:rFonts w:hint="eastAsia" w:ascii="宋体" w:hAnsi="宋体" w:eastAsia="宋体"/>
          <w:color w:val="auto"/>
          <w:sz w:val="24"/>
          <w:szCs w:val="24"/>
        </w:rPr>
        <w:t>2、白沙县背街小巷黄土裸露、商铺门前地面破损、及地面硬化工程及项目相关文件。</w:t>
      </w:r>
    </w:p>
    <w:p>
      <w:pPr>
        <w:jc w:val="left"/>
        <w:rPr>
          <w:rFonts w:ascii="宋体" w:hAnsi="宋体" w:eastAsia="宋体"/>
          <w:color w:val="auto"/>
          <w:sz w:val="24"/>
          <w:szCs w:val="24"/>
        </w:rPr>
      </w:pPr>
      <w:r>
        <w:rPr>
          <w:rFonts w:hint="eastAsia" w:ascii="宋体" w:hAnsi="宋体" w:eastAsia="宋体"/>
          <w:color w:val="auto"/>
          <w:sz w:val="24"/>
          <w:szCs w:val="24"/>
        </w:rPr>
        <w:t>3、海南省建设厅2017年颁布的《海南省装饰装修工程综合定额》;海南省建设厅2017年颁布的《海南省安装工程综合定额》;</w:t>
      </w:r>
    </w:p>
    <w:p>
      <w:pPr>
        <w:jc w:val="left"/>
        <w:rPr>
          <w:rFonts w:ascii="宋体" w:hAnsi="宋体" w:eastAsia="宋体"/>
          <w:color w:val="auto"/>
          <w:sz w:val="24"/>
          <w:szCs w:val="24"/>
        </w:rPr>
      </w:pPr>
      <w:r>
        <w:rPr>
          <w:rFonts w:hint="eastAsia" w:ascii="宋体" w:hAnsi="宋体" w:eastAsia="宋体"/>
          <w:color w:val="auto"/>
          <w:sz w:val="24"/>
          <w:szCs w:val="24"/>
        </w:rPr>
        <w:t>4、主材价格:装修材料价格按海南省建设标准定额站及海南省建设工程造价管理协会联合发布的白沙县2017年《海南工程造价信息》信息价计取;其余材料价格按照市场价方式计取;水电管材等价格按海南造价中心发布的白沙县2017《海南工程造价信息》信息价及《海南工程造价信息》市场信息价计取，其余材料价格根据图纸物料表确定的品牌范围及型号按照市场计取。</w:t>
      </w:r>
    </w:p>
    <w:p>
      <w:pPr>
        <w:jc w:val="left"/>
        <w:rPr>
          <w:rFonts w:ascii="宋体" w:hAnsi="宋体" w:eastAsia="宋体"/>
          <w:color w:val="auto"/>
          <w:sz w:val="24"/>
          <w:szCs w:val="24"/>
        </w:rPr>
      </w:pPr>
      <w:r>
        <w:rPr>
          <w:rFonts w:hint="eastAsia" w:ascii="宋体" w:hAnsi="宋体" w:eastAsia="宋体"/>
          <w:color w:val="auto"/>
          <w:sz w:val="24"/>
          <w:szCs w:val="24"/>
        </w:rPr>
        <w:t>5、人工单价根据琼建定（2019）2号《海南省建设厅关于调整建筑工人人工单价的通知》，建筑人工单价调整为122.53元工日。</w:t>
      </w:r>
    </w:p>
    <w:p>
      <w:pPr>
        <w:jc w:val="left"/>
        <w:rPr>
          <w:rFonts w:ascii="宋体" w:hAnsi="宋体" w:eastAsia="宋体"/>
          <w:color w:val="auto"/>
          <w:sz w:val="24"/>
          <w:szCs w:val="24"/>
        </w:rPr>
      </w:pPr>
      <w:r>
        <w:rPr>
          <w:rFonts w:hint="eastAsia" w:ascii="宋体" w:hAnsi="宋体" w:eastAsia="宋体"/>
          <w:color w:val="auto"/>
          <w:sz w:val="24"/>
          <w:szCs w:val="24"/>
        </w:rPr>
        <w:t>6、机械费按海南省建设标准定额站关于调整2011《海南省建筑施工机械台班费用定额》部分子目基价的通知(琼建定[2011191号)规定进行调整。</w:t>
      </w:r>
    </w:p>
    <w:p>
      <w:pPr>
        <w:jc w:val="left"/>
        <w:rPr>
          <w:rFonts w:ascii="宋体" w:hAnsi="宋体" w:eastAsia="宋体"/>
          <w:color w:val="auto"/>
          <w:sz w:val="24"/>
          <w:szCs w:val="24"/>
        </w:rPr>
      </w:pPr>
      <w:r>
        <w:rPr>
          <w:rFonts w:hint="eastAsia" w:ascii="宋体" w:hAnsi="宋体" w:eastAsia="宋体"/>
          <w:color w:val="auto"/>
          <w:sz w:val="24"/>
          <w:szCs w:val="24"/>
        </w:rPr>
        <w:t>7、措施费按《建筑工程安全防护、文明施工措施费用及使用管理规定》(琼建监[2007180号)的有关规定执行。</w:t>
      </w:r>
    </w:p>
    <w:p>
      <w:pPr>
        <w:jc w:val="left"/>
        <w:rPr>
          <w:rFonts w:ascii="宋体" w:hAnsi="宋体" w:eastAsia="宋体"/>
          <w:color w:val="auto"/>
          <w:sz w:val="24"/>
          <w:szCs w:val="24"/>
        </w:rPr>
      </w:pPr>
      <w:r>
        <w:rPr>
          <w:rFonts w:hint="eastAsia" w:ascii="宋体" w:hAnsi="宋体" w:eastAsia="宋体"/>
          <w:color w:val="auto"/>
          <w:sz w:val="24"/>
          <w:szCs w:val="24"/>
        </w:rPr>
        <w:t>8、海南省建设标准定额站颁布的其它有关工程概预(结)算的文件。</w:t>
      </w:r>
    </w:p>
    <w:p>
      <w:pPr>
        <w:jc w:val="left"/>
        <w:rPr>
          <w:rFonts w:ascii="宋体" w:hAnsi="宋体" w:eastAsia="宋体"/>
          <w:b/>
          <w:color w:val="auto"/>
          <w:sz w:val="28"/>
          <w:szCs w:val="28"/>
        </w:rPr>
      </w:pPr>
      <w:r>
        <w:rPr>
          <w:rFonts w:hint="eastAsia" w:ascii="宋体" w:hAnsi="宋体" w:eastAsia="宋体"/>
          <w:b/>
          <w:color w:val="auto"/>
          <w:sz w:val="28"/>
          <w:szCs w:val="28"/>
        </w:rPr>
        <w:t>三、编制方法：</w:t>
      </w:r>
    </w:p>
    <w:p>
      <w:pPr>
        <w:jc w:val="left"/>
        <w:rPr>
          <w:rFonts w:ascii="宋体" w:hAnsi="宋体" w:eastAsia="宋体"/>
          <w:color w:val="auto"/>
          <w:sz w:val="24"/>
          <w:szCs w:val="24"/>
        </w:rPr>
      </w:pPr>
      <w:r>
        <w:rPr>
          <w:rFonts w:hint="eastAsia" w:ascii="宋体" w:hAnsi="宋体" w:eastAsia="宋体"/>
          <w:color w:val="auto"/>
          <w:sz w:val="24"/>
          <w:szCs w:val="24"/>
        </w:rPr>
        <w:t>1、工程量及范围依据施工设计图纸及说明、各类标准图集计算。</w:t>
      </w:r>
    </w:p>
    <w:p>
      <w:pPr>
        <w:jc w:val="left"/>
        <w:rPr>
          <w:rFonts w:ascii="宋体" w:hAnsi="宋体" w:eastAsia="宋体"/>
          <w:color w:val="auto"/>
          <w:sz w:val="24"/>
          <w:szCs w:val="24"/>
        </w:rPr>
      </w:pPr>
      <w:r>
        <w:rPr>
          <w:rFonts w:hint="eastAsia" w:ascii="宋体" w:hAnsi="宋体" w:eastAsia="宋体"/>
          <w:color w:val="auto"/>
          <w:sz w:val="24"/>
          <w:szCs w:val="24"/>
        </w:rPr>
        <w:t>2、广泛搜集、预备各种资料，包括施工设计图纸及说明、各类标准图集。</w:t>
      </w:r>
    </w:p>
    <w:p>
      <w:pPr>
        <w:jc w:val="left"/>
        <w:rPr>
          <w:rFonts w:ascii="宋体" w:hAnsi="宋体" w:eastAsia="宋体"/>
          <w:b/>
          <w:color w:val="auto"/>
          <w:sz w:val="28"/>
          <w:szCs w:val="28"/>
        </w:rPr>
      </w:pPr>
      <w:r>
        <w:rPr>
          <w:rFonts w:hint="eastAsia" w:ascii="宋体" w:hAnsi="宋体" w:eastAsia="宋体"/>
          <w:b/>
          <w:color w:val="auto"/>
          <w:sz w:val="28"/>
          <w:szCs w:val="28"/>
        </w:rPr>
        <w:t>四、其他情况说明：</w:t>
      </w:r>
    </w:p>
    <w:p>
      <w:pPr>
        <w:jc w:val="left"/>
        <w:rPr>
          <w:rFonts w:ascii="宋体" w:hAnsi="宋体" w:eastAsia="宋体"/>
          <w:color w:val="auto"/>
          <w:sz w:val="24"/>
          <w:szCs w:val="24"/>
        </w:rPr>
      </w:pPr>
      <w:r>
        <w:rPr>
          <w:rFonts w:hint="eastAsia" w:ascii="宋体" w:hAnsi="宋体" w:eastAsia="宋体"/>
          <w:color w:val="auto"/>
          <w:sz w:val="24"/>
          <w:szCs w:val="24"/>
        </w:rPr>
        <w:t>1、设计图中，系统图与平面设计图不一致的按平面设计图为准。</w:t>
      </w:r>
    </w:p>
    <w:p>
      <w:pPr>
        <w:jc w:val="left"/>
        <w:rPr>
          <w:rFonts w:ascii="宋体" w:hAnsi="宋体" w:eastAsia="宋体"/>
          <w:color w:val="auto"/>
          <w:sz w:val="24"/>
          <w:szCs w:val="24"/>
        </w:rPr>
      </w:pPr>
      <w:r>
        <w:rPr>
          <w:rFonts w:hint="eastAsia" w:ascii="宋体" w:hAnsi="宋体" w:eastAsia="宋体"/>
          <w:color w:val="auto"/>
          <w:sz w:val="24"/>
          <w:szCs w:val="24"/>
        </w:rPr>
        <w:t>2、清单中描述内容应与结合施工图、招标文件及设计文件对照使用;清单中凡出现与施工图、招标文件及设计文件歧义之处，应以施工图、招标文件及设计文件为准。</w:t>
      </w:r>
    </w:p>
    <w:p>
      <w:pPr>
        <w:jc w:val="left"/>
        <w:rPr>
          <w:rFonts w:ascii="宋体" w:hAnsi="宋体" w:eastAsia="宋体"/>
          <w:color w:val="auto"/>
          <w:sz w:val="24"/>
          <w:szCs w:val="24"/>
        </w:rPr>
      </w:pPr>
      <w:r>
        <w:rPr>
          <w:rFonts w:hint="eastAsia" w:ascii="宋体" w:hAnsi="宋体" w:eastAsia="宋体"/>
          <w:color w:val="auto"/>
          <w:sz w:val="24"/>
          <w:szCs w:val="24"/>
        </w:rPr>
        <w:t>3、本项目根据施工图的详细程度进行编制，对于实际施工之中非合理预见所能避免的变更，结算时应当根据建设单位要求及其实际发生的情况进行相应调整。</w:t>
      </w:r>
    </w:p>
    <w:p>
      <w:pPr>
        <w:jc w:val="left"/>
        <w:rPr>
          <w:rFonts w:ascii="宋体" w:hAnsi="宋体" w:eastAsia="宋体"/>
          <w:b/>
          <w:color w:val="auto"/>
          <w:sz w:val="28"/>
          <w:szCs w:val="28"/>
        </w:rPr>
      </w:pPr>
      <w:r>
        <w:rPr>
          <w:rFonts w:hint="eastAsia" w:ascii="宋体" w:hAnsi="宋体" w:eastAsia="宋体"/>
          <w:b/>
          <w:color w:val="auto"/>
          <w:sz w:val="28"/>
          <w:szCs w:val="28"/>
        </w:rPr>
        <w:t>五、编制结论:</w:t>
      </w:r>
    </w:p>
    <w:p>
      <w:pPr>
        <w:jc w:val="left"/>
        <w:rPr>
          <w:rFonts w:ascii="宋体" w:hAnsi="宋体" w:eastAsia="宋体"/>
          <w:color w:val="auto"/>
          <w:sz w:val="24"/>
          <w:szCs w:val="24"/>
        </w:rPr>
      </w:pPr>
      <w:r>
        <w:rPr>
          <w:rFonts w:hint="eastAsia" w:ascii="宋体" w:hAnsi="宋体" w:eastAsia="宋体"/>
          <w:color w:val="auto"/>
          <w:sz w:val="24"/>
          <w:szCs w:val="24"/>
        </w:rPr>
        <w:t>本工程建安工程费：</w:t>
      </w:r>
      <w:r>
        <w:rPr>
          <w:rFonts w:hint="eastAsia" w:ascii="宋体" w:hAnsi="宋体" w:eastAsia="宋体"/>
          <w:color w:val="auto"/>
          <w:sz w:val="24"/>
          <w:szCs w:val="24"/>
          <w:lang w:val="en-US" w:eastAsia="zh-CN"/>
        </w:rPr>
        <w:t>77.16664</w:t>
      </w:r>
      <w:r>
        <w:rPr>
          <w:rFonts w:hint="eastAsia" w:ascii="宋体" w:hAnsi="宋体" w:eastAsia="宋体"/>
          <w:color w:val="auto"/>
          <w:sz w:val="24"/>
          <w:szCs w:val="24"/>
        </w:rPr>
        <w:t>万元</w:t>
      </w:r>
      <w:r>
        <w:rPr>
          <w:rFonts w:hint="eastAsia" w:ascii="宋体" w:hAnsi="宋体" w:eastAsia="宋体"/>
          <w:color w:val="auto"/>
          <w:sz w:val="24"/>
          <w:szCs w:val="24"/>
          <w:lang w:eastAsia="zh-CN"/>
        </w:rPr>
        <w:t>，</w:t>
      </w:r>
      <w:r>
        <w:rPr>
          <w:rFonts w:hint="eastAsia" w:ascii="宋体" w:hAnsi="宋体" w:eastAsia="宋体"/>
          <w:color w:val="auto"/>
          <w:sz w:val="24"/>
          <w:szCs w:val="24"/>
        </w:rPr>
        <w:t>详见工程概算书。</w:t>
      </w:r>
    </w:p>
    <w:p>
      <w:pPr>
        <w:spacing w:line="500" w:lineRule="exact"/>
        <w:ind w:firstLine="570"/>
        <w:rPr>
          <w:rFonts w:hint="eastAsia" w:ascii="宋体" w:hAnsi="宋体"/>
          <w:color w:val="auto"/>
          <w:sz w:val="28"/>
          <w:szCs w:val="22"/>
        </w:rPr>
      </w:pPr>
    </w:p>
    <w:p>
      <w:pPr>
        <w:spacing w:line="500" w:lineRule="exact"/>
        <w:ind w:firstLine="570"/>
        <w:rPr>
          <w:rFonts w:hint="eastAsia" w:ascii="宋体" w:hAnsi="宋体"/>
          <w:color w:val="auto"/>
          <w:sz w:val="28"/>
          <w:szCs w:val="22"/>
        </w:rPr>
      </w:pPr>
    </w:p>
    <w:p>
      <w:pPr>
        <w:rPr>
          <w:rFonts w:hint="eastAsia" w:ascii="宋体" w:hAnsi="宋体"/>
          <w:b/>
          <w:color w:val="auto"/>
          <w:szCs w:val="21"/>
        </w:rPr>
      </w:pPr>
    </w:p>
    <w:p>
      <w:pPr>
        <w:rPr>
          <w:rFonts w:hint="eastAsia" w:ascii="宋体" w:hAnsi="宋体"/>
          <w:b/>
          <w:color w:val="auto"/>
          <w:szCs w:val="21"/>
        </w:rPr>
      </w:pPr>
    </w:p>
    <w:tbl>
      <w:tblPr>
        <w:tblStyle w:val="12"/>
        <w:tblW w:w="10170" w:type="dxa"/>
        <w:jc w:val="center"/>
        <w:tblLayout w:type="autofit"/>
        <w:tblCellMar>
          <w:top w:w="0" w:type="dxa"/>
          <w:left w:w="0" w:type="dxa"/>
          <w:bottom w:w="0" w:type="dxa"/>
          <w:right w:w="0" w:type="dxa"/>
        </w:tblCellMar>
      </w:tblPr>
      <w:tblGrid>
        <w:gridCol w:w="1320"/>
        <w:gridCol w:w="2880"/>
        <w:gridCol w:w="2400"/>
        <w:gridCol w:w="810"/>
        <w:gridCol w:w="1035"/>
        <w:gridCol w:w="1725"/>
      </w:tblGrid>
      <w:tr>
        <w:tblPrEx>
          <w:tblCellMar>
            <w:top w:w="0" w:type="dxa"/>
            <w:left w:w="0" w:type="dxa"/>
            <w:bottom w:w="0" w:type="dxa"/>
            <w:right w:w="0" w:type="dxa"/>
          </w:tblCellMar>
        </w:tblPrEx>
        <w:trPr>
          <w:trHeight w:val="600" w:hRule="atLeast"/>
          <w:jc w:val="center"/>
        </w:trPr>
        <w:tc>
          <w:tcPr>
            <w:tcW w:w="10170" w:type="dxa"/>
            <w:gridSpan w:val="6"/>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0"/>
                <w:szCs w:val="40"/>
                <w:u w:val="none"/>
                <w:lang w:val="en-US" w:eastAsia="zh-CN" w:bidi="ar"/>
              </w:rPr>
              <w:t>单位工程投标报价汇总表</w:t>
            </w:r>
          </w:p>
        </w:tc>
      </w:tr>
      <w:tr>
        <w:tblPrEx>
          <w:tblCellMar>
            <w:top w:w="0" w:type="dxa"/>
            <w:left w:w="0" w:type="dxa"/>
            <w:bottom w:w="0" w:type="dxa"/>
            <w:right w:w="0" w:type="dxa"/>
          </w:tblCellMar>
        </w:tblPrEx>
        <w:trPr>
          <w:trHeight w:val="525" w:hRule="atLeast"/>
          <w:jc w:val="center"/>
        </w:trPr>
        <w:tc>
          <w:tcPr>
            <w:tcW w:w="4200"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工程名称：白沙县背街小巷黄土裸露、商铺门前地面破损、及地面硬化工程</w:t>
            </w:r>
          </w:p>
        </w:tc>
        <w:tc>
          <w:tcPr>
            <w:tcW w:w="3210"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单位：元</w:t>
            </w:r>
          </w:p>
        </w:tc>
        <w:tc>
          <w:tcPr>
            <w:tcW w:w="2760"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  1  页  共  1  页</w:t>
            </w:r>
          </w:p>
        </w:tc>
      </w:tr>
      <w:tr>
        <w:tblPrEx>
          <w:tblCellMar>
            <w:top w:w="0" w:type="dxa"/>
            <w:left w:w="0" w:type="dxa"/>
            <w:bottom w:w="0" w:type="dxa"/>
            <w:right w:w="0" w:type="dxa"/>
          </w:tblCellMar>
        </w:tblPrEx>
        <w:trPr>
          <w:trHeight w:val="465" w:hRule="atLeast"/>
          <w:jc w:val="center"/>
        </w:trPr>
        <w:tc>
          <w:tcPr>
            <w:tcW w:w="1320"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528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汇总内容</w:t>
            </w:r>
          </w:p>
        </w:tc>
        <w:tc>
          <w:tcPr>
            <w:tcW w:w="1845"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金额(元)</w:t>
            </w:r>
          </w:p>
        </w:tc>
        <w:tc>
          <w:tcPr>
            <w:tcW w:w="1725" w:type="dxa"/>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其中：暂估价(元)</w:t>
            </w: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分部分项工程费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木棉路路面硬化及挡土墙工程</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扶贫办门口路面破损</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金沙西路政务中心对面商铺门前上下落差处</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烟草公司对面黄土裸露硬化工程</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土产小巷</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综合厂地面硬化工程</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金沙北路（农场场部对面）地面硬化工程</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车站老出入口地面硬化</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措施项目费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施工单价措施项目费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施工总价措施项目费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其中：安全防护、文明施工费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其中：临时设施费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其中：雨季施工增加费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其中：夜间施工增加费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其中：视频监控费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其中：暂列金额</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其中：暂估价</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其中：计日工</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其中：总承包服务费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其中：其他项目费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其中：垃圾处置费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其中：社保费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w:t>
            </w:r>
          </w:p>
        </w:tc>
        <w:tc>
          <w:tcPr>
            <w:tcW w:w="5280" w:type="dxa"/>
            <w:gridSpan w:val="2"/>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税金</w:t>
            </w:r>
          </w:p>
        </w:tc>
        <w:tc>
          <w:tcPr>
            <w:tcW w:w="1845" w:type="dxa"/>
            <w:gridSpan w:val="2"/>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725"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bl>
    <w:p>
      <w:pPr>
        <w:rPr>
          <w:rFonts w:hint="eastAsia" w:ascii="宋体" w:hAnsi="宋体"/>
          <w:b/>
          <w:color w:val="auto"/>
          <w:szCs w:val="21"/>
        </w:rPr>
      </w:pPr>
    </w:p>
    <w:p>
      <w:pPr>
        <w:rPr>
          <w:rFonts w:hint="eastAsia" w:ascii="宋体" w:hAnsi="宋体"/>
          <w:b/>
          <w:color w:val="auto"/>
          <w:szCs w:val="21"/>
        </w:rPr>
      </w:pPr>
    </w:p>
    <w:tbl>
      <w:tblPr>
        <w:tblStyle w:val="12"/>
        <w:tblW w:w="10170" w:type="dxa"/>
        <w:jc w:val="center"/>
        <w:tblLayout w:type="autofit"/>
        <w:tblCellMar>
          <w:top w:w="0" w:type="dxa"/>
          <w:left w:w="0" w:type="dxa"/>
          <w:bottom w:w="0" w:type="dxa"/>
          <w:right w:w="0" w:type="dxa"/>
        </w:tblCellMar>
      </w:tblPr>
      <w:tblGrid>
        <w:gridCol w:w="555"/>
        <w:gridCol w:w="1125"/>
        <w:gridCol w:w="2010"/>
        <w:gridCol w:w="15"/>
        <w:gridCol w:w="1500"/>
        <w:gridCol w:w="720"/>
        <w:gridCol w:w="825"/>
        <w:gridCol w:w="870"/>
        <w:gridCol w:w="180"/>
        <w:gridCol w:w="1050"/>
        <w:gridCol w:w="1320"/>
      </w:tblGrid>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0"/>
                <w:szCs w:val="40"/>
                <w:u w:val="none"/>
                <w:lang w:val="en-US" w:eastAsia="zh-CN" w:bidi="ar"/>
              </w:rPr>
              <w:t>总价措施项目清单与计价表</w:t>
            </w:r>
          </w:p>
        </w:tc>
      </w:tr>
      <w:tr>
        <w:tblPrEx>
          <w:tblCellMar>
            <w:top w:w="0" w:type="dxa"/>
            <w:left w:w="0" w:type="dxa"/>
            <w:bottom w:w="0" w:type="dxa"/>
            <w:right w:w="0" w:type="dxa"/>
          </w:tblCellMar>
        </w:tblPrEx>
        <w:trPr>
          <w:trHeight w:val="750" w:hRule="atLeast"/>
          <w:jc w:val="center"/>
        </w:trPr>
        <w:tc>
          <w:tcPr>
            <w:tcW w:w="3705"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工程名称：白沙县背街小巷黄土裸露、商铺门前地面破损、及地面硬化工程</w:t>
            </w:r>
          </w:p>
        </w:tc>
        <w:tc>
          <w:tcPr>
            <w:tcW w:w="3915"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标段：</w:t>
            </w:r>
          </w:p>
        </w:tc>
        <w:tc>
          <w:tcPr>
            <w:tcW w:w="255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  1  页  共  1  页</w:t>
            </w:r>
          </w:p>
        </w:tc>
      </w:tr>
      <w:tr>
        <w:tblPrEx>
          <w:tblCellMar>
            <w:top w:w="0" w:type="dxa"/>
            <w:left w:w="0" w:type="dxa"/>
            <w:bottom w:w="0" w:type="dxa"/>
            <w:right w:w="0" w:type="dxa"/>
          </w:tblCellMar>
        </w:tblPrEx>
        <w:trPr>
          <w:trHeight w:val="525" w:hRule="atLeast"/>
          <w:jc w:val="center"/>
        </w:trPr>
        <w:tc>
          <w:tcPr>
            <w:tcW w:w="555"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项目编码</w:t>
            </w:r>
          </w:p>
        </w:tc>
        <w:tc>
          <w:tcPr>
            <w:tcW w:w="201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计算基础</w:t>
            </w:r>
          </w:p>
        </w:tc>
        <w:tc>
          <w:tcPr>
            <w:tcW w:w="72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费率(%)</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金额(元)</w:t>
            </w:r>
          </w:p>
        </w:tc>
        <w:tc>
          <w:tcPr>
            <w:tcW w:w="105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调整费率(%)</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调整后金额(元)</w:t>
            </w:r>
          </w:p>
        </w:tc>
        <w:tc>
          <w:tcPr>
            <w:tcW w:w="1320" w:type="dxa"/>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备注</w:t>
            </w: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安全文明施工与环境保护基本费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25"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安全文明施工与环境保护费(浮动部分)</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安全防护、文明施工基本费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临时设施费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夜间施工增加费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雨季施工增加费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0.61</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10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视频监控费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编制预算或控制价时，视频监控费暂按租赁价每台球机1000元/月、每两台枪机800元/月计算，工程结算时，按实际费用计算</w:t>
            </w: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0" w:hRule="atLeast"/>
          <w:jc w:val="center"/>
        </w:trPr>
        <w:tc>
          <w:tcPr>
            <w:tcW w:w="5925" w:type="dxa"/>
            <w:gridSpan w:val="6"/>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    计</w:t>
            </w:r>
          </w:p>
        </w:tc>
        <w:tc>
          <w:tcPr>
            <w:tcW w:w="825"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gridSpan w:val="2"/>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r>
    </w:tbl>
    <w:p>
      <w:pPr>
        <w:rPr>
          <w:rFonts w:hint="eastAsia" w:ascii="宋体" w:hAnsi="宋体"/>
          <w:b/>
          <w:color w:val="auto"/>
          <w:szCs w:val="21"/>
        </w:rPr>
      </w:pPr>
    </w:p>
    <w:tbl>
      <w:tblPr>
        <w:tblStyle w:val="12"/>
        <w:tblW w:w="10170" w:type="dxa"/>
        <w:jc w:val="center"/>
        <w:tblLayout w:type="autofit"/>
        <w:tblCellMar>
          <w:top w:w="0" w:type="dxa"/>
          <w:left w:w="0" w:type="dxa"/>
          <w:bottom w:w="0" w:type="dxa"/>
          <w:right w:w="0" w:type="dxa"/>
        </w:tblCellMar>
      </w:tblPr>
      <w:tblGrid>
        <w:gridCol w:w="737"/>
        <w:gridCol w:w="1271"/>
        <w:gridCol w:w="626"/>
        <w:gridCol w:w="1028"/>
        <w:gridCol w:w="4800"/>
        <w:gridCol w:w="220"/>
        <w:gridCol w:w="751"/>
        <w:gridCol w:w="737"/>
      </w:tblGrid>
      <w:tr>
        <w:tblPrEx>
          <w:tblCellMar>
            <w:top w:w="0" w:type="dxa"/>
            <w:left w:w="0" w:type="dxa"/>
            <w:bottom w:w="0" w:type="dxa"/>
            <w:right w:w="0" w:type="dxa"/>
          </w:tblCellMar>
        </w:tblPrEx>
        <w:trPr>
          <w:trHeight w:val="750" w:hRule="atLeast"/>
          <w:jc w:val="center"/>
        </w:trPr>
        <w:tc>
          <w:tcPr>
            <w:tcW w:w="1017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0"/>
                <w:szCs w:val="40"/>
                <w:u w:val="none"/>
                <w:lang w:val="en-US" w:eastAsia="zh-CN" w:bidi="ar"/>
              </w:rPr>
              <w:t>规费、税金项目计价表</w:t>
            </w:r>
          </w:p>
        </w:tc>
      </w:tr>
      <w:tr>
        <w:tblPrEx>
          <w:tblCellMar>
            <w:top w:w="0" w:type="dxa"/>
            <w:left w:w="0" w:type="dxa"/>
            <w:bottom w:w="0" w:type="dxa"/>
            <w:right w:w="0" w:type="dxa"/>
          </w:tblCellMar>
        </w:tblPrEx>
        <w:trPr>
          <w:trHeight w:val="750" w:hRule="atLeast"/>
          <w:jc w:val="center"/>
        </w:trPr>
        <w:tc>
          <w:tcPr>
            <w:tcW w:w="4245"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工程名称：白沙县背街小巷黄土裸露、商铺门前地面破损、及地面硬化工程</w:t>
            </w:r>
          </w:p>
        </w:tc>
        <w:tc>
          <w:tcPr>
            <w:tcW w:w="3375"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标段：</w:t>
            </w:r>
          </w:p>
        </w:tc>
        <w:tc>
          <w:tcPr>
            <w:tcW w:w="2550"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  1  页  共  1  页</w:t>
            </w:r>
          </w:p>
        </w:tc>
      </w:tr>
      <w:tr>
        <w:tblPrEx>
          <w:tblCellMar>
            <w:top w:w="0" w:type="dxa"/>
            <w:left w:w="0" w:type="dxa"/>
            <w:bottom w:w="0" w:type="dxa"/>
            <w:right w:w="0" w:type="dxa"/>
          </w:tblCellMar>
        </w:tblPrEx>
        <w:trPr>
          <w:trHeight w:val="315" w:hRule="atLeast"/>
          <w:jc w:val="center"/>
        </w:trPr>
        <w:tc>
          <w:tcPr>
            <w:tcW w:w="1170"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214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264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计算基础</w:t>
            </w:r>
          </w:p>
        </w:tc>
        <w:tc>
          <w:tcPr>
            <w:tcW w:w="132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计算基数</w:t>
            </w:r>
          </w:p>
        </w:tc>
        <w:tc>
          <w:tcPr>
            <w:tcW w:w="1635"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计算费率(%)</w:t>
            </w:r>
          </w:p>
        </w:tc>
        <w:tc>
          <w:tcPr>
            <w:tcW w:w="1260" w:type="dxa"/>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r>
      <w:tr>
        <w:tblPrEx>
          <w:tblCellMar>
            <w:top w:w="0" w:type="dxa"/>
            <w:left w:w="0" w:type="dxa"/>
            <w:bottom w:w="0" w:type="dxa"/>
            <w:right w:w="0" w:type="dxa"/>
          </w:tblCellMar>
        </w:tblPrEx>
        <w:trPr>
          <w:trHeight w:val="525" w:hRule="atLeast"/>
          <w:jc w:val="center"/>
        </w:trPr>
        <w:tc>
          <w:tcPr>
            <w:tcW w:w="117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规费</w:t>
            </w:r>
          </w:p>
        </w:tc>
        <w:tc>
          <w:tcPr>
            <w:tcW w:w="264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其中：垃圾处置费+其中：社保费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D1 + D2</w:t>
            </w:r>
          </w:p>
        </w:tc>
        <w:tc>
          <w:tcPr>
            <w:tcW w:w="163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15" w:hRule="atLeast"/>
          <w:jc w:val="center"/>
        </w:trPr>
        <w:tc>
          <w:tcPr>
            <w:tcW w:w="117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其中：垃圾处置费</w:t>
            </w:r>
          </w:p>
        </w:tc>
        <w:tc>
          <w:tcPr>
            <w:tcW w:w="264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200" w:hRule="atLeast"/>
          <w:jc w:val="center"/>
        </w:trPr>
        <w:tc>
          <w:tcPr>
            <w:tcW w:w="117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其中：社保费</w:t>
            </w:r>
          </w:p>
        </w:tc>
        <w:tc>
          <w:tcPr>
            <w:tcW w:w="264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(分部分项定额人工费+单价措施定额人工费+分部分项定额机上人工费+单价措施定额机上人工费)*0.7</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(FBFX_DERGF+DJCS_DERGF+FBFX_DEJSRGF+DJCS_DEJSRGF)*0.7</w:t>
            </w:r>
          </w:p>
        </w:tc>
        <w:tc>
          <w:tcPr>
            <w:tcW w:w="163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25" w:hRule="atLeast"/>
          <w:jc w:val="center"/>
        </w:trPr>
        <w:tc>
          <w:tcPr>
            <w:tcW w:w="117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税金</w:t>
            </w:r>
          </w:p>
        </w:tc>
        <w:tc>
          <w:tcPr>
            <w:tcW w:w="264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分部分项工程费+措施项目费+其他项目费+规费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A+B+C+D</w:t>
            </w:r>
          </w:p>
        </w:tc>
        <w:tc>
          <w:tcPr>
            <w:tcW w:w="163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0" w:hRule="atLeast"/>
          <w:jc w:val="center"/>
        </w:trPr>
        <w:tc>
          <w:tcPr>
            <w:tcW w:w="5955" w:type="dxa"/>
            <w:gridSpan w:val="4"/>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132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635" w:type="dxa"/>
            <w:gridSpan w:val="2"/>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975" w:hRule="atLeast"/>
          <w:jc w:val="center"/>
        </w:trPr>
        <w:tc>
          <w:tcPr>
            <w:tcW w:w="4245" w:type="dxa"/>
            <w:gridSpan w:val="3"/>
            <w:tcBorders>
              <w:top w:val="nil"/>
              <w:left w:val="nil"/>
              <w:bottom w:val="nil"/>
              <w:right w:val="nil"/>
            </w:tcBorders>
            <w:shd w:val="clear" w:color="FFFFFF"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编制人（造价员）：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br w:type="textWrapping"/>
            </w:r>
          </w:p>
        </w:tc>
        <w:tc>
          <w:tcPr>
            <w:tcW w:w="5925" w:type="dxa"/>
            <w:gridSpan w:val="5"/>
            <w:tcBorders>
              <w:top w:val="nil"/>
              <w:left w:val="nil"/>
              <w:bottom w:val="nil"/>
              <w:right w:val="nil"/>
            </w:tcBorders>
            <w:shd w:val="clear" w:color="FFFFFF"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复核人（造价工程师）：</w:t>
            </w:r>
          </w:p>
        </w:tc>
      </w:tr>
    </w:tbl>
    <w:p>
      <w:pPr>
        <w:pStyle w:val="2"/>
        <w:rPr>
          <w:rFonts w:hint="eastAsia"/>
          <w:lang w:val="en-US" w:eastAsia="zh-CN"/>
        </w:rPr>
      </w:pPr>
      <w:bookmarkStart w:id="0" w:name="_GoBack"/>
      <w:bookmarkEnd w:id="0"/>
    </w:p>
    <w:sectPr>
      <w:footerReference r:id="rId3" w:type="default"/>
      <w:pgSz w:w="11906" w:h="16838"/>
      <w:pgMar w:top="1134" w:right="1417" w:bottom="1134"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215390" cy="173990"/>
              <wp:effectExtent l="0" t="0" r="0" b="0"/>
              <wp:wrapNone/>
              <wp:docPr id="1" name="矩形 1"/>
              <wp:cNvGraphicFramePr/>
              <a:graphic xmlns:a="http://schemas.openxmlformats.org/drawingml/2006/main">
                <a:graphicData uri="http://schemas.microsoft.com/office/word/2010/wordprocessingShape">
                  <wps:wsp>
                    <wps:cNvSpPr/>
                    <wps:spPr>
                      <a:xfrm>
                        <a:off x="0" y="0"/>
                        <a:ext cx="1215390" cy="173990"/>
                      </a:xfrm>
                      <a:prstGeom prst="rect">
                        <a:avLst/>
                      </a:prstGeom>
                      <a:noFill/>
                      <a:ln>
                        <a:noFill/>
                      </a:ln>
                    </wps:spPr>
                    <wps:txbx>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35</w:t>
                          </w:r>
                          <w:r>
                            <w:rPr>
                              <w:rFonts w:hint="eastAsia" w:ascii="宋体" w:hAnsi="宋体" w:cs="宋体"/>
                              <w:szCs w:val="21"/>
                            </w:rPr>
                            <w:fldChar w:fldCharType="end"/>
                          </w:r>
                          <w:r>
                            <w:rPr>
                              <w:rFonts w:hint="eastAsia" w:ascii="宋体" w:hAnsi="宋体" w:cs="宋体"/>
                              <w:szCs w:val="21"/>
                            </w:rPr>
                            <w:t xml:space="preserve"> 页 共3</w:t>
                          </w:r>
                          <w:r>
                            <w:rPr>
                              <w:rFonts w:hint="eastAsia" w:ascii="宋体" w:hAnsi="宋体" w:cs="宋体"/>
                              <w:szCs w:val="21"/>
                              <w:lang w:val="en-US" w:eastAsia="zh-CN"/>
                            </w:rPr>
                            <w:t>4</w:t>
                          </w:r>
                          <w:r>
                            <w:rPr>
                              <w:rFonts w:hint="eastAsia" w:ascii="宋体" w:hAnsi="宋体" w:cs="宋体"/>
                              <w:szCs w:val="21"/>
                            </w:rPr>
                            <w:t>页</w:t>
                          </w:r>
                        </w:p>
                      </w:txbxContent>
                    </wps:txbx>
                    <wps:bodyPr lIns="0" tIns="0" rIns="0" bIns="0" upright="0"/>
                  </wps:wsp>
                </a:graphicData>
              </a:graphic>
            </wp:anchor>
          </w:drawing>
        </mc:Choice>
        <mc:Fallback>
          <w:pict>
            <v:rect id="_x0000_s1026" o:spid="_x0000_s1026" o:spt="1" style="position:absolute;left:0pt;height:13.7pt;width:95.7pt;mso-position-horizontal:center;mso-position-horizontal-relative:margin;mso-position-vertical:top;z-index:251658240;mso-width-relative:page;mso-height-relative:page;" filled="f" stroked="f" coordsize="21600,21600" o:gfxdata="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gCzxNYAAAAEAQAADwAAAAAAAAABACAAAAAiAAAAZHJz&#10;L2Rvd25yZXYueG1sUEsBAhQAFAAAAAgAh07iQFnEPfyUAQAAFwMAAA4AAAAAAAAAAQAgAAAAJQEA&#10;AGRycy9lMm9Eb2MueG1sUEsFBgAAAAAGAAYAWQEAACsFAAAAAA==&#10;">
              <v:fill on="f" focussize="0,0"/>
              <v:stroke on="f"/>
              <v:imagedata o:title=""/>
              <o:lock v:ext="edit" aspectratio="f"/>
              <v:textbox inset="0mm,0mm,0mm,0mm">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35</w:t>
                    </w:r>
                    <w:r>
                      <w:rPr>
                        <w:rFonts w:hint="eastAsia" w:ascii="宋体" w:hAnsi="宋体" w:cs="宋体"/>
                        <w:szCs w:val="21"/>
                      </w:rPr>
                      <w:fldChar w:fldCharType="end"/>
                    </w:r>
                    <w:r>
                      <w:rPr>
                        <w:rFonts w:hint="eastAsia" w:ascii="宋体" w:hAnsi="宋体" w:cs="宋体"/>
                        <w:szCs w:val="21"/>
                      </w:rPr>
                      <w:t xml:space="preserve"> 页 共3</w:t>
                    </w:r>
                    <w:r>
                      <w:rPr>
                        <w:rFonts w:hint="eastAsia" w:ascii="宋体" w:hAnsi="宋体" w:cs="宋体"/>
                        <w:szCs w:val="21"/>
                        <w:lang w:val="en-US" w:eastAsia="zh-CN"/>
                      </w:rPr>
                      <w:t>4</w:t>
                    </w:r>
                    <w:r>
                      <w:rPr>
                        <w:rFonts w:hint="eastAsia" w:ascii="宋体" w:hAnsi="宋体" w:cs="宋体"/>
                        <w:szCs w:val="21"/>
                      </w:rPr>
                      <w:t>页</w:t>
                    </w:r>
                  </w:p>
                </w:txbxContent>
              </v:textbox>
            </v:rect>
          </w:pict>
        </mc:Fallback>
      </mc:AlternateContent>
    </w:r>
    <w:r>
      <w:drawing>
        <wp:inline distT="0" distB="0" distL="114300" distR="114300">
          <wp:extent cx="1524635" cy="532130"/>
          <wp:effectExtent l="0" t="0" r="18415" b="1270"/>
          <wp:docPr id="2" name="图片 1" descr="和信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和信源"/>
                  <pic:cNvPicPr>
                    <a:picLocks noChangeAspect="1"/>
                  </pic:cNvPicPr>
                </pic:nvPicPr>
                <pic:blipFill>
                  <a:blip r:embed="rId1"/>
                  <a:stretch>
                    <a:fillRect/>
                  </a:stretch>
                </pic:blipFill>
                <pic:spPr>
                  <a:xfrm>
                    <a:off x="0" y="0"/>
                    <a:ext cx="1524635" cy="532130"/>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E3B3D"/>
    <w:multiLevelType w:val="multilevel"/>
    <w:tmpl w:val="77EE3B3D"/>
    <w:lvl w:ilvl="0" w:tentative="0">
      <w:start w:val="1"/>
      <w:numFmt w:val="decimal"/>
      <w:pStyle w:val="3"/>
      <w:lvlText w:val="%1."/>
      <w:lvlJc w:val="left"/>
      <w:pPr>
        <w:tabs>
          <w:tab w:val="left" w:pos="709"/>
        </w:tabs>
        <w:ind w:left="709" w:hanging="425"/>
      </w:pPr>
      <w:rPr>
        <w:rFonts w:hint="default"/>
      </w:rPr>
    </w:lvl>
    <w:lvl w:ilvl="1" w:tentative="0">
      <w:start w:val="1"/>
      <w:numFmt w:val="decimal"/>
      <w:lvlText w:val="%1.%2."/>
      <w:lvlJc w:val="left"/>
      <w:pPr>
        <w:tabs>
          <w:tab w:val="left" w:pos="567"/>
        </w:tabs>
        <w:ind w:left="567" w:hanging="567"/>
      </w:pPr>
      <w:rPr>
        <w:rFonts w:hint="default"/>
        <w:b/>
        <w:lang w:val="en-US"/>
      </w:rPr>
    </w:lvl>
    <w:lvl w:ilvl="2" w:tentative="0">
      <w:start w:val="1"/>
      <w:numFmt w:val="decimal"/>
      <w:lvlText w:val="%1.%2.%3."/>
      <w:lvlJc w:val="left"/>
      <w:pPr>
        <w:tabs>
          <w:tab w:val="left" w:pos="709"/>
        </w:tabs>
        <w:ind w:left="709" w:hanging="709"/>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3" w:tentative="0">
      <w:start w:val="1"/>
      <w:numFmt w:val="decimal"/>
      <w:pStyle w:val="5"/>
      <w:lvlText w:val="%1.%2.%3.%4."/>
      <w:lvlJc w:val="left"/>
      <w:pPr>
        <w:tabs>
          <w:tab w:val="left" w:pos="1844"/>
        </w:tabs>
        <w:ind w:left="1844" w:hanging="851"/>
      </w:pPr>
      <w:rPr>
        <w:rFonts w:hint="default"/>
        <w:lang w:val="en-US"/>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E58F2"/>
    <w:rsid w:val="0DB67A58"/>
    <w:rsid w:val="13046498"/>
    <w:rsid w:val="13A72D06"/>
    <w:rsid w:val="19F05C7C"/>
    <w:rsid w:val="25FC16A5"/>
    <w:rsid w:val="26F26FCC"/>
    <w:rsid w:val="361B2518"/>
    <w:rsid w:val="382A28EE"/>
    <w:rsid w:val="5AC14DFF"/>
    <w:rsid w:val="60144222"/>
    <w:rsid w:val="6FCB7C0D"/>
    <w:rsid w:val="71BD53E5"/>
    <w:rsid w:val="740322A3"/>
    <w:rsid w:val="7B92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qFormat/>
    <w:uiPriority w:val="0"/>
    <w:pPr>
      <w:keepNext/>
      <w:keepLines/>
      <w:numPr>
        <w:ilvl w:val="0"/>
        <w:numId w:val="1"/>
      </w:numPr>
      <w:tabs>
        <w:tab w:val="left" w:pos="142"/>
        <w:tab w:val="left" w:pos="5670"/>
      </w:tabs>
      <w:spacing w:before="0" w:after="0"/>
      <w:outlineLvl w:val="0"/>
    </w:pPr>
    <w:rPr>
      <w:rFonts w:ascii="仿宋" w:hAnsi="仿宋" w:cs="Times New Roman"/>
      <w:bCs w:val="0"/>
      <w:iCs/>
      <w:smallCaps/>
      <w:kern w:val="44"/>
      <w:sz w:val="32"/>
      <w:szCs w:val="28"/>
      <w:lang w:val="zh-CN"/>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4"/>
    <w:basedOn w:val="6"/>
    <w:next w:val="6"/>
    <w:qFormat/>
    <w:uiPriority w:val="0"/>
    <w:pPr>
      <w:keepNext/>
      <w:keepLines/>
      <w:numPr>
        <w:ilvl w:val="3"/>
        <w:numId w:val="1"/>
      </w:numPr>
      <w:kinsoku w:val="0"/>
      <w:spacing w:line="360" w:lineRule="auto"/>
      <w:ind w:leftChars="0"/>
      <w:jc w:val="left"/>
      <w:outlineLvl w:val="3"/>
    </w:pPr>
    <w:rPr>
      <w:rFonts w:ascii="黑体" w:hAnsi="黑体" w:eastAsia="仿宋" w:cs="Times New Roman"/>
      <w:bCs/>
      <w:sz w:val="28"/>
      <w:szCs w:val="28"/>
      <w:lang w:val="zh-CN" w:eastAsia="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39"/>
    <w:pPr>
      <w:spacing w:before="120" w:after="120" w:line="360" w:lineRule="auto"/>
      <w:ind w:firstLine="420"/>
      <w:jc w:val="left"/>
    </w:pPr>
    <w:rPr>
      <w:rFonts w:ascii="Calibri" w:hAnsi="Calibri" w:eastAsia="仿宋" w:cs="Calibri"/>
      <w:b/>
      <w:bCs/>
      <w:caps/>
      <w:sz w:val="20"/>
      <w:szCs w:val="20"/>
    </w:rPr>
  </w:style>
  <w:style w:type="paragraph" w:styleId="6">
    <w:name w:val="toc 4"/>
    <w:basedOn w:val="1"/>
    <w:next w:val="1"/>
    <w:unhideWhenUsed/>
    <w:qFormat/>
    <w:uiPriority w:val="39"/>
    <w:pPr>
      <w:ind w:left="1260" w:leftChars="600"/>
    </w:pPr>
  </w:style>
  <w:style w:type="paragraph" w:styleId="7">
    <w:name w:val="Body Text"/>
    <w:basedOn w:val="1"/>
    <w:next w:val="1"/>
    <w:qFormat/>
    <w:uiPriority w:val="0"/>
    <w:pPr>
      <w:spacing w:after="120" w:afterLines="0"/>
    </w:pPr>
  </w:style>
  <w:style w:type="paragraph" w:styleId="8">
    <w:name w:val="Plain Text"/>
    <w:basedOn w:val="1"/>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4">
    <w:name w:val="列出段落1"/>
    <w:basedOn w:val="1"/>
    <w:qFormat/>
    <w:uiPriority w:val="0"/>
    <w:pPr>
      <w:ind w:firstLine="420" w:firstLineChars="200"/>
      <w:contextualSpacing/>
    </w:pPr>
    <w:rPr>
      <w:rFonts w:eastAsia="仿宋"/>
      <w:szCs w:val="22"/>
    </w:rPr>
  </w:style>
  <w:style w:type="paragraph" w:customStyle="1" w:styleId="15">
    <w:name w:val="List Paragraph1"/>
    <w:basedOn w:val="1"/>
    <w:qFormat/>
    <w:uiPriority w:val="99"/>
    <w:pPr>
      <w:ind w:firstLine="420" w:firstLineChars="200"/>
    </w:pPr>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my正文"/>
    <w:basedOn w:val="1"/>
    <w:qFormat/>
    <w:uiPriority w:val="0"/>
    <w:pPr>
      <w:spacing w:line="360" w:lineRule="auto"/>
      <w:ind w:firstLine="480" w:firstLineChars="200"/>
    </w:pPr>
    <w:rPr>
      <w:sz w:val="24"/>
    </w:rPr>
  </w:style>
  <w:style w:type="character" w:customStyle="1" w:styleId="18">
    <w:name w:val="font01"/>
    <w:basedOn w:val="13"/>
    <w:qFormat/>
    <w:uiPriority w:val="0"/>
    <w:rPr>
      <w:rFonts w:ascii="微软雅黑" w:hAnsi="微软雅黑" w:eastAsia="微软雅黑" w:cs="微软雅黑"/>
      <w:color w:val="000000"/>
      <w:sz w:val="24"/>
      <w:szCs w:val="24"/>
      <w:u w:val="none"/>
    </w:rPr>
  </w:style>
  <w:style w:type="character" w:customStyle="1" w:styleId="19">
    <w:name w:val="font31"/>
    <w:basedOn w:val="13"/>
    <w:qFormat/>
    <w:uiPriority w:val="0"/>
    <w:rPr>
      <w:rFonts w:hint="eastAsia" w:ascii="宋体" w:hAnsi="宋体" w:eastAsia="宋体" w:cs="宋体"/>
      <w:color w:val="000000"/>
      <w:sz w:val="24"/>
      <w:szCs w:val="24"/>
      <w:u w:val="none"/>
    </w:rPr>
  </w:style>
  <w:style w:type="character" w:customStyle="1" w:styleId="20">
    <w:name w:val="font11"/>
    <w:basedOn w:val="13"/>
    <w:qFormat/>
    <w:uiPriority w:val="0"/>
    <w:rPr>
      <w:rFonts w:ascii="微软雅黑" w:hAnsi="微软雅黑" w:eastAsia="微软雅黑" w:cs="微软雅黑"/>
      <w:color w:val="000000"/>
      <w:sz w:val="24"/>
      <w:szCs w:val="24"/>
      <w:u w:val="none"/>
    </w:rPr>
  </w:style>
  <w:style w:type="character" w:customStyle="1" w:styleId="21">
    <w:name w:val="font21"/>
    <w:basedOn w:val="13"/>
    <w:qFormat/>
    <w:uiPriority w:val="0"/>
    <w:rPr>
      <w:rFonts w:hint="eastAsia" w:ascii="宋体" w:hAnsi="宋体" w:eastAsia="宋体" w:cs="宋体"/>
      <w:color w:val="000000"/>
      <w:sz w:val="24"/>
      <w:szCs w:val="24"/>
      <w:u w:val="none"/>
    </w:rPr>
  </w:style>
  <w:style w:type="paragraph" w:customStyle="1" w:styleId="22">
    <w:name w:val="newstyle16"/>
    <w:basedOn w:val="1"/>
    <w:qFormat/>
    <w:uiPriority w:val="0"/>
    <w:pPr>
      <w:widowControl/>
      <w:jc w:val="left"/>
    </w:pPr>
    <w:rPr>
      <w:rFonts w:ascii="宋体" w:hAnsi="宋体" w:cs="宋体"/>
      <w:kern w:val="0"/>
      <w:sz w:val="24"/>
    </w:rPr>
  </w:style>
  <w:style w:type="character" w:customStyle="1" w:styleId="23">
    <w:name w:val="标题 1 字符"/>
    <w:qFormat/>
    <w:uiPriority w:val="0"/>
    <w:rPr>
      <w:rFonts w:ascii="宋体" w:hAnsi="宋体" w:eastAsia="黑体"/>
      <w:b/>
      <w:bCs/>
      <w:iCs/>
      <w:kern w:val="44"/>
      <w:sz w:val="36"/>
    </w:rPr>
  </w:style>
  <w:style w:type="paragraph" w:customStyle="1" w:styleId="24">
    <w:name w:val="GW-正文"/>
    <w:basedOn w:val="1"/>
    <w:qFormat/>
    <w:uiPriority w:val="0"/>
    <w:pPr>
      <w:spacing w:line="360" w:lineRule="auto"/>
      <w:ind w:firstLine="200" w:firstLineChars="200"/>
      <w:contextualSpacing/>
    </w:pPr>
    <w:rPr>
      <w:rFonts w:ascii="Times New Roman" w:hAnsi="Times New Roman" w:eastAsia="仿宋" w:cs="Times New Roman"/>
      <w:sz w:val="28"/>
      <w:szCs w:val="24"/>
      <w:lang w:val="zh-CN" w:eastAsia="zh-CN"/>
    </w:rPr>
  </w:style>
  <w:style w:type="paragraph" w:customStyle="1" w:styleId="25">
    <w:name w:val="*正文"/>
    <w:basedOn w:val="1"/>
    <w:qFormat/>
    <w:uiPriority w:val="0"/>
    <w:pPr>
      <w:spacing w:line="360" w:lineRule="auto"/>
      <w:ind w:firstLine="560" w:firstLineChars="200"/>
      <w:jc w:val="left"/>
    </w:pPr>
    <w:rPr>
      <w:rFonts w:ascii="仿宋_GB2312" w:hAnsi="宋体" w:eastAsia="仿宋" w:cs="宋体"/>
      <w:color w:val="000000"/>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2020-07-15T07:06:00Z</dcterms:created>
  <dc:creator>Administrator</dc:creator>
  <cp:lastModifiedBy>Administrator</cp:lastModifiedBy>
  <dcterms:modified xsi:type="dcterms:W3CDTF">2020-07-16T01:07:18Z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