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/>
        <w:jc w:val="center"/>
        <w:outlineLvl w:val="0"/>
        <w:rPr>
          <w:rFonts w:hint="eastAsia" w:ascii="仿宋_GB2312" w:hAnsi="仿宋_GB2312" w:eastAsia="仿宋_GB2312" w:cs="宋体"/>
          <w:b/>
          <w:color w:val="auto"/>
          <w:kern w:val="1"/>
          <w:sz w:val="36"/>
          <w:szCs w:val="36"/>
        </w:rPr>
      </w:pPr>
      <w:r>
        <w:rPr>
          <w:rFonts w:hint="eastAsia" w:ascii="仿宋_GB2312" w:hAnsi="仿宋_GB2312" w:eastAsia="仿宋_GB2312" w:cs="宋体"/>
          <w:b/>
          <w:color w:val="auto"/>
          <w:kern w:val="1"/>
          <w:sz w:val="36"/>
          <w:szCs w:val="36"/>
        </w:rPr>
        <w:t>采购需求</w:t>
      </w:r>
    </w:p>
    <w:p>
      <w:pPr>
        <w:spacing w:line="360" w:lineRule="auto"/>
        <w:rPr>
          <w:rFonts w:hint="eastAsia" w:ascii="仿宋_GB2312" w:hAnsi="仿宋_GB2312" w:eastAsia="仿宋_GB2312" w:cs="宋体"/>
          <w:b/>
          <w:color w:val="auto"/>
          <w:kern w:val="1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color w:val="auto"/>
          <w:kern w:val="1"/>
          <w:sz w:val="28"/>
          <w:szCs w:val="28"/>
        </w:rPr>
        <w:t>一、项目概况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auto"/>
          <w:kern w:val="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1"/>
          <w:sz w:val="28"/>
          <w:szCs w:val="28"/>
        </w:rPr>
        <w:t>1、项目名称：学生公寓楼门窗购置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auto"/>
          <w:kern w:val="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1"/>
          <w:sz w:val="28"/>
          <w:szCs w:val="28"/>
        </w:rPr>
        <w:t>2、项目编号：HNZH-2019-348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auto"/>
          <w:kern w:val="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1"/>
          <w:sz w:val="28"/>
          <w:szCs w:val="28"/>
        </w:rPr>
        <w:t>3、交货期：签订合同之日起</w:t>
      </w:r>
      <w:r>
        <w:rPr>
          <w:rFonts w:ascii="仿宋_GB2312" w:hAnsi="仿宋_GB2312" w:eastAsia="仿宋_GB2312" w:cs="仿宋_GB2312"/>
          <w:color w:val="auto"/>
          <w:kern w:val="1"/>
          <w:sz w:val="28"/>
          <w:szCs w:val="28"/>
        </w:rPr>
        <w:t>30</w:t>
      </w:r>
      <w:r>
        <w:rPr>
          <w:rFonts w:hint="eastAsia" w:ascii="仿宋_GB2312" w:hAnsi="仿宋_GB2312" w:eastAsia="仿宋_GB2312" w:cs="仿宋_GB2312"/>
          <w:color w:val="auto"/>
          <w:kern w:val="1"/>
          <w:sz w:val="28"/>
          <w:szCs w:val="28"/>
        </w:rPr>
        <w:t>天内</w:t>
      </w:r>
    </w:p>
    <w:p>
      <w:pPr>
        <w:pStyle w:val="3"/>
        <w:spacing w:before="0" w:beforeAutospacing="0" w:line="360" w:lineRule="auto"/>
        <w:contextualSpacing/>
        <w:rPr>
          <w:rFonts w:hint="eastAsia" w:ascii="仿宋_GB2312" w:hAnsi="仿宋_GB2312" w:eastAsia="仿宋_GB2312" w:cs="Times New Roman"/>
          <w:color w:val="auto"/>
          <w:kern w:val="1"/>
          <w:sz w:val="28"/>
          <w:szCs w:val="28"/>
        </w:rPr>
      </w:pPr>
      <w:r>
        <w:rPr>
          <w:rFonts w:hint="eastAsia" w:ascii="仿宋_GB2312" w:hAnsi="仿宋_GB2312" w:eastAsia="仿宋_GB2312" w:cs="Times New Roman"/>
          <w:color w:val="auto"/>
          <w:kern w:val="1"/>
          <w:sz w:val="28"/>
          <w:szCs w:val="28"/>
        </w:rPr>
        <w:t>4、付款方式：签订合同后按合同约定内容付款</w:t>
      </w:r>
    </w:p>
    <w:p>
      <w:pPr>
        <w:spacing w:line="480" w:lineRule="exact"/>
        <w:outlineLvl w:val="0"/>
        <w:rPr>
          <w:rFonts w:hint="eastAsia" w:ascii="仿宋_GB2312" w:hAnsi="仿宋_GB2312" w:eastAsia="仿宋_GB2312" w:cs="仿宋_GB2312"/>
          <w:b/>
          <w:color w:val="auto"/>
          <w:kern w:val="1"/>
          <w:sz w:val="28"/>
          <w:szCs w:val="28"/>
        </w:rPr>
      </w:pPr>
      <w:bookmarkStart w:id="0" w:name="_Toc3987528"/>
      <w:bookmarkEnd w:id="0"/>
      <w:r>
        <w:rPr>
          <w:rFonts w:hint="eastAsia" w:ascii="仿宋_GB2312" w:hAnsi="仿宋_GB2312" w:eastAsia="仿宋_GB2312" w:cs="仿宋_GB2312"/>
          <w:b/>
          <w:color w:val="auto"/>
          <w:kern w:val="1"/>
          <w:sz w:val="28"/>
          <w:szCs w:val="28"/>
        </w:rPr>
        <w:t>二、采购清单</w:t>
      </w:r>
    </w:p>
    <w:tbl>
      <w:tblPr>
        <w:tblStyle w:val="4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745"/>
        <w:gridCol w:w="4527"/>
        <w:gridCol w:w="841"/>
        <w:gridCol w:w="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</w:rPr>
              <w:t>采购品目名称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</w:rPr>
              <w:t>参考规格型号和配置技术参数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</w:rPr>
              <w:t>单位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实木门</w:t>
            </w:r>
          </w:p>
        </w:tc>
        <w:tc>
          <w:tcPr>
            <w:tcW w:w="4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材料：实木（波罗格）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门规格：2000*920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门框规格：厚48*宽95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门扇框：厚35*宽95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门板：厚12    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门楣:530*920，30玻璃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含五金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个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实木窗</w:t>
            </w:r>
          </w:p>
        </w:tc>
        <w:tc>
          <w:tcPr>
            <w:tcW w:w="4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材料：实木（波罗格）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窗规格：116*1040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窗框规格：厚48*宽95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窗扇框：厚35*宽65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窗楣：530*1040，30玻璃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含五金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个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铝合金门</w:t>
            </w:r>
          </w:p>
        </w:tc>
        <w:tc>
          <w:tcPr>
            <w:tcW w:w="4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材料：铝合金 （厚10）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门规格：2000*730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门楣:530*730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个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铝合金窗</w:t>
            </w:r>
          </w:p>
        </w:tc>
        <w:tc>
          <w:tcPr>
            <w:tcW w:w="4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材料：铝合金（厚10）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窗规格：1170*970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窗楣：530*970，30玻璃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个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安装费</w:t>
            </w:r>
          </w:p>
        </w:tc>
        <w:tc>
          <w:tcPr>
            <w:tcW w:w="4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门窗安装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1</w:t>
            </w:r>
          </w:p>
        </w:tc>
      </w:tr>
    </w:tbl>
    <w:p>
      <w:pPr>
        <w:spacing w:line="480" w:lineRule="auto"/>
        <w:rPr>
          <w:rFonts w:hint="eastAsia" w:ascii="宋体" w:hAnsi="宋体" w:cs="宋体"/>
          <w:b/>
          <w:bCs/>
          <w:sz w:val="28"/>
          <w:szCs w:val="28"/>
        </w:rPr>
      </w:pPr>
      <w:bookmarkStart w:id="1" w:name="_Toc519238882"/>
    </w:p>
    <w:p>
      <w:pPr>
        <w:spacing w:line="480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三、其他要求</w:t>
      </w:r>
      <w:bookmarkEnd w:id="1"/>
    </w:p>
    <w:p>
      <w:pPr>
        <w:spacing w:line="48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★质量要求：投标人需获得质量管理体系认证证书、环境管理体系认证证书、职业健康安全管理体系认证证书。（需提供证书复印件并加盖公章）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3792A"/>
    <w:rsid w:val="5A63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iPriority w:val="0"/>
    <w:rPr>
      <w:rFonts w:ascii="宋体" w:hAnsi="宋体" w:cs="宋体"/>
      <w:color w:val="FF0000"/>
      <w:kern w:val="1"/>
      <w:szCs w:val="32"/>
    </w:rPr>
  </w:style>
  <w:style w:type="paragraph" w:styleId="3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2020-07-09T10:07:00Z</dcterms:created>
  <dc:creator>政辉</dc:creator>
  <cp:lastModifiedBy>政辉</cp:lastModifiedBy>
  <dcterms:modified xsi:type="dcterms:W3CDTF">2020-07-09T10:08:13Z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