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cs="黑体"/>
          <w:color w:val="auto"/>
        </w:rPr>
      </w:pPr>
      <w:r>
        <w:rPr>
          <w:rFonts w:ascii="宋体" w:hAnsi="宋体" w:eastAsia="宋体" w:cs="黑体"/>
          <w:color w:val="auto"/>
        </w:rPr>
        <w:t>用户需求书</w:t>
      </w:r>
    </w:p>
    <w:p>
      <w:pPr>
        <w:pStyle w:val="2"/>
        <w:spacing w:before="0" w:after="0" w:line="480" w:lineRule="auto"/>
        <w:rPr>
          <w:rFonts w:ascii="宋体"/>
          <w:bCs w:val="0"/>
          <w:color w:val="auto"/>
          <w:sz w:val="24"/>
          <w:szCs w:val="24"/>
        </w:rPr>
      </w:pPr>
      <w:r>
        <w:rPr>
          <w:rFonts w:hint="eastAsia" w:ascii="宋体" w:hAnsi="宋体" w:eastAsia="宋体"/>
          <w:bCs w:val="0"/>
          <w:color w:val="auto"/>
          <w:sz w:val="24"/>
          <w:szCs w:val="24"/>
          <w:lang w:eastAsia="zh-CN"/>
        </w:rPr>
        <w:t>一</w:t>
      </w:r>
      <w:r>
        <w:rPr>
          <w:rFonts w:ascii="宋体" w:hAnsi="宋体"/>
          <w:bCs w:val="0"/>
          <w:color w:val="auto"/>
          <w:sz w:val="24"/>
          <w:szCs w:val="24"/>
        </w:rPr>
        <w:t>、</w:t>
      </w:r>
      <w:r>
        <w:rPr>
          <w:rFonts w:hint="eastAsia" w:ascii="宋体" w:hAnsi="宋体"/>
          <w:bCs w:val="0"/>
          <w:color w:val="auto"/>
          <w:sz w:val="24"/>
          <w:szCs w:val="24"/>
        </w:rPr>
        <w:t>项目概况</w:t>
      </w:r>
    </w:p>
    <w:p>
      <w:pPr>
        <w:tabs>
          <w:tab w:val="left" w:pos="780"/>
        </w:tabs>
        <w:spacing w:line="480" w:lineRule="auto"/>
        <w:rPr>
          <w:rFonts w:ascii="宋体" w:hAnsi="宋体"/>
          <w:color w:val="auto"/>
          <w:sz w:val="24"/>
        </w:rPr>
      </w:pPr>
      <w:r>
        <w:rPr>
          <w:rFonts w:hint="eastAsia" w:ascii="宋体" w:hAnsi="宋体"/>
          <w:color w:val="auto"/>
          <w:sz w:val="24"/>
          <w:lang w:eastAsia="zh-CN"/>
        </w:rPr>
        <w:t>（</w:t>
      </w: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rPr>
        <w:t>项目名称：</w:t>
      </w:r>
      <w:r>
        <w:rPr>
          <w:rFonts w:hint="eastAsia" w:ascii="宋体" w:hAnsi="宋体"/>
          <w:color w:val="auto"/>
          <w:sz w:val="24"/>
          <w:lang w:eastAsia="zh-CN"/>
        </w:rPr>
        <w:t>2019年白沙黎族自治县教育信息化设备运维服务项目</w:t>
      </w:r>
      <w:r>
        <w:rPr>
          <w:rFonts w:ascii="宋体" w:hAnsi="宋体"/>
          <w:color w:val="auto"/>
          <w:sz w:val="24"/>
        </w:rPr>
        <w:t xml:space="preserve">   </w:t>
      </w:r>
    </w:p>
    <w:p>
      <w:pPr>
        <w:tabs>
          <w:tab w:val="left" w:pos="780"/>
        </w:tabs>
        <w:spacing w:line="480" w:lineRule="auto"/>
        <w:rPr>
          <w:rFonts w:asci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采购预算</w:t>
      </w:r>
      <w:r>
        <w:rPr>
          <w:rFonts w:ascii="宋体" w:hAnsi="宋体"/>
          <w:color w:val="auto"/>
          <w:sz w:val="24"/>
        </w:rPr>
        <w:t>:</w:t>
      </w:r>
      <w:r>
        <w:rPr>
          <w:rFonts w:hint="eastAsia" w:ascii="宋体" w:hAnsi="宋体"/>
          <w:color w:val="auto"/>
          <w:sz w:val="24"/>
          <w:lang w:eastAsia="zh-CN"/>
        </w:rPr>
        <w:t>¥</w:t>
      </w:r>
      <w:r>
        <w:rPr>
          <w:rFonts w:hint="eastAsia" w:ascii="宋体" w:hAnsi="宋体"/>
          <w:color w:val="auto"/>
          <w:sz w:val="24"/>
          <w:lang w:val="en-US" w:eastAsia="zh-CN"/>
        </w:rPr>
        <w:t>1012215.00</w:t>
      </w:r>
      <w:r>
        <w:rPr>
          <w:rFonts w:hint="eastAsia" w:ascii="宋体" w:hAnsi="宋体"/>
          <w:color w:val="auto"/>
          <w:sz w:val="24"/>
          <w:lang w:eastAsia="zh-CN"/>
        </w:rPr>
        <w:t>元</w:t>
      </w:r>
      <w:r>
        <w:rPr>
          <w:rFonts w:hint="eastAsia" w:ascii="宋体" w:hAnsi="宋体"/>
          <w:color w:val="auto"/>
          <w:sz w:val="24"/>
        </w:rPr>
        <w:t>，超出采购预算的为无效报价</w:t>
      </w:r>
    </w:p>
    <w:p>
      <w:pPr>
        <w:tabs>
          <w:tab w:val="left" w:pos="780"/>
        </w:tabs>
        <w:spacing w:line="480" w:lineRule="auto"/>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）服务期：一年</w:t>
      </w:r>
    </w:p>
    <w:p>
      <w:pPr>
        <w:tabs>
          <w:tab w:val="left" w:pos="780"/>
        </w:tabs>
        <w:spacing w:line="480"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）服务地点：采购人指定地点</w:t>
      </w:r>
    </w:p>
    <w:p>
      <w:pPr>
        <w:tabs>
          <w:tab w:val="left" w:pos="780"/>
        </w:tabs>
        <w:spacing w:line="480"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）付款方式：</w:t>
      </w:r>
    </w:p>
    <w:p>
      <w:pPr>
        <w:tabs>
          <w:tab w:val="left" w:pos="780"/>
        </w:tabs>
        <w:spacing w:line="480" w:lineRule="auto"/>
        <w:rPr>
          <w:rFonts w:hint="eastAsia" w:ascii="宋体" w:hAnsi="宋体"/>
          <w:color w:val="auto"/>
          <w:sz w:val="24"/>
          <w:lang w:eastAsia="zh-CN"/>
        </w:rPr>
      </w:pPr>
      <w:r>
        <w:rPr>
          <w:rFonts w:hint="eastAsia" w:ascii="宋体" w:hAnsi="宋体"/>
          <w:color w:val="auto"/>
          <w:sz w:val="24"/>
          <w:lang w:eastAsia="zh-CN"/>
        </w:rPr>
        <w:t>第一阶段：签订合同后中标单位安排好现场驻点和驻扎人员到位后拨付30%的费用；第二阶段：在第一学期结束后拨付的20%；</w:t>
      </w:r>
    </w:p>
    <w:p>
      <w:pPr>
        <w:tabs>
          <w:tab w:val="left" w:pos="780"/>
        </w:tabs>
        <w:spacing w:line="480" w:lineRule="auto"/>
        <w:rPr>
          <w:rFonts w:hint="eastAsia" w:ascii="宋体" w:hAnsi="宋体"/>
          <w:color w:val="auto"/>
          <w:sz w:val="24"/>
          <w:lang w:eastAsia="zh-CN"/>
        </w:rPr>
      </w:pPr>
      <w:r>
        <w:rPr>
          <w:rFonts w:hint="eastAsia" w:ascii="宋体" w:hAnsi="宋体"/>
          <w:color w:val="auto"/>
          <w:sz w:val="24"/>
          <w:lang w:eastAsia="zh-CN"/>
        </w:rPr>
        <w:t>第三阶段：在第二学期开始时拨付30%；</w:t>
      </w:r>
    </w:p>
    <w:p>
      <w:pPr>
        <w:tabs>
          <w:tab w:val="left" w:pos="780"/>
        </w:tabs>
        <w:spacing w:line="480" w:lineRule="auto"/>
        <w:rPr>
          <w:rFonts w:hint="eastAsia" w:ascii="宋体" w:hAnsi="宋体" w:eastAsia="宋体"/>
          <w:color w:val="auto"/>
          <w:sz w:val="24"/>
          <w:lang w:val="en-US" w:eastAsia="zh-CN"/>
        </w:rPr>
      </w:pPr>
      <w:r>
        <w:rPr>
          <w:rFonts w:hint="eastAsia" w:ascii="宋体" w:hAnsi="宋体"/>
          <w:color w:val="auto"/>
          <w:sz w:val="24"/>
          <w:lang w:eastAsia="zh-CN"/>
        </w:rPr>
        <w:t>第四阶段：在第二学期末拨付剩下的20%支付。</w:t>
      </w:r>
    </w:p>
    <w:p>
      <w:pPr>
        <w:numPr>
          <w:ilvl w:val="0"/>
          <w:numId w:val="1"/>
        </w:numPr>
        <w:tabs>
          <w:tab w:val="left" w:pos="780"/>
        </w:tabs>
        <w:spacing w:line="480" w:lineRule="auto"/>
        <w:jc w:val="left"/>
        <w:rPr>
          <w:rFonts w:hint="eastAsia" w:ascii="宋体" w:hAnsi="宋体"/>
          <w:color w:val="auto"/>
          <w:sz w:val="24"/>
        </w:rPr>
      </w:pPr>
      <w:r>
        <w:rPr>
          <w:rFonts w:hint="eastAsia" w:ascii="宋体" w:hAnsi="宋体" w:cstheme="majorBidi"/>
          <w:b/>
          <w:bCs w:val="0"/>
          <w:color w:val="auto"/>
          <w:sz w:val="24"/>
          <w:szCs w:val="24"/>
          <w:lang w:eastAsia="zh-CN"/>
        </w:rPr>
        <w:t>项目内容及要求</w:t>
      </w:r>
      <w:r>
        <w:rPr>
          <w:rFonts w:hint="eastAsia" w:ascii="宋体" w:hAnsi="宋体"/>
          <w:color w:val="auto"/>
          <w:sz w:val="24"/>
        </w:rPr>
        <w:br w:type="textWrapping"/>
      </w:r>
      <w:r>
        <w:rPr>
          <w:rFonts w:hint="eastAsia" w:ascii="宋体" w:hAnsi="宋体"/>
          <w:b/>
          <w:bCs/>
          <w:color w:val="auto"/>
          <w:sz w:val="24"/>
          <w:lang w:val="en-US" w:eastAsia="zh-CN"/>
        </w:rPr>
        <w:t>（</w:t>
      </w:r>
      <w:r>
        <w:rPr>
          <w:rFonts w:hint="eastAsia" w:ascii="宋体" w:hAnsi="宋体"/>
          <w:b/>
          <w:bCs/>
          <w:color w:val="auto"/>
          <w:sz w:val="24"/>
        </w:rPr>
        <w:t>一</w:t>
      </w:r>
      <w:r>
        <w:rPr>
          <w:rFonts w:hint="eastAsia" w:ascii="宋体" w:hAnsi="宋体"/>
          <w:b/>
          <w:bCs/>
          <w:color w:val="auto"/>
          <w:sz w:val="24"/>
          <w:lang w:val="en-US" w:eastAsia="zh-CN"/>
        </w:rPr>
        <w:t xml:space="preserve">） </w:t>
      </w:r>
      <w:r>
        <w:rPr>
          <w:rFonts w:hint="eastAsia" w:ascii="宋体" w:hAnsi="宋体"/>
          <w:b/>
          <w:bCs/>
          <w:color w:val="auto"/>
          <w:sz w:val="24"/>
        </w:rPr>
        <w:t>服务范围和内容</w:t>
      </w:r>
      <w:r>
        <w:rPr>
          <w:rFonts w:hint="eastAsia" w:ascii="宋体" w:hAnsi="宋体"/>
          <w:color w:val="auto"/>
          <w:sz w:val="24"/>
        </w:rPr>
        <w:br w:type="textWrapping"/>
      </w:r>
      <w:r>
        <w:rPr>
          <w:rFonts w:hint="eastAsia" w:ascii="宋体" w:hAnsi="宋体"/>
          <w:color w:val="auto"/>
          <w:sz w:val="24"/>
          <w:lang w:val="en-US" w:eastAsia="zh-CN"/>
        </w:rPr>
        <w:t xml:space="preserve">   </w:t>
      </w:r>
      <w:r>
        <w:rPr>
          <w:rFonts w:hint="eastAsia" w:ascii="宋体" w:hAnsi="宋体"/>
          <w:color w:val="auto"/>
          <w:sz w:val="24"/>
        </w:rPr>
        <w:t>运维服务范围为本区域所有公办</w:t>
      </w:r>
      <w:r>
        <w:rPr>
          <w:rFonts w:hint="eastAsia" w:ascii="宋体" w:hAnsi="宋体"/>
          <w:color w:val="auto"/>
          <w:sz w:val="24"/>
          <w:lang w:val="en-US" w:eastAsia="zh-CN"/>
        </w:rPr>
        <w:t>59所</w:t>
      </w:r>
      <w:r>
        <w:rPr>
          <w:rFonts w:hint="eastAsia" w:ascii="宋体" w:hAnsi="宋体"/>
          <w:color w:val="auto"/>
          <w:sz w:val="24"/>
        </w:rPr>
        <w:t>中小学校（幼儿园）</w:t>
      </w:r>
      <w:r>
        <w:rPr>
          <w:rFonts w:hint="eastAsia" w:ascii="宋体" w:hAnsi="宋体"/>
          <w:color w:val="auto"/>
          <w:sz w:val="24"/>
          <w:lang w:eastAsia="zh-CN"/>
        </w:rPr>
        <w:t>目前有</w:t>
      </w:r>
      <w:r>
        <w:rPr>
          <w:rFonts w:hint="eastAsia" w:ascii="宋体" w:hAnsi="宋体"/>
          <w:color w:val="auto"/>
          <w:sz w:val="24"/>
          <w:lang w:val="en-US" w:eastAsia="zh-CN"/>
        </w:rPr>
        <w:t>25364个学生及2千多名教师（以实际人数为准）</w:t>
      </w:r>
      <w:r>
        <w:rPr>
          <w:rFonts w:hint="eastAsia" w:ascii="宋体" w:hAnsi="宋体"/>
          <w:color w:val="auto"/>
          <w:sz w:val="24"/>
        </w:rPr>
        <w:t>的教育教学设备的运行维护维修，维护设备主要包括交互式电子白板（含电视一体机）、电子备课室的电子设备、电子阅览室的电子设备、多功能教室的电子设备、计算机（电脑）、打印机、复印机、校园广播、同步课堂设备、校园网络等</w:t>
      </w:r>
      <w:r>
        <w:rPr>
          <w:rFonts w:hint="eastAsia" w:ascii="宋体" w:hAnsi="宋体"/>
          <w:color w:val="auto"/>
          <w:sz w:val="24"/>
          <w:lang w:eastAsia="zh-CN"/>
        </w:rPr>
        <w:t>。</w:t>
      </w:r>
    </w:p>
    <w:p>
      <w:pPr>
        <w:numPr>
          <w:ilvl w:val="0"/>
          <w:numId w:val="0"/>
        </w:numPr>
        <w:tabs>
          <w:tab w:val="left" w:pos="780"/>
        </w:tabs>
        <w:spacing w:line="480" w:lineRule="auto"/>
        <w:jc w:val="left"/>
        <w:rPr>
          <w:rFonts w:hint="eastAsia" w:ascii="宋体" w:hAnsi="宋体"/>
          <w:color w:val="auto"/>
          <w:sz w:val="24"/>
          <w:lang w:val="en-US" w:eastAsia="zh-CN"/>
        </w:rPr>
      </w:pPr>
      <w:r>
        <w:rPr>
          <w:rFonts w:hint="eastAsia" w:ascii="宋体" w:hAnsi="宋体"/>
          <w:b/>
          <w:bCs/>
          <w:color w:val="auto"/>
          <w:sz w:val="24"/>
          <w:lang w:val="en-US" w:eastAsia="zh-CN"/>
        </w:rPr>
        <w:t>（二）</w:t>
      </w:r>
      <w:r>
        <w:rPr>
          <w:rFonts w:hint="eastAsia" w:ascii="宋体" w:hAnsi="宋体"/>
          <w:b/>
          <w:bCs/>
          <w:color w:val="auto"/>
          <w:sz w:val="24"/>
        </w:rPr>
        <w:t>确定运维服务管理体系</w:t>
      </w:r>
      <w:r>
        <w:rPr>
          <w:rFonts w:hint="eastAsia" w:ascii="宋体" w:hAnsi="宋体"/>
          <w:color w:val="auto"/>
          <w:sz w:val="24"/>
        </w:rPr>
        <w:br w:type="textWrapping"/>
      </w:r>
      <w:r>
        <w:rPr>
          <w:rFonts w:hint="eastAsia" w:ascii="宋体" w:hAnsi="宋体"/>
          <w:color w:val="auto"/>
          <w:sz w:val="24"/>
          <w:lang w:val="en-US" w:eastAsia="zh-CN"/>
        </w:rPr>
        <w:t xml:space="preserve">  </w:t>
      </w:r>
      <w:r>
        <w:rPr>
          <w:rFonts w:hint="eastAsia" w:ascii="宋体" w:hAnsi="宋体"/>
          <w:color w:val="auto"/>
          <w:sz w:val="24"/>
        </w:rPr>
        <w:t>基于服务管理平台报障、受理、派单、评价、汇总、管理、监督等环节，构建合理的运维管理与服务机构，规范故障报修由下至上的层层流转，并指导运维公司建立运维队伍组织结构、管理制度、操作流程、绩效考核等科学有序的管理流程和规章制度，规范运维服务的标准动作。运维服务基本环节的制定应包括用户请求、事件管理、服务活动、评价管理和绩效考核等，运维服务方式应含有巡检服务、深度维护服务、报修响应和回访反馈等，同时</w:t>
      </w:r>
      <w:r>
        <w:rPr>
          <w:rFonts w:hint="eastAsia" w:ascii="宋体" w:hAnsi="宋体"/>
          <w:color w:val="auto"/>
          <w:sz w:val="24"/>
          <w:lang w:eastAsia="zh-CN"/>
        </w:rPr>
        <w:t>要求</w:t>
      </w:r>
      <w:r>
        <w:rPr>
          <w:rFonts w:hint="eastAsia" w:ascii="宋体" w:hAnsi="宋体"/>
          <w:color w:val="auto"/>
          <w:sz w:val="24"/>
        </w:rPr>
        <w:t>运维公司加强</w:t>
      </w:r>
      <w:r>
        <w:rPr>
          <w:rFonts w:hint="eastAsia" w:ascii="宋体" w:hAnsi="宋体"/>
          <w:color w:val="auto"/>
          <w:sz w:val="24"/>
          <w:lang w:eastAsia="zh-CN"/>
        </w:rPr>
        <w:t>管理，</w:t>
      </w:r>
      <w:r>
        <w:rPr>
          <w:rFonts w:hint="eastAsia" w:ascii="宋体" w:hAnsi="宋体"/>
          <w:color w:val="auto"/>
          <w:sz w:val="24"/>
          <w:lang w:val="en-US" w:eastAsia="zh-CN"/>
        </w:rPr>
        <w:t>教育局负责此项目进行指导及监督</w:t>
      </w:r>
      <w:r>
        <w:rPr>
          <w:rFonts w:hint="eastAsia" w:ascii="宋体" w:hAnsi="宋体"/>
          <w:color w:val="auto"/>
          <w:sz w:val="24"/>
        </w:rPr>
        <w:t>，对服务完成情况和服务满意度等要进行综合性考核。</w:t>
      </w:r>
    </w:p>
    <w:p>
      <w:pPr>
        <w:numPr>
          <w:ilvl w:val="0"/>
          <w:numId w:val="0"/>
        </w:numPr>
        <w:tabs>
          <w:tab w:val="left" w:pos="780"/>
        </w:tabs>
        <w:spacing w:line="480" w:lineRule="auto"/>
        <w:jc w:val="left"/>
        <w:rPr>
          <w:rFonts w:hint="eastAsia" w:ascii="宋体" w:hAnsi="宋体" w:eastAsia="宋体" w:cs="宋体"/>
          <w:color w:val="auto"/>
          <w:sz w:val="24"/>
          <w:szCs w:val="24"/>
        </w:rPr>
      </w:pPr>
      <w:r>
        <w:rPr>
          <w:rFonts w:hint="eastAsia" w:ascii="宋体" w:hAnsi="宋体"/>
          <w:b/>
          <w:bCs/>
          <w:color w:val="auto"/>
          <w:sz w:val="24"/>
          <w:lang w:val="en-US" w:eastAsia="zh-CN"/>
        </w:rPr>
        <w:t>（三）</w:t>
      </w:r>
      <w:r>
        <w:rPr>
          <w:rFonts w:hint="eastAsia" w:ascii="宋体" w:hAnsi="宋体"/>
          <w:b/>
          <w:bCs/>
          <w:color w:val="auto"/>
          <w:sz w:val="24"/>
        </w:rPr>
        <w:t>服务测算依据和模式</w:t>
      </w:r>
      <w:r>
        <w:rPr>
          <w:rFonts w:hint="eastAsia" w:ascii="宋体" w:hAnsi="宋体"/>
          <w:color w:val="auto"/>
          <w:sz w:val="24"/>
        </w:rPr>
        <w:br w:type="textWrapping"/>
      </w:r>
      <w:r>
        <w:rPr>
          <w:rFonts w:hint="eastAsia" w:ascii="宋体" w:hAnsi="宋体"/>
          <w:color w:val="auto"/>
          <w:sz w:val="24"/>
          <w:lang w:val="en-US" w:eastAsia="zh-CN"/>
        </w:rPr>
        <w:t xml:space="preserve">   </w:t>
      </w:r>
      <w:r>
        <w:rPr>
          <w:rFonts w:hint="eastAsia" w:ascii="宋体" w:hAnsi="宋体"/>
          <w:color w:val="auto"/>
          <w:sz w:val="24"/>
        </w:rPr>
        <w:t>运维服务根据所需投入技术队伍的成本和不同种类设备损耗等情况，可以把设备种类、设备数量、设备价值、设备使用年限和学校地理位置等作为测算因素，结合实际情况采取合适的服务模式。</w:t>
      </w:r>
      <w:r>
        <w:rPr>
          <w:rFonts w:hint="eastAsia" w:ascii="宋体" w:hAnsi="宋体"/>
          <w:color w:val="auto"/>
          <w:sz w:val="24"/>
        </w:rPr>
        <w:br w:type="textWrapping"/>
      </w:r>
      <w:r>
        <w:rPr>
          <w:rFonts w:hint="eastAsia" w:ascii="宋体" w:hAnsi="宋体"/>
          <w:color w:val="auto"/>
          <w:sz w:val="24"/>
          <w:lang w:val="en-US" w:eastAsia="zh-CN"/>
        </w:rPr>
        <w:t xml:space="preserve">   </w:t>
      </w:r>
      <w:r>
        <w:rPr>
          <w:rFonts w:hint="eastAsia" w:ascii="宋体" w:hAnsi="宋体" w:cs="宋体"/>
          <w:color w:val="auto"/>
          <w:sz w:val="24"/>
          <w:szCs w:val="24"/>
          <w:lang w:val="en-US" w:eastAsia="zh-CN"/>
        </w:rPr>
        <w:t xml:space="preserve">    </w:t>
      </w:r>
      <w:r>
        <w:rPr>
          <w:rFonts w:ascii="宋体" w:hAnsi="宋体" w:eastAsia="宋体" w:cs="宋体"/>
          <w:b/>
          <w:bCs/>
          <w:color w:val="auto"/>
          <w:sz w:val="24"/>
          <w:szCs w:val="24"/>
        </w:rPr>
        <w:t>模式:</w:t>
      </w:r>
      <w:r>
        <w:rPr>
          <w:rFonts w:hint="eastAsia" w:ascii="宋体" w:hAnsi="宋体" w:eastAsia="宋体" w:cs="宋体"/>
          <w:color w:val="auto"/>
          <w:sz w:val="24"/>
          <w:szCs w:val="24"/>
        </w:rPr>
        <w:t>根据学生人数收取服务费，产生所需跟换的配件由学校自行购置更换或将购置回来的配件交由运维服务工作人员进行更换，不再收取更换配件的服务费。由在校生人数推算出设备数量和设备类型等，然后测算出服务费。</w:t>
      </w:r>
    </w:p>
    <w:p>
      <w:pPr>
        <w:rPr>
          <w:color w:val="auto"/>
        </w:rPr>
      </w:pPr>
    </w:p>
    <w:p>
      <w:pPr>
        <w:pStyle w:val="2"/>
        <w:numPr>
          <w:ilvl w:val="0"/>
          <w:numId w:val="2"/>
        </w:numPr>
        <w:rPr>
          <w:rFonts w:hint="eastAsia" w:ascii="宋体" w:hAnsi="宋体" w:cstheme="majorBidi"/>
          <w:b/>
          <w:bCs w:val="0"/>
          <w:color w:val="auto"/>
          <w:sz w:val="24"/>
          <w:szCs w:val="24"/>
          <w:lang w:val="en-US" w:eastAsia="zh-CN"/>
        </w:rPr>
      </w:pPr>
      <w:r>
        <w:rPr>
          <w:rFonts w:hint="eastAsia" w:ascii="宋体" w:hAnsi="宋体" w:cstheme="majorBidi"/>
          <w:b/>
          <w:bCs w:val="0"/>
          <w:color w:val="auto"/>
          <w:sz w:val="24"/>
          <w:szCs w:val="24"/>
          <w:lang w:val="en-US" w:eastAsia="zh-CN"/>
        </w:rPr>
        <w:t>商务部分</w:t>
      </w:r>
    </w:p>
    <w:p>
      <w:pPr>
        <w:pStyle w:val="2"/>
        <w:numPr>
          <w:ilvl w:val="0"/>
          <w:numId w:val="0"/>
        </w:numPr>
        <w:rPr>
          <w:rFonts w:hint="eastAsia" w:ascii="宋体" w:hAnsi="宋体" w:cstheme="majorBidi"/>
          <w:b/>
          <w:bCs w:val="0"/>
          <w:color w:val="auto"/>
          <w:sz w:val="24"/>
          <w:szCs w:val="24"/>
          <w:lang w:val="en-US" w:eastAsia="zh-CN"/>
        </w:rPr>
      </w:pPr>
      <w:r>
        <w:rPr>
          <w:rFonts w:hint="eastAsia" w:ascii="宋体" w:hAnsi="宋体" w:eastAsia="宋体" w:cs="Times New Roman"/>
          <w:b/>
          <w:bCs/>
          <w:color w:val="auto"/>
          <w:kern w:val="2"/>
          <w:sz w:val="24"/>
          <w:szCs w:val="20"/>
          <w:lang w:val="en-US" w:eastAsia="zh-CN" w:bidi="ar-SA"/>
        </w:rPr>
        <w:t>（一）、人员派驻服务要求和售后服务要求</w:t>
      </w:r>
    </w:p>
    <w:p>
      <w:pPr>
        <w:tabs>
          <w:tab w:val="left" w:pos="780"/>
        </w:tabs>
        <w:spacing w:line="48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根据信息系统实际使用情况和运行状况，</w:t>
      </w:r>
      <w:r>
        <w:rPr>
          <w:rFonts w:ascii="宋体" w:hAnsi="宋体" w:eastAsia="宋体" w:cs="宋体"/>
          <w:color w:val="auto"/>
          <w:sz w:val="24"/>
          <w:szCs w:val="24"/>
        </w:rPr>
        <w:t>服务方应成立项目运维服务团队，</w:t>
      </w:r>
      <w:r>
        <w:rPr>
          <w:rFonts w:hint="eastAsia" w:ascii="宋体" w:hAnsi="宋体" w:eastAsia="宋体" w:cs="宋体"/>
          <w:color w:val="auto"/>
          <w:sz w:val="24"/>
          <w:szCs w:val="24"/>
          <w:lang w:val="en-US" w:eastAsia="zh-CN"/>
        </w:rPr>
        <w:t>建立管理制度、规定操作流程、绩效考核等管理流程和规章制度；运维公司技术人员上门服务须挂工作证，此证须盖有教育局公章，规范运维服务的标准动作。</w:t>
      </w:r>
      <w:r>
        <w:rPr>
          <w:rFonts w:ascii="宋体" w:hAnsi="宋体" w:eastAsia="宋体" w:cs="宋体"/>
          <w:color w:val="auto"/>
          <w:sz w:val="24"/>
          <w:szCs w:val="24"/>
        </w:rPr>
        <w:t>能够提供快速的运维服务响应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要求</w:t>
      </w:r>
      <w:r>
        <w:rPr>
          <w:rFonts w:ascii="宋体" w:hAnsi="宋体" w:eastAsia="宋体" w:cs="宋体"/>
          <w:color w:val="auto"/>
          <w:sz w:val="24"/>
          <w:szCs w:val="24"/>
        </w:rPr>
        <w:t>服务方</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lang w:val="en-US" w:eastAsia="zh-CN"/>
        </w:rPr>
        <w:t>安排</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名</w:t>
      </w:r>
      <w:r>
        <w:rPr>
          <w:rFonts w:hint="eastAsia" w:ascii="宋体" w:hAnsi="宋体" w:cs="宋体"/>
          <w:color w:val="auto"/>
          <w:sz w:val="24"/>
          <w:szCs w:val="24"/>
          <w:lang w:val="en-US" w:eastAsia="zh-CN"/>
        </w:rPr>
        <w:t>现场驻扎</w:t>
      </w:r>
      <w:r>
        <w:rPr>
          <w:rFonts w:hint="eastAsia" w:ascii="宋体" w:hAnsi="宋体" w:eastAsia="宋体" w:cs="宋体"/>
          <w:color w:val="auto"/>
          <w:sz w:val="24"/>
          <w:szCs w:val="24"/>
          <w:lang w:val="en-US" w:eastAsia="zh-CN"/>
        </w:rPr>
        <w:t>工程师</w:t>
      </w:r>
      <w:r>
        <w:rPr>
          <w:rFonts w:hint="eastAsia" w:ascii="宋体" w:hAnsi="宋体" w:cs="宋体"/>
          <w:color w:val="auto"/>
          <w:sz w:val="24"/>
          <w:szCs w:val="24"/>
          <w:lang w:val="en-US" w:eastAsia="zh-CN"/>
        </w:rPr>
        <w:t>，工程师</w:t>
      </w:r>
      <w:r>
        <w:rPr>
          <w:rFonts w:ascii="宋体" w:hAnsi="宋体" w:eastAsia="宋体" w:cs="宋体"/>
          <w:color w:val="auto"/>
          <w:sz w:val="24"/>
          <w:szCs w:val="24"/>
        </w:rPr>
        <w:t>具备丰富的网络维护和安全系统维护经验，熟悉防火墙、入侵检测等产品的部署及调优，能够按</w:t>
      </w:r>
      <w:r>
        <w:rPr>
          <w:rFonts w:hint="eastAsia" w:ascii="宋体" w:hAnsi="宋体" w:eastAsia="宋体" w:cs="宋体"/>
          <w:color w:val="auto"/>
          <w:sz w:val="24"/>
          <w:szCs w:val="24"/>
          <w:lang w:eastAsia="zh-CN"/>
        </w:rPr>
        <w:t>要求</w:t>
      </w:r>
      <w:r>
        <w:rPr>
          <w:rFonts w:ascii="宋体" w:hAnsi="宋体" w:eastAsia="宋体" w:cs="宋体"/>
          <w:color w:val="auto"/>
          <w:sz w:val="24"/>
          <w:szCs w:val="24"/>
        </w:rPr>
        <w:t xml:space="preserve">的维护标准流程进行相应的维护工作。 </w:t>
      </w:r>
      <w:r>
        <w:rPr>
          <w:rFonts w:hint="eastAsia" w:ascii="宋体" w:hAnsi="宋体" w:eastAsia="宋体" w:cs="宋体"/>
          <w:color w:val="auto"/>
          <w:sz w:val="24"/>
          <w:szCs w:val="24"/>
          <w:lang w:val="en-US" w:eastAsia="zh-CN"/>
        </w:rPr>
        <w:t>维护人员正常工作日 5*8 驻点服务</w:t>
      </w:r>
      <w:r>
        <w:rPr>
          <w:rFonts w:hint="eastAsia" w:ascii="宋体" w:hAnsi="宋体" w:cs="宋体"/>
          <w:color w:val="auto"/>
          <w:sz w:val="24"/>
          <w:szCs w:val="24"/>
          <w:lang w:val="en-US" w:eastAsia="zh-CN"/>
        </w:rPr>
        <w:t>,一般情况下，在1-3个工作日内到达报障点进行维护；</w:t>
      </w:r>
      <w:r>
        <w:rPr>
          <w:rFonts w:hint="eastAsia" w:ascii="宋体" w:hAnsi="宋体" w:eastAsia="宋体" w:cs="宋体"/>
          <w:color w:val="auto"/>
          <w:sz w:val="24"/>
          <w:szCs w:val="24"/>
          <w:lang w:val="en-US" w:eastAsia="zh-CN"/>
        </w:rPr>
        <w:t>紧急故障或重大事件保障 7*24 小时响应服务</w:t>
      </w:r>
      <w:r>
        <w:rPr>
          <w:rFonts w:hint="eastAsia" w:ascii="宋体" w:hAnsi="宋体" w:cs="宋体"/>
          <w:color w:val="auto"/>
          <w:sz w:val="24"/>
          <w:szCs w:val="24"/>
          <w:lang w:val="en-US" w:eastAsia="zh-CN"/>
        </w:rPr>
        <w:t>，紧急情况下在一个工作日内到达报障点进行维护维修</w:t>
      </w:r>
      <w:r>
        <w:rPr>
          <w:rFonts w:hint="eastAsia" w:ascii="宋体" w:hAnsi="宋体" w:eastAsia="宋体" w:cs="宋体"/>
          <w:color w:val="auto"/>
          <w:sz w:val="24"/>
          <w:szCs w:val="24"/>
          <w:lang w:val="en-US" w:eastAsia="zh-CN"/>
        </w:rPr>
        <w:t>。 对设备进行日常的维护，服务内容包括上述各项服务能够现场解决的部分内容，现场派驻人员不能提供的服务</w:t>
      </w:r>
      <w:r>
        <w:rPr>
          <w:rFonts w:hint="eastAsia" w:ascii="宋体" w:hAnsi="宋体" w:cs="宋体"/>
          <w:color w:val="auto"/>
          <w:sz w:val="24"/>
          <w:szCs w:val="24"/>
          <w:lang w:val="en-US" w:eastAsia="zh-CN"/>
        </w:rPr>
        <w:t>由</w:t>
      </w:r>
      <w:r>
        <w:rPr>
          <w:rFonts w:hint="eastAsia" w:ascii="宋体" w:hAnsi="宋体" w:eastAsia="宋体" w:cs="宋体"/>
          <w:color w:val="auto"/>
          <w:sz w:val="24"/>
          <w:szCs w:val="24"/>
          <w:lang w:val="en-US" w:eastAsia="zh-CN"/>
        </w:rPr>
        <w:t>供应商安排其他资源提供。</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现场派驻人员需完成的主要工作包括:</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所有设备的日常维护服务；</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日常安全状态服务及故障处理；</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病毒及网络安全防护维护；</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应急响应处理服务。</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、服务报障平台须有处理状态、派单时间、接单时间、故障处理时间。</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、教学设备故障修复后，由报障学校根据维修的结果登录平台给予评价。</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、运维公司技术人员须将维修维护项目单一式三份（公司、学校、教育局各一份），让学校的相关人员签名确认后方可有效。</w:t>
      </w:r>
    </w:p>
    <w:p>
      <w:pPr>
        <w:tabs>
          <w:tab w:val="left" w:pos="780"/>
        </w:tabs>
        <w:spacing w:line="48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、每学期开学两周内，承包运维公司须完成对全县中小学校（幼儿园）教育信息化设备设施进行全面检查和保养。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336"/>
    <w:multiLevelType w:val="singleLevel"/>
    <w:tmpl w:val="1F234336"/>
    <w:lvl w:ilvl="0" w:tentative="0">
      <w:start w:val="3"/>
      <w:numFmt w:val="chineseCounting"/>
      <w:suff w:val="nothing"/>
      <w:lvlText w:val="%1、"/>
      <w:lvlJc w:val="left"/>
      <w:rPr>
        <w:rFonts w:hint="eastAsia"/>
      </w:rPr>
    </w:lvl>
  </w:abstractNum>
  <w:abstractNum w:abstractNumId="1">
    <w:nsid w:val="76F49502"/>
    <w:multiLevelType w:val="singleLevel"/>
    <w:tmpl w:val="76F495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13ED2"/>
    <w:rsid w:val="6A71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2020-07-09T07:14:00Z</dcterms:created>
  <dc:creator>政辉</dc:creator>
  <cp:lastModifiedBy>政辉</cp:lastModifiedBy>
  <dcterms:modified xsi:type="dcterms:W3CDTF">2020-07-09T07:14:54Z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