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eastAsia="宋体" w:cs="黑体"/>
          <w:color w:val="000000"/>
        </w:rPr>
      </w:pPr>
      <w:r>
        <w:rPr>
          <w:rFonts w:ascii="宋体" w:hAnsi="宋体" w:eastAsia="宋体" w:cs="黑体"/>
          <w:color w:val="000000"/>
        </w:rPr>
        <w:t>用户需求书</w:t>
      </w:r>
    </w:p>
    <w:p>
      <w:pPr>
        <w:pStyle w:val="2"/>
        <w:spacing w:before="0" w:after="0" w:line="360" w:lineRule="auto"/>
        <w:rPr>
          <w:rFonts w:hint="eastAsia" w:ascii="宋体" w:eastAsia="宋体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/>
          <w:bCs w:val="0"/>
          <w:sz w:val="30"/>
          <w:szCs w:val="30"/>
          <w:lang w:eastAsia="zh-CN"/>
        </w:rPr>
        <w:t>一、</w:t>
      </w:r>
      <w:r>
        <w:rPr>
          <w:rFonts w:hint="eastAsia" w:ascii="宋体" w:hAnsi="宋体"/>
          <w:bCs w:val="0"/>
          <w:sz w:val="30"/>
          <w:szCs w:val="30"/>
        </w:rPr>
        <w:t>项目</w:t>
      </w:r>
      <w:r>
        <w:rPr>
          <w:rFonts w:hint="eastAsia" w:ascii="宋体" w:hAnsi="宋体" w:eastAsia="宋体"/>
          <w:bCs w:val="0"/>
          <w:sz w:val="30"/>
          <w:szCs w:val="30"/>
          <w:lang w:eastAsia="zh-CN"/>
        </w:rPr>
        <w:t>概括</w:t>
      </w:r>
    </w:p>
    <w:p>
      <w:pPr>
        <w:tabs>
          <w:tab w:val="left" w:pos="780"/>
        </w:tabs>
        <w:spacing w:line="360" w:lineRule="auto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t>1、项目名称：</w:t>
      </w:r>
      <w:r>
        <w:rPr>
          <w:rFonts w:hint="eastAsia" w:ascii="宋体" w:hAnsi="宋体"/>
          <w:color w:val="auto"/>
          <w:sz w:val="24"/>
          <w:lang w:eastAsia="zh-CN"/>
        </w:rPr>
        <w:t>白沙县“两区”划定成果校验</w:t>
      </w:r>
      <w:r>
        <w:rPr>
          <w:rFonts w:hint="eastAsia" w:ascii="宋体" w:hAnsi="宋体"/>
          <w:color w:val="auto"/>
          <w:sz w:val="24"/>
        </w:rPr>
        <w:t xml:space="preserve">   </w:t>
      </w:r>
    </w:p>
    <w:p>
      <w:pPr>
        <w:tabs>
          <w:tab w:val="left" w:pos="780"/>
        </w:tabs>
        <w:spacing w:line="360" w:lineRule="auto"/>
        <w:ind w:firstLine="720" w:firstLineChars="3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2、预算金额：784400.00元（投标总报价超过预算价按无效投标处理）</w:t>
      </w:r>
    </w:p>
    <w:p>
      <w:pPr>
        <w:tabs>
          <w:tab w:val="left" w:pos="780"/>
        </w:tabs>
        <w:spacing w:line="360" w:lineRule="auto"/>
        <w:ind w:firstLine="720" w:firstLineChars="300"/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3、成果交付时间：签订合同之日起20天内</w:t>
      </w:r>
    </w:p>
    <w:p>
      <w:pPr>
        <w:tabs>
          <w:tab w:val="left" w:pos="780"/>
        </w:tabs>
        <w:spacing w:line="360" w:lineRule="auto"/>
        <w:ind w:firstLine="720" w:firstLineChars="300"/>
        <w:rPr>
          <w:rFonts w:ascii="宋体" w:cs="Arial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交付</w:t>
      </w:r>
      <w:r>
        <w:rPr>
          <w:rFonts w:hint="eastAsia" w:ascii="宋体" w:hAnsi="宋体"/>
          <w:sz w:val="24"/>
        </w:rPr>
        <w:t>地点：采购</w:t>
      </w:r>
      <w:r>
        <w:rPr>
          <w:rFonts w:hint="eastAsia" w:ascii="宋体" w:hAnsi="宋体" w:cs="Arial"/>
          <w:sz w:val="24"/>
        </w:rPr>
        <w:t>人指定地点，运送所产生的所有费用由中标人承担</w:t>
      </w:r>
    </w:p>
    <w:p>
      <w:pPr>
        <w:widowControl/>
        <w:snapToGrid w:val="0"/>
        <w:spacing w:line="360" w:lineRule="auto"/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Arial"/>
          <w:sz w:val="24"/>
          <w:lang w:val="en-US" w:eastAsia="zh-CN"/>
        </w:rPr>
        <w:t>5</w:t>
      </w:r>
      <w:r>
        <w:rPr>
          <w:rFonts w:hint="eastAsia" w:ascii="宋体" w:hAnsi="宋体" w:cs="Arial"/>
          <w:sz w:val="24"/>
        </w:rPr>
        <w:t>、</w:t>
      </w:r>
      <w:r>
        <w:rPr>
          <w:rFonts w:hint="eastAsia" w:ascii="宋体" w:hAnsi="宋体"/>
          <w:sz w:val="24"/>
        </w:rPr>
        <w:t>付款方式：</w:t>
      </w:r>
      <w:r>
        <w:rPr>
          <w:rFonts w:hint="eastAsia" w:ascii="宋体" w:hAnsi="宋体"/>
          <w:kern w:val="28"/>
          <w:sz w:val="24"/>
        </w:rPr>
        <w:t>签订合同后按照合同约定要求付款</w:t>
      </w:r>
    </w:p>
    <w:p>
      <w:pPr>
        <w:widowControl/>
        <w:tabs>
          <w:tab w:val="left" w:pos="630"/>
        </w:tabs>
        <w:spacing w:line="360" w:lineRule="auto"/>
        <w:ind w:firstLine="720" w:firstLineChars="300"/>
        <w:jc w:val="left"/>
        <w:textAlignment w:val="bottom"/>
        <w:rPr>
          <w:rFonts w:ascii="宋体" w:hAnsi="宋体"/>
          <w:kern w:val="28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/>
          <w:kern w:val="28"/>
          <w:sz w:val="24"/>
        </w:rPr>
        <w:t>根据国务院办公厅关于建立政府强制采购节能产品制度的通知，在同等条件下优先采购节能产品</w:t>
      </w:r>
    </w:p>
    <w:p>
      <w:pPr>
        <w:numPr>
          <w:ilvl w:val="0"/>
          <w:numId w:val="0"/>
        </w:numPr>
        <w:spacing w:before="312" w:beforeLines="100" w:line="336" w:lineRule="auto"/>
        <w:ind w:leftChars="0" w:right="-693" w:rightChars="-330"/>
        <w:rPr>
          <w:rFonts w:hint="eastAsia" w:ascii="宋体" w:hAnsi="宋体" w:eastAsiaTheme="majorEastAsia" w:cstheme="majorBidi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Theme="majorEastAsia" w:cstheme="majorBidi"/>
          <w:b/>
          <w:bCs w:val="0"/>
          <w:kern w:val="2"/>
          <w:sz w:val="30"/>
          <w:szCs w:val="30"/>
          <w:lang w:val="en-US" w:eastAsia="zh-CN" w:bidi="ar-SA"/>
        </w:rPr>
        <w:t>二、采购内容</w:t>
      </w:r>
    </w:p>
    <w:p>
      <w:pPr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 xml:space="preserve">第1条 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>内容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白沙黎族自治县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生产功能区和天然橡胶生产保护区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划定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项目成果审核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面积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水稻生产功能区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万亩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天然橡胶生产保护区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104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万亩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。审核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工作内容如下：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在外业调查和测绘成果基础上，根据统一的规程、规范要求，对划定地块技术指标符合性、成果进行审核；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套合地理国情、年度最新土地利用现状、农村土地经营权确权登记发证成果、林权证、土地证、高标准农田建设、“多规合一”等相关项目成果数据进行一致性审核。</w:t>
      </w:r>
    </w:p>
    <w:p>
      <w:pPr>
        <w:spacing w:line="360" w:lineRule="auto"/>
        <w:ind w:firstLine="643" w:firstLineChars="200"/>
        <w:rPr>
          <w:rFonts w:hint="default" w:ascii="Times New Roman" w:hAnsi="Times New Roman" w:eastAsia="仿宋_GB2312" w:cs="Times New Roman"/>
          <w:b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>第2条  执行技术标准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837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序号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标    准    名   称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标准等级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1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 xml:space="preserve">GB/T 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  <w:lang w:val="en-US" w:eastAsia="zh-CN"/>
              </w:rPr>
              <w:t>2260 中华人民共和国行政区代码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2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GB/T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  <w:lang w:val="en-US" w:eastAsia="zh-CN"/>
              </w:rPr>
              <w:t xml:space="preserve"> 13923 基础地理信息要素分类与代码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3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GB/T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  <w:lang w:val="en-US" w:eastAsia="zh-CN"/>
              </w:rPr>
              <w:t xml:space="preserve"> 17798 地理空间数据交换格式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4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GB/T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  <w:lang w:val="en-US" w:eastAsia="zh-CN"/>
              </w:rPr>
              <w:t xml:space="preserve"> 19710 地理信息元数据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5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GB/T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  <w:lang w:val="en-US" w:eastAsia="zh-CN"/>
              </w:rPr>
              <w:t xml:space="preserve"> 21010-2007 土地利用现状分类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6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  <w:lang w:val="en-US" w:eastAsia="zh-CN"/>
              </w:rPr>
              <w:t>TD/T 1019-2009 基本农田数据库标准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7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《粮食生产功能区和重要农产品生产保护区划定技术规程（试行）》（农计发〔2017〕99号）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行标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8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lang w:val="en-US" w:eastAsia="zh-CN"/>
              </w:rPr>
              <w:t>《粮食生产功能区和重要农产品生产保护区划定数据库规范（试行）》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行标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9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w w:val="9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CH/Z 1001-2007《测绘成果质量检验报告编写基本规定》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行标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6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经批准的本项目专业技术设计书</w:t>
            </w: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  <w:lang w:val="en-US" w:eastAsia="zh-CN"/>
              </w:rPr>
              <w:t>或技术方案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w w:val="90"/>
                <w:sz w:val="24"/>
              </w:rPr>
              <w:t>内部</w:t>
            </w:r>
          </w:p>
        </w:tc>
      </w:tr>
    </w:tbl>
    <w:p>
      <w:pPr>
        <w:spacing w:line="540" w:lineRule="exact"/>
        <w:ind w:firstLine="643" w:firstLineChars="200"/>
        <w:outlineLvl w:val="0"/>
        <w:rPr>
          <w:rFonts w:hint="default" w:ascii="Times New Roman" w:hAnsi="Times New Roman" w:eastAsia="仿宋_GB2312" w:cs="Times New Roman"/>
          <w:b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 xml:space="preserve">第3条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>期限</w:t>
      </w:r>
    </w:p>
    <w:p>
      <w:pPr>
        <w:spacing w:line="54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工作在</w:t>
      </w:r>
      <w:r>
        <w:rPr>
          <w:rFonts w:hint="eastAsia" w:ascii="Times New Roman" w:hAnsi="Times New Roman" w:eastAsia="仿宋_GB2312" w:cs="Times New Roman"/>
          <w:color w:val="auto"/>
          <w:sz w:val="32"/>
          <w:lang w:val="en-US" w:eastAsia="zh-CN"/>
        </w:rPr>
        <w:t>县农业农村局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提交项目成果资料之日起20个工作日内完成，其中测绘单位对质量问题的查改时间不计入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时间。如有其他原因影响，与甲方协商后工期适当延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长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。</w:t>
      </w:r>
    </w:p>
    <w:p>
      <w:pPr>
        <w:spacing w:line="540" w:lineRule="exact"/>
        <w:ind w:firstLine="643" w:firstLineChars="200"/>
        <w:outlineLvl w:val="0"/>
        <w:rPr>
          <w:rFonts w:hint="default" w:ascii="Times New Roman" w:hAnsi="Times New Roman" w:eastAsia="仿宋_GB2312" w:cs="Times New Roman"/>
          <w:b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>第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 xml:space="preserve">条 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b/>
          <w:color w:val="auto"/>
          <w:sz w:val="32"/>
        </w:rPr>
        <w:t>成果的提交</w:t>
      </w:r>
    </w:p>
    <w:p>
      <w:pPr>
        <w:spacing w:line="540" w:lineRule="exact"/>
        <w:ind w:firstLine="640" w:firstLineChars="200"/>
        <w:outlineLvl w:val="0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成果为</w:t>
      </w:r>
      <w:r>
        <w:rPr>
          <w:rFonts w:hint="default" w:ascii="Times New Roman" w:hAnsi="Times New Roman" w:eastAsia="仿宋_GB2312" w:cs="Times New Roman"/>
          <w:color w:val="auto"/>
          <w:sz w:val="32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报告，数量为一式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叁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份。</w:t>
      </w:r>
    </w:p>
    <w:p>
      <w:pPr>
        <w:numPr>
          <w:ilvl w:val="0"/>
          <w:numId w:val="1"/>
        </w:numPr>
        <w:spacing w:line="540" w:lineRule="exact"/>
        <w:ind w:firstLine="643" w:firstLineChars="200"/>
        <w:outlineLvl w:val="0"/>
        <w:rPr>
          <w:rFonts w:hint="eastAsia" w:ascii="Times New Roman" w:hAnsi="Times New Roman" w:eastAsia="仿宋_GB2312" w:cs="Times New Roman"/>
          <w:b/>
          <w:color w:val="FF000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lang w:eastAsia="zh-CN"/>
        </w:rPr>
        <w:t>审核</w:t>
      </w:r>
      <w:r>
        <w:rPr>
          <w:rFonts w:hint="eastAsia" w:ascii="Times New Roman" w:hAnsi="Times New Roman" w:eastAsia="仿宋_GB2312" w:cs="Times New Roman"/>
          <w:b/>
          <w:color w:val="auto"/>
          <w:sz w:val="32"/>
          <w:lang w:val="en-US" w:eastAsia="zh-CN"/>
        </w:rPr>
        <w:t>单位选取，原则上从省“两区”划定列席会议制度办公室确定的技术支撑单位中选取。</w:t>
      </w:r>
    </w:p>
    <w:p>
      <w:pPr>
        <w:pStyle w:val="2"/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三、其他要求：</w:t>
      </w:r>
      <w:bookmarkStart w:id="0" w:name="_GoBack"/>
      <w:bookmarkEnd w:id="0"/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1、投标单位须有参与过“两区”划定工作的案例（出示相关中标通知书或合同复印件1份起，并加盖公章）。</w:t>
      </w:r>
    </w:p>
    <w:p>
      <w:pPr>
        <w:jc w:val="center"/>
        <w:rPr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1272F"/>
    <w:multiLevelType w:val="singleLevel"/>
    <w:tmpl w:val="9E01272F"/>
    <w:lvl w:ilvl="0" w:tentative="0">
      <w:start w:val="5"/>
      <w:numFmt w:val="decimal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36333"/>
    <w:rsid w:val="5373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2020-07-09T07:00:00Z</dcterms:created>
  <dc:creator>政辉</dc:creator>
  <cp:lastModifiedBy>政辉</cp:lastModifiedBy>
  <dcterms:modified xsi:type="dcterms:W3CDTF">2020-07-09T07:00:56Z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