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Times New Roman" w:hAnsi="Times New Roman" w:cs="Times New Roman"/>
          <w:b/>
          <w:color w:val="auto"/>
          <w:sz w:val="48"/>
          <w:szCs w:val="48"/>
        </w:rPr>
      </w:pPr>
      <w:bookmarkStart w:id="1" w:name="_GoBack"/>
      <w:bookmarkEnd w:id="1"/>
      <w:bookmarkStart w:id="0" w:name="_Toc9896"/>
      <w:r>
        <w:rPr>
          <w:rFonts w:hint="default" w:ascii="Times New Roman" w:hAnsi="Times New Roman" w:cs="Times New Roman"/>
          <w:b/>
          <w:color w:val="auto"/>
          <w:sz w:val="48"/>
          <w:szCs w:val="48"/>
        </w:rPr>
        <w:t>项目要求</w:t>
      </w:r>
      <w:bookmarkEnd w:id="0"/>
    </w:p>
    <w:p>
      <w:pPr>
        <w:rPr>
          <w:rFonts w:hint="default" w:ascii="Times New Roman" w:hAnsi="Times New Roman" w:cs="Times New Roman"/>
          <w:color w:val="auto"/>
          <w:sz w:val="24"/>
        </w:rPr>
      </w:pPr>
    </w:p>
    <w:p>
      <w:pPr>
        <w:rPr>
          <w:rFonts w:hint="default" w:ascii="Times New Roman" w:hAnsi="Times New Roman" w:cs="Times New Roman"/>
          <w:color w:val="auto"/>
          <w:sz w:val="24"/>
        </w:rPr>
      </w:pP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编制报告</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从宏观趋势分析、对标国际、内部能力评估、政策建议等方面编写三亚市国际旅游消费中心相关情况报告。</w:t>
      </w:r>
      <w:r>
        <w:rPr>
          <w:rFonts w:hint="default" w:ascii="Times New Roman" w:hAnsi="Times New Roman" w:cs="Times New Roman"/>
          <w:b/>
          <w:bCs/>
          <w:color w:val="auto"/>
          <w:sz w:val="24"/>
        </w:rPr>
        <w:t>一是宏观趋势分析。</w:t>
      </w:r>
      <w:r>
        <w:rPr>
          <w:rFonts w:hint="default" w:ascii="Times New Roman" w:hAnsi="Times New Roman" w:cs="Times New Roman"/>
          <w:color w:val="auto"/>
          <w:sz w:val="24"/>
        </w:rPr>
        <w:t>梳理国际旅游消费城市宏观趋势，结合三亚热带海滨城市特质，识别新时代下三亚打造国际旅游消费中心所需凸显的城市特质。</w:t>
      </w:r>
      <w:r>
        <w:rPr>
          <w:rFonts w:hint="default" w:ascii="Times New Roman" w:hAnsi="Times New Roman" w:cs="Times New Roman"/>
          <w:b/>
          <w:bCs/>
          <w:color w:val="auto"/>
          <w:sz w:val="24"/>
        </w:rPr>
        <w:t>二是对标国际。</w:t>
      </w:r>
      <w:r>
        <w:rPr>
          <w:rFonts w:hint="default" w:ascii="Times New Roman" w:hAnsi="Times New Roman" w:cs="Times New Roman"/>
          <w:color w:val="auto"/>
          <w:sz w:val="24"/>
        </w:rPr>
        <w:t>选取国际有标杆意义的旅游消费城市和项目，研究其发展路径及成功要素。</w:t>
      </w:r>
      <w:r>
        <w:rPr>
          <w:rFonts w:hint="default" w:ascii="Times New Roman" w:hAnsi="Times New Roman" w:cs="Times New Roman"/>
          <w:b/>
          <w:bCs/>
          <w:color w:val="auto"/>
          <w:sz w:val="24"/>
        </w:rPr>
        <w:t>三是内部能力评估。</w:t>
      </w:r>
      <w:r>
        <w:rPr>
          <w:rFonts w:hint="default" w:ascii="Times New Roman" w:hAnsi="Times New Roman" w:cs="Times New Roman"/>
          <w:color w:val="auto"/>
          <w:sz w:val="24"/>
        </w:rPr>
        <w:t>系统分析三亚旅游消费资源、旅游消费配套服务基础、人才等各项关键要素指标和整体竞争力与周边其他竞争区域的对比评估及存在的问题，深入调研分析企业、消费者、政府等多方面的需求。</w:t>
      </w:r>
      <w:r>
        <w:rPr>
          <w:rFonts w:hint="default" w:ascii="Times New Roman" w:hAnsi="Times New Roman" w:cs="Times New Roman"/>
          <w:b/>
          <w:bCs/>
          <w:color w:val="auto"/>
          <w:sz w:val="24"/>
        </w:rPr>
        <w:t>四是政策建议。</w:t>
      </w:r>
      <w:r>
        <w:rPr>
          <w:rFonts w:hint="default" w:ascii="Times New Roman" w:hAnsi="Times New Roman" w:cs="Times New Roman"/>
          <w:color w:val="auto"/>
          <w:sz w:val="24"/>
        </w:rPr>
        <w:t>提供政策体系搭建咨询，帮助建立完善国际旅游消费中心相关政策体系，推进旅游体制机制创新，协助开展向上争取政策研究。实时掌握最新国家有关政策，为方案实施、项目推进落实提供切实有效、具有创新性的政策建议。</w:t>
      </w: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制定行动计划</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制定三亚国际旅游消费中心发展行动计划，分解明确阶段性实施目标及责任单位，并协助建立战略实施动态追踪体系，从而有效进行政策支撑、招商配合等落地实施支持。</w:t>
      </w: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制定重点项目库</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研究策划支撑国际旅游消费中心建设的重点项目和布局，提出关键合作伙伴和招商名单，打造全域消费空间，对项目整体进行核心测算包括GDP产值、税收贡献、人口增长及就业机会等。</w:t>
      </w: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招商引资</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提供资源服务，提供潜在合作机构名录及合作模式建议，通过牵线搭桥打开国际市场，促成项目落地。在项目</w:t>
      </w:r>
      <w:r>
        <w:rPr>
          <w:rFonts w:hint="eastAsia" w:ascii="Times New Roman" w:hAnsi="Times New Roman" w:cs="Times New Roman"/>
          <w:color w:val="auto"/>
          <w:sz w:val="24"/>
          <w:lang w:eastAsia="zh-CN"/>
        </w:rPr>
        <w:t>产生</w:t>
      </w:r>
      <w:r>
        <w:rPr>
          <w:rFonts w:hint="default" w:ascii="Times New Roman" w:hAnsi="Times New Roman" w:cs="Times New Roman"/>
          <w:color w:val="auto"/>
          <w:sz w:val="24"/>
        </w:rPr>
        <w:t>效益后可给予一定比例的奖励。</w:t>
      </w: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效果评估</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根据行动计划和招商引资情况，对旅游消费中心落实情况进行中期评估和终期评估。</w:t>
      </w: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成果提交形式</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（1）《国际旅游消费中心落地咨询服务》编制文本（纸质版6份，电子版1份）；</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本项目所要求提交的成果，须经专家论证、评审，专家提出的修改意见和建议，由中标单位负责整理，并对成果做出相应调整。评审方式由采购人与成交供应商双方共同确认。与此相关的评审费、差旅费等费用由采购人承担。</w:t>
      </w:r>
    </w:p>
    <w:p>
      <w:pPr>
        <w:numPr>
          <w:ilvl w:val="0"/>
          <w:numId w:val="1"/>
        </w:numPr>
        <w:spacing w:line="360" w:lineRule="auto"/>
        <w:ind w:left="964" w:hanging="482"/>
        <w:rPr>
          <w:rFonts w:hint="default" w:ascii="Times New Roman" w:hAnsi="Times New Roman" w:cs="Times New Roman"/>
          <w:b/>
          <w:color w:val="auto"/>
          <w:sz w:val="24"/>
        </w:rPr>
      </w:pPr>
      <w:r>
        <w:rPr>
          <w:rFonts w:hint="default" w:ascii="Times New Roman" w:hAnsi="Times New Roman" w:cs="Times New Roman"/>
          <w:b/>
          <w:color w:val="auto"/>
          <w:sz w:val="24"/>
        </w:rPr>
        <w:t>综合说明</w:t>
      </w:r>
    </w:p>
    <w:p>
      <w:pPr>
        <w:numPr>
          <w:ilvl w:val="0"/>
          <w:numId w:val="2"/>
        </w:num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磋商报价是包括咨询费、税费、通讯费、差旅费及住宿费等完成本项目相关的费用。</w:t>
      </w:r>
    </w:p>
    <w:p>
      <w:pPr>
        <w:numPr>
          <w:ilvl w:val="0"/>
          <w:numId w:val="2"/>
        </w:num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付款方式：合同签订后支付合同金额的</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0%；根据工作进度支付进度款，中期汇报提交初步方案并获采购人审核通过，7个工作日内支付</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0%进度款；提交最终成果并验收合格后，7个工作日内支付</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0%余款。</w:t>
      </w:r>
    </w:p>
    <w:p>
      <w:r>
        <w:rPr>
          <w:rFonts w:hint="default" w:ascii="Times New Roman" w:hAnsi="Times New Roman" w:cs="Times New Roman"/>
          <w:color w:val="auto"/>
          <w:sz w:val="24"/>
        </w:rPr>
        <w:t>凡涉及磋商文件的补充说明和修改，均以采购代理机构在中国海南政府采购网和全国公共资源交易平台（海南省）·三亚市发布的公告为准。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53F316CA"/>
    <w:multiLevelType w:val="singleLevel"/>
    <w:tmpl w:val="53F316C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55528"/>
    <w:rsid w:val="02C5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2020-07-08T03:11:00Z</dcterms:created>
  <dc:creator>━═☆ジ明日</dc:creator>
  <cp:lastModifiedBy>━═☆ジ明日</cp:lastModifiedBy>
  <dcterms:modified xsi:type="dcterms:W3CDTF">2020-07-08T03:13:22Z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